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44089">
      <w:pPr>
        <w:pStyle w:val="8"/>
        <w:jc w:val="center"/>
        <w:rPr>
          <w:rFonts w:ascii="宋体" w:hAnsi="宋体" w:cs="宋体"/>
          <w:b/>
          <w:bCs/>
          <w:color w:val="auto"/>
          <w:sz w:val="44"/>
          <w:szCs w:val="44"/>
          <w:highlight w:val="none"/>
        </w:rPr>
      </w:pPr>
    </w:p>
    <w:p w14:paraId="05DF11F4">
      <w:pPr>
        <w:pStyle w:val="8"/>
        <w:ind w:firstLine="0"/>
        <w:jc w:val="center"/>
        <w:rPr>
          <w:rFonts w:hint="eastAsia" w:ascii="宋体" w:hAnsi="宋体" w:eastAsia="宋体" w:cs="宋体"/>
          <w:b/>
          <w:bCs/>
          <w:color w:val="auto"/>
          <w:sz w:val="48"/>
          <w:szCs w:val="48"/>
          <w:highlight w:val="none"/>
          <w:u w:val="single"/>
          <w:lang w:eastAsia="zh-CN"/>
        </w:rPr>
      </w:pPr>
      <w:r>
        <w:rPr>
          <w:rFonts w:hint="eastAsia" w:ascii="宋体" w:hAnsi="宋体" w:cs="宋体"/>
          <w:b/>
          <w:bCs/>
          <w:color w:val="auto"/>
          <w:sz w:val="48"/>
          <w:szCs w:val="48"/>
          <w:highlight w:val="none"/>
          <w:u w:val="single"/>
          <w:lang w:eastAsia="zh-CN"/>
        </w:rPr>
        <w:t>2025年上虞区决策咨询委员会决策咨询研究课题和建议意见组织服务</w:t>
      </w:r>
    </w:p>
    <w:p w14:paraId="4CC34759">
      <w:pPr>
        <w:pStyle w:val="8"/>
        <w:rPr>
          <w:rFonts w:ascii="宋体" w:hAnsi="宋体" w:cs="宋体"/>
          <w:b/>
          <w:bCs/>
          <w:color w:val="auto"/>
          <w:sz w:val="44"/>
          <w:szCs w:val="44"/>
          <w:highlight w:val="none"/>
        </w:rPr>
      </w:pPr>
    </w:p>
    <w:p w14:paraId="5B979F1F">
      <w:pPr>
        <w:pStyle w:val="8"/>
        <w:rPr>
          <w:rFonts w:ascii="宋体" w:hAnsi="宋体" w:cs="宋体"/>
          <w:b/>
          <w:bCs/>
          <w:color w:val="auto"/>
          <w:sz w:val="44"/>
          <w:szCs w:val="44"/>
          <w:highlight w:val="none"/>
        </w:rPr>
      </w:pPr>
    </w:p>
    <w:p w14:paraId="238605D0">
      <w:pPr>
        <w:spacing w:line="360" w:lineRule="auto"/>
        <w:rPr>
          <w:rFonts w:ascii="宋体" w:hAnsi="宋体" w:cs="宋体"/>
          <w:b/>
          <w:bCs/>
          <w:color w:val="auto"/>
          <w:sz w:val="72"/>
          <w:szCs w:val="72"/>
          <w:highlight w:val="none"/>
        </w:rPr>
      </w:pPr>
    </w:p>
    <w:p w14:paraId="0E21702A">
      <w:pPr>
        <w:spacing w:line="360" w:lineRule="auto"/>
        <w:jc w:val="center"/>
        <w:rPr>
          <w:rFonts w:ascii="宋体" w:hAnsi="宋体" w:cs="宋体"/>
          <w:b/>
          <w:bCs/>
          <w:color w:val="auto"/>
          <w:sz w:val="48"/>
          <w:szCs w:val="48"/>
          <w:highlight w:val="none"/>
        </w:rPr>
      </w:pPr>
      <w:r>
        <w:rPr>
          <w:rFonts w:hint="eastAsia" w:ascii="宋体" w:hAnsi="宋体" w:cs="宋体"/>
          <w:b/>
          <w:bCs/>
          <w:color w:val="auto"/>
          <w:sz w:val="72"/>
          <w:szCs w:val="72"/>
          <w:highlight w:val="none"/>
        </w:rPr>
        <w:t>竞争性磋商文件</w:t>
      </w:r>
    </w:p>
    <w:p w14:paraId="53F123E9">
      <w:pPr>
        <w:pStyle w:val="10"/>
        <w:rPr>
          <w:color w:val="auto"/>
          <w:highlight w:val="none"/>
        </w:rPr>
      </w:pPr>
    </w:p>
    <w:p w14:paraId="65D6DF27">
      <w:pPr>
        <w:pStyle w:val="21"/>
        <w:widowControl w:val="0"/>
        <w:spacing w:before="0" w:beforeAutospacing="0" w:after="0" w:afterAutospacing="0" w:line="360" w:lineRule="auto"/>
        <w:ind w:firstLine="3000" w:firstLineChars="1000"/>
        <w:rPr>
          <w:rFonts w:hint="default" w:eastAsia="宋体"/>
          <w:color w:val="auto"/>
          <w:highlight w:val="none"/>
          <w:lang w:val="en-US"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CY20250</w:t>
      </w:r>
      <w:r>
        <w:rPr>
          <w:rFonts w:hint="eastAsia" w:ascii="宋体" w:hAnsi="宋体" w:cs="宋体"/>
          <w:color w:val="auto"/>
          <w:sz w:val="30"/>
          <w:szCs w:val="30"/>
          <w:highlight w:val="none"/>
          <w:lang w:val="en-US" w:eastAsia="zh-CN"/>
        </w:rPr>
        <w:t>17</w:t>
      </w:r>
    </w:p>
    <w:p w14:paraId="56060A5F">
      <w:pPr>
        <w:pStyle w:val="21"/>
        <w:widowControl w:val="0"/>
        <w:spacing w:before="0" w:beforeAutospacing="0" w:after="0" w:afterAutospacing="0" w:line="360" w:lineRule="auto"/>
        <w:ind w:firstLine="3000" w:firstLineChars="1000"/>
        <w:rPr>
          <w:color w:val="auto"/>
          <w:highlight w:val="none"/>
        </w:rPr>
      </w:pPr>
      <w:r>
        <w:rPr>
          <w:rFonts w:hint="eastAsia" w:ascii="宋体" w:hAnsi="宋体" w:cs="宋体"/>
          <w:color w:val="auto"/>
          <w:sz w:val="30"/>
          <w:szCs w:val="30"/>
          <w:highlight w:val="none"/>
        </w:rPr>
        <w:t>采购方式：竞争性磋商</w:t>
      </w:r>
    </w:p>
    <w:p w14:paraId="409FC26D">
      <w:pPr>
        <w:spacing w:line="360" w:lineRule="auto"/>
        <w:jc w:val="left"/>
        <w:rPr>
          <w:rFonts w:ascii="宋体" w:hAnsi="宋体" w:cs="宋体"/>
          <w:b/>
          <w:bCs/>
          <w:color w:val="auto"/>
          <w:sz w:val="24"/>
          <w:szCs w:val="24"/>
          <w:highlight w:val="none"/>
        </w:rPr>
      </w:pPr>
    </w:p>
    <w:p w14:paraId="65DB447B">
      <w:pPr>
        <w:spacing w:line="360" w:lineRule="auto"/>
        <w:rPr>
          <w:rFonts w:ascii="宋体" w:hAnsi="宋体" w:cs="宋体"/>
          <w:color w:val="auto"/>
          <w:sz w:val="24"/>
          <w:szCs w:val="24"/>
          <w:highlight w:val="none"/>
        </w:rPr>
      </w:pPr>
    </w:p>
    <w:p w14:paraId="53586317">
      <w:pPr>
        <w:spacing w:line="360" w:lineRule="auto"/>
        <w:jc w:val="center"/>
        <w:rPr>
          <w:rFonts w:ascii="宋体" w:hAnsi="宋体" w:cs="宋体"/>
          <w:color w:val="auto"/>
          <w:sz w:val="24"/>
          <w:szCs w:val="24"/>
          <w:highlight w:val="none"/>
        </w:rPr>
      </w:pPr>
    </w:p>
    <w:p w14:paraId="4907B205">
      <w:pPr>
        <w:pStyle w:val="8"/>
        <w:rPr>
          <w:rFonts w:ascii="宋体" w:hAnsi="宋体" w:cs="宋体"/>
          <w:color w:val="auto"/>
          <w:sz w:val="24"/>
          <w:szCs w:val="24"/>
          <w:highlight w:val="none"/>
        </w:rPr>
      </w:pPr>
    </w:p>
    <w:p w14:paraId="7F51EA93">
      <w:pPr>
        <w:pStyle w:val="8"/>
        <w:rPr>
          <w:rFonts w:ascii="宋体" w:hAnsi="宋体" w:cs="宋体"/>
          <w:color w:val="auto"/>
          <w:sz w:val="24"/>
          <w:szCs w:val="24"/>
          <w:highlight w:val="none"/>
        </w:rPr>
      </w:pPr>
    </w:p>
    <w:p w14:paraId="6B25B781">
      <w:pPr>
        <w:pStyle w:val="8"/>
        <w:rPr>
          <w:rFonts w:ascii="宋体" w:hAnsi="宋体" w:cs="宋体"/>
          <w:color w:val="auto"/>
          <w:sz w:val="24"/>
          <w:szCs w:val="24"/>
          <w:highlight w:val="none"/>
        </w:rPr>
      </w:pPr>
    </w:p>
    <w:p w14:paraId="3C0DEFF6">
      <w:pPr>
        <w:pStyle w:val="8"/>
        <w:rPr>
          <w:rFonts w:ascii="宋体" w:hAnsi="宋体" w:cs="宋体"/>
          <w:color w:val="auto"/>
          <w:sz w:val="24"/>
          <w:szCs w:val="24"/>
          <w:highlight w:val="none"/>
        </w:rPr>
      </w:pPr>
    </w:p>
    <w:p w14:paraId="5DBBB6C4">
      <w:pPr>
        <w:spacing w:line="360" w:lineRule="auto"/>
        <w:jc w:val="center"/>
        <w:rPr>
          <w:rFonts w:ascii="宋体" w:hAnsi="宋体" w:cs="宋体"/>
          <w:color w:val="auto"/>
          <w:sz w:val="24"/>
          <w:szCs w:val="24"/>
          <w:highlight w:val="none"/>
        </w:rPr>
      </w:pPr>
    </w:p>
    <w:p w14:paraId="2B739E0D">
      <w:pPr>
        <w:spacing w:line="360" w:lineRule="auto"/>
        <w:jc w:val="center"/>
        <w:rPr>
          <w:rFonts w:ascii="宋体" w:hAnsi="宋体" w:cs="宋体"/>
          <w:color w:val="auto"/>
          <w:sz w:val="24"/>
          <w:szCs w:val="24"/>
          <w:highlight w:val="none"/>
        </w:rPr>
      </w:pPr>
    </w:p>
    <w:p w14:paraId="33A48D78">
      <w:pPr>
        <w:spacing w:line="360" w:lineRule="auto"/>
        <w:jc w:val="center"/>
        <w:rPr>
          <w:rFonts w:ascii="宋体" w:hAnsi="宋体" w:cs="宋体"/>
          <w:color w:val="auto"/>
          <w:sz w:val="24"/>
          <w:szCs w:val="24"/>
          <w:highlight w:val="none"/>
        </w:rPr>
      </w:pPr>
    </w:p>
    <w:p w14:paraId="243A9D22">
      <w:pPr>
        <w:snapToGrid w:val="0"/>
        <w:spacing w:line="360" w:lineRule="auto"/>
        <w:ind w:firstLine="1500" w:firstLineChars="500"/>
        <w:rPr>
          <w:rFonts w:hint="eastAsia" w:ascii="宋体" w:hAnsi="宋体" w:eastAsia="宋体" w:cs="宋体"/>
          <w:color w:val="auto"/>
          <w:highlight w:val="none"/>
          <w:u w:val="single"/>
          <w:lang w:eastAsia="zh-CN"/>
        </w:rPr>
      </w:pPr>
      <w:r>
        <w:rPr>
          <w:rFonts w:hint="eastAsia" w:ascii="宋体" w:hAnsi="宋体" w:cs="宋体"/>
          <w:color w:val="auto"/>
          <w:sz w:val="30"/>
          <w:szCs w:val="30"/>
          <w:highlight w:val="none"/>
        </w:rPr>
        <w:t>采</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购</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人：</w:t>
      </w:r>
      <w:r>
        <w:rPr>
          <w:rFonts w:hint="eastAsia" w:ascii="宋体" w:hAnsi="宋体" w:cs="宋体"/>
          <w:color w:val="auto"/>
          <w:sz w:val="30"/>
          <w:szCs w:val="30"/>
          <w:highlight w:val="none"/>
          <w:lang w:eastAsia="zh-CN"/>
        </w:rPr>
        <w:t>中国共产党绍兴市上虞区委员会办公室</w:t>
      </w:r>
    </w:p>
    <w:p w14:paraId="3F1CC2C0">
      <w:pPr>
        <w:snapToGrid w:val="0"/>
        <w:spacing w:line="360" w:lineRule="auto"/>
        <w:ind w:firstLine="1500" w:firstLineChars="500"/>
        <w:rPr>
          <w:rFonts w:ascii="宋体" w:hAnsi="宋体" w:cs="宋体"/>
          <w:color w:val="auto"/>
          <w:sz w:val="30"/>
          <w:szCs w:val="30"/>
          <w:highlight w:val="none"/>
        </w:rPr>
      </w:pPr>
      <w:r>
        <w:rPr>
          <w:rFonts w:hint="eastAsia" w:ascii="宋体" w:hAnsi="宋体" w:cs="宋体"/>
          <w:color w:val="auto"/>
          <w:sz w:val="30"/>
          <w:szCs w:val="30"/>
          <w:highlight w:val="none"/>
        </w:rPr>
        <w:t>采购代理机构：绍兴成言工程咨询管理有限公司</w:t>
      </w:r>
    </w:p>
    <w:p w14:paraId="69BE658A">
      <w:pPr>
        <w:jc w:val="center"/>
        <w:rPr>
          <w:rFonts w:ascii="宋体" w:hAnsi="宋体" w:cs="宋体"/>
          <w:color w:val="auto"/>
          <w:sz w:val="30"/>
          <w:szCs w:val="30"/>
          <w:highlight w:val="none"/>
        </w:rPr>
        <w:sectPr>
          <w:footerReference r:id="rId3" w:type="default"/>
          <w:pgSz w:w="11906" w:h="16838"/>
          <w:pgMar w:top="1247" w:right="1474" w:bottom="1247" w:left="1474" w:header="851" w:footer="992" w:gutter="0"/>
          <w:pgNumType w:fmt="decimal"/>
          <w:cols w:space="0" w:num="1"/>
          <w:docGrid w:type="lines" w:linePitch="312" w:charSpace="0"/>
        </w:sectPr>
      </w:pPr>
      <w:r>
        <w:rPr>
          <w:rFonts w:hint="eastAsia" w:ascii="宋体" w:hAnsi="宋体" w:cs="宋体"/>
          <w:color w:val="auto"/>
          <w:sz w:val="30"/>
          <w:szCs w:val="30"/>
          <w:highlight w:val="none"/>
        </w:rPr>
        <w:t>二〇二五年</w:t>
      </w:r>
      <w:r>
        <w:rPr>
          <w:rFonts w:hint="eastAsia" w:ascii="宋体" w:hAnsi="宋体" w:cs="宋体"/>
          <w:color w:val="auto"/>
          <w:sz w:val="30"/>
          <w:szCs w:val="30"/>
          <w:highlight w:val="none"/>
          <w:lang w:val="en-US" w:eastAsia="zh-CN"/>
        </w:rPr>
        <w:t>六</w:t>
      </w:r>
      <w:r>
        <w:rPr>
          <w:rFonts w:hint="eastAsia" w:ascii="宋体" w:hAnsi="宋体" w:cs="宋体"/>
          <w:color w:val="auto"/>
          <w:sz w:val="30"/>
          <w:szCs w:val="30"/>
          <w:highlight w:val="none"/>
        </w:rPr>
        <w:t>月</w:t>
      </w:r>
    </w:p>
    <w:p w14:paraId="78BCE6BE">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目录</w:t>
      </w:r>
    </w:p>
    <w:p w14:paraId="0A7F700B">
      <w:pPr>
        <w:pStyle w:val="18"/>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_Toc6715 </w:instrText>
      </w:r>
      <w:r>
        <w:rPr>
          <w:rFonts w:hint="eastAsia" w:ascii="宋体" w:hAnsi="宋体" w:eastAsia="宋体" w:cs="宋体"/>
          <w:color w:val="auto"/>
          <w:szCs w:val="24"/>
          <w:highlight w:val="none"/>
        </w:rPr>
        <w:fldChar w:fldCharType="separate"/>
      </w:r>
      <w:r>
        <w:rPr>
          <w:rFonts w:hint="eastAsia" w:ascii="宋体" w:hAnsi="宋体" w:cs="宋体"/>
          <w:color w:val="auto"/>
          <w:highlight w:val="none"/>
        </w:rPr>
        <w:t>第一部分磋商公告</w:t>
      </w:r>
      <w:r>
        <w:rPr>
          <w:color w:val="auto"/>
          <w:highlight w:val="none"/>
        </w:rPr>
        <w:tab/>
      </w:r>
      <w:r>
        <w:rPr>
          <w:color w:val="auto"/>
          <w:highlight w:val="none"/>
        </w:rPr>
        <w:fldChar w:fldCharType="begin"/>
      </w:r>
      <w:r>
        <w:rPr>
          <w:color w:val="auto"/>
          <w:highlight w:val="none"/>
        </w:rPr>
        <w:instrText xml:space="preserve"> PAGEREF _Toc6715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14:paraId="1180DBA0">
      <w:pPr>
        <w:pStyle w:val="18"/>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_Toc27960 </w:instrText>
      </w:r>
      <w:r>
        <w:rPr>
          <w:rFonts w:hint="eastAsia" w:ascii="宋体" w:hAnsi="宋体" w:eastAsia="宋体" w:cs="宋体"/>
          <w:color w:val="auto"/>
          <w:szCs w:val="24"/>
          <w:highlight w:val="none"/>
        </w:rPr>
        <w:fldChar w:fldCharType="separate"/>
      </w:r>
      <w:r>
        <w:rPr>
          <w:rFonts w:hint="eastAsia" w:ascii="宋体" w:hAnsi="宋体" w:cs="宋体"/>
          <w:bCs/>
          <w:color w:val="auto"/>
          <w:szCs w:val="36"/>
          <w:highlight w:val="none"/>
        </w:rPr>
        <w:t>第二部分供应商须知</w:t>
      </w:r>
      <w:r>
        <w:rPr>
          <w:color w:val="auto"/>
          <w:highlight w:val="none"/>
        </w:rPr>
        <w:tab/>
      </w:r>
      <w:r>
        <w:rPr>
          <w:color w:val="auto"/>
          <w:highlight w:val="none"/>
        </w:rPr>
        <w:fldChar w:fldCharType="begin"/>
      </w:r>
      <w:r>
        <w:rPr>
          <w:color w:val="auto"/>
          <w:highlight w:val="none"/>
        </w:rPr>
        <w:instrText xml:space="preserve"> PAGEREF _Toc27960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szCs w:val="24"/>
          <w:highlight w:val="none"/>
        </w:rPr>
        <w:fldChar w:fldCharType="end"/>
      </w:r>
    </w:p>
    <w:p w14:paraId="129B4634">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_Toc32628 </w:instrText>
      </w:r>
      <w:r>
        <w:rPr>
          <w:rFonts w:hint="eastAsia" w:ascii="宋体" w:hAnsi="宋体" w:eastAsia="宋体" w:cs="宋体"/>
          <w:color w:val="auto"/>
          <w:szCs w:val="24"/>
          <w:highlight w:val="none"/>
        </w:rPr>
        <w:fldChar w:fldCharType="separate"/>
      </w:r>
      <w:r>
        <w:rPr>
          <w:rFonts w:hint="eastAsia"/>
          <w:color w:val="auto"/>
          <w:highlight w:val="none"/>
        </w:rPr>
        <w:t>一、 总则</w:t>
      </w:r>
      <w:r>
        <w:rPr>
          <w:color w:val="auto"/>
          <w:highlight w:val="none"/>
        </w:rPr>
        <w:tab/>
      </w:r>
      <w:r>
        <w:rPr>
          <w:color w:val="auto"/>
          <w:highlight w:val="none"/>
        </w:rPr>
        <w:fldChar w:fldCharType="begin"/>
      </w:r>
      <w:r>
        <w:rPr>
          <w:color w:val="auto"/>
          <w:highlight w:val="none"/>
        </w:rPr>
        <w:instrText xml:space="preserve"> PAGEREF _Toc32628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16DC5B96">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_Toc25115 </w:instrText>
      </w:r>
      <w:r>
        <w:rPr>
          <w:rFonts w:hint="eastAsia" w:ascii="宋体" w:hAnsi="宋体" w:eastAsia="宋体" w:cs="宋体"/>
          <w:color w:val="auto"/>
          <w:szCs w:val="24"/>
          <w:highlight w:val="none"/>
        </w:rPr>
        <w:fldChar w:fldCharType="separate"/>
      </w:r>
      <w:r>
        <w:rPr>
          <w:rFonts w:hint="eastAsia"/>
          <w:color w:val="auto"/>
          <w:highlight w:val="none"/>
        </w:rPr>
        <w:t>二、 竞争性磋商文件</w:t>
      </w:r>
      <w:r>
        <w:rPr>
          <w:color w:val="auto"/>
          <w:highlight w:val="none"/>
        </w:rPr>
        <w:tab/>
      </w:r>
      <w:r>
        <w:rPr>
          <w:color w:val="auto"/>
          <w:highlight w:val="none"/>
        </w:rPr>
        <w:fldChar w:fldCharType="begin"/>
      </w:r>
      <w:r>
        <w:rPr>
          <w:color w:val="auto"/>
          <w:highlight w:val="none"/>
        </w:rPr>
        <w:instrText xml:space="preserve"> PAGEREF _Toc25115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63D4FC45">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_Toc32071 </w:instrText>
      </w:r>
      <w:r>
        <w:rPr>
          <w:rFonts w:hint="eastAsia" w:ascii="宋体" w:hAnsi="宋体" w:eastAsia="宋体" w:cs="宋体"/>
          <w:color w:val="auto"/>
          <w:szCs w:val="24"/>
          <w:highlight w:val="none"/>
        </w:rPr>
        <w:fldChar w:fldCharType="separate"/>
      </w:r>
      <w:r>
        <w:rPr>
          <w:rFonts w:hint="eastAsia"/>
          <w:color w:val="auto"/>
          <w:highlight w:val="none"/>
        </w:rPr>
        <w:t>三、 竞争性磋商响应文件的编写</w:t>
      </w:r>
      <w:r>
        <w:rPr>
          <w:color w:val="auto"/>
          <w:highlight w:val="none"/>
        </w:rPr>
        <w:tab/>
      </w:r>
      <w:r>
        <w:rPr>
          <w:color w:val="auto"/>
          <w:highlight w:val="none"/>
        </w:rPr>
        <w:fldChar w:fldCharType="begin"/>
      </w:r>
      <w:r>
        <w:rPr>
          <w:color w:val="auto"/>
          <w:highlight w:val="none"/>
        </w:rPr>
        <w:instrText xml:space="preserve"> PAGEREF _Toc32071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4"/>
          <w:highlight w:val="none"/>
        </w:rPr>
        <w:fldChar w:fldCharType="end"/>
      </w:r>
    </w:p>
    <w:p w14:paraId="715D6A36">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_Toc29901 </w:instrText>
      </w:r>
      <w:r>
        <w:rPr>
          <w:rFonts w:hint="eastAsia" w:ascii="宋体" w:hAnsi="宋体" w:eastAsia="宋体" w:cs="宋体"/>
          <w:color w:val="auto"/>
          <w:szCs w:val="24"/>
          <w:highlight w:val="none"/>
        </w:rPr>
        <w:fldChar w:fldCharType="separate"/>
      </w:r>
      <w:r>
        <w:rPr>
          <w:rFonts w:hint="eastAsia"/>
          <w:color w:val="auto"/>
          <w:highlight w:val="none"/>
        </w:rPr>
        <w:t>四、 响应文件的递交</w:t>
      </w:r>
      <w:r>
        <w:rPr>
          <w:color w:val="auto"/>
          <w:highlight w:val="none"/>
        </w:rPr>
        <w:tab/>
      </w:r>
      <w:r>
        <w:rPr>
          <w:color w:val="auto"/>
          <w:highlight w:val="none"/>
        </w:rPr>
        <w:fldChar w:fldCharType="begin"/>
      </w:r>
      <w:r>
        <w:rPr>
          <w:color w:val="auto"/>
          <w:highlight w:val="none"/>
        </w:rPr>
        <w:instrText xml:space="preserve"> PAGEREF _Toc29901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4"/>
          <w:highlight w:val="none"/>
        </w:rPr>
        <w:fldChar w:fldCharType="end"/>
      </w:r>
    </w:p>
    <w:p w14:paraId="6005C917">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_Toc15307 </w:instrText>
      </w:r>
      <w:r>
        <w:rPr>
          <w:rFonts w:hint="eastAsia" w:ascii="宋体" w:hAnsi="宋体" w:eastAsia="宋体" w:cs="宋体"/>
          <w:color w:val="auto"/>
          <w:szCs w:val="24"/>
          <w:highlight w:val="none"/>
        </w:rPr>
        <w:fldChar w:fldCharType="separate"/>
      </w:r>
      <w:r>
        <w:rPr>
          <w:rFonts w:hint="eastAsia"/>
          <w:color w:val="auto"/>
          <w:highlight w:val="none"/>
        </w:rPr>
        <w:t>五、 磋商无效的情形</w:t>
      </w:r>
      <w:r>
        <w:rPr>
          <w:color w:val="auto"/>
          <w:highlight w:val="none"/>
        </w:rPr>
        <w:tab/>
      </w:r>
      <w:r>
        <w:rPr>
          <w:color w:val="auto"/>
          <w:highlight w:val="none"/>
        </w:rPr>
        <w:fldChar w:fldCharType="begin"/>
      </w:r>
      <w:r>
        <w:rPr>
          <w:color w:val="auto"/>
          <w:highlight w:val="none"/>
        </w:rPr>
        <w:instrText xml:space="preserve"> PAGEREF _Toc15307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4"/>
          <w:highlight w:val="none"/>
        </w:rPr>
        <w:fldChar w:fldCharType="end"/>
      </w:r>
    </w:p>
    <w:p w14:paraId="02C062AB">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_Toc1039 </w:instrText>
      </w:r>
      <w:r>
        <w:rPr>
          <w:rFonts w:hint="eastAsia" w:ascii="宋体" w:hAnsi="宋体" w:eastAsia="宋体" w:cs="宋体"/>
          <w:color w:val="auto"/>
          <w:szCs w:val="24"/>
          <w:highlight w:val="none"/>
        </w:rPr>
        <w:fldChar w:fldCharType="separate"/>
      </w:r>
      <w:r>
        <w:rPr>
          <w:rFonts w:hint="eastAsia"/>
          <w:color w:val="auto"/>
          <w:highlight w:val="none"/>
        </w:rPr>
        <w:t>六、 采购中止的情形</w:t>
      </w:r>
      <w:r>
        <w:rPr>
          <w:color w:val="auto"/>
          <w:highlight w:val="none"/>
        </w:rPr>
        <w:tab/>
      </w:r>
      <w:r>
        <w:rPr>
          <w:color w:val="auto"/>
          <w:highlight w:val="none"/>
        </w:rPr>
        <w:fldChar w:fldCharType="begin"/>
      </w:r>
      <w:r>
        <w:rPr>
          <w:color w:val="auto"/>
          <w:highlight w:val="none"/>
        </w:rPr>
        <w:instrText xml:space="preserve"> PAGEREF _Toc1039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4"/>
          <w:highlight w:val="none"/>
        </w:rPr>
        <w:fldChar w:fldCharType="end"/>
      </w:r>
    </w:p>
    <w:p w14:paraId="501078FB">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_Toc8632 </w:instrText>
      </w:r>
      <w:r>
        <w:rPr>
          <w:rFonts w:hint="eastAsia" w:ascii="宋体" w:hAnsi="宋体" w:eastAsia="宋体" w:cs="宋体"/>
          <w:color w:val="auto"/>
          <w:szCs w:val="24"/>
          <w:highlight w:val="none"/>
        </w:rPr>
        <w:fldChar w:fldCharType="separate"/>
      </w:r>
      <w:r>
        <w:rPr>
          <w:rFonts w:hint="eastAsia"/>
          <w:color w:val="auto"/>
          <w:highlight w:val="none"/>
        </w:rPr>
        <w:t>七、 确定成交供应商与签订合同</w:t>
      </w:r>
      <w:r>
        <w:rPr>
          <w:color w:val="auto"/>
          <w:highlight w:val="none"/>
        </w:rPr>
        <w:tab/>
      </w:r>
      <w:r>
        <w:rPr>
          <w:color w:val="auto"/>
          <w:highlight w:val="none"/>
        </w:rPr>
        <w:fldChar w:fldCharType="begin"/>
      </w:r>
      <w:r>
        <w:rPr>
          <w:color w:val="auto"/>
          <w:highlight w:val="none"/>
        </w:rPr>
        <w:instrText xml:space="preserve"> PAGEREF _Toc8632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szCs w:val="24"/>
          <w:highlight w:val="none"/>
        </w:rPr>
        <w:fldChar w:fldCharType="end"/>
      </w:r>
    </w:p>
    <w:p w14:paraId="361EDD61">
      <w:pPr>
        <w:pStyle w:val="18"/>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_Toc15050 </w:instrText>
      </w:r>
      <w:r>
        <w:rPr>
          <w:rFonts w:hint="eastAsia" w:ascii="宋体" w:hAnsi="宋体" w:eastAsia="宋体" w:cs="宋体"/>
          <w:color w:val="auto"/>
          <w:szCs w:val="24"/>
          <w:highlight w:val="none"/>
        </w:rPr>
        <w:fldChar w:fldCharType="separate"/>
      </w:r>
      <w:r>
        <w:rPr>
          <w:rFonts w:hint="eastAsia" w:ascii="宋体" w:hAnsi="宋体" w:cs="宋体"/>
          <w:color w:val="auto"/>
          <w:szCs w:val="36"/>
          <w:highlight w:val="none"/>
        </w:rPr>
        <w:t>第三部分 采购内容及要求</w:t>
      </w:r>
      <w:r>
        <w:rPr>
          <w:color w:val="auto"/>
          <w:highlight w:val="none"/>
        </w:rPr>
        <w:tab/>
      </w:r>
      <w:r>
        <w:rPr>
          <w:color w:val="auto"/>
          <w:highlight w:val="none"/>
        </w:rPr>
        <w:fldChar w:fldCharType="begin"/>
      </w:r>
      <w:r>
        <w:rPr>
          <w:color w:val="auto"/>
          <w:highlight w:val="none"/>
        </w:rPr>
        <w:instrText xml:space="preserve"> PAGEREF _Toc15050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4"/>
          <w:highlight w:val="none"/>
        </w:rPr>
        <w:fldChar w:fldCharType="end"/>
      </w:r>
    </w:p>
    <w:p w14:paraId="5856D654">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_Toc22817 </w:instrText>
      </w:r>
      <w:r>
        <w:rPr>
          <w:rFonts w:hint="eastAsia" w:ascii="宋体" w:hAnsi="宋体" w:eastAsia="宋体" w:cs="宋体"/>
          <w:color w:val="auto"/>
          <w:szCs w:val="24"/>
          <w:highlight w:val="none"/>
        </w:rPr>
        <w:fldChar w:fldCharType="separate"/>
      </w:r>
      <w:r>
        <w:rPr>
          <w:rFonts w:hint="eastAsia"/>
          <w:color w:val="auto"/>
          <w:highlight w:val="none"/>
        </w:rPr>
        <w:t>第一章 采购内容及要求</w:t>
      </w:r>
      <w:r>
        <w:rPr>
          <w:color w:val="auto"/>
          <w:highlight w:val="none"/>
        </w:rPr>
        <w:tab/>
      </w:r>
      <w:r>
        <w:rPr>
          <w:color w:val="auto"/>
          <w:highlight w:val="none"/>
        </w:rPr>
        <w:fldChar w:fldCharType="begin"/>
      </w:r>
      <w:r>
        <w:rPr>
          <w:color w:val="auto"/>
          <w:highlight w:val="none"/>
        </w:rPr>
        <w:instrText xml:space="preserve"> PAGEREF _Toc22817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4"/>
          <w:highlight w:val="none"/>
        </w:rPr>
        <w:fldChar w:fldCharType="end"/>
      </w:r>
    </w:p>
    <w:p w14:paraId="21F1A1C8">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_Toc17002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第二章  付款方式及要求</w:t>
      </w:r>
      <w:r>
        <w:rPr>
          <w:color w:val="auto"/>
          <w:highlight w:val="none"/>
        </w:rPr>
        <w:tab/>
      </w:r>
      <w:r>
        <w:rPr>
          <w:color w:val="auto"/>
          <w:highlight w:val="none"/>
        </w:rPr>
        <w:fldChar w:fldCharType="begin"/>
      </w:r>
      <w:r>
        <w:rPr>
          <w:color w:val="auto"/>
          <w:highlight w:val="none"/>
        </w:rPr>
        <w:instrText xml:space="preserve"> PAGEREF _Toc17002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4"/>
          <w:highlight w:val="none"/>
        </w:rPr>
        <w:fldChar w:fldCharType="end"/>
      </w:r>
    </w:p>
    <w:p w14:paraId="0E480A25">
      <w:pPr>
        <w:pStyle w:val="18"/>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_Toc30421 </w:instrText>
      </w:r>
      <w:r>
        <w:rPr>
          <w:rFonts w:hint="eastAsia" w:ascii="宋体" w:hAnsi="宋体" w:eastAsia="宋体" w:cs="宋体"/>
          <w:color w:val="auto"/>
          <w:szCs w:val="24"/>
          <w:highlight w:val="none"/>
        </w:rPr>
        <w:fldChar w:fldCharType="separate"/>
      </w:r>
      <w:r>
        <w:rPr>
          <w:rFonts w:hint="eastAsia" w:ascii="宋体" w:hAnsi="宋体" w:cs="宋体"/>
          <w:color w:val="auto"/>
          <w:highlight w:val="none"/>
        </w:rPr>
        <w:t>第四部分 磋商原则及磋商方法</w:t>
      </w:r>
      <w:r>
        <w:rPr>
          <w:color w:val="auto"/>
          <w:highlight w:val="none"/>
        </w:rPr>
        <w:tab/>
      </w:r>
      <w:r>
        <w:rPr>
          <w:color w:val="auto"/>
          <w:highlight w:val="none"/>
        </w:rPr>
        <w:fldChar w:fldCharType="begin"/>
      </w:r>
      <w:r>
        <w:rPr>
          <w:color w:val="auto"/>
          <w:highlight w:val="none"/>
        </w:rPr>
        <w:instrText xml:space="preserve"> PAGEREF _Toc30421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4"/>
          <w:highlight w:val="none"/>
        </w:rPr>
        <w:fldChar w:fldCharType="end"/>
      </w:r>
    </w:p>
    <w:p w14:paraId="0E77CB78">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_Toc4397 </w:instrText>
      </w:r>
      <w:r>
        <w:rPr>
          <w:rFonts w:hint="eastAsia" w:ascii="宋体" w:hAnsi="宋体" w:eastAsia="宋体" w:cs="宋体"/>
          <w:color w:val="auto"/>
          <w:szCs w:val="24"/>
          <w:highlight w:val="none"/>
        </w:rPr>
        <w:fldChar w:fldCharType="separate"/>
      </w:r>
      <w:r>
        <w:rPr>
          <w:rFonts w:hint="eastAsia"/>
          <w:color w:val="auto"/>
          <w:highlight w:val="none"/>
        </w:rPr>
        <w:t>一、 磋商原则</w:t>
      </w:r>
      <w:r>
        <w:rPr>
          <w:color w:val="auto"/>
          <w:highlight w:val="none"/>
        </w:rPr>
        <w:tab/>
      </w:r>
      <w:r>
        <w:rPr>
          <w:color w:val="auto"/>
          <w:highlight w:val="none"/>
        </w:rPr>
        <w:fldChar w:fldCharType="begin"/>
      </w:r>
      <w:r>
        <w:rPr>
          <w:color w:val="auto"/>
          <w:highlight w:val="none"/>
        </w:rPr>
        <w:instrText xml:space="preserve"> PAGEREF _Toc4397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4"/>
          <w:highlight w:val="none"/>
        </w:rPr>
        <w:fldChar w:fldCharType="end"/>
      </w:r>
    </w:p>
    <w:p w14:paraId="41427C88">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_Toc16904 </w:instrText>
      </w:r>
      <w:r>
        <w:rPr>
          <w:rFonts w:hint="eastAsia" w:ascii="宋体" w:hAnsi="宋体" w:eastAsia="宋体" w:cs="宋体"/>
          <w:color w:val="auto"/>
          <w:szCs w:val="24"/>
          <w:highlight w:val="none"/>
        </w:rPr>
        <w:fldChar w:fldCharType="separate"/>
      </w:r>
      <w:r>
        <w:rPr>
          <w:rFonts w:hint="eastAsia"/>
          <w:color w:val="auto"/>
          <w:highlight w:val="none"/>
        </w:rPr>
        <w:t>二、 磋商程序</w:t>
      </w:r>
      <w:r>
        <w:rPr>
          <w:color w:val="auto"/>
          <w:highlight w:val="none"/>
        </w:rPr>
        <w:tab/>
      </w:r>
      <w:r>
        <w:rPr>
          <w:color w:val="auto"/>
          <w:highlight w:val="none"/>
        </w:rPr>
        <w:fldChar w:fldCharType="begin"/>
      </w:r>
      <w:r>
        <w:rPr>
          <w:color w:val="auto"/>
          <w:highlight w:val="none"/>
        </w:rPr>
        <w:instrText xml:space="preserve"> PAGEREF _Toc16904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14:paraId="51652579">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_Toc31680 </w:instrText>
      </w:r>
      <w:r>
        <w:rPr>
          <w:rFonts w:hint="eastAsia" w:ascii="宋体" w:hAnsi="宋体" w:eastAsia="宋体" w:cs="宋体"/>
          <w:color w:val="auto"/>
          <w:szCs w:val="24"/>
          <w:highlight w:val="none"/>
        </w:rPr>
        <w:fldChar w:fldCharType="separate"/>
      </w:r>
      <w:r>
        <w:rPr>
          <w:rFonts w:hint="eastAsia"/>
          <w:color w:val="auto"/>
          <w:highlight w:val="none"/>
        </w:rPr>
        <w:t>三、 注意事项</w:t>
      </w:r>
      <w:r>
        <w:rPr>
          <w:color w:val="auto"/>
          <w:highlight w:val="none"/>
        </w:rPr>
        <w:tab/>
      </w:r>
      <w:r>
        <w:rPr>
          <w:color w:val="auto"/>
          <w:highlight w:val="none"/>
        </w:rPr>
        <w:fldChar w:fldCharType="begin"/>
      </w:r>
      <w:r>
        <w:rPr>
          <w:color w:val="auto"/>
          <w:highlight w:val="none"/>
        </w:rPr>
        <w:instrText xml:space="preserve"> PAGEREF _Toc31680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4"/>
          <w:highlight w:val="none"/>
        </w:rPr>
        <w:fldChar w:fldCharType="end"/>
      </w:r>
    </w:p>
    <w:p w14:paraId="00CA088B">
      <w:pPr>
        <w:pStyle w:val="2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_Toc17900 </w:instrText>
      </w:r>
      <w:r>
        <w:rPr>
          <w:rFonts w:hint="eastAsia" w:ascii="宋体" w:hAnsi="宋体" w:eastAsia="宋体" w:cs="宋体"/>
          <w:color w:val="auto"/>
          <w:szCs w:val="24"/>
          <w:highlight w:val="none"/>
        </w:rPr>
        <w:fldChar w:fldCharType="separate"/>
      </w:r>
      <w:r>
        <w:rPr>
          <w:rFonts w:hint="eastAsia"/>
          <w:color w:val="auto"/>
          <w:highlight w:val="none"/>
        </w:rPr>
        <w:t>四、 评分细则</w:t>
      </w:r>
      <w:r>
        <w:rPr>
          <w:color w:val="auto"/>
          <w:highlight w:val="none"/>
        </w:rPr>
        <w:tab/>
      </w:r>
      <w:r>
        <w:rPr>
          <w:color w:val="auto"/>
          <w:highlight w:val="none"/>
        </w:rPr>
        <w:fldChar w:fldCharType="begin"/>
      </w:r>
      <w:r>
        <w:rPr>
          <w:color w:val="auto"/>
          <w:highlight w:val="none"/>
        </w:rPr>
        <w:instrText xml:space="preserve"> PAGEREF _Toc17900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szCs w:val="24"/>
          <w:highlight w:val="none"/>
        </w:rPr>
        <w:fldChar w:fldCharType="end"/>
      </w:r>
    </w:p>
    <w:p w14:paraId="3270D616">
      <w:pPr>
        <w:pStyle w:val="18"/>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_Toc11485 </w:instrText>
      </w:r>
      <w:r>
        <w:rPr>
          <w:rFonts w:hint="eastAsia" w:ascii="宋体" w:hAnsi="宋体" w:eastAsia="宋体" w:cs="宋体"/>
          <w:color w:val="auto"/>
          <w:szCs w:val="24"/>
          <w:highlight w:val="none"/>
        </w:rPr>
        <w:fldChar w:fldCharType="separate"/>
      </w:r>
      <w:r>
        <w:rPr>
          <w:rFonts w:hint="eastAsia" w:ascii="宋体" w:hAnsi="宋体" w:cs="宋体"/>
          <w:color w:val="auto"/>
          <w:highlight w:val="none"/>
        </w:rPr>
        <w:t>第五部分 采购合同</w:t>
      </w:r>
      <w:r>
        <w:rPr>
          <w:color w:val="auto"/>
          <w:highlight w:val="none"/>
        </w:rPr>
        <w:tab/>
      </w:r>
      <w:r>
        <w:rPr>
          <w:color w:val="auto"/>
          <w:highlight w:val="none"/>
        </w:rPr>
        <w:fldChar w:fldCharType="begin"/>
      </w:r>
      <w:r>
        <w:rPr>
          <w:color w:val="auto"/>
          <w:highlight w:val="none"/>
        </w:rPr>
        <w:instrText xml:space="preserve"> PAGEREF _Toc11485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24"/>
          <w:highlight w:val="none"/>
        </w:rPr>
        <w:fldChar w:fldCharType="end"/>
      </w:r>
    </w:p>
    <w:p w14:paraId="5E6E683E">
      <w:pPr>
        <w:pStyle w:val="18"/>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_Toc25951 </w:instrText>
      </w:r>
      <w:r>
        <w:rPr>
          <w:rFonts w:hint="eastAsia" w:ascii="宋体" w:hAnsi="宋体" w:eastAsia="宋体" w:cs="宋体"/>
          <w:color w:val="auto"/>
          <w:szCs w:val="24"/>
          <w:highlight w:val="none"/>
        </w:rPr>
        <w:fldChar w:fldCharType="separate"/>
      </w:r>
      <w:r>
        <w:rPr>
          <w:rFonts w:hint="eastAsia" w:ascii="宋体" w:hAnsi="宋体" w:cs="宋体"/>
          <w:color w:val="auto"/>
          <w:highlight w:val="none"/>
        </w:rPr>
        <w:t>第六部分应提交的有关格式范例</w:t>
      </w:r>
      <w:r>
        <w:rPr>
          <w:color w:val="auto"/>
          <w:highlight w:val="none"/>
        </w:rPr>
        <w:tab/>
      </w:r>
      <w:r>
        <w:rPr>
          <w:color w:val="auto"/>
          <w:highlight w:val="none"/>
        </w:rPr>
        <w:fldChar w:fldCharType="begin"/>
      </w:r>
      <w:r>
        <w:rPr>
          <w:color w:val="auto"/>
          <w:highlight w:val="none"/>
        </w:rPr>
        <w:instrText xml:space="preserve"> PAGEREF _Toc25951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szCs w:val="24"/>
          <w:highlight w:val="none"/>
        </w:rPr>
        <w:fldChar w:fldCharType="end"/>
      </w:r>
    </w:p>
    <w:p w14:paraId="24A6C12F">
      <w:pPr>
        <w:pStyle w:val="7"/>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r>
        <w:rPr>
          <w:rFonts w:hint="eastAsia" w:ascii="宋体" w:hAnsi="宋体" w:eastAsia="宋体" w:cs="宋体"/>
          <w:color w:val="auto"/>
          <w:szCs w:val="24"/>
          <w:highlight w:val="none"/>
        </w:rPr>
        <w:fldChar w:fldCharType="end"/>
      </w:r>
    </w:p>
    <w:p w14:paraId="736373B4">
      <w:pPr>
        <w:rPr>
          <w:rFonts w:ascii="宋体" w:hAnsi="宋体" w:cs="宋体"/>
          <w:color w:val="auto"/>
          <w:highlight w:val="none"/>
        </w:rPr>
      </w:pPr>
    </w:p>
    <w:p w14:paraId="55872152">
      <w:pPr>
        <w:rPr>
          <w:rFonts w:ascii="宋体" w:hAnsi="宋体" w:cs="宋体"/>
          <w:color w:val="auto"/>
          <w:highlight w:val="none"/>
        </w:rPr>
      </w:pPr>
    </w:p>
    <w:p w14:paraId="55FAEF60">
      <w:pPr>
        <w:pStyle w:val="6"/>
        <w:rPr>
          <w:rFonts w:ascii="宋体" w:hAnsi="宋体" w:cs="宋体"/>
          <w:color w:val="auto"/>
          <w:highlight w:val="none"/>
        </w:rPr>
      </w:pPr>
      <w:bookmarkStart w:id="0" w:name="_Toc32199"/>
      <w:bookmarkStart w:id="1" w:name="_Toc6715"/>
      <w:bookmarkStart w:id="2" w:name="_Toc31034"/>
      <w:bookmarkStart w:id="3" w:name="第二部分"/>
      <w:bookmarkStart w:id="4" w:name="_Toc91899870"/>
      <w:r>
        <w:rPr>
          <w:rFonts w:hint="eastAsia" w:ascii="宋体" w:hAnsi="宋体" w:cs="宋体"/>
          <w:color w:val="auto"/>
          <w:highlight w:val="none"/>
        </w:rPr>
        <w:t>第一部分磋商公告</w:t>
      </w:r>
      <w:bookmarkEnd w:id="0"/>
      <w:bookmarkEnd w:id="1"/>
      <w:bookmarkEnd w:id="2"/>
    </w:p>
    <w:p w14:paraId="7D787F5A">
      <w:pPr>
        <w:adjustRightIn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绍兴成言工程咨询管理有限公司关于中国共产党绍兴市上虞区委员会办公室</w:t>
      </w:r>
      <w:r>
        <w:rPr>
          <w:rFonts w:hint="eastAsia" w:ascii="宋体" w:hAnsi="宋体" w:cs="宋体"/>
          <w:color w:val="auto"/>
          <w:sz w:val="28"/>
          <w:szCs w:val="28"/>
          <w:highlight w:val="none"/>
          <w:lang w:eastAsia="zh-CN"/>
        </w:rPr>
        <w:t>2025年上虞区决策咨询委员会决策咨询研究课题和建议意见组织服务采购项目</w:t>
      </w:r>
      <w:r>
        <w:rPr>
          <w:rFonts w:hint="eastAsia" w:ascii="宋体" w:hAnsi="宋体" w:cs="宋体"/>
          <w:color w:val="auto"/>
          <w:sz w:val="28"/>
          <w:szCs w:val="28"/>
          <w:highlight w:val="none"/>
        </w:rPr>
        <w:t>的竞争性磋商公告</w:t>
      </w:r>
    </w:p>
    <w:p w14:paraId="3387F7FD">
      <w:pPr>
        <w:adjustRightInd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公告日期：2025年</w:t>
      </w:r>
      <w:r>
        <w:rPr>
          <w:rFonts w:hint="eastAsia" w:ascii="宋体" w:hAnsi="宋体" w:cs="宋体"/>
          <w:color w:val="auto"/>
          <w:sz w:val="28"/>
          <w:szCs w:val="28"/>
          <w:highlight w:val="none"/>
          <w:lang w:val="en-US" w:eastAsia="zh-CN"/>
        </w:rPr>
        <w:t xml:space="preserve"> 6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25 </w:t>
      </w:r>
      <w:r>
        <w:rPr>
          <w:rFonts w:hint="eastAsia" w:ascii="宋体" w:hAnsi="宋体" w:cs="宋体"/>
          <w:color w:val="auto"/>
          <w:sz w:val="28"/>
          <w:szCs w:val="28"/>
          <w:highlight w:val="none"/>
        </w:rPr>
        <w:t>日</w:t>
      </w:r>
    </w:p>
    <w:p w14:paraId="237FFA3E">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根据《中华人民共和国政府采购法》等有关规定，</w:t>
      </w:r>
      <w:r>
        <w:rPr>
          <w:rFonts w:hint="eastAsia" w:ascii="宋体" w:hAnsi="宋体" w:cs="宋体"/>
          <w:color w:val="auto"/>
          <w:sz w:val="24"/>
          <w:szCs w:val="24"/>
          <w:highlight w:val="none"/>
          <w:u w:val="single"/>
        </w:rPr>
        <w:t>绍兴成言工程咨询管理有限公司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中国共产党绍兴市上虞区委员会办公室</w:t>
      </w:r>
      <w:r>
        <w:rPr>
          <w:rFonts w:hint="eastAsia" w:ascii="宋体" w:hAnsi="宋体" w:cs="宋体"/>
          <w:color w:val="auto"/>
          <w:sz w:val="24"/>
          <w:szCs w:val="24"/>
          <w:highlight w:val="none"/>
        </w:rPr>
        <w:t>委托，现就</w:t>
      </w:r>
      <w:r>
        <w:rPr>
          <w:rFonts w:hint="eastAsia" w:ascii="宋体" w:hAnsi="宋体" w:cs="宋体"/>
          <w:color w:val="auto"/>
          <w:sz w:val="24"/>
          <w:szCs w:val="24"/>
          <w:highlight w:val="none"/>
          <w:u w:val="single"/>
          <w:lang w:eastAsia="zh-CN"/>
        </w:rPr>
        <w:t>2025年上虞区决策咨询委员会决策咨询研究课题和建议意见组织服务采购项目</w:t>
      </w:r>
      <w:r>
        <w:rPr>
          <w:rFonts w:hint="eastAsia" w:ascii="宋体" w:hAnsi="宋体" w:cs="宋体"/>
          <w:color w:val="auto"/>
          <w:sz w:val="24"/>
          <w:szCs w:val="24"/>
          <w:highlight w:val="none"/>
        </w:rPr>
        <w:t>进行竞争性磋商采购，欢迎国内合格的供应商参加本次采购活动。</w:t>
      </w:r>
    </w:p>
    <w:p w14:paraId="5415D9F3">
      <w:pPr>
        <w:adjustRightInd w:val="0"/>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磋商项目编号：</w:t>
      </w:r>
      <w:r>
        <w:rPr>
          <w:rFonts w:hint="eastAsia" w:ascii="宋体" w:hAnsi="宋体" w:cs="宋体"/>
          <w:color w:val="auto"/>
          <w:sz w:val="24"/>
          <w:szCs w:val="24"/>
          <w:highlight w:val="none"/>
          <w:u w:val="single"/>
          <w:lang w:eastAsia="zh-CN"/>
        </w:rPr>
        <w:t>CY20250</w:t>
      </w:r>
      <w:r>
        <w:rPr>
          <w:rFonts w:hint="eastAsia" w:ascii="宋体" w:hAnsi="宋体" w:cs="宋体"/>
          <w:color w:val="auto"/>
          <w:sz w:val="24"/>
          <w:szCs w:val="24"/>
          <w:highlight w:val="none"/>
          <w:u w:val="single"/>
          <w:lang w:val="en-US" w:eastAsia="zh-CN"/>
        </w:rPr>
        <w:t>17</w:t>
      </w:r>
    </w:p>
    <w:p w14:paraId="23AE157A">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采购组织类型：</w:t>
      </w:r>
      <w:r>
        <w:rPr>
          <w:rFonts w:hint="eastAsia" w:ascii="宋体" w:hAnsi="宋体" w:cs="宋体"/>
          <w:color w:val="auto"/>
          <w:sz w:val="24"/>
          <w:szCs w:val="24"/>
          <w:highlight w:val="none"/>
          <w:u w:val="single"/>
        </w:rPr>
        <w:t>分散采购（中介代理）</w:t>
      </w:r>
    </w:p>
    <w:p w14:paraId="71A88A5F">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磋商项目概况:</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autofit"/>
        <w:tblCellMar>
          <w:top w:w="0" w:type="dxa"/>
          <w:left w:w="108" w:type="dxa"/>
          <w:bottom w:w="0" w:type="dxa"/>
          <w:right w:w="108" w:type="dxa"/>
        </w:tblCellMar>
      </w:tblPr>
      <w:tblGrid>
        <w:gridCol w:w="522"/>
        <w:gridCol w:w="2831"/>
        <w:gridCol w:w="522"/>
        <w:gridCol w:w="522"/>
        <w:gridCol w:w="940"/>
        <w:gridCol w:w="1722"/>
        <w:gridCol w:w="940"/>
        <w:gridCol w:w="523"/>
      </w:tblGrid>
      <w:tr w14:paraId="4E4D97E1">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92" w:hRule="atLeast"/>
          <w:jc w:val="center"/>
        </w:trPr>
        <w:tc>
          <w:tcPr>
            <w:tcW w:w="0" w:type="auto"/>
            <w:tcBorders>
              <w:top w:val="single" w:color="000000" w:sz="4" w:space="0"/>
            </w:tcBorders>
            <w:vAlign w:val="center"/>
          </w:tcPr>
          <w:p w14:paraId="2A83DDA7">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0" w:type="auto"/>
            <w:tcBorders>
              <w:top w:val="single" w:color="000000" w:sz="4" w:space="0"/>
            </w:tcBorders>
            <w:vAlign w:val="center"/>
          </w:tcPr>
          <w:p w14:paraId="6FC89DAE">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0" w:type="auto"/>
            <w:tcBorders>
              <w:top w:val="single" w:color="000000" w:sz="4" w:space="0"/>
            </w:tcBorders>
            <w:vAlign w:val="center"/>
          </w:tcPr>
          <w:p w14:paraId="6D9DA93A">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0" w:type="auto"/>
            <w:tcBorders>
              <w:top w:val="single" w:color="000000" w:sz="4" w:space="0"/>
            </w:tcBorders>
            <w:vAlign w:val="center"/>
          </w:tcPr>
          <w:p w14:paraId="2B464A4E">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0" w:type="auto"/>
            <w:tcBorders>
              <w:top w:val="single" w:color="000000" w:sz="4" w:space="0"/>
            </w:tcBorders>
            <w:vAlign w:val="center"/>
          </w:tcPr>
          <w:p w14:paraId="31C035BF">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预算金额(万元)</w:t>
            </w:r>
          </w:p>
        </w:tc>
        <w:tc>
          <w:tcPr>
            <w:tcW w:w="0" w:type="auto"/>
            <w:tcBorders>
              <w:top w:val="single" w:color="000000" w:sz="4" w:space="0"/>
            </w:tcBorders>
            <w:vAlign w:val="center"/>
          </w:tcPr>
          <w:p w14:paraId="1720BE25">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简要规格描述或标项基本概况介绍</w:t>
            </w:r>
          </w:p>
        </w:tc>
        <w:tc>
          <w:tcPr>
            <w:tcW w:w="0" w:type="auto"/>
            <w:tcBorders>
              <w:top w:val="single" w:color="000000" w:sz="4" w:space="0"/>
            </w:tcBorders>
            <w:vAlign w:val="center"/>
          </w:tcPr>
          <w:p w14:paraId="58C6BE2B">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最高限价(万元)</w:t>
            </w:r>
          </w:p>
        </w:tc>
        <w:tc>
          <w:tcPr>
            <w:tcW w:w="0" w:type="auto"/>
            <w:tcBorders>
              <w:top w:val="single" w:color="000000" w:sz="4" w:space="0"/>
            </w:tcBorders>
            <w:vAlign w:val="center"/>
          </w:tcPr>
          <w:p w14:paraId="081DC591">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35F08C28">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150" w:hRule="atLeast"/>
          <w:jc w:val="center"/>
        </w:trPr>
        <w:tc>
          <w:tcPr>
            <w:tcW w:w="0" w:type="auto"/>
            <w:tcBorders>
              <w:bottom w:val="single" w:color="000000" w:sz="4" w:space="0"/>
            </w:tcBorders>
            <w:vAlign w:val="center"/>
          </w:tcPr>
          <w:p w14:paraId="7767402F">
            <w:pPr>
              <w:adjustRightInd w:val="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0" w:type="auto"/>
            <w:tcBorders>
              <w:bottom w:val="single" w:color="000000" w:sz="4" w:space="0"/>
            </w:tcBorders>
            <w:vAlign w:val="center"/>
          </w:tcPr>
          <w:p w14:paraId="3FB74F3D">
            <w:pPr>
              <w:adjustRightInd w:val="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2025年上虞区决策咨询委员会决策咨询研究课题和建议意见组织服务采购项目</w:t>
            </w:r>
          </w:p>
        </w:tc>
        <w:tc>
          <w:tcPr>
            <w:tcW w:w="0" w:type="auto"/>
            <w:tcBorders>
              <w:bottom w:val="single" w:color="000000" w:sz="4" w:space="0"/>
            </w:tcBorders>
            <w:vAlign w:val="center"/>
          </w:tcPr>
          <w:p w14:paraId="0E8627E2">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0" w:type="auto"/>
            <w:tcBorders>
              <w:bottom w:val="single" w:color="000000" w:sz="4" w:space="0"/>
            </w:tcBorders>
            <w:vAlign w:val="center"/>
          </w:tcPr>
          <w:p w14:paraId="79C7F565">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w:t>
            </w:r>
          </w:p>
        </w:tc>
        <w:tc>
          <w:tcPr>
            <w:tcW w:w="0" w:type="auto"/>
            <w:tcBorders>
              <w:bottom w:val="single" w:color="000000" w:sz="4" w:space="0"/>
            </w:tcBorders>
            <w:vAlign w:val="center"/>
          </w:tcPr>
          <w:p w14:paraId="2008D2C8">
            <w:pPr>
              <w:widowControl/>
              <w:spacing w:before="100" w:after="100" w:line="312" w:lineRule="auto"/>
              <w:jc w:val="center"/>
              <w:rPr>
                <w:rFonts w:hint="default" w:ascii="宋体" w:hAnsi="宋体" w:cs="宋体"/>
                <w:color w:val="auto"/>
                <w:sz w:val="24"/>
                <w:szCs w:val="24"/>
                <w:highlight w:val="none"/>
                <w:lang w:val="en-US"/>
              </w:rPr>
            </w:pPr>
            <w:r>
              <w:rPr>
                <w:rFonts w:hint="eastAsia" w:ascii="宋体" w:hAnsi="宋体" w:cs="宋体"/>
                <w:color w:val="auto"/>
                <w:kern w:val="0"/>
                <w:sz w:val="24"/>
                <w:szCs w:val="24"/>
                <w:highlight w:val="none"/>
                <w:lang w:val="en-US" w:eastAsia="zh-CN"/>
              </w:rPr>
              <w:t>70</w:t>
            </w:r>
          </w:p>
        </w:tc>
        <w:tc>
          <w:tcPr>
            <w:tcW w:w="0" w:type="auto"/>
            <w:tcBorders>
              <w:bottom w:val="single" w:color="000000" w:sz="4" w:space="0"/>
            </w:tcBorders>
            <w:vAlign w:val="center"/>
          </w:tcPr>
          <w:p w14:paraId="469F8EE5">
            <w:pPr>
              <w:pStyle w:val="14"/>
              <w:snapToGrid w:val="0"/>
              <w:spacing w:before="120" w:after="120"/>
              <w:jc w:val="center"/>
              <w:rPr>
                <w:rFonts w:hAnsi="宋体"/>
                <w:color w:val="auto"/>
                <w:sz w:val="24"/>
                <w:szCs w:val="24"/>
                <w:highlight w:val="none"/>
              </w:rPr>
            </w:pPr>
            <w:r>
              <w:rPr>
                <w:rFonts w:hint="eastAsia" w:hAnsi="宋体"/>
                <w:color w:val="auto"/>
                <w:sz w:val="24"/>
                <w:highlight w:val="none"/>
              </w:rPr>
              <w:t>具体详见“第三部分 采购内容及要求”</w:t>
            </w:r>
          </w:p>
        </w:tc>
        <w:tc>
          <w:tcPr>
            <w:tcW w:w="0" w:type="auto"/>
            <w:tcBorders>
              <w:bottom w:val="single" w:color="000000" w:sz="4" w:space="0"/>
            </w:tcBorders>
            <w:vAlign w:val="center"/>
          </w:tcPr>
          <w:p w14:paraId="75080E76">
            <w:pPr>
              <w:adjustRightInd w:val="0"/>
              <w:spacing w:line="360" w:lineRule="auto"/>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70</w:t>
            </w:r>
          </w:p>
        </w:tc>
        <w:tc>
          <w:tcPr>
            <w:tcW w:w="0" w:type="auto"/>
            <w:tcBorders>
              <w:bottom w:val="single" w:color="000000" w:sz="4" w:space="0"/>
            </w:tcBorders>
            <w:vAlign w:val="center"/>
          </w:tcPr>
          <w:p w14:paraId="3B8D096B">
            <w:pPr>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r>
    </w:tbl>
    <w:p w14:paraId="0BB673E4">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合格供应商资格要求:</w:t>
      </w:r>
    </w:p>
    <w:p w14:paraId="0D6C5F43">
      <w:pPr>
        <w:numPr>
          <w:ilvl w:val="0"/>
          <w:numId w:val="2"/>
        </w:numPr>
        <w:adjustRightInd w:val="0"/>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符合政府采购法第二十二条，且未被“信用中国”（www.creditchina.gov.cn）、中国政府采购网（www.ccgp.gov.cn）列入失信被执行人、重大税收违法失信主体、政府采购严重违法失信行为记录名单。</w:t>
      </w:r>
    </w:p>
    <w:p w14:paraId="5855DEAA">
      <w:pPr>
        <w:numPr>
          <w:ilvl w:val="0"/>
          <w:numId w:val="2"/>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落实政府采购政策需满足的资格要求：</w:t>
      </w:r>
      <w:r>
        <w:rPr>
          <w:rFonts w:hint="eastAsia" w:ascii="宋体" w:hAnsi="宋体" w:cs="宋体"/>
          <w:color w:val="auto"/>
          <w:sz w:val="24"/>
          <w:highlight w:val="none"/>
        </w:rPr>
        <w:t>供应商为中小企业/小微企业</w:t>
      </w:r>
      <w:r>
        <w:rPr>
          <w:rFonts w:hint="eastAsia" w:ascii="宋体" w:hAnsi="宋体" w:cs="宋体"/>
          <w:color w:val="auto"/>
          <w:sz w:val="24"/>
          <w:szCs w:val="24"/>
          <w:highlight w:val="none"/>
        </w:rPr>
        <w:t>。</w:t>
      </w:r>
    </w:p>
    <w:p w14:paraId="6E179835">
      <w:pPr>
        <w:numPr>
          <w:ilvl w:val="0"/>
          <w:numId w:val="2"/>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w:t>
      </w:r>
      <w:r>
        <w:rPr>
          <w:rFonts w:hint="eastAsia" w:ascii="宋体" w:hAnsi="宋体" w:cs="宋体"/>
          <w:color w:val="auto"/>
          <w:sz w:val="24"/>
          <w:szCs w:val="24"/>
          <w:highlight w:val="none"/>
          <w:u w:val="single"/>
        </w:rPr>
        <w:t>不接受</w:t>
      </w:r>
      <w:r>
        <w:rPr>
          <w:rFonts w:hint="eastAsia" w:ascii="宋体" w:hAnsi="宋体" w:cs="宋体"/>
          <w:color w:val="auto"/>
          <w:sz w:val="24"/>
          <w:szCs w:val="24"/>
          <w:highlight w:val="none"/>
        </w:rPr>
        <w:t>联合体参加磋商。</w:t>
      </w:r>
    </w:p>
    <w:p w14:paraId="4ECA2512">
      <w:pPr>
        <w:numPr>
          <w:ilvl w:val="0"/>
          <w:numId w:val="2"/>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本项目采用资格后审的审查方式，由磋商小组负责审查。</w:t>
      </w:r>
    </w:p>
    <w:p w14:paraId="21BB2F09">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获取磋商文件</w:t>
      </w:r>
    </w:p>
    <w:p w14:paraId="44FF5507">
      <w:pPr>
        <w:numPr>
          <w:ilvl w:val="0"/>
          <w:numId w:val="3"/>
        </w:numPr>
        <w:adjustRightInd w:val="0"/>
        <w:spacing w:line="360" w:lineRule="auto"/>
        <w:ind w:firstLine="480" w:firstLineChars="200"/>
        <w:rPr>
          <w:rFonts w:ascii="宋体" w:hAnsi="宋体" w:cs="宋体"/>
          <w:color w:val="auto"/>
          <w:sz w:val="24"/>
          <w:szCs w:val="24"/>
          <w:highlight w:val="none"/>
        </w:rPr>
      </w:pPr>
      <w:bookmarkStart w:id="5" w:name="报名开始时间1"/>
      <w:r>
        <w:rPr>
          <w:rFonts w:hint="eastAsia" w:ascii="宋体" w:hAnsi="宋体" w:cs="宋体"/>
          <w:color w:val="auto"/>
          <w:sz w:val="24"/>
          <w:szCs w:val="24"/>
          <w:highlight w:val="none"/>
        </w:rPr>
        <w:t>获取磋商文件时间:</w:t>
      </w:r>
      <w:bookmarkEnd w:id="5"/>
      <w:r>
        <w:rPr>
          <w:rFonts w:hint="eastAsia" w:ascii="宋体" w:hAnsi="宋体" w:cs="宋体"/>
          <w:color w:val="auto"/>
          <w:sz w:val="24"/>
          <w:szCs w:val="24"/>
          <w:highlight w:val="none"/>
          <w:u w:val="single"/>
        </w:rPr>
        <w:t>2025年</w:t>
      </w:r>
      <w:r>
        <w:rPr>
          <w:rFonts w:hint="eastAsia" w:ascii="宋体" w:hAnsi="宋体" w:cs="宋体"/>
          <w:color w:val="auto"/>
          <w:sz w:val="24"/>
          <w:szCs w:val="24"/>
          <w:highlight w:val="none"/>
          <w:u w:val="single"/>
          <w:lang w:val="en-US" w:eastAsia="zh-CN"/>
        </w:rPr>
        <w:t xml:space="preserve"> 7</w:t>
      </w:r>
      <w:r>
        <w:rPr>
          <w:rFonts w:hint="eastAsia" w:ascii="宋体" w:hAnsi="宋体" w:cs="宋体"/>
          <w:color w:val="auto"/>
          <w:sz w:val="24"/>
          <w:szCs w:val="24"/>
          <w:highlight w:val="none"/>
          <w:u w:val="single"/>
        </w:rPr>
        <w:t xml:space="preserve"> 月</w:t>
      </w:r>
      <w:r>
        <w:rPr>
          <w:rFonts w:hint="eastAsia" w:ascii="宋体" w:hAnsi="宋体" w:cs="宋体"/>
          <w:color w:val="auto"/>
          <w:sz w:val="24"/>
          <w:szCs w:val="24"/>
          <w:highlight w:val="none"/>
          <w:u w:val="single"/>
          <w:lang w:val="en-US" w:eastAsia="zh-CN"/>
        </w:rPr>
        <w:t xml:space="preserve">7 </w:t>
      </w:r>
      <w:r>
        <w:rPr>
          <w:rFonts w:hint="eastAsia" w:ascii="宋体" w:hAnsi="宋体" w:cs="宋体"/>
          <w:color w:val="auto"/>
          <w:sz w:val="24"/>
          <w:szCs w:val="24"/>
          <w:highlight w:val="none"/>
          <w:u w:val="single"/>
        </w:rPr>
        <w:t>日9:30</w:t>
      </w:r>
      <w:r>
        <w:rPr>
          <w:rFonts w:hint="eastAsia" w:ascii="宋体" w:hAnsi="宋体" w:cs="宋体"/>
          <w:color w:val="auto"/>
          <w:sz w:val="24"/>
          <w:szCs w:val="24"/>
          <w:highlight w:val="none"/>
        </w:rPr>
        <w:t>之前获取。</w:t>
      </w:r>
    </w:p>
    <w:p w14:paraId="480F4EC6">
      <w:pPr>
        <w:numPr>
          <w:ilvl w:val="0"/>
          <w:numId w:val="3"/>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获取磋商文件方式：供应商登录政采云平台http://www.zcygov.cn/，在线申请获取磋商文件（进入“项目采购”应用，在获取采购文件菜单中选择项目，申请获取采购文件）。</w:t>
      </w:r>
    </w:p>
    <w:p w14:paraId="4EEC6E7F">
      <w:pPr>
        <w:numPr>
          <w:ilvl w:val="0"/>
          <w:numId w:val="3"/>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提示：</w:t>
      </w:r>
    </w:p>
    <w:p w14:paraId="05F1EFEE">
      <w:pPr>
        <w:numPr>
          <w:ilvl w:val="0"/>
          <w:numId w:val="4"/>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将拒绝接受未获取磋商文件供应商的响应文件。</w:t>
      </w:r>
    </w:p>
    <w:p w14:paraId="2890DEC5">
      <w:pPr>
        <w:numPr>
          <w:ilvl w:val="0"/>
          <w:numId w:val="4"/>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磋商文件及更正补充公告请自行登录浙江政府采购网或绍兴市上虞区公共资源交易中心网站，在采购公告页面中下载。</w:t>
      </w:r>
    </w:p>
    <w:p w14:paraId="2CD06671">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投标与开标注意事项：</w:t>
      </w:r>
    </w:p>
    <w:p w14:paraId="03BC85FD">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网上投标</w:t>
      </w:r>
      <w:r>
        <w:rPr>
          <w:rFonts w:hint="eastAsia" w:ascii="宋体" w:hAnsi="宋体" w:cs="宋体"/>
          <w:color w:val="auto"/>
          <w:sz w:val="24"/>
          <w:szCs w:val="24"/>
          <w:highlight w:val="none"/>
        </w:rPr>
        <w:t>，采用电子投标文件，若供应商参与投标，自行承担投标一切费用。</w:t>
      </w:r>
    </w:p>
    <w:p w14:paraId="45AA7FEC">
      <w:pPr>
        <w:numPr>
          <w:ilvl w:val="0"/>
          <w:numId w:val="5"/>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3552A92B">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供应商将政采云电子交易客户端下载、安装完成后，可通过账号密码或CA登录客户端进行投标文件制作。在使用政采云投标客户端时，建议使用WIN7及以上操作系统。</w:t>
      </w:r>
    </w:p>
    <w:p w14:paraId="40992EC6">
      <w:pPr>
        <w:autoSpaceDE w:val="0"/>
        <w:autoSpaceDN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2FE4AA67">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《CA管理学习专题》：</w:t>
      </w:r>
    </w:p>
    <w:p w14:paraId="4B0DF88C">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https://edu.zcygov.cn/luban/ca?utm=web-government-front.380aac0a.0.0.fc2b6aa0b6e211ebbdb0dd007730dd44</w:t>
      </w:r>
    </w:p>
    <w:p w14:paraId="409463D1">
      <w:pPr>
        <w:adjustRightInd w:val="0"/>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《CA驱动和申领流程》:</w:t>
      </w:r>
    </w:p>
    <w:p w14:paraId="4BE51F9E">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登录政采云平台https://login.zcygov.cn/user-login/#/login-【系统管理】-【CA管理】-【CA证书申领】-【申领证书】去申领。</w:t>
      </w:r>
    </w:p>
    <w:p w14:paraId="15C2DA48">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投标文件制作：</w:t>
      </w:r>
    </w:p>
    <w:p w14:paraId="20E0B1AF">
      <w:pPr>
        <w:numPr>
          <w:ilvl w:val="0"/>
          <w:numId w:val="6"/>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应按照本项目招标文件和政采云平台的要求编制、加密并递交投标文件。供应商在使用系统进行投标的过程中遇到涉及平台使用的任何问题，可致电政采云平台技术支持热线咨询，联系方式：95763。</w:t>
      </w:r>
    </w:p>
    <w:p w14:paraId="099FEFB2">
      <w:pPr>
        <w:numPr>
          <w:ilvl w:val="0"/>
          <w:numId w:val="6"/>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通过“政采云”平台电子投标工具制作投标文件。</w:t>
      </w:r>
    </w:p>
    <w:p w14:paraId="4F6B0970">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《电子投标工具》：</w:t>
      </w:r>
    </w:p>
    <w:p w14:paraId="091EF80B">
      <w:pPr>
        <w:adjustRightInd w:val="0"/>
        <w:spacing w:line="360" w:lineRule="auto"/>
        <w:ind w:firstLine="420" w:firstLineChars="200"/>
        <w:jc w:val="left"/>
        <w:rPr>
          <w:rFonts w:hint="eastAsia" w:ascii="宋体" w:hAnsi="宋体" w:cs="宋体"/>
          <w:color w:val="auto"/>
          <w:sz w:val="24"/>
          <w:highlight w:val="none"/>
        </w:rPr>
      </w:pPr>
      <w:r>
        <w:rPr>
          <w:rFonts w:hint="eastAsia" w:ascii="宋体" w:hAnsi="宋体" w:cs="宋体"/>
          <w:color w:val="auto"/>
          <w:highlight w:val="none"/>
        </w:rPr>
        <w:t>https://zfcg.czt.zj.gov.cn/site/detail?parentId=600030&amp;articleId=ZoGATzO%2FwUdM7eXAIXLAyg%3D%3D</w:t>
      </w:r>
    </w:p>
    <w:p w14:paraId="5CC6AC56">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《供应商-政府采购项目电子交易操作指南》：(需登录账号后查看)</w:t>
      </w:r>
    </w:p>
    <w:p w14:paraId="102E80E9">
      <w:pPr>
        <w:adjustRightInd w:val="0"/>
        <w:spacing w:line="360" w:lineRule="auto"/>
        <w:ind w:firstLine="420" w:firstLineChars="200"/>
        <w:jc w:val="left"/>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Fonts w:hint="eastAsia" w:ascii="宋体" w:hAnsi="宋体" w:cs="宋体"/>
          <w:color w:val="auto"/>
          <w:sz w:val="24"/>
          <w:szCs w:val="24"/>
          <w:highlight w:val="none"/>
        </w:rPr>
        <w:t>https://service.zcygov.cn/#/knowledges/tree?tag=AG1DtGwBFdiHxlNdhY0r</w:t>
      </w:r>
      <w:r>
        <w:rPr>
          <w:rFonts w:hint="eastAsia" w:ascii="宋体" w:hAnsi="宋体" w:cs="宋体"/>
          <w:color w:val="auto"/>
          <w:sz w:val="24"/>
          <w:szCs w:val="24"/>
          <w:highlight w:val="none"/>
        </w:rPr>
        <w:fldChar w:fldCharType="end"/>
      </w:r>
    </w:p>
    <w:p w14:paraId="5BBFD5E4">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供应商在法定质疑期内应一次性提出针对同一采购程序环节的质疑。</w:t>
      </w:r>
    </w:p>
    <w:p w14:paraId="5DCCA2D9">
      <w:pPr>
        <w:numPr>
          <w:ilvl w:val="0"/>
          <w:numId w:val="5"/>
        </w:num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供应商</w:t>
      </w:r>
      <w:r>
        <w:rPr>
          <w:rFonts w:hint="eastAsia" w:ascii="宋体" w:hAnsi="宋体" w:cs="宋体"/>
          <w:color w:val="auto"/>
          <w:sz w:val="24"/>
          <w:szCs w:val="24"/>
          <w:highlight w:val="none"/>
        </w:rPr>
        <w:t>可指派授权代表递交备份文件，授权代表递交备份文件需携带法定代表人授权书原件，于投标截止时间前到达开标地点递交。</w:t>
      </w:r>
    </w:p>
    <w:p w14:paraId="0C6741DE">
      <w:pPr>
        <w:numPr>
          <w:ilvl w:val="0"/>
          <w:numId w:val="5"/>
        </w:numPr>
        <w:adjustRightInd w:val="0"/>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特别提醒</w:t>
      </w:r>
    </w:p>
    <w:p w14:paraId="285E1DAD">
      <w:pPr>
        <w:numPr>
          <w:ilvl w:val="0"/>
          <w:numId w:val="7"/>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206049E4">
      <w:pPr>
        <w:numPr>
          <w:ilvl w:val="0"/>
          <w:numId w:val="7"/>
        </w:numPr>
        <w:wordWrap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333B4DD1">
      <w:pPr>
        <w:adjustRightInd w:val="0"/>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七</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磋商响应截止时间及要求：</w:t>
      </w:r>
      <w:r>
        <w:rPr>
          <w:rFonts w:hint="eastAsia" w:ascii="宋体" w:hAnsi="宋体" w:cs="宋体"/>
          <w:color w:val="auto"/>
          <w:sz w:val="24"/>
          <w:szCs w:val="24"/>
          <w:highlight w:val="none"/>
          <w:u w:val="single"/>
        </w:rPr>
        <w:t xml:space="preserve"> 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7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30</w:t>
      </w:r>
      <w:r>
        <w:rPr>
          <w:rFonts w:hint="eastAsia" w:ascii="宋体" w:hAnsi="宋体" w:cs="宋体"/>
          <w:color w:val="auto"/>
          <w:sz w:val="24"/>
          <w:szCs w:val="24"/>
          <w:highlight w:val="none"/>
        </w:rPr>
        <w:t>分整</w:t>
      </w:r>
      <w:r>
        <w:rPr>
          <w:rFonts w:hint="eastAsia" w:ascii="宋体" w:hAnsi="宋体" w:cs="宋体"/>
          <w:color w:val="auto"/>
          <w:kern w:val="0"/>
          <w:sz w:val="24"/>
          <w:szCs w:val="24"/>
          <w:highlight w:val="none"/>
        </w:rPr>
        <w:t>之前将电子磋商响应文件上传到“政采云”平台。</w:t>
      </w:r>
    </w:p>
    <w:p w14:paraId="50B6FDEA">
      <w:pPr>
        <w:adjustRightInd w:val="0"/>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八</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递交首次响应文件时间及地点：</w:t>
      </w:r>
      <w:bookmarkStart w:id="6" w:name="B30_开标地点"/>
      <w:r>
        <w:rPr>
          <w:rFonts w:hint="eastAsia" w:ascii="宋体" w:hAnsi="宋体" w:cs="宋体"/>
          <w:color w:val="auto"/>
          <w:sz w:val="24"/>
          <w:szCs w:val="24"/>
          <w:highlight w:val="none"/>
          <w:u w:val="single"/>
        </w:rPr>
        <w:t xml:space="preserve"> 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7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7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30</w:t>
      </w:r>
      <w:r>
        <w:rPr>
          <w:rFonts w:hint="eastAsia" w:ascii="宋体" w:hAnsi="宋体" w:cs="宋体"/>
          <w:color w:val="auto"/>
          <w:sz w:val="24"/>
          <w:szCs w:val="24"/>
          <w:highlight w:val="none"/>
        </w:rPr>
        <w:t>分整在绍兴成言工程咨询管理有限公司（绍兴市上虞区百官街道梁祝大道2385号万金大厦24楼）开标室开标。</w:t>
      </w:r>
      <w:bookmarkEnd w:id="6"/>
    </w:p>
    <w:p w14:paraId="4FD837CA">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标时间后30分钟内供应商可以登录“政采云”平台，用“项目采购-开标评标”功能进行解密响应文件。若供应商在规定时间内解密失败，则由采购代理机构工作人员上传供应商提供的备份文件。备份文件（后缀名为.bfbs）须存储在U盘中，与上传的电子磋商响应文件一致，用信封进行密封并盖章（</w:t>
      </w:r>
      <w:r>
        <w:rPr>
          <w:rFonts w:hint="eastAsia" w:ascii="宋体" w:hAnsi="宋体" w:cs="宋体"/>
          <w:b/>
          <w:bCs/>
          <w:color w:val="auto"/>
          <w:sz w:val="24"/>
          <w:szCs w:val="24"/>
          <w:highlight w:val="none"/>
        </w:rPr>
        <w:t>信封内仅需放入存储备份文件的U盘</w:t>
      </w:r>
      <w:r>
        <w:rPr>
          <w:rFonts w:hint="eastAsia" w:ascii="宋体" w:hAnsi="宋体" w:cs="宋体"/>
          <w:color w:val="auto"/>
          <w:sz w:val="24"/>
          <w:szCs w:val="24"/>
          <w:highlight w:val="none"/>
        </w:rPr>
        <w:t>），由授权代表在磋商响应截止时间前递交至开标地点。若电子磋商响应文件正常解锁，则U盘退还给供应商；若解锁失败，则由采购代理机构将U盘中的备份文件上传，该U盘将由采购代理机构保存。</w:t>
      </w:r>
    </w:p>
    <w:p w14:paraId="58A656EB">
      <w:pPr>
        <w:adjustRightIn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本次开标不提供现场视频。</w:t>
      </w:r>
    </w:p>
    <w:p w14:paraId="335633F5">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磋商保证金：无</w:t>
      </w:r>
    </w:p>
    <w:p w14:paraId="2D685D39">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公告期限：3个工作日</w:t>
      </w:r>
    </w:p>
    <w:p w14:paraId="765272F1">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联系方式：</w:t>
      </w:r>
    </w:p>
    <w:p w14:paraId="4E9F0A30">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1．采购代理机构名称：绍兴成言工程咨询管理有限公司</w:t>
      </w:r>
    </w:p>
    <w:p w14:paraId="7520AC64">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项目联系人（询问）：周女士</w:t>
      </w:r>
    </w:p>
    <w:p w14:paraId="193E02DE">
      <w:pPr>
        <w:adjustRightIn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项目联系方式（询问）：</w:t>
      </w:r>
      <w:r>
        <w:rPr>
          <w:rFonts w:hint="eastAsia" w:ascii="宋体" w:hAnsi="宋体" w:cs="宋体"/>
          <w:color w:val="auto"/>
          <w:kern w:val="0"/>
          <w:sz w:val="24"/>
          <w:szCs w:val="24"/>
          <w:highlight w:val="none"/>
          <w:lang w:val="en-US" w:eastAsia="zh-CN"/>
        </w:rPr>
        <w:t>18005858072</w:t>
      </w:r>
    </w:p>
    <w:p w14:paraId="7BB7C83C">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质疑联系人：章女士</w:t>
      </w:r>
    </w:p>
    <w:p w14:paraId="420BD7BB">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质疑联系方式：0575-812800</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8</w:t>
      </w:r>
    </w:p>
    <w:p w14:paraId="3F7F5492">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地址：绍兴市上虞区百官街道梁祝大道2385号万金大厦24楼</w:t>
      </w:r>
    </w:p>
    <w:p w14:paraId="6EF68511">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2．采购人名称：</w:t>
      </w:r>
      <w:r>
        <w:rPr>
          <w:rFonts w:hint="eastAsia" w:ascii="宋体" w:hAnsi="宋体" w:cs="宋体"/>
          <w:color w:val="auto"/>
          <w:sz w:val="24"/>
          <w:szCs w:val="24"/>
          <w:highlight w:val="none"/>
          <w:lang w:eastAsia="zh-CN"/>
        </w:rPr>
        <w:t>中国共产党绍兴市上虞区委员会办公室</w:t>
      </w:r>
    </w:p>
    <w:p w14:paraId="02EABFE7">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 陆先生</w:t>
      </w:r>
    </w:p>
    <w:p w14:paraId="5EB148C3">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en-US" w:eastAsia="zh-CN"/>
        </w:rPr>
        <w:tab/>
      </w:r>
      <w:r>
        <w:rPr>
          <w:rFonts w:hint="eastAsia" w:ascii="宋体" w:hAnsi="宋体" w:cs="宋体"/>
          <w:color w:val="auto"/>
          <w:sz w:val="24"/>
          <w:highlight w:val="none"/>
          <w:lang w:val="en-US" w:eastAsia="zh-CN"/>
        </w:rPr>
        <w:t>0575-82214774</w:t>
      </w:r>
    </w:p>
    <w:p w14:paraId="7DB7A6D0">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 </w:t>
      </w:r>
      <w:r>
        <w:rPr>
          <w:rFonts w:hint="eastAsia" w:ascii="宋体" w:hAnsi="宋体" w:cs="宋体"/>
          <w:color w:val="auto"/>
          <w:sz w:val="24"/>
          <w:szCs w:val="24"/>
          <w:highlight w:val="none"/>
          <w:lang w:eastAsia="zh-CN"/>
        </w:rPr>
        <w:t>许先生</w:t>
      </w:r>
    </w:p>
    <w:p w14:paraId="21E373AD">
      <w:pPr>
        <w:adjustRightIn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0575-80272680</w:t>
      </w:r>
      <w:r>
        <w:rPr>
          <w:rFonts w:hint="eastAsia" w:ascii="宋体" w:hAnsi="宋体" w:cs="宋体"/>
          <w:color w:val="auto"/>
          <w:sz w:val="24"/>
          <w:szCs w:val="24"/>
          <w:highlight w:val="none"/>
          <w:lang w:val="en-US" w:eastAsia="zh-CN"/>
        </w:rPr>
        <w:t xml:space="preserve">  </w:t>
      </w:r>
    </w:p>
    <w:p w14:paraId="77FD5348">
      <w:pPr>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绍兴市上虞区</w:t>
      </w:r>
      <w:r>
        <w:rPr>
          <w:rFonts w:hint="eastAsia" w:ascii="宋体" w:hAnsi="宋体" w:cs="宋体"/>
          <w:color w:val="auto"/>
          <w:sz w:val="24"/>
          <w:szCs w:val="24"/>
          <w:highlight w:val="none"/>
          <w:lang w:eastAsia="zh-CN"/>
        </w:rPr>
        <w:t>市民大道</w:t>
      </w:r>
      <w:r>
        <w:rPr>
          <w:rFonts w:hint="eastAsia" w:ascii="宋体" w:hAnsi="宋体" w:cs="宋体"/>
          <w:color w:val="auto"/>
          <w:sz w:val="24"/>
          <w:szCs w:val="24"/>
          <w:highlight w:val="none"/>
          <w:lang w:val="en-US" w:eastAsia="zh-CN"/>
        </w:rPr>
        <w:t xml:space="preserve">987号 </w:t>
      </w:r>
    </w:p>
    <w:p w14:paraId="10D801A9">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3．同级政府采购监督管理部门名称：上虞区财政局政府采购监管科</w:t>
      </w:r>
    </w:p>
    <w:p w14:paraId="3BB3E4B8">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联系人：谷先生</w:t>
      </w:r>
    </w:p>
    <w:p w14:paraId="1F8C40A1">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监督投诉电话：0575-82130212</w:t>
      </w:r>
    </w:p>
    <w:p w14:paraId="37A678E0">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传真：0575-82130212</w:t>
      </w:r>
    </w:p>
    <w:p w14:paraId="45DCD215">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地址：绍兴市上虞区体育场路18号</w:t>
      </w:r>
    </w:p>
    <w:p w14:paraId="45BFA133">
      <w:pPr>
        <w:pStyle w:val="6"/>
        <w:rPr>
          <w:rFonts w:ascii="宋体" w:hAnsi="宋体" w:cs="宋体"/>
          <w:color w:val="auto"/>
          <w:szCs w:val="36"/>
          <w:highlight w:val="none"/>
        </w:rPr>
      </w:pPr>
      <w:r>
        <w:rPr>
          <w:rFonts w:hint="eastAsia" w:ascii="宋体" w:hAnsi="宋体" w:cs="宋体"/>
          <w:color w:val="auto"/>
          <w:szCs w:val="36"/>
          <w:highlight w:val="none"/>
        </w:rPr>
        <w:br w:type="page"/>
      </w:r>
      <w:bookmarkStart w:id="7" w:name="_Toc27960"/>
      <w:bookmarkStart w:id="8" w:name="_Toc29834"/>
      <w:bookmarkStart w:id="9" w:name="_Toc546"/>
      <w:r>
        <w:rPr>
          <w:rStyle w:val="35"/>
          <w:rFonts w:hint="eastAsia" w:ascii="宋体" w:hAnsi="宋体" w:cs="宋体"/>
          <w:b/>
          <w:bCs/>
          <w:color w:val="auto"/>
          <w:szCs w:val="36"/>
          <w:highlight w:val="none"/>
        </w:rPr>
        <w:t>第二部分</w:t>
      </w:r>
      <w:bookmarkEnd w:id="3"/>
      <w:bookmarkEnd w:id="4"/>
      <w:r>
        <w:rPr>
          <w:rStyle w:val="35"/>
          <w:rFonts w:hint="eastAsia" w:ascii="宋体" w:hAnsi="宋体" w:cs="宋体"/>
          <w:b/>
          <w:bCs/>
          <w:color w:val="auto"/>
          <w:szCs w:val="36"/>
          <w:highlight w:val="none"/>
        </w:rPr>
        <w:t>供应商须知</w:t>
      </w:r>
      <w:bookmarkEnd w:id="7"/>
      <w:bookmarkEnd w:id="8"/>
      <w:bookmarkEnd w:id="9"/>
    </w:p>
    <w:p w14:paraId="44FBFF9E">
      <w:pPr>
        <w:widowControl/>
        <w:adjustRightInd w:val="0"/>
        <w:snapToGrid w:val="0"/>
        <w:spacing w:line="360" w:lineRule="auto"/>
        <w:jc w:val="center"/>
        <w:rPr>
          <w:rFonts w:ascii="宋体" w:hAnsi="宋体" w:cs="宋体"/>
          <w:b/>
          <w:bCs/>
          <w:snapToGrid w:val="0"/>
          <w:color w:val="auto"/>
          <w:kern w:val="0"/>
          <w:sz w:val="32"/>
          <w:szCs w:val="32"/>
          <w:highlight w:val="none"/>
        </w:rPr>
      </w:pPr>
      <w:r>
        <w:rPr>
          <w:rFonts w:hint="eastAsia" w:ascii="宋体" w:hAnsi="宋体" w:cs="宋体"/>
          <w:b/>
          <w:bCs/>
          <w:snapToGrid w:val="0"/>
          <w:color w:val="auto"/>
          <w:kern w:val="0"/>
          <w:sz w:val="30"/>
          <w:szCs w:val="30"/>
          <w:highlight w:val="none"/>
        </w:rPr>
        <w:t>供应商须知前附表</w:t>
      </w:r>
    </w:p>
    <w:tbl>
      <w:tblPr>
        <w:tblStyle w:val="23"/>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1E2D0F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648" w:type="dxa"/>
            <w:tcBorders>
              <w:top w:val="double" w:color="auto" w:sz="4" w:space="0"/>
            </w:tcBorders>
            <w:vAlign w:val="center"/>
          </w:tcPr>
          <w:p w14:paraId="32C90C66">
            <w:pPr>
              <w:snapToGrid w:val="0"/>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序号</w:t>
            </w:r>
          </w:p>
        </w:tc>
        <w:tc>
          <w:tcPr>
            <w:tcW w:w="1800" w:type="dxa"/>
            <w:tcBorders>
              <w:top w:val="double" w:color="auto" w:sz="4" w:space="0"/>
            </w:tcBorders>
            <w:vAlign w:val="center"/>
          </w:tcPr>
          <w:p w14:paraId="0F1F3572">
            <w:pPr>
              <w:snapToGrid w:val="0"/>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项目</w:t>
            </w:r>
          </w:p>
        </w:tc>
        <w:tc>
          <w:tcPr>
            <w:tcW w:w="6682" w:type="dxa"/>
            <w:tcBorders>
              <w:top w:val="double" w:color="auto" w:sz="4" w:space="0"/>
            </w:tcBorders>
            <w:vAlign w:val="center"/>
          </w:tcPr>
          <w:p w14:paraId="07C796F5">
            <w:pPr>
              <w:snapToGrid w:val="0"/>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内容</w:t>
            </w:r>
          </w:p>
        </w:tc>
      </w:tr>
      <w:tr w14:paraId="56C33D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1C6075A0">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1800" w:type="dxa"/>
            <w:vAlign w:val="center"/>
          </w:tcPr>
          <w:p w14:paraId="7899CE70">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项目名称</w:t>
            </w:r>
          </w:p>
        </w:tc>
        <w:tc>
          <w:tcPr>
            <w:tcW w:w="6682" w:type="dxa"/>
            <w:vAlign w:val="center"/>
          </w:tcPr>
          <w:p w14:paraId="7A184C2B">
            <w:pPr>
              <w:snapToGrid w:val="0"/>
              <w:ind w:firstLine="480" w:firstLineChars="20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2025年上虞区决策咨询委员会决策咨询研究课题和建议意见组织服务采购项目</w:t>
            </w:r>
          </w:p>
        </w:tc>
      </w:tr>
      <w:tr w14:paraId="1C9A7F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3E926624">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800" w:type="dxa"/>
            <w:vAlign w:val="center"/>
          </w:tcPr>
          <w:p w14:paraId="1497E08E">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服务周期</w:t>
            </w:r>
          </w:p>
        </w:tc>
        <w:tc>
          <w:tcPr>
            <w:tcW w:w="6682" w:type="dxa"/>
            <w:vAlign w:val="center"/>
          </w:tcPr>
          <w:p w14:paraId="3178E73C">
            <w:pPr>
              <w:ind w:firstLine="480" w:firstLineChars="200"/>
              <w:rPr>
                <w:rFonts w:hint="default"/>
                <w:color w:val="auto"/>
                <w:highlight w:val="none"/>
                <w:lang w:val="en-US" w:eastAsia="zh-CN"/>
              </w:rPr>
            </w:pPr>
            <w:r>
              <w:rPr>
                <w:rFonts w:hint="eastAsia" w:ascii="宋体" w:hAnsi="宋体" w:cs="宋体"/>
                <w:color w:val="auto"/>
                <w:sz w:val="24"/>
                <w:szCs w:val="24"/>
                <w:highlight w:val="none"/>
                <w:lang w:val="en-US" w:eastAsia="zh-CN"/>
              </w:rPr>
              <w:t>自合同签订之日起至合同履行完毕。</w:t>
            </w:r>
          </w:p>
        </w:tc>
      </w:tr>
      <w:tr w14:paraId="5242E9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374383EC">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800" w:type="dxa"/>
            <w:vAlign w:val="center"/>
          </w:tcPr>
          <w:p w14:paraId="6863D688">
            <w:pPr>
              <w:snapToGrid w:val="0"/>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最高限价</w:t>
            </w:r>
          </w:p>
        </w:tc>
        <w:tc>
          <w:tcPr>
            <w:tcW w:w="6682" w:type="dxa"/>
            <w:vAlign w:val="center"/>
          </w:tcPr>
          <w:p w14:paraId="79F06CE7">
            <w:pPr>
              <w:snapToGrid w:val="0"/>
              <w:ind w:firstLine="480"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color w:val="auto"/>
                <w:sz w:val="24"/>
                <w:szCs w:val="24"/>
                <w:highlight w:val="none"/>
              </w:rPr>
              <w:t>本项目最高限价人民币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70 </w:t>
            </w:r>
            <w:r>
              <w:rPr>
                <w:rFonts w:hint="eastAsia" w:ascii="宋体" w:hAnsi="宋体" w:eastAsia="宋体" w:cs="宋体"/>
                <w:color w:val="auto"/>
                <w:sz w:val="24"/>
                <w:szCs w:val="24"/>
                <w:highlight w:val="none"/>
              </w:rPr>
              <w:t>万元。</w:t>
            </w:r>
          </w:p>
        </w:tc>
      </w:tr>
      <w:tr w14:paraId="1DA4AA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648" w:type="dxa"/>
            <w:vAlign w:val="center"/>
          </w:tcPr>
          <w:p w14:paraId="664E9D5A">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4</w:t>
            </w:r>
          </w:p>
        </w:tc>
        <w:tc>
          <w:tcPr>
            <w:tcW w:w="1800" w:type="dxa"/>
            <w:vAlign w:val="center"/>
          </w:tcPr>
          <w:p w14:paraId="7B8DBF37">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资格审查方式</w:t>
            </w:r>
          </w:p>
        </w:tc>
        <w:tc>
          <w:tcPr>
            <w:tcW w:w="6682" w:type="dxa"/>
            <w:vAlign w:val="center"/>
          </w:tcPr>
          <w:p w14:paraId="58A08700">
            <w:pPr>
              <w:snapToGrid w:val="0"/>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资格审查是指开标后，磋商小组将依据法律法规和磋商文件的规定对供应商的资格进行审查。</w:t>
            </w:r>
          </w:p>
        </w:tc>
      </w:tr>
      <w:tr w14:paraId="2AF857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14:paraId="043FA916">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800" w:type="dxa"/>
            <w:vAlign w:val="center"/>
          </w:tcPr>
          <w:p w14:paraId="46A05367">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踏勘现场</w:t>
            </w:r>
          </w:p>
        </w:tc>
        <w:tc>
          <w:tcPr>
            <w:tcW w:w="6682" w:type="dxa"/>
            <w:vAlign w:val="center"/>
          </w:tcPr>
          <w:p w14:paraId="4013490B">
            <w:pPr>
              <w:snapToGrid w:val="0"/>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本项目不组织现场踏勘</w:t>
            </w:r>
          </w:p>
        </w:tc>
      </w:tr>
      <w:tr w14:paraId="52175F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648" w:type="dxa"/>
            <w:vAlign w:val="center"/>
          </w:tcPr>
          <w:p w14:paraId="5B3484D8">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800" w:type="dxa"/>
            <w:vAlign w:val="center"/>
          </w:tcPr>
          <w:p w14:paraId="2CE12EBD">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询问</w:t>
            </w:r>
          </w:p>
        </w:tc>
        <w:tc>
          <w:tcPr>
            <w:tcW w:w="6682" w:type="dxa"/>
            <w:vAlign w:val="center"/>
          </w:tcPr>
          <w:p w14:paraId="5C13C286">
            <w:pPr>
              <w:snapToGrid w:val="0"/>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38D52D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9" w:hRule="atLeast"/>
          <w:jc w:val="center"/>
        </w:trPr>
        <w:tc>
          <w:tcPr>
            <w:tcW w:w="648" w:type="dxa"/>
            <w:vAlign w:val="center"/>
          </w:tcPr>
          <w:p w14:paraId="17BB2CDA">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1800" w:type="dxa"/>
            <w:vAlign w:val="center"/>
          </w:tcPr>
          <w:p w14:paraId="22BCF067">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磋商文件的澄清与修改</w:t>
            </w:r>
          </w:p>
        </w:tc>
        <w:tc>
          <w:tcPr>
            <w:tcW w:w="6682" w:type="dxa"/>
            <w:vAlign w:val="center"/>
          </w:tcPr>
          <w:p w14:paraId="7B7C8CA4">
            <w:pPr>
              <w:snapToGrid w:val="0"/>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采购单位可以对已发出的磋商文件进行必要澄清或者修改，澄清或者修改的内容可能影响磋商响应文件编制的，应当在磋商文件要求提交磋商响应文件截止时间五日前，在招标公告发布的媒体上发布更正公告，该澄清或者修改的内容为磋商文件的组成部分。本项目磋商文件和补充（答疑、澄清）、修改文件等请自行登录浙江政府采购网或绍兴市上虞区公共资源交易中心网站查看。</w:t>
            </w:r>
          </w:p>
        </w:tc>
      </w:tr>
      <w:tr w14:paraId="59BFE0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648" w:type="dxa"/>
            <w:vAlign w:val="center"/>
          </w:tcPr>
          <w:p w14:paraId="3C34E68F">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1800" w:type="dxa"/>
            <w:vAlign w:val="center"/>
          </w:tcPr>
          <w:p w14:paraId="68F81EAD">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磋商响应文件组成</w:t>
            </w:r>
          </w:p>
        </w:tc>
        <w:tc>
          <w:tcPr>
            <w:tcW w:w="6682" w:type="dxa"/>
            <w:vAlign w:val="center"/>
          </w:tcPr>
          <w:p w14:paraId="6ACF88FA">
            <w:pPr>
              <w:snapToGrid w:val="0"/>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供应商向采购人递交的响应文件由资格文件、商务技术文件、报价文件三部分组成。</w:t>
            </w:r>
          </w:p>
        </w:tc>
      </w:tr>
      <w:tr w14:paraId="285A9A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48" w:type="dxa"/>
            <w:vAlign w:val="center"/>
          </w:tcPr>
          <w:p w14:paraId="53BE6693">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1800" w:type="dxa"/>
            <w:vAlign w:val="center"/>
          </w:tcPr>
          <w:p w14:paraId="46F28C33">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评标办法</w:t>
            </w:r>
          </w:p>
        </w:tc>
        <w:tc>
          <w:tcPr>
            <w:tcW w:w="6682" w:type="dxa"/>
            <w:vAlign w:val="center"/>
          </w:tcPr>
          <w:p w14:paraId="7875C5CE">
            <w:pPr>
              <w:snapToGrid w:val="0"/>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综合评分法</w:t>
            </w:r>
          </w:p>
        </w:tc>
      </w:tr>
      <w:tr w14:paraId="40B690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09B4EC3">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1800" w:type="dxa"/>
            <w:vAlign w:val="center"/>
          </w:tcPr>
          <w:p w14:paraId="1BCECBE5">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磋商响应文件递交地址及截止时间</w:t>
            </w:r>
          </w:p>
        </w:tc>
        <w:tc>
          <w:tcPr>
            <w:tcW w:w="6682" w:type="dxa"/>
            <w:vAlign w:val="center"/>
          </w:tcPr>
          <w:p w14:paraId="3EC6E234">
            <w:pPr>
              <w:snapToGrid w:val="0"/>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详见磋商公告</w:t>
            </w:r>
          </w:p>
        </w:tc>
      </w:tr>
      <w:tr w14:paraId="73096A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F1D1BE7">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1800" w:type="dxa"/>
            <w:vAlign w:val="center"/>
          </w:tcPr>
          <w:p w14:paraId="7BEC88EA">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开标时间、地点</w:t>
            </w:r>
          </w:p>
        </w:tc>
        <w:tc>
          <w:tcPr>
            <w:tcW w:w="6682" w:type="dxa"/>
            <w:vAlign w:val="center"/>
          </w:tcPr>
          <w:p w14:paraId="00115736">
            <w:pPr>
              <w:snapToGrid w:val="0"/>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w:t>
            </w:r>
            <w:r>
              <w:rPr>
                <w:rFonts w:hint="eastAsia" w:ascii="宋体" w:hAnsi="宋体" w:eastAsia="宋体" w:cs="宋体"/>
                <w:color w:val="auto"/>
                <w:kern w:val="0"/>
                <w:sz w:val="24"/>
                <w:szCs w:val="24"/>
                <w:highlight w:val="none"/>
              </w:rPr>
              <w:t>详见磋商公告</w:t>
            </w:r>
          </w:p>
          <w:p w14:paraId="3CD42B51">
            <w:pPr>
              <w:snapToGrid w:val="0"/>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开标地点：</w:t>
            </w:r>
            <w:r>
              <w:rPr>
                <w:rFonts w:hint="eastAsia" w:ascii="宋体" w:hAnsi="宋体" w:eastAsia="宋体" w:cs="宋体"/>
                <w:color w:val="auto"/>
                <w:kern w:val="0"/>
                <w:sz w:val="24"/>
                <w:szCs w:val="24"/>
                <w:highlight w:val="none"/>
              </w:rPr>
              <w:t>详见磋商公告</w:t>
            </w:r>
          </w:p>
        </w:tc>
      </w:tr>
      <w:tr w14:paraId="289253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A062139">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w:t>
            </w:r>
          </w:p>
        </w:tc>
        <w:tc>
          <w:tcPr>
            <w:tcW w:w="1800" w:type="dxa"/>
            <w:vAlign w:val="center"/>
          </w:tcPr>
          <w:p w14:paraId="58EFA9D5">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磋商响应文件有效期</w:t>
            </w:r>
          </w:p>
        </w:tc>
        <w:tc>
          <w:tcPr>
            <w:tcW w:w="6682" w:type="dxa"/>
            <w:vAlign w:val="center"/>
          </w:tcPr>
          <w:p w14:paraId="2E9BB787">
            <w:pPr>
              <w:snapToGrid w:val="0"/>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响应文件有效期为从提交响应文件的截止之日起90天。供应商的响应文件中承诺的响应文件有效期少于磋商文件中载明的响应文件有效期的，磋商无效。</w:t>
            </w:r>
          </w:p>
        </w:tc>
      </w:tr>
      <w:tr w14:paraId="049980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CE55692">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w:t>
            </w:r>
          </w:p>
        </w:tc>
        <w:tc>
          <w:tcPr>
            <w:tcW w:w="1800" w:type="dxa"/>
            <w:vAlign w:val="center"/>
          </w:tcPr>
          <w:p w14:paraId="7E8F91F4">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磋商公告及成交结果公告发布媒体</w:t>
            </w:r>
          </w:p>
        </w:tc>
        <w:tc>
          <w:tcPr>
            <w:tcW w:w="6682" w:type="dxa"/>
            <w:vAlign w:val="center"/>
          </w:tcPr>
          <w:p w14:paraId="7133E5C3">
            <w:pPr>
              <w:pStyle w:val="14"/>
              <w:snapToGrid w:val="0"/>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浙江省政府采购网、绍兴市上虞区公共资源交易中心网站</w:t>
            </w:r>
          </w:p>
        </w:tc>
      </w:tr>
      <w:tr w14:paraId="068FB3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shd w:val="clear" w:color="auto" w:fill="auto"/>
            <w:vAlign w:val="center"/>
          </w:tcPr>
          <w:p w14:paraId="200C8423">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w:t>
            </w:r>
          </w:p>
        </w:tc>
        <w:tc>
          <w:tcPr>
            <w:tcW w:w="1800" w:type="dxa"/>
            <w:shd w:val="clear" w:color="auto" w:fill="auto"/>
            <w:vAlign w:val="center"/>
          </w:tcPr>
          <w:p w14:paraId="117549FF">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履约保证金</w:t>
            </w:r>
          </w:p>
        </w:tc>
        <w:tc>
          <w:tcPr>
            <w:tcW w:w="6682" w:type="dxa"/>
            <w:shd w:val="clear" w:color="auto" w:fill="auto"/>
            <w:vAlign w:val="center"/>
          </w:tcPr>
          <w:p w14:paraId="70EEBABC">
            <w:pPr>
              <w:widowControl/>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本项目不设置履约保证金</w:t>
            </w:r>
          </w:p>
        </w:tc>
      </w:tr>
      <w:tr w14:paraId="2DE6E3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E61842E">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00" w:type="dxa"/>
            <w:vAlign w:val="center"/>
          </w:tcPr>
          <w:p w14:paraId="06957A2C">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w:t>
            </w:r>
          </w:p>
        </w:tc>
        <w:tc>
          <w:tcPr>
            <w:tcW w:w="6682" w:type="dxa"/>
            <w:vAlign w:val="center"/>
          </w:tcPr>
          <w:p w14:paraId="0A8B8ED3">
            <w:pPr>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根据《中华人民共和国政府采购法》第五十二条、《中华人民共和国政府采购法实施条例》第五十三条、《浙江省政府采购供应商质疑处理办法》的规定：</w:t>
            </w:r>
          </w:p>
          <w:p w14:paraId="1F4EF974">
            <w:pPr>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使自己的权益受到损害的，可以在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w:t>
            </w:r>
          </w:p>
          <w:p w14:paraId="20C4C288">
            <w:pPr>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投标人如认为采购过程使自身的合法权益受到损害的，应于各采购程序环节结束之日起七个工作日内以书面形式向采购机构提出质疑；</w:t>
            </w:r>
          </w:p>
          <w:p w14:paraId="306F9F90">
            <w:pPr>
              <w:snapToGrid w:val="0"/>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投标人如认为中标结果使自身的合法权益受到损害的，应于中标或者成交结果公告期限届满之日起七个工作日内以书面形式向采购机构提出质疑</w:t>
            </w:r>
            <w:r>
              <w:rPr>
                <w:rFonts w:hint="eastAsia" w:ascii="宋体" w:hAnsi="宋体" w:eastAsia="宋体" w:cs="宋体"/>
                <w:snapToGrid w:val="0"/>
                <w:color w:val="auto"/>
                <w:kern w:val="0"/>
                <w:sz w:val="24"/>
                <w:szCs w:val="24"/>
                <w:highlight w:val="none"/>
              </w:rPr>
              <w:t>。</w:t>
            </w:r>
          </w:p>
        </w:tc>
      </w:tr>
      <w:tr w14:paraId="3801DD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9" w:hRule="atLeast"/>
          <w:jc w:val="center"/>
        </w:trPr>
        <w:tc>
          <w:tcPr>
            <w:tcW w:w="648" w:type="dxa"/>
            <w:vAlign w:val="center"/>
          </w:tcPr>
          <w:p w14:paraId="21648250">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w:t>
            </w:r>
          </w:p>
        </w:tc>
        <w:tc>
          <w:tcPr>
            <w:tcW w:w="1800" w:type="dxa"/>
            <w:vAlign w:val="center"/>
          </w:tcPr>
          <w:p w14:paraId="1F2A94D6">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投诉</w:t>
            </w:r>
          </w:p>
        </w:tc>
        <w:tc>
          <w:tcPr>
            <w:tcW w:w="6682" w:type="dxa"/>
            <w:vAlign w:val="center"/>
          </w:tcPr>
          <w:p w14:paraId="2EF85E56">
            <w:pPr>
              <w:snapToGrid w:val="0"/>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snapToGrid w:val="0"/>
                <w:color w:val="auto"/>
                <w:kern w:val="0"/>
                <w:sz w:val="24"/>
                <w:szCs w:val="24"/>
                <w:highlight w:val="none"/>
              </w:rPr>
              <w:t>》第五十五条的规定，质疑供应商对采购人、招标代理机构的答复不满意或者采购人、招标代理机构未在规定的时间内作出答复的，可以在答复期满后十五个工作日内向同级政府采购监督管理部门投诉。</w:t>
            </w:r>
          </w:p>
        </w:tc>
      </w:tr>
      <w:tr w14:paraId="075D28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D77F39D">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w:t>
            </w:r>
          </w:p>
        </w:tc>
        <w:tc>
          <w:tcPr>
            <w:tcW w:w="1800" w:type="dxa"/>
            <w:vAlign w:val="center"/>
          </w:tcPr>
          <w:p w14:paraId="2F7D5573">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特别说明</w:t>
            </w:r>
          </w:p>
        </w:tc>
        <w:tc>
          <w:tcPr>
            <w:tcW w:w="6682" w:type="dxa"/>
            <w:vAlign w:val="center"/>
          </w:tcPr>
          <w:p w14:paraId="1F2F2317">
            <w:pPr>
              <w:pStyle w:val="14"/>
              <w:snapToGrid w:val="0"/>
              <w:spacing w:line="3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应无条件的、认真仔细的阅读本磋商文件及其澄清答疑、修改答复的补充文件，严格按照磋商文件及补充文件的规定和要求编制磋商响应文件。在编制磋商响应文件过程中，应严格遵循实事求是、诚信投标的原则，针对磋商文件中的采购需求、合同条款等各项内容进行确认，如有偏离，应如实填写响应偏离表。</w:t>
            </w:r>
          </w:p>
          <w:p w14:paraId="172A7AA4">
            <w:pPr>
              <w:pStyle w:val="14"/>
              <w:snapToGrid w:val="0"/>
              <w:spacing w:line="3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31B374AC">
            <w:pPr>
              <w:pStyle w:val="14"/>
              <w:snapToGrid w:val="0"/>
              <w:ind w:firstLine="480"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磋商文件中凡标注“</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”的条款均为实质性要求，不响应的磋商响应文件将作无效标处理。</w:t>
            </w:r>
          </w:p>
        </w:tc>
      </w:tr>
      <w:tr w14:paraId="71AB20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38" w:hRule="atLeast"/>
          <w:jc w:val="center"/>
        </w:trPr>
        <w:tc>
          <w:tcPr>
            <w:tcW w:w="648" w:type="dxa"/>
            <w:vAlign w:val="center"/>
          </w:tcPr>
          <w:p w14:paraId="3DA9EE2E">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18</w:t>
            </w:r>
          </w:p>
        </w:tc>
        <w:tc>
          <w:tcPr>
            <w:tcW w:w="1800" w:type="dxa"/>
            <w:vAlign w:val="center"/>
          </w:tcPr>
          <w:p w14:paraId="757F3DF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w:t>
            </w:r>
          </w:p>
          <w:p w14:paraId="60306CB3">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持</w:t>
            </w:r>
          </w:p>
          <w:p w14:paraId="7B1E6BF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p>
          <w:p w14:paraId="7F6B3269">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w:t>
            </w:r>
          </w:p>
          <w:p w14:paraId="29F65258">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w:t>
            </w:r>
          </w:p>
          <w:p w14:paraId="566EB8F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w:t>
            </w:r>
          </w:p>
          <w:p w14:paraId="423117CB">
            <w:pPr>
              <w:snapToGrid w:val="0"/>
              <w:jc w:val="center"/>
              <w:rPr>
                <w:rFonts w:hint="eastAsia" w:ascii="宋体" w:hAnsi="宋体" w:eastAsia="宋体" w:cs="宋体"/>
                <w:color w:val="auto"/>
                <w:sz w:val="24"/>
                <w:szCs w:val="24"/>
                <w:highlight w:val="none"/>
              </w:rPr>
            </w:pPr>
          </w:p>
        </w:tc>
        <w:tc>
          <w:tcPr>
            <w:tcW w:w="6682" w:type="dxa"/>
            <w:vAlign w:val="center"/>
          </w:tcPr>
          <w:p w14:paraId="2367F71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5F6D92D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77A6964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4DF9842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在服务采购项目中，服务由小微企业承接，即提供服务的人员为小微企业依照《中华人民共和国劳动合同法》订立劳动合同的从业人员。</w:t>
            </w:r>
          </w:p>
          <w:p w14:paraId="223EC11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联合体各方均为小型、微型企业的，联合体视同为小型、微型企业。</w:t>
            </w:r>
          </w:p>
          <w:p w14:paraId="63399121">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1E42C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37E1FA3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w:t>
            </w:r>
          </w:p>
        </w:tc>
      </w:tr>
      <w:tr w14:paraId="7E2CCF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3C2DB907">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w:t>
            </w:r>
          </w:p>
        </w:tc>
        <w:tc>
          <w:tcPr>
            <w:tcW w:w="1800" w:type="dxa"/>
            <w:vAlign w:val="center"/>
          </w:tcPr>
          <w:p w14:paraId="075F7A0A">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w:t>
            </w:r>
          </w:p>
        </w:tc>
        <w:tc>
          <w:tcPr>
            <w:tcW w:w="6682" w:type="dxa"/>
            <w:vAlign w:val="center"/>
          </w:tcPr>
          <w:p w14:paraId="12BF4050">
            <w:pPr>
              <w:autoSpaceDN w:val="0"/>
              <w:spacing w:line="3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招标代理服务费由成交供应商支付，按下列服务招标计算方式计取。</w:t>
            </w:r>
          </w:p>
          <w:tbl>
            <w:tblPr>
              <w:tblStyle w:val="23"/>
              <w:tblW w:w="4986"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72"/>
              <w:gridCol w:w="1060"/>
              <w:gridCol w:w="1059"/>
              <w:gridCol w:w="1027"/>
            </w:tblGrid>
            <w:tr w14:paraId="3056A1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14:paraId="619550F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服务类型 中标金额（万元）</w:t>
                  </w:r>
                </w:p>
              </w:tc>
              <w:tc>
                <w:tcPr>
                  <w:tcW w:w="825" w:type="pct"/>
                  <w:tcBorders>
                    <w:top w:val="outset" w:color="auto" w:sz="6" w:space="0"/>
                    <w:left w:val="outset" w:color="auto" w:sz="6" w:space="0"/>
                    <w:bottom w:val="outset" w:color="auto" w:sz="6" w:space="0"/>
                    <w:right w:val="outset" w:color="auto" w:sz="6" w:space="0"/>
                  </w:tcBorders>
                  <w:noWrap/>
                  <w:vAlign w:val="center"/>
                </w:tcPr>
                <w:p w14:paraId="4A16125A">
                  <w:pPr>
                    <w:widowControl/>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货物招标</w:t>
                  </w:r>
                </w:p>
              </w:tc>
              <w:tc>
                <w:tcPr>
                  <w:tcW w:w="825" w:type="pct"/>
                  <w:tcBorders>
                    <w:top w:val="outset" w:color="auto" w:sz="6" w:space="0"/>
                    <w:left w:val="outset" w:color="auto" w:sz="6" w:space="0"/>
                    <w:bottom w:val="outset" w:color="auto" w:sz="6" w:space="0"/>
                    <w:right w:val="outset" w:color="auto" w:sz="6" w:space="0"/>
                  </w:tcBorders>
                  <w:noWrap/>
                  <w:vAlign w:val="center"/>
                </w:tcPr>
                <w:p w14:paraId="1DDC2C8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服务招标</w:t>
                  </w:r>
                </w:p>
              </w:tc>
              <w:tc>
                <w:tcPr>
                  <w:tcW w:w="800" w:type="pct"/>
                  <w:tcBorders>
                    <w:top w:val="outset" w:color="auto" w:sz="6" w:space="0"/>
                    <w:left w:val="outset" w:color="auto" w:sz="6" w:space="0"/>
                    <w:bottom w:val="outset" w:color="auto" w:sz="6" w:space="0"/>
                    <w:right w:val="outset" w:color="auto" w:sz="6" w:space="0"/>
                  </w:tcBorders>
                  <w:noWrap/>
                  <w:vAlign w:val="center"/>
                </w:tcPr>
                <w:p w14:paraId="6189CB3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工程招标</w:t>
                  </w:r>
                </w:p>
              </w:tc>
            </w:tr>
            <w:tr w14:paraId="266365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2548" w:type="pct"/>
                  <w:tcBorders>
                    <w:top w:val="outset" w:color="auto" w:sz="6" w:space="0"/>
                    <w:left w:val="outset" w:color="auto" w:sz="6" w:space="0"/>
                    <w:bottom w:val="outset" w:color="auto" w:sz="6" w:space="0"/>
                    <w:right w:val="outset" w:color="auto" w:sz="6" w:space="0"/>
                  </w:tcBorders>
                  <w:noWrap/>
                  <w:vAlign w:val="center"/>
                </w:tcPr>
                <w:p w14:paraId="597F53A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825" w:type="pct"/>
                  <w:tcBorders>
                    <w:top w:val="outset" w:color="auto" w:sz="6" w:space="0"/>
                    <w:left w:val="outset" w:color="auto" w:sz="6" w:space="0"/>
                    <w:bottom w:val="outset" w:color="auto" w:sz="6" w:space="0"/>
                    <w:right w:val="outset" w:color="auto" w:sz="6" w:space="0"/>
                  </w:tcBorders>
                  <w:noWrap/>
                  <w:vAlign w:val="center"/>
                </w:tcPr>
                <w:p w14:paraId="7CCB4C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825" w:type="pct"/>
                  <w:tcBorders>
                    <w:top w:val="outset" w:color="auto" w:sz="6" w:space="0"/>
                    <w:left w:val="outset" w:color="auto" w:sz="6" w:space="0"/>
                    <w:bottom w:val="outset" w:color="auto" w:sz="6" w:space="0"/>
                    <w:right w:val="outset" w:color="auto" w:sz="6" w:space="0"/>
                  </w:tcBorders>
                  <w:noWrap/>
                  <w:vAlign w:val="center"/>
                </w:tcPr>
                <w:p w14:paraId="0F28423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800" w:type="pct"/>
                  <w:tcBorders>
                    <w:top w:val="outset" w:color="auto" w:sz="6" w:space="0"/>
                    <w:left w:val="outset" w:color="auto" w:sz="6" w:space="0"/>
                    <w:bottom w:val="outset" w:color="auto" w:sz="6" w:space="0"/>
                    <w:right w:val="outset" w:color="auto" w:sz="6" w:space="0"/>
                  </w:tcBorders>
                  <w:noWrap/>
                  <w:vAlign w:val="center"/>
                </w:tcPr>
                <w:p w14:paraId="08389E1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bl>
          <w:p w14:paraId="2330334A">
            <w:pPr>
              <w:spacing w:line="340" w:lineRule="exact"/>
              <w:ind w:firstLine="480"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结算方式及时间为：在领取中标通知书前由成交供应商一次性向采购代理机构付清。</w:t>
            </w:r>
          </w:p>
        </w:tc>
      </w:tr>
      <w:tr w14:paraId="1627C3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389260C0">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w:t>
            </w:r>
          </w:p>
        </w:tc>
        <w:tc>
          <w:tcPr>
            <w:tcW w:w="1800" w:type="dxa"/>
            <w:vAlign w:val="center"/>
          </w:tcPr>
          <w:p w14:paraId="562368AE">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是否允许分包</w:t>
            </w:r>
          </w:p>
        </w:tc>
        <w:tc>
          <w:tcPr>
            <w:tcW w:w="6682" w:type="dxa"/>
            <w:vAlign w:val="center"/>
          </w:tcPr>
          <w:p w14:paraId="21F5A81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不允许</w:t>
            </w:r>
            <w:r>
              <w:rPr>
                <w:rFonts w:hint="eastAsia" w:ascii="宋体" w:hAnsi="宋体" w:eastAsia="宋体" w:cs="宋体"/>
                <w:color w:val="auto"/>
                <w:sz w:val="24"/>
                <w:szCs w:val="24"/>
                <w:highlight w:val="none"/>
              </w:rPr>
              <w:t>分包</w:t>
            </w:r>
          </w:p>
        </w:tc>
      </w:tr>
      <w:tr w14:paraId="27062A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648" w:type="dxa"/>
            <w:vAlign w:val="center"/>
          </w:tcPr>
          <w:p w14:paraId="73620A9E">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w:t>
            </w:r>
          </w:p>
        </w:tc>
        <w:tc>
          <w:tcPr>
            <w:tcW w:w="1800" w:type="dxa"/>
            <w:tcBorders>
              <w:top w:val="single" w:color="auto" w:sz="4" w:space="0"/>
            </w:tcBorders>
            <w:vAlign w:val="center"/>
          </w:tcPr>
          <w:p w14:paraId="363B3C2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是否提供演示</w:t>
            </w:r>
          </w:p>
        </w:tc>
        <w:tc>
          <w:tcPr>
            <w:tcW w:w="6682" w:type="dxa"/>
            <w:tcBorders>
              <w:top w:val="single" w:color="auto" w:sz="4" w:space="0"/>
            </w:tcBorders>
            <w:vAlign w:val="center"/>
          </w:tcPr>
          <w:p w14:paraId="3105E61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lang w:val="en-US" w:eastAsia="zh-CN"/>
              </w:rPr>
              <w:t>不</w:t>
            </w:r>
            <w:r>
              <w:rPr>
                <w:rFonts w:hint="eastAsia" w:ascii="宋体" w:hAnsi="宋体" w:eastAsia="宋体" w:cs="宋体"/>
                <w:color w:val="auto"/>
                <w:sz w:val="24"/>
                <w:szCs w:val="24"/>
                <w:highlight w:val="none"/>
                <w:u w:val="single"/>
              </w:rPr>
              <w:t>需要</w:t>
            </w:r>
            <w:r>
              <w:rPr>
                <w:rFonts w:hint="eastAsia" w:ascii="宋体" w:hAnsi="宋体" w:eastAsia="宋体" w:cs="宋体"/>
                <w:color w:val="auto"/>
                <w:sz w:val="24"/>
                <w:szCs w:val="24"/>
                <w:highlight w:val="none"/>
              </w:rPr>
              <w:t>提供演示。</w:t>
            </w:r>
          </w:p>
        </w:tc>
      </w:tr>
      <w:tr w14:paraId="299652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4F46BD4">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w:t>
            </w:r>
          </w:p>
        </w:tc>
        <w:tc>
          <w:tcPr>
            <w:tcW w:w="1800" w:type="dxa"/>
            <w:vAlign w:val="center"/>
          </w:tcPr>
          <w:p w14:paraId="06F8275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供应商信用信息查询渠道及截止时点、信用信息查询记录和证据留存的具体方式、信用信息的使用规则</w:t>
            </w:r>
          </w:p>
        </w:tc>
        <w:tc>
          <w:tcPr>
            <w:tcW w:w="6682" w:type="dxa"/>
            <w:vAlign w:val="center"/>
          </w:tcPr>
          <w:p w14:paraId="3CB3540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1、查询渠道：信用中国（网址：http://www.creditchina.gov.cn）、中国政府采购网(网址：http://www.ccgp.gov.cn）。</w:t>
            </w:r>
          </w:p>
          <w:p w14:paraId="7108BDD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2、截止时点：开标后评标前。</w:t>
            </w:r>
          </w:p>
          <w:p w14:paraId="7E0CE9E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3、信用信息查询记录和证据留存的具体方式：由采购组织机构在规定查询时间内打印信用信息查询记录并归入项目档案。</w:t>
            </w:r>
          </w:p>
          <w:p w14:paraId="0D35D02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6947A0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8" w:type="dxa"/>
            <w:vMerge w:val="restart"/>
            <w:vAlign w:val="center"/>
          </w:tcPr>
          <w:p w14:paraId="5EF726F2">
            <w:pPr>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w:t>
            </w:r>
          </w:p>
        </w:tc>
        <w:tc>
          <w:tcPr>
            <w:tcW w:w="1800" w:type="dxa"/>
            <w:vMerge w:val="restart"/>
            <w:vAlign w:val="center"/>
          </w:tcPr>
          <w:p w14:paraId="5324783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w:t>
            </w:r>
          </w:p>
        </w:tc>
        <w:tc>
          <w:tcPr>
            <w:tcW w:w="6682" w:type="dxa"/>
            <w:vAlign w:val="center"/>
          </w:tcPr>
          <w:p w14:paraId="30F0F7A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本项目涉及预付款，预付款比例为</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w:t>
            </w:r>
          </w:p>
        </w:tc>
      </w:tr>
      <w:tr w14:paraId="176690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48" w:type="dxa"/>
            <w:vMerge w:val="continue"/>
            <w:vAlign w:val="center"/>
          </w:tcPr>
          <w:p w14:paraId="6F90D1C4">
            <w:pPr>
              <w:snapToGrid w:val="0"/>
              <w:spacing w:line="360" w:lineRule="exact"/>
              <w:jc w:val="center"/>
              <w:rPr>
                <w:rFonts w:hint="eastAsia" w:ascii="宋体" w:hAnsi="宋体" w:eastAsia="宋体" w:cs="宋体"/>
                <w:color w:val="auto"/>
                <w:sz w:val="24"/>
                <w:szCs w:val="24"/>
                <w:highlight w:val="none"/>
              </w:rPr>
            </w:pPr>
          </w:p>
        </w:tc>
        <w:tc>
          <w:tcPr>
            <w:tcW w:w="1800" w:type="dxa"/>
            <w:vMerge w:val="continue"/>
            <w:vAlign w:val="center"/>
          </w:tcPr>
          <w:p w14:paraId="62732711">
            <w:pPr>
              <w:snapToGrid w:val="0"/>
              <w:jc w:val="center"/>
              <w:rPr>
                <w:rFonts w:hint="eastAsia" w:ascii="宋体" w:hAnsi="宋体" w:eastAsia="宋体" w:cs="宋体"/>
                <w:color w:val="auto"/>
                <w:sz w:val="24"/>
                <w:szCs w:val="24"/>
                <w:highlight w:val="none"/>
              </w:rPr>
            </w:pPr>
          </w:p>
        </w:tc>
        <w:tc>
          <w:tcPr>
            <w:tcW w:w="6682" w:type="dxa"/>
          </w:tcPr>
          <w:p w14:paraId="068BDD3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根据《浙江省财政厅关于进一步发挥政府采购政策功能全力推动经济稳进提质的通知》[浙财采监〔2022）3号]文件第二条第五点关于“进一步提高政府采购预付款比例”的规定：</w:t>
            </w:r>
          </w:p>
          <w:p w14:paraId="2D0B143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1、采购单位应当在政府采购合同中约定预付款。</w:t>
            </w:r>
          </w:p>
          <w:p w14:paraId="4B0C8F4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2、项目涉及中小企业合同预付款的，合同签订后，采购人可以根据项目特点、供应商诚信等因素要求中标人提交银行、保险公司等金融机构出具的预付款保函</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03D64D9B">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3、本项目涉及投标人为大型企业，或者以人工投入为主且实行按月定期结算支付款项的，预付款可低于上述比例或者不约定预付款（相应字样应在合同中体现）。</w:t>
            </w:r>
          </w:p>
          <w:p w14:paraId="6465116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4、在签订合同时，中标人明确表示无需预付款或者主动要求降低预付款比例的，应提交相应申请函经采购人确认后，可不适用前述规定。</w:t>
            </w:r>
          </w:p>
        </w:tc>
      </w:tr>
      <w:tr w14:paraId="1990E0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9405945">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w:t>
            </w:r>
          </w:p>
        </w:tc>
        <w:tc>
          <w:tcPr>
            <w:tcW w:w="1800" w:type="dxa"/>
            <w:vAlign w:val="center"/>
          </w:tcPr>
          <w:p w14:paraId="38117D9E">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金融支持</w:t>
            </w:r>
          </w:p>
        </w:tc>
        <w:tc>
          <w:tcPr>
            <w:tcW w:w="6682" w:type="dxa"/>
            <w:vAlign w:val="center"/>
          </w:tcPr>
          <w:p w14:paraId="7E2E840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为支持和促进中小企业发展，进一步发挥政府采购政策功能，企业若有融资意向，可登录政采云平台融资服务（https://jinrong.zcygov.cn/），查看相应融资政策文件及各相关银行服务方案。</w:t>
            </w:r>
          </w:p>
        </w:tc>
      </w:tr>
      <w:tr w14:paraId="6ABFE0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7B0A9C79">
            <w:pPr>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w:t>
            </w:r>
          </w:p>
        </w:tc>
        <w:tc>
          <w:tcPr>
            <w:tcW w:w="1800" w:type="dxa"/>
            <w:tcBorders>
              <w:bottom w:val="double" w:color="auto" w:sz="4" w:space="0"/>
            </w:tcBorders>
            <w:vAlign w:val="center"/>
          </w:tcPr>
          <w:p w14:paraId="5437A8E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682" w:type="dxa"/>
            <w:tcBorders>
              <w:bottom w:val="double" w:color="auto" w:sz="4" w:space="0"/>
            </w:tcBorders>
            <w:vAlign w:val="center"/>
          </w:tcPr>
          <w:p w14:paraId="1C5A705A">
            <w:pPr>
              <w:numPr>
                <w:ilvl w:val="0"/>
                <w:numId w:val="8"/>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本磋商文件要求提供的身份证复印件皆需提供正反面，否则按不提供处理。</w:t>
            </w:r>
          </w:p>
          <w:p w14:paraId="473221D1">
            <w:pPr>
              <w:numPr>
                <w:ilvl w:val="0"/>
                <w:numId w:val="8"/>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本项目货物如涉及柴油动力移动源，柴油动力移动源应当符合低排放要求。</w:t>
            </w:r>
          </w:p>
        </w:tc>
      </w:tr>
    </w:tbl>
    <w:p w14:paraId="43F7BCF7">
      <w:pPr>
        <w:pStyle w:val="8"/>
        <w:spacing w:line="360" w:lineRule="auto"/>
        <w:rPr>
          <w:rFonts w:ascii="宋体" w:hAnsi="宋体" w:cs="宋体"/>
          <w:color w:val="auto"/>
          <w:highlight w:val="none"/>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sz w:val="24"/>
          <w:szCs w:val="24"/>
          <w:highlight w:val="none"/>
        </w:rPr>
        <w:t>注：以上内容如有变化将另行通知。如通知其中某一内容发生变化，其余未提及的将不作变动。</w:t>
      </w:r>
    </w:p>
    <w:p w14:paraId="737F54C8">
      <w:pPr>
        <w:pStyle w:val="7"/>
        <w:numPr>
          <w:ilvl w:val="0"/>
          <w:numId w:val="9"/>
        </w:numPr>
        <w:rPr>
          <w:color w:val="auto"/>
          <w:highlight w:val="none"/>
        </w:rPr>
      </w:pPr>
      <w:bookmarkStart w:id="10" w:name="_Toc25187"/>
      <w:bookmarkStart w:id="11" w:name="_Toc32628"/>
      <w:r>
        <w:rPr>
          <w:rFonts w:hint="eastAsia"/>
          <w:color w:val="auto"/>
          <w:highlight w:val="none"/>
        </w:rPr>
        <w:t>总则</w:t>
      </w:r>
      <w:bookmarkEnd w:id="10"/>
      <w:bookmarkEnd w:id="11"/>
    </w:p>
    <w:p w14:paraId="70B91132">
      <w:pPr>
        <w:spacing w:line="336"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55184E18">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适用范围</w:t>
      </w:r>
    </w:p>
    <w:p w14:paraId="5D1BDF96">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1.1本次磋商工作仅适用于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2025年上虞区决策咨询委员会决策咨询研究课题和建议意见组织服务采购项目</w:t>
      </w:r>
      <w:r>
        <w:rPr>
          <w:rFonts w:hint="eastAsia" w:ascii="宋体" w:hAnsi="宋体" w:cs="宋体"/>
          <w:color w:val="auto"/>
          <w:sz w:val="24"/>
          <w:szCs w:val="24"/>
          <w:highlight w:val="none"/>
        </w:rPr>
        <w:t>。</w:t>
      </w:r>
    </w:p>
    <w:p w14:paraId="38738902">
      <w:pPr>
        <w:pStyle w:val="4"/>
        <w:spacing w:line="336"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1.2本项目采购方式采用竞争性磋商方式。</w:t>
      </w:r>
    </w:p>
    <w:p w14:paraId="39FB6F94">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定义</w:t>
      </w:r>
    </w:p>
    <w:p w14:paraId="72C43E66">
      <w:pPr>
        <w:spacing w:line="336"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2.1“</w:t>
      </w:r>
      <w:r>
        <w:rPr>
          <w:rFonts w:hint="eastAsia" w:ascii="宋体" w:hAnsi="宋体" w:cs="宋体"/>
          <w:color w:val="auto"/>
          <w:sz w:val="24"/>
          <w:szCs w:val="24"/>
          <w:highlight w:val="none"/>
          <w:lang w:val="zh-CN"/>
        </w:rPr>
        <w:t>采购人”系指</w:t>
      </w:r>
      <w:r>
        <w:rPr>
          <w:rFonts w:hint="eastAsia" w:ascii="宋体" w:hAnsi="宋体" w:cs="宋体"/>
          <w:color w:val="auto"/>
          <w:sz w:val="24"/>
          <w:szCs w:val="24"/>
          <w:highlight w:val="none"/>
          <w:u w:val="single"/>
          <w:lang w:eastAsia="zh-CN"/>
        </w:rPr>
        <w:t>中国共产党绍兴市上虞区委员会办公室</w:t>
      </w:r>
      <w:r>
        <w:rPr>
          <w:rFonts w:hint="eastAsia" w:ascii="宋体" w:hAnsi="宋体" w:cs="宋体"/>
          <w:color w:val="auto"/>
          <w:sz w:val="24"/>
          <w:szCs w:val="24"/>
          <w:highlight w:val="none"/>
        </w:rPr>
        <w:t>。采购人委托</w:t>
      </w:r>
      <w:r>
        <w:rPr>
          <w:rFonts w:hint="eastAsia" w:ascii="宋体" w:hAnsi="宋体" w:cs="宋体"/>
          <w:color w:val="auto"/>
          <w:sz w:val="24"/>
          <w:szCs w:val="24"/>
          <w:highlight w:val="none"/>
          <w:u w:val="single"/>
        </w:rPr>
        <w:t>绍兴成言工程咨询管理有限公司</w:t>
      </w:r>
      <w:r>
        <w:rPr>
          <w:rFonts w:hint="eastAsia" w:ascii="宋体" w:hAnsi="宋体" w:cs="宋体"/>
          <w:color w:val="auto"/>
          <w:sz w:val="24"/>
          <w:szCs w:val="24"/>
          <w:highlight w:val="none"/>
        </w:rPr>
        <w:t>为本项目采购代理机构。</w:t>
      </w:r>
    </w:p>
    <w:p w14:paraId="0BDDD9D7">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2.2“磋商供应商”系指响应本次采购，参加本次竞争性磋商的供应商。</w:t>
      </w:r>
    </w:p>
    <w:p w14:paraId="2D1A8E7F">
      <w:pPr>
        <w:spacing w:line="336"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2.3</w:t>
      </w:r>
      <w:r>
        <w:rPr>
          <w:rFonts w:hint="eastAsia" w:ascii="宋体" w:hAnsi="宋体" w:cs="宋体"/>
          <w:color w:val="auto"/>
          <w:sz w:val="24"/>
          <w:szCs w:val="24"/>
          <w:highlight w:val="none"/>
          <w:lang w:val="zh-CN"/>
        </w:rPr>
        <w:t>“服务”系指</w:t>
      </w:r>
      <w:r>
        <w:rPr>
          <w:rFonts w:hint="eastAsia" w:ascii="宋体" w:hAnsi="宋体" w:cs="宋体"/>
          <w:color w:val="auto"/>
          <w:sz w:val="24"/>
          <w:szCs w:val="24"/>
          <w:highlight w:val="none"/>
        </w:rPr>
        <w:t>磋商供应商按合同规定，须承担的服务的义务</w:t>
      </w:r>
      <w:r>
        <w:rPr>
          <w:rFonts w:hint="eastAsia" w:ascii="宋体" w:hAnsi="宋体" w:cs="宋体"/>
          <w:color w:val="auto"/>
          <w:sz w:val="24"/>
          <w:szCs w:val="24"/>
          <w:highlight w:val="none"/>
          <w:lang w:val="zh-CN"/>
        </w:rPr>
        <w:t>。</w:t>
      </w:r>
    </w:p>
    <w:p w14:paraId="01047BC9">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采购项目概况</w:t>
      </w:r>
      <w:r>
        <w:rPr>
          <w:rFonts w:hint="eastAsia" w:ascii="宋体" w:hAnsi="宋体" w:cs="宋体"/>
          <w:color w:val="auto"/>
          <w:sz w:val="24"/>
          <w:szCs w:val="24"/>
          <w:highlight w:val="none"/>
        </w:rPr>
        <w:tab/>
      </w:r>
      <w:r>
        <w:rPr>
          <w:rFonts w:hint="eastAsia" w:ascii="宋体" w:hAnsi="宋体" w:cs="宋体"/>
          <w:b/>
          <w:bCs/>
          <w:color w:val="auto"/>
          <w:sz w:val="24"/>
          <w:szCs w:val="24"/>
          <w:highlight w:val="none"/>
        </w:rPr>
        <w:tab/>
      </w:r>
    </w:p>
    <w:p w14:paraId="4432EDAF">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详见竞争性磋商公告相关内容，主要要求参见本文件第</w:t>
      </w:r>
      <w:r>
        <w:rPr>
          <w:rFonts w:hint="eastAsia" w:ascii="宋体" w:hAnsi="宋体" w:cs="宋体"/>
          <w:color w:val="auto"/>
          <w:sz w:val="24"/>
          <w:szCs w:val="24"/>
          <w:highlight w:val="none"/>
          <w:u w:val="single"/>
        </w:rPr>
        <w:t>三</w:t>
      </w:r>
      <w:r>
        <w:rPr>
          <w:rFonts w:hint="eastAsia" w:ascii="宋体" w:hAnsi="宋体" w:cs="宋体"/>
          <w:color w:val="auto"/>
          <w:sz w:val="24"/>
          <w:szCs w:val="24"/>
          <w:highlight w:val="none"/>
        </w:rPr>
        <w:t>部分。</w:t>
      </w:r>
    </w:p>
    <w:p w14:paraId="07EDEA49">
      <w:pPr>
        <w:adjustRightIn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合格的磋商供应商</w:t>
      </w:r>
    </w:p>
    <w:p w14:paraId="1FEA24ED">
      <w:pPr>
        <w:spacing w:line="336" w:lineRule="auto"/>
        <w:ind w:firstLine="480" w:firstLineChars="200"/>
        <w:rPr>
          <w:rFonts w:ascii="宋体" w:hAnsi="宋体" w:cs="宋体"/>
          <w:color w:val="auto"/>
          <w:sz w:val="24"/>
          <w:szCs w:val="24"/>
          <w:highlight w:val="none"/>
        </w:rPr>
      </w:pPr>
      <w:bookmarkStart w:id="12" w:name="_Toc211412066"/>
      <w:bookmarkStart w:id="13" w:name="_Toc197156227"/>
      <w:bookmarkStart w:id="14" w:name="_Toc197657950"/>
      <w:bookmarkStart w:id="15" w:name="_Toc207946571"/>
      <w:bookmarkStart w:id="16" w:name="_Toc197163261"/>
      <w:bookmarkStart w:id="17" w:name="_Toc209504018"/>
      <w:bookmarkStart w:id="18" w:name="_Toc209520993"/>
      <w:bookmarkStart w:id="19" w:name="_Toc209435242"/>
      <w:bookmarkStart w:id="20" w:name="_Toc193523219"/>
      <w:bookmarkStart w:id="21" w:name="_Toc204683265"/>
      <w:bookmarkStart w:id="22" w:name="_Toc208913145"/>
      <w:bookmarkStart w:id="23" w:name="_Toc208287611"/>
      <w:bookmarkStart w:id="24" w:name="_Toc193538208"/>
      <w:bookmarkStart w:id="25" w:name="_Toc197053926"/>
      <w:r>
        <w:rPr>
          <w:rFonts w:hint="eastAsia" w:ascii="宋体" w:hAnsi="宋体" w:cs="宋体"/>
          <w:color w:val="auto"/>
          <w:sz w:val="24"/>
          <w:szCs w:val="24"/>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7D0A3B2">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磋商费用</w:t>
      </w:r>
    </w:p>
    <w:p w14:paraId="1DA5A48B">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磋商供应商应承担其参加磋商所涉及的一切费用，不管结果如何，采购人对上述费用不负任何责任。</w:t>
      </w:r>
    </w:p>
    <w:p w14:paraId="1EDEF778">
      <w:pPr>
        <w:pStyle w:val="7"/>
        <w:numPr>
          <w:ilvl w:val="0"/>
          <w:numId w:val="9"/>
        </w:numPr>
        <w:rPr>
          <w:color w:val="auto"/>
          <w:highlight w:val="none"/>
        </w:rPr>
      </w:pPr>
      <w:bookmarkStart w:id="26" w:name="_Toc11814"/>
      <w:bookmarkStart w:id="27" w:name="_Toc32689"/>
      <w:bookmarkStart w:id="28" w:name="_Toc25923"/>
      <w:bookmarkStart w:id="29" w:name="_Toc416992151"/>
      <w:bookmarkStart w:id="30" w:name="_Toc25115"/>
      <w:r>
        <w:rPr>
          <w:rFonts w:hint="eastAsia"/>
          <w:color w:val="auto"/>
          <w:highlight w:val="none"/>
        </w:rPr>
        <w:t>竞争性磋商文件</w:t>
      </w:r>
      <w:bookmarkEnd w:id="26"/>
      <w:bookmarkEnd w:id="27"/>
      <w:bookmarkEnd w:id="28"/>
      <w:bookmarkEnd w:id="29"/>
      <w:bookmarkEnd w:id="30"/>
    </w:p>
    <w:p w14:paraId="79306A10">
      <w:pPr>
        <w:adjustRightIn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磋商文件的组成</w:t>
      </w:r>
    </w:p>
    <w:p w14:paraId="2E0AEE2E">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6.1本磋商文件包括目录所示内容及所有按本须知发出的补充资料（如果有）。</w:t>
      </w:r>
    </w:p>
    <w:p w14:paraId="74D58514">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6.2除上述所列内容外，采购人及采购代理机构的任何工作人员对磋商供应商所作的任何口头解释、介绍、答复，只能供磋商供应商参考，对采购人和磋商供应商无任何约束力。</w:t>
      </w:r>
    </w:p>
    <w:p w14:paraId="4A7386C5">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6.3磋商供应商应仔细阅读磋商文件的所有内容，按照文件要求提交响应文件，并保证所提交的全部资料的真实性。不按磋商文件的要求提供的响应文件和资料，可能导致磋商被拒绝。</w:t>
      </w:r>
    </w:p>
    <w:p w14:paraId="44C18907">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28A47187">
      <w:pPr>
        <w:adjustRightInd w:val="0"/>
        <w:spacing w:line="336" w:lineRule="auto"/>
        <w:ind w:firstLine="472" w:firstLineChars="196"/>
        <w:rPr>
          <w:rFonts w:ascii="宋体" w:hAnsi="宋体" w:cs="宋体"/>
          <w:b/>
          <w:bCs/>
          <w:color w:val="auto"/>
          <w:sz w:val="24"/>
          <w:szCs w:val="24"/>
          <w:highlight w:val="none"/>
        </w:rPr>
      </w:pP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磋商文件的澄清与修改</w:t>
      </w:r>
    </w:p>
    <w:p w14:paraId="59DE1637">
      <w:pPr>
        <w:pStyle w:val="3"/>
        <w:spacing w:line="336" w:lineRule="auto"/>
        <w:ind w:firstLine="480" w:firstLineChars="200"/>
        <w:rPr>
          <w:color w:val="auto"/>
          <w:highlight w:val="none"/>
        </w:rPr>
      </w:pPr>
      <w:r>
        <w:rPr>
          <w:rFonts w:hint="eastAsia"/>
          <w:color w:val="auto"/>
          <w:highlight w:val="none"/>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35FDE3C4">
      <w:pPr>
        <w:pStyle w:val="3"/>
        <w:spacing w:line="336" w:lineRule="auto"/>
        <w:ind w:right="-252" w:rightChars="-120" w:firstLine="480" w:firstLineChars="200"/>
        <w:rPr>
          <w:color w:val="auto"/>
          <w:highlight w:val="none"/>
        </w:rPr>
      </w:pPr>
      <w:r>
        <w:rPr>
          <w:rFonts w:hint="eastAsia"/>
          <w:color w:val="auto"/>
          <w:highlight w:val="none"/>
        </w:rPr>
        <w:t>7.2磋商供应商要求解释或澄清的问题应以书面形式，并加盖公章、写明日期。</w:t>
      </w:r>
    </w:p>
    <w:p w14:paraId="1DC7696A">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7.3提交响应文件截止之日前，采购人、采购代理机构或者磋商小组可以对已发出的磋商文件进行必要的澄清或者修改，澄清或者修改的内容作为磋商文件的组成部分。</w:t>
      </w:r>
    </w:p>
    <w:p w14:paraId="6C65CFF6">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7.4竞争性磋商文件的澄清修改文件及更正补充公告，请自行登录浙江政府采购网或绍兴市上虞区公共资源交易中心网站，在采购公告页面中下载。</w:t>
      </w:r>
    </w:p>
    <w:p w14:paraId="1959DF17">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14:paraId="22D6351F">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7.6竞争性磋商文件澄清、答复、修改、补充的内容为竞争性磋商文件的组成部分。</w:t>
      </w:r>
    </w:p>
    <w:p w14:paraId="62339240">
      <w:pPr>
        <w:pStyle w:val="8"/>
        <w:spacing w:line="336" w:lineRule="auto"/>
        <w:rPr>
          <w:rFonts w:ascii="宋体" w:hAnsi="宋体" w:cs="宋体"/>
          <w:color w:val="auto"/>
          <w:sz w:val="24"/>
          <w:szCs w:val="24"/>
          <w:highlight w:val="none"/>
        </w:rPr>
      </w:pPr>
      <w:r>
        <w:rPr>
          <w:rFonts w:hint="eastAsia" w:ascii="宋体" w:hAnsi="宋体" w:cs="宋体"/>
          <w:color w:val="auto"/>
          <w:sz w:val="24"/>
          <w:szCs w:val="24"/>
          <w:highlight w:val="none"/>
        </w:rPr>
        <w:t>7.7磋商文件发售截止日后，经采购人同意后购买磋商文件的磋商供应商不得对磋商文件和补充文件提出答疑或质疑。</w:t>
      </w:r>
    </w:p>
    <w:p w14:paraId="6C545A7D">
      <w:pPr>
        <w:pStyle w:val="7"/>
        <w:numPr>
          <w:ilvl w:val="0"/>
          <w:numId w:val="9"/>
        </w:numPr>
        <w:rPr>
          <w:color w:val="auto"/>
          <w:highlight w:val="none"/>
        </w:rPr>
      </w:pPr>
      <w:bookmarkStart w:id="31" w:name="_Toc7126"/>
      <w:bookmarkStart w:id="32" w:name="_Toc26603"/>
      <w:bookmarkStart w:id="33" w:name="_Toc32071"/>
      <w:bookmarkStart w:id="34" w:name="_Toc11515"/>
      <w:bookmarkStart w:id="35" w:name="_Toc14650"/>
      <w:bookmarkStart w:id="36" w:name="_Toc11669"/>
      <w:bookmarkStart w:id="37" w:name="_Toc6273"/>
      <w:bookmarkStart w:id="38" w:name="_Toc23135"/>
      <w:bookmarkStart w:id="39" w:name="_Toc1828"/>
      <w:bookmarkStart w:id="40" w:name="_Toc1202"/>
      <w:bookmarkStart w:id="41" w:name="_Toc391298957"/>
      <w:bookmarkStart w:id="42" w:name="_Toc26027"/>
      <w:bookmarkStart w:id="43" w:name="_Toc6457"/>
      <w:bookmarkStart w:id="44" w:name="_Toc31748"/>
      <w:bookmarkStart w:id="45" w:name="_Toc10810"/>
      <w:bookmarkStart w:id="46" w:name="_Toc18702"/>
      <w:bookmarkStart w:id="47" w:name="_Toc1729"/>
      <w:bookmarkStart w:id="48" w:name="_Toc6079"/>
      <w:bookmarkStart w:id="49" w:name="_Toc8860"/>
      <w:bookmarkStart w:id="50" w:name="_Toc23975"/>
      <w:bookmarkStart w:id="51" w:name="_Toc10669"/>
      <w:bookmarkStart w:id="52" w:name="_Toc11692"/>
      <w:bookmarkStart w:id="53" w:name="_Toc24622"/>
      <w:bookmarkStart w:id="54" w:name="_Toc11093"/>
      <w:r>
        <w:rPr>
          <w:rFonts w:hint="eastAsia"/>
          <w:color w:val="auto"/>
          <w:highlight w:val="none"/>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ECBFBC2">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8</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要求</w:t>
      </w:r>
    </w:p>
    <w:p w14:paraId="22454A64">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650739F9">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8.2报价</w:t>
      </w:r>
    </w:p>
    <w:p w14:paraId="6B83AA00">
      <w:pPr>
        <w:spacing w:line="336" w:lineRule="auto"/>
        <w:ind w:firstLine="480" w:firstLineChars="200"/>
        <w:rPr>
          <w:rFonts w:ascii="宋体" w:hAnsi="宋体" w:cs="宋体"/>
          <w:b/>
          <w:bCs/>
          <w:color w:val="auto"/>
          <w:sz w:val="24"/>
          <w:szCs w:val="24"/>
          <w:highlight w:val="none"/>
          <w:shd w:val="clear" w:color="FFFFFF" w:fill="D9D9D9"/>
        </w:rPr>
      </w:pPr>
      <w:r>
        <w:rPr>
          <w:rFonts w:hint="eastAsia" w:ascii="宋体" w:hAnsi="宋体" w:cs="宋体"/>
          <w:color w:val="auto"/>
          <w:sz w:val="24"/>
          <w:szCs w:val="24"/>
          <w:highlight w:val="none"/>
        </w:rPr>
        <w:t>8.2.1本次报价非一次性报价，报价币种为人民币。在磋商后根据磋商情况（包括细化采购方案和要求，增补部分采购内容等），供应商须二次报价（最终报价），如果供应商在规定时间30分钟内未提交第二次报价，视该供应商放弃本次投标，作无效标处理。</w:t>
      </w:r>
    </w:p>
    <w:p w14:paraId="1CE74438">
      <w:pPr>
        <w:pStyle w:val="36"/>
        <w:tabs>
          <w:tab w:val="left" w:pos="0"/>
        </w:tabs>
        <w:spacing w:before="0" w:line="336" w:lineRule="auto"/>
        <w:ind w:firstLine="480"/>
        <w:rPr>
          <w:rFonts w:ascii="宋体" w:hAnsi="宋体" w:cs="宋体"/>
          <w:color w:val="auto"/>
          <w:highlight w:val="none"/>
          <w:u w:val="single"/>
        </w:rPr>
      </w:pPr>
      <w:r>
        <w:rPr>
          <w:rFonts w:hint="eastAsia" w:ascii="宋体" w:hAnsi="宋体" w:cs="宋体"/>
          <w:color w:val="auto"/>
          <w:highlight w:val="none"/>
        </w:rPr>
        <w:t>8.2.2</w:t>
      </w:r>
      <w:r>
        <w:rPr>
          <w:rFonts w:hint="eastAsia" w:ascii="宋体" w:hAnsi="宋体" w:cs="宋体"/>
          <w:color w:val="auto"/>
          <w:highlight w:val="none"/>
          <w:u w:val="single"/>
        </w:rPr>
        <w:t>投标报价应包含项目所需全部服务，不得缺漏，是履行合同的最终价格（服务费、交通费、检测费、报告费、劳保及安全措施费</w:t>
      </w:r>
      <w:r>
        <w:rPr>
          <w:rFonts w:hint="eastAsia" w:ascii="宋体" w:hAnsi="宋体" w:cs="宋体"/>
          <w:color w:val="auto"/>
          <w:highlight w:val="none"/>
          <w:u w:val="single"/>
          <w:lang w:eastAsia="zh-CN"/>
        </w:rPr>
        <w:t>、</w:t>
      </w:r>
      <w:r>
        <w:rPr>
          <w:rFonts w:hint="eastAsia" w:ascii="宋体" w:hAnsi="宋体" w:cs="宋体"/>
          <w:color w:val="auto"/>
          <w:highlight w:val="none"/>
          <w:u w:val="single"/>
        </w:rPr>
        <w:t>人工费、</w:t>
      </w:r>
      <w:r>
        <w:rPr>
          <w:rFonts w:hint="eastAsia" w:ascii="宋体" w:hAnsi="宋体" w:cs="宋体"/>
          <w:color w:val="auto"/>
          <w:highlight w:val="none"/>
          <w:u w:val="single"/>
          <w:lang w:val="en-US" w:eastAsia="zh-CN"/>
        </w:rPr>
        <w:t>保险费、</w:t>
      </w:r>
      <w:r>
        <w:rPr>
          <w:rFonts w:hint="eastAsia" w:ascii="宋体" w:hAnsi="宋体" w:cs="宋体"/>
          <w:color w:val="auto"/>
          <w:highlight w:val="none"/>
          <w:u w:val="single"/>
        </w:rPr>
        <w:t>税金、招标代理费以及成交供应商认为有必要计入的其他费用等一切费用）</w:t>
      </w:r>
      <w:r>
        <w:rPr>
          <w:rFonts w:hint="eastAsia" w:ascii="宋体" w:hAnsi="宋体" w:cs="宋体"/>
          <w:color w:val="auto"/>
          <w:highlight w:val="none"/>
        </w:rPr>
        <w:t>。投标报价为供应商所能承受的最低、最终报价，供应商不得再要求追加任何费用。</w:t>
      </w:r>
    </w:p>
    <w:p w14:paraId="4884F5BB">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0711B5F1">
      <w:pPr>
        <w:spacing w:line="336"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8.2.3供应商的报价作为供应商计算单价或总价的依据，应完成技术文件中的所有要求，不得以任何理由予以重复，供应商对报价若有说明应在报价一览表备注处注明。任何有选择的报价方案及价格将不予接受。</w:t>
      </w:r>
    </w:p>
    <w:p w14:paraId="67346F17">
      <w:pPr>
        <w:pStyle w:val="14"/>
        <w:spacing w:line="336" w:lineRule="auto"/>
        <w:ind w:firstLine="482" w:firstLineChars="200"/>
        <w:rPr>
          <w:rFonts w:hAnsi="宋体"/>
          <w:b/>
          <w:bCs/>
          <w:color w:val="auto"/>
          <w:sz w:val="24"/>
          <w:szCs w:val="24"/>
          <w:highlight w:val="none"/>
          <w:u w:val="single"/>
        </w:rPr>
      </w:pPr>
      <w:r>
        <w:rPr>
          <w:rFonts w:hint="eastAsia" w:hAnsi="宋体"/>
          <w:b/>
          <w:bCs/>
          <w:color w:val="auto"/>
          <w:sz w:val="24"/>
          <w:szCs w:val="24"/>
          <w:highlight w:val="none"/>
        </w:rPr>
        <w:t>9</w:t>
      </w:r>
      <w:r>
        <w:rPr>
          <w:rFonts w:hint="eastAsia" w:hAnsi="宋体"/>
          <w:b/>
          <w:bCs/>
          <w:color w:val="auto"/>
          <w:sz w:val="24"/>
          <w:szCs w:val="24"/>
          <w:highlight w:val="none"/>
          <w:lang w:val="en-US" w:eastAsia="zh-CN"/>
        </w:rPr>
        <w:t>.</w:t>
      </w:r>
      <w:r>
        <w:rPr>
          <w:rFonts w:hint="eastAsia" w:hAnsi="宋体"/>
          <w:b/>
          <w:bCs/>
          <w:color w:val="auto"/>
          <w:sz w:val="24"/>
          <w:szCs w:val="24"/>
          <w:highlight w:val="none"/>
        </w:rPr>
        <w:t>响应文件的组成（</w:t>
      </w:r>
      <w:r>
        <w:rPr>
          <w:rFonts w:hint="eastAsia" w:hAnsi="宋体"/>
          <w:b/>
          <w:bCs/>
          <w:color w:val="auto"/>
          <w:sz w:val="24"/>
          <w:szCs w:val="24"/>
          <w:highlight w:val="none"/>
          <w:u w:val="single"/>
        </w:rPr>
        <w:t>供应商应根据采购文件的要求提供相应的内容且设置关联定位，供应商可查看《供应商-政府采购项目电子交易操作指南》进行操作：</w:t>
      </w:r>
      <w:r>
        <w:rPr>
          <w:rFonts w:hint="eastAsia" w:hAnsi="宋体" w:cs="宋体"/>
          <w:b/>
          <w:iCs/>
          <w:color w:val="auto"/>
          <w:sz w:val="24"/>
          <w:highlight w:val="none"/>
          <w:u w:val="single"/>
        </w:rPr>
        <w:fldChar w:fldCharType="begin"/>
      </w:r>
      <w:r>
        <w:rPr>
          <w:rFonts w:hint="eastAsia" w:hAnsi="宋体" w:cs="宋体"/>
          <w:b/>
          <w:iCs/>
          <w:color w:val="auto"/>
          <w:sz w:val="24"/>
          <w:highlight w:val="none"/>
          <w:u w:val="single"/>
        </w:rPr>
        <w:instrText xml:space="preserve"> HYPERLINK "https://service.zcygov.cn/" \l "/knowledges/tree?tag=AG1DtGwBFdiHxlNdhY0r" </w:instrText>
      </w:r>
      <w:r>
        <w:rPr>
          <w:rFonts w:hint="eastAsia" w:hAnsi="宋体" w:cs="宋体"/>
          <w:b/>
          <w:iCs/>
          <w:color w:val="auto"/>
          <w:sz w:val="24"/>
          <w:highlight w:val="none"/>
          <w:u w:val="single"/>
        </w:rPr>
        <w:fldChar w:fldCharType="separate"/>
      </w:r>
      <w:r>
        <w:rPr>
          <w:rFonts w:hint="eastAsia" w:hAnsi="宋体" w:cs="宋体"/>
          <w:b/>
          <w:iCs/>
          <w:color w:val="auto"/>
          <w:sz w:val="24"/>
          <w:highlight w:val="none"/>
          <w:u w:val="single"/>
        </w:rPr>
        <w:t>https://service.zcygov.cn/#/knowledges/tree?tag=AG1DtGwBFdiHxlNdhY0r</w:t>
      </w:r>
      <w:r>
        <w:rPr>
          <w:rFonts w:hint="eastAsia" w:hAnsi="宋体" w:cs="宋体"/>
          <w:b/>
          <w:iCs/>
          <w:color w:val="auto"/>
          <w:sz w:val="24"/>
          <w:highlight w:val="none"/>
          <w:u w:val="single"/>
        </w:rPr>
        <w:fldChar w:fldCharType="end"/>
      </w:r>
      <w:r>
        <w:rPr>
          <w:rFonts w:hint="eastAsia" w:hAnsi="宋体"/>
          <w:b/>
          <w:bCs/>
          <w:color w:val="auto"/>
          <w:sz w:val="24"/>
          <w:szCs w:val="24"/>
          <w:highlight w:val="none"/>
        </w:rPr>
        <w:t>）</w:t>
      </w:r>
    </w:p>
    <w:p w14:paraId="38AFD462">
      <w:pPr>
        <w:pStyle w:val="36"/>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响应文件应当包括以下主要内容：资格文件、商务技术文件、报价文件。</w:t>
      </w:r>
    </w:p>
    <w:p w14:paraId="77B4B6C4">
      <w:pPr>
        <w:pStyle w:val="36"/>
        <w:numPr>
          <w:ilvl w:val="0"/>
          <w:numId w:val="0"/>
        </w:numPr>
        <w:tabs>
          <w:tab w:val="left" w:pos="0"/>
        </w:tabs>
        <w:spacing w:before="0" w:line="336"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9.1</w:t>
      </w:r>
      <w:r>
        <w:rPr>
          <w:rFonts w:hint="eastAsia" w:ascii="宋体" w:hAnsi="宋体" w:cs="宋体"/>
          <w:color w:val="auto"/>
          <w:highlight w:val="none"/>
        </w:rPr>
        <w:t>资格文件包括以下内容：</w:t>
      </w:r>
    </w:p>
    <w:p w14:paraId="35DB2C63">
      <w:pPr>
        <w:pStyle w:val="36"/>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05547A77">
      <w:pPr>
        <w:pStyle w:val="36"/>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14:paraId="5DE05A44">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734F94F4">
      <w:pPr>
        <w:pStyle w:val="36"/>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rPr>
        <w:t>具有履行合同所必需的产品和专业技术能力的承诺函；</w:t>
      </w:r>
    </w:p>
    <w:p w14:paraId="12264302">
      <w:pPr>
        <w:pStyle w:val="36"/>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rPr>
        <w:t>投标人承诺函；</w:t>
      </w:r>
    </w:p>
    <w:p w14:paraId="6E3A6BFD">
      <w:pPr>
        <w:pStyle w:val="36"/>
        <w:numPr>
          <w:ilvl w:val="0"/>
          <w:numId w:val="10"/>
        </w:numPr>
        <w:spacing w:before="0"/>
        <w:ind w:firstLine="480"/>
        <w:rPr>
          <w:rFonts w:ascii="宋体" w:hAnsi="宋体" w:cs="宋体"/>
          <w:color w:val="auto"/>
          <w:highlight w:val="none"/>
        </w:rPr>
      </w:pPr>
      <w:r>
        <w:rPr>
          <w:rFonts w:hint="eastAsia" w:ascii="宋体" w:hAnsi="宋体" w:cs="宋体"/>
          <w:color w:val="auto"/>
          <w:highlight w:val="none"/>
        </w:rPr>
        <w:t>中小企业声明函（格式见附件）；</w:t>
      </w:r>
    </w:p>
    <w:p w14:paraId="0E399B97">
      <w:pPr>
        <w:pStyle w:val="36"/>
        <w:numPr>
          <w:ilvl w:val="0"/>
          <w:numId w:val="10"/>
        </w:numPr>
        <w:spacing w:before="0"/>
        <w:ind w:firstLine="480"/>
        <w:rPr>
          <w:rFonts w:ascii="宋体" w:hAnsi="宋体" w:cs="宋体"/>
          <w:color w:val="auto"/>
          <w:highlight w:val="none"/>
        </w:rPr>
      </w:pPr>
      <w:r>
        <w:rPr>
          <w:rFonts w:hint="eastAsia" w:ascii="宋体" w:hAnsi="宋体" w:cs="宋体"/>
          <w:color w:val="auto"/>
          <w:highlight w:val="none"/>
        </w:rPr>
        <w:t>残疾人福利性单位声明函(如有)（格式见附件）；</w:t>
      </w:r>
    </w:p>
    <w:p w14:paraId="3FC5E013">
      <w:pPr>
        <w:pStyle w:val="36"/>
        <w:numPr>
          <w:ilvl w:val="0"/>
          <w:numId w:val="10"/>
        </w:numPr>
        <w:spacing w:before="0" w:line="336" w:lineRule="auto"/>
        <w:ind w:firstLine="480"/>
        <w:rPr>
          <w:rFonts w:ascii="宋体" w:hAnsi="宋体" w:cs="宋体"/>
          <w:color w:val="auto"/>
          <w:highlight w:val="none"/>
        </w:rPr>
      </w:pPr>
      <w:r>
        <w:rPr>
          <w:rFonts w:hint="eastAsia" w:ascii="宋体" w:hAnsi="宋体" w:cs="宋体"/>
          <w:color w:val="auto"/>
          <w:highlight w:val="none"/>
        </w:rPr>
        <w:t>监狱企业证明文件(如有)（格式见附件）。</w:t>
      </w:r>
    </w:p>
    <w:p w14:paraId="779F225F">
      <w:pPr>
        <w:pStyle w:val="36"/>
        <w:numPr>
          <w:ilvl w:val="0"/>
          <w:numId w:val="0"/>
        </w:numPr>
        <w:tabs>
          <w:tab w:val="left" w:pos="0"/>
        </w:tabs>
        <w:spacing w:before="0" w:line="336"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9.2</w:t>
      </w:r>
      <w:r>
        <w:rPr>
          <w:rFonts w:hint="eastAsia" w:ascii="宋体" w:hAnsi="宋体" w:cs="宋体"/>
          <w:color w:val="auto"/>
          <w:highlight w:val="none"/>
        </w:rPr>
        <w:t>商务技术文件，本次磋商需要供应商提供以下项所列的技术文件：</w:t>
      </w:r>
    </w:p>
    <w:p w14:paraId="0AEFEBFD">
      <w:pPr>
        <w:numPr>
          <w:ilvl w:val="0"/>
          <w:numId w:val="11"/>
        </w:numPr>
        <w:spacing w:line="360" w:lineRule="auto"/>
        <w:ind w:left="150" w:leftChars="0"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评分对应表（格式见附件，主要用于评委对应评分内容）</w:t>
      </w:r>
      <w:r>
        <w:rPr>
          <w:rFonts w:hint="eastAsia" w:ascii="宋体" w:hAnsi="宋体" w:cs="宋体"/>
          <w:color w:val="auto"/>
          <w:sz w:val="24"/>
          <w:szCs w:val="24"/>
          <w:highlight w:val="none"/>
          <w:lang w:eastAsia="zh-CN"/>
        </w:rPr>
        <w:t>；</w:t>
      </w:r>
    </w:p>
    <w:p w14:paraId="26F12FF9">
      <w:pPr>
        <w:numPr>
          <w:ilvl w:val="0"/>
          <w:numId w:val="11"/>
        </w:numPr>
        <w:spacing w:line="360" w:lineRule="auto"/>
        <w:ind w:left="150" w:leftChars="0"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供应商商务技术文件中资信分自评表（格式见附件）；</w:t>
      </w:r>
    </w:p>
    <w:p w14:paraId="2633DED7">
      <w:pPr>
        <w:numPr>
          <w:ilvl w:val="0"/>
          <w:numId w:val="11"/>
        </w:numPr>
        <w:spacing w:line="360" w:lineRule="auto"/>
        <w:ind w:left="150" w:leftChars="0"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磋商项目明细清单（格式见附件）；</w:t>
      </w:r>
    </w:p>
    <w:p w14:paraId="5BEB72A9">
      <w:pPr>
        <w:numPr>
          <w:ilvl w:val="0"/>
          <w:numId w:val="11"/>
        </w:numPr>
        <w:spacing w:line="360" w:lineRule="auto"/>
        <w:ind w:left="150" w:leftChars="0"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技术响应及建议表（格式见附件）；</w:t>
      </w:r>
    </w:p>
    <w:p w14:paraId="62295BB7">
      <w:pPr>
        <w:numPr>
          <w:ilvl w:val="0"/>
          <w:numId w:val="11"/>
        </w:numPr>
        <w:spacing w:line="360" w:lineRule="auto"/>
        <w:ind w:left="150" w:leftChars="0"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商务响应表（格式见附件）；</w:t>
      </w:r>
    </w:p>
    <w:p w14:paraId="7730687B">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技术方案</w:t>
      </w:r>
      <w:r>
        <w:rPr>
          <w:rFonts w:hint="eastAsia" w:ascii="宋体" w:hAnsi="宋体" w:cs="宋体"/>
          <w:color w:val="auto"/>
          <w:sz w:val="24"/>
          <w:szCs w:val="24"/>
          <w:highlight w:val="none"/>
        </w:rPr>
        <w:t>；</w:t>
      </w:r>
    </w:p>
    <w:p w14:paraId="4638258C">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质量控制方案</w:t>
      </w:r>
      <w:r>
        <w:rPr>
          <w:rFonts w:hint="eastAsia" w:ascii="宋体" w:hAnsi="宋体" w:cs="宋体"/>
          <w:color w:val="auto"/>
          <w:sz w:val="24"/>
          <w:szCs w:val="24"/>
          <w:highlight w:val="none"/>
        </w:rPr>
        <w:t>；</w:t>
      </w:r>
    </w:p>
    <w:p w14:paraId="60B5F092">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重点和难点及解决方法</w:t>
      </w:r>
      <w:r>
        <w:rPr>
          <w:rFonts w:hint="eastAsia" w:ascii="宋体" w:hAnsi="宋体" w:cs="宋体"/>
          <w:color w:val="auto"/>
          <w:sz w:val="24"/>
          <w:szCs w:val="24"/>
          <w:highlight w:val="none"/>
        </w:rPr>
        <w:t>；</w:t>
      </w:r>
    </w:p>
    <w:p w14:paraId="52A79296">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服务管理整体策划；</w:t>
      </w:r>
    </w:p>
    <w:p w14:paraId="45483FF5">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媒体宣传方案；</w:t>
      </w:r>
    </w:p>
    <w:p w14:paraId="5613E473">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人员投入及团队实力</w:t>
      </w:r>
      <w:r>
        <w:rPr>
          <w:rFonts w:hint="eastAsia" w:ascii="宋体" w:hAnsi="宋体" w:cs="宋体"/>
          <w:color w:val="auto"/>
          <w:sz w:val="24"/>
          <w:szCs w:val="24"/>
          <w:highlight w:val="none"/>
        </w:rPr>
        <w:t>；</w:t>
      </w:r>
    </w:p>
    <w:p w14:paraId="508FCBE8">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应急预案及措施</w:t>
      </w:r>
      <w:r>
        <w:rPr>
          <w:rFonts w:hint="eastAsia" w:ascii="宋体" w:hAnsi="宋体" w:cs="宋体"/>
          <w:color w:val="auto"/>
          <w:sz w:val="24"/>
          <w:szCs w:val="24"/>
          <w:highlight w:val="none"/>
        </w:rPr>
        <w:t>；</w:t>
      </w:r>
    </w:p>
    <w:p w14:paraId="531D3CE5">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数据录入及档案管理</w:t>
      </w:r>
      <w:r>
        <w:rPr>
          <w:rFonts w:hint="eastAsia" w:ascii="宋体" w:hAnsi="宋体" w:cs="宋体"/>
          <w:color w:val="auto"/>
          <w:sz w:val="24"/>
          <w:szCs w:val="24"/>
          <w:highlight w:val="none"/>
        </w:rPr>
        <w:t>；</w:t>
      </w:r>
    </w:p>
    <w:p w14:paraId="4F651B8A">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车辆保证</w:t>
      </w:r>
      <w:r>
        <w:rPr>
          <w:rFonts w:hint="eastAsia" w:ascii="宋体" w:hAnsi="宋体" w:cs="宋体"/>
          <w:color w:val="auto"/>
          <w:sz w:val="24"/>
          <w:szCs w:val="24"/>
          <w:highlight w:val="none"/>
        </w:rPr>
        <w:t>；</w:t>
      </w:r>
    </w:p>
    <w:p w14:paraId="0B028B02">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后勤保证</w:t>
      </w:r>
      <w:r>
        <w:rPr>
          <w:rFonts w:hint="eastAsia" w:ascii="宋体" w:hAnsi="宋体" w:cs="宋体"/>
          <w:color w:val="auto"/>
          <w:sz w:val="24"/>
          <w:szCs w:val="24"/>
          <w:highlight w:val="none"/>
        </w:rPr>
        <w:t>；</w:t>
      </w:r>
    </w:p>
    <w:p w14:paraId="6BCA295D">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合理化建议；</w:t>
      </w:r>
    </w:p>
    <w:p w14:paraId="39185E00">
      <w:pPr>
        <w:numPr>
          <w:ilvl w:val="0"/>
          <w:numId w:val="11"/>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售后服务；</w:t>
      </w:r>
    </w:p>
    <w:p w14:paraId="31BFAC27">
      <w:pPr>
        <w:numPr>
          <w:ilvl w:val="0"/>
          <w:numId w:val="11"/>
        </w:numPr>
        <w:spacing w:line="360" w:lineRule="auto"/>
        <w:ind w:left="150" w:leftChars="0" w:firstLine="480" w:firstLineChars="0"/>
        <w:rPr>
          <w:rFonts w:hint="eastAsia"/>
        </w:rPr>
      </w:pPr>
      <w:r>
        <w:rPr>
          <w:rFonts w:hint="eastAsia" w:ascii="宋体" w:hAnsi="宋体" w:cs="宋体"/>
          <w:color w:val="auto"/>
          <w:sz w:val="24"/>
          <w:szCs w:val="24"/>
          <w:highlight w:val="none"/>
          <w:lang w:val="en-US" w:eastAsia="zh-CN"/>
        </w:rPr>
        <w:t>人员证书；</w:t>
      </w:r>
    </w:p>
    <w:p w14:paraId="7F8B511A">
      <w:pPr>
        <w:numPr>
          <w:ilvl w:val="0"/>
          <w:numId w:val="11"/>
        </w:numPr>
        <w:spacing w:line="360" w:lineRule="auto"/>
        <w:ind w:left="150" w:leftChars="0" w:firstLine="480" w:firstLineChars="0"/>
        <w:rPr>
          <w:rFonts w:ascii="宋体" w:hAnsi="宋体" w:cs="宋体"/>
          <w:color w:val="auto"/>
          <w:sz w:val="24"/>
          <w:szCs w:val="24"/>
          <w:highlight w:val="none"/>
        </w:rPr>
      </w:pPr>
      <w:r>
        <w:rPr>
          <w:rFonts w:hint="eastAsia" w:ascii="宋体" w:hAnsi="宋体" w:cs="宋体"/>
          <w:color w:val="auto"/>
          <w:sz w:val="24"/>
          <w:szCs w:val="24"/>
          <w:highlight w:val="none"/>
        </w:rPr>
        <w:t>供应商认为需要的其他文件资料。</w:t>
      </w:r>
    </w:p>
    <w:p w14:paraId="72746EEB">
      <w:pPr>
        <w:pStyle w:val="36"/>
        <w:spacing w:before="0" w:line="336" w:lineRule="auto"/>
        <w:ind w:firstLine="0" w:firstLineChars="0"/>
        <w:rPr>
          <w:rFonts w:ascii="宋体" w:hAnsi="宋体" w:cs="宋体"/>
          <w:color w:val="auto"/>
          <w:highlight w:val="none"/>
        </w:rPr>
      </w:pPr>
      <w:r>
        <w:rPr>
          <w:rFonts w:hint="eastAsia" w:ascii="宋体" w:hAnsi="宋体" w:cs="宋体"/>
          <w:color w:val="auto"/>
          <w:highlight w:val="none"/>
        </w:rPr>
        <w:t>注：以上内容应与评标办法中内容具有一致性。</w:t>
      </w:r>
    </w:p>
    <w:p w14:paraId="2A4EF3C3">
      <w:pPr>
        <w:pStyle w:val="36"/>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57C6B8FD">
      <w:pPr>
        <w:pStyle w:val="36"/>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059DEBB6">
      <w:pPr>
        <w:pStyle w:val="36"/>
        <w:numPr>
          <w:ilvl w:val="0"/>
          <w:numId w:val="0"/>
        </w:numPr>
        <w:tabs>
          <w:tab w:val="left" w:pos="0"/>
        </w:tabs>
        <w:spacing w:before="0" w:line="336"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9.3</w:t>
      </w:r>
      <w:r>
        <w:rPr>
          <w:rFonts w:hint="eastAsia" w:ascii="宋体" w:hAnsi="宋体" w:cs="宋体"/>
          <w:color w:val="auto"/>
          <w:highlight w:val="none"/>
        </w:rPr>
        <w:t>报价文件包括以下内容：</w:t>
      </w:r>
    </w:p>
    <w:p w14:paraId="2B8E7103">
      <w:pPr>
        <w:pStyle w:val="36"/>
        <w:numPr>
          <w:ilvl w:val="0"/>
          <w:numId w:val="12"/>
        </w:numPr>
        <w:spacing w:before="0" w:line="336" w:lineRule="auto"/>
        <w:ind w:firstLine="480"/>
        <w:rPr>
          <w:rFonts w:ascii="宋体" w:hAnsi="宋体" w:cs="宋体"/>
          <w:color w:val="auto"/>
          <w:highlight w:val="none"/>
        </w:rPr>
      </w:pPr>
      <w:r>
        <w:rPr>
          <w:rFonts w:hint="eastAsia" w:ascii="宋体" w:hAnsi="宋体" w:cs="宋体"/>
          <w:color w:val="auto"/>
          <w:highlight w:val="none"/>
        </w:rPr>
        <w:t>磋商函（格式见附件）；</w:t>
      </w:r>
    </w:p>
    <w:p w14:paraId="48BFD9AF">
      <w:pPr>
        <w:pStyle w:val="36"/>
        <w:numPr>
          <w:ilvl w:val="0"/>
          <w:numId w:val="12"/>
        </w:numPr>
        <w:spacing w:before="0" w:line="336" w:lineRule="auto"/>
        <w:ind w:firstLine="480"/>
        <w:rPr>
          <w:rFonts w:ascii="宋体" w:hAnsi="宋体" w:cs="宋体"/>
          <w:color w:val="auto"/>
          <w:highlight w:val="none"/>
        </w:rPr>
      </w:pPr>
      <w:r>
        <w:rPr>
          <w:rFonts w:hint="eastAsia" w:ascii="宋体" w:hAnsi="宋体" w:cs="宋体"/>
          <w:color w:val="auto"/>
          <w:highlight w:val="none"/>
        </w:rPr>
        <w:t>报价一览表（格式见附件）；</w:t>
      </w:r>
    </w:p>
    <w:p w14:paraId="46013886">
      <w:pPr>
        <w:pStyle w:val="36"/>
        <w:numPr>
          <w:ilvl w:val="0"/>
          <w:numId w:val="12"/>
        </w:numPr>
        <w:spacing w:before="0" w:line="336" w:lineRule="auto"/>
        <w:ind w:firstLine="480"/>
        <w:rPr>
          <w:rFonts w:ascii="宋体" w:hAnsi="宋体" w:cs="宋体"/>
          <w:color w:val="auto"/>
          <w:highlight w:val="none"/>
        </w:rPr>
      </w:pPr>
      <w:r>
        <w:rPr>
          <w:rFonts w:hint="eastAsia" w:ascii="宋体" w:hAnsi="宋体" w:cs="宋体"/>
          <w:color w:val="auto"/>
          <w:highlight w:val="none"/>
        </w:rPr>
        <w:t>磋商报价明细表（格式见附件）。</w:t>
      </w:r>
    </w:p>
    <w:p w14:paraId="6A3044D4">
      <w:pPr>
        <w:pStyle w:val="36"/>
        <w:spacing w:before="0" w:line="336" w:lineRule="auto"/>
        <w:ind w:firstLine="241" w:firstLineChars="100"/>
        <w:rPr>
          <w:rFonts w:ascii="宋体" w:hAnsi="宋体" w:cs="宋体"/>
          <w:b/>
          <w:bCs/>
          <w:color w:val="auto"/>
          <w:highlight w:val="none"/>
          <w:u w:val="single"/>
        </w:rPr>
      </w:pPr>
      <w:r>
        <w:rPr>
          <w:rFonts w:hint="eastAsia" w:ascii="宋体" w:hAnsi="宋体" w:cs="宋体"/>
          <w:b/>
          <w:bCs/>
          <w:color w:val="auto"/>
          <w:highlight w:val="none"/>
          <w:u w:val="single"/>
        </w:rPr>
        <w:t>注：“资格文件”、“商务技术文件”、“报价文件”须分3个PDF格式分别导入。</w:t>
      </w:r>
    </w:p>
    <w:p w14:paraId="50985A20">
      <w:pPr>
        <w:pStyle w:val="36"/>
        <w:spacing w:before="0" w:line="336" w:lineRule="auto"/>
        <w:ind w:left="420" w:leftChars="200" w:firstLine="0" w:firstLineChars="0"/>
        <w:rPr>
          <w:rFonts w:ascii="宋体" w:hAnsi="宋体" w:cs="宋体"/>
          <w:b/>
          <w:bCs/>
          <w:color w:val="auto"/>
          <w:highlight w:val="none"/>
        </w:rPr>
      </w:pPr>
      <w:r>
        <w:rPr>
          <w:rFonts w:hint="eastAsia" w:ascii="宋体" w:hAnsi="宋体" w:cs="宋体"/>
          <w:b/>
          <w:bCs/>
          <w:color w:val="auto"/>
          <w:highlight w:val="none"/>
        </w:rPr>
        <w:t>10</w:t>
      </w:r>
      <w:r>
        <w:rPr>
          <w:rFonts w:hint="eastAsia" w:ascii="宋体" w:hAnsi="宋体" w:cs="宋体"/>
          <w:b/>
          <w:bCs/>
          <w:color w:val="auto"/>
          <w:highlight w:val="none"/>
          <w:lang w:val="en-US" w:eastAsia="zh-CN"/>
        </w:rPr>
        <w:t>.</w:t>
      </w:r>
      <w:r>
        <w:rPr>
          <w:rFonts w:hint="eastAsia" w:ascii="宋体" w:hAnsi="宋体" w:cs="宋体"/>
          <w:b/>
          <w:bCs/>
          <w:color w:val="auto"/>
          <w:highlight w:val="none"/>
        </w:rPr>
        <w:t>响应文件有效期</w:t>
      </w:r>
    </w:p>
    <w:p w14:paraId="62CC50D3">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10.1 响应文件未在磋商响应截止时间前完成传输的或者未按时解密的，视为放弃磋商；响应文件解密失败后未提供备份文件或者备份文件也出现异常情况无法进行评审的，亦视为放弃磋商。</w:t>
      </w:r>
    </w:p>
    <w:p w14:paraId="2E31ED0D">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10.2 响应文件上传后，自磋商响应截止日期起，在前附表所列的磋商响应文件有效期内有效。</w:t>
      </w:r>
    </w:p>
    <w:p w14:paraId="20CB00E0">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10.3 在原定有效期满之前，如果出现特殊情况，采购代理机构可以以书面形式向磋商供应商提出延长磋商有效期的要求，磋商供应商对此须以书面形式予以答复。</w:t>
      </w:r>
    </w:p>
    <w:p w14:paraId="3113F942">
      <w:pPr>
        <w:pStyle w:val="36"/>
        <w:spacing w:before="0" w:line="336" w:lineRule="auto"/>
        <w:ind w:left="420" w:leftChars="200" w:firstLine="0" w:firstLineChars="0"/>
        <w:rPr>
          <w:rFonts w:ascii="宋体" w:hAnsi="宋体" w:cs="宋体"/>
          <w:b/>
          <w:bCs/>
          <w:color w:val="auto"/>
          <w:highlight w:val="none"/>
        </w:rPr>
      </w:pPr>
      <w:r>
        <w:rPr>
          <w:rFonts w:hint="eastAsia" w:ascii="宋体" w:hAnsi="宋体" w:cs="宋体"/>
          <w:b/>
          <w:bCs/>
          <w:color w:val="auto"/>
          <w:highlight w:val="none"/>
        </w:rPr>
        <w:t>11</w:t>
      </w:r>
      <w:r>
        <w:rPr>
          <w:rFonts w:hint="eastAsia" w:ascii="宋体" w:hAnsi="宋体" w:cs="宋体"/>
          <w:b/>
          <w:bCs/>
          <w:color w:val="auto"/>
          <w:highlight w:val="none"/>
          <w:lang w:val="en-US" w:eastAsia="zh-CN"/>
        </w:rPr>
        <w:t>.</w:t>
      </w:r>
      <w:r>
        <w:rPr>
          <w:rFonts w:hint="eastAsia" w:ascii="宋体" w:hAnsi="宋体" w:cs="宋体"/>
          <w:b/>
          <w:bCs/>
          <w:color w:val="auto"/>
          <w:highlight w:val="none"/>
        </w:rPr>
        <w:t>供应商如有下列情况之一者列入不良行为记录：</w:t>
      </w:r>
    </w:p>
    <w:p w14:paraId="0E8073F8">
      <w:pPr>
        <w:pStyle w:val="36"/>
        <w:spacing w:before="0" w:line="336" w:lineRule="auto"/>
        <w:ind w:left="420" w:leftChars="200" w:firstLine="0" w:firstLineChars="0"/>
        <w:rPr>
          <w:rFonts w:ascii="宋体" w:hAnsi="宋体" w:cs="宋体"/>
          <w:color w:val="auto"/>
          <w:highlight w:val="none"/>
        </w:rPr>
      </w:pPr>
      <w:r>
        <w:rPr>
          <w:rFonts w:hint="eastAsia" w:ascii="宋体" w:hAnsi="宋体" w:cs="宋体"/>
          <w:color w:val="auto"/>
          <w:highlight w:val="none"/>
        </w:rPr>
        <w:t>11.1 供应商在磋商响应文件有效期内撤回投标的；</w:t>
      </w:r>
    </w:p>
    <w:p w14:paraId="7F8609C9">
      <w:pPr>
        <w:pStyle w:val="36"/>
        <w:spacing w:before="0" w:line="336" w:lineRule="auto"/>
        <w:ind w:left="420" w:leftChars="200" w:firstLine="0" w:firstLineChars="0"/>
        <w:rPr>
          <w:rFonts w:ascii="宋体" w:hAnsi="宋体" w:cs="宋体"/>
          <w:color w:val="auto"/>
          <w:highlight w:val="none"/>
        </w:rPr>
      </w:pPr>
      <w:r>
        <w:rPr>
          <w:rFonts w:hint="eastAsia" w:ascii="宋体" w:hAnsi="宋体" w:cs="宋体"/>
          <w:color w:val="auto"/>
          <w:highlight w:val="none"/>
        </w:rPr>
        <w:t>11.2 供应商或中标候选人放弃中标或中标候选人资格的；</w:t>
      </w:r>
    </w:p>
    <w:p w14:paraId="3F37DC61">
      <w:pPr>
        <w:pStyle w:val="36"/>
        <w:spacing w:before="0" w:line="336" w:lineRule="auto"/>
        <w:ind w:left="420" w:leftChars="200" w:firstLine="0" w:firstLineChars="0"/>
        <w:rPr>
          <w:rFonts w:ascii="宋体" w:hAnsi="宋体" w:cs="宋体"/>
          <w:color w:val="auto"/>
          <w:highlight w:val="none"/>
        </w:rPr>
      </w:pPr>
      <w:r>
        <w:rPr>
          <w:rFonts w:hint="eastAsia" w:ascii="宋体" w:hAnsi="宋体" w:cs="宋体"/>
          <w:color w:val="auto"/>
          <w:highlight w:val="none"/>
        </w:rPr>
        <w:t>11.3 擅自修改或拒绝接受已经确认的条款；</w:t>
      </w:r>
    </w:p>
    <w:p w14:paraId="6024B909">
      <w:pPr>
        <w:pStyle w:val="36"/>
        <w:spacing w:before="0" w:line="336" w:lineRule="auto"/>
        <w:ind w:left="420" w:leftChars="200" w:firstLine="0" w:firstLineChars="0"/>
        <w:rPr>
          <w:rFonts w:ascii="宋体" w:hAnsi="宋体" w:cs="宋体"/>
          <w:color w:val="auto"/>
          <w:highlight w:val="none"/>
        </w:rPr>
      </w:pPr>
      <w:r>
        <w:rPr>
          <w:rFonts w:hint="eastAsia" w:ascii="宋体" w:hAnsi="宋体" w:cs="宋体"/>
          <w:color w:val="auto"/>
          <w:highlight w:val="none"/>
        </w:rPr>
        <w:t>11.4 成交供应商未按规定与采购人签订合同；</w:t>
      </w:r>
    </w:p>
    <w:p w14:paraId="6BD53BA9">
      <w:pPr>
        <w:pStyle w:val="36"/>
        <w:spacing w:before="0" w:line="336" w:lineRule="auto"/>
        <w:ind w:left="420" w:leftChars="200" w:firstLine="0" w:firstLineChars="0"/>
        <w:rPr>
          <w:rFonts w:ascii="宋体" w:hAnsi="宋体" w:cs="宋体"/>
          <w:color w:val="auto"/>
          <w:highlight w:val="none"/>
        </w:rPr>
      </w:pPr>
      <w:r>
        <w:rPr>
          <w:rFonts w:hint="eastAsia" w:ascii="宋体" w:hAnsi="宋体" w:cs="宋体"/>
          <w:color w:val="auto"/>
          <w:highlight w:val="none"/>
        </w:rPr>
        <w:t>11.5供应商采取提供虚假资料等不正当手段的；</w:t>
      </w:r>
    </w:p>
    <w:p w14:paraId="51F29A12">
      <w:pPr>
        <w:pStyle w:val="36"/>
        <w:spacing w:before="0" w:line="336" w:lineRule="auto"/>
        <w:ind w:left="420" w:leftChars="200" w:firstLine="0" w:firstLineChars="0"/>
        <w:rPr>
          <w:rFonts w:ascii="宋体" w:hAnsi="宋体" w:cs="宋体"/>
          <w:color w:val="auto"/>
          <w:highlight w:val="none"/>
        </w:rPr>
      </w:pPr>
      <w:r>
        <w:rPr>
          <w:rFonts w:hint="eastAsia" w:ascii="宋体" w:hAnsi="宋体" w:cs="宋体"/>
          <w:color w:val="auto"/>
          <w:highlight w:val="none"/>
        </w:rPr>
        <w:t>11.6供应商在投标过程中串通投标的。</w:t>
      </w:r>
    </w:p>
    <w:p w14:paraId="3869EA2A">
      <w:pPr>
        <w:pStyle w:val="36"/>
        <w:spacing w:before="0" w:line="336" w:lineRule="auto"/>
        <w:ind w:firstLine="482"/>
        <w:rPr>
          <w:rFonts w:ascii="宋体" w:hAnsi="宋体" w:cs="宋体"/>
          <w:b/>
          <w:bCs/>
          <w:color w:val="auto"/>
          <w:highlight w:val="none"/>
        </w:rPr>
      </w:pPr>
      <w:r>
        <w:rPr>
          <w:rFonts w:hint="eastAsia" w:ascii="宋体" w:hAnsi="宋体" w:cs="宋体"/>
          <w:b/>
          <w:bCs/>
          <w:color w:val="auto"/>
          <w:highlight w:val="none"/>
        </w:rPr>
        <w:t>12</w:t>
      </w:r>
      <w:r>
        <w:rPr>
          <w:rFonts w:hint="eastAsia" w:ascii="宋体" w:hAnsi="宋体" w:cs="宋体"/>
          <w:b/>
          <w:bCs/>
          <w:color w:val="auto"/>
          <w:highlight w:val="none"/>
          <w:lang w:val="en-US" w:eastAsia="zh-CN"/>
        </w:rPr>
        <w:t>.</w:t>
      </w:r>
      <w:r>
        <w:rPr>
          <w:rFonts w:hint="eastAsia" w:ascii="宋体" w:hAnsi="宋体" w:cs="宋体"/>
          <w:b/>
          <w:bCs/>
          <w:color w:val="auto"/>
          <w:highlight w:val="none"/>
        </w:rPr>
        <w:t>响应文件的编制和签署</w:t>
      </w:r>
    </w:p>
    <w:p w14:paraId="52BB43C4">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12.1 按磋商文件9.1条、9.2条、9.3条要求提供的各种文件，响应文件分为资格文件、商务技术文件和报价文件三部分。</w:t>
      </w:r>
    </w:p>
    <w:p w14:paraId="21A3B286">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12.2 响应文件须按附件格式要求进行电子签章，供应商应写全称。（电子磋商响应文件中所需加盖公章部分均应采用电子签章）</w:t>
      </w:r>
    </w:p>
    <w:p w14:paraId="1C83FB5A">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12.3 全套响应文件应无涂改和行间插字，除非这些删改是根据采购代理机构要求进行，或者是供应商造成的必须修改的错误。所修改处应由法定代表人或其授权代表签字盖章予以确认。</w:t>
      </w:r>
    </w:p>
    <w:p w14:paraId="2F8C2944">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12.4 由于字迹模糊或表达不清引起的后果由供应商负责。</w:t>
      </w:r>
    </w:p>
    <w:p w14:paraId="740E1A98">
      <w:pPr>
        <w:pStyle w:val="36"/>
        <w:spacing w:before="0" w:line="336" w:lineRule="auto"/>
        <w:ind w:firstLine="482"/>
        <w:rPr>
          <w:rFonts w:ascii="宋体" w:hAnsi="宋体" w:cs="宋体"/>
          <w:b/>
          <w:bCs/>
          <w:color w:val="auto"/>
          <w:highlight w:val="none"/>
        </w:rPr>
      </w:pPr>
      <w:r>
        <w:rPr>
          <w:rFonts w:hint="eastAsia" w:ascii="宋体" w:hAnsi="宋体" w:cs="宋体"/>
          <w:b/>
          <w:bCs/>
          <w:color w:val="auto"/>
          <w:highlight w:val="none"/>
        </w:rPr>
        <w:t>13</w:t>
      </w:r>
      <w:r>
        <w:rPr>
          <w:rFonts w:hint="eastAsia" w:ascii="宋体" w:hAnsi="宋体" w:cs="宋体"/>
          <w:b/>
          <w:bCs/>
          <w:color w:val="auto"/>
          <w:highlight w:val="none"/>
          <w:lang w:val="en-US" w:eastAsia="zh-CN"/>
        </w:rPr>
        <w:t>.</w:t>
      </w:r>
      <w:r>
        <w:rPr>
          <w:rFonts w:hint="eastAsia" w:ascii="宋体" w:hAnsi="宋体" w:cs="宋体"/>
          <w:b/>
          <w:bCs/>
          <w:color w:val="auto"/>
          <w:highlight w:val="none"/>
        </w:rPr>
        <w:t>响应文件的形式</w:t>
      </w:r>
    </w:p>
    <w:p w14:paraId="6F655D1F">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响应文件为电子磋商响应文件，电子磋商响应文件按“政采云供应商项目采购-电子招投标操作指南”及本磋商文件要求制作、加密传输。</w:t>
      </w:r>
    </w:p>
    <w:p w14:paraId="2AA6AD70">
      <w:pPr>
        <w:pStyle w:val="7"/>
        <w:numPr>
          <w:ilvl w:val="0"/>
          <w:numId w:val="9"/>
        </w:numPr>
        <w:rPr>
          <w:color w:val="auto"/>
          <w:highlight w:val="none"/>
        </w:rPr>
      </w:pPr>
      <w:bookmarkStart w:id="55" w:name="_Toc21266"/>
      <w:bookmarkStart w:id="56" w:name="_Toc1420"/>
      <w:bookmarkStart w:id="57" w:name="_Toc29901"/>
      <w:r>
        <w:rPr>
          <w:rFonts w:hint="eastAsia"/>
          <w:color w:val="auto"/>
          <w:highlight w:val="none"/>
        </w:rPr>
        <w:t>响应文件的递交</w:t>
      </w:r>
      <w:bookmarkEnd w:id="55"/>
      <w:bookmarkEnd w:id="56"/>
      <w:bookmarkEnd w:id="57"/>
    </w:p>
    <w:p w14:paraId="67171B4E">
      <w:pPr>
        <w:pStyle w:val="14"/>
        <w:spacing w:line="336" w:lineRule="auto"/>
        <w:ind w:left="420" w:leftChars="200"/>
        <w:rPr>
          <w:rFonts w:hAnsi="宋体"/>
          <w:b/>
          <w:bCs/>
          <w:color w:val="auto"/>
          <w:sz w:val="24"/>
          <w:szCs w:val="24"/>
          <w:highlight w:val="none"/>
        </w:rPr>
      </w:pPr>
      <w:r>
        <w:rPr>
          <w:rFonts w:hint="eastAsia" w:hAnsi="宋体"/>
          <w:b/>
          <w:bCs/>
          <w:color w:val="auto"/>
          <w:sz w:val="24"/>
          <w:szCs w:val="24"/>
          <w:highlight w:val="none"/>
        </w:rPr>
        <w:t>14</w:t>
      </w:r>
      <w:r>
        <w:rPr>
          <w:rFonts w:hint="eastAsia" w:hAnsi="宋体"/>
          <w:b/>
          <w:bCs/>
          <w:color w:val="auto"/>
          <w:sz w:val="24"/>
          <w:szCs w:val="24"/>
          <w:highlight w:val="none"/>
          <w:lang w:val="en-US" w:eastAsia="zh-CN"/>
        </w:rPr>
        <w:t>.</w:t>
      </w:r>
      <w:r>
        <w:rPr>
          <w:rFonts w:hint="eastAsia" w:hAnsi="宋体"/>
          <w:b/>
          <w:bCs/>
          <w:color w:val="auto"/>
          <w:sz w:val="24"/>
          <w:szCs w:val="24"/>
          <w:highlight w:val="none"/>
        </w:rPr>
        <w:t>磋商响应截止期</w:t>
      </w:r>
    </w:p>
    <w:p w14:paraId="7DA9005E">
      <w:pPr>
        <w:pStyle w:val="36"/>
        <w:numPr>
          <w:ilvl w:val="0"/>
          <w:numId w:val="13"/>
        </w:numPr>
        <w:spacing w:before="0" w:line="336" w:lineRule="auto"/>
        <w:ind w:firstLine="480"/>
        <w:rPr>
          <w:rFonts w:ascii="宋体" w:hAnsi="宋体" w:cs="宋体"/>
          <w:color w:val="auto"/>
          <w:highlight w:val="none"/>
        </w:rPr>
      </w:pPr>
      <w:r>
        <w:rPr>
          <w:rFonts w:hint="eastAsia" w:ascii="宋体" w:hAnsi="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206A4EA4">
      <w:pPr>
        <w:pStyle w:val="36"/>
        <w:numPr>
          <w:ilvl w:val="0"/>
          <w:numId w:val="13"/>
        </w:numPr>
        <w:spacing w:before="0" w:line="336" w:lineRule="auto"/>
        <w:ind w:firstLine="480"/>
        <w:rPr>
          <w:rFonts w:ascii="宋体" w:hAnsi="宋体" w:cs="宋体"/>
          <w:color w:val="auto"/>
          <w:highlight w:val="none"/>
        </w:rPr>
      </w:pPr>
      <w:r>
        <w:rPr>
          <w:rFonts w:hint="eastAsia" w:ascii="宋体" w:hAnsi="宋体" w:cs="宋体"/>
          <w:color w:val="auto"/>
          <w:highlight w:val="none"/>
        </w:rPr>
        <w:t>采购人因故推迟磋商响应截止时间，将以公告形式通知。在这种情况下，采购人和供应商的权利和义务将受到新的截止时间的约束。</w:t>
      </w:r>
    </w:p>
    <w:p w14:paraId="312CBDE9">
      <w:pPr>
        <w:pStyle w:val="14"/>
        <w:spacing w:line="336" w:lineRule="auto"/>
        <w:ind w:left="420" w:leftChars="200"/>
        <w:rPr>
          <w:rFonts w:hAnsi="宋体"/>
          <w:b/>
          <w:bCs/>
          <w:color w:val="auto"/>
          <w:sz w:val="24"/>
          <w:szCs w:val="24"/>
          <w:highlight w:val="none"/>
        </w:rPr>
      </w:pPr>
      <w:r>
        <w:rPr>
          <w:rFonts w:hint="eastAsia" w:hAnsi="宋体"/>
          <w:b/>
          <w:bCs/>
          <w:color w:val="auto"/>
          <w:sz w:val="24"/>
          <w:szCs w:val="24"/>
          <w:highlight w:val="none"/>
        </w:rPr>
        <w:t>15</w:t>
      </w:r>
      <w:r>
        <w:rPr>
          <w:rFonts w:hint="eastAsia" w:hAnsi="宋体"/>
          <w:b/>
          <w:bCs/>
          <w:color w:val="auto"/>
          <w:sz w:val="24"/>
          <w:szCs w:val="24"/>
          <w:highlight w:val="none"/>
          <w:lang w:val="en-US" w:eastAsia="zh-CN"/>
        </w:rPr>
        <w:t>.</w:t>
      </w:r>
      <w:r>
        <w:rPr>
          <w:rFonts w:hint="eastAsia" w:hAnsi="宋体"/>
          <w:b/>
          <w:bCs/>
          <w:color w:val="auto"/>
          <w:sz w:val="24"/>
          <w:szCs w:val="24"/>
          <w:highlight w:val="none"/>
        </w:rPr>
        <w:t>响应文件的修改、撤销</w:t>
      </w:r>
    </w:p>
    <w:p w14:paraId="3591F26B">
      <w:pPr>
        <w:pStyle w:val="14"/>
        <w:spacing w:line="336" w:lineRule="auto"/>
        <w:ind w:firstLine="480" w:firstLineChars="200"/>
        <w:rPr>
          <w:rFonts w:hAnsi="宋体"/>
          <w:color w:val="auto"/>
          <w:sz w:val="24"/>
          <w:szCs w:val="24"/>
          <w:highlight w:val="none"/>
        </w:rPr>
      </w:pPr>
      <w:r>
        <w:rPr>
          <w:rFonts w:hint="eastAsia" w:hAnsi="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06FA6A41">
      <w:pPr>
        <w:pStyle w:val="7"/>
        <w:numPr>
          <w:ilvl w:val="0"/>
          <w:numId w:val="9"/>
        </w:numPr>
        <w:rPr>
          <w:color w:val="auto"/>
          <w:highlight w:val="none"/>
        </w:rPr>
      </w:pPr>
      <w:bookmarkStart w:id="58" w:name="_Toc24120"/>
      <w:bookmarkStart w:id="59" w:name="_Toc15307"/>
      <w:r>
        <w:rPr>
          <w:rFonts w:hint="eastAsia"/>
          <w:color w:val="auto"/>
          <w:highlight w:val="none"/>
        </w:rPr>
        <w:t>磋商无效的情形</w:t>
      </w:r>
      <w:bookmarkEnd w:id="58"/>
      <w:bookmarkEnd w:id="59"/>
    </w:p>
    <w:p w14:paraId="48861427">
      <w:pPr>
        <w:pStyle w:val="14"/>
        <w:snapToGrid w:val="0"/>
        <w:spacing w:line="336" w:lineRule="auto"/>
        <w:ind w:firstLine="482" w:firstLineChars="200"/>
        <w:rPr>
          <w:rFonts w:hAnsi="宋体"/>
          <w:b/>
          <w:bCs/>
          <w:color w:val="auto"/>
          <w:sz w:val="24"/>
          <w:szCs w:val="24"/>
          <w:highlight w:val="none"/>
        </w:rPr>
      </w:pPr>
      <w:r>
        <w:rPr>
          <w:rFonts w:hint="eastAsia" w:hAnsi="宋体"/>
          <w:b/>
          <w:bCs/>
          <w:color w:val="auto"/>
          <w:sz w:val="24"/>
          <w:szCs w:val="24"/>
          <w:highlight w:val="none"/>
        </w:rPr>
        <w:t>16</w:t>
      </w:r>
      <w:r>
        <w:rPr>
          <w:rFonts w:hint="eastAsia" w:hAnsi="宋体"/>
          <w:b/>
          <w:bCs/>
          <w:color w:val="auto"/>
          <w:sz w:val="24"/>
          <w:szCs w:val="24"/>
          <w:highlight w:val="none"/>
          <w:lang w:val="en-US" w:eastAsia="zh-CN"/>
        </w:rPr>
        <w:t>.</w:t>
      </w:r>
      <w:r>
        <w:rPr>
          <w:rFonts w:hint="eastAsia" w:hAnsi="宋体"/>
          <w:b/>
          <w:bCs/>
          <w:color w:val="auto"/>
          <w:sz w:val="24"/>
          <w:szCs w:val="24"/>
          <w:highlight w:val="none"/>
        </w:rPr>
        <w:t>无效响应</w:t>
      </w:r>
    </w:p>
    <w:p w14:paraId="5AEC604A">
      <w:pPr>
        <w:pStyle w:val="14"/>
        <w:snapToGrid w:val="0"/>
        <w:spacing w:line="336" w:lineRule="auto"/>
        <w:ind w:firstLine="482" w:firstLineChars="200"/>
        <w:rPr>
          <w:rFonts w:hAnsi="宋体"/>
          <w:color w:val="auto"/>
          <w:sz w:val="24"/>
          <w:szCs w:val="24"/>
          <w:highlight w:val="none"/>
        </w:rPr>
      </w:pPr>
      <w:r>
        <w:rPr>
          <w:rFonts w:hint="eastAsia" w:hAnsi="宋体"/>
          <w:b/>
          <w:bCs/>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r>
        <w:rPr>
          <w:rFonts w:hint="eastAsia" w:hAnsi="宋体"/>
          <w:color w:val="auto"/>
          <w:sz w:val="24"/>
          <w:szCs w:val="24"/>
          <w:highlight w:val="none"/>
        </w:rPr>
        <w:t>：</w:t>
      </w:r>
    </w:p>
    <w:p w14:paraId="58B98BF1">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16.1未按照磋商文件规定要求签署、盖章的；</w:t>
      </w:r>
    </w:p>
    <w:p w14:paraId="5BDBF573">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16.2《法定代表人授权书》填写不全、错误、未加盖供应商公章（公章和签字或盖章缺一不可）；</w:t>
      </w:r>
    </w:p>
    <w:p w14:paraId="70472B7C">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16.3个体工商户的身份证明与营业执照不一致的；</w:t>
      </w:r>
    </w:p>
    <w:p w14:paraId="11E137CC">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16.4响应文件中的磋商函未加盖供应商的企业公章或填写不全的；</w:t>
      </w:r>
    </w:p>
    <w:p w14:paraId="607A07A2">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16.5报价一经涂改，未在涂改处加盖投标单位公章或者未经法定代表人或其授权代表签字或盖章的；</w:t>
      </w:r>
    </w:p>
    <w:p w14:paraId="1CF5A47F">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16.6因未按规定的格式填写，内容不全或主要实质性内容字迹模糊辨认不清,经评标委员会认定为无法评审的；</w:t>
      </w:r>
    </w:p>
    <w:p w14:paraId="628F45E0">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16.7出现同一标的物或本次采购产品(服务)内的主要产品(重要组成部分)出现技术、商务描述不一致或前后描述不一致，经评标委员会认定后为无法评审的；</w:t>
      </w:r>
    </w:p>
    <w:p w14:paraId="5B7F939D">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16.8响应详细配置清单响应表不真实填写或弄虚作假的；改变磋商文件提供的清单中的计量单位、工程数量；</w:t>
      </w:r>
    </w:p>
    <w:p w14:paraId="4F290E60">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16.9对采购产品技术规格未详细应答，致使其技术文件无法评审的；</w:t>
      </w:r>
    </w:p>
    <w:p w14:paraId="5A3A402E">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16.10响应文件有采购方不能接受的条件；</w:t>
      </w:r>
    </w:p>
    <w:p w14:paraId="6C29C3FD">
      <w:pPr>
        <w:spacing w:line="336"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r>
        <w:rPr>
          <w:rFonts w:hint="eastAsia" w:ascii="宋体" w:hAnsi="宋体" w:cs="宋体"/>
          <w:b/>
          <w:bCs/>
          <w:color w:val="auto"/>
          <w:sz w:val="24"/>
          <w:szCs w:val="24"/>
          <w:highlight w:val="none"/>
          <w:lang w:eastAsia="zh-CN"/>
        </w:rPr>
        <w:t>；</w:t>
      </w:r>
    </w:p>
    <w:p w14:paraId="18591B2E">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16.12磋商报价超过预算金额或最高限价的；</w:t>
      </w:r>
    </w:p>
    <w:p w14:paraId="7F15341F">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16.13响应文件“商务技术文件资料”部分中出现《报价一览表》或《磋商报价明细表》相关内容的；</w:t>
      </w:r>
    </w:p>
    <w:p w14:paraId="3358D6F3">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16.14评标委员会认定有重大偏差或实质性不响应磋商文件要求的，即“★”的关键性指标及技术参数要求负偏离或缺漏；</w:t>
      </w:r>
    </w:p>
    <w:p w14:paraId="7BF14466">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16.15供应商拒绝按磋商文件规定的修正原则对响应文件进行修改的；</w:t>
      </w:r>
    </w:p>
    <w:p w14:paraId="2A36170B">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16.16有下列情形之一的，视为供应商串通投标，其投标无效：</w:t>
      </w:r>
    </w:p>
    <w:p w14:paraId="18A62882">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16.16.1不同供应商的响应文件由同一单位或者个人编制；</w:t>
      </w:r>
    </w:p>
    <w:p w14:paraId="5B86D957">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16.16.2不同供应商委托同一单位或者个人办理投标事宜；</w:t>
      </w:r>
    </w:p>
    <w:p w14:paraId="5239F5FB">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16.16.3不同供应商的响应文件载明的项目管理成员或者联系人员为同一人；</w:t>
      </w:r>
    </w:p>
    <w:p w14:paraId="593CF3E0">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16.16.4不同供应商的响应文件异常一致或者投标报价呈规律性差异；</w:t>
      </w:r>
    </w:p>
    <w:p w14:paraId="17CC5BF1">
      <w:pPr>
        <w:spacing w:line="360" w:lineRule="auto"/>
        <w:ind w:firstLine="482" w:firstLineChars="200"/>
        <w:rPr>
          <w:rFonts w:hint="eastAsia" w:ascii="宋体" w:hAnsi="宋体" w:cs="宋体"/>
          <w:b/>
          <w:bCs/>
          <w:color w:val="auto"/>
          <w:sz w:val="24"/>
          <w:szCs w:val="21"/>
          <w:highlight w:val="none"/>
        </w:rPr>
      </w:pPr>
      <w:r>
        <w:rPr>
          <w:rFonts w:hint="eastAsia" w:ascii="宋体" w:hAnsi="宋体" w:cs="宋体"/>
          <w:b/>
          <w:bCs/>
          <w:color w:val="auto"/>
          <w:sz w:val="24"/>
          <w:szCs w:val="24"/>
          <w:highlight w:val="none"/>
        </w:rPr>
        <w:t>16.16.5</w:t>
      </w:r>
      <w:r>
        <w:rPr>
          <w:rFonts w:hint="eastAsia" w:ascii="宋体" w:hAnsi="宋体" w:cs="宋体"/>
          <w:b/>
          <w:bCs/>
          <w:color w:val="auto"/>
          <w:sz w:val="24"/>
          <w:szCs w:val="21"/>
          <w:highlight w:val="none"/>
        </w:rPr>
        <w:t>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14:paraId="4597B629">
      <w:pPr>
        <w:tabs>
          <w:tab w:val="left" w:pos="3870"/>
          <w:tab w:val="left" w:pos="4085"/>
        </w:tabs>
        <w:snapToGrid w:val="0"/>
        <w:spacing w:line="336"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16.17 其他违反法律法规的情形。</w:t>
      </w:r>
    </w:p>
    <w:p w14:paraId="4C906CA8">
      <w:pPr>
        <w:pStyle w:val="7"/>
        <w:numPr>
          <w:ilvl w:val="0"/>
          <w:numId w:val="9"/>
        </w:numPr>
        <w:rPr>
          <w:color w:val="auto"/>
          <w:highlight w:val="none"/>
        </w:rPr>
      </w:pPr>
      <w:bookmarkStart w:id="60" w:name="_Toc21752"/>
      <w:bookmarkStart w:id="61" w:name="_Toc1039"/>
      <w:r>
        <w:rPr>
          <w:rFonts w:hint="eastAsia"/>
          <w:color w:val="auto"/>
          <w:highlight w:val="none"/>
        </w:rPr>
        <w:t>采购中止的情形</w:t>
      </w:r>
      <w:bookmarkEnd w:id="60"/>
      <w:bookmarkEnd w:id="61"/>
    </w:p>
    <w:p w14:paraId="33AA6563">
      <w:pPr>
        <w:pStyle w:val="14"/>
        <w:spacing w:line="336" w:lineRule="auto"/>
        <w:ind w:left="420" w:leftChars="200"/>
        <w:rPr>
          <w:rFonts w:hAnsi="宋体"/>
          <w:b/>
          <w:bCs/>
          <w:color w:val="auto"/>
          <w:sz w:val="24"/>
          <w:szCs w:val="24"/>
          <w:highlight w:val="none"/>
        </w:rPr>
      </w:pPr>
      <w:r>
        <w:rPr>
          <w:rFonts w:hint="eastAsia" w:hAnsi="宋体"/>
          <w:b/>
          <w:bCs/>
          <w:color w:val="auto"/>
          <w:sz w:val="24"/>
          <w:szCs w:val="24"/>
          <w:highlight w:val="none"/>
        </w:rPr>
        <w:t>17</w:t>
      </w:r>
      <w:r>
        <w:rPr>
          <w:rFonts w:hint="eastAsia" w:hAnsi="宋体"/>
          <w:b/>
          <w:bCs/>
          <w:color w:val="auto"/>
          <w:sz w:val="24"/>
          <w:szCs w:val="24"/>
          <w:highlight w:val="none"/>
          <w:lang w:val="en-US" w:eastAsia="zh-CN"/>
        </w:rPr>
        <w:t>.</w:t>
      </w:r>
      <w:r>
        <w:rPr>
          <w:rFonts w:hint="eastAsia" w:hAnsi="宋体"/>
          <w:b/>
          <w:bCs/>
          <w:color w:val="auto"/>
          <w:sz w:val="24"/>
          <w:szCs w:val="24"/>
          <w:highlight w:val="none"/>
          <w:lang w:val="zh-CN"/>
        </w:rPr>
        <w:t>中止电子交易活动和</w:t>
      </w:r>
      <w:r>
        <w:rPr>
          <w:rFonts w:hint="eastAsia" w:hAnsi="宋体"/>
          <w:b/>
          <w:bCs/>
          <w:color w:val="auto"/>
          <w:sz w:val="24"/>
          <w:szCs w:val="24"/>
          <w:highlight w:val="none"/>
        </w:rPr>
        <w:t>重新组织采购</w:t>
      </w:r>
    </w:p>
    <w:p w14:paraId="120D46DC">
      <w:pPr>
        <w:pStyle w:val="36"/>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17.1</w:t>
      </w:r>
      <w:r>
        <w:rPr>
          <w:rFonts w:hint="eastAsia" w:ascii="宋体" w:hAnsi="宋体" w:cs="宋体"/>
          <w:color w:val="auto"/>
          <w:highlight w:val="none"/>
          <w:lang w:val="zh-CN"/>
        </w:rPr>
        <w:t>采购过程中出现以下情形，导致电子交易平台无法正常运行，或者无法保证电子交易的公平、公正和安全时，采购组织机构可中止电子交易活动：</w:t>
      </w:r>
    </w:p>
    <w:p w14:paraId="5BBB4FE5">
      <w:pPr>
        <w:numPr>
          <w:ilvl w:val="0"/>
          <w:numId w:val="14"/>
        </w:numPr>
        <w:tabs>
          <w:tab w:val="left" w:pos="0"/>
        </w:tabs>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电子交易平台发生故障而无法登录访问的；</w:t>
      </w:r>
    </w:p>
    <w:p w14:paraId="2E86E776">
      <w:pPr>
        <w:numPr>
          <w:ilvl w:val="0"/>
          <w:numId w:val="14"/>
        </w:numPr>
        <w:tabs>
          <w:tab w:val="left" w:pos="0"/>
        </w:tabs>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电子交易平台应用或数据库出现错误，不能进行正常操作的；</w:t>
      </w:r>
    </w:p>
    <w:p w14:paraId="5AC211E7">
      <w:pPr>
        <w:numPr>
          <w:ilvl w:val="0"/>
          <w:numId w:val="14"/>
        </w:numPr>
        <w:tabs>
          <w:tab w:val="left" w:pos="0"/>
        </w:tabs>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电子交易平台发现严重安全漏洞，有潜在泄密危险的；</w:t>
      </w:r>
    </w:p>
    <w:p w14:paraId="6BDFE7EA">
      <w:pPr>
        <w:numPr>
          <w:ilvl w:val="0"/>
          <w:numId w:val="14"/>
        </w:numPr>
        <w:tabs>
          <w:tab w:val="left" w:pos="0"/>
        </w:tabs>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病毒发作导致不能进行正常操作的；</w:t>
      </w:r>
    </w:p>
    <w:p w14:paraId="4CD48E01">
      <w:pPr>
        <w:numPr>
          <w:ilvl w:val="0"/>
          <w:numId w:val="14"/>
        </w:numPr>
        <w:tabs>
          <w:tab w:val="left" w:pos="0"/>
        </w:tabs>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其他无法保证电子交易的公平、公正和安全的情况。</w:t>
      </w:r>
    </w:p>
    <w:p w14:paraId="34733782">
      <w:pPr>
        <w:pStyle w:val="36"/>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679A9A3C">
      <w:pPr>
        <w:pStyle w:val="7"/>
        <w:numPr>
          <w:ilvl w:val="0"/>
          <w:numId w:val="9"/>
        </w:numPr>
        <w:rPr>
          <w:color w:val="auto"/>
          <w:highlight w:val="none"/>
        </w:rPr>
      </w:pPr>
      <w:bookmarkStart w:id="62" w:name="_Toc14029"/>
      <w:bookmarkStart w:id="63" w:name="_Toc8632"/>
      <w:r>
        <w:rPr>
          <w:rFonts w:hint="eastAsia"/>
          <w:color w:val="auto"/>
          <w:highlight w:val="none"/>
        </w:rPr>
        <w:t>确定成交供应商与签订合同</w:t>
      </w:r>
      <w:bookmarkEnd w:id="62"/>
      <w:bookmarkEnd w:id="63"/>
    </w:p>
    <w:p w14:paraId="53EA1EA0">
      <w:pPr>
        <w:snapToGri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18</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推荐成交候选供应商</w:t>
      </w:r>
    </w:p>
    <w:p w14:paraId="0FD5592B">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14:paraId="300ABBB1">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18.2 采购代理机构应当在评审结束后2个工作日内将评审报告送采购人确认。</w:t>
      </w:r>
    </w:p>
    <w:p w14:paraId="3EC3CAA0">
      <w:pPr>
        <w:snapToGri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19</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确定成交供应商</w:t>
      </w:r>
    </w:p>
    <w:p w14:paraId="53BDE2D1">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59D06B2">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19.2采购人或者采购代理机构应当在成交供应商确定后2个工作日内，在省级以上财政部门指定的政府采购信息发布媒体上公告成交结果，同时向成交供应商发出成交通知书。</w:t>
      </w:r>
    </w:p>
    <w:p w14:paraId="31247AF4">
      <w:pPr>
        <w:adjustRightIn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20</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签订合同</w:t>
      </w:r>
    </w:p>
    <w:p w14:paraId="7BAD26CC">
      <w:pPr>
        <w:pStyle w:val="36"/>
        <w:snapToGrid w:val="0"/>
        <w:spacing w:before="0" w:line="336" w:lineRule="auto"/>
        <w:ind w:firstLine="480"/>
        <w:rPr>
          <w:rFonts w:ascii="宋体" w:hAnsi="宋体" w:cs="宋体"/>
          <w:color w:val="auto"/>
          <w:highlight w:val="none"/>
        </w:rPr>
      </w:pPr>
      <w:r>
        <w:rPr>
          <w:rFonts w:hint="eastAsia" w:ascii="宋体" w:hAnsi="宋体" w:cs="宋体"/>
          <w:color w:val="auto"/>
          <w:highlight w:val="none"/>
        </w:rPr>
        <w:t>20.1. 采购人与成交供应商应当在成交通知书发出之日起30日内，按照磋商文件确定的合同文本以及采购标的、规格型号、采购金额、采购数量、技术和服务要求等事项签订政府采购合同。</w:t>
      </w:r>
    </w:p>
    <w:p w14:paraId="495E2C26">
      <w:pPr>
        <w:pStyle w:val="36"/>
        <w:snapToGrid w:val="0"/>
        <w:spacing w:before="0" w:line="336" w:lineRule="auto"/>
        <w:ind w:firstLine="480"/>
        <w:rPr>
          <w:rFonts w:ascii="宋体" w:hAnsi="宋体" w:cs="宋体"/>
          <w:color w:val="auto"/>
          <w:highlight w:val="none"/>
        </w:rPr>
      </w:pPr>
      <w:r>
        <w:rPr>
          <w:rFonts w:hint="eastAsia" w:ascii="宋体" w:hAnsi="宋体" w:cs="宋体"/>
          <w:color w:val="auto"/>
          <w:highlight w:val="none"/>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6ACC463E">
      <w:pPr>
        <w:adjustRightInd w:val="0"/>
        <w:snapToGri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21</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解释权</w:t>
      </w:r>
    </w:p>
    <w:p w14:paraId="3C76C2B4">
      <w:pPr>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中国共产党绍兴市上虞区委员会办公室</w:t>
      </w:r>
      <w:r>
        <w:rPr>
          <w:rFonts w:hint="eastAsia" w:ascii="宋体" w:hAnsi="宋体" w:cs="宋体"/>
          <w:color w:val="auto"/>
          <w:sz w:val="24"/>
          <w:szCs w:val="24"/>
          <w:highlight w:val="none"/>
        </w:rPr>
        <w:t>和</w:t>
      </w:r>
      <w:r>
        <w:rPr>
          <w:rFonts w:hint="eastAsia" w:ascii="宋体" w:hAnsi="宋体" w:cs="宋体"/>
          <w:color w:val="auto"/>
          <w:sz w:val="24"/>
          <w:szCs w:val="24"/>
          <w:highlight w:val="none"/>
          <w:u w:val="single"/>
        </w:rPr>
        <w:t>绍兴成言工程咨询管理有限公司</w:t>
      </w:r>
      <w:r>
        <w:rPr>
          <w:rFonts w:hint="eastAsia" w:ascii="宋体" w:hAnsi="宋体" w:cs="宋体"/>
          <w:color w:val="auto"/>
          <w:sz w:val="24"/>
          <w:szCs w:val="24"/>
          <w:highlight w:val="none"/>
        </w:rPr>
        <w:t>。</w:t>
      </w:r>
    </w:p>
    <w:p w14:paraId="7386E546">
      <w:pPr>
        <w:pStyle w:val="3"/>
        <w:rPr>
          <w:color w:val="auto"/>
          <w:highlight w:val="none"/>
        </w:rPr>
      </w:pPr>
    </w:p>
    <w:p w14:paraId="7A624753">
      <w:pPr>
        <w:pStyle w:val="6"/>
        <w:rPr>
          <w:rFonts w:ascii="宋体" w:hAnsi="宋体" w:cs="宋体"/>
          <w:color w:val="auto"/>
          <w:szCs w:val="36"/>
          <w:highlight w:val="none"/>
        </w:rPr>
      </w:pPr>
      <w:r>
        <w:rPr>
          <w:rFonts w:hint="eastAsia" w:ascii="宋体" w:hAnsi="宋体" w:cs="宋体"/>
          <w:color w:val="auto"/>
          <w:szCs w:val="36"/>
          <w:highlight w:val="none"/>
        </w:rPr>
        <w:br w:type="page"/>
      </w:r>
      <w:bookmarkStart w:id="64" w:name="_Toc15050"/>
      <w:bookmarkStart w:id="65" w:name="_Toc21248"/>
      <w:r>
        <w:rPr>
          <w:rFonts w:hint="eastAsia" w:ascii="宋体" w:hAnsi="宋体" w:cs="宋体"/>
          <w:color w:val="auto"/>
          <w:szCs w:val="36"/>
          <w:highlight w:val="none"/>
        </w:rPr>
        <w:t>第三部分 采购内容及要求</w:t>
      </w:r>
      <w:bookmarkEnd w:id="64"/>
      <w:bookmarkEnd w:id="65"/>
    </w:p>
    <w:p w14:paraId="5679EA1C">
      <w:pPr>
        <w:pStyle w:val="7"/>
        <w:rPr>
          <w:color w:val="auto"/>
          <w:highlight w:val="none"/>
        </w:rPr>
      </w:pPr>
      <w:bookmarkStart w:id="66" w:name="_Toc22817"/>
      <w:bookmarkStart w:id="67" w:name="_Toc25073"/>
      <w:bookmarkStart w:id="68" w:name="_Toc15284"/>
      <w:r>
        <w:rPr>
          <w:rFonts w:hint="eastAsia"/>
          <w:color w:val="auto"/>
          <w:highlight w:val="none"/>
        </w:rPr>
        <w:t xml:space="preserve">第一章 </w:t>
      </w:r>
      <w:bookmarkStart w:id="69" w:name="_Toc506107120"/>
      <w:r>
        <w:rPr>
          <w:rFonts w:hint="eastAsia"/>
          <w:color w:val="auto"/>
          <w:highlight w:val="none"/>
        </w:rPr>
        <w:t>采购内容及要求</w:t>
      </w:r>
      <w:bookmarkEnd w:id="66"/>
      <w:bookmarkEnd w:id="67"/>
      <w:bookmarkEnd w:id="69"/>
    </w:p>
    <w:p w14:paraId="3C781434">
      <w:pPr>
        <w:keepNext w:val="0"/>
        <w:keepLines w:val="0"/>
        <w:pageBreakBefore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cs="宋体"/>
          <w:b/>
          <w:bCs/>
          <w:color w:val="auto"/>
          <w:kern w:val="2"/>
          <w:sz w:val="24"/>
          <w:szCs w:val="24"/>
          <w:highlight w:val="none"/>
        </w:rPr>
      </w:pPr>
      <w:bookmarkStart w:id="70" w:name="_Toc83283744"/>
      <w:r>
        <w:rPr>
          <w:rFonts w:hint="eastAsia" w:ascii="宋体" w:hAnsi="宋体" w:cs="宋体"/>
          <w:b/>
          <w:bCs/>
          <w:color w:val="auto"/>
          <w:kern w:val="2"/>
          <w:sz w:val="24"/>
          <w:szCs w:val="24"/>
          <w:highlight w:val="none"/>
          <w:lang w:eastAsia="zh-CN"/>
        </w:rPr>
        <w:t>一、</w:t>
      </w:r>
      <w:r>
        <w:rPr>
          <w:rFonts w:hint="eastAsia" w:ascii="宋体" w:hAnsi="宋体" w:cs="宋体"/>
          <w:b/>
          <w:bCs/>
          <w:color w:val="auto"/>
          <w:kern w:val="2"/>
          <w:sz w:val="24"/>
          <w:szCs w:val="24"/>
          <w:highlight w:val="none"/>
        </w:rPr>
        <w:t>采购内容：</w:t>
      </w:r>
    </w:p>
    <w:p w14:paraId="693BA455">
      <w:pPr>
        <w:widowControl/>
        <w:spacing w:line="360" w:lineRule="auto"/>
        <w:ind w:left="-134" w:leftChars="-64" w:firstLine="480" w:firstLineChars="200"/>
        <w:jc w:val="left"/>
        <w:rPr>
          <w:rFonts w:hint="eastAsia" w:ascii="宋体" w:hAnsi="宋体"/>
          <w:color w:val="auto"/>
          <w:sz w:val="24"/>
          <w:highlight w:val="none"/>
          <w:u w:color="000000"/>
        </w:rPr>
      </w:pPr>
      <w:r>
        <w:rPr>
          <w:rFonts w:hint="eastAsia" w:ascii="宋体" w:hAnsi="宋体"/>
          <w:color w:val="auto"/>
          <w:sz w:val="24"/>
          <w:highlight w:val="none"/>
          <w:u w:color="000000"/>
        </w:rPr>
        <w:t xml:space="preserve">1.做好咨询委综合经济组、社会事业组、城建环保组、农业农村组4个大型课题及10个以上小型课题、建议意见工作，要求大型课题字数5000字以上、小型课题、建议意见字数1000字以上。课题报告和建议意见需通过咨询委审核，并获得区委、区政府主要领导批示。 </w:t>
      </w:r>
    </w:p>
    <w:p w14:paraId="7E3F0664">
      <w:pPr>
        <w:widowControl/>
        <w:spacing w:line="360" w:lineRule="auto"/>
        <w:ind w:left="-134" w:leftChars="-64" w:firstLine="480" w:firstLineChars="200"/>
        <w:jc w:val="left"/>
        <w:rPr>
          <w:rFonts w:hint="eastAsia" w:ascii="宋体" w:hAnsi="宋体" w:eastAsia="宋体"/>
          <w:color w:val="auto"/>
          <w:sz w:val="24"/>
          <w:highlight w:val="red"/>
          <w:u w:color="000000"/>
          <w:lang w:eastAsia="zh-CN"/>
        </w:rPr>
      </w:pPr>
      <w:r>
        <w:rPr>
          <w:rFonts w:hint="eastAsia" w:ascii="宋体" w:hAnsi="宋体"/>
          <w:color w:val="auto"/>
          <w:sz w:val="24"/>
          <w:highlight w:val="none"/>
          <w:u w:color="000000"/>
        </w:rPr>
        <w:t>2.要求保障咨询委全体成员省内外专项调研3次以上，综合经济组、社会事业组、城建环保组、农业农村组4个调研组省内外专项调研各4次以上，以及区委、区政府临时调研工作任务、周边兄弟县市区考察调研任务等其他相关工作</w:t>
      </w:r>
      <w:r>
        <w:rPr>
          <w:rFonts w:hint="eastAsia" w:ascii="宋体" w:hAnsi="宋体"/>
          <w:color w:val="auto"/>
          <w:sz w:val="24"/>
          <w:highlight w:val="none"/>
          <w:u w:color="000000"/>
          <w:lang w:eastAsia="zh-CN"/>
        </w:rPr>
        <w:t>。</w:t>
      </w:r>
    </w:p>
    <w:p w14:paraId="16211A64">
      <w:pPr>
        <w:pStyle w:val="28"/>
        <w:keepNext w:val="0"/>
        <w:keepLines w:val="0"/>
        <w:pageBreakBefore w:val="0"/>
        <w:kinsoku/>
        <w:wordWrap/>
        <w:overflowPunct/>
        <w:topLinePunct w:val="0"/>
        <w:autoSpaceDE/>
        <w:autoSpaceDN/>
        <w:bidi w:val="0"/>
        <w:adjustRightInd/>
        <w:snapToGrid/>
        <w:ind w:left="0" w:leftChars="0"/>
        <w:textAlignment w:val="auto"/>
        <w:rPr>
          <w:rFonts w:hint="eastAsia" w:cs="宋体"/>
          <w:b w:val="0"/>
          <w:bCs w:val="0"/>
          <w:color w:val="auto"/>
          <w:kern w:val="2"/>
          <w:sz w:val="24"/>
          <w:szCs w:val="24"/>
          <w:highlight w:val="none"/>
          <w:lang w:val="en-US" w:eastAsia="zh-CN"/>
        </w:rPr>
      </w:pPr>
      <w:r>
        <w:rPr>
          <w:rFonts w:hint="eastAsia" w:cs="宋体"/>
          <w:b w:val="0"/>
          <w:bCs w:val="0"/>
          <w:color w:val="auto"/>
          <w:kern w:val="2"/>
          <w:sz w:val="24"/>
          <w:szCs w:val="24"/>
          <w:highlight w:val="none"/>
          <w:lang w:val="en-US" w:eastAsia="zh-CN"/>
        </w:rPr>
        <w:t>3.课题实施时间：自合同签订之日起至2025年12月31日。</w:t>
      </w:r>
    </w:p>
    <w:p w14:paraId="315A9C60">
      <w:pPr>
        <w:pStyle w:val="28"/>
        <w:keepNext w:val="0"/>
        <w:keepLines w:val="0"/>
        <w:pageBreakBefore w:val="0"/>
        <w:kinsoku/>
        <w:wordWrap/>
        <w:overflowPunct/>
        <w:topLinePunct w:val="0"/>
        <w:autoSpaceDE/>
        <w:autoSpaceDN/>
        <w:bidi w:val="0"/>
        <w:adjustRightInd/>
        <w:snapToGrid/>
        <w:ind w:left="0" w:leftChars="0"/>
        <w:textAlignment w:val="auto"/>
        <w:rPr>
          <w:rFonts w:hint="eastAsia" w:ascii="宋体" w:hAnsi="宋体" w:eastAsia="宋体" w:cs="宋体"/>
          <w:b w:val="0"/>
          <w:bCs w:val="0"/>
          <w:color w:val="auto"/>
          <w:kern w:val="2"/>
          <w:sz w:val="24"/>
          <w:szCs w:val="24"/>
          <w:highlight w:val="none"/>
          <w:lang w:val="en-US" w:eastAsia="zh-CN"/>
        </w:rPr>
      </w:pPr>
      <w:r>
        <w:rPr>
          <w:rFonts w:hint="eastAsia" w:cs="宋体"/>
          <w:b w:val="0"/>
          <w:bCs w:val="0"/>
          <w:color w:val="auto"/>
          <w:kern w:val="2"/>
          <w:sz w:val="24"/>
          <w:szCs w:val="24"/>
          <w:highlight w:val="none"/>
          <w:lang w:val="en-US" w:eastAsia="zh-CN"/>
        </w:rPr>
        <w:t>4.供应商应设立专项负责人为咨询委提供日常业务联络服务，深入协调及对接咨询委活动及重大事项。</w:t>
      </w:r>
      <w:r>
        <w:rPr>
          <w:rFonts w:hint="eastAsia" w:ascii="宋体" w:hAnsi="宋体" w:eastAsia="宋体" w:cs="宋体"/>
          <w:b w:val="0"/>
          <w:bCs w:val="0"/>
          <w:color w:val="auto"/>
          <w:kern w:val="2"/>
          <w:sz w:val="24"/>
          <w:szCs w:val="24"/>
          <w:highlight w:val="none"/>
          <w:lang w:val="en-US" w:eastAsia="zh-CN"/>
        </w:rPr>
        <w:t> </w:t>
      </w:r>
    </w:p>
    <w:p w14:paraId="6A59E6B1">
      <w:pPr>
        <w:pStyle w:val="28"/>
        <w:keepNext w:val="0"/>
        <w:keepLines w:val="0"/>
        <w:pageBreakBefore w:val="0"/>
        <w:kinsoku/>
        <w:wordWrap/>
        <w:overflowPunct/>
        <w:topLinePunct w:val="0"/>
        <w:autoSpaceDE/>
        <w:autoSpaceDN/>
        <w:bidi w:val="0"/>
        <w:adjustRightInd/>
        <w:snapToGrid/>
        <w:ind w:left="0" w:leftChars="0"/>
        <w:textAlignment w:val="auto"/>
        <w:rPr>
          <w:rFonts w:hint="eastAsia" w:cs="宋体"/>
          <w:b/>
          <w:bCs/>
          <w:color w:val="auto"/>
          <w:kern w:val="2"/>
          <w:sz w:val="24"/>
          <w:szCs w:val="24"/>
          <w:highlight w:val="none"/>
          <w:lang w:val="en-US" w:eastAsia="zh-CN"/>
        </w:rPr>
      </w:pPr>
      <w:r>
        <w:rPr>
          <w:rFonts w:hint="eastAsia" w:cs="宋体"/>
          <w:b/>
          <w:bCs/>
          <w:color w:val="auto"/>
          <w:kern w:val="2"/>
          <w:sz w:val="24"/>
          <w:szCs w:val="24"/>
          <w:highlight w:val="none"/>
          <w:lang w:val="en-US" w:eastAsia="zh-CN"/>
        </w:rPr>
        <w:t>二、其他要求</w:t>
      </w:r>
    </w:p>
    <w:p w14:paraId="540DD316">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ascii="宋体" w:cs="宋体"/>
          <w:color w:val="auto"/>
          <w:kern w:val="0"/>
          <w:sz w:val="24"/>
          <w:highlight w:val="none"/>
        </w:rPr>
      </w:pPr>
      <w:r>
        <w:rPr>
          <w:rFonts w:ascii="宋体" w:cs="宋体"/>
          <w:color w:val="auto"/>
          <w:kern w:val="0"/>
          <w:sz w:val="24"/>
          <w:highlight w:val="none"/>
        </w:rPr>
        <w:t>1</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应按磋商文件规定的时间向</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rPr>
        <w:t>提供有关技术资料。</w:t>
      </w:r>
    </w:p>
    <w:p w14:paraId="095D709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ascii="宋体" w:cs="宋体"/>
          <w:color w:val="auto"/>
          <w:kern w:val="0"/>
          <w:sz w:val="24"/>
          <w:highlight w:val="none"/>
        </w:rPr>
      </w:pPr>
      <w:r>
        <w:rPr>
          <w:rFonts w:ascii="宋体" w:cs="宋体"/>
          <w:color w:val="auto"/>
          <w:kern w:val="0"/>
          <w:sz w:val="24"/>
          <w:highlight w:val="none"/>
        </w:rPr>
        <w:t>2</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没有</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rPr>
        <w:t>事先书面同意，</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不得将由甲方提供的有关合同或任何合同条文、计划或资料提供给与履行本合同无关的任何其他人。即使向履行本合同有关的人员提供，也应注意保密并限于履行合同的必需范围。</w:t>
      </w:r>
    </w:p>
    <w:p w14:paraId="7394FFF3">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承诺在项目实施过程中按照国家保密法律法规以及</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rPr>
        <w:t>的要求</w:t>
      </w:r>
      <w:r>
        <w:rPr>
          <w:rFonts w:ascii="宋体" w:cs="宋体"/>
          <w:color w:val="auto"/>
          <w:kern w:val="0"/>
          <w:sz w:val="24"/>
          <w:highlight w:val="none"/>
        </w:rPr>
        <w:t>,</w:t>
      </w:r>
      <w:r>
        <w:rPr>
          <w:rFonts w:hint="eastAsia" w:ascii="宋体" w:hAnsi="宋体" w:cs="宋体"/>
          <w:color w:val="auto"/>
          <w:kern w:val="0"/>
          <w:sz w:val="24"/>
          <w:highlight w:val="none"/>
        </w:rPr>
        <w:t>做好有关保密工作。</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保证项目实施过程中的有关信息、文件等对第三方保密，非经</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rPr>
        <w:t>同意，不得公开或向第三方提供。</w:t>
      </w:r>
    </w:p>
    <w:p w14:paraId="454AF2D9">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en-US" w:eastAsia="zh-CN"/>
        </w:rPr>
        <w:t>4.供应商</w:t>
      </w:r>
      <w:r>
        <w:rPr>
          <w:rFonts w:hint="eastAsia" w:ascii="宋体" w:hAnsi="宋体" w:eastAsia="宋体" w:cs="宋体"/>
          <w:color w:val="auto"/>
          <w:kern w:val="0"/>
          <w:sz w:val="24"/>
          <w:highlight w:val="none"/>
        </w:rPr>
        <w:t>应严格按照咨询委要求，做好考察调研活动的对接、协调、组织、安排、保障等工作，相关活动费用参照《上虞区机关工作人员差旅费管理规定》进行支出；活动组织要考虑老领导身体状况，在交通出行、住宿条件等方面选择更为快捷、舒适、便捷的方式，并安排护理人员全程跟踪保障；活动结束后需按照咨询委要求，在本地官方新闻媒体上做好宣传报道工作</w:t>
      </w:r>
      <w:r>
        <w:rPr>
          <w:rFonts w:hint="eastAsia" w:ascii="宋体" w:hAnsi="宋体" w:eastAsia="宋体" w:cs="宋体"/>
          <w:color w:val="auto"/>
          <w:kern w:val="0"/>
          <w:sz w:val="24"/>
          <w:highlight w:val="none"/>
          <w:lang w:eastAsia="zh-CN"/>
        </w:rPr>
        <w:t>。</w:t>
      </w:r>
      <w:bookmarkStart w:id="71" w:name="_Toc17002"/>
    </w:p>
    <w:p w14:paraId="376BCECC">
      <w:pPr>
        <w:pStyle w:val="7"/>
        <w:rPr>
          <w:rFonts w:ascii="宋体" w:hAnsi="宋体" w:eastAsia="宋体" w:cs="宋体"/>
          <w:color w:val="auto"/>
          <w:highlight w:val="none"/>
        </w:rPr>
      </w:pPr>
      <w:r>
        <w:rPr>
          <w:rFonts w:hint="eastAsia" w:ascii="宋体" w:hAnsi="宋体" w:eastAsia="宋体" w:cs="宋体"/>
          <w:color w:val="auto"/>
          <w:highlight w:val="none"/>
        </w:rPr>
        <w:t>第二章  付款方式及要求</w:t>
      </w:r>
      <w:bookmarkEnd w:id="70"/>
      <w:bookmarkEnd w:id="71"/>
    </w:p>
    <w:p w14:paraId="4EFC8807">
      <w:pPr>
        <w:autoSpaceDE w:val="0"/>
        <w:autoSpaceDN w:val="0"/>
        <w:adjustRightInd w:val="0"/>
        <w:spacing w:line="336"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一、付款方式：</w:t>
      </w:r>
    </w:p>
    <w:p w14:paraId="5DC0793D">
      <w:pPr>
        <w:autoSpaceDE w:val="0"/>
        <w:autoSpaceDN w:val="0"/>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在合同生效以及具备实施条件并收到发票后7个工作日内支付</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rPr>
        <w:t>%合同价款</w:t>
      </w:r>
      <w:r>
        <w:rPr>
          <w:rFonts w:hint="eastAsia" w:ascii="宋体" w:hAnsi="宋体" w:cs="宋体"/>
          <w:color w:val="auto"/>
          <w:sz w:val="24"/>
          <w:szCs w:val="24"/>
          <w:highlight w:val="none"/>
          <w:lang w:val="en-US" w:eastAsia="zh-CN"/>
        </w:rPr>
        <w:t>作为预付款</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项目完成经业主确认</w:t>
      </w:r>
      <w:r>
        <w:rPr>
          <w:rFonts w:hint="eastAsia" w:ascii="宋体" w:hAnsi="宋体" w:cs="宋体"/>
          <w:color w:val="auto"/>
          <w:sz w:val="24"/>
          <w:highlight w:val="none"/>
          <w:lang w:val="en-US" w:eastAsia="zh-CN"/>
        </w:rPr>
        <w:t>后7个工作日内</w:t>
      </w:r>
      <w:r>
        <w:rPr>
          <w:rFonts w:hint="eastAsia" w:ascii="宋体" w:hAnsi="宋体" w:cs="宋体"/>
          <w:color w:val="auto"/>
          <w:sz w:val="24"/>
          <w:highlight w:val="none"/>
        </w:rPr>
        <w:t>支付</w:t>
      </w:r>
      <w:r>
        <w:rPr>
          <w:rFonts w:hint="eastAsia" w:ascii="宋体" w:hAnsi="宋体" w:cs="宋体"/>
          <w:color w:val="auto"/>
          <w:sz w:val="24"/>
          <w:highlight w:val="none"/>
          <w:lang w:val="en-US" w:eastAsia="zh-CN"/>
        </w:rPr>
        <w:t>剩余</w:t>
      </w:r>
      <w:r>
        <w:rPr>
          <w:rFonts w:hint="eastAsia" w:ascii="宋体" w:hAnsi="宋体" w:cs="宋体"/>
          <w:color w:val="auto"/>
          <w:sz w:val="24"/>
          <w:highlight w:val="none"/>
        </w:rPr>
        <w:t>合同价款</w:t>
      </w:r>
      <w:r>
        <w:rPr>
          <w:rFonts w:hint="eastAsia" w:ascii="宋体" w:hAnsi="宋体" w:cs="宋体"/>
          <w:color w:val="auto"/>
          <w:sz w:val="24"/>
          <w:szCs w:val="24"/>
          <w:highlight w:val="none"/>
        </w:rPr>
        <w:t>。</w:t>
      </w:r>
    </w:p>
    <w:p w14:paraId="2BE1EE28">
      <w:pPr>
        <w:autoSpaceDE w:val="0"/>
        <w:autoSpaceDN w:val="0"/>
        <w:adjustRightInd w:val="0"/>
        <w:spacing w:line="336"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二、付款要求：</w:t>
      </w:r>
    </w:p>
    <w:p w14:paraId="65F07EB9">
      <w:pPr>
        <w:autoSpaceDE w:val="0"/>
        <w:autoSpaceDN w:val="0"/>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人在收款之前，应向采购人提供等额、合法、有效的增值税发票，采购人凭发票付款。如中标人未按约定提供增值税发票的，采购人有权拒绝付款，直至收到中标人提交的相应增值税发票为止，在此情况下，采购人不承担逾期付款违约责任。</w:t>
      </w:r>
    </w:p>
    <w:p w14:paraId="71678C13">
      <w:pPr>
        <w:pStyle w:val="7"/>
        <w:numPr>
          <w:ilvl w:val="0"/>
          <w:numId w:val="0"/>
        </w:numPr>
        <w:bidi w:val="0"/>
        <w:jc w:val="both"/>
        <w:rPr>
          <w:color w:val="auto"/>
          <w:highlight w:val="none"/>
        </w:rPr>
      </w:pPr>
    </w:p>
    <w:p w14:paraId="152DC8E2">
      <w:pPr>
        <w:rPr>
          <w:rFonts w:hint="eastAsia" w:ascii="宋体" w:hAnsi="宋体" w:cs="宋体"/>
          <w:color w:val="auto"/>
          <w:highlight w:val="none"/>
        </w:rPr>
      </w:pPr>
      <w:r>
        <w:rPr>
          <w:rFonts w:hint="eastAsia" w:ascii="宋体" w:hAnsi="宋体" w:cs="宋体"/>
          <w:color w:val="auto"/>
          <w:highlight w:val="none"/>
        </w:rPr>
        <w:br w:type="page"/>
      </w:r>
    </w:p>
    <w:p w14:paraId="3C1F8CC8">
      <w:pPr>
        <w:pStyle w:val="6"/>
        <w:rPr>
          <w:rFonts w:ascii="宋体" w:hAnsi="宋体" w:cs="宋体"/>
          <w:color w:val="auto"/>
          <w:highlight w:val="none"/>
        </w:rPr>
      </w:pPr>
      <w:bookmarkStart w:id="72" w:name="_Toc30421"/>
      <w:r>
        <w:rPr>
          <w:rFonts w:hint="eastAsia" w:ascii="宋体" w:hAnsi="宋体" w:cs="宋体"/>
          <w:color w:val="auto"/>
          <w:highlight w:val="none"/>
        </w:rPr>
        <w:t>第四部分 磋商原则及磋商方法</w:t>
      </w:r>
      <w:bookmarkEnd w:id="68"/>
      <w:bookmarkEnd w:id="72"/>
    </w:p>
    <w:p w14:paraId="417DBB28">
      <w:pPr>
        <w:numPr>
          <w:ilvl w:val="0"/>
          <w:numId w:val="15"/>
        </w:numPr>
        <w:bidi w:val="0"/>
        <w:jc w:val="center"/>
        <w:rPr>
          <w:color w:val="auto"/>
          <w:sz w:val="28"/>
          <w:szCs w:val="28"/>
          <w:highlight w:val="none"/>
        </w:rPr>
      </w:pPr>
      <w:bookmarkStart w:id="73" w:name="_Toc4397"/>
      <w:bookmarkStart w:id="74" w:name="_Toc1265"/>
      <w:bookmarkStart w:id="75" w:name="_Toc15829"/>
      <w:r>
        <w:rPr>
          <w:rFonts w:hint="eastAsia"/>
          <w:color w:val="auto"/>
          <w:sz w:val="28"/>
          <w:szCs w:val="28"/>
          <w:highlight w:val="none"/>
        </w:rPr>
        <w:t>磋商原则</w:t>
      </w:r>
      <w:bookmarkEnd w:id="73"/>
      <w:bookmarkEnd w:id="74"/>
      <w:bookmarkEnd w:id="75"/>
    </w:p>
    <w:p w14:paraId="26AA278D">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本次竞争性磋商本着公平、公正、科学、择优的原则，邀请各磋商方参加报价。</w:t>
      </w:r>
    </w:p>
    <w:p w14:paraId="420DCD5C">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4B3ED531">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磋商小组按照统一的磋商原则和磋商方法，用同一标准对所有响应性文件进行评审。</w:t>
      </w:r>
    </w:p>
    <w:p w14:paraId="6C2FE216">
      <w:pPr>
        <w:pStyle w:val="14"/>
        <w:spacing w:line="336" w:lineRule="auto"/>
        <w:ind w:firstLine="482" w:firstLineChars="200"/>
        <w:rPr>
          <w:rFonts w:hAnsi="宋体"/>
          <w:b/>
          <w:bCs/>
          <w:color w:val="auto"/>
          <w:sz w:val="24"/>
          <w:szCs w:val="24"/>
          <w:highlight w:val="none"/>
        </w:rPr>
      </w:pPr>
      <w:r>
        <w:rPr>
          <w:rFonts w:hint="eastAsia" w:hAnsi="宋体"/>
          <w:b/>
          <w:bCs/>
          <w:color w:val="auto"/>
          <w:sz w:val="24"/>
          <w:szCs w:val="24"/>
          <w:highlight w:val="none"/>
        </w:rPr>
        <w:t>4</w:t>
      </w:r>
      <w:r>
        <w:rPr>
          <w:rFonts w:hint="eastAsia" w:hAnsi="宋体"/>
          <w:b/>
          <w:bCs/>
          <w:color w:val="auto"/>
          <w:sz w:val="24"/>
          <w:szCs w:val="24"/>
          <w:highlight w:val="none"/>
          <w:lang w:val="en-US" w:eastAsia="zh-CN"/>
        </w:rPr>
        <w:t>.</w:t>
      </w:r>
      <w:r>
        <w:rPr>
          <w:rFonts w:hint="eastAsia" w:hAnsi="宋体"/>
          <w:b/>
          <w:bCs/>
          <w:color w:val="auto"/>
          <w:sz w:val="24"/>
          <w:szCs w:val="24"/>
          <w:highlight w:val="none"/>
        </w:rPr>
        <w:t>评审</w:t>
      </w:r>
    </w:p>
    <w:p w14:paraId="03EACB91">
      <w:pPr>
        <w:pStyle w:val="14"/>
        <w:spacing w:line="336" w:lineRule="auto"/>
        <w:ind w:firstLine="480" w:firstLineChars="200"/>
        <w:rPr>
          <w:rFonts w:hAnsi="宋体"/>
          <w:color w:val="auto"/>
          <w:sz w:val="24"/>
          <w:szCs w:val="24"/>
          <w:highlight w:val="none"/>
        </w:rPr>
      </w:pPr>
      <w:r>
        <w:rPr>
          <w:rFonts w:hint="eastAsia" w:hAnsi="宋体"/>
          <w:color w:val="auto"/>
          <w:sz w:val="24"/>
          <w:szCs w:val="24"/>
          <w:highlight w:val="none"/>
        </w:rPr>
        <w:t>4.1在磋商响应截止时间前按规定提交响应文件的供应商在三家（含）以上的，由采购人或采购代理机构组织进行开标。</w:t>
      </w:r>
    </w:p>
    <w:p w14:paraId="3F96E402">
      <w:pPr>
        <w:pStyle w:val="14"/>
        <w:spacing w:line="336" w:lineRule="auto"/>
        <w:ind w:firstLine="482" w:firstLineChars="200"/>
        <w:rPr>
          <w:rFonts w:hAnsi="宋体"/>
          <w:color w:val="auto"/>
          <w:sz w:val="24"/>
          <w:szCs w:val="24"/>
          <w:highlight w:val="none"/>
        </w:rPr>
      </w:pPr>
      <w:r>
        <w:rPr>
          <w:rFonts w:hint="eastAsia" w:hAnsi="宋体"/>
          <w:b/>
          <w:bCs/>
          <w:color w:val="auto"/>
          <w:sz w:val="24"/>
          <w:szCs w:val="24"/>
          <w:highlight w:val="none"/>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hint="eastAsia" w:hAnsi="宋体"/>
          <w:color w:val="auto"/>
          <w:sz w:val="24"/>
          <w:szCs w:val="24"/>
          <w:highlight w:val="none"/>
        </w:rPr>
        <w:t>。备份文件（后缀名为.bfbs）须存储在U盘中，与上传的电子磋商响应文件一致，用信封进行密封并盖章（</w:t>
      </w:r>
      <w:r>
        <w:rPr>
          <w:rFonts w:hint="eastAsia" w:hAnsi="宋体"/>
          <w:b/>
          <w:bCs/>
          <w:color w:val="auto"/>
          <w:sz w:val="24"/>
          <w:szCs w:val="24"/>
          <w:highlight w:val="none"/>
        </w:rPr>
        <w:t>信封内仅需放入存储备份文件的U盘</w:t>
      </w:r>
      <w:r>
        <w:rPr>
          <w:rFonts w:hint="eastAsia" w:hAnsi="宋体"/>
          <w:color w:val="auto"/>
          <w:sz w:val="24"/>
          <w:szCs w:val="24"/>
          <w:highlight w:val="none"/>
        </w:rPr>
        <w:t>），由授权代表在磋商响应截止时间前递交至开标地点。</w:t>
      </w:r>
    </w:p>
    <w:p w14:paraId="3FE17FD1">
      <w:pPr>
        <w:pStyle w:val="14"/>
        <w:spacing w:line="336" w:lineRule="auto"/>
        <w:ind w:firstLine="480" w:firstLineChars="200"/>
        <w:rPr>
          <w:rFonts w:hAnsi="宋体"/>
          <w:color w:val="auto"/>
          <w:sz w:val="24"/>
          <w:szCs w:val="24"/>
          <w:highlight w:val="none"/>
        </w:rPr>
      </w:pPr>
      <w:r>
        <w:rPr>
          <w:rFonts w:hint="eastAsia" w:hAnsi="宋体"/>
          <w:color w:val="auto"/>
          <w:sz w:val="24"/>
          <w:szCs w:val="24"/>
          <w:highlight w:val="none"/>
        </w:rPr>
        <w:t>4.3采购人按磋商文件规定的时间、地点公开开标。开标仪式由采购人或采购代理机构主持及有关人员参加。</w:t>
      </w:r>
    </w:p>
    <w:p w14:paraId="297543C4">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14:paraId="72B9C39C">
      <w:pPr>
        <w:pStyle w:val="36"/>
        <w:spacing w:before="0" w:line="336" w:lineRule="auto"/>
        <w:ind w:firstLine="480"/>
        <w:rPr>
          <w:rFonts w:ascii="宋体" w:hAnsi="宋体" w:cs="宋体"/>
          <w:color w:val="auto"/>
          <w:highlight w:val="none"/>
        </w:rPr>
      </w:pPr>
      <w:r>
        <w:rPr>
          <w:rFonts w:hint="eastAsia" w:ascii="宋体" w:hAnsi="宋体" w:cs="宋体"/>
          <w:color w:val="auto"/>
          <w:highlight w:val="none"/>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79D9722">
      <w:pPr>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组建磋商小组</w:t>
      </w:r>
    </w:p>
    <w:p w14:paraId="45E52B5F">
      <w:pPr>
        <w:pStyle w:val="36"/>
        <w:spacing w:before="0" w:line="336" w:lineRule="auto"/>
        <w:ind w:firstLine="480"/>
        <w:rPr>
          <w:rFonts w:hint="eastAsia" w:ascii="宋体" w:hAnsi="宋体" w:eastAsia="宋体" w:cs="宋体"/>
          <w:color w:val="auto"/>
          <w:highlight w:val="none"/>
          <w:lang w:eastAsia="zh-CN"/>
        </w:rPr>
      </w:pPr>
      <w:r>
        <w:rPr>
          <w:rFonts w:hint="eastAsia" w:ascii="宋体" w:hAnsi="宋体" w:cs="宋体"/>
          <w:color w:val="auto"/>
          <w:highlight w:val="none"/>
        </w:rPr>
        <w:t>5.1磋商小组由采购人代表和评审专家共3人或以上单数组成，其中评审专家人数不少于磋商小组成员总数的2/3</w:t>
      </w:r>
      <w:r>
        <w:rPr>
          <w:rFonts w:hint="eastAsia" w:ascii="宋体" w:hAnsi="宋体" w:cs="宋体"/>
          <w:color w:val="auto"/>
          <w:highlight w:val="none"/>
          <w:lang w:eastAsia="zh-CN"/>
        </w:rPr>
        <w:t>；</w:t>
      </w:r>
    </w:p>
    <w:p w14:paraId="098BB2A1">
      <w:pPr>
        <w:pStyle w:val="36"/>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5.2</w:t>
      </w:r>
      <w:r>
        <w:rPr>
          <w:rFonts w:hint="eastAsia" w:ascii="宋体" w:hAnsi="宋体" w:cs="宋体"/>
          <w:color w:val="auto"/>
          <w:highlight w:val="none"/>
          <w:lang w:val="zh-CN"/>
        </w:rPr>
        <w:t>评标工作由评标委员会负责，并推选产生的组长主持；</w:t>
      </w:r>
    </w:p>
    <w:p w14:paraId="5AB59B41">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5.3</w:t>
      </w:r>
      <w:r>
        <w:rPr>
          <w:rFonts w:hint="eastAsia" w:ascii="宋体" w:hAnsi="宋体" w:cs="宋体"/>
          <w:color w:val="auto"/>
          <w:sz w:val="24"/>
          <w:szCs w:val="24"/>
          <w:highlight w:val="none"/>
          <w:lang w:val="zh-CN"/>
        </w:rPr>
        <w:t>本次评标为在线评标。</w:t>
      </w:r>
    </w:p>
    <w:p w14:paraId="3927C7B4">
      <w:pPr>
        <w:numPr>
          <w:ilvl w:val="0"/>
          <w:numId w:val="15"/>
        </w:numPr>
        <w:bidi w:val="0"/>
        <w:jc w:val="center"/>
        <w:rPr>
          <w:color w:val="auto"/>
          <w:sz w:val="28"/>
          <w:szCs w:val="28"/>
          <w:highlight w:val="none"/>
        </w:rPr>
      </w:pPr>
      <w:bookmarkStart w:id="76" w:name="_Toc26388"/>
      <w:bookmarkStart w:id="77" w:name="_Toc10093"/>
      <w:bookmarkStart w:id="78" w:name="_Toc16904"/>
      <w:r>
        <w:rPr>
          <w:rFonts w:hint="eastAsia"/>
          <w:color w:val="auto"/>
          <w:sz w:val="28"/>
          <w:szCs w:val="28"/>
          <w:highlight w:val="none"/>
        </w:rPr>
        <w:t>磋商程序</w:t>
      </w:r>
      <w:bookmarkEnd w:id="76"/>
      <w:bookmarkEnd w:id="77"/>
      <w:bookmarkEnd w:id="78"/>
    </w:p>
    <w:p w14:paraId="5597AFE4">
      <w:pPr>
        <w:snapToGrid w:val="0"/>
        <w:spacing w:line="336"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对所有响应文件的初审</w:t>
      </w:r>
    </w:p>
    <w:p w14:paraId="109989E5">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1.1资格审查</w:t>
      </w:r>
    </w:p>
    <w:p w14:paraId="47A36C56">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（1）开标后，磋商小组将依法对供应商的资格进行审查。</w:t>
      </w:r>
    </w:p>
    <w:p w14:paraId="37E2D1D3">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（2）磋商小组依据法律法规和磋商文件的规定，对供应商的基本资格条件、特定资格条件进行审查。</w:t>
      </w:r>
    </w:p>
    <w:p w14:paraId="6A624BA9">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（3）供应商未按照磋商文件要求提供与基本资格条件、特定资格条件相应的有效资格证明材料的，视为供应商不具备磋商文件中规定的资格要求，其磋商无效。并将无效原由告知相关供应商.</w:t>
      </w:r>
    </w:p>
    <w:p w14:paraId="6E229426">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采购人或采购代理机构将通过“信用中国”网站(www.creditchina.gov.cn)、中国政府采购网(www.ccgp.gov.cn)渠道查询供应商磋商开标后评标前的信用记录，经查询供应商列入失信被执行人名单、重大税收违法案件当事人名单、政府采购严重违法失信行为记录名单的，其磋商无效。</w:t>
      </w:r>
    </w:p>
    <w:p w14:paraId="5F27EB4E">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4E4E69B2">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4E48FE3F">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（1）响应文件无法定代表人或其委托授权代表签名或盖章。</w:t>
      </w:r>
    </w:p>
    <w:p w14:paraId="01E3FE2F">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（2）响应文件内容虚假的。</w:t>
      </w:r>
    </w:p>
    <w:p w14:paraId="44753A98">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（3）响应文件有采购人不能接受的附加条件的。</w:t>
      </w:r>
    </w:p>
    <w:p w14:paraId="5B9C2679">
      <w:pPr>
        <w:adjustRightInd w:val="0"/>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（4）磋商有效期、服务期等商务条款不能满足磋商文件要求的。</w:t>
      </w:r>
    </w:p>
    <w:p w14:paraId="48263D08">
      <w:pPr>
        <w:widowControl/>
        <w:spacing w:line="336" w:lineRule="auto"/>
        <w:ind w:firstLine="482"/>
        <w:jc w:val="left"/>
        <w:rPr>
          <w:rFonts w:ascii="宋体" w:hAnsi="宋体" w:cs="宋体"/>
          <w:color w:val="auto"/>
          <w:sz w:val="24"/>
          <w:szCs w:val="24"/>
          <w:highlight w:val="none"/>
        </w:rPr>
      </w:pPr>
      <w:r>
        <w:rPr>
          <w:rFonts w:hint="eastAsia" w:ascii="宋体" w:hAnsi="宋体" w:cs="宋体"/>
          <w:color w:val="auto"/>
          <w:sz w:val="24"/>
          <w:szCs w:val="24"/>
          <w:highlight w:val="none"/>
        </w:rPr>
        <w:t>（5）投标价格超出预算或最高限价，导致采购单位无法支付的。</w:t>
      </w:r>
    </w:p>
    <w:p w14:paraId="60011D0C">
      <w:pPr>
        <w:widowControl/>
        <w:spacing w:line="336" w:lineRule="auto"/>
        <w:ind w:firstLine="482"/>
        <w:jc w:val="left"/>
        <w:rPr>
          <w:rFonts w:ascii="宋体" w:hAnsi="宋体" w:cs="宋体"/>
          <w:color w:val="auto"/>
          <w:sz w:val="24"/>
          <w:szCs w:val="24"/>
          <w:highlight w:val="none"/>
        </w:rPr>
      </w:pPr>
      <w:r>
        <w:rPr>
          <w:rFonts w:hint="eastAsia" w:ascii="宋体" w:hAnsi="宋体" w:cs="宋体"/>
          <w:color w:val="auto"/>
          <w:sz w:val="24"/>
          <w:szCs w:val="24"/>
          <w:highlight w:val="none"/>
        </w:rPr>
        <w:t>（6）磋商文件明确规定的其他无效条款的。</w:t>
      </w:r>
    </w:p>
    <w:p w14:paraId="58009181">
      <w:pPr>
        <w:adjustRightInd w:val="0"/>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D41575E">
      <w:pPr>
        <w:pStyle w:val="36"/>
        <w:tabs>
          <w:tab w:val="left" w:pos="0"/>
        </w:tabs>
        <w:spacing w:before="0" w:line="336" w:lineRule="auto"/>
        <w:ind w:firstLine="480"/>
        <w:rPr>
          <w:rFonts w:ascii="宋体" w:hAnsi="宋体" w:cs="宋体"/>
          <w:color w:val="auto"/>
          <w:highlight w:val="none"/>
        </w:rPr>
      </w:pPr>
      <w:r>
        <w:rPr>
          <w:rFonts w:hint="eastAsia" w:ascii="宋体" w:hAnsi="宋体" w:cs="宋体"/>
          <w:color w:val="auto"/>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692AF12E">
      <w:pPr>
        <w:snapToGrid w:val="0"/>
        <w:spacing w:line="336" w:lineRule="auto"/>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lang w:val="zh-CN"/>
        </w:rPr>
        <w:t>磋商</w:t>
      </w:r>
    </w:p>
    <w:p w14:paraId="6AB98F5B">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2.1 初审合格的供应商进入下一步的磋商活动。</w:t>
      </w:r>
    </w:p>
    <w:p w14:paraId="1A522F80">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2.2 磋商小组所有成员应当集中与单一供应商分别进行磋商，并给予所有参加磋商的供应商平等的磋商机会。</w:t>
      </w:r>
    </w:p>
    <w:p w14:paraId="4077026E">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2.3 以递交响应文件的时间先后决定磋商顺序。磋商时先听取由供应商拟派的项目负责人就项目采购的重点内容进行磋商，磋商过程中由磋商小组成员提出相关问题，并由供应商拟派项目负责人进行回复与承诺。</w:t>
      </w:r>
    </w:p>
    <w:p w14:paraId="424A3FF6">
      <w:pPr>
        <w:snapToGrid w:val="0"/>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2.4 在磋商过程中，磋商小组可以根据磋商文件和磋商情况实质性变动采购需求中的技术、服务要求以及合同草案条款。实质性变动的内容，须经采购人代表确认。</w:t>
      </w:r>
    </w:p>
    <w:p w14:paraId="5A00E064">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 磋商文件作出的实质性变动是磋商文件的有效组成部分，磋商小组应当及时以书面形式同时通知所有参加磋商的供应商。</w:t>
      </w:r>
    </w:p>
    <w:p w14:paraId="36EDB4F6">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1D66E3F">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265DEDD8">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D3F65E6">
      <w:pPr>
        <w:snapToGrid w:val="0"/>
        <w:spacing w:line="336" w:lineRule="auto"/>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lang w:val="zh-CN"/>
        </w:rPr>
        <w:t>最后报价</w:t>
      </w:r>
    </w:p>
    <w:p w14:paraId="766BEAA8">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3.1商务技术汇总后，供应商开启报价文件，磋商小组应当要求所有实质性响应的供应商在规定时间内提交最后报价。</w:t>
      </w:r>
    </w:p>
    <w:p w14:paraId="5BE0228F">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3.2最后报价是供应商响应文件的有效组成部分，若最后报价高于响应文件报价，则以第一次报价计入评分。</w:t>
      </w:r>
    </w:p>
    <w:p w14:paraId="1F17C51E">
      <w:pPr>
        <w:snapToGri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3.3已提交响应文件的供应商，在提交最后报价之前，若因磋商文件实质性变动导致供应商无法满足采购需求的，允许供应商退出磋商。</w:t>
      </w:r>
    </w:p>
    <w:p w14:paraId="6D13742A">
      <w:pPr>
        <w:pStyle w:val="8"/>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电子评标</w:t>
      </w:r>
    </w:p>
    <w:p w14:paraId="133E1523">
      <w:pPr>
        <w:pStyle w:val="8"/>
        <w:spacing w:line="336"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    4.1磋商活动由采购代理机构主持,磋商响应截止时间后,供应商登录政采云平台对电子响应文件进行在线解密；</w:t>
      </w:r>
    </w:p>
    <w:p w14:paraId="6801C873">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4.2响应文件解密结束,开启响应文件,磋商小组对资格和商务技术响应文件进行资格审查和符合性审查；</w:t>
      </w:r>
    </w:p>
    <w:p w14:paraId="5E8FBAEF">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4.3供应商按递交磋商响应文件的前后顺序决定磋商的顺序,就价格、服务等认为需要磋商的内容进行磋商,供应商逐家回答磋商小组的提问,供应商作出最终承诺；</w:t>
      </w:r>
    </w:p>
    <w:p w14:paraId="2CC68935">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4.4磋商小组对商务技术响应文件进行评审；</w:t>
      </w:r>
    </w:p>
    <w:p w14:paraId="7E0F5259">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4.5商务技术汇总后，供应商开启报价文件，进行磋商二次报价（最终报价），</w:t>
      </w:r>
      <w:r>
        <w:rPr>
          <w:rFonts w:hint="eastAsia" w:ascii="宋体" w:hAnsi="宋体" w:cs="宋体"/>
          <w:b/>
          <w:bCs/>
          <w:color w:val="auto"/>
          <w:sz w:val="24"/>
          <w:szCs w:val="24"/>
          <w:highlight w:val="none"/>
        </w:rPr>
        <w:t>如果供应商在规定时间30分钟内未提交第二次报价，视该供应商放弃本次投标，作无效标处理；</w:t>
      </w:r>
    </w:p>
    <w:p w14:paraId="41129402">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4.6在系统上开启最终报价情况；</w:t>
      </w:r>
    </w:p>
    <w:p w14:paraId="342BE558">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4.7磋商小组对报价情况进行评审；</w:t>
      </w:r>
    </w:p>
    <w:p w14:paraId="2D9D6642">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4.8在系统上公开资格和商务技术评审结果；</w:t>
      </w:r>
    </w:p>
    <w:p w14:paraId="1CEAE2F4">
      <w:pPr>
        <w:pStyle w:val="8"/>
        <w:spacing w:line="336"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4.9在系统上公布评审结果</w:t>
      </w:r>
      <w:r>
        <w:rPr>
          <w:rFonts w:hint="eastAsia" w:ascii="宋体" w:hAnsi="宋体" w:cs="宋体"/>
          <w:color w:val="auto"/>
          <w:sz w:val="24"/>
          <w:szCs w:val="24"/>
          <w:highlight w:val="none"/>
          <w:lang w:eastAsia="zh-CN"/>
        </w:rPr>
        <w:t>；</w:t>
      </w:r>
    </w:p>
    <w:p w14:paraId="213DB243">
      <w:pPr>
        <w:pStyle w:val="8"/>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4.10开标会结束。</w:t>
      </w:r>
    </w:p>
    <w:p w14:paraId="1B7BA495">
      <w:pPr>
        <w:snapToGrid w:val="0"/>
        <w:spacing w:line="336"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特别说明:政采云如对电子化开标及评审程序有调整的,按调整后的程序操作。</w:t>
      </w:r>
    </w:p>
    <w:p w14:paraId="55D38023">
      <w:pPr>
        <w:snapToGrid w:val="0"/>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lang w:val="en-US" w:eastAsia="zh-CN"/>
        </w:rPr>
        <w:t>.</w:t>
      </w:r>
      <w:r>
        <w:rPr>
          <w:rFonts w:hint="eastAsia" w:ascii="宋体" w:hAnsi="宋体" w:cs="宋体"/>
          <w:b/>
          <w:bCs/>
          <w:color w:val="auto"/>
          <w:sz w:val="24"/>
          <w:szCs w:val="24"/>
          <w:highlight w:val="none"/>
        </w:rPr>
        <w:t>综合评分</w:t>
      </w:r>
    </w:p>
    <w:p w14:paraId="6B594B13">
      <w:pPr>
        <w:tabs>
          <w:tab w:val="left" w:pos="-1080"/>
          <w:tab w:val="left" w:pos="180"/>
          <w:tab w:val="left" w:pos="1080"/>
        </w:tabs>
        <w:snapToGrid w:val="0"/>
        <w:spacing w:line="336" w:lineRule="auto"/>
        <w:ind w:firstLine="480"/>
        <w:rPr>
          <w:rFonts w:ascii="宋体" w:hAnsi="宋体" w:cs="宋体"/>
          <w:color w:val="auto"/>
          <w:kern w:val="0"/>
          <w:sz w:val="24"/>
          <w:szCs w:val="24"/>
          <w:highlight w:val="none"/>
        </w:rPr>
      </w:pPr>
      <w:r>
        <w:rPr>
          <w:rFonts w:hint="eastAsia" w:ascii="宋体" w:hAnsi="宋体" w:cs="宋体"/>
          <w:color w:val="auto"/>
          <w:sz w:val="24"/>
          <w:szCs w:val="24"/>
          <w:highlight w:val="none"/>
        </w:rPr>
        <w:t>5.1本评标办法采用综合评标法，由商务技术分和报价分合计组成，其中商务技术分</w:t>
      </w:r>
      <w:r>
        <w:rPr>
          <w:rFonts w:hint="eastAsia" w:ascii="宋体" w:hAnsi="宋体" w:cs="宋体"/>
          <w:color w:val="auto"/>
          <w:sz w:val="24"/>
          <w:szCs w:val="24"/>
          <w:highlight w:val="none"/>
          <w:u w:val="single"/>
        </w:rPr>
        <w:t>80</w:t>
      </w:r>
      <w:r>
        <w:rPr>
          <w:rFonts w:hint="eastAsia" w:ascii="宋体" w:hAnsi="宋体" w:cs="宋体"/>
          <w:color w:val="auto"/>
          <w:sz w:val="24"/>
          <w:szCs w:val="24"/>
          <w:highlight w:val="none"/>
        </w:rPr>
        <w:t>分、报价分</w:t>
      </w:r>
      <w:r>
        <w:rPr>
          <w:rFonts w:hint="eastAsia" w:ascii="宋体" w:hAnsi="宋体" w:cs="宋体"/>
          <w:color w:val="auto"/>
          <w:sz w:val="24"/>
          <w:szCs w:val="24"/>
          <w:highlight w:val="none"/>
          <w:u w:val="single"/>
        </w:rPr>
        <w:t>20</w:t>
      </w:r>
      <w:r>
        <w:rPr>
          <w:rFonts w:hint="eastAsia" w:ascii="宋体" w:hAnsi="宋体" w:cs="宋体"/>
          <w:color w:val="auto"/>
          <w:sz w:val="24"/>
          <w:szCs w:val="24"/>
          <w:highlight w:val="none"/>
        </w:rPr>
        <w:t>分；满分为100分。</w:t>
      </w:r>
    </w:p>
    <w:p w14:paraId="6CF76A5A">
      <w:pPr>
        <w:spacing w:line="336"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5.2经初步评审合格的响应文件，磋商小组根据竞争性磋商文件确定的评审标准和方法，对其商务技术部分作进一步评审、比较、打分。</w:t>
      </w:r>
    </w:p>
    <w:p w14:paraId="247EFD55">
      <w:pPr>
        <w:pStyle w:val="14"/>
        <w:spacing w:line="336" w:lineRule="auto"/>
        <w:ind w:firstLine="480" w:firstLineChars="200"/>
        <w:rPr>
          <w:rFonts w:hAnsi="宋体"/>
          <w:color w:val="auto"/>
          <w:sz w:val="24"/>
          <w:szCs w:val="24"/>
          <w:highlight w:val="none"/>
        </w:rPr>
      </w:pPr>
      <w:r>
        <w:rPr>
          <w:rFonts w:hint="eastAsia" w:hAnsi="宋体"/>
          <w:color w:val="auto"/>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47BB53D2">
      <w:pPr>
        <w:pStyle w:val="14"/>
        <w:spacing w:line="336" w:lineRule="auto"/>
        <w:ind w:left="420" w:leftChars="200"/>
        <w:rPr>
          <w:rFonts w:hAnsi="宋体"/>
          <w:b/>
          <w:bCs/>
          <w:color w:val="auto"/>
          <w:sz w:val="24"/>
          <w:szCs w:val="24"/>
          <w:highlight w:val="none"/>
        </w:rPr>
      </w:pPr>
      <w:r>
        <w:rPr>
          <w:rFonts w:hint="eastAsia" w:hAnsi="宋体"/>
          <w:b/>
          <w:bCs/>
          <w:color w:val="auto"/>
          <w:sz w:val="24"/>
          <w:szCs w:val="24"/>
          <w:highlight w:val="none"/>
        </w:rPr>
        <w:t>6</w:t>
      </w:r>
      <w:r>
        <w:rPr>
          <w:rFonts w:hint="eastAsia" w:hAnsi="宋体"/>
          <w:b/>
          <w:bCs/>
          <w:color w:val="auto"/>
          <w:sz w:val="24"/>
          <w:szCs w:val="24"/>
          <w:highlight w:val="none"/>
          <w:lang w:val="en-US" w:eastAsia="zh-CN"/>
        </w:rPr>
        <w:t>.</w:t>
      </w:r>
      <w:r>
        <w:rPr>
          <w:rFonts w:hint="eastAsia" w:hAnsi="宋体"/>
          <w:b/>
          <w:bCs/>
          <w:color w:val="auto"/>
          <w:sz w:val="24"/>
          <w:szCs w:val="24"/>
          <w:highlight w:val="none"/>
        </w:rPr>
        <w:t>修正原则</w:t>
      </w:r>
    </w:p>
    <w:p w14:paraId="213B7BDD">
      <w:pPr>
        <w:pStyle w:val="36"/>
        <w:spacing w:before="0" w:line="336" w:lineRule="auto"/>
        <w:ind w:left="420" w:leftChars="200" w:firstLine="0" w:firstLineChars="0"/>
        <w:rPr>
          <w:rFonts w:ascii="宋体" w:hAnsi="宋体" w:cs="宋体"/>
          <w:color w:val="auto"/>
          <w:highlight w:val="none"/>
          <w:lang w:val="zh-CN"/>
        </w:rPr>
      </w:pPr>
      <w:r>
        <w:rPr>
          <w:rFonts w:hint="eastAsia" w:ascii="宋体" w:hAnsi="宋体" w:cs="宋体"/>
          <w:color w:val="auto"/>
          <w:highlight w:val="none"/>
        </w:rPr>
        <w:t>响应</w:t>
      </w:r>
      <w:r>
        <w:rPr>
          <w:rFonts w:hint="eastAsia" w:ascii="宋体" w:hAnsi="宋体" w:cs="宋体"/>
          <w:color w:val="auto"/>
          <w:highlight w:val="none"/>
          <w:lang w:val="zh-CN"/>
        </w:rPr>
        <w:t>文件报价出现前后不一致的，按照下列规定修正：</w:t>
      </w:r>
    </w:p>
    <w:p w14:paraId="04D99121">
      <w:pPr>
        <w:pStyle w:val="36"/>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6.1响应</w:t>
      </w:r>
      <w:r>
        <w:rPr>
          <w:rFonts w:hint="eastAsia" w:ascii="宋体" w:hAnsi="宋体" w:cs="宋体"/>
          <w:color w:val="auto"/>
          <w:highlight w:val="none"/>
          <w:lang w:val="zh-CN"/>
        </w:rPr>
        <w:t>文件中</w:t>
      </w:r>
      <w:r>
        <w:rPr>
          <w:rFonts w:hint="eastAsia" w:ascii="宋体" w:hAnsi="宋体" w:cs="宋体"/>
          <w:color w:val="auto"/>
          <w:highlight w:val="none"/>
        </w:rPr>
        <w:t>报价</w:t>
      </w:r>
      <w:r>
        <w:rPr>
          <w:rFonts w:hint="eastAsia" w:ascii="宋体" w:hAnsi="宋体" w:cs="宋体"/>
          <w:color w:val="auto"/>
          <w:highlight w:val="none"/>
          <w:lang w:val="zh-CN"/>
        </w:rPr>
        <w:t>一览表内容与</w:t>
      </w:r>
      <w:r>
        <w:rPr>
          <w:rFonts w:hint="eastAsia" w:ascii="宋体" w:hAnsi="宋体" w:cs="宋体"/>
          <w:color w:val="auto"/>
          <w:highlight w:val="none"/>
        </w:rPr>
        <w:t>响应</w:t>
      </w:r>
      <w:r>
        <w:rPr>
          <w:rFonts w:hint="eastAsia" w:ascii="宋体" w:hAnsi="宋体" w:cs="宋体"/>
          <w:color w:val="auto"/>
          <w:highlight w:val="none"/>
          <w:lang w:val="zh-CN"/>
        </w:rPr>
        <w:t>文件中相应内容不一致的，以</w:t>
      </w:r>
      <w:r>
        <w:rPr>
          <w:rFonts w:hint="eastAsia" w:ascii="宋体" w:hAnsi="宋体" w:cs="宋体"/>
          <w:color w:val="auto"/>
          <w:highlight w:val="none"/>
        </w:rPr>
        <w:t>报价</w:t>
      </w:r>
      <w:r>
        <w:rPr>
          <w:rFonts w:hint="eastAsia" w:ascii="宋体" w:hAnsi="宋体" w:cs="宋体"/>
          <w:color w:val="auto"/>
          <w:highlight w:val="none"/>
          <w:lang w:val="zh-CN"/>
        </w:rPr>
        <w:t>一览表为准；</w:t>
      </w:r>
    </w:p>
    <w:p w14:paraId="07A06033">
      <w:pPr>
        <w:pStyle w:val="36"/>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6.2</w:t>
      </w:r>
      <w:r>
        <w:rPr>
          <w:rFonts w:hint="eastAsia" w:ascii="宋体" w:hAnsi="宋体" w:cs="宋体"/>
          <w:color w:val="auto"/>
          <w:highlight w:val="none"/>
          <w:lang w:val="zh-CN"/>
        </w:rPr>
        <w:t>大写金额和小写金额不一致的，以大写金额为准；</w:t>
      </w:r>
    </w:p>
    <w:p w14:paraId="7AEBDE88">
      <w:pPr>
        <w:pStyle w:val="36"/>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6.3</w:t>
      </w:r>
      <w:r>
        <w:rPr>
          <w:rFonts w:hint="eastAsia" w:ascii="宋体" w:hAnsi="宋体" w:cs="宋体"/>
          <w:color w:val="auto"/>
          <w:highlight w:val="none"/>
          <w:lang w:val="zh-CN"/>
        </w:rPr>
        <w:t>单价金额小数点或者百分比有明显错位的，以</w:t>
      </w:r>
      <w:r>
        <w:rPr>
          <w:rFonts w:hint="eastAsia" w:ascii="宋体" w:hAnsi="宋体" w:cs="宋体"/>
          <w:color w:val="auto"/>
          <w:highlight w:val="none"/>
        </w:rPr>
        <w:t>报价</w:t>
      </w:r>
      <w:r>
        <w:rPr>
          <w:rFonts w:hint="eastAsia" w:ascii="宋体" w:hAnsi="宋体" w:cs="宋体"/>
          <w:color w:val="auto"/>
          <w:highlight w:val="none"/>
          <w:lang w:val="zh-CN"/>
        </w:rPr>
        <w:t>一览表的总价为准，并修改单价；</w:t>
      </w:r>
    </w:p>
    <w:p w14:paraId="0F296E98">
      <w:pPr>
        <w:pStyle w:val="36"/>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6.4</w:t>
      </w:r>
      <w:r>
        <w:rPr>
          <w:rFonts w:hint="eastAsia" w:ascii="宋体" w:hAnsi="宋体" w:cs="宋体"/>
          <w:color w:val="auto"/>
          <w:highlight w:val="none"/>
          <w:lang w:val="zh-CN"/>
        </w:rPr>
        <w:t>总价金额与按单价汇总金额不一致的，以单价金额计算结果为准。</w:t>
      </w:r>
    </w:p>
    <w:p w14:paraId="5D354612">
      <w:pPr>
        <w:pStyle w:val="36"/>
        <w:spacing w:before="0" w:line="336" w:lineRule="auto"/>
        <w:ind w:firstLine="480"/>
        <w:rPr>
          <w:rFonts w:ascii="宋体" w:hAnsi="宋体" w:cs="宋体"/>
          <w:color w:val="auto"/>
          <w:highlight w:val="none"/>
          <w:lang w:val="zh-CN"/>
        </w:rPr>
      </w:pPr>
      <w:r>
        <w:rPr>
          <w:rFonts w:hint="eastAsia" w:ascii="宋体" w:hAnsi="宋体" w:cs="宋体"/>
          <w:color w:val="auto"/>
          <w:highlight w:val="none"/>
          <w:lang w:val="zh-CN"/>
        </w:rPr>
        <w:t>同时出现两种以上不一致的，按照前款规定的顺序修正。修正后的报价按照财政部公布第87号令《政府采购产品和服务招标投标管理办法》第五十一条第二款的规定经</w:t>
      </w:r>
      <w:r>
        <w:rPr>
          <w:rFonts w:hint="eastAsia" w:ascii="宋体" w:hAnsi="宋体" w:cs="宋体"/>
          <w:color w:val="auto"/>
          <w:highlight w:val="none"/>
        </w:rPr>
        <w:t>供应商</w:t>
      </w:r>
      <w:r>
        <w:rPr>
          <w:rFonts w:hint="eastAsia" w:ascii="宋体" w:hAnsi="宋体" w:cs="宋体"/>
          <w:color w:val="auto"/>
          <w:highlight w:val="none"/>
          <w:lang w:val="zh-CN"/>
        </w:rPr>
        <w:t>确认后产生约束力，</w:t>
      </w:r>
      <w:r>
        <w:rPr>
          <w:rFonts w:hint="eastAsia" w:ascii="宋体" w:hAnsi="宋体" w:cs="宋体"/>
          <w:color w:val="auto"/>
          <w:highlight w:val="none"/>
        </w:rPr>
        <w:t>供应商</w:t>
      </w:r>
      <w:r>
        <w:rPr>
          <w:rFonts w:hint="eastAsia" w:ascii="宋体" w:hAnsi="宋体" w:cs="宋体"/>
          <w:color w:val="auto"/>
          <w:highlight w:val="none"/>
          <w:lang w:val="zh-CN"/>
        </w:rPr>
        <w:t>不确认的，其</w:t>
      </w:r>
      <w:r>
        <w:rPr>
          <w:rFonts w:hint="eastAsia" w:ascii="宋体" w:hAnsi="宋体" w:cs="宋体"/>
          <w:color w:val="auto"/>
          <w:highlight w:val="none"/>
        </w:rPr>
        <w:t>磋商</w:t>
      </w:r>
      <w:r>
        <w:rPr>
          <w:rFonts w:hint="eastAsia" w:ascii="宋体" w:hAnsi="宋体" w:cs="宋体"/>
          <w:color w:val="auto"/>
          <w:highlight w:val="none"/>
          <w:lang w:val="zh-CN"/>
        </w:rPr>
        <w:t>无效。</w:t>
      </w:r>
    </w:p>
    <w:p w14:paraId="345CC216">
      <w:pPr>
        <w:pStyle w:val="14"/>
        <w:spacing w:line="336" w:lineRule="auto"/>
        <w:ind w:left="420" w:leftChars="200"/>
        <w:rPr>
          <w:rFonts w:hAnsi="宋体"/>
          <w:b/>
          <w:bCs/>
          <w:color w:val="auto"/>
          <w:sz w:val="24"/>
          <w:szCs w:val="24"/>
          <w:highlight w:val="none"/>
        </w:rPr>
      </w:pPr>
      <w:r>
        <w:rPr>
          <w:rFonts w:hint="eastAsia" w:hAnsi="宋体"/>
          <w:b/>
          <w:bCs/>
          <w:color w:val="auto"/>
          <w:sz w:val="24"/>
          <w:szCs w:val="24"/>
          <w:highlight w:val="none"/>
        </w:rPr>
        <w:t>7</w:t>
      </w:r>
      <w:r>
        <w:rPr>
          <w:rFonts w:hint="eastAsia" w:hAnsi="宋体"/>
          <w:b/>
          <w:bCs/>
          <w:color w:val="auto"/>
          <w:sz w:val="24"/>
          <w:szCs w:val="24"/>
          <w:highlight w:val="none"/>
          <w:lang w:val="en-US" w:eastAsia="zh-CN"/>
        </w:rPr>
        <w:t>.</w:t>
      </w:r>
      <w:r>
        <w:rPr>
          <w:rFonts w:hint="eastAsia" w:hAnsi="宋体"/>
          <w:b/>
          <w:bCs/>
          <w:color w:val="auto"/>
          <w:sz w:val="24"/>
          <w:szCs w:val="24"/>
          <w:highlight w:val="none"/>
        </w:rPr>
        <w:t>响应文件的澄清</w:t>
      </w:r>
    </w:p>
    <w:p w14:paraId="0ECF5E16">
      <w:pPr>
        <w:pStyle w:val="36"/>
        <w:tabs>
          <w:tab w:val="left" w:pos="0"/>
        </w:tabs>
        <w:spacing w:before="0" w:line="336" w:lineRule="auto"/>
        <w:ind w:firstLine="480"/>
        <w:rPr>
          <w:rFonts w:ascii="宋体" w:hAnsi="宋体" w:cs="宋体"/>
          <w:color w:val="auto"/>
          <w:highlight w:val="none"/>
          <w:lang w:val="zh-CN"/>
        </w:rPr>
      </w:pPr>
      <w:r>
        <w:rPr>
          <w:rFonts w:hint="eastAsia" w:ascii="宋体" w:hAnsi="宋体" w:cs="宋体"/>
          <w:color w:val="auto"/>
          <w:highlight w:val="none"/>
        </w:rPr>
        <w:t>7.1</w:t>
      </w:r>
      <w:r>
        <w:rPr>
          <w:rFonts w:hint="eastAsia" w:ascii="宋体" w:hAnsi="宋体" w:cs="宋体"/>
          <w:color w:val="auto"/>
          <w:highlight w:val="none"/>
          <w:lang w:val="zh-CN"/>
        </w:rPr>
        <w:t>评审中因</w:t>
      </w:r>
      <w:r>
        <w:rPr>
          <w:rFonts w:hint="eastAsia" w:ascii="宋体" w:hAnsi="宋体" w:cs="宋体"/>
          <w:color w:val="auto"/>
          <w:highlight w:val="none"/>
        </w:rPr>
        <w:t>响应</w:t>
      </w:r>
      <w:r>
        <w:rPr>
          <w:rFonts w:hint="eastAsia" w:ascii="宋体" w:hAnsi="宋体" w:cs="宋体"/>
          <w:color w:val="auto"/>
          <w:highlight w:val="none"/>
          <w:lang w:val="zh-CN"/>
        </w:rPr>
        <w:t>文件含义不明、表述不一致或有明显计算错误等内容需要供应商作出澄清、说明或者补正的，</w:t>
      </w:r>
      <w:r>
        <w:rPr>
          <w:rFonts w:hint="eastAsia" w:ascii="宋体" w:hAnsi="宋体" w:cs="宋体"/>
          <w:color w:val="auto"/>
          <w:highlight w:val="none"/>
        </w:rPr>
        <w:t>磋商小组</w:t>
      </w:r>
      <w:r>
        <w:rPr>
          <w:rFonts w:hint="eastAsia" w:ascii="宋体" w:hAnsi="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35CA7D12">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供应商通过政采云平台交换的数据电文必须进行电子签章。</w:t>
      </w:r>
    </w:p>
    <w:p w14:paraId="24181EAF">
      <w:pPr>
        <w:numPr>
          <w:ilvl w:val="0"/>
          <w:numId w:val="15"/>
        </w:numPr>
        <w:bidi w:val="0"/>
        <w:jc w:val="center"/>
        <w:rPr>
          <w:color w:val="auto"/>
          <w:sz w:val="28"/>
          <w:szCs w:val="28"/>
          <w:highlight w:val="none"/>
        </w:rPr>
      </w:pPr>
      <w:bookmarkStart w:id="79" w:name="_Toc31680"/>
      <w:bookmarkStart w:id="80" w:name="_Toc12816"/>
      <w:bookmarkStart w:id="81" w:name="_Toc4344"/>
      <w:r>
        <w:rPr>
          <w:rFonts w:hint="eastAsia"/>
          <w:color w:val="auto"/>
          <w:sz w:val="28"/>
          <w:szCs w:val="28"/>
          <w:highlight w:val="none"/>
        </w:rPr>
        <w:t>注意事项</w:t>
      </w:r>
      <w:bookmarkEnd w:id="79"/>
      <w:bookmarkEnd w:id="80"/>
      <w:bookmarkEnd w:id="81"/>
    </w:p>
    <w:p w14:paraId="55516FAB">
      <w:pPr>
        <w:pStyle w:val="8"/>
        <w:spacing w:line="336"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3B82A685">
      <w:pPr>
        <w:numPr>
          <w:ilvl w:val="0"/>
          <w:numId w:val="16"/>
        </w:numPr>
        <w:bidi w:val="0"/>
        <w:jc w:val="center"/>
        <w:rPr>
          <w:color w:val="auto"/>
          <w:sz w:val="28"/>
          <w:szCs w:val="28"/>
          <w:highlight w:val="none"/>
        </w:rPr>
      </w:pPr>
      <w:bookmarkStart w:id="82" w:name="_Toc13782"/>
      <w:bookmarkStart w:id="83" w:name="_Toc17900"/>
      <w:bookmarkStart w:id="84" w:name="_Toc26902"/>
      <w:r>
        <w:rPr>
          <w:rFonts w:hint="eastAsia"/>
          <w:color w:val="auto"/>
          <w:sz w:val="28"/>
          <w:szCs w:val="28"/>
          <w:highlight w:val="none"/>
        </w:rPr>
        <w:t>评分细则</w:t>
      </w:r>
      <w:bookmarkEnd w:id="82"/>
      <w:bookmarkEnd w:id="83"/>
      <w:bookmarkEnd w:id="84"/>
    </w:p>
    <w:p w14:paraId="70FD19C2">
      <w:p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一、报价文件评分标准（</w:t>
      </w:r>
      <w:r>
        <w:rPr>
          <w:rFonts w:hint="eastAsia" w:ascii="宋体" w:hAnsi="宋体" w:cs="宋体"/>
          <w:b/>
          <w:bCs/>
          <w:color w:val="auto"/>
          <w:sz w:val="24"/>
          <w:szCs w:val="24"/>
          <w:highlight w:val="none"/>
          <w:u w:val="single"/>
        </w:rPr>
        <w:t>20</w:t>
      </w:r>
      <w:r>
        <w:rPr>
          <w:rFonts w:hint="eastAsia" w:ascii="宋体" w:hAnsi="宋体" w:cs="宋体"/>
          <w:b/>
          <w:bCs/>
          <w:color w:val="auto"/>
          <w:sz w:val="24"/>
          <w:szCs w:val="24"/>
          <w:highlight w:val="none"/>
        </w:rPr>
        <w:t>分）</w:t>
      </w:r>
    </w:p>
    <w:p w14:paraId="07454B09">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报价文件主要是对供应商的有效报价进行评议，其评分标准及分值设置规则如下：</w:t>
      </w:r>
    </w:p>
    <w:p w14:paraId="6887A84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本次采购最高限价规定如下：</w:t>
      </w:r>
    </w:p>
    <w:p w14:paraId="2E90ECD0">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本项目投标报价的</w:t>
      </w:r>
      <w:r>
        <w:rPr>
          <w:rFonts w:hint="eastAsia" w:ascii="宋体" w:hAnsi="宋体" w:cs="宋体"/>
          <w:b/>
          <w:bCs/>
          <w:color w:val="auto"/>
          <w:sz w:val="24"/>
          <w:szCs w:val="24"/>
          <w:highlight w:val="none"/>
        </w:rPr>
        <w:t>最高限价为人民币</w:t>
      </w:r>
      <w:r>
        <w:rPr>
          <w:rFonts w:hint="eastAsia" w:ascii="宋体" w:hAnsi="宋体" w:cs="宋体"/>
          <w:b/>
          <w:bCs/>
          <w:color w:val="auto"/>
          <w:sz w:val="24"/>
          <w:szCs w:val="24"/>
          <w:highlight w:val="none"/>
          <w:u w:val="single"/>
          <w:lang w:val="en-US" w:eastAsia="zh-CN"/>
        </w:rPr>
        <w:t>柒拾万</w:t>
      </w:r>
      <w:r>
        <w:rPr>
          <w:rFonts w:hint="eastAsia" w:ascii="宋体" w:hAnsi="宋体" w:cs="宋体"/>
          <w:b/>
          <w:bCs/>
          <w:color w:val="auto"/>
          <w:sz w:val="24"/>
          <w:szCs w:val="24"/>
          <w:highlight w:val="none"/>
          <w:u w:val="single"/>
        </w:rPr>
        <w:t xml:space="preserve">元整 </w:t>
      </w:r>
      <w:r>
        <w:rPr>
          <w:rFonts w:hint="eastAsia" w:ascii="宋体" w:hAnsi="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7</w:t>
      </w:r>
      <w:r>
        <w:rPr>
          <w:rFonts w:hint="eastAsia" w:ascii="宋体" w:hAnsi="宋体" w:cs="宋体"/>
          <w:b/>
          <w:bCs/>
          <w:color w:val="auto"/>
          <w:sz w:val="24"/>
          <w:szCs w:val="24"/>
          <w:highlight w:val="none"/>
          <w:u w:val="single"/>
        </w:rPr>
        <w:t xml:space="preserve">00000.00 </w:t>
      </w:r>
      <w:r>
        <w:rPr>
          <w:rFonts w:hint="eastAsia" w:ascii="宋体" w:hAnsi="宋体" w:cs="宋体"/>
          <w:b/>
          <w:bCs/>
          <w:color w:val="auto"/>
          <w:sz w:val="24"/>
          <w:szCs w:val="24"/>
          <w:highlight w:val="none"/>
        </w:rPr>
        <w:t>元）。最高限价由采购人根据市场价格的调查设定，并且不高于本项目财政预算。</w:t>
      </w:r>
    </w:p>
    <w:p w14:paraId="73156447">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供应商的报价在最高限价内的，为有效报价。</w:t>
      </w:r>
    </w:p>
    <w:p w14:paraId="05A02152">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本次评标设有最佳报价。</w:t>
      </w:r>
      <w:r>
        <w:rPr>
          <w:rFonts w:hint="eastAsia" w:ascii="宋体" w:hAnsi="宋体" w:cs="宋体"/>
          <w:color w:val="auto"/>
          <w:highlight w:val="none"/>
        </w:rPr>
        <w:t>最</w:t>
      </w:r>
      <w:r>
        <w:rPr>
          <w:rFonts w:hint="eastAsia" w:ascii="宋体" w:hAnsi="宋体" w:cs="宋体"/>
          <w:color w:val="auto"/>
          <w:sz w:val="24"/>
          <w:szCs w:val="24"/>
          <w:highlight w:val="none"/>
        </w:rPr>
        <w:t>佳报价确定方式：根据所有入围供应商有效报价中的最低报价作为最佳报价。</w:t>
      </w:r>
    </w:p>
    <w:p w14:paraId="27CF0679">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最佳报价者的报价分为满分，其他供应商的有效报价与最佳报价相比，按下列方法计算其报价分：</w:t>
      </w:r>
    </w:p>
    <w:p w14:paraId="76CBCD23">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投标价格分=(最佳报价/投标报价)*价格权值*100。</w:t>
      </w:r>
    </w:p>
    <w:p w14:paraId="68D29644">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当报价一览表与磋商报价明细表报价不一致时，以报价一览表为准，磋商报价明细表报价予以修正并由授权代表签字确认，拒绝修正或确认的，则做无效标处理。</w:t>
      </w:r>
    </w:p>
    <w:p w14:paraId="2B4B6D78">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响应文件只允许有一个报价，磋商报价应按磋商文件中相关附表格式填报，该磋商报价应与明细报价汇总相等，且不允许出现报价优惠、赠送等字样（明细出现“0”元，视同赠送）,如出现则做</w:t>
      </w:r>
      <w:r>
        <w:rPr>
          <w:rFonts w:hint="eastAsia" w:ascii="宋体" w:hAnsi="宋体" w:cs="宋体"/>
          <w:b/>
          <w:bCs/>
          <w:color w:val="auto"/>
          <w:sz w:val="24"/>
          <w:szCs w:val="24"/>
          <w:highlight w:val="none"/>
        </w:rPr>
        <w:t>无效响</w:t>
      </w:r>
      <w:r>
        <w:rPr>
          <w:rFonts w:hint="eastAsia" w:ascii="宋体" w:hAnsi="宋体" w:cs="宋体"/>
          <w:color w:val="auto"/>
          <w:sz w:val="24"/>
          <w:szCs w:val="24"/>
          <w:highlight w:val="none"/>
        </w:rPr>
        <w:t>应处理。</w:t>
      </w:r>
    </w:p>
    <w:p w14:paraId="524E924F">
      <w:pPr>
        <w:autoSpaceDE w:val="0"/>
        <w:autoSpaceDN w:val="0"/>
        <w:spacing w:line="336"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w:t>
      </w:r>
      <w:r>
        <w:rPr>
          <w:rFonts w:hint="eastAsia" w:ascii="宋体" w:hAnsi="宋体" w:cs="宋体"/>
          <w:b/>
          <w:bCs/>
          <w:color w:val="auto"/>
          <w:sz w:val="24"/>
          <w:szCs w:val="24"/>
          <w:highlight w:val="none"/>
        </w:rPr>
        <w:t>投标价格的合理性</w:t>
      </w:r>
      <w:r>
        <w:rPr>
          <w:rFonts w:hint="eastAsia" w:ascii="宋体" w:hAnsi="宋体" w:cs="宋体"/>
          <w:color w:val="auto"/>
          <w:sz w:val="24"/>
          <w:szCs w:val="24"/>
          <w:highlight w:val="none"/>
        </w:rPr>
        <w:t>：评标委员会认为供应商的报价明显低于其他通过符合性审查的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782338EE">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111D85D">
      <w:pPr>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6F9FEAC3">
      <w:pPr>
        <w:spacing w:line="336"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组成联合体或者接受分包的小微企业与联合体内其他企业、分包企业之间存在直接控股、管理关系的，不享受价格扣除优惠政策。联合体各方均为小型、微型企业的，联合体视同为小型、微型企业。</w:t>
      </w:r>
    </w:p>
    <w:p w14:paraId="7204C644">
      <w:pPr>
        <w:numPr>
          <w:ilvl w:val="0"/>
          <w:numId w:val="17"/>
        </w:numPr>
        <w:spacing w:line="336"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商务技术文件评标内容及标准（</w:t>
      </w:r>
      <w:r>
        <w:rPr>
          <w:rFonts w:hint="eastAsia" w:ascii="宋体" w:hAnsi="宋体" w:cs="宋体"/>
          <w:b/>
          <w:bCs/>
          <w:color w:val="auto"/>
          <w:sz w:val="24"/>
          <w:szCs w:val="24"/>
          <w:highlight w:val="none"/>
          <w:u w:val="single"/>
        </w:rPr>
        <w:t>80</w:t>
      </w:r>
      <w:r>
        <w:rPr>
          <w:rFonts w:hint="eastAsia" w:ascii="宋体" w:hAnsi="宋体" w:cs="宋体"/>
          <w:b/>
          <w:bCs/>
          <w:color w:val="auto"/>
          <w:sz w:val="24"/>
          <w:szCs w:val="24"/>
          <w:highlight w:val="none"/>
        </w:rPr>
        <w:t>分）</w:t>
      </w:r>
    </w:p>
    <w:p w14:paraId="4D918258">
      <w:pPr>
        <w:numPr>
          <w:ilvl w:val="0"/>
          <w:numId w:val="18"/>
        </w:numPr>
        <w:spacing w:line="336"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评分细则</w:t>
      </w:r>
    </w:p>
    <w:tbl>
      <w:tblPr>
        <w:tblStyle w:val="2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613"/>
        <w:gridCol w:w="5306"/>
        <w:gridCol w:w="717"/>
      </w:tblGrid>
      <w:tr w14:paraId="6C91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90" w:type="dxa"/>
            <w:vAlign w:val="center"/>
          </w:tcPr>
          <w:p w14:paraId="386875B9">
            <w:pPr>
              <w:autoSpaceDE w:val="0"/>
              <w:adjustRightInd w:val="0"/>
              <w:spacing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6919" w:type="dxa"/>
            <w:gridSpan w:val="2"/>
            <w:tcBorders>
              <w:left w:val="nil"/>
            </w:tcBorders>
            <w:vAlign w:val="center"/>
          </w:tcPr>
          <w:p w14:paraId="400AC66D">
            <w:pPr>
              <w:autoSpaceDE w:val="0"/>
              <w:adjustRightInd w:val="0"/>
              <w:spacing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评标要点及说明</w:t>
            </w:r>
          </w:p>
        </w:tc>
        <w:tc>
          <w:tcPr>
            <w:tcW w:w="717" w:type="dxa"/>
            <w:vAlign w:val="center"/>
          </w:tcPr>
          <w:p w14:paraId="6CBF539D">
            <w:pPr>
              <w:autoSpaceDE w:val="0"/>
              <w:adjustRightInd w:val="0"/>
              <w:spacing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5995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90" w:type="dxa"/>
            <w:vMerge w:val="restart"/>
            <w:vAlign w:val="center"/>
          </w:tcPr>
          <w:p w14:paraId="443C9CAB">
            <w:pPr>
              <w:autoSpaceDE w:val="0"/>
              <w:autoSpaceDN w:val="0"/>
              <w:adjustRightInd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技术（7</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p>
        </w:tc>
        <w:tc>
          <w:tcPr>
            <w:tcW w:w="1613" w:type="dxa"/>
            <w:vMerge w:val="restart"/>
            <w:vAlign w:val="center"/>
          </w:tcPr>
          <w:p w14:paraId="297E8C31">
            <w:pPr>
              <w:spacing w:before="100" w:after="100" w:line="276"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技术方案</w:t>
            </w:r>
          </w:p>
        </w:tc>
        <w:tc>
          <w:tcPr>
            <w:tcW w:w="5306" w:type="dxa"/>
            <w:vAlign w:val="center"/>
          </w:tcPr>
          <w:p w14:paraId="7E0E5070">
            <w:pPr>
              <w:tabs>
                <w:tab w:val="left" w:pos="840"/>
              </w:tabs>
              <w:adjustRightInd w:val="0"/>
              <w:snapToGrid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对项目的了解程度制定本项目的技术方案，从可行性方面进行综合打分。</w:t>
            </w:r>
          </w:p>
        </w:tc>
        <w:tc>
          <w:tcPr>
            <w:tcW w:w="717" w:type="dxa"/>
            <w:vAlign w:val="center"/>
          </w:tcPr>
          <w:p w14:paraId="5F4DE4C9">
            <w:pPr>
              <w:tabs>
                <w:tab w:val="left" w:pos="840"/>
              </w:tabs>
              <w:adjustRightInd w:val="0"/>
              <w:snapToGrid w:val="0"/>
              <w:spacing w:line="276"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737B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90" w:type="dxa"/>
            <w:vMerge w:val="continue"/>
            <w:vAlign w:val="center"/>
          </w:tcPr>
          <w:p w14:paraId="1FC5FFF0">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continue"/>
            <w:vAlign w:val="center"/>
          </w:tcPr>
          <w:p w14:paraId="31DCF45F">
            <w:pPr>
              <w:spacing w:before="100" w:after="100" w:line="276" w:lineRule="auto"/>
              <w:jc w:val="center"/>
              <w:rPr>
                <w:rFonts w:hint="eastAsia" w:ascii="宋体" w:hAnsi="宋体" w:eastAsia="宋体" w:cs="宋体"/>
                <w:bCs/>
                <w:color w:val="auto"/>
                <w:sz w:val="24"/>
                <w:szCs w:val="24"/>
                <w:highlight w:val="none"/>
              </w:rPr>
            </w:pPr>
          </w:p>
        </w:tc>
        <w:tc>
          <w:tcPr>
            <w:tcW w:w="5306" w:type="dxa"/>
            <w:vAlign w:val="center"/>
          </w:tcPr>
          <w:p w14:paraId="44F7A878">
            <w:pPr>
              <w:tabs>
                <w:tab w:val="left" w:pos="840"/>
              </w:tabs>
              <w:adjustRightInd w:val="0"/>
              <w:snapToGrid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对项目的了解程度制定本项目的技术方案，从科学性、可操作性等方面进行综合打分。</w:t>
            </w:r>
          </w:p>
        </w:tc>
        <w:tc>
          <w:tcPr>
            <w:tcW w:w="717" w:type="dxa"/>
            <w:vAlign w:val="center"/>
          </w:tcPr>
          <w:p w14:paraId="581CA20B">
            <w:pPr>
              <w:tabs>
                <w:tab w:val="left" w:pos="840"/>
              </w:tabs>
              <w:adjustRightInd w:val="0"/>
              <w:snapToGrid w:val="0"/>
              <w:spacing w:line="276"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0129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90" w:type="dxa"/>
            <w:vMerge w:val="continue"/>
            <w:vAlign w:val="center"/>
          </w:tcPr>
          <w:p w14:paraId="68C2AF68">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Align w:val="center"/>
          </w:tcPr>
          <w:p w14:paraId="6B18AC38">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质量控制方案</w:t>
            </w:r>
          </w:p>
        </w:tc>
        <w:tc>
          <w:tcPr>
            <w:tcW w:w="5306" w:type="dxa"/>
            <w:vAlign w:val="center"/>
          </w:tcPr>
          <w:p w14:paraId="58DF842C">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对项目的了解程度制定本项目的质量控制方案，从可行性、科学性、可操作性等方面进行综合打分。</w:t>
            </w:r>
          </w:p>
        </w:tc>
        <w:tc>
          <w:tcPr>
            <w:tcW w:w="717" w:type="dxa"/>
            <w:vAlign w:val="center"/>
          </w:tcPr>
          <w:p w14:paraId="5DD8572D">
            <w:pPr>
              <w:spacing w:line="276"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5480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90" w:type="dxa"/>
            <w:vMerge w:val="continue"/>
            <w:vAlign w:val="center"/>
          </w:tcPr>
          <w:p w14:paraId="5E1201F7">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restart"/>
            <w:vAlign w:val="center"/>
          </w:tcPr>
          <w:p w14:paraId="3919BE0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重点和难点及解决方法</w:t>
            </w:r>
          </w:p>
        </w:tc>
        <w:tc>
          <w:tcPr>
            <w:tcW w:w="5306" w:type="dxa"/>
            <w:vAlign w:val="center"/>
          </w:tcPr>
          <w:p w14:paraId="50E5BB2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工作重点和难点分析等方面</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eastAsia="zh-CN"/>
              </w:rPr>
              <w:t>综合打分</w:t>
            </w:r>
            <w:r>
              <w:rPr>
                <w:rFonts w:hint="eastAsia" w:ascii="宋体" w:hAnsi="宋体" w:eastAsia="宋体" w:cs="宋体"/>
                <w:color w:val="auto"/>
                <w:sz w:val="24"/>
                <w:szCs w:val="24"/>
                <w:highlight w:val="none"/>
              </w:rPr>
              <w:t>。</w:t>
            </w:r>
          </w:p>
        </w:tc>
        <w:tc>
          <w:tcPr>
            <w:tcW w:w="717" w:type="dxa"/>
            <w:vAlign w:val="center"/>
          </w:tcPr>
          <w:p w14:paraId="4DED4F09">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4BD3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290" w:type="dxa"/>
            <w:vMerge w:val="continue"/>
            <w:vAlign w:val="center"/>
          </w:tcPr>
          <w:p w14:paraId="1A9CC72F">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continue"/>
            <w:vAlign w:val="center"/>
          </w:tcPr>
          <w:p w14:paraId="58676FDF">
            <w:pPr>
              <w:jc w:val="center"/>
              <w:rPr>
                <w:rFonts w:hint="eastAsia" w:ascii="宋体" w:hAnsi="宋体" w:eastAsia="宋体" w:cs="宋体"/>
                <w:color w:val="auto"/>
                <w:sz w:val="24"/>
                <w:szCs w:val="24"/>
                <w:highlight w:val="none"/>
              </w:rPr>
            </w:pPr>
          </w:p>
        </w:tc>
        <w:tc>
          <w:tcPr>
            <w:tcW w:w="5306" w:type="dxa"/>
            <w:vAlign w:val="center"/>
          </w:tcPr>
          <w:p w14:paraId="00F49E02">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工作</w:t>
            </w:r>
            <w:r>
              <w:rPr>
                <w:rFonts w:hint="eastAsia" w:ascii="宋体" w:hAnsi="宋体" w:cs="宋体"/>
                <w:color w:val="auto"/>
                <w:sz w:val="24"/>
                <w:szCs w:val="24"/>
                <w:highlight w:val="none"/>
                <w:lang w:val="en-US" w:eastAsia="zh-CN"/>
              </w:rPr>
              <w:t>重难点</w:t>
            </w:r>
            <w:r>
              <w:rPr>
                <w:rFonts w:hint="eastAsia" w:ascii="宋体" w:hAnsi="宋体" w:eastAsia="宋体" w:cs="宋体"/>
                <w:color w:val="auto"/>
                <w:sz w:val="24"/>
                <w:szCs w:val="24"/>
                <w:highlight w:val="none"/>
              </w:rPr>
              <w:t>解决方法、进度计划安排等方面</w:t>
            </w:r>
            <w:r>
              <w:rPr>
                <w:rFonts w:hint="eastAsia" w:ascii="宋体" w:hAnsi="宋体" w:eastAsia="宋体" w:cs="宋体"/>
                <w:color w:val="auto"/>
                <w:sz w:val="24"/>
                <w:szCs w:val="24"/>
                <w:highlight w:val="none"/>
                <w:lang w:eastAsia="zh-CN"/>
              </w:rPr>
              <w:t>综合打分</w:t>
            </w:r>
            <w:r>
              <w:rPr>
                <w:rFonts w:hint="eastAsia" w:ascii="宋体" w:hAnsi="宋体" w:eastAsia="宋体" w:cs="宋体"/>
                <w:color w:val="auto"/>
                <w:sz w:val="24"/>
                <w:szCs w:val="24"/>
                <w:highlight w:val="none"/>
              </w:rPr>
              <w:t>。</w:t>
            </w:r>
          </w:p>
        </w:tc>
        <w:tc>
          <w:tcPr>
            <w:tcW w:w="717" w:type="dxa"/>
            <w:vAlign w:val="center"/>
          </w:tcPr>
          <w:p w14:paraId="4289E378">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1560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90" w:type="dxa"/>
            <w:vMerge w:val="continue"/>
            <w:vAlign w:val="center"/>
          </w:tcPr>
          <w:p w14:paraId="7A77514A">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Align w:val="center"/>
          </w:tcPr>
          <w:p w14:paraId="71C05A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服务管理整体策划</w:t>
            </w:r>
          </w:p>
        </w:tc>
        <w:tc>
          <w:tcPr>
            <w:tcW w:w="5306" w:type="dxa"/>
            <w:vAlign w:val="center"/>
          </w:tcPr>
          <w:p w14:paraId="1680C47F">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针对本项目整体保障措施是否详细、妥善、有效等情况进行打分。</w:t>
            </w:r>
          </w:p>
        </w:tc>
        <w:tc>
          <w:tcPr>
            <w:tcW w:w="717" w:type="dxa"/>
            <w:vAlign w:val="center"/>
          </w:tcPr>
          <w:p w14:paraId="43C6668D">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722D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90" w:type="dxa"/>
            <w:vMerge w:val="continue"/>
            <w:vAlign w:val="center"/>
          </w:tcPr>
          <w:p w14:paraId="4C1B7D43">
            <w:pPr>
              <w:jc w:val="center"/>
              <w:rPr>
                <w:highlight w:val="none"/>
              </w:rPr>
            </w:pPr>
          </w:p>
        </w:tc>
        <w:tc>
          <w:tcPr>
            <w:tcW w:w="1613" w:type="dxa"/>
            <w:vAlign w:val="center"/>
          </w:tcPr>
          <w:p w14:paraId="02160200">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媒体宣传方案</w:t>
            </w:r>
          </w:p>
        </w:tc>
        <w:tc>
          <w:tcPr>
            <w:tcW w:w="5306" w:type="dxa"/>
            <w:vAlign w:val="center"/>
          </w:tcPr>
          <w:p w14:paraId="0B694BCA">
            <w:pPr>
              <w:widowControl/>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根据供应商针对本项目的需求制定的媒体宣传方案进行打分，需提供相关证明材料。</w:t>
            </w:r>
          </w:p>
        </w:tc>
        <w:tc>
          <w:tcPr>
            <w:tcW w:w="717" w:type="dxa"/>
            <w:vAlign w:val="center"/>
          </w:tcPr>
          <w:p w14:paraId="2E38E8F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r>
      <w:tr w14:paraId="0230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290" w:type="dxa"/>
            <w:vMerge w:val="continue"/>
            <w:vAlign w:val="center"/>
          </w:tcPr>
          <w:p w14:paraId="78280193">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Align w:val="center"/>
          </w:tcPr>
          <w:p w14:paraId="5C2D312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人员投入及团队实力</w:t>
            </w:r>
          </w:p>
        </w:tc>
        <w:tc>
          <w:tcPr>
            <w:tcW w:w="5306" w:type="dxa"/>
            <w:vAlign w:val="center"/>
          </w:tcPr>
          <w:p w14:paraId="271378CA">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根据供应商的投入人员的资质情况、学历、职称、工作特长、经验等进行综合评定打分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需提供本单位缴纳近期社保证明和相关证明材料并加盖公章</w:t>
            </w:r>
            <w:r>
              <w:rPr>
                <w:rFonts w:hint="eastAsia" w:ascii="宋体" w:hAnsi="宋体" w:eastAsia="宋体" w:cs="宋体"/>
                <w:color w:val="auto"/>
                <w:sz w:val="24"/>
                <w:szCs w:val="24"/>
                <w:highlight w:val="none"/>
              </w:rPr>
              <w:t>。</w:t>
            </w:r>
          </w:p>
        </w:tc>
        <w:tc>
          <w:tcPr>
            <w:tcW w:w="717" w:type="dxa"/>
            <w:vAlign w:val="center"/>
          </w:tcPr>
          <w:p w14:paraId="2EE7228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r>
      <w:tr w14:paraId="5B8B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90" w:type="dxa"/>
            <w:vMerge w:val="continue"/>
            <w:vAlign w:val="center"/>
          </w:tcPr>
          <w:p w14:paraId="46B0C34C">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restart"/>
            <w:vAlign w:val="center"/>
          </w:tcPr>
          <w:p w14:paraId="094BD09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应急预案及措施</w:t>
            </w:r>
          </w:p>
          <w:p w14:paraId="502FB679">
            <w:pPr>
              <w:jc w:val="center"/>
              <w:rPr>
                <w:rFonts w:hint="eastAsia" w:ascii="宋体" w:hAnsi="宋体" w:eastAsia="宋体" w:cs="宋体"/>
                <w:color w:val="auto"/>
                <w:sz w:val="24"/>
                <w:szCs w:val="24"/>
                <w:highlight w:val="none"/>
              </w:rPr>
            </w:pPr>
          </w:p>
        </w:tc>
        <w:tc>
          <w:tcPr>
            <w:tcW w:w="5306" w:type="dxa"/>
            <w:vAlign w:val="center"/>
          </w:tcPr>
          <w:p w14:paraId="59102B3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应对项目临时性专项检查、会议等备有紧急预案措施。</w:t>
            </w:r>
          </w:p>
        </w:tc>
        <w:tc>
          <w:tcPr>
            <w:tcW w:w="717" w:type="dxa"/>
            <w:vAlign w:val="center"/>
          </w:tcPr>
          <w:p w14:paraId="7BC72734">
            <w:pPr>
              <w:widowControl/>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分</w:t>
            </w:r>
          </w:p>
        </w:tc>
      </w:tr>
      <w:tr w14:paraId="7F4C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90" w:type="dxa"/>
            <w:vMerge w:val="continue"/>
            <w:vAlign w:val="center"/>
          </w:tcPr>
          <w:p w14:paraId="71A722FB">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continue"/>
            <w:vAlign w:val="center"/>
          </w:tcPr>
          <w:p w14:paraId="7161A2B0">
            <w:pPr>
              <w:jc w:val="center"/>
              <w:rPr>
                <w:rFonts w:hint="eastAsia" w:ascii="宋体" w:hAnsi="宋体" w:eastAsia="宋体" w:cs="宋体"/>
                <w:color w:val="auto"/>
                <w:sz w:val="24"/>
                <w:szCs w:val="24"/>
                <w:highlight w:val="none"/>
              </w:rPr>
            </w:pPr>
          </w:p>
        </w:tc>
        <w:tc>
          <w:tcPr>
            <w:tcW w:w="5306" w:type="dxa"/>
            <w:vAlign w:val="center"/>
          </w:tcPr>
          <w:p w14:paraId="324313A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预案措施的适用性、合理性、有效性进行打分。</w:t>
            </w:r>
          </w:p>
        </w:tc>
        <w:tc>
          <w:tcPr>
            <w:tcW w:w="717" w:type="dxa"/>
            <w:vAlign w:val="center"/>
          </w:tcPr>
          <w:p w14:paraId="68B5F730">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分</w:t>
            </w:r>
          </w:p>
        </w:tc>
      </w:tr>
      <w:tr w14:paraId="4693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90" w:type="dxa"/>
            <w:vMerge w:val="continue"/>
            <w:vAlign w:val="center"/>
          </w:tcPr>
          <w:p w14:paraId="71D286A6">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continue"/>
            <w:vAlign w:val="center"/>
          </w:tcPr>
          <w:p w14:paraId="231CB69A">
            <w:pPr>
              <w:jc w:val="center"/>
              <w:rPr>
                <w:rFonts w:hint="eastAsia" w:ascii="宋体" w:hAnsi="宋体" w:eastAsia="宋体" w:cs="宋体"/>
                <w:color w:val="auto"/>
                <w:sz w:val="24"/>
                <w:szCs w:val="24"/>
                <w:highlight w:val="none"/>
              </w:rPr>
            </w:pPr>
          </w:p>
        </w:tc>
        <w:tc>
          <w:tcPr>
            <w:tcW w:w="5306" w:type="dxa"/>
            <w:vAlign w:val="center"/>
          </w:tcPr>
          <w:p w14:paraId="3201F71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预案措施是否考虑周全、可操作性综合打分。</w:t>
            </w:r>
          </w:p>
        </w:tc>
        <w:tc>
          <w:tcPr>
            <w:tcW w:w="717" w:type="dxa"/>
            <w:vAlign w:val="center"/>
          </w:tcPr>
          <w:p w14:paraId="080C230D">
            <w:pPr>
              <w:widowControl/>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分</w:t>
            </w:r>
          </w:p>
        </w:tc>
      </w:tr>
      <w:tr w14:paraId="4E0D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290" w:type="dxa"/>
            <w:vMerge w:val="continue"/>
            <w:vAlign w:val="center"/>
          </w:tcPr>
          <w:p w14:paraId="37242BCE">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restart"/>
            <w:vAlign w:val="center"/>
          </w:tcPr>
          <w:p w14:paraId="04FF1D3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数据录入及档案管理</w:t>
            </w:r>
          </w:p>
        </w:tc>
        <w:tc>
          <w:tcPr>
            <w:tcW w:w="5306" w:type="dxa"/>
            <w:vAlign w:val="center"/>
          </w:tcPr>
          <w:p w14:paraId="3664C6D2">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承诺在规定时间内完成现状调查数据的录入</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评委根据承诺内容和操作方案进行评分。</w:t>
            </w:r>
          </w:p>
        </w:tc>
        <w:tc>
          <w:tcPr>
            <w:tcW w:w="717" w:type="dxa"/>
            <w:vAlign w:val="center"/>
          </w:tcPr>
          <w:p w14:paraId="2DC3C211">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2C6B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90" w:type="dxa"/>
            <w:vMerge w:val="continue"/>
            <w:vAlign w:val="center"/>
          </w:tcPr>
          <w:p w14:paraId="3E802C5C">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continue"/>
            <w:vAlign w:val="center"/>
          </w:tcPr>
          <w:p w14:paraId="606E581A">
            <w:pPr>
              <w:jc w:val="center"/>
              <w:rPr>
                <w:rFonts w:hint="eastAsia" w:ascii="宋体" w:hAnsi="宋体" w:eastAsia="宋体" w:cs="宋体"/>
                <w:color w:val="auto"/>
                <w:sz w:val="24"/>
                <w:szCs w:val="24"/>
                <w:highlight w:val="none"/>
              </w:rPr>
            </w:pPr>
          </w:p>
        </w:tc>
        <w:tc>
          <w:tcPr>
            <w:tcW w:w="5306" w:type="dxa"/>
            <w:vAlign w:val="center"/>
          </w:tcPr>
          <w:p w14:paraId="216445E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rPr>
              <w:t>按项目质控要求完成相关资料的归档，保证数据真实、有效和可溯源。</w:t>
            </w:r>
            <w:r>
              <w:rPr>
                <w:rFonts w:hint="eastAsia" w:ascii="宋体" w:hAnsi="宋体" w:cs="宋体"/>
                <w:color w:val="auto"/>
                <w:sz w:val="24"/>
                <w:szCs w:val="24"/>
                <w:highlight w:val="none"/>
                <w:lang w:val="en-US" w:eastAsia="zh-CN"/>
              </w:rPr>
              <w:t>评委根据承诺内容和操作方案进行评分。</w:t>
            </w:r>
          </w:p>
        </w:tc>
        <w:tc>
          <w:tcPr>
            <w:tcW w:w="717" w:type="dxa"/>
            <w:vAlign w:val="center"/>
          </w:tcPr>
          <w:p w14:paraId="71424569">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6D51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90" w:type="dxa"/>
            <w:vMerge w:val="continue"/>
            <w:vAlign w:val="center"/>
          </w:tcPr>
          <w:p w14:paraId="53080476">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Align w:val="center"/>
          </w:tcPr>
          <w:p w14:paraId="000B75B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车辆保证</w:t>
            </w:r>
          </w:p>
        </w:tc>
        <w:tc>
          <w:tcPr>
            <w:tcW w:w="5306" w:type="dxa"/>
            <w:vAlign w:val="center"/>
          </w:tcPr>
          <w:p w14:paraId="5407468B">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根据供应商拟投入专车数量满足工作任务要求综合评分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需提供相关证明材料。</w:t>
            </w:r>
          </w:p>
        </w:tc>
        <w:tc>
          <w:tcPr>
            <w:tcW w:w="717" w:type="dxa"/>
            <w:vAlign w:val="center"/>
          </w:tcPr>
          <w:p w14:paraId="6C8B98D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r>
      <w:tr w14:paraId="6D64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90" w:type="dxa"/>
            <w:vMerge w:val="continue"/>
            <w:vAlign w:val="center"/>
          </w:tcPr>
          <w:p w14:paraId="439D9A3A">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Align w:val="center"/>
          </w:tcPr>
          <w:p w14:paraId="1E4E4EB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后勤保证</w:t>
            </w:r>
          </w:p>
        </w:tc>
        <w:tc>
          <w:tcPr>
            <w:tcW w:w="5306" w:type="dxa"/>
            <w:vAlign w:val="center"/>
          </w:tcPr>
          <w:p w14:paraId="602F1A2D">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根据供应商的后勤保障措施进行综合评分。</w:t>
            </w:r>
          </w:p>
        </w:tc>
        <w:tc>
          <w:tcPr>
            <w:tcW w:w="717" w:type="dxa"/>
            <w:vAlign w:val="center"/>
          </w:tcPr>
          <w:p w14:paraId="023DD4A3">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57D6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90" w:type="dxa"/>
            <w:vMerge w:val="continue"/>
            <w:vAlign w:val="center"/>
          </w:tcPr>
          <w:p w14:paraId="4E47C2DA">
            <w:pPr>
              <w:jc w:val="center"/>
              <w:rPr>
                <w:highlight w:val="none"/>
              </w:rPr>
            </w:pPr>
          </w:p>
        </w:tc>
        <w:tc>
          <w:tcPr>
            <w:tcW w:w="1613" w:type="dxa"/>
            <w:vAlign w:val="center"/>
          </w:tcPr>
          <w:p w14:paraId="4F263CA1">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合理化建议</w:t>
            </w:r>
          </w:p>
        </w:tc>
        <w:tc>
          <w:tcPr>
            <w:tcW w:w="5306" w:type="dxa"/>
            <w:vAlign w:val="center"/>
          </w:tcPr>
          <w:p w14:paraId="2532A15E">
            <w:pPr>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根据供应商针对本项目提出的其他合理化建议进行综合评分。</w:t>
            </w:r>
          </w:p>
        </w:tc>
        <w:tc>
          <w:tcPr>
            <w:tcW w:w="717" w:type="dxa"/>
            <w:vAlign w:val="center"/>
          </w:tcPr>
          <w:p w14:paraId="473C5F8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r>
      <w:tr w14:paraId="18BD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90" w:type="dxa"/>
            <w:vMerge w:val="continue"/>
            <w:vAlign w:val="center"/>
          </w:tcPr>
          <w:p w14:paraId="5FB2A51F">
            <w:pPr>
              <w:autoSpaceDE w:val="0"/>
              <w:autoSpaceDN w:val="0"/>
              <w:adjustRightInd w:val="0"/>
              <w:spacing w:line="360" w:lineRule="auto"/>
              <w:jc w:val="left"/>
              <w:textAlignment w:val="baseline"/>
              <w:rPr>
                <w:rFonts w:hint="eastAsia" w:ascii="宋体" w:hAnsi="宋体" w:eastAsia="宋体" w:cs="宋体"/>
                <w:color w:val="auto"/>
                <w:sz w:val="24"/>
                <w:szCs w:val="24"/>
                <w:highlight w:val="none"/>
              </w:rPr>
            </w:pPr>
          </w:p>
        </w:tc>
        <w:tc>
          <w:tcPr>
            <w:tcW w:w="1613" w:type="dxa"/>
            <w:vMerge w:val="restart"/>
            <w:vAlign w:val="center"/>
          </w:tcPr>
          <w:p w14:paraId="653D74F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w:t>
            </w:r>
          </w:p>
        </w:tc>
        <w:tc>
          <w:tcPr>
            <w:tcW w:w="5306" w:type="dxa"/>
            <w:vAlign w:val="center"/>
          </w:tcPr>
          <w:p w14:paraId="3F83C6AD">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根据供应商</w:t>
            </w:r>
            <w:r>
              <w:rPr>
                <w:rFonts w:hint="eastAsia" w:ascii="宋体" w:hAnsi="宋体" w:cs="宋体"/>
                <w:color w:val="auto"/>
                <w:sz w:val="24"/>
                <w:szCs w:val="24"/>
                <w:highlight w:val="none"/>
                <w:lang w:val="en-US" w:eastAsia="zh-CN"/>
              </w:rPr>
              <w:t>售后服务</w:t>
            </w:r>
            <w:r>
              <w:rPr>
                <w:rFonts w:hint="eastAsia" w:ascii="宋体" w:hAnsi="宋体" w:eastAsia="宋体" w:cs="宋体"/>
                <w:color w:val="auto"/>
                <w:sz w:val="24"/>
                <w:szCs w:val="24"/>
                <w:highlight w:val="none"/>
              </w:rPr>
              <w:t>方案的安排是否合理、内容是否全面、资源和能力</w:t>
            </w:r>
            <w:r>
              <w:rPr>
                <w:rFonts w:hint="eastAsia" w:ascii="宋体" w:hAnsi="宋体" w:eastAsia="宋体" w:cs="宋体"/>
                <w:color w:val="auto"/>
                <w:sz w:val="24"/>
                <w:szCs w:val="24"/>
                <w:highlight w:val="none"/>
                <w:lang w:eastAsia="zh-CN"/>
              </w:rPr>
              <w:t>情况</w:t>
            </w:r>
            <w:r>
              <w:rPr>
                <w:rFonts w:hint="eastAsia" w:ascii="宋体" w:hAnsi="宋体" w:eastAsia="宋体" w:cs="宋体"/>
                <w:color w:val="auto"/>
                <w:sz w:val="24"/>
                <w:szCs w:val="24"/>
                <w:highlight w:val="none"/>
              </w:rPr>
              <w:t>，是否安排每周驻点服务等</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eastAsia="zh-CN"/>
              </w:rPr>
              <w:t>综合打分。</w:t>
            </w:r>
          </w:p>
        </w:tc>
        <w:tc>
          <w:tcPr>
            <w:tcW w:w="717" w:type="dxa"/>
            <w:vAlign w:val="center"/>
          </w:tcPr>
          <w:p w14:paraId="4B36C921">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4D6B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90" w:type="dxa"/>
            <w:vMerge w:val="continue"/>
            <w:vAlign w:val="center"/>
          </w:tcPr>
          <w:p w14:paraId="5EE3EFFD">
            <w:pPr>
              <w:jc w:val="center"/>
              <w:rPr>
                <w:highlight w:val="none"/>
              </w:rPr>
            </w:pPr>
          </w:p>
        </w:tc>
        <w:tc>
          <w:tcPr>
            <w:tcW w:w="1613" w:type="dxa"/>
            <w:vMerge w:val="continue"/>
            <w:vAlign w:val="center"/>
          </w:tcPr>
          <w:p w14:paraId="3AA3389A">
            <w:pPr>
              <w:jc w:val="center"/>
              <w:rPr>
                <w:highlight w:val="none"/>
              </w:rPr>
            </w:pPr>
          </w:p>
        </w:tc>
        <w:tc>
          <w:tcPr>
            <w:tcW w:w="5306" w:type="dxa"/>
            <w:vAlign w:val="center"/>
          </w:tcPr>
          <w:p w14:paraId="222389BF">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根据供应商培训方案</w:t>
            </w:r>
            <w:r>
              <w:rPr>
                <w:rFonts w:hint="eastAsia" w:ascii="宋体" w:hAnsi="宋体" w:eastAsia="宋体" w:cs="宋体"/>
                <w:color w:val="auto"/>
                <w:sz w:val="24"/>
                <w:szCs w:val="24"/>
                <w:highlight w:val="none"/>
              </w:rPr>
              <w:t>是否合理、内容是否全面、资源和能力</w:t>
            </w:r>
            <w:r>
              <w:rPr>
                <w:rFonts w:hint="eastAsia" w:ascii="宋体" w:hAnsi="宋体" w:eastAsia="宋体" w:cs="宋体"/>
                <w:color w:val="auto"/>
                <w:sz w:val="24"/>
                <w:szCs w:val="24"/>
                <w:highlight w:val="none"/>
                <w:lang w:eastAsia="zh-CN"/>
              </w:rPr>
              <w:t>情况</w:t>
            </w:r>
            <w:r>
              <w:rPr>
                <w:rFonts w:hint="eastAsia" w:ascii="宋体" w:hAnsi="宋体" w:eastAsia="宋体" w:cs="宋体"/>
                <w:color w:val="auto"/>
                <w:sz w:val="24"/>
                <w:szCs w:val="24"/>
                <w:highlight w:val="none"/>
              </w:rPr>
              <w:t>，方式（理论、现场等）、时间等</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eastAsia="zh-CN"/>
              </w:rPr>
              <w:t>综合打分。</w:t>
            </w:r>
          </w:p>
        </w:tc>
        <w:tc>
          <w:tcPr>
            <w:tcW w:w="717" w:type="dxa"/>
            <w:vAlign w:val="center"/>
          </w:tcPr>
          <w:p w14:paraId="72E6383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tc>
      </w:tr>
      <w:tr w14:paraId="4030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90" w:type="dxa"/>
            <w:vAlign w:val="center"/>
          </w:tcPr>
          <w:p w14:paraId="2425707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1613" w:type="dxa"/>
            <w:vAlign w:val="center"/>
          </w:tcPr>
          <w:p w14:paraId="2A9C8546">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人员证书</w:t>
            </w:r>
          </w:p>
        </w:tc>
        <w:tc>
          <w:tcPr>
            <w:tcW w:w="5306" w:type="dxa"/>
            <w:vAlign w:val="center"/>
          </w:tcPr>
          <w:p w14:paraId="769DB1C5">
            <w:pPr>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（具体详见商务要求表）</w:t>
            </w:r>
          </w:p>
        </w:tc>
        <w:tc>
          <w:tcPr>
            <w:tcW w:w="717" w:type="dxa"/>
            <w:vAlign w:val="center"/>
          </w:tcPr>
          <w:p w14:paraId="2A940225">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r>
    </w:tbl>
    <w:p w14:paraId="79DB3F49">
      <w:pPr>
        <w:numPr>
          <w:ilvl w:val="0"/>
          <w:numId w:val="0"/>
        </w:numPr>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商务要求表</w:t>
      </w:r>
      <w:r>
        <w:rPr>
          <w:rFonts w:hint="eastAsia" w:ascii="宋体" w:hAnsi="宋体" w:cs="宋体"/>
          <w:color w:val="auto"/>
          <w:sz w:val="24"/>
          <w:szCs w:val="24"/>
          <w:highlight w:val="none"/>
        </w:rPr>
        <w:t>（对应评分标准）</w:t>
      </w:r>
    </w:p>
    <w:tbl>
      <w:tblPr>
        <w:tblStyle w:val="23"/>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331"/>
        <w:gridCol w:w="6060"/>
        <w:gridCol w:w="1133"/>
      </w:tblGrid>
      <w:tr w14:paraId="186B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246" w:type="dxa"/>
            <w:gridSpan w:val="2"/>
            <w:tcBorders>
              <w:left w:val="single" w:color="auto" w:sz="4" w:space="0"/>
              <w:right w:val="single" w:color="auto" w:sz="4" w:space="0"/>
            </w:tcBorders>
            <w:vAlign w:val="center"/>
          </w:tcPr>
          <w:p w14:paraId="63609F44">
            <w:pPr>
              <w:spacing w:line="360" w:lineRule="auto"/>
              <w:jc w:val="center"/>
              <w:rPr>
                <w:rFonts w:hint="eastAsia" w:ascii="宋体" w:hAnsi="宋体" w:cs="宋体"/>
                <w:color w:val="auto"/>
                <w:sz w:val="24"/>
                <w:szCs w:val="24"/>
                <w:highlight w:val="none"/>
                <w:lang w:val="en-US" w:eastAsia="zh-CN"/>
              </w:rPr>
            </w:pPr>
            <w:r>
              <w:rPr>
                <w:rFonts w:hint="eastAsia" w:ascii="宋体" w:hAnsi="宋体"/>
                <w:color w:val="auto"/>
                <w:sz w:val="24"/>
                <w:highlight w:val="none"/>
              </w:rPr>
              <w:t>评分项目</w:t>
            </w:r>
          </w:p>
        </w:tc>
        <w:tc>
          <w:tcPr>
            <w:tcW w:w="6060" w:type="dxa"/>
            <w:tcBorders>
              <w:top w:val="single" w:color="auto" w:sz="4" w:space="0"/>
              <w:left w:val="single" w:color="auto" w:sz="4" w:space="0"/>
              <w:bottom w:val="single" w:color="auto" w:sz="4" w:space="0"/>
              <w:right w:val="single" w:color="auto" w:sz="4" w:space="0"/>
            </w:tcBorders>
            <w:vAlign w:val="center"/>
          </w:tcPr>
          <w:p w14:paraId="6E5237B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olor w:val="auto"/>
                <w:sz w:val="24"/>
                <w:highlight w:val="none"/>
              </w:rPr>
              <w:t>评标要点及说明</w:t>
            </w:r>
          </w:p>
        </w:tc>
        <w:tc>
          <w:tcPr>
            <w:tcW w:w="1133" w:type="dxa"/>
            <w:tcBorders>
              <w:top w:val="single" w:color="auto" w:sz="4" w:space="0"/>
              <w:left w:val="single" w:color="auto" w:sz="4" w:space="0"/>
              <w:bottom w:val="single" w:color="auto" w:sz="4" w:space="0"/>
              <w:right w:val="single" w:color="auto" w:sz="4" w:space="0"/>
            </w:tcBorders>
            <w:vAlign w:val="center"/>
          </w:tcPr>
          <w:p w14:paraId="3EA03A6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分值</w:t>
            </w:r>
          </w:p>
        </w:tc>
      </w:tr>
      <w:tr w14:paraId="1889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915" w:type="dxa"/>
            <w:tcBorders>
              <w:left w:val="single" w:color="auto" w:sz="4" w:space="0"/>
              <w:right w:val="single" w:color="auto" w:sz="4" w:space="0"/>
            </w:tcBorders>
            <w:vAlign w:val="center"/>
          </w:tcPr>
          <w:p w14:paraId="7DD3171D">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资信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p>
        </w:tc>
        <w:tc>
          <w:tcPr>
            <w:tcW w:w="1331" w:type="dxa"/>
            <w:tcBorders>
              <w:top w:val="single" w:color="auto" w:sz="4" w:space="0"/>
              <w:left w:val="single" w:color="auto" w:sz="4" w:space="0"/>
              <w:right w:val="single" w:color="auto" w:sz="4" w:space="0"/>
            </w:tcBorders>
            <w:vAlign w:val="center"/>
          </w:tcPr>
          <w:p w14:paraId="4BEDF3CF">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人员证书</w:t>
            </w:r>
          </w:p>
        </w:tc>
        <w:tc>
          <w:tcPr>
            <w:tcW w:w="6060" w:type="dxa"/>
            <w:tcBorders>
              <w:top w:val="single" w:color="auto" w:sz="4" w:space="0"/>
              <w:left w:val="single" w:color="auto" w:sz="4" w:space="0"/>
              <w:right w:val="single" w:color="auto" w:sz="4" w:space="0"/>
            </w:tcBorders>
            <w:vAlign w:val="center"/>
          </w:tcPr>
          <w:p w14:paraId="5274C3BA">
            <w:pPr>
              <w:rPr>
                <w:rFonts w:hint="default" w:ascii="宋体" w:hAnsi="宋体" w:eastAsia="宋体" w:cs="宋体"/>
                <w:color w:val="auto"/>
                <w:sz w:val="24"/>
                <w:highlight w:val="none"/>
                <w:lang w:val="en-US" w:eastAsia="zh-CN"/>
              </w:rPr>
            </w:pPr>
            <w:bookmarkStart w:id="114" w:name="_GoBack"/>
            <w:r>
              <w:rPr>
                <w:rFonts w:hint="eastAsia" w:ascii="宋体" w:hAnsi="宋体" w:cs="宋体"/>
                <w:color w:val="auto"/>
                <w:sz w:val="24"/>
                <w:highlight w:val="none"/>
                <w:lang w:val="en-US" w:eastAsia="zh-CN"/>
              </w:rPr>
              <w:t>根据供应商拟投入项目组人员中具有经济师证书的，每提供1个得1分，最多得3分；具有新闻记者证的每提供一个得1分，最多得2分。本项最多得5分。（注：新闻记者证和经济师证书同一人员不重复计分，需提供相关有效证书复印件及本单位社保缴纳证明并加盖公章）</w:t>
            </w:r>
            <w:bookmarkEnd w:id="114"/>
          </w:p>
        </w:tc>
        <w:tc>
          <w:tcPr>
            <w:tcW w:w="1133" w:type="dxa"/>
            <w:tcBorders>
              <w:top w:val="single" w:color="auto" w:sz="4" w:space="0"/>
              <w:left w:val="single" w:color="auto" w:sz="4" w:space="0"/>
              <w:bottom w:val="single" w:color="auto" w:sz="4" w:space="0"/>
              <w:right w:val="single" w:color="auto" w:sz="4" w:space="0"/>
            </w:tcBorders>
            <w:vAlign w:val="center"/>
          </w:tcPr>
          <w:p w14:paraId="798CB187">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bl>
    <w:p w14:paraId="26CBFCFB">
      <w:pPr>
        <w:rPr>
          <w:rFonts w:ascii="宋体" w:hAnsi="宋体" w:cs="宋体"/>
          <w:color w:val="auto"/>
          <w:sz w:val="24"/>
          <w:szCs w:val="24"/>
          <w:highlight w:val="none"/>
        </w:rPr>
      </w:pPr>
    </w:p>
    <w:p w14:paraId="324B10DA">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45B02B5A">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4FDB81A1">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所有文件、合同、证书、资质等需要真实有效。成交供应商在中标后签订合同时需提供以上证明文件原件，若发现资料作假的取消中标资格。</w:t>
      </w:r>
      <w:bookmarkStart w:id="85" w:name="_Toc4517"/>
      <w:bookmarkStart w:id="86" w:name="_Toc8033"/>
    </w:p>
    <w:p w14:paraId="1E1E64DE">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br w:type="page"/>
      </w:r>
    </w:p>
    <w:bookmarkEnd w:id="85"/>
    <w:bookmarkEnd w:id="86"/>
    <w:p w14:paraId="3F33FC6E">
      <w:pPr>
        <w:pStyle w:val="6"/>
        <w:rPr>
          <w:rFonts w:ascii="宋体" w:hAnsi="宋体" w:cs="宋体"/>
          <w:color w:val="auto"/>
          <w:highlight w:val="none"/>
        </w:rPr>
      </w:pPr>
      <w:bookmarkStart w:id="87" w:name="_Toc2376"/>
      <w:bookmarkStart w:id="88" w:name="_Toc11485"/>
      <w:bookmarkStart w:id="89" w:name="_Toc4669"/>
      <w:bookmarkStart w:id="90" w:name="_Toc7690"/>
      <w:r>
        <w:rPr>
          <w:rFonts w:hint="eastAsia" w:ascii="宋体" w:hAnsi="宋体" w:cs="宋体"/>
          <w:color w:val="auto"/>
          <w:highlight w:val="none"/>
        </w:rPr>
        <w:t>第五部分 采购合同</w:t>
      </w:r>
      <w:bookmarkEnd w:id="87"/>
      <w:bookmarkEnd w:id="88"/>
    </w:p>
    <w:p w14:paraId="4FF31807">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合同编号：（2025）第</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号</w:t>
      </w:r>
    </w:p>
    <w:p w14:paraId="7E7EEA7C">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签订日期：2025年</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日</w:t>
      </w:r>
    </w:p>
    <w:p w14:paraId="6C229CFB">
      <w:pPr>
        <w:spacing w:line="360" w:lineRule="auto"/>
        <w:ind w:firstLine="480" w:firstLineChars="200"/>
        <w:rPr>
          <w:rFonts w:ascii="宋体" w:hAnsi="宋体" w:cs="宋体"/>
          <w:color w:val="auto"/>
          <w:sz w:val="28"/>
          <w:highlight w:val="none"/>
          <w:u w:val="single"/>
        </w:rPr>
      </w:pPr>
      <w:r>
        <w:rPr>
          <w:rFonts w:hint="eastAsia" w:ascii="宋体" w:hAnsi="宋体" w:cs="宋体"/>
          <w:color w:val="auto"/>
          <w:kern w:val="0"/>
          <w:sz w:val="24"/>
          <w:highlight w:val="none"/>
        </w:rPr>
        <w:t>　甲方</w:t>
      </w:r>
      <w:r>
        <w:rPr>
          <w:rFonts w:hint="eastAsia" w:ascii="宋体" w:hAnsi="宋体" w:cs="宋体"/>
          <w:color w:val="auto"/>
          <w:sz w:val="28"/>
          <w:highlight w:val="none"/>
        </w:rPr>
        <w:t>：</w:t>
      </w:r>
      <w:r>
        <w:rPr>
          <w:rFonts w:hint="eastAsia" w:ascii="宋体" w:hAnsi="宋体" w:cs="宋体"/>
          <w:color w:val="auto"/>
          <w:sz w:val="28"/>
          <w:highlight w:val="none"/>
          <w:u w:val="single"/>
        </w:rPr>
        <w:t>　</w:t>
      </w:r>
      <w:r>
        <w:rPr>
          <w:rFonts w:hint="eastAsia" w:ascii="宋体" w:hAnsi="宋体" w:cs="宋体"/>
          <w:color w:val="auto"/>
          <w:sz w:val="28"/>
          <w:highlight w:val="none"/>
          <w:u w:val="single"/>
          <w:lang w:eastAsia="zh-CN"/>
        </w:rPr>
        <w:t>中国共产党绍兴市上虞区委员会办公室</w:t>
      </w:r>
      <w:r>
        <w:rPr>
          <w:rFonts w:hint="eastAsia" w:ascii="宋体" w:hAnsi="宋体" w:cs="宋体"/>
          <w:color w:val="auto"/>
          <w:sz w:val="28"/>
          <w:highlight w:val="none"/>
          <w:u w:val="single"/>
        </w:rPr>
        <w:t>　　　　　　　　　　　　　　　　　　　　　　　　</w:t>
      </w:r>
    </w:p>
    <w:p w14:paraId="22C92B68">
      <w:pPr>
        <w:spacing w:line="360" w:lineRule="auto"/>
        <w:ind w:firstLine="720" w:firstLineChars="300"/>
        <w:jc w:val="left"/>
        <w:rPr>
          <w:rFonts w:ascii="宋体" w:hAnsi="宋体" w:cs="宋体"/>
          <w:color w:val="auto"/>
          <w:sz w:val="28"/>
          <w:highlight w:val="none"/>
          <w:u w:val="single"/>
        </w:rPr>
      </w:pPr>
      <w:r>
        <w:rPr>
          <w:rFonts w:hint="eastAsia" w:ascii="宋体" w:hAnsi="宋体" w:cs="宋体"/>
          <w:color w:val="auto"/>
          <w:kern w:val="0"/>
          <w:sz w:val="24"/>
          <w:highlight w:val="none"/>
        </w:rPr>
        <w:t>乙方</w:t>
      </w:r>
      <w:r>
        <w:rPr>
          <w:rFonts w:hint="eastAsia" w:ascii="宋体" w:hAnsi="宋体" w:cs="宋体"/>
          <w:color w:val="auto"/>
          <w:sz w:val="28"/>
          <w:highlight w:val="none"/>
        </w:rPr>
        <w:t>：</w:t>
      </w:r>
      <w:r>
        <w:rPr>
          <w:rFonts w:hint="eastAsia" w:ascii="宋体" w:hAnsi="宋体" w:cs="宋体"/>
          <w:color w:val="auto"/>
          <w:sz w:val="28"/>
          <w:highlight w:val="none"/>
          <w:u w:val="single"/>
        </w:rPr>
        <w:t>　　　　　　　　　　　　　　　　　　　　　　　　　</w:t>
      </w:r>
    </w:p>
    <w:p w14:paraId="3BAB8F6E">
      <w:pPr>
        <w:spacing w:line="348" w:lineRule="auto"/>
        <w:ind w:firstLine="720" w:firstLineChars="300"/>
        <w:jc w:val="left"/>
        <w:rPr>
          <w:rFonts w:ascii="宋体" w:hAnsi="宋体" w:cs="宋体"/>
          <w:b/>
          <w:bCs/>
          <w:color w:val="auto"/>
          <w:sz w:val="24"/>
          <w:highlight w:val="none"/>
        </w:rPr>
      </w:pPr>
      <w:r>
        <w:rPr>
          <w:rFonts w:hint="eastAsia" w:ascii="宋体" w:hAnsi="宋体" w:cs="宋体"/>
          <w:color w:val="auto"/>
          <w:kern w:val="0"/>
          <w:sz w:val="24"/>
          <w:highlight w:val="none"/>
        </w:rPr>
        <w:t>根据《中华人民共和国民法典》、政府采购编号为</w:t>
      </w:r>
      <w:r>
        <w:rPr>
          <w:rFonts w:hint="eastAsia" w:ascii="宋体" w:hAnsi="宋体" w:cs="宋体"/>
          <w:color w:val="auto"/>
          <w:kern w:val="0"/>
          <w:sz w:val="24"/>
          <w:highlight w:val="none"/>
          <w:lang w:eastAsia="zh-CN"/>
        </w:rPr>
        <w:t>CY20250</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招标文件、中标人响应文件的规定，经公开招标采购，签订本合同。</w:t>
      </w:r>
    </w:p>
    <w:p w14:paraId="2F69CA54">
      <w:pPr>
        <w:numPr>
          <w:ilvl w:val="0"/>
          <w:numId w:val="0"/>
        </w:numPr>
        <w:spacing w:line="360" w:lineRule="auto"/>
        <w:rPr>
          <w:rFonts w:ascii="宋体" w:hAnsi="宋体" w:cs="宋体"/>
          <w:b/>
          <w:bCs/>
          <w:color w:val="auto"/>
          <w:kern w:val="2"/>
          <w:sz w:val="24"/>
          <w:szCs w:val="24"/>
          <w:highlight w:val="none"/>
        </w:rPr>
      </w:pPr>
      <w:r>
        <w:rPr>
          <w:rFonts w:hint="eastAsia" w:ascii="宋体" w:hAnsi="宋体" w:cs="宋体"/>
          <w:b/>
          <w:bCs/>
          <w:color w:val="auto"/>
          <w:kern w:val="2"/>
          <w:sz w:val="24"/>
          <w:szCs w:val="24"/>
          <w:highlight w:val="none"/>
          <w:lang w:eastAsia="zh-CN"/>
        </w:rPr>
        <w:t>一、</w:t>
      </w:r>
      <w:r>
        <w:rPr>
          <w:rFonts w:hint="eastAsia" w:ascii="宋体" w:hAnsi="宋体" w:cs="宋体"/>
          <w:b/>
          <w:bCs/>
          <w:color w:val="auto"/>
          <w:kern w:val="2"/>
          <w:sz w:val="24"/>
          <w:szCs w:val="24"/>
          <w:highlight w:val="none"/>
        </w:rPr>
        <w:t>采购内容：</w:t>
      </w:r>
    </w:p>
    <w:p w14:paraId="6AADE3E9">
      <w:pPr>
        <w:widowControl/>
        <w:spacing w:line="360" w:lineRule="auto"/>
        <w:ind w:left="-134" w:leftChars="-64" w:firstLine="480" w:firstLineChars="200"/>
        <w:jc w:val="left"/>
        <w:rPr>
          <w:rFonts w:hint="eastAsia" w:ascii="宋体" w:hAnsi="宋体"/>
          <w:color w:val="auto"/>
          <w:sz w:val="24"/>
          <w:highlight w:val="none"/>
          <w:u w:color="000000"/>
        </w:rPr>
      </w:pPr>
      <w:bookmarkStart w:id="91" w:name="OLE_LINK2"/>
      <w:r>
        <w:rPr>
          <w:rFonts w:hint="eastAsia" w:ascii="宋体" w:hAnsi="宋体"/>
          <w:color w:val="auto"/>
          <w:sz w:val="24"/>
          <w:highlight w:val="none"/>
          <w:u w:color="000000"/>
        </w:rPr>
        <w:t xml:space="preserve">1.做好咨询委综合经济组、社会事业组、城建环保组、农业农村组4个大型课题及10个以上小型课题、建议意见工作，要求大型课题字数5000字以上、小型课题、建议意见字数1000字以上。课题报告和建议意见需通过咨询委审核，并获得区委、区政府主要领导批示。 </w:t>
      </w:r>
    </w:p>
    <w:p w14:paraId="574A70D4">
      <w:pPr>
        <w:widowControl/>
        <w:spacing w:line="360" w:lineRule="auto"/>
        <w:ind w:left="-134" w:leftChars="-64" w:firstLine="480" w:firstLineChars="200"/>
        <w:jc w:val="left"/>
        <w:rPr>
          <w:rFonts w:hint="eastAsia" w:ascii="宋体" w:hAnsi="宋体"/>
          <w:color w:val="auto"/>
          <w:sz w:val="24"/>
          <w:highlight w:val="none"/>
          <w:u w:color="000000"/>
        </w:rPr>
      </w:pPr>
      <w:r>
        <w:rPr>
          <w:rFonts w:hint="eastAsia" w:ascii="宋体" w:hAnsi="宋体"/>
          <w:color w:val="auto"/>
          <w:sz w:val="24"/>
          <w:highlight w:val="none"/>
          <w:u w:color="000000"/>
        </w:rPr>
        <w:t>2.要求保障咨询委全体成员省内外专项调研3次以上，综合经济组、社会事业组、城建环保组、农业农村组4个调研组省内外专项调研各4次以上，以及区委、区政府临时调研工作任务、周边兄弟县市区考察调研任务等其他相关工作。</w:t>
      </w:r>
      <w:bookmarkEnd w:id="91"/>
    </w:p>
    <w:p w14:paraId="33CE3C99">
      <w:pPr>
        <w:widowControl/>
        <w:spacing w:line="360" w:lineRule="auto"/>
        <w:ind w:left="-134" w:leftChars="-64" w:firstLine="480" w:firstLineChars="200"/>
        <w:jc w:val="left"/>
        <w:rPr>
          <w:rFonts w:ascii="宋体"/>
          <w:color w:val="auto"/>
          <w:sz w:val="24"/>
          <w:highlight w:val="none"/>
          <w:u w:color="000000"/>
        </w:rPr>
      </w:pPr>
      <w:r>
        <w:rPr>
          <w:rFonts w:hint="eastAsia" w:ascii="宋体" w:hAnsi="宋体"/>
          <w:color w:val="auto"/>
          <w:sz w:val="24"/>
          <w:highlight w:val="none"/>
          <w:u w:color="000000"/>
          <w:lang w:val="en-US" w:eastAsia="zh-CN"/>
        </w:rPr>
        <w:t>3</w:t>
      </w:r>
      <w:r>
        <w:rPr>
          <w:rFonts w:ascii="宋体" w:hAnsi="宋体"/>
          <w:color w:val="auto"/>
          <w:sz w:val="24"/>
          <w:highlight w:val="none"/>
          <w:u w:color="000000"/>
        </w:rPr>
        <w:t>.</w:t>
      </w:r>
      <w:r>
        <w:rPr>
          <w:rFonts w:hint="eastAsia" w:ascii="宋体" w:hAnsi="宋体"/>
          <w:color w:val="auto"/>
          <w:sz w:val="24"/>
          <w:highlight w:val="none"/>
          <w:u w:color="000000"/>
        </w:rPr>
        <w:t>课题实施时间：自合同签订之日起至</w:t>
      </w:r>
      <w:r>
        <w:rPr>
          <w:rFonts w:ascii="宋体" w:hAnsi="宋体"/>
          <w:color w:val="auto"/>
          <w:sz w:val="24"/>
          <w:highlight w:val="none"/>
          <w:u w:color="000000"/>
        </w:rPr>
        <w:t>202</w:t>
      </w:r>
      <w:r>
        <w:rPr>
          <w:rFonts w:hint="eastAsia" w:ascii="宋体" w:hAnsi="宋体"/>
          <w:color w:val="auto"/>
          <w:sz w:val="24"/>
          <w:highlight w:val="none"/>
          <w:u w:color="000000"/>
          <w:lang w:val="en-US" w:eastAsia="zh-CN"/>
        </w:rPr>
        <w:t>5</w:t>
      </w:r>
      <w:r>
        <w:rPr>
          <w:rFonts w:hint="eastAsia" w:ascii="宋体" w:hAnsi="宋体"/>
          <w:color w:val="auto"/>
          <w:sz w:val="24"/>
          <w:highlight w:val="none"/>
          <w:u w:color="000000"/>
        </w:rPr>
        <w:t>年</w:t>
      </w:r>
      <w:r>
        <w:rPr>
          <w:rFonts w:ascii="宋体" w:hAnsi="宋体"/>
          <w:color w:val="auto"/>
          <w:sz w:val="24"/>
          <w:highlight w:val="none"/>
          <w:u w:color="000000"/>
        </w:rPr>
        <w:t>12</w:t>
      </w:r>
      <w:r>
        <w:rPr>
          <w:rFonts w:hint="eastAsia" w:ascii="宋体" w:hAnsi="宋体"/>
          <w:color w:val="auto"/>
          <w:sz w:val="24"/>
          <w:highlight w:val="none"/>
          <w:u w:color="000000"/>
        </w:rPr>
        <w:t>月</w:t>
      </w:r>
      <w:r>
        <w:rPr>
          <w:rFonts w:ascii="宋体" w:hAnsi="宋体"/>
          <w:color w:val="auto"/>
          <w:sz w:val="24"/>
          <w:highlight w:val="none"/>
          <w:u w:color="000000"/>
        </w:rPr>
        <w:t>3</w:t>
      </w:r>
      <w:r>
        <w:rPr>
          <w:rFonts w:hint="eastAsia" w:ascii="宋体" w:hAnsi="宋体"/>
          <w:color w:val="auto"/>
          <w:sz w:val="24"/>
          <w:highlight w:val="none"/>
          <w:u w:color="000000"/>
          <w:lang w:val="en-US" w:eastAsia="zh-CN"/>
        </w:rPr>
        <w:t>1</w:t>
      </w:r>
      <w:r>
        <w:rPr>
          <w:rFonts w:hint="eastAsia" w:ascii="宋体" w:hAnsi="宋体"/>
          <w:color w:val="auto"/>
          <w:sz w:val="24"/>
          <w:highlight w:val="none"/>
          <w:u w:color="000000"/>
        </w:rPr>
        <w:t>日。</w:t>
      </w:r>
    </w:p>
    <w:p w14:paraId="2FBA5404">
      <w:pPr>
        <w:widowControl/>
        <w:spacing w:line="360" w:lineRule="auto"/>
        <w:ind w:left="-134" w:leftChars="-64" w:firstLine="480" w:firstLineChars="200"/>
        <w:jc w:val="left"/>
        <w:rPr>
          <w:rFonts w:hint="eastAsia" w:ascii="宋体" w:hAnsi="宋体" w:eastAsia="宋体"/>
          <w:color w:val="auto"/>
          <w:sz w:val="24"/>
          <w:highlight w:val="none"/>
          <w:u w:color="000000"/>
          <w:lang w:eastAsia="zh-CN"/>
        </w:rPr>
      </w:pPr>
      <w:r>
        <w:rPr>
          <w:rFonts w:hint="eastAsia" w:ascii="宋体" w:hAnsi="宋体"/>
          <w:color w:val="auto"/>
          <w:sz w:val="24"/>
          <w:highlight w:val="none"/>
          <w:u w:color="000000"/>
          <w:lang w:val="en-US" w:eastAsia="zh-CN"/>
        </w:rPr>
        <w:t>4.</w:t>
      </w:r>
      <w:r>
        <w:rPr>
          <w:rFonts w:hint="eastAsia" w:ascii="宋体" w:hAnsi="宋体"/>
          <w:color w:val="auto"/>
          <w:sz w:val="24"/>
          <w:highlight w:val="none"/>
          <w:u w:color="000000"/>
        </w:rPr>
        <w:t>乙方应设立专项负责人为</w:t>
      </w:r>
      <w:r>
        <w:rPr>
          <w:rFonts w:hint="eastAsia" w:ascii="宋体" w:hAnsi="宋体"/>
          <w:color w:val="auto"/>
          <w:sz w:val="24"/>
          <w:highlight w:val="none"/>
          <w:u w:color="000000"/>
          <w:lang w:val="en-US" w:eastAsia="zh-CN"/>
        </w:rPr>
        <w:t>咨询委</w:t>
      </w:r>
      <w:r>
        <w:rPr>
          <w:rFonts w:hint="eastAsia" w:ascii="宋体" w:hAnsi="宋体"/>
          <w:color w:val="auto"/>
          <w:sz w:val="24"/>
          <w:highlight w:val="none"/>
          <w:u w:color="000000"/>
        </w:rPr>
        <w:t>提供日常业务联络服务，深入协调及对接</w:t>
      </w:r>
      <w:r>
        <w:rPr>
          <w:rFonts w:hint="eastAsia" w:ascii="宋体" w:hAnsi="宋体"/>
          <w:color w:val="auto"/>
          <w:sz w:val="24"/>
          <w:highlight w:val="none"/>
          <w:u w:color="000000"/>
          <w:lang w:val="en-US" w:eastAsia="zh-CN"/>
        </w:rPr>
        <w:t>咨询委</w:t>
      </w:r>
      <w:r>
        <w:rPr>
          <w:rFonts w:hint="eastAsia" w:ascii="宋体" w:hAnsi="宋体"/>
          <w:color w:val="auto"/>
          <w:sz w:val="24"/>
          <w:highlight w:val="none"/>
          <w:u w:color="000000"/>
        </w:rPr>
        <w:t>活动及重大事项。</w:t>
      </w:r>
    </w:p>
    <w:p w14:paraId="35FA31AB">
      <w:pPr>
        <w:widowControl/>
        <w:spacing w:line="360" w:lineRule="auto"/>
        <w:ind w:left="-134" w:leftChars="-64" w:firstLine="480" w:firstLineChars="200"/>
        <w:jc w:val="left"/>
        <w:rPr>
          <w:rFonts w:ascii="宋体" w:cs="宋体"/>
          <w:b/>
          <w:color w:val="auto"/>
          <w:kern w:val="0"/>
          <w:sz w:val="24"/>
          <w:highlight w:val="none"/>
        </w:rPr>
      </w:pPr>
      <w:r>
        <w:rPr>
          <w:rFonts w:ascii="宋体" w:hAnsi="宋体"/>
          <w:color w:val="auto"/>
          <w:sz w:val="24"/>
          <w:highlight w:val="none"/>
          <w:u w:color="000000"/>
        </w:rPr>
        <w:t xml:space="preserve"> </w:t>
      </w:r>
      <w:r>
        <w:rPr>
          <w:rFonts w:hint="eastAsia" w:ascii="宋体" w:hAnsi="宋体" w:cs="宋体"/>
          <w:b/>
          <w:color w:val="auto"/>
          <w:kern w:val="0"/>
          <w:sz w:val="24"/>
          <w:highlight w:val="none"/>
        </w:rPr>
        <w:t>二、技术资料和保密约定</w:t>
      </w:r>
    </w:p>
    <w:p w14:paraId="68A9B0AF">
      <w:pPr>
        <w:widowControl/>
        <w:spacing w:line="360" w:lineRule="auto"/>
        <w:ind w:left="-134" w:leftChars="-64" w:firstLine="480" w:firstLineChars="200"/>
        <w:jc w:val="left"/>
        <w:rPr>
          <w:rFonts w:ascii="宋体" w:cs="宋体"/>
          <w:color w:val="auto"/>
          <w:kern w:val="0"/>
          <w:sz w:val="24"/>
          <w:highlight w:val="none"/>
        </w:rPr>
      </w:pPr>
      <w:r>
        <w:rPr>
          <w:rFonts w:ascii="宋体" w:cs="宋体"/>
          <w:color w:val="auto"/>
          <w:kern w:val="0"/>
          <w:sz w:val="24"/>
          <w:highlight w:val="none"/>
        </w:rPr>
        <w:t>1</w:t>
      </w:r>
      <w:r>
        <w:rPr>
          <w:rFonts w:hint="eastAsia" w:ascii="宋体" w:cs="宋体"/>
          <w:color w:val="auto"/>
          <w:kern w:val="0"/>
          <w:sz w:val="24"/>
          <w:highlight w:val="none"/>
          <w:lang w:eastAsia="zh-CN"/>
        </w:rPr>
        <w:t>.</w:t>
      </w:r>
      <w:r>
        <w:rPr>
          <w:rFonts w:hint="eastAsia" w:ascii="宋体" w:hAnsi="宋体" w:cs="宋体"/>
          <w:color w:val="auto"/>
          <w:kern w:val="0"/>
          <w:sz w:val="24"/>
          <w:highlight w:val="none"/>
        </w:rPr>
        <w:t>乙方应按磋商文件规定的时间向甲方提供有关技术资料。</w:t>
      </w:r>
    </w:p>
    <w:p w14:paraId="2BF7D8CA">
      <w:pPr>
        <w:widowControl/>
        <w:spacing w:line="360" w:lineRule="auto"/>
        <w:ind w:left="-134" w:leftChars="-64" w:firstLine="480" w:firstLineChars="200"/>
        <w:jc w:val="left"/>
        <w:rPr>
          <w:rFonts w:ascii="宋体" w:cs="宋体"/>
          <w:color w:val="auto"/>
          <w:kern w:val="0"/>
          <w:sz w:val="24"/>
          <w:highlight w:val="none"/>
        </w:rPr>
      </w:pPr>
      <w:r>
        <w:rPr>
          <w:rFonts w:ascii="宋体" w:cs="宋体"/>
          <w:color w:val="auto"/>
          <w:kern w:val="0"/>
          <w:sz w:val="24"/>
          <w:highlight w:val="none"/>
        </w:rPr>
        <w:t>2</w:t>
      </w:r>
      <w:r>
        <w:rPr>
          <w:rFonts w:hint="eastAsia" w:ascii="宋体" w:cs="宋体"/>
          <w:color w:val="auto"/>
          <w:kern w:val="0"/>
          <w:sz w:val="24"/>
          <w:highlight w:val="none"/>
          <w:lang w:eastAsia="zh-CN"/>
        </w:rPr>
        <w:t>.</w:t>
      </w:r>
      <w:r>
        <w:rPr>
          <w:rFonts w:hint="eastAsia" w:ascii="宋体" w:hAnsi="宋体" w:cs="宋体"/>
          <w:color w:val="auto"/>
          <w:kern w:val="0"/>
          <w:sz w:val="24"/>
          <w:highlight w:val="none"/>
        </w:rPr>
        <w:t>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67B1F678">
      <w:pPr>
        <w:widowControl/>
        <w:spacing w:line="360" w:lineRule="auto"/>
        <w:ind w:left="-134" w:leftChars="-64" w:firstLine="480" w:firstLineChars="200"/>
        <w:jc w:val="left"/>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乙方承诺在项目实施过程中按照国家保密法律法规以及甲方的要求</w:t>
      </w:r>
      <w:r>
        <w:rPr>
          <w:rFonts w:ascii="宋体" w:cs="宋体"/>
          <w:color w:val="auto"/>
          <w:kern w:val="0"/>
          <w:sz w:val="24"/>
          <w:highlight w:val="none"/>
        </w:rPr>
        <w:t>,</w:t>
      </w:r>
      <w:r>
        <w:rPr>
          <w:rFonts w:hint="eastAsia" w:ascii="宋体" w:hAnsi="宋体" w:cs="宋体"/>
          <w:color w:val="auto"/>
          <w:kern w:val="0"/>
          <w:sz w:val="24"/>
          <w:highlight w:val="none"/>
        </w:rPr>
        <w:t>做好有关保密工作。乙方保证项目实施过程中的有关信息、文件等对第三方保密，非经甲方同意，不得公开或向第三方提供。</w:t>
      </w:r>
    </w:p>
    <w:p w14:paraId="62AD0818">
      <w:pPr>
        <w:widowControl/>
        <w:spacing w:line="360" w:lineRule="auto"/>
        <w:ind w:firstLine="241" w:firstLineChars="100"/>
        <w:jc w:val="left"/>
        <w:rPr>
          <w:rFonts w:ascii="宋体" w:cs="宋体"/>
          <w:b/>
          <w:color w:val="auto"/>
          <w:kern w:val="0"/>
          <w:sz w:val="24"/>
          <w:highlight w:val="none"/>
        </w:rPr>
      </w:pPr>
      <w:r>
        <w:rPr>
          <w:rFonts w:hint="eastAsia" w:ascii="宋体" w:hAnsi="宋体" w:cs="宋体"/>
          <w:b/>
          <w:color w:val="auto"/>
          <w:kern w:val="0"/>
          <w:sz w:val="24"/>
          <w:highlight w:val="none"/>
        </w:rPr>
        <w:t>三、乙方义务</w:t>
      </w:r>
    </w:p>
    <w:p w14:paraId="5DB653F6">
      <w:pPr>
        <w:widowControl/>
        <w:spacing w:line="360" w:lineRule="auto"/>
        <w:ind w:left="-134" w:leftChars="-64" w:firstLine="720" w:firstLineChars="300"/>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乙方应配备具有相应资质、特定经验的工作人员负责项目实施，按照相关标准、要求和时间完成项目。</w:t>
      </w:r>
    </w:p>
    <w:p w14:paraId="76A0E954">
      <w:pPr>
        <w:widowControl/>
        <w:spacing w:line="360" w:lineRule="auto"/>
        <w:ind w:left="-134" w:leftChars="-64" w:firstLine="720" w:firstLineChars="300"/>
        <w:jc w:val="left"/>
        <w:rPr>
          <w:rFonts w:hint="eastAsia" w:ascii="宋体" w:hAnsi="宋体" w:cs="宋体"/>
          <w:color w:val="auto"/>
          <w:kern w:val="0"/>
          <w:sz w:val="24"/>
          <w:highlight w:val="none"/>
          <w:lang w:val="en-US" w:eastAsia="zh-CN"/>
        </w:rPr>
      </w:pPr>
      <w:r>
        <w:rPr>
          <w:rFonts w:ascii="宋体" w:hAnsi="宋体" w:cs="宋体"/>
          <w:color w:val="auto"/>
          <w:kern w:val="0"/>
          <w:sz w:val="24"/>
          <w:highlight w:val="none"/>
        </w:rPr>
        <w:t>2.</w:t>
      </w:r>
      <w:r>
        <w:rPr>
          <w:rFonts w:hint="eastAsia" w:ascii="宋体" w:hAnsi="宋体" w:cs="宋体"/>
          <w:color w:val="auto"/>
          <w:kern w:val="0"/>
          <w:sz w:val="24"/>
          <w:highlight w:val="none"/>
        </w:rPr>
        <w:t>乙方应按甲方要求，按照</w:t>
      </w:r>
      <w:r>
        <w:rPr>
          <w:rFonts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年度研究课题计划（包括建议</w:t>
      </w:r>
      <w:r>
        <w:rPr>
          <w:rFonts w:hint="eastAsia" w:ascii="宋体" w:hAnsi="宋体" w:cs="宋体"/>
          <w:color w:val="auto"/>
          <w:kern w:val="0"/>
          <w:sz w:val="24"/>
          <w:highlight w:val="none"/>
          <w:lang w:val="en-US" w:eastAsia="zh-CN"/>
        </w:rPr>
        <w:t>意见</w:t>
      </w:r>
      <w:r>
        <w:rPr>
          <w:rFonts w:hint="eastAsia" w:ascii="宋体" w:hAnsi="宋体" w:cs="宋体"/>
          <w:color w:val="auto"/>
          <w:kern w:val="0"/>
          <w:sz w:val="24"/>
          <w:highlight w:val="none"/>
        </w:rPr>
        <w:t>），做好课题调研的组织、协调、服务等后勤保障工作，负责好课题的立题、开题、结题等环节和调研活动时的宣传报道工作，确保课题研究顺利进行。</w:t>
      </w:r>
      <w:r>
        <w:rPr>
          <w:rFonts w:hint="eastAsia" w:ascii="宋体" w:hAnsi="宋体" w:cs="宋体"/>
          <w:color w:val="auto"/>
          <w:kern w:val="0"/>
          <w:sz w:val="24"/>
          <w:highlight w:val="none"/>
          <w:lang w:val="en-US" w:eastAsia="zh-CN"/>
        </w:rPr>
        <w:t xml:space="preserve"> </w:t>
      </w:r>
    </w:p>
    <w:p w14:paraId="5CA3D579">
      <w:pPr>
        <w:widowControl/>
        <w:spacing w:line="360" w:lineRule="auto"/>
        <w:ind w:left="-134" w:leftChars="-64" w:firstLine="720" w:firstLineChars="300"/>
        <w:jc w:val="left"/>
        <w:rPr>
          <w:color w:val="auto"/>
          <w:highlight w:val="none"/>
        </w:rPr>
      </w:pPr>
      <w:r>
        <w:rPr>
          <w:rFonts w:hint="eastAsia" w:ascii="宋体" w:hAnsi="宋体" w:cs="宋体"/>
          <w:color w:val="auto"/>
          <w:kern w:val="0"/>
          <w:sz w:val="24"/>
          <w:highlight w:val="none"/>
          <w:lang w:val="en-US" w:eastAsia="zh-CN"/>
        </w:rPr>
        <w:t>3</w:t>
      </w:r>
      <w:r>
        <w:rPr>
          <w:rFonts w:ascii="宋体" w:hAnsi="宋体" w:cs="宋体"/>
          <w:color w:val="auto"/>
          <w:kern w:val="0"/>
          <w:sz w:val="24"/>
          <w:highlight w:val="none"/>
        </w:rPr>
        <w:t>.</w:t>
      </w:r>
      <w:r>
        <w:rPr>
          <w:rFonts w:hint="eastAsia" w:ascii="宋体" w:hAnsi="宋体"/>
          <w:color w:val="auto"/>
          <w:sz w:val="24"/>
          <w:highlight w:val="none"/>
          <w:u w:color="000000"/>
        </w:rPr>
        <w:t>乙方应严格按照咨询委要求，做好考察调研活动的对接、协调、组织、安排、保障等工作，相关活动费用参照《上虞区机关工作人员差旅费管理规定》进行支出；活动组织要考虑老领导身体状况，在交通出行、住宿条件等方面选择更为快捷、舒适、便捷的方式，并安排护理人员全程跟踪保障；活动结束后需按照咨询委要求，在本地官方新闻媒体上做好宣传报道工作</w:t>
      </w:r>
      <w:r>
        <w:rPr>
          <w:rFonts w:hint="eastAsia" w:ascii="宋体" w:hAnsi="宋体"/>
          <w:color w:val="auto"/>
          <w:sz w:val="24"/>
          <w:highlight w:val="none"/>
          <w:u w:color="000000"/>
          <w:lang w:eastAsia="zh-CN"/>
        </w:rPr>
        <w:t>。</w:t>
      </w:r>
    </w:p>
    <w:p w14:paraId="3165C8B4">
      <w:pPr>
        <w:widowControl/>
        <w:spacing w:line="360" w:lineRule="auto"/>
        <w:ind w:left="-134" w:leftChars="-64" w:firstLine="720" w:firstLineChars="300"/>
        <w:jc w:val="left"/>
        <w:rPr>
          <w:rFonts w:ascii="宋体" w:cs="宋体"/>
          <w:color w:val="auto"/>
          <w:kern w:val="0"/>
          <w:sz w:val="24"/>
          <w:highlight w:val="none"/>
        </w:rPr>
      </w:pPr>
      <w:r>
        <w:rPr>
          <w:rFonts w:hint="eastAsia" w:ascii="宋体" w:hAnsi="宋体" w:cs="宋体"/>
          <w:color w:val="auto"/>
          <w:kern w:val="0"/>
          <w:sz w:val="24"/>
          <w:highlight w:val="none"/>
          <w:lang w:val="en-US" w:eastAsia="zh-CN"/>
        </w:rPr>
        <w:t>4</w:t>
      </w:r>
      <w:r>
        <w:rPr>
          <w:rFonts w:ascii="宋体" w:hAnsi="宋体" w:cs="宋体"/>
          <w:color w:val="auto"/>
          <w:kern w:val="0"/>
          <w:sz w:val="24"/>
          <w:highlight w:val="none"/>
        </w:rPr>
        <w:t>.</w:t>
      </w:r>
      <w:r>
        <w:rPr>
          <w:rFonts w:hint="eastAsia" w:ascii="宋体" w:hAnsi="宋体" w:cs="宋体"/>
          <w:color w:val="auto"/>
          <w:kern w:val="0"/>
          <w:sz w:val="24"/>
          <w:highlight w:val="none"/>
        </w:rPr>
        <w:t>乙方应全面履行项目实施过程中的相关管理职责，因乙方未尽到管理职责发生安全事故的，由乙方承担相应的法律责任。</w:t>
      </w:r>
    </w:p>
    <w:p w14:paraId="1636AE53">
      <w:pPr>
        <w:autoSpaceDE w:val="0"/>
        <w:autoSpaceDN w:val="0"/>
        <w:adjustRightInd w:val="0"/>
        <w:spacing w:beforeLines="50" w:line="336" w:lineRule="auto"/>
        <w:jc w:val="left"/>
        <w:rPr>
          <w:rFonts w:ascii="宋体" w:hAnsi="宋体" w:cs="宋体"/>
          <w:b/>
          <w:bCs/>
          <w:color w:val="auto"/>
          <w:sz w:val="24"/>
          <w:highlight w:val="none"/>
          <w:lang w:val="zh-CN"/>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val="zh-CN"/>
        </w:rPr>
        <w:t>、履约验收</w:t>
      </w:r>
    </w:p>
    <w:p w14:paraId="2478D345">
      <w:pPr>
        <w:numPr>
          <w:ilvl w:val="0"/>
          <w:numId w:val="19"/>
        </w:numPr>
        <w:spacing w:line="336"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甲方组织对乙方履约的验收。验收方成员应当在验收书上签字，并承担相应的法律责任。如果发现与合同中要求不符，乙方须承担由此发生的一切损失和费用，并接受相应的处理。</w:t>
      </w:r>
    </w:p>
    <w:p w14:paraId="6D995524">
      <w:pPr>
        <w:numPr>
          <w:ilvl w:val="0"/>
          <w:numId w:val="19"/>
        </w:numPr>
        <w:spacing w:line="336"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甲方应当及时对采购项目进行验收，甲方可以邀请参加本项目的其他投标人或者第三方机构参与验收，参与验收的投标人或者第三方机构的意见作为验收书的参考资料一并存档。</w:t>
      </w:r>
    </w:p>
    <w:p w14:paraId="192B4BB6">
      <w:pPr>
        <w:numPr>
          <w:ilvl w:val="0"/>
          <w:numId w:val="19"/>
        </w:numPr>
        <w:spacing w:line="336"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甲方负责加强对乙方的履约管理，并按照采购合同约定，及时向乙方支付采购资金。对于乙方违反采购合同约定的行为，甲方应当及时处理，依法追究其违约责任。</w:t>
      </w:r>
    </w:p>
    <w:p w14:paraId="7E1C96F8">
      <w:pPr>
        <w:numPr>
          <w:ilvl w:val="0"/>
          <w:numId w:val="19"/>
        </w:numPr>
        <w:spacing w:line="336"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验收时乙方需在现场，验收完毕后做出验收结果报告。</w:t>
      </w:r>
    </w:p>
    <w:p w14:paraId="04153318">
      <w:pPr>
        <w:spacing w:beforeLines="50" w:line="336" w:lineRule="auto"/>
        <w:rPr>
          <w:rFonts w:ascii="宋体" w:hAnsi="宋体" w:cs="宋体"/>
          <w:b/>
          <w:color w:val="auto"/>
          <w:sz w:val="24"/>
          <w:highlight w:val="none"/>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、付款方式</w:t>
      </w:r>
    </w:p>
    <w:p w14:paraId="3A1F2C33">
      <w:pPr>
        <w:pStyle w:val="39"/>
        <w:spacing w:line="336" w:lineRule="auto"/>
        <w:ind w:firstLine="420" w:firstLineChars="175"/>
        <w:rPr>
          <w:rFonts w:cs="宋体"/>
          <w:color w:val="auto"/>
          <w:szCs w:val="24"/>
          <w:highlight w:val="none"/>
        </w:rPr>
      </w:pPr>
      <w:r>
        <w:rPr>
          <w:rFonts w:hint="eastAsia" w:cs="宋体"/>
          <w:color w:val="auto"/>
          <w:szCs w:val="24"/>
          <w:highlight w:val="none"/>
          <w:lang w:val="en-US" w:eastAsia="zh-CN"/>
        </w:rPr>
        <w:t>1.</w:t>
      </w:r>
      <w:r>
        <w:rPr>
          <w:rFonts w:hint="eastAsia" w:cs="宋体"/>
          <w:color w:val="auto"/>
          <w:szCs w:val="24"/>
          <w:highlight w:val="none"/>
        </w:rPr>
        <w:t>服务费：</w:t>
      </w:r>
    </w:p>
    <w:p w14:paraId="3F9BB9DA">
      <w:pPr>
        <w:pStyle w:val="39"/>
        <w:spacing w:line="336" w:lineRule="auto"/>
        <w:ind w:firstLine="420" w:firstLineChars="175"/>
        <w:rPr>
          <w:rFonts w:cs="宋体"/>
          <w:color w:val="auto"/>
          <w:szCs w:val="24"/>
          <w:highlight w:val="none"/>
        </w:rPr>
      </w:pPr>
      <w:r>
        <w:rPr>
          <w:rFonts w:hint="eastAsia" w:cs="宋体"/>
          <w:color w:val="auto"/>
          <w:szCs w:val="24"/>
          <w:highlight w:val="none"/>
        </w:rPr>
        <w:t>本合同金额为人民币（大写）：________元（￥_______元）。</w:t>
      </w:r>
    </w:p>
    <w:p w14:paraId="3EEB0C07">
      <w:pPr>
        <w:autoSpaceDE w:val="0"/>
        <w:autoSpaceDN w:val="0"/>
        <w:adjustRightInd w:val="0"/>
        <w:spacing w:line="336"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在合同生效以及具备实施条件并收到发票后7个工作日内支付50%合同价款作为预付款；项目完成经</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确认后7个工作日内支付剩余合同价款。</w:t>
      </w:r>
    </w:p>
    <w:p w14:paraId="340525AD">
      <w:pPr>
        <w:tabs>
          <w:tab w:val="left" w:pos="3570"/>
        </w:tabs>
        <w:spacing w:line="336" w:lineRule="auto"/>
        <w:ind w:left="420" w:leftChars="200"/>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付款要求</w:t>
      </w:r>
    </w:p>
    <w:p w14:paraId="1AACF2ED">
      <w:pPr>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乙方在收款之前，应向甲方提供发票，甲方凭发票付款。如乙方未按约定提供发票的，甲方有权拒绝付款，直至收到乙方提交的相应发票为止，在此情况下，甲方不承担逾期付款违约责任。</w:t>
      </w:r>
    </w:p>
    <w:p w14:paraId="679531F5">
      <w:pPr>
        <w:spacing w:beforeLines="50" w:line="336"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rPr>
        <w:t>、违约责任</w:t>
      </w:r>
    </w:p>
    <w:p w14:paraId="531A26ED">
      <w:pPr>
        <w:snapToGrid w:val="0"/>
        <w:spacing w:line="336"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除合同规定的不可抗力外，如果乙方没有按照合同规定的时间提供服务，甲方可要求乙方赔偿甲方全部实际损失。其赔偿额不超过本合同标的总额，并向甲方支付合同标的总额</w:t>
      </w:r>
      <w:r>
        <w:rPr>
          <w:rFonts w:hint="eastAsia" w:ascii="宋体" w:hAnsi="宋体" w:cs="宋体"/>
          <w:color w:val="auto"/>
          <w:kern w:val="0"/>
          <w:sz w:val="24"/>
          <w:highlight w:val="none"/>
          <w:u w:val="single"/>
        </w:rPr>
        <w:t>1%</w:t>
      </w:r>
      <w:r>
        <w:rPr>
          <w:rFonts w:hint="eastAsia" w:ascii="宋体" w:hAnsi="宋体" w:cs="宋体"/>
          <w:color w:val="auto"/>
          <w:kern w:val="0"/>
          <w:sz w:val="24"/>
          <w:highlight w:val="none"/>
        </w:rPr>
        <w:t>的违约金。</w:t>
      </w:r>
    </w:p>
    <w:p w14:paraId="10C6353B">
      <w:pPr>
        <w:snapToGrid w:val="0"/>
        <w:spacing w:line="336"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 xml:space="preserve">项目结束时验收不合格，乙方应在收到甲方通知后 7 日内退还甲方已支付的合同款，逾期退还合同款的，每日按未退还金额的  </w:t>
      </w:r>
      <w:r>
        <w:rPr>
          <w:rFonts w:hint="eastAsia" w:ascii="宋体" w:hAnsi="宋体" w:cs="宋体"/>
          <w:color w:val="auto"/>
          <w:kern w:val="0"/>
          <w:sz w:val="24"/>
          <w:highlight w:val="none"/>
          <w:u w:val="single"/>
        </w:rPr>
        <w:t xml:space="preserve"> 1  </w:t>
      </w:r>
      <w:r>
        <w:rPr>
          <w:rFonts w:hint="eastAsia" w:ascii="宋体" w:hAnsi="宋体" w:cs="宋体"/>
          <w:color w:val="auto"/>
          <w:kern w:val="0"/>
          <w:sz w:val="24"/>
          <w:highlight w:val="none"/>
        </w:rPr>
        <w:t xml:space="preserve"> %支付违约金。</w:t>
      </w:r>
    </w:p>
    <w:p w14:paraId="1A888078">
      <w:pPr>
        <w:snapToGrid w:val="0"/>
        <w:spacing w:line="336" w:lineRule="auto"/>
        <w:ind w:firstLine="482"/>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其他：</w:t>
      </w:r>
      <w:r>
        <w:rPr>
          <w:rFonts w:hint="eastAsia" w:ascii="宋体" w:hAnsi="宋体" w:cs="宋体"/>
          <w:color w:val="auto"/>
          <w:kern w:val="0"/>
          <w:sz w:val="24"/>
          <w:highlight w:val="none"/>
          <w:u w:val="single"/>
        </w:rPr>
        <w:t>采购合同的履行、违约责任和解决争议的方式等适用《中华人民共和国民法典》。合同发生争议，双方当事人应及时协商解决</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协商不成时，可依法向当地人民法院起诉</w:t>
      </w:r>
      <w:r>
        <w:rPr>
          <w:rFonts w:hint="eastAsia" w:ascii="宋体" w:hAnsi="宋体" w:cs="宋体"/>
          <w:color w:val="auto"/>
          <w:kern w:val="0"/>
          <w:sz w:val="24"/>
          <w:highlight w:val="none"/>
        </w:rPr>
        <w:t>。</w:t>
      </w:r>
    </w:p>
    <w:p w14:paraId="1D6CA2BC">
      <w:pPr>
        <w:snapToGrid w:val="0"/>
        <w:spacing w:beforeLines="50" w:line="336"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七</w:t>
      </w:r>
      <w:r>
        <w:rPr>
          <w:rFonts w:hint="eastAsia" w:ascii="宋体" w:hAnsi="宋体" w:cs="宋体"/>
          <w:b/>
          <w:bCs/>
          <w:color w:val="auto"/>
          <w:sz w:val="24"/>
          <w:szCs w:val="24"/>
          <w:highlight w:val="none"/>
        </w:rPr>
        <w:t>、解决争议的方法</w:t>
      </w:r>
    </w:p>
    <w:p w14:paraId="46B07B3D">
      <w:pPr>
        <w:spacing w:line="336" w:lineRule="auto"/>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1.因本合同及合同有关事项发生的争议，由甲乙双方友好协商解决。协商不成时，可以向有关组织申请调解。合同一方或双方不愿调解或调解不成的，可以通过仲裁或诉讼的方式解决争议。</w:t>
      </w:r>
    </w:p>
    <w:p w14:paraId="2EC67784">
      <w:pPr>
        <w:autoSpaceDE w:val="0"/>
        <w:autoSpaceDN w:val="0"/>
        <w:adjustRightInd w:val="0"/>
        <w:snapToGrid w:val="0"/>
        <w:spacing w:line="336" w:lineRule="auto"/>
        <w:ind w:firstLine="480" w:firstLineChars="200"/>
        <w:jc w:val="left"/>
        <w:rPr>
          <w:rFonts w:ascii="宋体" w:hAnsi="宋体" w:cs="宋体"/>
          <w:iCs/>
          <w:color w:val="auto"/>
          <w:sz w:val="24"/>
          <w:szCs w:val="24"/>
          <w:highlight w:val="none"/>
        </w:rPr>
      </w:pPr>
      <w:r>
        <w:rPr>
          <w:rFonts w:hint="eastAsia" w:ascii="宋体" w:hAnsi="宋体" w:cs="宋体"/>
          <w:color w:val="auto"/>
          <w:sz w:val="24"/>
          <w:szCs w:val="24"/>
          <w:highlight w:val="none"/>
        </w:rPr>
        <w:t>2.</w:t>
      </w:r>
      <w:r>
        <w:rPr>
          <w:rFonts w:hint="eastAsia" w:ascii="宋体" w:hAnsi="宋体" w:cs="宋体"/>
          <w:iCs/>
          <w:color w:val="auto"/>
          <w:sz w:val="24"/>
          <w:szCs w:val="24"/>
          <w:highlight w:val="none"/>
        </w:rPr>
        <w:t>因本合同及合同有关事项发生的争议，按下列第</w:t>
      </w:r>
      <w:r>
        <w:rPr>
          <w:rFonts w:hint="eastAsia" w:ascii="宋体" w:hAnsi="宋体" w:cs="宋体"/>
          <w:iCs/>
          <w:color w:val="auto"/>
          <w:sz w:val="24"/>
          <w:szCs w:val="24"/>
          <w:highlight w:val="none"/>
          <w:u w:val="single"/>
        </w:rPr>
        <w:t>（2）</w:t>
      </w:r>
      <w:r>
        <w:rPr>
          <w:rFonts w:hint="eastAsia" w:ascii="宋体" w:hAnsi="宋体" w:cs="宋体"/>
          <w:iCs/>
          <w:color w:val="auto"/>
          <w:sz w:val="24"/>
          <w:szCs w:val="24"/>
          <w:highlight w:val="none"/>
        </w:rPr>
        <w:t>种方式解决：</w:t>
      </w:r>
    </w:p>
    <w:p w14:paraId="74B9B248">
      <w:pPr>
        <w:autoSpaceDE w:val="0"/>
        <w:autoSpaceDN w:val="0"/>
        <w:adjustRightInd w:val="0"/>
        <w:snapToGrid w:val="0"/>
        <w:spacing w:line="336" w:lineRule="auto"/>
        <w:ind w:firstLine="480" w:firstLineChars="200"/>
        <w:jc w:val="left"/>
        <w:rPr>
          <w:rFonts w:ascii="宋体" w:hAnsi="宋体" w:cs="宋体"/>
          <w:iCs/>
          <w:color w:val="auto"/>
          <w:sz w:val="24"/>
          <w:szCs w:val="24"/>
          <w:highlight w:val="none"/>
        </w:rPr>
      </w:pPr>
      <w:r>
        <w:rPr>
          <w:rFonts w:hint="eastAsia" w:ascii="宋体" w:hAnsi="宋体" w:cs="宋体"/>
          <w:iCs/>
          <w:color w:val="auto"/>
          <w:sz w:val="24"/>
          <w:szCs w:val="24"/>
          <w:highlight w:val="none"/>
        </w:rPr>
        <w:t>（1）向</w:t>
      </w:r>
      <w:r>
        <w:rPr>
          <w:rFonts w:hint="eastAsia" w:ascii="宋体" w:hAnsi="宋体" w:cs="宋体"/>
          <w:iCs/>
          <w:color w:val="auto"/>
          <w:sz w:val="24"/>
          <w:szCs w:val="24"/>
          <w:highlight w:val="none"/>
          <w:u w:val="single"/>
        </w:rPr>
        <w:t>绍兴市</w:t>
      </w:r>
      <w:r>
        <w:rPr>
          <w:rFonts w:hint="eastAsia" w:ascii="宋体" w:hAnsi="宋体" w:cs="宋体"/>
          <w:iCs/>
          <w:color w:val="auto"/>
          <w:sz w:val="24"/>
          <w:szCs w:val="24"/>
          <w:highlight w:val="none"/>
        </w:rPr>
        <w:t>仲裁委员会申请仲裁，仲裁地点为；</w:t>
      </w:r>
    </w:p>
    <w:p w14:paraId="7384BCF6">
      <w:pPr>
        <w:spacing w:line="336" w:lineRule="auto"/>
        <w:ind w:firstLine="480" w:firstLineChars="200"/>
        <w:jc w:val="left"/>
        <w:rPr>
          <w:rFonts w:ascii="宋体" w:hAnsi="宋体" w:cs="宋体"/>
          <w:color w:val="auto"/>
          <w:kern w:val="0"/>
          <w:sz w:val="24"/>
          <w:szCs w:val="20"/>
          <w:highlight w:val="none"/>
        </w:rPr>
      </w:pPr>
      <w:r>
        <w:rPr>
          <w:rFonts w:hint="eastAsia" w:ascii="宋体" w:hAnsi="宋体" w:cs="宋体"/>
          <w:iCs/>
          <w:color w:val="auto"/>
          <w:sz w:val="24"/>
          <w:szCs w:val="24"/>
          <w:highlight w:val="none"/>
        </w:rPr>
        <w:t>（2）向</w:t>
      </w:r>
      <w:r>
        <w:rPr>
          <w:rFonts w:hint="eastAsia" w:ascii="宋体" w:hAnsi="宋体" w:cs="宋体"/>
          <w:color w:val="auto"/>
          <w:sz w:val="24"/>
          <w:szCs w:val="24"/>
          <w:highlight w:val="none"/>
          <w:u w:val="single"/>
        </w:rPr>
        <w:t>绍兴市上虞区</w:t>
      </w:r>
      <w:r>
        <w:rPr>
          <w:rFonts w:hint="eastAsia" w:ascii="宋体" w:hAnsi="宋体" w:cs="宋体"/>
          <w:iCs/>
          <w:color w:val="auto"/>
          <w:sz w:val="24"/>
          <w:szCs w:val="24"/>
          <w:highlight w:val="none"/>
        </w:rPr>
        <w:t>人民法院起诉。</w:t>
      </w:r>
    </w:p>
    <w:p w14:paraId="6B719BA5">
      <w:pPr>
        <w:pStyle w:val="46"/>
        <w:spacing w:line="336" w:lineRule="auto"/>
        <w:ind w:firstLine="48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3.如甲乙双方有争议的事项不影响合同其他部分的履行，在争议解决期间，合同其他部分应当继续履行。</w:t>
      </w:r>
    </w:p>
    <w:p w14:paraId="206197A5">
      <w:pPr>
        <w:spacing w:beforeLines="50" w:line="336" w:lineRule="auto"/>
        <w:jc w:val="left"/>
        <w:rPr>
          <w:rFonts w:ascii="宋体" w:hAnsi="宋体" w:cs="宋体"/>
          <w:b/>
          <w:bCs/>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、附则</w:t>
      </w:r>
    </w:p>
    <w:p w14:paraId="1C9E8477">
      <w:pPr>
        <w:tabs>
          <w:tab w:val="left" w:pos="840"/>
          <w:tab w:val="left" w:pos="1020"/>
        </w:tabs>
        <w:spacing w:line="336"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1.合同经甲、乙双方签名并加盖单位公章后生效。</w:t>
      </w:r>
    </w:p>
    <w:p w14:paraId="787AEE6B">
      <w:pPr>
        <w:tabs>
          <w:tab w:val="left" w:pos="840"/>
          <w:tab w:val="left" w:pos="1020"/>
        </w:tabs>
        <w:spacing w:line="336"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2.采购文件、投标文件与本合同具有同等法律效力。</w:t>
      </w:r>
    </w:p>
    <w:p w14:paraId="2418738F">
      <w:pPr>
        <w:tabs>
          <w:tab w:val="left" w:pos="840"/>
          <w:tab w:val="left" w:pos="1020"/>
        </w:tabs>
        <w:spacing w:line="336"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3.本合同未尽事宜，由双方协商决定。</w:t>
      </w:r>
    </w:p>
    <w:p w14:paraId="4BE11353">
      <w:pPr>
        <w:tabs>
          <w:tab w:val="left" w:pos="840"/>
          <w:tab w:val="left" w:pos="1020"/>
        </w:tabs>
        <w:spacing w:line="336"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4.本项目货物如涉及柴油动力移动源，柴油动力移动源应当符合低排放要求。</w:t>
      </w:r>
    </w:p>
    <w:p w14:paraId="405AB6B4">
      <w:pPr>
        <w:spacing w:afterLines="50" w:line="336"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5、本合同一式</w:t>
      </w:r>
      <w:r>
        <w:rPr>
          <w:rFonts w:hint="eastAsia" w:ascii="宋体" w:hAnsi="宋体" w:cs="宋体"/>
          <w:b/>
          <w:color w:val="auto"/>
          <w:kern w:val="0"/>
          <w:sz w:val="24"/>
          <w:highlight w:val="none"/>
          <w:u w:val="single"/>
        </w:rPr>
        <w:t>　肆</w:t>
      </w:r>
      <w:r>
        <w:rPr>
          <w:rFonts w:hint="eastAsia" w:ascii="宋体" w:hAnsi="宋体" w:cs="宋体"/>
          <w:b/>
          <w:color w:val="auto"/>
          <w:kern w:val="0"/>
          <w:sz w:val="24"/>
          <w:highlight w:val="none"/>
        </w:rPr>
        <w:t>份，每份具有同等法律效力，甲方和乙方各执贰份，并由甲方在30日内做好政采云平台网上合同创建及备案。</w:t>
      </w:r>
    </w:p>
    <w:tbl>
      <w:tblPr>
        <w:tblStyle w:val="23"/>
        <w:tblW w:w="893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2983"/>
        <w:gridCol w:w="1434"/>
        <w:gridCol w:w="3083"/>
      </w:tblGrid>
      <w:tr w14:paraId="7A9E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433" w:type="dxa"/>
            <w:noWrap/>
            <w:vAlign w:val="center"/>
          </w:tcPr>
          <w:p w14:paraId="3CE4F103">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甲方</w:t>
            </w:r>
          </w:p>
          <w:p w14:paraId="5FD96A6B">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（盖章）</w:t>
            </w:r>
          </w:p>
        </w:tc>
        <w:tc>
          <w:tcPr>
            <w:tcW w:w="2983" w:type="dxa"/>
            <w:noWrap/>
            <w:vAlign w:val="center"/>
          </w:tcPr>
          <w:p w14:paraId="2067D91A">
            <w:pPr>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eastAsia="zh-CN"/>
              </w:rPr>
              <w:t>中国共产党绍兴市上虞区委员会办公室</w:t>
            </w:r>
          </w:p>
        </w:tc>
        <w:tc>
          <w:tcPr>
            <w:tcW w:w="1434" w:type="dxa"/>
            <w:noWrap/>
            <w:vAlign w:val="center"/>
          </w:tcPr>
          <w:p w14:paraId="40B35A3E">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乙方</w:t>
            </w:r>
          </w:p>
          <w:p w14:paraId="4E9A58CE">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（盖章）</w:t>
            </w:r>
          </w:p>
        </w:tc>
        <w:tc>
          <w:tcPr>
            <w:tcW w:w="3083" w:type="dxa"/>
            <w:noWrap/>
            <w:vAlign w:val="center"/>
          </w:tcPr>
          <w:p w14:paraId="05D041C5">
            <w:pPr>
              <w:snapToGrid w:val="0"/>
              <w:jc w:val="center"/>
              <w:rPr>
                <w:rFonts w:ascii="宋体" w:hAnsi="宋体" w:cs="宋体"/>
                <w:snapToGrid w:val="0"/>
                <w:color w:val="auto"/>
                <w:kern w:val="0"/>
                <w:sz w:val="24"/>
                <w:szCs w:val="24"/>
                <w:highlight w:val="none"/>
              </w:rPr>
            </w:pPr>
          </w:p>
        </w:tc>
      </w:tr>
      <w:tr w14:paraId="1F37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37948414">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代表签名</w:t>
            </w:r>
          </w:p>
        </w:tc>
        <w:tc>
          <w:tcPr>
            <w:tcW w:w="2983" w:type="dxa"/>
            <w:noWrap/>
            <w:vAlign w:val="center"/>
          </w:tcPr>
          <w:p w14:paraId="26F0EF7E">
            <w:pPr>
              <w:snapToGrid w:val="0"/>
              <w:jc w:val="center"/>
              <w:rPr>
                <w:rFonts w:ascii="宋体" w:hAnsi="宋体" w:cs="宋体"/>
                <w:snapToGrid w:val="0"/>
                <w:color w:val="auto"/>
                <w:kern w:val="0"/>
                <w:sz w:val="24"/>
                <w:szCs w:val="24"/>
                <w:highlight w:val="none"/>
              </w:rPr>
            </w:pPr>
          </w:p>
        </w:tc>
        <w:tc>
          <w:tcPr>
            <w:tcW w:w="1434" w:type="dxa"/>
            <w:noWrap/>
            <w:vAlign w:val="center"/>
          </w:tcPr>
          <w:p w14:paraId="628BFC66">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代表签名</w:t>
            </w:r>
          </w:p>
        </w:tc>
        <w:tc>
          <w:tcPr>
            <w:tcW w:w="3083" w:type="dxa"/>
            <w:noWrap/>
            <w:vAlign w:val="center"/>
          </w:tcPr>
          <w:p w14:paraId="221E6A25">
            <w:pPr>
              <w:snapToGrid w:val="0"/>
              <w:jc w:val="center"/>
              <w:rPr>
                <w:rFonts w:ascii="宋体" w:hAnsi="宋体" w:cs="宋体"/>
                <w:snapToGrid w:val="0"/>
                <w:color w:val="auto"/>
                <w:kern w:val="0"/>
                <w:sz w:val="24"/>
                <w:szCs w:val="24"/>
                <w:highlight w:val="none"/>
              </w:rPr>
            </w:pPr>
          </w:p>
        </w:tc>
      </w:tr>
      <w:tr w14:paraId="7999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2D01DA2D">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地址</w:t>
            </w:r>
          </w:p>
        </w:tc>
        <w:tc>
          <w:tcPr>
            <w:tcW w:w="2983" w:type="dxa"/>
            <w:noWrap/>
            <w:vAlign w:val="center"/>
          </w:tcPr>
          <w:p w14:paraId="2305A7EB">
            <w:pPr>
              <w:snapToGrid w:val="0"/>
              <w:jc w:val="center"/>
              <w:rPr>
                <w:rFonts w:ascii="宋体" w:hAnsi="宋体" w:cs="宋体"/>
                <w:snapToGrid w:val="0"/>
                <w:color w:val="auto"/>
                <w:kern w:val="0"/>
                <w:sz w:val="24"/>
                <w:szCs w:val="24"/>
                <w:highlight w:val="none"/>
              </w:rPr>
            </w:pPr>
          </w:p>
        </w:tc>
        <w:tc>
          <w:tcPr>
            <w:tcW w:w="1434" w:type="dxa"/>
            <w:noWrap/>
            <w:vAlign w:val="center"/>
          </w:tcPr>
          <w:p w14:paraId="6E2FD198">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地址</w:t>
            </w:r>
          </w:p>
        </w:tc>
        <w:tc>
          <w:tcPr>
            <w:tcW w:w="3083" w:type="dxa"/>
            <w:noWrap/>
            <w:vAlign w:val="center"/>
          </w:tcPr>
          <w:p w14:paraId="2022BC2E">
            <w:pPr>
              <w:snapToGrid w:val="0"/>
              <w:jc w:val="center"/>
              <w:rPr>
                <w:rFonts w:ascii="宋体" w:hAnsi="宋体" w:cs="宋体"/>
                <w:snapToGrid w:val="0"/>
                <w:color w:val="auto"/>
                <w:kern w:val="0"/>
                <w:sz w:val="24"/>
                <w:szCs w:val="24"/>
                <w:highlight w:val="none"/>
              </w:rPr>
            </w:pPr>
          </w:p>
        </w:tc>
      </w:tr>
      <w:tr w14:paraId="5461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52742421">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电话</w:t>
            </w:r>
          </w:p>
        </w:tc>
        <w:tc>
          <w:tcPr>
            <w:tcW w:w="2983" w:type="dxa"/>
            <w:noWrap/>
            <w:vAlign w:val="center"/>
          </w:tcPr>
          <w:p w14:paraId="20B7BD76">
            <w:pPr>
              <w:snapToGrid w:val="0"/>
              <w:jc w:val="center"/>
              <w:rPr>
                <w:rFonts w:ascii="宋体" w:hAnsi="宋体" w:cs="宋体"/>
                <w:snapToGrid w:val="0"/>
                <w:color w:val="auto"/>
                <w:kern w:val="0"/>
                <w:sz w:val="24"/>
                <w:szCs w:val="24"/>
                <w:highlight w:val="none"/>
              </w:rPr>
            </w:pPr>
          </w:p>
        </w:tc>
        <w:tc>
          <w:tcPr>
            <w:tcW w:w="1434" w:type="dxa"/>
            <w:noWrap/>
            <w:vAlign w:val="center"/>
          </w:tcPr>
          <w:p w14:paraId="1CD70B8E">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电话</w:t>
            </w:r>
          </w:p>
        </w:tc>
        <w:tc>
          <w:tcPr>
            <w:tcW w:w="3083" w:type="dxa"/>
            <w:noWrap/>
            <w:vAlign w:val="center"/>
          </w:tcPr>
          <w:p w14:paraId="0B15EAE8">
            <w:pPr>
              <w:snapToGrid w:val="0"/>
              <w:jc w:val="center"/>
              <w:rPr>
                <w:rFonts w:ascii="宋体" w:hAnsi="宋体" w:cs="宋体"/>
                <w:snapToGrid w:val="0"/>
                <w:color w:val="auto"/>
                <w:kern w:val="0"/>
                <w:sz w:val="24"/>
                <w:szCs w:val="24"/>
                <w:highlight w:val="none"/>
              </w:rPr>
            </w:pPr>
          </w:p>
        </w:tc>
      </w:tr>
      <w:tr w14:paraId="78B3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0F36D36D">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开户银行</w:t>
            </w:r>
          </w:p>
        </w:tc>
        <w:tc>
          <w:tcPr>
            <w:tcW w:w="2983" w:type="dxa"/>
            <w:noWrap/>
            <w:vAlign w:val="center"/>
          </w:tcPr>
          <w:p w14:paraId="6B3B29A5">
            <w:pPr>
              <w:snapToGrid w:val="0"/>
              <w:jc w:val="center"/>
              <w:rPr>
                <w:rFonts w:ascii="宋体" w:hAnsi="宋体" w:cs="宋体"/>
                <w:snapToGrid w:val="0"/>
                <w:color w:val="auto"/>
                <w:kern w:val="0"/>
                <w:sz w:val="24"/>
                <w:szCs w:val="24"/>
                <w:highlight w:val="none"/>
              </w:rPr>
            </w:pPr>
          </w:p>
        </w:tc>
        <w:tc>
          <w:tcPr>
            <w:tcW w:w="1434" w:type="dxa"/>
            <w:noWrap/>
            <w:vAlign w:val="center"/>
          </w:tcPr>
          <w:p w14:paraId="747B9247">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开户银行</w:t>
            </w:r>
          </w:p>
        </w:tc>
        <w:tc>
          <w:tcPr>
            <w:tcW w:w="3083" w:type="dxa"/>
            <w:noWrap/>
            <w:vAlign w:val="center"/>
          </w:tcPr>
          <w:p w14:paraId="0CE0F2B0">
            <w:pPr>
              <w:snapToGrid w:val="0"/>
              <w:jc w:val="center"/>
              <w:rPr>
                <w:rFonts w:ascii="宋体" w:hAnsi="宋体" w:cs="宋体"/>
                <w:snapToGrid w:val="0"/>
                <w:color w:val="auto"/>
                <w:kern w:val="0"/>
                <w:sz w:val="24"/>
                <w:szCs w:val="24"/>
                <w:highlight w:val="none"/>
              </w:rPr>
            </w:pPr>
          </w:p>
        </w:tc>
      </w:tr>
      <w:tr w14:paraId="33D0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15930A9A">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账号</w:t>
            </w:r>
          </w:p>
        </w:tc>
        <w:tc>
          <w:tcPr>
            <w:tcW w:w="2983" w:type="dxa"/>
            <w:noWrap/>
            <w:vAlign w:val="center"/>
          </w:tcPr>
          <w:p w14:paraId="3D2FC001">
            <w:pPr>
              <w:snapToGrid w:val="0"/>
              <w:jc w:val="center"/>
              <w:rPr>
                <w:rFonts w:ascii="宋体" w:hAnsi="宋体" w:cs="宋体"/>
                <w:snapToGrid w:val="0"/>
                <w:color w:val="auto"/>
                <w:kern w:val="0"/>
                <w:sz w:val="24"/>
                <w:szCs w:val="24"/>
                <w:highlight w:val="none"/>
              </w:rPr>
            </w:pPr>
          </w:p>
        </w:tc>
        <w:tc>
          <w:tcPr>
            <w:tcW w:w="1434" w:type="dxa"/>
            <w:noWrap/>
            <w:vAlign w:val="center"/>
          </w:tcPr>
          <w:p w14:paraId="54E5FE25">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账号</w:t>
            </w:r>
          </w:p>
        </w:tc>
        <w:tc>
          <w:tcPr>
            <w:tcW w:w="3083" w:type="dxa"/>
            <w:noWrap/>
            <w:vAlign w:val="center"/>
          </w:tcPr>
          <w:p w14:paraId="14152FA1">
            <w:pPr>
              <w:snapToGrid w:val="0"/>
              <w:jc w:val="center"/>
              <w:rPr>
                <w:rFonts w:ascii="宋体" w:hAnsi="宋体" w:cs="宋体"/>
                <w:snapToGrid w:val="0"/>
                <w:color w:val="auto"/>
                <w:kern w:val="0"/>
                <w:sz w:val="24"/>
                <w:szCs w:val="24"/>
                <w:highlight w:val="none"/>
              </w:rPr>
            </w:pPr>
          </w:p>
        </w:tc>
      </w:tr>
      <w:tr w14:paraId="4B72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62297372">
            <w:pPr>
              <w:snapToGrid w:val="0"/>
              <w:jc w:val="center"/>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签订日期</w:t>
            </w:r>
          </w:p>
        </w:tc>
        <w:tc>
          <w:tcPr>
            <w:tcW w:w="7500" w:type="dxa"/>
            <w:gridSpan w:val="3"/>
            <w:noWrap/>
            <w:vAlign w:val="center"/>
          </w:tcPr>
          <w:p w14:paraId="41015AE9">
            <w:pPr>
              <w:snapToGrid w:val="0"/>
              <w:jc w:val="center"/>
              <w:rPr>
                <w:rFonts w:ascii="宋体" w:hAnsi="宋体" w:cs="宋体"/>
                <w:snapToGrid w:val="0"/>
                <w:color w:val="auto"/>
                <w:kern w:val="0"/>
                <w:sz w:val="24"/>
                <w:szCs w:val="24"/>
                <w:highlight w:val="none"/>
              </w:rPr>
            </w:pPr>
          </w:p>
        </w:tc>
      </w:tr>
    </w:tbl>
    <w:p w14:paraId="767278F5">
      <w:pPr>
        <w:rPr>
          <w:rFonts w:hint="eastAsia" w:ascii="宋体" w:hAnsi="宋体" w:cs="宋体"/>
          <w:color w:val="auto"/>
          <w:highlight w:val="none"/>
        </w:rPr>
      </w:pPr>
      <w:r>
        <w:rPr>
          <w:rFonts w:hint="eastAsia" w:ascii="宋体" w:hAnsi="宋体" w:cs="宋体"/>
          <w:color w:val="auto"/>
          <w:highlight w:val="none"/>
        </w:rPr>
        <w:br w:type="page"/>
      </w:r>
    </w:p>
    <w:p w14:paraId="61601618">
      <w:pPr>
        <w:pStyle w:val="6"/>
        <w:rPr>
          <w:rFonts w:ascii="宋体" w:hAnsi="宋体" w:cs="宋体"/>
          <w:color w:val="auto"/>
          <w:highlight w:val="none"/>
        </w:rPr>
      </w:pPr>
      <w:bookmarkStart w:id="92" w:name="_Toc25951"/>
      <w:r>
        <w:rPr>
          <w:rFonts w:hint="eastAsia" w:ascii="宋体" w:hAnsi="宋体" w:cs="宋体"/>
          <w:color w:val="auto"/>
          <w:highlight w:val="none"/>
        </w:rPr>
        <w:t>第六部分应提交的有关格式范例</w:t>
      </w:r>
      <w:bookmarkEnd w:id="89"/>
      <w:bookmarkEnd w:id="90"/>
      <w:bookmarkEnd w:id="92"/>
    </w:p>
    <w:p w14:paraId="38FECC8E">
      <w:pPr>
        <w:rPr>
          <w:rFonts w:ascii="宋体" w:hAnsi="宋体" w:cs="宋体"/>
          <w:color w:val="auto"/>
          <w:highlight w:val="none"/>
        </w:rPr>
      </w:pPr>
    </w:p>
    <w:p w14:paraId="77FCD52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供应商按照以下格式编制响应文件，</w:t>
      </w:r>
      <w:r>
        <w:rPr>
          <w:rFonts w:hint="eastAsia" w:ascii="宋体" w:hAnsi="宋体" w:cs="宋体"/>
          <w:b/>
          <w:bCs/>
          <w:color w:val="auto"/>
          <w:sz w:val="24"/>
          <w:szCs w:val="24"/>
          <w:highlight w:val="none"/>
        </w:rPr>
        <w:t>“资格文件”、“商务技术文件”、“报价文件”须分3个PDF格式分别导入。</w:t>
      </w:r>
    </w:p>
    <w:p w14:paraId="0EBEBE32">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35A70FE8">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0B36660B">
      <w:pPr>
        <w:spacing w:line="360" w:lineRule="auto"/>
        <w:jc w:val="center"/>
        <w:rPr>
          <w:rFonts w:ascii="宋体" w:hAnsi="宋体" w:cs="宋体"/>
          <w:b/>
          <w:bCs/>
          <w:color w:val="auto"/>
          <w:sz w:val="24"/>
          <w:szCs w:val="24"/>
          <w:highlight w:val="none"/>
        </w:rPr>
      </w:pPr>
    </w:p>
    <w:p w14:paraId="20653B29">
      <w:pPr>
        <w:spacing w:line="360" w:lineRule="auto"/>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资格文件部分</w:t>
      </w:r>
    </w:p>
    <w:p w14:paraId="3BB07235">
      <w:pPr>
        <w:spacing w:line="360" w:lineRule="auto"/>
        <w:jc w:val="center"/>
        <w:rPr>
          <w:rFonts w:ascii="宋体" w:hAnsi="宋体" w:cs="宋体"/>
          <w:b/>
          <w:bCs/>
          <w:color w:val="auto"/>
          <w:kern w:val="0"/>
          <w:sz w:val="36"/>
          <w:szCs w:val="36"/>
          <w:highlight w:val="none"/>
        </w:rPr>
      </w:pPr>
    </w:p>
    <w:p w14:paraId="0DFDB437">
      <w:pPr>
        <w:spacing w:line="360" w:lineRule="auto"/>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目录</w:t>
      </w:r>
    </w:p>
    <w:p w14:paraId="2229DE0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（1）法定代表人授权书；（格式见附件）</w:t>
      </w:r>
    </w:p>
    <w:p w14:paraId="687EEA5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14:paraId="0BDE20E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DC0607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（3）具有履行合同所必需的产品和专业技术能力的承诺函；</w:t>
      </w:r>
    </w:p>
    <w:p w14:paraId="3F20078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（4）投标人承诺函</w:t>
      </w:r>
      <w:r>
        <w:rPr>
          <w:rFonts w:hint="eastAsia" w:ascii="宋体" w:hAnsi="宋体" w:cs="宋体"/>
          <w:color w:val="auto"/>
          <w:sz w:val="24"/>
          <w:szCs w:val="24"/>
          <w:highlight w:val="none"/>
          <w:lang w:eastAsia="zh-CN"/>
        </w:rPr>
        <w:t>；</w:t>
      </w:r>
    </w:p>
    <w:p w14:paraId="5DF7848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（5）中小企业声明函（格式见附件）；</w:t>
      </w:r>
    </w:p>
    <w:p w14:paraId="1DC765E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（6）残疾人福利性单位声明函(如有)（格式见附件）；</w:t>
      </w:r>
    </w:p>
    <w:p w14:paraId="519B046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（7）监狱企业证明文件(如有)（格式见附件）。</w:t>
      </w:r>
    </w:p>
    <w:p w14:paraId="330BDF6F">
      <w:pPr>
        <w:pStyle w:val="7"/>
        <w:rPr>
          <w:color w:val="auto"/>
          <w:highlight w:val="none"/>
        </w:rPr>
      </w:pPr>
    </w:p>
    <w:p w14:paraId="1C00EE5B">
      <w:pPr>
        <w:pStyle w:val="3"/>
        <w:ind w:firstLine="486"/>
        <w:rPr>
          <w:color w:val="auto"/>
          <w:highlight w:val="none"/>
        </w:rPr>
      </w:pPr>
    </w:p>
    <w:p w14:paraId="12135C4D">
      <w:pPr>
        <w:pStyle w:val="34"/>
        <w:rPr>
          <w:rFonts w:hAnsi="宋体"/>
          <w:color w:val="auto"/>
          <w:highlight w:val="none"/>
        </w:rPr>
      </w:pPr>
    </w:p>
    <w:p w14:paraId="1C0ED911">
      <w:pPr>
        <w:pStyle w:val="34"/>
        <w:rPr>
          <w:rFonts w:hAnsi="宋体"/>
          <w:color w:val="auto"/>
          <w:highlight w:val="none"/>
        </w:rPr>
      </w:pPr>
    </w:p>
    <w:p w14:paraId="6FE34BFE">
      <w:pPr>
        <w:pStyle w:val="34"/>
        <w:rPr>
          <w:rFonts w:hAnsi="宋体"/>
          <w:color w:val="auto"/>
          <w:highlight w:val="none"/>
        </w:rPr>
      </w:pPr>
    </w:p>
    <w:p w14:paraId="537A0005">
      <w:pPr>
        <w:rPr>
          <w:rFonts w:ascii="宋体" w:hAnsi="宋体" w:cs="宋体"/>
          <w:color w:val="auto"/>
          <w:highlight w:val="none"/>
        </w:rPr>
      </w:pPr>
    </w:p>
    <w:p w14:paraId="0B45B0C2">
      <w:pPr>
        <w:pStyle w:val="10"/>
        <w:rPr>
          <w:rFonts w:ascii="宋体" w:hAnsi="宋体" w:eastAsia="宋体" w:cs="宋体"/>
          <w:color w:val="auto"/>
          <w:highlight w:val="none"/>
        </w:rPr>
      </w:pPr>
    </w:p>
    <w:p w14:paraId="34730E31">
      <w:pPr>
        <w:rPr>
          <w:rFonts w:ascii="宋体" w:hAnsi="宋体" w:cs="宋体"/>
          <w:color w:val="auto"/>
          <w:highlight w:val="none"/>
        </w:rPr>
      </w:pPr>
    </w:p>
    <w:p w14:paraId="2F057539">
      <w:pPr>
        <w:snapToGrid w:val="0"/>
        <w:spacing w:before="50" w:afterLines="50"/>
        <w:jc w:val="left"/>
        <w:rPr>
          <w:rFonts w:ascii="宋体" w:hAnsi="宋体" w:cs="宋体"/>
          <w:b/>
          <w:bCs/>
          <w:color w:val="auto"/>
          <w:sz w:val="24"/>
          <w:szCs w:val="24"/>
          <w:highlight w:val="none"/>
          <w:lang w:val="zh-CN"/>
        </w:rPr>
      </w:pPr>
      <w:bookmarkStart w:id="93" w:name="_Toc24699"/>
      <w:r>
        <w:rPr>
          <w:rFonts w:hint="eastAsia" w:ascii="宋体" w:hAnsi="宋体" w:cs="宋体"/>
          <w:b/>
          <w:bCs/>
          <w:color w:val="auto"/>
          <w:sz w:val="24"/>
          <w:szCs w:val="24"/>
          <w:highlight w:val="none"/>
          <w:lang w:val="zh-CN"/>
        </w:rPr>
        <w:t>附件一：</w:t>
      </w:r>
    </w:p>
    <w:p w14:paraId="462B332E">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法定代表人授权书</w:t>
      </w:r>
      <w:bookmarkEnd w:id="93"/>
    </w:p>
    <w:p w14:paraId="63694248">
      <w:pPr>
        <w:pStyle w:val="8"/>
        <w:spacing w:line="360" w:lineRule="auto"/>
        <w:rPr>
          <w:rFonts w:ascii="宋体" w:hAnsi="宋体" w:cs="宋体"/>
          <w:color w:val="auto"/>
          <w:highlight w:val="none"/>
        </w:rPr>
      </w:pPr>
    </w:p>
    <w:p w14:paraId="4797241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中国共产党绍兴市上虞区委员会办公室</w:t>
      </w:r>
      <w:r>
        <w:rPr>
          <w:rFonts w:hint="eastAsia" w:ascii="宋体" w:hAnsi="宋体" w:cs="宋体"/>
          <w:color w:val="auto"/>
          <w:sz w:val="24"/>
          <w:szCs w:val="24"/>
          <w:highlight w:val="none"/>
        </w:rPr>
        <w:t>：</w:t>
      </w:r>
    </w:p>
    <w:p w14:paraId="41AD44C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绍兴成言工程咨询管理有限公司：</w:t>
      </w:r>
    </w:p>
    <w:p w14:paraId="3CC4DA6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（供应商全称）</w:t>
      </w:r>
      <w:r>
        <w:rPr>
          <w:rFonts w:hint="eastAsia" w:ascii="宋体" w:hAnsi="宋体" w:cs="宋体"/>
          <w:color w:val="auto"/>
          <w:sz w:val="24"/>
          <w:szCs w:val="24"/>
          <w:highlight w:val="none"/>
        </w:rPr>
        <w:t>法定代表人授权</w:t>
      </w:r>
      <w:r>
        <w:rPr>
          <w:rFonts w:hint="eastAsia" w:ascii="宋体" w:hAnsi="宋体" w:cs="宋体"/>
          <w:color w:val="auto"/>
          <w:sz w:val="24"/>
          <w:szCs w:val="24"/>
          <w:highlight w:val="none"/>
          <w:u w:val="single"/>
        </w:rPr>
        <w:t>（授权代表名称）</w:t>
      </w:r>
      <w:r>
        <w:rPr>
          <w:rFonts w:hint="eastAsia" w:ascii="宋体" w:hAnsi="宋体" w:cs="宋体"/>
          <w:color w:val="auto"/>
          <w:sz w:val="24"/>
          <w:szCs w:val="24"/>
          <w:highlight w:val="none"/>
        </w:rPr>
        <w:t>为授权代表，参加贵处组织的项目</w:t>
      </w:r>
      <w:r>
        <w:rPr>
          <w:rFonts w:hint="eastAsia" w:ascii="宋体" w:hAnsi="宋体" w:cs="宋体"/>
          <w:color w:val="auto"/>
          <w:sz w:val="24"/>
          <w:szCs w:val="24"/>
          <w:highlight w:val="none"/>
          <w:u w:val="single"/>
        </w:rPr>
        <w:t>（括号内填写招标编号）</w:t>
      </w:r>
      <w:r>
        <w:rPr>
          <w:rFonts w:hint="eastAsia" w:ascii="宋体" w:hAnsi="宋体" w:cs="宋体"/>
          <w:color w:val="auto"/>
          <w:sz w:val="24"/>
          <w:szCs w:val="24"/>
          <w:highlight w:val="none"/>
        </w:rPr>
        <w:t>，授权处理招投标活动中的一切事宜。</w:t>
      </w:r>
    </w:p>
    <w:p w14:paraId="5FAAF3A6">
      <w:pPr>
        <w:spacing w:line="360" w:lineRule="auto"/>
        <w:ind w:firstLine="480" w:firstLineChars="200"/>
        <w:rPr>
          <w:rFonts w:ascii="宋体" w:hAnsi="宋体" w:cs="宋体"/>
          <w:color w:val="auto"/>
          <w:sz w:val="24"/>
          <w:szCs w:val="24"/>
          <w:highlight w:val="none"/>
        </w:rPr>
      </w:pPr>
    </w:p>
    <w:p w14:paraId="7DF3CF7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法定代表人签字：</w:t>
      </w:r>
    </w:p>
    <w:p w14:paraId="4F00167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供应商全称：（盖章）</w:t>
      </w:r>
    </w:p>
    <w:p w14:paraId="616CA14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7978133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w:t>
      </w:r>
    </w:p>
    <w:p w14:paraId="199E54B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授权代表姓名：</w:t>
      </w:r>
    </w:p>
    <w:p w14:paraId="0CC6992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职务：</w:t>
      </w:r>
    </w:p>
    <w:p w14:paraId="35227EA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详细通讯地址：</w:t>
      </w:r>
    </w:p>
    <w:p w14:paraId="6D2845D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传真：</w:t>
      </w:r>
    </w:p>
    <w:p w14:paraId="1983DAF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电话：</w:t>
      </w:r>
    </w:p>
    <w:p w14:paraId="4A35245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邮政编码：</w:t>
      </w:r>
    </w:p>
    <w:p w14:paraId="436BFDB2">
      <w:pPr>
        <w:pStyle w:val="14"/>
        <w:snapToGrid w:val="0"/>
        <w:spacing w:line="360" w:lineRule="auto"/>
        <w:rPr>
          <w:rFonts w:hAnsi="宋体"/>
          <w:color w:val="auto"/>
          <w:sz w:val="24"/>
          <w:szCs w:val="24"/>
          <w:highlight w:val="none"/>
        </w:rPr>
      </w:pPr>
    </w:p>
    <w:p w14:paraId="23F5B68E">
      <w:pPr>
        <w:pStyle w:val="14"/>
        <w:snapToGrid w:val="0"/>
        <w:spacing w:line="360" w:lineRule="auto"/>
        <w:rPr>
          <w:rFonts w:hAnsi="宋体"/>
          <w:color w:val="auto"/>
          <w:sz w:val="24"/>
          <w:szCs w:val="24"/>
          <w:highlight w:val="none"/>
        </w:rPr>
      </w:pPr>
    </w:p>
    <w:p w14:paraId="11192BB1">
      <w:pPr>
        <w:pStyle w:val="14"/>
        <w:snapToGrid w:val="0"/>
        <w:spacing w:line="360" w:lineRule="auto"/>
        <w:rPr>
          <w:rFonts w:hAnsi="宋体"/>
          <w:color w:val="auto"/>
          <w:sz w:val="24"/>
          <w:szCs w:val="24"/>
          <w:highlight w:val="none"/>
        </w:rPr>
      </w:pPr>
    </w:p>
    <w:p w14:paraId="6BE781E7">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附：授权代表身份证复印件（正反面）</w:t>
      </w:r>
    </w:p>
    <w:p w14:paraId="28B32D77">
      <w:pPr>
        <w:spacing w:line="360" w:lineRule="auto"/>
        <w:rPr>
          <w:rFonts w:ascii="宋体" w:hAnsi="宋体" w:cs="宋体"/>
          <w:b/>
          <w:bCs/>
          <w:color w:val="auto"/>
          <w:sz w:val="24"/>
          <w:szCs w:val="24"/>
          <w:highlight w:val="none"/>
        </w:rPr>
      </w:pPr>
    </w:p>
    <w:p w14:paraId="09325990">
      <w:pPr>
        <w:pStyle w:val="3"/>
        <w:ind w:firstLine="486"/>
        <w:rPr>
          <w:color w:val="auto"/>
          <w:highlight w:val="none"/>
        </w:rPr>
      </w:pPr>
    </w:p>
    <w:p w14:paraId="5CBE811E">
      <w:pPr>
        <w:snapToGrid w:val="0"/>
        <w:spacing w:before="50" w:afterLines="5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rPr>
        <w:br w:type="page"/>
      </w:r>
      <w:r>
        <w:rPr>
          <w:rFonts w:hint="eastAsia" w:ascii="宋体" w:hAnsi="宋体" w:cs="宋体"/>
          <w:b/>
          <w:bCs/>
          <w:color w:val="auto"/>
          <w:sz w:val="24"/>
          <w:szCs w:val="24"/>
          <w:highlight w:val="none"/>
          <w:lang w:val="zh-CN"/>
        </w:rPr>
        <w:t>附件二：</w:t>
      </w:r>
    </w:p>
    <w:p w14:paraId="19E15937">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投标人承诺函</w:t>
      </w:r>
    </w:p>
    <w:p w14:paraId="1E370FBD">
      <w:pPr>
        <w:spacing w:line="360" w:lineRule="auto"/>
        <w:ind w:firstLine="420" w:firstLineChars="200"/>
        <w:rPr>
          <w:rFonts w:ascii="宋体" w:hAnsi="宋体" w:cs="宋体"/>
          <w:color w:val="auto"/>
          <w:highlight w:val="none"/>
        </w:rPr>
      </w:pPr>
    </w:p>
    <w:p w14:paraId="3E41F11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中国共产党绍兴市上虞区委员会办公室</w:t>
      </w:r>
      <w:r>
        <w:rPr>
          <w:rFonts w:hint="eastAsia" w:ascii="宋体" w:hAnsi="宋体" w:cs="宋体"/>
          <w:color w:val="auto"/>
          <w:sz w:val="24"/>
          <w:szCs w:val="24"/>
          <w:highlight w:val="none"/>
        </w:rPr>
        <w:t>：</w:t>
      </w:r>
    </w:p>
    <w:p w14:paraId="21B5AE4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绍兴成言工程咨询管理有限公司：</w:t>
      </w:r>
    </w:p>
    <w:p w14:paraId="70529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p>
    <w:p w14:paraId="4580E0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（招标项目名称）（编号为）</w:t>
      </w:r>
      <w:r>
        <w:rPr>
          <w:rFonts w:hint="eastAsia" w:ascii="宋体" w:hAnsi="宋体" w:cs="宋体"/>
          <w:color w:val="auto"/>
          <w:sz w:val="24"/>
          <w:highlight w:val="none"/>
        </w:rPr>
        <w:t>的投标，为此，我方就本次投标有关事项郑重承诺如下：</w:t>
      </w:r>
    </w:p>
    <w:p w14:paraId="6F2450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1、我方已详细审查全部招标文件，同意招标文件的各项要求。</w:t>
      </w:r>
    </w:p>
    <w:p w14:paraId="55AB6D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2、我方向贵方提交的所有投标文件、资料都是准确的和真实的。</w:t>
      </w:r>
    </w:p>
    <w:p w14:paraId="50424A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3、若中标，我方将按招标文件规定履行合同责任和义务。</w:t>
      </w:r>
    </w:p>
    <w:p w14:paraId="3E352A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4、我方不是采购人的附属机构；在获知本项目采购信息后，与采购人聘请的为此项目提供咨询服务的公司及其附属机构没有任何联系。</w:t>
      </w:r>
    </w:p>
    <w:p w14:paraId="7D29CC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14:paraId="467B83F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6、我方参与本项目前3年内的经营活动中没有重大违法记录</w:t>
      </w:r>
      <w:r>
        <w:rPr>
          <w:rFonts w:hint="eastAsia" w:ascii="宋体" w:hAnsi="宋体" w:cs="宋体"/>
          <w:color w:val="auto"/>
          <w:sz w:val="24"/>
          <w:highlight w:val="none"/>
          <w:lang w:eastAsia="zh-CN"/>
        </w:rPr>
        <w:t>。</w:t>
      </w:r>
    </w:p>
    <w:p w14:paraId="56B75C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361C73AD">
      <w:pPr>
        <w:pStyle w:val="36"/>
        <w:spacing w:before="0"/>
        <w:ind w:firstLine="480"/>
        <w:jc w:val="left"/>
        <w:rPr>
          <w:rFonts w:hint="eastAsia" w:ascii="宋体" w:hAnsi="宋体" w:eastAsia="宋体" w:cs="宋体"/>
          <w:color w:val="auto"/>
          <w:highlight w:val="none"/>
          <w:lang w:eastAsia="zh-CN"/>
        </w:rPr>
      </w:pPr>
      <w:r>
        <w:rPr>
          <w:rFonts w:hint="eastAsia" w:ascii="宋体" w:hAnsi="宋体" w:cs="宋体"/>
          <w:color w:val="auto"/>
          <w:highlight w:val="none"/>
        </w:rPr>
        <w:t>8、具有良好的商业信誉和健全的财务会计制度</w:t>
      </w:r>
      <w:r>
        <w:rPr>
          <w:rFonts w:hint="eastAsia" w:ascii="宋体" w:hAnsi="宋体" w:cs="宋体"/>
          <w:color w:val="auto"/>
          <w:highlight w:val="none"/>
          <w:lang w:eastAsia="zh-CN"/>
        </w:rPr>
        <w:t>。</w:t>
      </w:r>
    </w:p>
    <w:p w14:paraId="3057E8C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9、具有依法缴纳税收和社会保障资金的良好记录</w:t>
      </w:r>
      <w:r>
        <w:rPr>
          <w:rFonts w:hint="eastAsia" w:ascii="宋体" w:hAnsi="宋体" w:cs="宋体"/>
          <w:color w:val="auto"/>
          <w:sz w:val="24"/>
          <w:highlight w:val="none"/>
          <w:lang w:eastAsia="zh-CN"/>
        </w:rPr>
        <w:t>。</w:t>
      </w:r>
    </w:p>
    <w:p w14:paraId="3A06B03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10、以上事项如有虚假或隐瞒，我方愿意承担一切后果，并不再寻求任何旨在减轻或免除法律责任的辩解。</w:t>
      </w:r>
    </w:p>
    <w:p w14:paraId="2CB89DCE">
      <w:pPr>
        <w:pStyle w:val="3"/>
        <w:rPr>
          <w:color w:val="auto"/>
          <w:highlight w:val="none"/>
        </w:rPr>
      </w:pPr>
    </w:p>
    <w:p w14:paraId="3FA9BBDF">
      <w:pPr>
        <w:pStyle w:val="3"/>
        <w:rPr>
          <w:color w:val="auto"/>
          <w:highlight w:val="none"/>
        </w:rPr>
      </w:pPr>
    </w:p>
    <w:p w14:paraId="2EE8AD9B">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4897B9D9">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1D4E6A08">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73B6726A">
      <w:pPr>
        <w:spacing w:line="360" w:lineRule="auto"/>
        <w:jc w:val="left"/>
        <w:rPr>
          <w:rFonts w:ascii="宋体" w:hAnsi="宋体" w:cs="宋体"/>
          <w:b/>
          <w:bCs/>
          <w:color w:val="auto"/>
          <w:sz w:val="24"/>
          <w:szCs w:val="24"/>
          <w:highlight w:val="none"/>
          <w:lang w:val="zh-CN"/>
        </w:rPr>
      </w:pPr>
    </w:p>
    <w:p w14:paraId="04102A2A">
      <w:pPr>
        <w:spacing w:line="360" w:lineRule="auto"/>
        <w:jc w:val="left"/>
        <w:rPr>
          <w:rFonts w:ascii="宋体" w:hAnsi="宋体" w:cs="宋体"/>
          <w:b/>
          <w:bCs/>
          <w:color w:val="auto"/>
          <w:sz w:val="32"/>
          <w:szCs w:val="32"/>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三</w:t>
      </w:r>
      <w:r>
        <w:rPr>
          <w:rFonts w:hint="eastAsia" w:ascii="宋体" w:hAnsi="宋体" w:cs="宋体"/>
          <w:b/>
          <w:bCs/>
          <w:color w:val="auto"/>
          <w:sz w:val="24"/>
          <w:szCs w:val="24"/>
          <w:highlight w:val="none"/>
          <w:lang w:val="zh-CN"/>
        </w:rPr>
        <w:t>：</w:t>
      </w:r>
    </w:p>
    <w:p w14:paraId="1D273D94">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中小企业声明函</w:t>
      </w:r>
    </w:p>
    <w:p w14:paraId="0B5DB289">
      <w:pPr>
        <w:widowControl/>
        <w:snapToGrid w:val="0"/>
        <w:spacing w:line="324" w:lineRule="auto"/>
        <w:ind w:firstLine="480" w:firstLineChars="200"/>
        <w:jc w:val="center"/>
        <w:rPr>
          <w:rFonts w:ascii="宋体" w:hAnsi="宋体" w:cs="宋体"/>
          <w:color w:val="auto"/>
          <w:kern w:val="0"/>
          <w:sz w:val="24"/>
          <w:szCs w:val="24"/>
          <w:highlight w:val="none"/>
        </w:rPr>
      </w:pPr>
    </w:p>
    <w:p w14:paraId="0F8FA254">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采购活动，服务全部由符合政策要求的中小企业承接（或者：工程的施工单位全部为符合政策要求的中小企业）。相关企业（含联合体中的中小企业、签订分包意向协议的中小企业）的具体情况如下：</w:t>
      </w:r>
    </w:p>
    <w:p w14:paraId="052EDE3E">
      <w:pPr>
        <w:spacing w:line="288"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其他未列明行业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，从业人员人，营业收入为万元，资产总额为万元 ，属于</w:t>
      </w:r>
      <w:r>
        <w:rPr>
          <w:rFonts w:hint="eastAsia" w:ascii="宋体" w:hAnsi="宋体" w:cs="宋体"/>
          <w:color w:val="auto"/>
          <w:sz w:val="24"/>
          <w:szCs w:val="24"/>
          <w:highlight w:val="none"/>
          <w:u w:val="single"/>
        </w:rPr>
        <w:t xml:space="preserve">       （中型企业、小型企业、微型企业）</w:t>
      </w:r>
      <w:r>
        <w:rPr>
          <w:rFonts w:hint="eastAsia" w:ascii="宋体" w:hAnsi="宋体" w:cs="宋体"/>
          <w:color w:val="auto"/>
          <w:sz w:val="24"/>
          <w:szCs w:val="24"/>
          <w:highlight w:val="none"/>
        </w:rPr>
        <w:t xml:space="preserve"> ；</w:t>
      </w:r>
    </w:p>
    <w:p w14:paraId="14137E59">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7F2186D4">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1CD11BB1">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59FEAAF8">
      <w:pPr>
        <w:spacing w:line="288" w:lineRule="auto"/>
        <w:ind w:right="420" w:firstLine="4320" w:firstLineChars="1800"/>
        <w:rPr>
          <w:rFonts w:ascii="宋体" w:hAnsi="宋体" w:cs="宋体"/>
          <w:color w:val="auto"/>
          <w:sz w:val="24"/>
          <w:szCs w:val="24"/>
          <w:highlight w:val="none"/>
        </w:rPr>
      </w:pPr>
    </w:p>
    <w:p w14:paraId="7C6CAA73">
      <w:pPr>
        <w:spacing w:line="288" w:lineRule="auto"/>
        <w:ind w:right="420" w:firstLine="4320" w:firstLineChars="1800"/>
        <w:rPr>
          <w:rFonts w:ascii="宋体" w:hAnsi="宋体" w:cs="宋体"/>
          <w:color w:val="auto"/>
          <w:sz w:val="24"/>
          <w:szCs w:val="24"/>
          <w:highlight w:val="none"/>
        </w:rPr>
      </w:pPr>
    </w:p>
    <w:p w14:paraId="5FE1E109">
      <w:pPr>
        <w:spacing w:line="288" w:lineRule="auto"/>
        <w:ind w:right="420" w:firstLine="4800" w:firstLineChars="2000"/>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14:paraId="7F9DE977">
      <w:pPr>
        <w:spacing w:line="288" w:lineRule="auto"/>
        <w:ind w:left="3780" w:leftChars="1800"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5FDB1B9E">
      <w:pPr>
        <w:pStyle w:val="8"/>
        <w:spacing w:line="288" w:lineRule="auto"/>
        <w:rPr>
          <w:rFonts w:ascii="宋体" w:hAnsi="宋体" w:cs="宋体"/>
          <w:color w:val="auto"/>
          <w:sz w:val="24"/>
          <w:szCs w:val="24"/>
          <w:highlight w:val="none"/>
        </w:rPr>
      </w:pPr>
    </w:p>
    <w:p w14:paraId="728A96B9">
      <w:pPr>
        <w:spacing w:line="288" w:lineRule="auto"/>
        <w:ind w:firstLine="480" w:firstLineChars="200"/>
        <w:jc w:val="left"/>
        <w:rPr>
          <w:rFonts w:ascii="宋体" w:hAnsi="宋体" w:cs="宋体"/>
          <w:color w:val="auto"/>
          <w:sz w:val="24"/>
          <w:szCs w:val="24"/>
          <w:highlight w:val="none"/>
        </w:rPr>
      </w:pPr>
    </w:p>
    <w:p w14:paraId="7DE4173C">
      <w:pPr>
        <w:spacing w:line="288" w:lineRule="auto"/>
        <w:ind w:firstLine="480" w:firstLineChars="200"/>
        <w:jc w:val="left"/>
        <w:rPr>
          <w:rFonts w:ascii="宋体" w:hAnsi="宋体" w:cs="宋体"/>
          <w:color w:val="auto"/>
          <w:sz w:val="24"/>
          <w:szCs w:val="24"/>
          <w:highlight w:val="none"/>
        </w:rPr>
      </w:pPr>
    </w:p>
    <w:p w14:paraId="7A68196B">
      <w:pPr>
        <w:spacing w:line="288" w:lineRule="auto"/>
        <w:ind w:firstLine="480" w:firstLineChars="200"/>
        <w:jc w:val="left"/>
        <w:rPr>
          <w:rFonts w:ascii="宋体" w:hAnsi="宋体" w:cs="宋体"/>
          <w:color w:val="auto"/>
          <w:sz w:val="24"/>
          <w:szCs w:val="24"/>
          <w:highlight w:val="none"/>
        </w:rPr>
      </w:pPr>
    </w:p>
    <w:p w14:paraId="76F9950B">
      <w:pPr>
        <w:spacing w:line="288"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注：从业人员、营业收入、资产总额填报上一年度数据，无上一年度数据的新成立企业可不填报。</w:t>
      </w:r>
    </w:p>
    <w:p w14:paraId="23BB8831">
      <w:pPr>
        <w:widowControl/>
        <w:snapToGrid w:val="0"/>
        <w:spacing w:line="324" w:lineRule="auto"/>
        <w:ind w:firstLine="480" w:firstLineChars="200"/>
        <w:jc w:val="left"/>
        <w:rPr>
          <w:rFonts w:ascii="宋体" w:hAnsi="宋体" w:cs="宋体"/>
          <w:color w:val="auto"/>
          <w:sz w:val="24"/>
          <w:szCs w:val="24"/>
          <w:highlight w:val="none"/>
        </w:rPr>
      </w:pPr>
    </w:p>
    <w:p w14:paraId="2B0DBD9F">
      <w:pPr>
        <w:pStyle w:val="7"/>
        <w:spacing w:line="360" w:lineRule="auto"/>
        <w:rPr>
          <w:color w:val="auto"/>
          <w:sz w:val="24"/>
          <w:szCs w:val="24"/>
          <w:highlight w:val="none"/>
        </w:rPr>
      </w:pPr>
    </w:p>
    <w:p w14:paraId="2DD1C0BD">
      <w:pPr>
        <w:pStyle w:val="7"/>
        <w:spacing w:line="360" w:lineRule="auto"/>
        <w:rPr>
          <w:color w:val="auto"/>
          <w:sz w:val="24"/>
          <w:szCs w:val="24"/>
          <w:highlight w:val="none"/>
        </w:rPr>
      </w:pPr>
    </w:p>
    <w:p w14:paraId="39986B82">
      <w:pPr>
        <w:jc w:val="center"/>
        <w:rPr>
          <w:rFonts w:ascii="宋体" w:hAnsi="宋体" w:cs="宋体"/>
          <w:color w:val="auto"/>
          <w:highlight w:val="none"/>
          <w:lang w:val="zh-CN"/>
        </w:rPr>
      </w:pPr>
      <w:bookmarkStart w:id="94" w:name="_Toc3295"/>
      <w:bookmarkStart w:id="95" w:name="_Toc2071"/>
      <w:bookmarkStart w:id="96" w:name="_Toc30916"/>
      <w:r>
        <w:rPr>
          <w:rFonts w:hint="eastAsia" w:ascii="宋体" w:hAnsi="宋体" w:cs="宋体"/>
          <w:color w:val="auto"/>
          <w:highlight w:val="none"/>
        </w:rPr>
        <w:br w:type="page"/>
      </w:r>
      <w:bookmarkEnd w:id="94"/>
      <w:bookmarkEnd w:id="95"/>
      <w:bookmarkEnd w:id="96"/>
    </w:p>
    <w:p w14:paraId="39AD1765">
      <w:pPr>
        <w:rPr>
          <w:rFonts w:ascii="宋体" w:hAnsi="宋体" w:cs="宋体"/>
          <w:b/>
          <w:bCs/>
          <w:color w:val="auto"/>
          <w:sz w:val="24"/>
          <w:szCs w:val="24"/>
          <w:highlight w:val="none"/>
          <w:lang w:val="zh-CN"/>
        </w:rPr>
      </w:pPr>
      <w:bookmarkStart w:id="97" w:name="_Toc25017"/>
      <w:bookmarkStart w:id="98" w:name="_Toc9715"/>
      <w:bookmarkStart w:id="99" w:name="_Toc31472"/>
      <w:bookmarkStart w:id="100" w:name="_Toc16150"/>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四：</w:t>
      </w:r>
    </w:p>
    <w:p w14:paraId="67C9733A">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残疾人福利性单位声明函</w:t>
      </w:r>
      <w:bookmarkEnd w:id="97"/>
      <w:bookmarkEnd w:id="98"/>
      <w:bookmarkEnd w:id="99"/>
      <w:bookmarkEnd w:id="100"/>
    </w:p>
    <w:p w14:paraId="37C4C12B">
      <w:pPr>
        <w:widowControl/>
        <w:snapToGrid w:val="0"/>
        <w:spacing w:line="324" w:lineRule="auto"/>
        <w:ind w:firstLine="480" w:firstLineChars="20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【不属于残疾人福利性单位的无需填写、递交】</w:t>
      </w:r>
    </w:p>
    <w:p w14:paraId="2E2CBC93">
      <w:pPr>
        <w:spacing w:line="588" w:lineRule="exact"/>
        <w:rPr>
          <w:rFonts w:ascii="宋体" w:hAnsi="宋体" w:cs="宋体"/>
          <w:b/>
          <w:bCs/>
          <w:color w:val="auto"/>
          <w:spacing w:val="6"/>
          <w:sz w:val="30"/>
          <w:szCs w:val="30"/>
          <w:highlight w:val="none"/>
        </w:rPr>
      </w:pPr>
    </w:p>
    <w:p w14:paraId="67CFE0F2">
      <w:pPr>
        <w:spacing w:line="588"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5EE097CE">
      <w:pPr>
        <w:pStyle w:val="7"/>
        <w:rPr>
          <w:color w:val="auto"/>
          <w:highlight w:val="none"/>
        </w:rPr>
      </w:pPr>
    </w:p>
    <w:p w14:paraId="07A7C4AB">
      <w:pPr>
        <w:pStyle w:val="8"/>
        <w:rPr>
          <w:rFonts w:ascii="宋体" w:hAnsi="宋体" w:cs="宋体"/>
          <w:color w:val="auto"/>
          <w:highlight w:val="none"/>
        </w:rPr>
      </w:pPr>
    </w:p>
    <w:p w14:paraId="0438B3D2">
      <w:pPr>
        <w:spacing w:line="588" w:lineRule="exact"/>
        <w:rPr>
          <w:rFonts w:ascii="宋体" w:hAnsi="宋体" w:cs="宋体"/>
          <w:color w:val="auto"/>
          <w:sz w:val="24"/>
          <w:szCs w:val="24"/>
          <w:highlight w:val="none"/>
        </w:rPr>
      </w:pPr>
    </w:p>
    <w:p w14:paraId="77FFAD34">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4D4EC1C7">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67F65F07">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03757305">
      <w:pPr>
        <w:rPr>
          <w:rFonts w:ascii="宋体" w:hAnsi="宋体" w:cs="宋体"/>
          <w:b/>
          <w:bCs/>
          <w:color w:val="auto"/>
          <w:sz w:val="24"/>
          <w:szCs w:val="24"/>
          <w:highlight w:val="none"/>
          <w:lang w:val="zh-CN"/>
        </w:rPr>
      </w:pPr>
      <w:bookmarkStart w:id="101" w:name="_Toc5441"/>
      <w:bookmarkStart w:id="102" w:name="_Toc2386"/>
      <w:bookmarkStart w:id="103" w:name="_Toc15966"/>
      <w:bookmarkStart w:id="104" w:name="_Toc24"/>
      <w:r>
        <w:rPr>
          <w:rFonts w:hint="eastAsia" w:ascii="宋体" w:hAnsi="宋体" w:cs="宋体"/>
          <w:color w:val="auto"/>
          <w:sz w:val="24"/>
          <w:szCs w:val="24"/>
          <w:highlight w:val="none"/>
          <w:lang w:val="zh-CN"/>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五：</w:t>
      </w:r>
    </w:p>
    <w:p w14:paraId="4552E6F5">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监狱企业证明文件</w:t>
      </w:r>
      <w:bookmarkEnd w:id="101"/>
      <w:bookmarkEnd w:id="102"/>
      <w:bookmarkEnd w:id="103"/>
      <w:bookmarkEnd w:id="104"/>
    </w:p>
    <w:p w14:paraId="68297D21">
      <w:pPr>
        <w:widowControl/>
        <w:snapToGri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【不属于监狱企业的无需填写、递交】</w:t>
      </w:r>
    </w:p>
    <w:p w14:paraId="6FE3494A">
      <w:pPr>
        <w:widowControl/>
        <w:snapToGrid w:val="0"/>
        <w:spacing w:line="324" w:lineRule="auto"/>
        <w:jc w:val="center"/>
        <w:rPr>
          <w:rFonts w:ascii="宋体" w:hAnsi="宋体" w:cs="宋体"/>
          <w:color w:val="auto"/>
          <w:kern w:val="0"/>
          <w:sz w:val="24"/>
          <w:szCs w:val="24"/>
          <w:highlight w:val="none"/>
        </w:rPr>
      </w:pPr>
    </w:p>
    <w:p w14:paraId="0F8420DC">
      <w:pPr>
        <w:spacing w:line="588" w:lineRule="exact"/>
        <w:ind w:firstLine="480" w:firstLineChars="200"/>
        <w:rPr>
          <w:rFonts w:ascii="宋体" w:hAnsi="宋体" w:cs="宋体"/>
          <w:color w:val="auto"/>
          <w:sz w:val="24"/>
          <w:szCs w:val="24"/>
          <w:highlight w:val="none"/>
        </w:rPr>
      </w:pPr>
    </w:p>
    <w:p w14:paraId="13D9101D">
      <w:pPr>
        <w:adjustRightInd w:val="0"/>
        <w:snapToGrid w:val="0"/>
        <w:spacing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监狱企业需提供省级以上的监狱管理局、戒毒管理局（含新疆生产建设兵团）出具的属于监狱企业的证明文件。</w:t>
      </w:r>
    </w:p>
    <w:p w14:paraId="63349F48">
      <w:pPr>
        <w:pStyle w:val="7"/>
        <w:rPr>
          <w:color w:val="auto"/>
          <w:highlight w:val="none"/>
        </w:rPr>
      </w:pPr>
    </w:p>
    <w:p w14:paraId="28B15569">
      <w:pPr>
        <w:pStyle w:val="8"/>
        <w:rPr>
          <w:rFonts w:ascii="宋体" w:hAnsi="宋体" w:cs="宋体"/>
          <w:color w:val="auto"/>
          <w:highlight w:val="none"/>
        </w:rPr>
      </w:pPr>
    </w:p>
    <w:p w14:paraId="5F19AB61">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2C0FD96A">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08480A6F">
      <w:pPr>
        <w:pStyle w:val="10"/>
        <w:ind w:firstLine="4320" w:firstLineChars="1800"/>
        <w:rPr>
          <w:rFonts w:ascii="宋体" w:hAnsi="宋体" w:eastAsia="宋体" w:cs="宋体"/>
          <w:color w:val="auto"/>
          <w:highlight w:val="none"/>
        </w:rPr>
      </w:pPr>
      <w:r>
        <w:rPr>
          <w:rFonts w:hint="eastAsia" w:ascii="宋体" w:hAnsi="宋体" w:eastAsia="宋体" w:cs="宋体"/>
          <w:b w:val="0"/>
          <w:bCs/>
          <w:color w:val="auto"/>
          <w:szCs w:val="24"/>
          <w:highlight w:val="none"/>
        </w:rPr>
        <w:t>供应商全称（公章）：</w:t>
      </w:r>
    </w:p>
    <w:p w14:paraId="7319B82C">
      <w:pPr>
        <w:rPr>
          <w:rFonts w:ascii="宋体" w:hAnsi="宋体" w:cs="宋体"/>
          <w:color w:val="auto"/>
          <w:sz w:val="24"/>
          <w:szCs w:val="24"/>
          <w:highlight w:val="none"/>
        </w:rPr>
      </w:pPr>
    </w:p>
    <w:p w14:paraId="05C4DA5A">
      <w:pPr>
        <w:pStyle w:val="7"/>
        <w:rPr>
          <w:color w:val="auto"/>
          <w:sz w:val="24"/>
          <w:szCs w:val="24"/>
          <w:highlight w:val="none"/>
        </w:rPr>
      </w:pPr>
    </w:p>
    <w:p w14:paraId="3C0A4D02">
      <w:pPr>
        <w:rPr>
          <w:rFonts w:ascii="宋体" w:hAnsi="宋体" w:cs="宋体"/>
          <w:color w:val="auto"/>
          <w:sz w:val="24"/>
          <w:szCs w:val="24"/>
          <w:highlight w:val="none"/>
        </w:rPr>
      </w:pPr>
    </w:p>
    <w:p w14:paraId="574E3B24">
      <w:pPr>
        <w:pStyle w:val="7"/>
        <w:rPr>
          <w:color w:val="auto"/>
          <w:sz w:val="24"/>
          <w:szCs w:val="24"/>
          <w:highlight w:val="none"/>
        </w:rPr>
      </w:pPr>
    </w:p>
    <w:p w14:paraId="73B69B0C">
      <w:pPr>
        <w:rPr>
          <w:rFonts w:ascii="宋体" w:hAnsi="宋体" w:cs="宋体"/>
          <w:color w:val="auto"/>
          <w:sz w:val="24"/>
          <w:szCs w:val="24"/>
          <w:highlight w:val="none"/>
        </w:rPr>
      </w:pPr>
    </w:p>
    <w:p w14:paraId="7199290A">
      <w:pPr>
        <w:pStyle w:val="7"/>
        <w:rPr>
          <w:color w:val="auto"/>
          <w:sz w:val="24"/>
          <w:szCs w:val="24"/>
          <w:highlight w:val="none"/>
        </w:rPr>
      </w:pPr>
    </w:p>
    <w:p w14:paraId="1FF5FB33">
      <w:pPr>
        <w:rPr>
          <w:rFonts w:ascii="宋体" w:hAnsi="宋体" w:cs="宋体"/>
          <w:color w:val="auto"/>
          <w:sz w:val="24"/>
          <w:szCs w:val="24"/>
          <w:highlight w:val="none"/>
        </w:rPr>
      </w:pPr>
    </w:p>
    <w:p w14:paraId="71F0139B">
      <w:pPr>
        <w:pStyle w:val="7"/>
        <w:rPr>
          <w:color w:val="auto"/>
          <w:sz w:val="24"/>
          <w:szCs w:val="24"/>
          <w:highlight w:val="none"/>
        </w:rPr>
      </w:pPr>
    </w:p>
    <w:p w14:paraId="0C33B977">
      <w:pPr>
        <w:rPr>
          <w:rFonts w:ascii="宋体" w:hAnsi="宋体" w:cs="宋体"/>
          <w:color w:val="auto"/>
          <w:sz w:val="24"/>
          <w:szCs w:val="24"/>
          <w:highlight w:val="none"/>
        </w:rPr>
      </w:pPr>
    </w:p>
    <w:p w14:paraId="752CC928">
      <w:pPr>
        <w:pStyle w:val="7"/>
        <w:rPr>
          <w:color w:val="auto"/>
          <w:sz w:val="24"/>
          <w:szCs w:val="24"/>
          <w:highlight w:val="none"/>
        </w:rPr>
      </w:pPr>
    </w:p>
    <w:p w14:paraId="0A077F4F">
      <w:pPr>
        <w:rPr>
          <w:rFonts w:ascii="宋体" w:hAnsi="宋体" w:cs="宋体"/>
          <w:color w:val="auto"/>
          <w:sz w:val="24"/>
          <w:szCs w:val="24"/>
          <w:highlight w:val="none"/>
        </w:rPr>
      </w:pPr>
    </w:p>
    <w:p w14:paraId="66893CD3">
      <w:pPr>
        <w:pStyle w:val="7"/>
        <w:rPr>
          <w:color w:val="auto"/>
          <w:sz w:val="24"/>
          <w:szCs w:val="24"/>
          <w:highlight w:val="none"/>
        </w:rPr>
      </w:pPr>
    </w:p>
    <w:p w14:paraId="2753E8A2">
      <w:pPr>
        <w:rPr>
          <w:rFonts w:ascii="宋体" w:hAnsi="宋体" w:cs="宋体"/>
          <w:color w:val="auto"/>
          <w:highlight w:val="none"/>
          <w:lang w:val="zh-CN"/>
        </w:rPr>
      </w:pPr>
      <w:r>
        <w:rPr>
          <w:rFonts w:hint="eastAsia" w:ascii="宋体" w:hAnsi="宋体" w:cs="宋体"/>
          <w:color w:val="auto"/>
          <w:highlight w:val="none"/>
          <w:lang w:val="zh-CN"/>
        </w:rPr>
        <w:br w:type="page"/>
      </w:r>
    </w:p>
    <w:p w14:paraId="40FC4FB8">
      <w:pPr>
        <w:rPr>
          <w:rFonts w:ascii="宋体" w:hAnsi="宋体" w:cs="宋体"/>
          <w:color w:val="auto"/>
          <w:highlight w:val="none"/>
          <w:lang w:val="zh-CN"/>
        </w:rPr>
      </w:pPr>
    </w:p>
    <w:p w14:paraId="5E88B968">
      <w:pPr>
        <w:spacing w:line="360" w:lineRule="auto"/>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商务技术文件</w:t>
      </w:r>
    </w:p>
    <w:p w14:paraId="72691458">
      <w:pPr>
        <w:spacing w:line="360" w:lineRule="auto"/>
        <w:jc w:val="center"/>
        <w:rPr>
          <w:rFonts w:ascii="宋体" w:hAnsi="宋体" w:cs="宋体"/>
          <w:b/>
          <w:bCs/>
          <w:color w:val="auto"/>
          <w:kern w:val="0"/>
          <w:sz w:val="36"/>
          <w:szCs w:val="36"/>
          <w:highlight w:val="none"/>
        </w:rPr>
      </w:pPr>
    </w:p>
    <w:p w14:paraId="15242975">
      <w:pPr>
        <w:spacing w:line="360" w:lineRule="auto"/>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目录</w:t>
      </w:r>
    </w:p>
    <w:p w14:paraId="5B6541F4">
      <w:pPr>
        <w:pStyle w:val="3"/>
        <w:ind w:left="426" w:firstLine="486"/>
        <w:rPr>
          <w:color w:val="auto"/>
          <w:highlight w:val="none"/>
        </w:rPr>
      </w:pPr>
    </w:p>
    <w:p w14:paraId="3DA403AF">
      <w:pPr>
        <w:numPr>
          <w:ilvl w:val="0"/>
          <w:numId w:val="20"/>
        </w:num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评分对应表（格式见附件，主要用于评委对应评分内容）</w:t>
      </w:r>
      <w:r>
        <w:rPr>
          <w:rFonts w:hint="eastAsia" w:ascii="宋体" w:hAnsi="宋体" w:cs="宋体"/>
          <w:color w:val="auto"/>
          <w:sz w:val="24"/>
          <w:szCs w:val="24"/>
          <w:highlight w:val="none"/>
          <w:lang w:eastAsia="zh-CN"/>
        </w:rPr>
        <w:t>；</w:t>
      </w:r>
    </w:p>
    <w:p w14:paraId="4B4861A9">
      <w:pPr>
        <w:numPr>
          <w:ilvl w:val="0"/>
          <w:numId w:val="20"/>
        </w:num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供应商商务技术文件中资信分自评表（格式见附件）；</w:t>
      </w:r>
    </w:p>
    <w:p w14:paraId="2E8A0288">
      <w:pPr>
        <w:numPr>
          <w:ilvl w:val="0"/>
          <w:numId w:val="20"/>
        </w:num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磋商项目明细清单（格式见附件）；</w:t>
      </w:r>
    </w:p>
    <w:p w14:paraId="3BE17A4C">
      <w:pPr>
        <w:numPr>
          <w:ilvl w:val="0"/>
          <w:numId w:val="20"/>
        </w:num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技术响应及建议表（格式见附件）；</w:t>
      </w:r>
    </w:p>
    <w:p w14:paraId="37967F33">
      <w:pPr>
        <w:numPr>
          <w:ilvl w:val="0"/>
          <w:numId w:val="20"/>
        </w:num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商务响应表（格式见附件）；</w:t>
      </w:r>
    </w:p>
    <w:p w14:paraId="636EABA8">
      <w:pPr>
        <w:numPr>
          <w:ilvl w:val="0"/>
          <w:numId w:val="20"/>
        </w:num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技术方案</w:t>
      </w:r>
      <w:r>
        <w:rPr>
          <w:rFonts w:hint="eastAsia" w:ascii="宋体" w:hAnsi="宋体" w:cs="宋体"/>
          <w:color w:val="auto"/>
          <w:sz w:val="24"/>
          <w:szCs w:val="24"/>
          <w:highlight w:val="none"/>
        </w:rPr>
        <w:t>；</w:t>
      </w:r>
    </w:p>
    <w:p w14:paraId="75F17C23">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质量控制方案</w:t>
      </w:r>
      <w:r>
        <w:rPr>
          <w:rFonts w:hint="eastAsia" w:ascii="宋体" w:hAnsi="宋体" w:cs="宋体"/>
          <w:color w:val="auto"/>
          <w:sz w:val="24"/>
          <w:szCs w:val="24"/>
          <w:highlight w:val="none"/>
        </w:rPr>
        <w:t>；</w:t>
      </w:r>
    </w:p>
    <w:p w14:paraId="3F2F9981">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重点和难点及解决方法</w:t>
      </w:r>
      <w:r>
        <w:rPr>
          <w:rFonts w:hint="eastAsia" w:ascii="宋体" w:hAnsi="宋体" w:cs="宋体"/>
          <w:color w:val="auto"/>
          <w:sz w:val="24"/>
          <w:szCs w:val="24"/>
          <w:highlight w:val="none"/>
        </w:rPr>
        <w:t>；</w:t>
      </w:r>
    </w:p>
    <w:p w14:paraId="321A63BA">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服务管理整体策划；</w:t>
      </w:r>
    </w:p>
    <w:p w14:paraId="33E111D8">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媒体宣传方案；</w:t>
      </w:r>
    </w:p>
    <w:p w14:paraId="6AE93DEC">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人员投入及团队实力</w:t>
      </w:r>
      <w:r>
        <w:rPr>
          <w:rFonts w:hint="eastAsia" w:ascii="宋体" w:hAnsi="宋体" w:cs="宋体"/>
          <w:color w:val="auto"/>
          <w:sz w:val="24"/>
          <w:szCs w:val="24"/>
          <w:highlight w:val="none"/>
        </w:rPr>
        <w:t>；</w:t>
      </w:r>
    </w:p>
    <w:p w14:paraId="58B9AF99">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应急预案及措施</w:t>
      </w:r>
      <w:r>
        <w:rPr>
          <w:rFonts w:hint="eastAsia" w:ascii="宋体" w:hAnsi="宋体" w:cs="宋体"/>
          <w:color w:val="auto"/>
          <w:sz w:val="24"/>
          <w:szCs w:val="24"/>
          <w:highlight w:val="none"/>
        </w:rPr>
        <w:t>；</w:t>
      </w:r>
    </w:p>
    <w:p w14:paraId="351BD079">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数据录入及档案管理</w:t>
      </w:r>
      <w:r>
        <w:rPr>
          <w:rFonts w:hint="eastAsia" w:ascii="宋体" w:hAnsi="宋体" w:cs="宋体"/>
          <w:color w:val="auto"/>
          <w:sz w:val="24"/>
          <w:szCs w:val="24"/>
          <w:highlight w:val="none"/>
        </w:rPr>
        <w:t>；</w:t>
      </w:r>
    </w:p>
    <w:p w14:paraId="03292999">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车辆保证</w:t>
      </w:r>
      <w:r>
        <w:rPr>
          <w:rFonts w:hint="eastAsia" w:ascii="宋体" w:hAnsi="宋体" w:cs="宋体"/>
          <w:color w:val="auto"/>
          <w:sz w:val="24"/>
          <w:szCs w:val="24"/>
          <w:highlight w:val="none"/>
        </w:rPr>
        <w:t>；</w:t>
      </w:r>
    </w:p>
    <w:p w14:paraId="038631BD">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后勤保证</w:t>
      </w:r>
      <w:r>
        <w:rPr>
          <w:rFonts w:hint="eastAsia" w:ascii="宋体" w:hAnsi="宋体" w:cs="宋体"/>
          <w:color w:val="auto"/>
          <w:sz w:val="24"/>
          <w:szCs w:val="24"/>
          <w:highlight w:val="none"/>
        </w:rPr>
        <w:t>；</w:t>
      </w:r>
    </w:p>
    <w:p w14:paraId="52A6ABC8">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合理化建议；</w:t>
      </w:r>
    </w:p>
    <w:p w14:paraId="10C4B324">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售后服务；</w:t>
      </w:r>
    </w:p>
    <w:p w14:paraId="7CF29EFB">
      <w:pPr>
        <w:numPr>
          <w:ilvl w:val="0"/>
          <w:numId w:val="20"/>
        </w:numPr>
        <w:spacing w:line="360" w:lineRule="auto"/>
        <w:ind w:left="150" w:leftChars="0" w:firstLine="48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人员证书；</w:t>
      </w:r>
    </w:p>
    <w:p w14:paraId="6D03AEE6">
      <w:pPr>
        <w:numPr>
          <w:ilvl w:val="0"/>
          <w:numId w:val="20"/>
        </w:numPr>
        <w:spacing w:line="360" w:lineRule="auto"/>
        <w:ind w:left="150" w:leftChars="0" w:firstLine="48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供应商认为需要的其他文件资料。</w:t>
      </w:r>
    </w:p>
    <w:p w14:paraId="0BBE0365">
      <w:pPr>
        <w:pStyle w:val="36"/>
        <w:numPr>
          <w:ilvl w:val="0"/>
          <w:numId w:val="0"/>
        </w:numPr>
        <w:tabs>
          <w:tab w:val="left" w:pos="0"/>
        </w:tabs>
        <w:spacing w:before="0" w:line="336" w:lineRule="auto"/>
        <w:ind w:left="630" w:leftChars="0"/>
        <w:rPr>
          <w:rFonts w:ascii="宋体" w:hAnsi="宋体" w:cs="宋体"/>
          <w:color w:val="auto"/>
          <w:highlight w:val="none"/>
        </w:rPr>
      </w:pPr>
      <w:r>
        <w:rPr>
          <w:rFonts w:hint="eastAsia" w:ascii="宋体" w:hAnsi="宋体" w:cs="宋体"/>
          <w:color w:val="auto"/>
          <w:highlight w:val="none"/>
        </w:rPr>
        <w:t>注：以上内容应与评标办法中内容具有一致性。</w:t>
      </w:r>
    </w:p>
    <w:p w14:paraId="7EBD81D3">
      <w:pPr>
        <w:rPr>
          <w:rFonts w:ascii="宋体" w:hAnsi="宋体" w:cs="宋体"/>
          <w:color w:val="auto"/>
          <w:sz w:val="24"/>
          <w:szCs w:val="24"/>
          <w:highlight w:val="none"/>
        </w:rPr>
      </w:pPr>
    </w:p>
    <w:p w14:paraId="2FECC5D7">
      <w:pPr>
        <w:rPr>
          <w:rFonts w:ascii="宋体" w:hAnsi="宋体" w:cs="宋体"/>
          <w:b/>
          <w:bCs/>
          <w:color w:val="auto"/>
          <w:sz w:val="24"/>
          <w:szCs w:val="24"/>
          <w:highlight w:val="none"/>
          <w:lang w:val="zh-CN"/>
        </w:rPr>
      </w:pPr>
      <w:bookmarkStart w:id="105" w:name="_Toc10131"/>
      <w:r>
        <w:rPr>
          <w:rFonts w:hint="eastAsia" w:ascii="宋体" w:hAnsi="宋体" w:cs="宋体"/>
          <w:b/>
          <w:bCs/>
          <w:color w:val="auto"/>
          <w:sz w:val="24"/>
          <w:szCs w:val="24"/>
          <w:highlight w:val="none"/>
          <w:lang w:val="zh-CN"/>
        </w:rPr>
        <w:br w:type="page"/>
      </w:r>
    </w:p>
    <w:p w14:paraId="40022B3B">
      <w:pPr>
        <w:snapToGrid w:val="0"/>
        <w:spacing w:before="50" w:after="5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六</w:t>
      </w:r>
      <w:r>
        <w:rPr>
          <w:rFonts w:hint="eastAsia" w:ascii="宋体" w:hAnsi="宋体" w:cs="宋体"/>
          <w:b/>
          <w:bCs/>
          <w:color w:val="auto"/>
          <w:sz w:val="24"/>
          <w:szCs w:val="24"/>
          <w:highlight w:val="none"/>
          <w:lang w:val="zh-CN"/>
        </w:rPr>
        <w:t>：</w:t>
      </w:r>
    </w:p>
    <w:p w14:paraId="24CEFB0A">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评分对应表</w:t>
      </w:r>
    </w:p>
    <w:p w14:paraId="12088CA7">
      <w:pPr>
        <w:snapToGrid w:val="0"/>
        <w:spacing w:before="50"/>
        <w:jc w:val="center"/>
        <w:rPr>
          <w:rFonts w:ascii="宋体" w:hAnsi="宋体" w:cs="宋体"/>
          <w:b/>
          <w:bCs/>
          <w:color w:val="auto"/>
          <w:sz w:val="32"/>
          <w:szCs w:val="32"/>
          <w:highlight w:val="none"/>
        </w:rPr>
      </w:pPr>
    </w:p>
    <w:p w14:paraId="2447F29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72502CE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3"/>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68330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2681438">
            <w:pPr>
              <w:jc w:val="center"/>
              <w:rPr>
                <w:rFonts w:ascii="宋体" w:hAnsi="宋体" w:cs="宋体"/>
                <w:color w:val="auto"/>
                <w:sz w:val="24"/>
                <w:szCs w:val="24"/>
                <w:highlight w:val="none"/>
              </w:rPr>
            </w:pPr>
            <w:r>
              <w:rPr>
                <w:rFonts w:hint="eastAsia" w:ascii="宋体" w:hAnsi="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592AB682">
            <w:pPr>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41D8A93C">
            <w:pPr>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响应文件页码</w:t>
            </w:r>
          </w:p>
        </w:tc>
      </w:tr>
      <w:tr w14:paraId="4051A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DBD0784">
            <w:pPr>
              <w:jc w:val="center"/>
              <w:rPr>
                <w:rFonts w:ascii="宋体" w:hAnsi="宋体" w:cs="宋体"/>
                <w:color w:val="auto"/>
                <w:sz w:val="24"/>
                <w:szCs w:val="24"/>
                <w:highlight w:val="none"/>
              </w:rPr>
            </w:pPr>
            <w:r>
              <w:rPr>
                <w:rFonts w:hint="eastAsia" w:ascii="宋体" w:hAnsi="宋体" w:cs="宋体"/>
                <w:color w:val="auto"/>
                <w:sz w:val="24"/>
                <w:szCs w:val="24"/>
                <w:highlight w:val="none"/>
              </w:rPr>
              <w:t>对应评分办法及评分标准</w:t>
            </w:r>
          </w:p>
          <w:p w14:paraId="2983DF30">
            <w:pPr>
              <w:jc w:val="center"/>
              <w:rPr>
                <w:rFonts w:ascii="宋体" w:hAnsi="宋体" w:cs="宋体"/>
                <w:color w:val="auto"/>
                <w:sz w:val="24"/>
                <w:szCs w:val="24"/>
                <w:highlight w:val="none"/>
              </w:rPr>
            </w:pPr>
            <w:r>
              <w:rPr>
                <w:rFonts w:hint="eastAsia" w:ascii="宋体" w:hAnsi="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3F8A5A31">
            <w:pPr>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DDECE4B">
            <w:pPr>
              <w:jc w:val="center"/>
              <w:rPr>
                <w:rFonts w:ascii="宋体" w:hAnsi="宋体" w:cs="宋体"/>
                <w:color w:val="auto"/>
                <w:sz w:val="24"/>
                <w:szCs w:val="24"/>
                <w:highlight w:val="none"/>
              </w:rPr>
            </w:pPr>
          </w:p>
        </w:tc>
      </w:tr>
      <w:tr w14:paraId="179B0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59F7EA4">
            <w:pPr>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5E963A20">
            <w:pPr>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50962C2">
            <w:pPr>
              <w:jc w:val="center"/>
              <w:rPr>
                <w:rFonts w:ascii="宋体" w:hAnsi="宋体" w:cs="宋体"/>
                <w:color w:val="auto"/>
                <w:sz w:val="24"/>
                <w:szCs w:val="24"/>
                <w:highlight w:val="none"/>
              </w:rPr>
            </w:pPr>
          </w:p>
        </w:tc>
      </w:tr>
      <w:tr w14:paraId="2CDF4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63C58F9">
            <w:pPr>
              <w:jc w:val="center"/>
              <w:rPr>
                <w:rFonts w:ascii="宋体" w:hAnsi="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CB31E36">
            <w:pPr>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95355EA">
            <w:pPr>
              <w:jc w:val="center"/>
              <w:rPr>
                <w:rFonts w:ascii="宋体" w:hAnsi="宋体" w:cs="宋体"/>
                <w:color w:val="auto"/>
                <w:sz w:val="24"/>
                <w:szCs w:val="24"/>
                <w:highlight w:val="none"/>
              </w:rPr>
            </w:pPr>
          </w:p>
        </w:tc>
      </w:tr>
      <w:tr w14:paraId="1EAB1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C47B83A">
            <w:pPr>
              <w:spacing w:line="360" w:lineRule="auto"/>
              <w:ind w:firstLine="480" w:firstLineChars="200"/>
              <w:jc w:val="center"/>
              <w:rPr>
                <w:rFonts w:ascii="宋体" w:hAnsi="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C8EF3EB">
            <w:pPr>
              <w:spacing w:line="360" w:lineRule="auto"/>
              <w:ind w:firstLine="480" w:firstLineChars="200"/>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7DF64C4">
            <w:pPr>
              <w:spacing w:line="360" w:lineRule="auto"/>
              <w:ind w:firstLine="480" w:firstLineChars="200"/>
              <w:jc w:val="center"/>
              <w:rPr>
                <w:rFonts w:ascii="宋体" w:hAnsi="宋体" w:cs="宋体"/>
                <w:color w:val="auto"/>
                <w:sz w:val="24"/>
                <w:szCs w:val="24"/>
                <w:highlight w:val="none"/>
              </w:rPr>
            </w:pPr>
          </w:p>
        </w:tc>
      </w:tr>
      <w:tr w14:paraId="64169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00DD2A7">
            <w:pPr>
              <w:spacing w:line="360" w:lineRule="auto"/>
              <w:ind w:firstLine="480" w:firstLineChars="200"/>
              <w:jc w:val="center"/>
              <w:rPr>
                <w:rFonts w:ascii="宋体" w:hAnsi="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5104B39">
            <w:pPr>
              <w:spacing w:line="360" w:lineRule="auto"/>
              <w:ind w:firstLine="480" w:firstLineChars="200"/>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70884DDD">
            <w:pPr>
              <w:spacing w:line="360" w:lineRule="auto"/>
              <w:ind w:firstLine="480" w:firstLineChars="200"/>
              <w:jc w:val="center"/>
              <w:rPr>
                <w:rFonts w:ascii="宋体" w:hAnsi="宋体" w:cs="宋体"/>
                <w:color w:val="auto"/>
                <w:sz w:val="24"/>
                <w:szCs w:val="24"/>
                <w:highlight w:val="none"/>
              </w:rPr>
            </w:pPr>
          </w:p>
        </w:tc>
      </w:tr>
      <w:tr w14:paraId="3D38B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F10C299">
            <w:pPr>
              <w:spacing w:line="360" w:lineRule="auto"/>
              <w:ind w:firstLine="480" w:firstLineChars="200"/>
              <w:jc w:val="center"/>
              <w:rPr>
                <w:rFonts w:ascii="宋体" w:hAnsi="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91A2B59">
            <w:pPr>
              <w:spacing w:line="360" w:lineRule="auto"/>
              <w:ind w:firstLine="480" w:firstLineChars="200"/>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A3FA95F">
            <w:pPr>
              <w:spacing w:line="360" w:lineRule="auto"/>
              <w:ind w:firstLine="480" w:firstLineChars="200"/>
              <w:jc w:val="center"/>
              <w:rPr>
                <w:rFonts w:ascii="宋体" w:hAnsi="宋体" w:cs="宋体"/>
                <w:color w:val="auto"/>
                <w:sz w:val="24"/>
                <w:szCs w:val="24"/>
                <w:highlight w:val="none"/>
              </w:rPr>
            </w:pPr>
          </w:p>
        </w:tc>
      </w:tr>
      <w:tr w14:paraId="228CF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22E6F5D">
            <w:pPr>
              <w:spacing w:line="360" w:lineRule="auto"/>
              <w:ind w:firstLine="480" w:firstLineChars="200"/>
              <w:jc w:val="center"/>
              <w:rPr>
                <w:rFonts w:ascii="宋体" w:hAnsi="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9053A02">
            <w:pPr>
              <w:spacing w:line="360" w:lineRule="auto"/>
              <w:ind w:firstLine="480" w:firstLineChars="200"/>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501F85A4">
            <w:pPr>
              <w:spacing w:line="360" w:lineRule="auto"/>
              <w:ind w:firstLine="480" w:firstLineChars="200"/>
              <w:jc w:val="center"/>
              <w:rPr>
                <w:rFonts w:ascii="宋体" w:hAnsi="宋体" w:cs="宋体"/>
                <w:color w:val="auto"/>
                <w:sz w:val="24"/>
                <w:szCs w:val="24"/>
                <w:highlight w:val="none"/>
              </w:rPr>
            </w:pPr>
          </w:p>
        </w:tc>
      </w:tr>
      <w:tr w14:paraId="3D75B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294EE58">
            <w:pPr>
              <w:spacing w:line="360" w:lineRule="auto"/>
              <w:ind w:firstLine="480" w:firstLineChars="200"/>
              <w:jc w:val="center"/>
              <w:rPr>
                <w:rFonts w:ascii="宋体" w:hAnsi="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BF7987F">
            <w:pPr>
              <w:spacing w:line="360" w:lineRule="auto"/>
              <w:ind w:firstLine="480" w:firstLineChars="200"/>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4DC9B810">
            <w:pPr>
              <w:spacing w:line="360" w:lineRule="auto"/>
              <w:ind w:firstLine="480" w:firstLineChars="200"/>
              <w:jc w:val="center"/>
              <w:rPr>
                <w:rFonts w:ascii="宋体" w:hAnsi="宋体" w:cs="宋体"/>
                <w:color w:val="auto"/>
                <w:sz w:val="24"/>
                <w:szCs w:val="24"/>
                <w:highlight w:val="none"/>
              </w:rPr>
            </w:pPr>
          </w:p>
        </w:tc>
      </w:tr>
      <w:tr w14:paraId="50828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D8BF7C4">
            <w:pPr>
              <w:spacing w:line="360" w:lineRule="auto"/>
              <w:ind w:firstLine="480" w:firstLineChars="200"/>
              <w:jc w:val="center"/>
              <w:rPr>
                <w:rFonts w:ascii="宋体" w:hAnsi="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2F662C3">
            <w:pPr>
              <w:spacing w:line="360" w:lineRule="auto"/>
              <w:ind w:firstLine="480" w:firstLineChars="200"/>
              <w:jc w:val="center"/>
              <w:rPr>
                <w:rFonts w:ascii="宋体" w:hAnsi="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04B5D45A">
            <w:pPr>
              <w:spacing w:line="360" w:lineRule="auto"/>
              <w:ind w:firstLine="480" w:firstLineChars="200"/>
              <w:jc w:val="center"/>
              <w:rPr>
                <w:rFonts w:ascii="宋体" w:hAnsi="宋体" w:cs="宋体"/>
                <w:color w:val="auto"/>
                <w:sz w:val="24"/>
                <w:szCs w:val="24"/>
                <w:highlight w:val="none"/>
              </w:rPr>
            </w:pPr>
          </w:p>
        </w:tc>
      </w:tr>
    </w:tbl>
    <w:p w14:paraId="15A31504">
      <w:pPr>
        <w:spacing w:line="360" w:lineRule="auto"/>
        <w:ind w:firstLine="480" w:firstLineChars="200"/>
        <w:rPr>
          <w:rFonts w:ascii="宋体" w:hAnsi="宋体" w:cs="宋体"/>
          <w:color w:val="auto"/>
          <w:sz w:val="24"/>
          <w:szCs w:val="24"/>
          <w:highlight w:val="none"/>
        </w:rPr>
      </w:pPr>
    </w:p>
    <w:p w14:paraId="605A9898">
      <w:pPr>
        <w:spacing w:line="360" w:lineRule="auto"/>
        <w:ind w:left="3780" w:leftChars="1800" w:firstLine="480" w:firstLineChars="200"/>
        <w:rPr>
          <w:rFonts w:ascii="宋体" w:hAnsi="宋体" w:cs="宋体"/>
          <w:color w:val="auto"/>
          <w:sz w:val="24"/>
          <w:szCs w:val="24"/>
          <w:highlight w:val="none"/>
        </w:rPr>
      </w:pPr>
    </w:p>
    <w:p w14:paraId="528617C8">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16242C24">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6602529E">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5B5A6699">
      <w:pPr>
        <w:rPr>
          <w:rFonts w:ascii="宋体" w:hAnsi="宋体" w:cs="宋体"/>
          <w:color w:val="auto"/>
          <w:highlight w:val="none"/>
          <w:lang w:val="zh-CN"/>
        </w:rPr>
      </w:pPr>
    </w:p>
    <w:p w14:paraId="5E0CE770">
      <w:pP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七：</w:t>
      </w:r>
    </w:p>
    <w:p w14:paraId="64E95CB7">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供应商商务技术文件中资信分自评表</w:t>
      </w:r>
      <w:bookmarkEnd w:id="105"/>
    </w:p>
    <w:p w14:paraId="47577CB4">
      <w:pPr>
        <w:snapToGrid w:val="0"/>
        <w:spacing w:before="50"/>
        <w:jc w:val="center"/>
        <w:rPr>
          <w:rFonts w:ascii="宋体" w:hAnsi="宋体" w:cs="宋体"/>
          <w:b/>
          <w:bCs/>
          <w:color w:val="auto"/>
          <w:sz w:val="32"/>
          <w:szCs w:val="32"/>
          <w:highlight w:val="none"/>
        </w:rPr>
      </w:pPr>
    </w:p>
    <w:p w14:paraId="22B327C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228D9EB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3"/>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608B1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51081E8">
            <w:pPr>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387" w:type="dxa"/>
            <w:vAlign w:val="center"/>
          </w:tcPr>
          <w:p w14:paraId="1D0D6920">
            <w:pPr>
              <w:jc w:val="center"/>
              <w:rPr>
                <w:rFonts w:ascii="宋体" w:hAnsi="宋体" w:cs="宋体"/>
                <w:color w:val="auto"/>
                <w:sz w:val="24"/>
                <w:szCs w:val="24"/>
                <w:highlight w:val="none"/>
              </w:rPr>
            </w:pPr>
            <w:r>
              <w:rPr>
                <w:rFonts w:hint="eastAsia" w:ascii="宋体" w:hAnsi="宋体" w:cs="宋体"/>
                <w:color w:val="auto"/>
                <w:sz w:val="24"/>
                <w:szCs w:val="24"/>
                <w:highlight w:val="none"/>
              </w:rPr>
              <w:t>资信分内容</w:t>
            </w:r>
          </w:p>
        </w:tc>
        <w:tc>
          <w:tcPr>
            <w:tcW w:w="1462" w:type="dxa"/>
            <w:vAlign w:val="center"/>
          </w:tcPr>
          <w:p w14:paraId="6A318B3A">
            <w:pPr>
              <w:jc w:val="center"/>
              <w:rPr>
                <w:rFonts w:ascii="宋体" w:hAnsi="宋体" w:cs="宋体"/>
                <w:color w:val="auto"/>
                <w:sz w:val="24"/>
                <w:szCs w:val="24"/>
                <w:highlight w:val="none"/>
              </w:rPr>
            </w:pPr>
            <w:r>
              <w:rPr>
                <w:rFonts w:hint="eastAsia" w:ascii="宋体" w:hAnsi="宋体" w:cs="宋体"/>
                <w:color w:val="auto"/>
                <w:sz w:val="24"/>
                <w:szCs w:val="24"/>
                <w:highlight w:val="none"/>
              </w:rPr>
              <w:t>自评得分</w:t>
            </w:r>
          </w:p>
        </w:tc>
        <w:tc>
          <w:tcPr>
            <w:tcW w:w="2415" w:type="dxa"/>
            <w:tcBorders>
              <w:right w:val="single" w:color="auto" w:sz="4" w:space="0"/>
            </w:tcBorders>
            <w:vAlign w:val="center"/>
          </w:tcPr>
          <w:p w14:paraId="29A8FFBA">
            <w:pPr>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响应文件对应资料</w:t>
            </w:r>
          </w:p>
        </w:tc>
        <w:tc>
          <w:tcPr>
            <w:tcW w:w="1746" w:type="dxa"/>
            <w:tcBorders>
              <w:left w:val="single" w:color="auto" w:sz="4" w:space="0"/>
            </w:tcBorders>
            <w:vAlign w:val="center"/>
          </w:tcPr>
          <w:p w14:paraId="596456C7">
            <w:pPr>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响应文件页码</w:t>
            </w:r>
          </w:p>
        </w:tc>
      </w:tr>
      <w:tr w14:paraId="69A19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3391892">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387" w:type="dxa"/>
          </w:tcPr>
          <w:p w14:paraId="7CC6DB7F">
            <w:pPr>
              <w:jc w:val="center"/>
              <w:rPr>
                <w:rFonts w:ascii="宋体" w:hAnsi="宋体" w:cs="宋体"/>
                <w:color w:val="auto"/>
                <w:sz w:val="24"/>
                <w:szCs w:val="24"/>
                <w:highlight w:val="none"/>
              </w:rPr>
            </w:pPr>
          </w:p>
        </w:tc>
        <w:tc>
          <w:tcPr>
            <w:tcW w:w="1462" w:type="dxa"/>
          </w:tcPr>
          <w:p w14:paraId="57A8ED6D">
            <w:pPr>
              <w:jc w:val="center"/>
              <w:rPr>
                <w:rFonts w:ascii="宋体" w:hAnsi="宋体" w:cs="宋体"/>
                <w:color w:val="auto"/>
                <w:sz w:val="24"/>
                <w:szCs w:val="24"/>
                <w:highlight w:val="none"/>
              </w:rPr>
            </w:pPr>
          </w:p>
        </w:tc>
        <w:tc>
          <w:tcPr>
            <w:tcW w:w="2415" w:type="dxa"/>
            <w:tcBorders>
              <w:right w:val="single" w:color="auto" w:sz="4" w:space="0"/>
            </w:tcBorders>
          </w:tcPr>
          <w:p w14:paraId="150351BA">
            <w:pPr>
              <w:jc w:val="center"/>
              <w:rPr>
                <w:rFonts w:ascii="宋体" w:hAnsi="宋体" w:cs="宋体"/>
                <w:color w:val="auto"/>
                <w:sz w:val="24"/>
                <w:szCs w:val="24"/>
                <w:highlight w:val="none"/>
              </w:rPr>
            </w:pPr>
          </w:p>
        </w:tc>
        <w:tc>
          <w:tcPr>
            <w:tcW w:w="1746" w:type="dxa"/>
            <w:tcBorders>
              <w:left w:val="single" w:color="auto" w:sz="4" w:space="0"/>
            </w:tcBorders>
          </w:tcPr>
          <w:p w14:paraId="111F1880">
            <w:pPr>
              <w:jc w:val="center"/>
              <w:rPr>
                <w:rFonts w:ascii="宋体" w:hAnsi="宋体" w:cs="宋体"/>
                <w:color w:val="auto"/>
                <w:sz w:val="24"/>
                <w:szCs w:val="24"/>
                <w:highlight w:val="none"/>
              </w:rPr>
            </w:pPr>
          </w:p>
        </w:tc>
      </w:tr>
      <w:tr w14:paraId="1B2C1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27CC121">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387" w:type="dxa"/>
          </w:tcPr>
          <w:p w14:paraId="2662FA1A">
            <w:pPr>
              <w:jc w:val="center"/>
              <w:rPr>
                <w:rFonts w:ascii="宋体" w:hAnsi="宋体" w:cs="宋体"/>
                <w:color w:val="auto"/>
                <w:sz w:val="24"/>
                <w:szCs w:val="24"/>
                <w:highlight w:val="none"/>
              </w:rPr>
            </w:pPr>
          </w:p>
        </w:tc>
        <w:tc>
          <w:tcPr>
            <w:tcW w:w="1462" w:type="dxa"/>
          </w:tcPr>
          <w:p w14:paraId="7293DF46">
            <w:pPr>
              <w:jc w:val="center"/>
              <w:rPr>
                <w:rFonts w:ascii="宋体" w:hAnsi="宋体" w:cs="宋体"/>
                <w:color w:val="auto"/>
                <w:sz w:val="24"/>
                <w:szCs w:val="24"/>
                <w:highlight w:val="none"/>
              </w:rPr>
            </w:pPr>
          </w:p>
        </w:tc>
        <w:tc>
          <w:tcPr>
            <w:tcW w:w="2415" w:type="dxa"/>
            <w:tcBorders>
              <w:right w:val="single" w:color="auto" w:sz="4" w:space="0"/>
            </w:tcBorders>
          </w:tcPr>
          <w:p w14:paraId="13003CB2">
            <w:pPr>
              <w:jc w:val="center"/>
              <w:rPr>
                <w:rFonts w:ascii="宋体" w:hAnsi="宋体" w:cs="宋体"/>
                <w:color w:val="auto"/>
                <w:sz w:val="24"/>
                <w:szCs w:val="24"/>
                <w:highlight w:val="none"/>
              </w:rPr>
            </w:pPr>
          </w:p>
        </w:tc>
        <w:tc>
          <w:tcPr>
            <w:tcW w:w="1746" w:type="dxa"/>
            <w:tcBorders>
              <w:left w:val="single" w:color="auto" w:sz="4" w:space="0"/>
            </w:tcBorders>
          </w:tcPr>
          <w:p w14:paraId="53BDA557">
            <w:pPr>
              <w:jc w:val="center"/>
              <w:rPr>
                <w:rFonts w:ascii="宋体" w:hAnsi="宋体" w:cs="宋体"/>
                <w:color w:val="auto"/>
                <w:sz w:val="24"/>
                <w:szCs w:val="24"/>
                <w:highlight w:val="none"/>
              </w:rPr>
            </w:pPr>
          </w:p>
        </w:tc>
      </w:tr>
      <w:tr w14:paraId="7565E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FAA1482">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387" w:type="dxa"/>
          </w:tcPr>
          <w:p w14:paraId="62701B80">
            <w:pPr>
              <w:jc w:val="center"/>
              <w:rPr>
                <w:rFonts w:ascii="宋体" w:hAnsi="宋体" w:cs="宋体"/>
                <w:color w:val="auto"/>
                <w:sz w:val="24"/>
                <w:szCs w:val="24"/>
                <w:highlight w:val="none"/>
              </w:rPr>
            </w:pPr>
          </w:p>
        </w:tc>
        <w:tc>
          <w:tcPr>
            <w:tcW w:w="1462" w:type="dxa"/>
          </w:tcPr>
          <w:p w14:paraId="725EC19B">
            <w:pPr>
              <w:jc w:val="center"/>
              <w:rPr>
                <w:rFonts w:ascii="宋体" w:hAnsi="宋体" w:cs="宋体"/>
                <w:color w:val="auto"/>
                <w:sz w:val="24"/>
                <w:szCs w:val="24"/>
                <w:highlight w:val="none"/>
              </w:rPr>
            </w:pPr>
          </w:p>
        </w:tc>
        <w:tc>
          <w:tcPr>
            <w:tcW w:w="2415" w:type="dxa"/>
            <w:tcBorders>
              <w:right w:val="single" w:color="auto" w:sz="4" w:space="0"/>
            </w:tcBorders>
          </w:tcPr>
          <w:p w14:paraId="1444FF81">
            <w:pPr>
              <w:jc w:val="center"/>
              <w:rPr>
                <w:rFonts w:ascii="宋体" w:hAnsi="宋体" w:cs="宋体"/>
                <w:color w:val="auto"/>
                <w:sz w:val="24"/>
                <w:szCs w:val="24"/>
                <w:highlight w:val="none"/>
              </w:rPr>
            </w:pPr>
          </w:p>
        </w:tc>
        <w:tc>
          <w:tcPr>
            <w:tcW w:w="1746" w:type="dxa"/>
            <w:tcBorders>
              <w:left w:val="single" w:color="auto" w:sz="4" w:space="0"/>
            </w:tcBorders>
          </w:tcPr>
          <w:p w14:paraId="08F709BF">
            <w:pPr>
              <w:jc w:val="center"/>
              <w:rPr>
                <w:rFonts w:ascii="宋体" w:hAnsi="宋体" w:cs="宋体"/>
                <w:color w:val="auto"/>
                <w:sz w:val="24"/>
                <w:szCs w:val="24"/>
                <w:highlight w:val="none"/>
              </w:rPr>
            </w:pPr>
          </w:p>
        </w:tc>
      </w:tr>
      <w:tr w14:paraId="4A362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7386E16">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387" w:type="dxa"/>
          </w:tcPr>
          <w:p w14:paraId="7428EB05">
            <w:pPr>
              <w:jc w:val="center"/>
              <w:rPr>
                <w:rFonts w:ascii="宋体" w:hAnsi="宋体" w:cs="宋体"/>
                <w:color w:val="auto"/>
                <w:sz w:val="24"/>
                <w:szCs w:val="24"/>
                <w:highlight w:val="none"/>
              </w:rPr>
            </w:pPr>
          </w:p>
        </w:tc>
        <w:tc>
          <w:tcPr>
            <w:tcW w:w="1462" w:type="dxa"/>
          </w:tcPr>
          <w:p w14:paraId="13282032">
            <w:pPr>
              <w:jc w:val="center"/>
              <w:rPr>
                <w:rFonts w:ascii="宋体" w:hAnsi="宋体" w:cs="宋体"/>
                <w:color w:val="auto"/>
                <w:sz w:val="24"/>
                <w:szCs w:val="24"/>
                <w:highlight w:val="none"/>
              </w:rPr>
            </w:pPr>
          </w:p>
        </w:tc>
        <w:tc>
          <w:tcPr>
            <w:tcW w:w="2415" w:type="dxa"/>
            <w:tcBorders>
              <w:right w:val="single" w:color="auto" w:sz="4" w:space="0"/>
            </w:tcBorders>
          </w:tcPr>
          <w:p w14:paraId="6EEE9823">
            <w:pPr>
              <w:jc w:val="center"/>
              <w:rPr>
                <w:rFonts w:ascii="宋体" w:hAnsi="宋体" w:cs="宋体"/>
                <w:color w:val="auto"/>
                <w:sz w:val="24"/>
                <w:szCs w:val="24"/>
                <w:highlight w:val="none"/>
              </w:rPr>
            </w:pPr>
          </w:p>
        </w:tc>
        <w:tc>
          <w:tcPr>
            <w:tcW w:w="1746" w:type="dxa"/>
            <w:tcBorders>
              <w:left w:val="single" w:color="auto" w:sz="4" w:space="0"/>
            </w:tcBorders>
          </w:tcPr>
          <w:p w14:paraId="3F30CAD3">
            <w:pPr>
              <w:jc w:val="center"/>
              <w:rPr>
                <w:rFonts w:ascii="宋体" w:hAnsi="宋体" w:cs="宋体"/>
                <w:color w:val="auto"/>
                <w:sz w:val="24"/>
                <w:szCs w:val="24"/>
                <w:highlight w:val="none"/>
              </w:rPr>
            </w:pPr>
          </w:p>
        </w:tc>
      </w:tr>
      <w:tr w14:paraId="1C6EA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5939830">
            <w:pPr>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387" w:type="dxa"/>
          </w:tcPr>
          <w:p w14:paraId="0CC3588C">
            <w:pPr>
              <w:jc w:val="center"/>
              <w:rPr>
                <w:rFonts w:ascii="宋体" w:hAnsi="宋体" w:cs="宋体"/>
                <w:color w:val="auto"/>
                <w:sz w:val="24"/>
                <w:szCs w:val="24"/>
                <w:highlight w:val="none"/>
              </w:rPr>
            </w:pPr>
          </w:p>
        </w:tc>
        <w:tc>
          <w:tcPr>
            <w:tcW w:w="1462" w:type="dxa"/>
          </w:tcPr>
          <w:p w14:paraId="1D6EAE38">
            <w:pPr>
              <w:jc w:val="center"/>
              <w:rPr>
                <w:rFonts w:ascii="宋体" w:hAnsi="宋体" w:cs="宋体"/>
                <w:color w:val="auto"/>
                <w:sz w:val="24"/>
                <w:szCs w:val="24"/>
                <w:highlight w:val="none"/>
              </w:rPr>
            </w:pPr>
          </w:p>
        </w:tc>
        <w:tc>
          <w:tcPr>
            <w:tcW w:w="2415" w:type="dxa"/>
            <w:tcBorders>
              <w:right w:val="single" w:color="auto" w:sz="4" w:space="0"/>
            </w:tcBorders>
          </w:tcPr>
          <w:p w14:paraId="3568CAEA">
            <w:pPr>
              <w:jc w:val="center"/>
              <w:rPr>
                <w:rFonts w:ascii="宋体" w:hAnsi="宋体" w:cs="宋体"/>
                <w:color w:val="auto"/>
                <w:sz w:val="24"/>
                <w:szCs w:val="24"/>
                <w:highlight w:val="none"/>
              </w:rPr>
            </w:pPr>
          </w:p>
        </w:tc>
        <w:tc>
          <w:tcPr>
            <w:tcW w:w="1746" w:type="dxa"/>
            <w:tcBorders>
              <w:left w:val="single" w:color="auto" w:sz="4" w:space="0"/>
            </w:tcBorders>
          </w:tcPr>
          <w:p w14:paraId="5F35CE35">
            <w:pPr>
              <w:jc w:val="center"/>
              <w:rPr>
                <w:rFonts w:ascii="宋体" w:hAnsi="宋体" w:cs="宋体"/>
                <w:color w:val="auto"/>
                <w:sz w:val="24"/>
                <w:szCs w:val="24"/>
                <w:highlight w:val="none"/>
              </w:rPr>
            </w:pPr>
          </w:p>
        </w:tc>
      </w:tr>
      <w:tr w14:paraId="4DA15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C9AE2A5">
            <w:pPr>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387" w:type="dxa"/>
          </w:tcPr>
          <w:p w14:paraId="79252EF9">
            <w:pPr>
              <w:jc w:val="center"/>
              <w:rPr>
                <w:rFonts w:ascii="宋体" w:hAnsi="宋体" w:cs="宋体"/>
                <w:color w:val="auto"/>
                <w:sz w:val="24"/>
                <w:szCs w:val="24"/>
                <w:highlight w:val="none"/>
              </w:rPr>
            </w:pPr>
          </w:p>
        </w:tc>
        <w:tc>
          <w:tcPr>
            <w:tcW w:w="1462" w:type="dxa"/>
          </w:tcPr>
          <w:p w14:paraId="6B1E4E3A">
            <w:pPr>
              <w:jc w:val="center"/>
              <w:rPr>
                <w:rFonts w:ascii="宋体" w:hAnsi="宋体" w:cs="宋体"/>
                <w:color w:val="auto"/>
                <w:sz w:val="24"/>
                <w:szCs w:val="24"/>
                <w:highlight w:val="none"/>
              </w:rPr>
            </w:pPr>
          </w:p>
        </w:tc>
        <w:tc>
          <w:tcPr>
            <w:tcW w:w="2415" w:type="dxa"/>
            <w:tcBorders>
              <w:right w:val="single" w:color="auto" w:sz="4" w:space="0"/>
            </w:tcBorders>
          </w:tcPr>
          <w:p w14:paraId="13449894">
            <w:pPr>
              <w:jc w:val="center"/>
              <w:rPr>
                <w:rFonts w:ascii="宋体" w:hAnsi="宋体" w:cs="宋体"/>
                <w:color w:val="auto"/>
                <w:sz w:val="24"/>
                <w:szCs w:val="24"/>
                <w:highlight w:val="none"/>
              </w:rPr>
            </w:pPr>
          </w:p>
        </w:tc>
        <w:tc>
          <w:tcPr>
            <w:tcW w:w="1746" w:type="dxa"/>
            <w:tcBorders>
              <w:left w:val="single" w:color="auto" w:sz="4" w:space="0"/>
            </w:tcBorders>
          </w:tcPr>
          <w:p w14:paraId="7EE83F4F">
            <w:pPr>
              <w:jc w:val="center"/>
              <w:rPr>
                <w:rFonts w:ascii="宋体" w:hAnsi="宋体" w:cs="宋体"/>
                <w:color w:val="auto"/>
                <w:sz w:val="24"/>
                <w:szCs w:val="24"/>
                <w:highlight w:val="none"/>
              </w:rPr>
            </w:pPr>
          </w:p>
        </w:tc>
      </w:tr>
      <w:tr w14:paraId="3045D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24D690B">
            <w:pPr>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2387" w:type="dxa"/>
          </w:tcPr>
          <w:p w14:paraId="650DA4C2">
            <w:pPr>
              <w:jc w:val="center"/>
              <w:rPr>
                <w:rFonts w:ascii="宋体" w:hAnsi="宋体" w:cs="宋体"/>
                <w:color w:val="auto"/>
                <w:sz w:val="24"/>
                <w:szCs w:val="24"/>
                <w:highlight w:val="none"/>
              </w:rPr>
            </w:pPr>
          </w:p>
        </w:tc>
        <w:tc>
          <w:tcPr>
            <w:tcW w:w="1462" w:type="dxa"/>
          </w:tcPr>
          <w:p w14:paraId="116EF5EE">
            <w:pPr>
              <w:jc w:val="center"/>
              <w:rPr>
                <w:rFonts w:ascii="宋体" w:hAnsi="宋体" w:cs="宋体"/>
                <w:color w:val="auto"/>
                <w:sz w:val="24"/>
                <w:szCs w:val="24"/>
                <w:highlight w:val="none"/>
              </w:rPr>
            </w:pPr>
          </w:p>
        </w:tc>
        <w:tc>
          <w:tcPr>
            <w:tcW w:w="2415" w:type="dxa"/>
            <w:tcBorders>
              <w:right w:val="single" w:color="auto" w:sz="4" w:space="0"/>
            </w:tcBorders>
          </w:tcPr>
          <w:p w14:paraId="1C985C72">
            <w:pPr>
              <w:jc w:val="center"/>
              <w:rPr>
                <w:rFonts w:ascii="宋体" w:hAnsi="宋体" w:cs="宋体"/>
                <w:color w:val="auto"/>
                <w:sz w:val="24"/>
                <w:szCs w:val="24"/>
                <w:highlight w:val="none"/>
              </w:rPr>
            </w:pPr>
          </w:p>
        </w:tc>
        <w:tc>
          <w:tcPr>
            <w:tcW w:w="1746" w:type="dxa"/>
            <w:tcBorders>
              <w:left w:val="single" w:color="auto" w:sz="4" w:space="0"/>
            </w:tcBorders>
          </w:tcPr>
          <w:p w14:paraId="18A5405B">
            <w:pPr>
              <w:jc w:val="center"/>
              <w:rPr>
                <w:rFonts w:ascii="宋体" w:hAnsi="宋体" w:cs="宋体"/>
                <w:color w:val="auto"/>
                <w:sz w:val="24"/>
                <w:szCs w:val="24"/>
                <w:highlight w:val="none"/>
              </w:rPr>
            </w:pPr>
          </w:p>
        </w:tc>
      </w:tr>
      <w:tr w14:paraId="7B14D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C1557E8">
            <w:pPr>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2387" w:type="dxa"/>
          </w:tcPr>
          <w:p w14:paraId="40C9E0C7">
            <w:pPr>
              <w:jc w:val="center"/>
              <w:rPr>
                <w:rFonts w:ascii="宋体" w:hAnsi="宋体" w:cs="宋体"/>
                <w:color w:val="auto"/>
                <w:sz w:val="24"/>
                <w:szCs w:val="24"/>
                <w:highlight w:val="none"/>
              </w:rPr>
            </w:pPr>
          </w:p>
        </w:tc>
        <w:tc>
          <w:tcPr>
            <w:tcW w:w="1462" w:type="dxa"/>
          </w:tcPr>
          <w:p w14:paraId="163C0206">
            <w:pPr>
              <w:jc w:val="center"/>
              <w:rPr>
                <w:rFonts w:ascii="宋体" w:hAnsi="宋体" w:cs="宋体"/>
                <w:color w:val="auto"/>
                <w:sz w:val="24"/>
                <w:szCs w:val="24"/>
                <w:highlight w:val="none"/>
              </w:rPr>
            </w:pPr>
          </w:p>
        </w:tc>
        <w:tc>
          <w:tcPr>
            <w:tcW w:w="2415" w:type="dxa"/>
            <w:tcBorders>
              <w:right w:val="single" w:color="auto" w:sz="4" w:space="0"/>
            </w:tcBorders>
          </w:tcPr>
          <w:p w14:paraId="5941CB9C">
            <w:pPr>
              <w:jc w:val="center"/>
              <w:rPr>
                <w:rFonts w:ascii="宋体" w:hAnsi="宋体" w:cs="宋体"/>
                <w:color w:val="auto"/>
                <w:sz w:val="24"/>
                <w:szCs w:val="24"/>
                <w:highlight w:val="none"/>
              </w:rPr>
            </w:pPr>
          </w:p>
        </w:tc>
        <w:tc>
          <w:tcPr>
            <w:tcW w:w="1746" w:type="dxa"/>
            <w:tcBorders>
              <w:left w:val="single" w:color="auto" w:sz="4" w:space="0"/>
            </w:tcBorders>
          </w:tcPr>
          <w:p w14:paraId="2B8DF11C">
            <w:pPr>
              <w:jc w:val="center"/>
              <w:rPr>
                <w:rFonts w:ascii="宋体" w:hAnsi="宋体" w:cs="宋体"/>
                <w:color w:val="auto"/>
                <w:sz w:val="24"/>
                <w:szCs w:val="24"/>
                <w:highlight w:val="none"/>
              </w:rPr>
            </w:pPr>
          </w:p>
        </w:tc>
      </w:tr>
      <w:tr w14:paraId="4D4CC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0F8041FD">
            <w:pPr>
              <w:jc w:val="center"/>
              <w:rPr>
                <w:rFonts w:ascii="宋体" w:hAnsi="宋体" w:cs="宋体"/>
                <w:color w:val="auto"/>
                <w:sz w:val="24"/>
                <w:szCs w:val="24"/>
                <w:highlight w:val="none"/>
              </w:rPr>
            </w:pPr>
            <w:r>
              <w:rPr>
                <w:rFonts w:hint="eastAsia" w:ascii="宋体" w:hAnsi="宋体" w:cs="宋体"/>
                <w:color w:val="auto"/>
                <w:sz w:val="24"/>
                <w:szCs w:val="24"/>
                <w:highlight w:val="none"/>
              </w:rPr>
              <w:t>合计</w:t>
            </w:r>
          </w:p>
        </w:tc>
        <w:tc>
          <w:tcPr>
            <w:tcW w:w="2387" w:type="dxa"/>
          </w:tcPr>
          <w:p w14:paraId="2308316C">
            <w:pPr>
              <w:jc w:val="center"/>
              <w:rPr>
                <w:rFonts w:ascii="宋体" w:hAnsi="宋体" w:cs="宋体"/>
                <w:color w:val="auto"/>
                <w:sz w:val="24"/>
                <w:szCs w:val="24"/>
                <w:highlight w:val="none"/>
              </w:rPr>
            </w:pPr>
          </w:p>
        </w:tc>
        <w:tc>
          <w:tcPr>
            <w:tcW w:w="1462" w:type="dxa"/>
          </w:tcPr>
          <w:p w14:paraId="661BF6F4">
            <w:pPr>
              <w:jc w:val="center"/>
              <w:rPr>
                <w:rFonts w:ascii="宋体" w:hAnsi="宋体" w:cs="宋体"/>
                <w:color w:val="auto"/>
                <w:sz w:val="24"/>
                <w:szCs w:val="24"/>
                <w:highlight w:val="none"/>
              </w:rPr>
            </w:pPr>
          </w:p>
        </w:tc>
        <w:tc>
          <w:tcPr>
            <w:tcW w:w="2415" w:type="dxa"/>
            <w:tcBorders>
              <w:right w:val="single" w:color="auto" w:sz="4" w:space="0"/>
            </w:tcBorders>
          </w:tcPr>
          <w:p w14:paraId="6FE752AD">
            <w:pPr>
              <w:jc w:val="center"/>
              <w:rPr>
                <w:rFonts w:ascii="宋体" w:hAnsi="宋体" w:cs="宋体"/>
                <w:color w:val="auto"/>
                <w:sz w:val="24"/>
                <w:szCs w:val="24"/>
                <w:highlight w:val="none"/>
              </w:rPr>
            </w:pPr>
          </w:p>
        </w:tc>
        <w:tc>
          <w:tcPr>
            <w:tcW w:w="1746" w:type="dxa"/>
            <w:tcBorders>
              <w:left w:val="single" w:color="auto" w:sz="4" w:space="0"/>
            </w:tcBorders>
          </w:tcPr>
          <w:p w14:paraId="2105F4C0">
            <w:pPr>
              <w:jc w:val="center"/>
              <w:rPr>
                <w:rFonts w:ascii="宋体" w:hAnsi="宋体" w:cs="宋体"/>
                <w:color w:val="auto"/>
                <w:sz w:val="24"/>
                <w:szCs w:val="24"/>
                <w:highlight w:val="none"/>
              </w:rPr>
            </w:pPr>
          </w:p>
        </w:tc>
      </w:tr>
    </w:tbl>
    <w:p w14:paraId="3CB1C5F7">
      <w:pPr>
        <w:spacing w:line="360" w:lineRule="auto"/>
        <w:rPr>
          <w:rFonts w:ascii="宋体" w:hAnsi="宋体" w:cs="宋体"/>
          <w:color w:val="auto"/>
          <w:sz w:val="24"/>
          <w:szCs w:val="24"/>
          <w:highlight w:val="none"/>
        </w:rPr>
      </w:pPr>
    </w:p>
    <w:p w14:paraId="6722BB3E">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56DBB229">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470F465D">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5891B23A">
      <w:pPr>
        <w:snapToGrid w:val="0"/>
        <w:spacing w:before="50" w:afterLines="50"/>
        <w:jc w:val="left"/>
        <w:rPr>
          <w:rFonts w:ascii="宋体" w:hAnsi="宋体" w:cs="宋体"/>
          <w:b/>
          <w:bCs/>
          <w:color w:val="auto"/>
          <w:sz w:val="24"/>
          <w:szCs w:val="24"/>
          <w:highlight w:val="none"/>
          <w:lang w:val="zh-CN"/>
        </w:rPr>
      </w:pPr>
      <w:r>
        <w:rPr>
          <w:rFonts w:hint="eastAsia" w:ascii="宋体" w:hAnsi="宋体" w:cs="宋体"/>
          <w:b/>
          <w:bCs/>
          <w:color w:val="auto"/>
          <w:sz w:val="30"/>
          <w:szCs w:val="30"/>
          <w:highlight w:val="none"/>
        </w:rPr>
        <w:br w:type="page"/>
      </w: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八</w:t>
      </w:r>
      <w:r>
        <w:rPr>
          <w:rFonts w:hint="eastAsia" w:ascii="宋体" w:hAnsi="宋体" w:cs="宋体"/>
          <w:b/>
          <w:bCs/>
          <w:color w:val="auto"/>
          <w:sz w:val="24"/>
          <w:szCs w:val="24"/>
          <w:highlight w:val="none"/>
          <w:lang w:val="zh-CN"/>
        </w:rPr>
        <w:t>：</w:t>
      </w:r>
    </w:p>
    <w:p w14:paraId="0F57D8A7">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投标项目明细清单</w:t>
      </w:r>
    </w:p>
    <w:p w14:paraId="64D1B869">
      <w:pPr>
        <w:spacing w:line="360" w:lineRule="auto"/>
        <w:ind w:firstLine="480" w:firstLineChars="200"/>
        <w:rPr>
          <w:rFonts w:ascii="宋体" w:hAnsi="宋体" w:cs="宋体"/>
          <w:color w:val="auto"/>
          <w:sz w:val="24"/>
          <w:szCs w:val="24"/>
          <w:highlight w:val="none"/>
        </w:rPr>
      </w:pPr>
    </w:p>
    <w:p w14:paraId="505CED8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43D74BA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7B991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28364787">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3A05908">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765039D5">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064CDA55">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工作量</w:t>
            </w:r>
          </w:p>
        </w:tc>
      </w:tr>
      <w:tr w14:paraId="056BD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7622E31F">
            <w:pPr>
              <w:snapToGrid w:val="0"/>
              <w:spacing w:before="50" w:after="50"/>
              <w:jc w:val="center"/>
              <w:rPr>
                <w:rFonts w:ascii="宋体" w:hAnsi="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7DA35936">
            <w:pPr>
              <w:snapToGrid w:val="0"/>
              <w:spacing w:before="50" w:after="50"/>
              <w:jc w:val="center"/>
              <w:rPr>
                <w:rFonts w:ascii="宋体" w:hAnsi="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1D309B7F">
            <w:pPr>
              <w:snapToGrid w:val="0"/>
              <w:spacing w:before="50" w:after="50"/>
              <w:ind w:left="480" w:hanging="480"/>
              <w:jc w:val="center"/>
              <w:rPr>
                <w:rFonts w:ascii="宋体" w:hAnsi="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70A27B87">
            <w:pPr>
              <w:snapToGrid w:val="0"/>
              <w:spacing w:before="50" w:after="50"/>
              <w:jc w:val="center"/>
              <w:rPr>
                <w:rFonts w:ascii="宋体" w:hAnsi="宋体" w:cs="宋体"/>
                <w:color w:val="auto"/>
                <w:sz w:val="24"/>
                <w:szCs w:val="24"/>
                <w:highlight w:val="none"/>
              </w:rPr>
            </w:pPr>
          </w:p>
        </w:tc>
      </w:tr>
      <w:tr w14:paraId="69D4B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79096C25">
            <w:pPr>
              <w:snapToGrid w:val="0"/>
              <w:spacing w:before="50" w:after="50"/>
              <w:jc w:val="center"/>
              <w:rPr>
                <w:rFonts w:ascii="宋体" w:hAnsi="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63FD59A">
            <w:pPr>
              <w:snapToGrid w:val="0"/>
              <w:spacing w:before="50" w:after="50"/>
              <w:jc w:val="center"/>
              <w:rPr>
                <w:rFonts w:ascii="宋体" w:hAnsi="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C41D3DC">
            <w:pPr>
              <w:snapToGrid w:val="0"/>
              <w:spacing w:before="50" w:after="50"/>
              <w:ind w:left="480" w:hanging="480"/>
              <w:jc w:val="center"/>
              <w:rPr>
                <w:rFonts w:ascii="宋体" w:hAnsi="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758BD8DA">
            <w:pPr>
              <w:snapToGrid w:val="0"/>
              <w:spacing w:before="50" w:after="50"/>
              <w:jc w:val="center"/>
              <w:rPr>
                <w:rFonts w:ascii="宋体" w:hAnsi="宋体" w:cs="宋体"/>
                <w:color w:val="auto"/>
                <w:sz w:val="24"/>
                <w:szCs w:val="24"/>
                <w:highlight w:val="none"/>
              </w:rPr>
            </w:pPr>
          </w:p>
        </w:tc>
      </w:tr>
    </w:tbl>
    <w:p w14:paraId="4B99768B">
      <w:pPr>
        <w:snapToGrid w:val="0"/>
        <w:spacing w:before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注：在填写时，如上表不适合本项目的实际情况，可在确保投标明细内容完整的情况下，根据上表格式自行划表填写。</w:t>
      </w:r>
    </w:p>
    <w:p w14:paraId="7581F48E">
      <w:pPr>
        <w:pStyle w:val="3"/>
        <w:rPr>
          <w:color w:val="auto"/>
          <w:highlight w:val="none"/>
        </w:rPr>
      </w:pPr>
    </w:p>
    <w:p w14:paraId="7F91C47B">
      <w:pPr>
        <w:pStyle w:val="3"/>
        <w:rPr>
          <w:color w:val="auto"/>
          <w:highlight w:val="none"/>
        </w:rPr>
      </w:pPr>
    </w:p>
    <w:p w14:paraId="0FF2CE4C">
      <w:pPr>
        <w:pStyle w:val="3"/>
        <w:rPr>
          <w:color w:val="auto"/>
          <w:highlight w:val="none"/>
        </w:rPr>
      </w:pPr>
    </w:p>
    <w:p w14:paraId="197A4F95">
      <w:pPr>
        <w:snapToGrid w:val="0"/>
        <w:spacing w:beforeLines="50"/>
        <w:rPr>
          <w:rFonts w:ascii="宋体" w:hAnsi="宋体" w:cs="宋体"/>
          <w:color w:val="auto"/>
          <w:sz w:val="24"/>
          <w:szCs w:val="24"/>
          <w:highlight w:val="none"/>
        </w:rPr>
      </w:pPr>
    </w:p>
    <w:p w14:paraId="4DD6453E">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1EE723A2">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2B91F676">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44B95BDC">
      <w:pPr>
        <w:snapToGrid w:val="0"/>
        <w:spacing w:before="50" w:after="50"/>
        <w:rPr>
          <w:rFonts w:ascii="宋体" w:hAnsi="宋体" w:cs="宋体"/>
          <w:color w:val="auto"/>
          <w:spacing w:val="20"/>
          <w:sz w:val="24"/>
          <w:szCs w:val="24"/>
          <w:highlight w:val="none"/>
        </w:rPr>
      </w:pPr>
    </w:p>
    <w:p w14:paraId="71CD06B3">
      <w:pPr>
        <w:snapToGrid w:val="0"/>
        <w:spacing w:before="50" w:after="50"/>
        <w:rPr>
          <w:rFonts w:ascii="宋体" w:hAnsi="宋体" w:cs="宋体"/>
          <w:color w:val="auto"/>
          <w:spacing w:val="20"/>
          <w:sz w:val="30"/>
          <w:szCs w:val="30"/>
          <w:highlight w:val="none"/>
        </w:rPr>
      </w:pPr>
    </w:p>
    <w:p w14:paraId="6BF26C09">
      <w:pPr>
        <w:pStyle w:val="3"/>
        <w:ind w:firstLine="686"/>
        <w:rPr>
          <w:color w:val="auto"/>
          <w:spacing w:val="20"/>
          <w:sz w:val="30"/>
          <w:szCs w:val="30"/>
          <w:highlight w:val="none"/>
        </w:rPr>
      </w:pPr>
    </w:p>
    <w:p w14:paraId="561E5FF0">
      <w:pPr>
        <w:pStyle w:val="3"/>
        <w:ind w:firstLine="686"/>
        <w:rPr>
          <w:color w:val="auto"/>
          <w:spacing w:val="20"/>
          <w:sz w:val="30"/>
          <w:szCs w:val="30"/>
          <w:highlight w:val="none"/>
        </w:rPr>
        <w:sectPr>
          <w:footerReference r:id="rId5" w:type="default"/>
          <w:pgSz w:w="11906" w:h="16838"/>
          <w:pgMar w:top="1440" w:right="1803" w:bottom="1440" w:left="1803" w:header="851" w:footer="992" w:gutter="0"/>
          <w:pgNumType w:fmt="decimal"/>
          <w:cols w:space="0" w:num="1"/>
          <w:docGrid w:type="lines" w:linePitch="325" w:charSpace="0"/>
        </w:sectPr>
      </w:pPr>
    </w:p>
    <w:p w14:paraId="0B854029">
      <w:pPr>
        <w:rPr>
          <w:rFonts w:ascii="宋体" w:hAnsi="宋体" w:cs="宋体"/>
          <w:b/>
          <w:bCs/>
          <w:color w:val="auto"/>
          <w:sz w:val="24"/>
          <w:szCs w:val="24"/>
          <w:highlight w:val="none"/>
        </w:rPr>
      </w:pPr>
      <w:bookmarkStart w:id="106" w:name="_Toc2823"/>
      <w:r>
        <w:rPr>
          <w:rFonts w:hint="eastAsia" w:ascii="宋体" w:hAnsi="宋体" w:cs="宋体"/>
          <w:b/>
          <w:bCs/>
          <w:color w:val="auto"/>
          <w:sz w:val="24"/>
          <w:szCs w:val="24"/>
          <w:highlight w:val="none"/>
        </w:rPr>
        <w:t>附件九：</w:t>
      </w:r>
    </w:p>
    <w:p w14:paraId="2E251FEE">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技术响应及建议表</w:t>
      </w:r>
      <w:bookmarkEnd w:id="106"/>
    </w:p>
    <w:p w14:paraId="533166F6">
      <w:pPr>
        <w:spacing w:line="360" w:lineRule="auto"/>
        <w:ind w:firstLine="480" w:firstLineChars="200"/>
        <w:rPr>
          <w:rFonts w:ascii="宋体" w:hAnsi="宋体" w:cs="宋体"/>
          <w:color w:val="auto"/>
          <w:sz w:val="24"/>
          <w:szCs w:val="24"/>
          <w:highlight w:val="none"/>
        </w:rPr>
      </w:pPr>
    </w:p>
    <w:p w14:paraId="142E985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116B80D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38EE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62B5AA9">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440" w:type="dxa"/>
            <w:vAlign w:val="center"/>
          </w:tcPr>
          <w:p w14:paraId="1E6C4CE3">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名称</w:t>
            </w:r>
          </w:p>
        </w:tc>
        <w:tc>
          <w:tcPr>
            <w:tcW w:w="1980" w:type="dxa"/>
            <w:vAlign w:val="center"/>
          </w:tcPr>
          <w:p w14:paraId="6D4FD55F">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磋商文件要求</w:t>
            </w:r>
          </w:p>
        </w:tc>
        <w:tc>
          <w:tcPr>
            <w:tcW w:w="2520" w:type="dxa"/>
            <w:vAlign w:val="center"/>
          </w:tcPr>
          <w:p w14:paraId="56752B51">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响应文件响应</w:t>
            </w:r>
          </w:p>
        </w:tc>
        <w:tc>
          <w:tcPr>
            <w:tcW w:w="1953" w:type="dxa"/>
            <w:vAlign w:val="center"/>
          </w:tcPr>
          <w:p w14:paraId="6F3B8332">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偏离情况</w:t>
            </w:r>
          </w:p>
        </w:tc>
      </w:tr>
      <w:tr w14:paraId="2A5F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A05AC08">
            <w:pPr>
              <w:snapToGrid w:val="0"/>
              <w:spacing w:before="50" w:after="50"/>
              <w:jc w:val="center"/>
              <w:rPr>
                <w:rFonts w:ascii="宋体" w:hAnsi="宋体" w:cs="宋体"/>
                <w:color w:val="auto"/>
                <w:sz w:val="24"/>
                <w:szCs w:val="24"/>
                <w:highlight w:val="none"/>
              </w:rPr>
            </w:pPr>
          </w:p>
        </w:tc>
        <w:tc>
          <w:tcPr>
            <w:tcW w:w="1440" w:type="dxa"/>
            <w:vAlign w:val="center"/>
          </w:tcPr>
          <w:p w14:paraId="3C64E943">
            <w:pPr>
              <w:snapToGrid w:val="0"/>
              <w:spacing w:before="50" w:after="50"/>
              <w:jc w:val="center"/>
              <w:rPr>
                <w:rFonts w:ascii="宋体" w:hAnsi="宋体" w:cs="宋体"/>
                <w:color w:val="auto"/>
                <w:sz w:val="24"/>
                <w:szCs w:val="24"/>
                <w:highlight w:val="none"/>
              </w:rPr>
            </w:pPr>
          </w:p>
        </w:tc>
        <w:tc>
          <w:tcPr>
            <w:tcW w:w="1980" w:type="dxa"/>
            <w:vAlign w:val="center"/>
          </w:tcPr>
          <w:p w14:paraId="715CFA39">
            <w:pPr>
              <w:snapToGrid w:val="0"/>
              <w:spacing w:before="50" w:after="50"/>
              <w:jc w:val="center"/>
              <w:rPr>
                <w:rFonts w:ascii="宋体" w:hAnsi="宋体" w:cs="宋体"/>
                <w:color w:val="auto"/>
                <w:sz w:val="24"/>
                <w:szCs w:val="24"/>
                <w:highlight w:val="none"/>
              </w:rPr>
            </w:pPr>
          </w:p>
        </w:tc>
        <w:tc>
          <w:tcPr>
            <w:tcW w:w="2520" w:type="dxa"/>
            <w:vAlign w:val="center"/>
          </w:tcPr>
          <w:p w14:paraId="29A0F493">
            <w:pPr>
              <w:snapToGrid w:val="0"/>
              <w:spacing w:before="50" w:after="50"/>
              <w:jc w:val="center"/>
              <w:rPr>
                <w:rFonts w:ascii="宋体" w:hAnsi="宋体" w:cs="宋体"/>
                <w:color w:val="auto"/>
                <w:sz w:val="24"/>
                <w:szCs w:val="24"/>
                <w:highlight w:val="none"/>
              </w:rPr>
            </w:pPr>
          </w:p>
        </w:tc>
        <w:tc>
          <w:tcPr>
            <w:tcW w:w="1953" w:type="dxa"/>
            <w:vAlign w:val="center"/>
          </w:tcPr>
          <w:p w14:paraId="546E438E">
            <w:pPr>
              <w:snapToGrid w:val="0"/>
              <w:spacing w:before="50" w:after="50"/>
              <w:jc w:val="center"/>
              <w:rPr>
                <w:rFonts w:ascii="宋体" w:hAnsi="宋体" w:cs="宋体"/>
                <w:color w:val="auto"/>
                <w:sz w:val="24"/>
                <w:szCs w:val="24"/>
                <w:highlight w:val="none"/>
              </w:rPr>
            </w:pPr>
          </w:p>
        </w:tc>
      </w:tr>
      <w:tr w14:paraId="56D1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34F624B">
            <w:pPr>
              <w:snapToGrid w:val="0"/>
              <w:spacing w:before="50" w:after="50"/>
              <w:jc w:val="center"/>
              <w:rPr>
                <w:rFonts w:ascii="宋体" w:hAnsi="宋体" w:cs="宋体"/>
                <w:color w:val="auto"/>
                <w:sz w:val="24"/>
                <w:szCs w:val="24"/>
                <w:highlight w:val="none"/>
              </w:rPr>
            </w:pPr>
          </w:p>
        </w:tc>
        <w:tc>
          <w:tcPr>
            <w:tcW w:w="1440" w:type="dxa"/>
            <w:vAlign w:val="center"/>
          </w:tcPr>
          <w:p w14:paraId="3505DBED">
            <w:pPr>
              <w:snapToGrid w:val="0"/>
              <w:spacing w:before="50" w:after="50"/>
              <w:jc w:val="center"/>
              <w:rPr>
                <w:rFonts w:ascii="宋体" w:hAnsi="宋体" w:cs="宋体"/>
                <w:color w:val="auto"/>
                <w:sz w:val="24"/>
                <w:szCs w:val="24"/>
                <w:highlight w:val="none"/>
              </w:rPr>
            </w:pPr>
          </w:p>
        </w:tc>
        <w:tc>
          <w:tcPr>
            <w:tcW w:w="1980" w:type="dxa"/>
            <w:vAlign w:val="center"/>
          </w:tcPr>
          <w:p w14:paraId="637D378C">
            <w:pPr>
              <w:snapToGrid w:val="0"/>
              <w:spacing w:before="50" w:after="50"/>
              <w:jc w:val="center"/>
              <w:rPr>
                <w:rFonts w:ascii="宋体" w:hAnsi="宋体" w:cs="宋体"/>
                <w:color w:val="auto"/>
                <w:sz w:val="24"/>
                <w:szCs w:val="24"/>
                <w:highlight w:val="none"/>
              </w:rPr>
            </w:pPr>
          </w:p>
        </w:tc>
        <w:tc>
          <w:tcPr>
            <w:tcW w:w="2520" w:type="dxa"/>
            <w:vAlign w:val="center"/>
          </w:tcPr>
          <w:p w14:paraId="258943BD">
            <w:pPr>
              <w:snapToGrid w:val="0"/>
              <w:spacing w:before="50" w:after="50"/>
              <w:jc w:val="center"/>
              <w:rPr>
                <w:rFonts w:ascii="宋体" w:hAnsi="宋体" w:cs="宋体"/>
                <w:color w:val="auto"/>
                <w:sz w:val="24"/>
                <w:szCs w:val="24"/>
                <w:highlight w:val="none"/>
              </w:rPr>
            </w:pPr>
          </w:p>
        </w:tc>
        <w:tc>
          <w:tcPr>
            <w:tcW w:w="1953" w:type="dxa"/>
            <w:vAlign w:val="center"/>
          </w:tcPr>
          <w:p w14:paraId="6EB74DF0">
            <w:pPr>
              <w:snapToGrid w:val="0"/>
              <w:spacing w:before="50" w:after="50"/>
              <w:jc w:val="center"/>
              <w:rPr>
                <w:rFonts w:ascii="宋体" w:hAnsi="宋体" w:cs="宋体"/>
                <w:color w:val="auto"/>
                <w:sz w:val="24"/>
                <w:szCs w:val="24"/>
                <w:highlight w:val="none"/>
              </w:rPr>
            </w:pPr>
          </w:p>
        </w:tc>
      </w:tr>
      <w:tr w14:paraId="2431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23C1F3B">
            <w:pPr>
              <w:snapToGrid w:val="0"/>
              <w:spacing w:before="50" w:after="50"/>
              <w:jc w:val="center"/>
              <w:rPr>
                <w:rFonts w:ascii="宋体" w:hAnsi="宋体" w:cs="宋体"/>
                <w:color w:val="auto"/>
                <w:sz w:val="24"/>
                <w:szCs w:val="24"/>
                <w:highlight w:val="none"/>
              </w:rPr>
            </w:pPr>
          </w:p>
        </w:tc>
        <w:tc>
          <w:tcPr>
            <w:tcW w:w="1440" w:type="dxa"/>
            <w:vAlign w:val="center"/>
          </w:tcPr>
          <w:p w14:paraId="7EF3BDA2">
            <w:pPr>
              <w:snapToGrid w:val="0"/>
              <w:spacing w:before="50" w:after="50"/>
              <w:jc w:val="center"/>
              <w:rPr>
                <w:rFonts w:ascii="宋体" w:hAnsi="宋体" w:cs="宋体"/>
                <w:color w:val="auto"/>
                <w:sz w:val="24"/>
                <w:szCs w:val="24"/>
                <w:highlight w:val="none"/>
              </w:rPr>
            </w:pPr>
          </w:p>
        </w:tc>
        <w:tc>
          <w:tcPr>
            <w:tcW w:w="1980" w:type="dxa"/>
            <w:vAlign w:val="center"/>
          </w:tcPr>
          <w:p w14:paraId="5C1DCF4A">
            <w:pPr>
              <w:snapToGrid w:val="0"/>
              <w:spacing w:before="50" w:after="50"/>
              <w:jc w:val="center"/>
              <w:rPr>
                <w:rFonts w:ascii="宋体" w:hAnsi="宋体" w:cs="宋体"/>
                <w:color w:val="auto"/>
                <w:sz w:val="24"/>
                <w:szCs w:val="24"/>
                <w:highlight w:val="none"/>
              </w:rPr>
            </w:pPr>
          </w:p>
        </w:tc>
        <w:tc>
          <w:tcPr>
            <w:tcW w:w="2520" w:type="dxa"/>
            <w:vAlign w:val="center"/>
          </w:tcPr>
          <w:p w14:paraId="0C0D255C">
            <w:pPr>
              <w:snapToGrid w:val="0"/>
              <w:spacing w:before="50" w:after="50"/>
              <w:jc w:val="center"/>
              <w:rPr>
                <w:rFonts w:ascii="宋体" w:hAnsi="宋体" w:cs="宋体"/>
                <w:color w:val="auto"/>
                <w:sz w:val="24"/>
                <w:szCs w:val="24"/>
                <w:highlight w:val="none"/>
              </w:rPr>
            </w:pPr>
          </w:p>
        </w:tc>
        <w:tc>
          <w:tcPr>
            <w:tcW w:w="1953" w:type="dxa"/>
            <w:vAlign w:val="center"/>
          </w:tcPr>
          <w:p w14:paraId="003C0E50">
            <w:pPr>
              <w:snapToGrid w:val="0"/>
              <w:spacing w:before="50" w:after="50"/>
              <w:jc w:val="center"/>
              <w:rPr>
                <w:rFonts w:ascii="宋体" w:hAnsi="宋体" w:cs="宋体"/>
                <w:color w:val="auto"/>
                <w:sz w:val="24"/>
                <w:szCs w:val="24"/>
                <w:highlight w:val="none"/>
              </w:rPr>
            </w:pPr>
          </w:p>
        </w:tc>
      </w:tr>
      <w:tr w14:paraId="1D83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16965AC">
            <w:pPr>
              <w:snapToGrid w:val="0"/>
              <w:spacing w:before="50" w:after="50"/>
              <w:jc w:val="center"/>
              <w:rPr>
                <w:rFonts w:ascii="宋体" w:hAnsi="宋体" w:cs="宋体"/>
                <w:color w:val="auto"/>
                <w:sz w:val="24"/>
                <w:szCs w:val="24"/>
                <w:highlight w:val="none"/>
              </w:rPr>
            </w:pPr>
          </w:p>
        </w:tc>
        <w:tc>
          <w:tcPr>
            <w:tcW w:w="1440" w:type="dxa"/>
            <w:vAlign w:val="center"/>
          </w:tcPr>
          <w:p w14:paraId="781E36FF">
            <w:pPr>
              <w:snapToGrid w:val="0"/>
              <w:spacing w:before="50" w:after="50"/>
              <w:jc w:val="center"/>
              <w:rPr>
                <w:rFonts w:ascii="宋体" w:hAnsi="宋体" w:cs="宋体"/>
                <w:color w:val="auto"/>
                <w:sz w:val="24"/>
                <w:szCs w:val="24"/>
                <w:highlight w:val="none"/>
              </w:rPr>
            </w:pPr>
          </w:p>
        </w:tc>
        <w:tc>
          <w:tcPr>
            <w:tcW w:w="1980" w:type="dxa"/>
            <w:vAlign w:val="center"/>
          </w:tcPr>
          <w:p w14:paraId="4B3FB12A">
            <w:pPr>
              <w:snapToGrid w:val="0"/>
              <w:spacing w:before="50" w:after="50"/>
              <w:jc w:val="center"/>
              <w:rPr>
                <w:rFonts w:ascii="宋体" w:hAnsi="宋体" w:cs="宋体"/>
                <w:color w:val="auto"/>
                <w:sz w:val="24"/>
                <w:szCs w:val="24"/>
                <w:highlight w:val="none"/>
              </w:rPr>
            </w:pPr>
          </w:p>
        </w:tc>
        <w:tc>
          <w:tcPr>
            <w:tcW w:w="2520" w:type="dxa"/>
            <w:vAlign w:val="center"/>
          </w:tcPr>
          <w:p w14:paraId="0225E9AB">
            <w:pPr>
              <w:snapToGrid w:val="0"/>
              <w:spacing w:before="50" w:after="50"/>
              <w:jc w:val="center"/>
              <w:rPr>
                <w:rFonts w:ascii="宋体" w:hAnsi="宋体" w:cs="宋体"/>
                <w:color w:val="auto"/>
                <w:sz w:val="24"/>
                <w:szCs w:val="24"/>
                <w:highlight w:val="none"/>
              </w:rPr>
            </w:pPr>
          </w:p>
        </w:tc>
        <w:tc>
          <w:tcPr>
            <w:tcW w:w="1953" w:type="dxa"/>
            <w:vAlign w:val="center"/>
          </w:tcPr>
          <w:p w14:paraId="1AB62D49">
            <w:pPr>
              <w:snapToGrid w:val="0"/>
              <w:spacing w:before="50" w:after="50"/>
              <w:jc w:val="center"/>
              <w:rPr>
                <w:rFonts w:ascii="宋体" w:hAnsi="宋体" w:cs="宋体"/>
                <w:color w:val="auto"/>
                <w:sz w:val="24"/>
                <w:szCs w:val="24"/>
                <w:highlight w:val="none"/>
              </w:rPr>
            </w:pPr>
          </w:p>
        </w:tc>
      </w:tr>
      <w:tr w14:paraId="7DDC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8B2587C">
            <w:pPr>
              <w:snapToGrid w:val="0"/>
              <w:spacing w:before="50" w:after="50"/>
              <w:jc w:val="center"/>
              <w:rPr>
                <w:rFonts w:ascii="宋体" w:hAnsi="宋体" w:cs="宋体"/>
                <w:color w:val="auto"/>
                <w:sz w:val="24"/>
                <w:szCs w:val="24"/>
                <w:highlight w:val="none"/>
              </w:rPr>
            </w:pPr>
          </w:p>
        </w:tc>
        <w:tc>
          <w:tcPr>
            <w:tcW w:w="1440" w:type="dxa"/>
            <w:vAlign w:val="center"/>
          </w:tcPr>
          <w:p w14:paraId="1EBB185F">
            <w:pPr>
              <w:snapToGrid w:val="0"/>
              <w:spacing w:before="50" w:after="50"/>
              <w:jc w:val="center"/>
              <w:rPr>
                <w:rFonts w:ascii="宋体" w:hAnsi="宋体" w:cs="宋体"/>
                <w:color w:val="auto"/>
                <w:sz w:val="24"/>
                <w:szCs w:val="24"/>
                <w:highlight w:val="none"/>
              </w:rPr>
            </w:pPr>
          </w:p>
        </w:tc>
        <w:tc>
          <w:tcPr>
            <w:tcW w:w="1980" w:type="dxa"/>
            <w:vAlign w:val="center"/>
          </w:tcPr>
          <w:p w14:paraId="7D77F958">
            <w:pPr>
              <w:snapToGrid w:val="0"/>
              <w:spacing w:before="50" w:after="50"/>
              <w:jc w:val="center"/>
              <w:rPr>
                <w:rFonts w:ascii="宋体" w:hAnsi="宋体" w:cs="宋体"/>
                <w:color w:val="auto"/>
                <w:sz w:val="24"/>
                <w:szCs w:val="24"/>
                <w:highlight w:val="none"/>
              </w:rPr>
            </w:pPr>
          </w:p>
        </w:tc>
        <w:tc>
          <w:tcPr>
            <w:tcW w:w="2520" w:type="dxa"/>
            <w:vAlign w:val="center"/>
          </w:tcPr>
          <w:p w14:paraId="26B6B5A4">
            <w:pPr>
              <w:snapToGrid w:val="0"/>
              <w:spacing w:before="50" w:after="50"/>
              <w:jc w:val="center"/>
              <w:rPr>
                <w:rFonts w:ascii="宋体" w:hAnsi="宋体" w:cs="宋体"/>
                <w:color w:val="auto"/>
                <w:sz w:val="24"/>
                <w:szCs w:val="24"/>
                <w:highlight w:val="none"/>
              </w:rPr>
            </w:pPr>
          </w:p>
        </w:tc>
        <w:tc>
          <w:tcPr>
            <w:tcW w:w="1953" w:type="dxa"/>
            <w:vAlign w:val="center"/>
          </w:tcPr>
          <w:p w14:paraId="63A98152">
            <w:pPr>
              <w:snapToGrid w:val="0"/>
              <w:spacing w:before="50" w:after="50"/>
              <w:jc w:val="center"/>
              <w:rPr>
                <w:rFonts w:ascii="宋体" w:hAnsi="宋体" w:cs="宋体"/>
                <w:color w:val="auto"/>
                <w:sz w:val="24"/>
                <w:szCs w:val="24"/>
                <w:highlight w:val="none"/>
              </w:rPr>
            </w:pPr>
          </w:p>
        </w:tc>
      </w:tr>
      <w:tr w14:paraId="69DD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4C91D9D7">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投标建议</w:t>
            </w:r>
          </w:p>
        </w:tc>
        <w:tc>
          <w:tcPr>
            <w:tcW w:w="6453" w:type="dxa"/>
            <w:gridSpan w:val="3"/>
            <w:vAlign w:val="center"/>
          </w:tcPr>
          <w:p w14:paraId="5A94DC2E">
            <w:pPr>
              <w:spacing w:line="360" w:lineRule="auto"/>
              <w:jc w:val="center"/>
              <w:rPr>
                <w:rFonts w:ascii="宋体" w:hAnsi="宋体" w:cs="宋体"/>
                <w:color w:val="auto"/>
                <w:sz w:val="24"/>
                <w:szCs w:val="24"/>
                <w:highlight w:val="none"/>
              </w:rPr>
            </w:pPr>
          </w:p>
        </w:tc>
      </w:tr>
    </w:tbl>
    <w:p w14:paraId="241F9266">
      <w:pPr>
        <w:snapToGrid w:val="0"/>
        <w:spacing w:line="360" w:lineRule="auto"/>
        <w:rPr>
          <w:rFonts w:ascii="宋体" w:hAnsi="宋体" w:cs="宋体"/>
          <w:color w:val="auto"/>
          <w:sz w:val="24"/>
          <w:szCs w:val="24"/>
          <w:highlight w:val="none"/>
        </w:rPr>
      </w:pPr>
    </w:p>
    <w:p w14:paraId="4A458BEB">
      <w:pPr>
        <w:pStyle w:val="14"/>
        <w:spacing w:line="360" w:lineRule="auto"/>
        <w:rPr>
          <w:rFonts w:hAnsi="宋体"/>
          <w:color w:val="auto"/>
          <w:sz w:val="24"/>
          <w:szCs w:val="24"/>
          <w:highlight w:val="none"/>
        </w:rPr>
      </w:pPr>
      <w:r>
        <w:rPr>
          <w:rFonts w:hint="eastAsia" w:hAnsi="宋体"/>
          <w:color w:val="auto"/>
          <w:sz w:val="24"/>
          <w:szCs w:val="24"/>
          <w:highlight w:val="none"/>
        </w:rPr>
        <w:t>注：名称可基于项目清单根据供应商实际情况调整。</w:t>
      </w:r>
    </w:p>
    <w:p w14:paraId="2E1E1870">
      <w:pPr>
        <w:rPr>
          <w:rFonts w:ascii="宋体" w:hAnsi="宋体" w:cs="宋体"/>
          <w:color w:val="auto"/>
          <w:sz w:val="24"/>
          <w:szCs w:val="24"/>
          <w:highlight w:val="none"/>
        </w:rPr>
      </w:pPr>
    </w:p>
    <w:p w14:paraId="24267A2E">
      <w:pPr>
        <w:pStyle w:val="3"/>
        <w:rPr>
          <w:color w:val="auto"/>
          <w:highlight w:val="none"/>
        </w:rPr>
      </w:pPr>
    </w:p>
    <w:p w14:paraId="2CFCDD16">
      <w:pPr>
        <w:snapToGrid w:val="0"/>
        <w:spacing w:line="360" w:lineRule="auto"/>
        <w:rPr>
          <w:rFonts w:ascii="宋体" w:hAnsi="宋体" w:cs="宋体"/>
          <w:color w:val="auto"/>
          <w:sz w:val="24"/>
          <w:szCs w:val="24"/>
          <w:highlight w:val="none"/>
        </w:rPr>
      </w:pPr>
    </w:p>
    <w:p w14:paraId="32E2719A">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133D273B">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4AACD3CC">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48A06370">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123C09EB">
      <w:pPr>
        <w:rPr>
          <w:rFonts w:ascii="宋体" w:hAnsi="宋体" w:cs="宋体"/>
          <w:b/>
          <w:bCs/>
          <w:color w:val="auto"/>
          <w:sz w:val="24"/>
          <w:szCs w:val="24"/>
          <w:highlight w:val="none"/>
        </w:rPr>
      </w:pPr>
      <w:r>
        <w:rPr>
          <w:rFonts w:hint="eastAsia" w:ascii="宋体" w:hAnsi="宋体" w:cs="宋体"/>
          <w:b/>
          <w:bCs/>
          <w:color w:val="auto"/>
          <w:sz w:val="24"/>
          <w:szCs w:val="24"/>
          <w:highlight w:val="none"/>
        </w:rPr>
        <w:t>附件十：</w:t>
      </w:r>
    </w:p>
    <w:p w14:paraId="52297E38">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商务响应表</w:t>
      </w:r>
    </w:p>
    <w:p w14:paraId="4560001B">
      <w:pPr>
        <w:snapToGrid w:val="0"/>
        <w:spacing w:before="50"/>
        <w:jc w:val="center"/>
        <w:rPr>
          <w:rFonts w:ascii="宋体" w:hAnsi="宋体" w:cs="宋体"/>
          <w:b/>
          <w:bCs/>
          <w:color w:val="auto"/>
          <w:sz w:val="32"/>
          <w:szCs w:val="32"/>
          <w:highlight w:val="none"/>
        </w:rPr>
      </w:pPr>
    </w:p>
    <w:p w14:paraId="4E1373B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48583D7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3"/>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2F9BE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C18C03D">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315D8D19">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4263D772">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是否</w:t>
            </w:r>
          </w:p>
          <w:p w14:paraId="12325E72">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响应</w:t>
            </w:r>
          </w:p>
        </w:tc>
        <w:tc>
          <w:tcPr>
            <w:tcW w:w="3020" w:type="dxa"/>
            <w:tcBorders>
              <w:top w:val="single" w:color="auto" w:sz="4" w:space="0"/>
              <w:left w:val="single" w:color="auto" w:sz="4" w:space="0"/>
              <w:bottom w:val="single" w:color="auto" w:sz="4" w:space="0"/>
            </w:tcBorders>
            <w:vAlign w:val="center"/>
          </w:tcPr>
          <w:p w14:paraId="1AC59CB6">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供应商的承诺或说明</w:t>
            </w:r>
          </w:p>
        </w:tc>
      </w:tr>
      <w:tr w14:paraId="51D34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DFB56E5">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1CEE5927">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A3BA13">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59297650">
            <w:pPr>
              <w:snapToGrid w:val="0"/>
              <w:spacing w:before="50" w:after="50"/>
              <w:jc w:val="center"/>
              <w:rPr>
                <w:rFonts w:ascii="宋体" w:hAnsi="宋体" w:cs="宋体"/>
                <w:color w:val="auto"/>
                <w:sz w:val="24"/>
                <w:szCs w:val="24"/>
                <w:highlight w:val="none"/>
              </w:rPr>
            </w:pPr>
          </w:p>
        </w:tc>
      </w:tr>
      <w:tr w14:paraId="2FD76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C58C2AB">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0991F633">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6E9257">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3916674F">
            <w:pPr>
              <w:snapToGrid w:val="0"/>
              <w:spacing w:before="50" w:after="50"/>
              <w:jc w:val="center"/>
              <w:rPr>
                <w:rFonts w:ascii="宋体" w:hAnsi="宋体" w:cs="宋体"/>
                <w:color w:val="auto"/>
                <w:sz w:val="24"/>
                <w:szCs w:val="24"/>
                <w:highlight w:val="none"/>
              </w:rPr>
            </w:pPr>
          </w:p>
        </w:tc>
      </w:tr>
      <w:tr w14:paraId="399DA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15AEF1AB">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127E94E5">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1C117B">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47A5E64">
            <w:pPr>
              <w:snapToGrid w:val="0"/>
              <w:spacing w:before="50" w:after="50"/>
              <w:jc w:val="center"/>
              <w:rPr>
                <w:rFonts w:ascii="宋体" w:hAnsi="宋体" w:cs="宋体"/>
                <w:color w:val="auto"/>
                <w:sz w:val="24"/>
                <w:szCs w:val="24"/>
                <w:highlight w:val="none"/>
              </w:rPr>
            </w:pPr>
          </w:p>
        </w:tc>
      </w:tr>
      <w:tr w14:paraId="792C4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6017A781">
            <w:pPr>
              <w:snapToGrid w:val="0"/>
              <w:spacing w:before="50" w:after="5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售后服务响应情况</w:t>
            </w:r>
          </w:p>
        </w:tc>
        <w:tc>
          <w:tcPr>
            <w:tcW w:w="2700" w:type="dxa"/>
            <w:tcBorders>
              <w:top w:val="single" w:color="auto" w:sz="4" w:space="0"/>
              <w:left w:val="single" w:color="auto" w:sz="4" w:space="0"/>
              <w:bottom w:val="single" w:color="auto" w:sz="4" w:space="0"/>
              <w:right w:val="single" w:color="auto" w:sz="4" w:space="0"/>
            </w:tcBorders>
            <w:vAlign w:val="center"/>
          </w:tcPr>
          <w:p w14:paraId="3319D373">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7D180B">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5EC5E78">
            <w:pPr>
              <w:snapToGrid w:val="0"/>
              <w:spacing w:before="50" w:after="50"/>
              <w:jc w:val="center"/>
              <w:rPr>
                <w:rFonts w:ascii="宋体" w:hAnsi="宋体" w:cs="宋体"/>
                <w:color w:val="auto"/>
                <w:sz w:val="24"/>
                <w:szCs w:val="24"/>
                <w:highlight w:val="none"/>
              </w:rPr>
            </w:pPr>
          </w:p>
        </w:tc>
      </w:tr>
      <w:tr w14:paraId="20760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3B079A04">
            <w:pPr>
              <w:snapToGrid w:val="0"/>
              <w:spacing w:before="50" w:after="5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培训</w:t>
            </w:r>
          </w:p>
        </w:tc>
        <w:tc>
          <w:tcPr>
            <w:tcW w:w="2700" w:type="dxa"/>
            <w:tcBorders>
              <w:top w:val="single" w:color="auto" w:sz="4" w:space="0"/>
              <w:left w:val="single" w:color="auto" w:sz="4" w:space="0"/>
              <w:bottom w:val="single" w:color="auto" w:sz="4" w:space="0"/>
              <w:right w:val="single" w:color="auto" w:sz="4" w:space="0"/>
            </w:tcBorders>
            <w:vAlign w:val="center"/>
          </w:tcPr>
          <w:p w14:paraId="15EF4F76">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C42998">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1C4EE73">
            <w:pPr>
              <w:snapToGrid w:val="0"/>
              <w:spacing w:before="50" w:after="50"/>
              <w:jc w:val="center"/>
              <w:rPr>
                <w:rFonts w:ascii="宋体" w:hAnsi="宋体" w:cs="宋体"/>
                <w:color w:val="auto"/>
                <w:sz w:val="24"/>
                <w:szCs w:val="24"/>
                <w:highlight w:val="none"/>
              </w:rPr>
            </w:pPr>
          </w:p>
        </w:tc>
      </w:tr>
      <w:tr w14:paraId="3A8DB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7E76EDC8">
            <w:pPr>
              <w:snapToGrid w:val="0"/>
              <w:spacing w:before="50" w:after="5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14:paraId="7868B0A1">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B63395C">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49E2B491">
            <w:pPr>
              <w:snapToGrid w:val="0"/>
              <w:spacing w:before="50" w:after="50"/>
              <w:jc w:val="center"/>
              <w:rPr>
                <w:rFonts w:ascii="宋体" w:hAnsi="宋体" w:cs="宋体"/>
                <w:color w:val="auto"/>
                <w:sz w:val="24"/>
                <w:szCs w:val="24"/>
                <w:highlight w:val="none"/>
              </w:rPr>
            </w:pPr>
          </w:p>
        </w:tc>
      </w:tr>
      <w:tr w14:paraId="62C57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411E0A91">
            <w:pPr>
              <w:snapToGrid w:val="0"/>
              <w:spacing w:before="50" w:after="5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3B384404">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A94F18">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509EBFCB">
            <w:pPr>
              <w:snapToGrid w:val="0"/>
              <w:spacing w:before="50" w:after="50"/>
              <w:jc w:val="center"/>
              <w:rPr>
                <w:rFonts w:ascii="宋体" w:hAnsi="宋体" w:cs="宋体"/>
                <w:color w:val="auto"/>
                <w:sz w:val="24"/>
                <w:szCs w:val="24"/>
                <w:highlight w:val="none"/>
              </w:rPr>
            </w:pPr>
          </w:p>
        </w:tc>
      </w:tr>
      <w:tr w14:paraId="35A3B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48051741">
            <w:pPr>
              <w:snapToGrid w:val="0"/>
              <w:spacing w:before="50" w:after="5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430CE05B">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5E946A">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1D75F86F">
            <w:pPr>
              <w:snapToGrid w:val="0"/>
              <w:spacing w:before="50" w:after="50"/>
              <w:jc w:val="center"/>
              <w:rPr>
                <w:rFonts w:ascii="宋体" w:hAnsi="宋体" w:cs="宋体"/>
                <w:color w:val="auto"/>
                <w:sz w:val="24"/>
                <w:szCs w:val="24"/>
                <w:highlight w:val="none"/>
              </w:rPr>
            </w:pPr>
          </w:p>
        </w:tc>
      </w:tr>
      <w:tr w14:paraId="2D814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6712C068">
            <w:pPr>
              <w:snapToGrid w:val="0"/>
              <w:spacing w:before="50" w:after="50"/>
              <w:jc w:val="center"/>
              <w:rPr>
                <w:rFonts w:ascii="宋体" w:hAnsi="宋体" w:eastAsia="宋体" w:cs="宋体"/>
                <w:color w:val="auto"/>
                <w:kern w:val="2"/>
                <w:sz w:val="24"/>
                <w:szCs w:val="24"/>
                <w:highlight w:val="none"/>
                <w:lang w:val="en-US" w:eastAsia="zh-CN" w:bidi="ar-SA"/>
              </w:rPr>
            </w:pPr>
          </w:p>
        </w:tc>
        <w:tc>
          <w:tcPr>
            <w:tcW w:w="2700" w:type="dxa"/>
            <w:tcBorders>
              <w:top w:val="single" w:color="auto" w:sz="4" w:space="0"/>
              <w:left w:val="single" w:color="auto" w:sz="4" w:space="0"/>
              <w:bottom w:val="single" w:color="auto" w:sz="4" w:space="0"/>
              <w:right w:val="single" w:color="auto" w:sz="4" w:space="0"/>
            </w:tcBorders>
            <w:vAlign w:val="center"/>
          </w:tcPr>
          <w:p w14:paraId="46986085">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DD0709">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6FC2449D">
            <w:pPr>
              <w:snapToGrid w:val="0"/>
              <w:spacing w:before="50" w:after="50"/>
              <w:jc w:val="center"/>
              <w:rPr>
                <w:rFonts w:ascii="宋体" w:hAnsi="宋体" w:cs="宋体"/>
                <w:color w:val="auto"/>
                <w:sz w:val="24"/>
                <w:szCs w:val="24"/>
                <w:highlight w:val="none"/>
              </w:rPr>
            </w:pPr>
          </w:p>
        </w:tc>
      </w:tr>
      <w:tr w14:paraId="42753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66885340">
            <w:pPr>
              <w:snapToGrid w:val="0"/>
              <w:spacing w:before="50" w:after="50"/>
              <w:jc w:val="center"/>
              <w:rPr>
                <w:rFonts w:ascii="宋体" w:hAnsi="宋体" w:cs="宋体"/>
                <w:color w:val="auto"/>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2975CB1E">
            <w:pPr>
              <w:snapToGrid w:val="0"/>
              <w:spacing w:before="50" w:after="50"/>
              <w:jc w:val="center"/>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66BB716">
            <w:pPr>
              <w:snapToGrid w:val="0"/>
              <w:spacing w:before="50" w:after="50"/>
              <w:jc w:val="center"/>
              <w:rPr>
                <w:rFonts w:ascii="宋体" w:hAnsi="宋体" w:cs="宋体"/>
                <w:color w:val="auto"/>
                <w:sz w:val="24"/>
                <w:szCs w:val="24"/>
                <w:highlight w:val="none"/>
              </w:rPr>
            </w:pPr>
          </w:p>
        </w:tc>
        <w:tc>
          <w:tcPr>
            <w:tcW w:w="3020" w:type="dxa"/>
            <w:tcBorders>
              <w:top w:val="single" w:color="auto" w:sz="4" w:space="0"/>
              <w:left w:val="single" w:color="auto" w:sz="4" w:space="0"/>
              <w:bottom w:val="single" w:color="auto" w:sz="4" w:space="0"/>
            </w:tcBorders>
            <w:vAlign w:val="center"/>
          </w:tcPr>
          <w:p w14:paraId="7BDD98EB">
            <w:pPr>
              <w:snapToGrid w:val="0"/>
              <w:spacing w:before="50" w:after="50"/>
              <w:jc w:val="center"/>
              <w:rPr>
                <w:rFonts w:ascii="宋体" w:hAnsi="宋体" w:cs="宋体"/>
                <w:color w:val="auto"/>
                <w:sz w:val="24"/>
                <w:szCs w:val="24"/>
                <w:highlight w:val="none"/>
              </w:rPr>
            </w:pPr>
          </w:p>
        </w:tc>
      </w:tr>
    </w:tbl>
    <w:p w14:paraId="21AB1C8D">
      <w:pPr>
        <w:spacing w:line="360" w:lineRule="auto"/>
        <w:ind w:left="3780" w:leftChars="1800" w:firstLine="480" w:firstLineChars="200"/>
        <w:rPr>
          <w:rFonts w:ascii="宋体" w:hAnsi="宋体" w:cs="宋体"/>
          <w:color w:val="auto"/>
          <w:sz w:val="24"/>
          <w:szCs w:val="24"/>
          <w:highlight w:val="none"/>
        </w:rPr>
      </w:pPr>
    </w:p>
    <w:p w14:paraId="2F30629D">
      <w:pPr>
        <w:spacing w:line="360" w:lineRule="auto"/>
        <w:ind w:left="3780" w:leftChars="1800" w:firstLine="480" w:firstLineChars="200"/>
        <w:rPr>
          <w:rFonts w:ascii="宋体" w:hAnsi="宋体" w:cs="宋体"/>
          <w:color w:val="auto"/>
          <w:sz w:val="24"/>
          <w:szCs w:val="24"/>
          <w:highlight w:val="none"/>
        </w:rPr>
      </w:pPr>
    </w:p>
    <w:p w14:paraId="066F6793">
      <w:pPr>
        <w:spacing w:line="360" w:lineRule="auto"/>
        <w:ind w:left="3780" w:leftChars="1800" w:firstLine="480" w:firstLineChars="200"/>
        <w:rPr>
          <w:rFonts w:ascii="宋体" w:hAnsi="宋体" w:cs="宋体"/>
          <w:color w:val="auto"/>
          <w:sz w:val="24"/>
          <w:szCs w:val="24"/>
          <w:highlight w:val="none"/>
        </w:rPr>
      </w:pPr>
    </w:p>
    <w:p w14:paraId="38E4DA2B">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3A42854F">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498EEA9A">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0CF182BB">
      <w:pPr>
        <w:rPr>
          <w:rFonts w:ascii="宋体" w:hAnsi="宋体" w:cs="宋体"/>
          <w:b/>
          <w:bCs/>
          <w:color w:val="auto"/>
          <w:sz w:val="24"/>
          <w:szCs w:val="24"/>
          <w:highlight w:val="none"/>
        </w:rPr>
      </w:pPr>
      <w:r>
        <w:rPr>
          <w:rFonts w:ascii="宋体" w:hAnsi="宋体" w:cs="宋体"/>
          <w:b/>
          <w:bCs/>
          <w:color w:val="auto"/>
          <w:sz w:val="24"/>
          <w:szCs w:val="24"/>
          <w:highlight w:val="none"/>
        </w:rPr>
        <w:br w:type="page"/>
      </w:r>
    </w:p>
    <w:p w14:paraId="40E995FA">
      <w:pP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lang w:val="zh-CN"/>
        </w:rPr>
        <w:t>：</w:t>
      </w:r>
    </w:p>
    <w:p w14:paraId="3A8A4DEC">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项目组人员清单</w:t>
      </w:r>
    </w:p>
    <w:p w14:paraId="4D9B03D0">
      <w:pPr>
        <w:snapToGrid w:val="0"/>
        <w:spacing w:beforeLines="50" w:after="50"/>
        <w:jc w:val="center"/>
        <w:rPr>
          <w:rFonts w:ascii="宋体" w:hAnsi="宋体" w:cs="宋体"/>
          <w:b/>
          <w:bCs/>
          <w:color w:val="auto"/>
          <w:sz w:val="30"/>
          <w:szCs w:val="30"/>
          <w:highlight w:val="none"/>
        </w:rPr>
      </w:pPr>
    </w:p>
    <w:p w14:paraId="000845A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377E947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3"/>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67B5C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0F94D227">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7BA44C3">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0DCB2C5C">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63979F53">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110F14A8">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7AA11DDF">
            <w:pPr>
              <w:snapToGrid w:val="0"/>
              <w:spacing w:before="50" w:after="50"/>
              <w:jc w:val="center"/>
              <w:rPr>
                <w:rFonts w:ascii="宋体" w:hAnsi="宋体" w:cs="宋体"/>
                <w:color w:val="auto"/>
                <w:sz w:val="24"/>
                <w:szCs w:val="24"/>
                <w:highlight w:val="none"/>
              </w:rPr>
            </w:pPr>
            <w:r>
              <w:rPr>
                <w:rFonts w:hint="eastAsia" w:ascii="宋体" w:hAnsi="宋体" w:cs="宋体"/>
                <w:color w:val="auto"/>
                <w:sz w:val="24"/>
                <w:szCs w:val="24"/>
                <w:highlight w:val="none"/>
              </w:rPr>
              <w:t>劳动合同编号</w:t>
            </w:r>
          </w:p>
        </w:tc>
      </w:tr>
      <w:tr w14:paraId="74000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62526816">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77BB46D">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C963BA5">
            <w:pPr>
              <w:snapToGrid w:val="0"/>
              <w:spacing w:beforeLines="50" w:after="50" w:line="460" w:lineRule="exact"/>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0233305">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D6CFA99">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A9938B1">
            <w:pPr>
              <w:snapToGrid w:val="0"/>
              <w:spacing w:beforeLines="50" w:after="50" w:line="460" w:lineRule="exact"/>
              <w:rPr>
                <w:rFonts w:ascii="宋体" w:hAnsi="宋体" w:cs="宋体"/>
                <w:color w:val="auto"/>
                <w:sz w:val="24"/>
                <w:szCs w:val="24"/>
                <w:highlight w:val="none"/>
              </w:rPr>
            </w:pPr>
          </w:p>
        </w:tc>
      </w:tr>
      <w:tr w14:paraId="60E88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1BE9A93">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6C3B412">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1986FE7">
            <w:pPr>
              <w:snapToGrid w:val="0"/>
              <w:spacing w:beforeLines="50" w:after="50" w:line="460" w:lineRule="exact"/>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410F80F">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53FAD5A">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5463D088">
            <w:pPr>
              <w:snapToGrid w:val="0"/>
              <w:spacing w:beforeLines="50" w:after="50" w:line="460" w:lineRule="exact"/>
              <w:rPr>
                <w:rFonts w:ascii="宋体" w:hAnsi="宋体" w:cs="宋体"/>
                <w:color w:val="auto"/>
                <w:sz w:val="24"/>
                <w:szCs w:val="24"/>
                <w:highlight w:val="none"/>
              </w:rPr>
            </w:pPr>
          </w:p>
        </w:tc>
      </w:tr>
      <w:tr w14:paraId="35FD2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F78EBB9">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0BA3E2B">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13633F5">
            <w:pPr>
              <w:pStyle w:val="15"/>
              <w:snapToGrid w:val="0"/>
              <w:spacing w:beforeLines="50" w:after="50" w:line="460" w:lineRule="exact"/>
              <w:ind w:left="5250"/>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23E80182">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7CCF4AF">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294B5F69">
            <w:pPr>
              <w:snapToGrid w:val="0"/>
              <w:spacing w:beforeLines="50" w:after="50" w:line="460" w:lineRule="exact"/>
              <w:rPr>
                <w:rFonts w:ascii="宋体" w:hAnsi="宋体" w:cs="宋体"/>
                <w:color w:val="auto"/>
                <w:sz w:val="24"/>
                <w:szCs w:val="24"/>
                <w:highlight w:val="none"/>
              </w:rPr>
            </w:pPr>
          </w:p>
        </w:tc>
      </w:tr>
      <w:tr w14:paraId="6AE0F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69905CA">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4352DBB">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2CA639B">
            <w:pPr>
              <w:snapToGrid w:val="0"/>
              <w:spacing w:beforeLines="50" w:after="50" w:line="460" w:lineRule="exact"/>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49B4C5D">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D52A7C9">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061170E4">
            <w:pPr>
              <w:snapToGrid w:val="0"/>
              <w:spacing w:beforeLines="50" w:after="50" w:line="460" w:lineRule="exact"/>
              <w:rPr>
                <w:rFonts w:ascii="宋体" w:hAnsi="宋体" w:cs="宋体"/>
                <w:color w:val="auto"/>
                <w:sz w:val="24"/>
                <w:szCs w:val="24"/>
                <w:highlight w:val="none"/>
              </w:rPr>
            </w:pPr>
          </w:p>
        </w:tc>
      </w:tr>
      <w:tr w14:paraId="0AA46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5CC9414F">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BD79AFA">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3AE19AE">
            <w:pPr>
              <w:snapToGrid w:val="0"/>
              <w:spacing w:beforeLines="50" w:after="50" w:line="460" w:lineRule="exact"/>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D3CE2F8">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4D5BEA3">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458B574D">
            <w:pPr>
              <w:snapToGrid w:val="0"/>
              <w:spacing w:beforeLines="50" w:after="50" w:line="460" w:lineRule="exact"/>
              <w:rPr>
                <w:rFonts w:ascii="宋体" w:hAnsi="宋体" w:cs="宋体"/>
                <w:color w:val="auto"/>
                <w:sz w:val="24"/>
                <w:szCs w:val="24"/>
                <w:highlight w:val="none"/>
              </w:rPr>
            </w:pPr>
          </w:p>
        </w:tc>
      </w:tr>
      <w:tr w14:paraId="4C386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AB3DB4C">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C7BF2A0">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33CA7C83">
            <w:pPr>
              <w:snapToGrid w:val="0"/>
              <w:spacing w:beforeLines="50" w:after="50" w:line="460" w:lineRule="exact"/>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EF2603D">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627B17E">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71265AD">
            <w:pPr>
              <w:snapToGrid w:val="0"/>
              <w:spacing w:beforeLines="50" w:after="50" w:line="460" w:lineRule="exact"/>
              <w:rPr>
                <w:rFonts w:ascii="宋体" w:hAnsi="宋体" w:cs="宋体"/>
                <w:color w:val="auto"/>
                <w:sz w:val="24"/>
                <w:szCs w:val="24"/>
                <w:highlight w:val="none"/>
              </w:rPr>
            </w:pPr>
          </w:p>
        </w:tc>
      </w:tr>
      <w:tr w14:paraId="1DCB5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C12DC77">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0DBF589">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32A169E">
            <w:pPr>
              <w:snapToGrid w:val="0"/>
              <w:spacing w:beforeLines="50" w:after="50" w:line="460" w:lineRule="exact"/>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98526E6">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BDCB379">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17FDEC7B">
            <w:pPr>
              <w:snapToGrid w:val="0"/>
              <w:spacing w:beforeLines="50" w:after="50" w:line="460" w:lineRule="exact"/>
              <w:rPr>
                <w:rFonts w:ascii="宋体" w:hAnsi="宋体" w:cs="宋体"/>
                <w:color w:val="auto"/>
                <w:sz w:val="24"/>
                <w:szCs w:val="24"/>
                <w:highlight w:val="none"/>
              </w:rPr>
            </w:pPr>
          </w:p>
        </w:tc>
      </w:tr>
      <w:tr w14:paraId="4AAF7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3A465A8">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1F32B2C">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650A8CC">
            <w:pPr>
              <w:snapToGrid w:val="0"/>
              <w:spacing w:beforeLines="50" w:after="50" w:line="460" w:lineRule="exact"/>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CA3EC53">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4AD72423">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6EE6FE82">
            <w:pPr>
              <w:snapToGrid w:val="0"/>
              <w:spacing w:beforeLines="50" w:after="50" w:line="460" w:lineRule="exact"/>
              <w:rPr>
                <w:rFonts w:ascii="宋体" w:hAnsi="宋体" w:cs="宋体"/>
                <w:color w:val="auto"/>
                <w:sz w:val="24"/>
                <w:szCs w:val="24"/>
                <w:highlight w:val="none"/>
              </w:rPr>
            </w:pPr>
          </w:p>
        </w:tc>
      </w:tr>
      <w:tr w14:paraId="42BD2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5CC2A2A">
            <w:pPr>
              <w:snapToGrid w:val="0"/>
              <w:spacing w:beforeLines="50" w:after="50" w:line="460" w:lineRule="exact"/>
              <w:rPr>
                <w:rFonts w:ascii="宋体" w:hAnsi="宋体" w:cs="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C543040">
            <w:pPr>
              <w:snapToGrid w:val="0"/>
              <w:spacing w:beforeLines="50" w:after="50" w:line="460" w:lineRule="exact"/>
              <w:rPr>
                <w:rFonts w:ascii="宋体" w:hAnsi="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1738280">
            <w:pPr>
              <w:snapToGrid w:val="0"/>
              <w:spacing w:beforeLines="50" w:after="50" w:line="460" w:lineRule="exact"/>
              <w:rPr>
                <w:rFonts w:ascii="宋体" w:hAnsi="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F64E504">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84DAFAA">
            <w:pPr>
              <w:snapToGrid w:val="0"/>
              <w:spacing w:beforeLines="50" w:after="50" w:line="460" w:lineRule="exact"/>
              <w:rPr>
                <w:rFonts w:ascii="宋体" w:hAnsi="宋体" w:cs="宋体"/>
                <w:color w:val="auto"/>
                <w:sz w:val="24"/>
                <w:szCs w:val="24"/>
                <w:highlight w:val="none"/>
              </w:rPr>
            </w:pPr>
          </w:p>
        </w:tc>
        <w:tc>
          <w:tcPr>
            <w:tcW w:w="1800" w:type="dxa"/>
            <w:tcBorders>
              <w:top w:val="single" w:color="auto" w:sz="4" w:space="0"/>
              <w:left w:val="single" w:color="auto" w:sz="4" w:space="0"/>
              <w:bottom w:val="single" w:color="auto" w:sz="4" w:space="0"/>
            </w:tcBorders>
          </w:tcPr>
          <w:p w14:paraId="30FBDF06">
            <w:pPr>
              <w:snapToGrid w:val="0"/>
              <w:spacing w:beforeLines="50" w:after="50" w:line="460" w:lineRule="exact"/>
              <w:rPr>
                <w:rFonts w:ascii="宋体" w:hAnsi="宋体" w:cs="宋体"/>
                <w:color w:val="auto"/>
                <w:sz w:val="24"/>
                <w:szCs w:val="24"/>
                <w:highlight w:val="none"/>
              </w:rPr>
            </w:pPr>
          </w:p>
        </w:tc>
      </w:tr>
    </w:tbl>
    <w:p w14:paraId="7128375D">
      <w:pPr>
        <w:adjustRightInd w:val="0"/>
        <w:snapToGrid w:val="0"/>
        <w:spacing w:line="360" w:lineRule="auto"/>
        <w:jc w:val="left"/>
        <w:rPr>
          <w:rFonts w:ascii="宋体" w:hAnsi="宋体" w:cs="宋体"/>
          <w:color w:val="auto"/>
          <w:sz w:val="24"/>
          <w:szCs w:val="24"/>
          <w:highlight w:val="none"/>
        </w:rPr>
      </w:pPr>
    </w:p>
    <w:p w14:paraId="4E130671">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p>
    <w:p w14:paraId="2051E1FA">
      <w:pPr>
        <w:snapToGrid w:val="0"/>
        <w:spacing w:before="50" w:afterLines="50" w:line="460" w:lineRule="exact"/>
        <w:jc w:val="left"/>
        <w:rPr>
          <w:rFonts w:ascii="宋体" w:hAnsi="宋体" w:cs="宋体"/>
          <w:color w:val="auto"/>
          <w:sz w:val="24"/>
          <w:szCs w:val="24"/>
          <w:highlight w:val="none"/>
        </w:rPr>
      </w:pPr>
    </w:p>
    <w:p w14:paraId="2604B3E8">
      <w:pPr>
        <w:pStyle w:val="3"/>
        <w:rPr>
          <w:color w:val="auto"/>
          <w:highlight w:val="none"/>
        </w:rPr>
      </w:pPr>
    </w:p>
    <w:p w14:paraId="4518EB6E">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1931B005">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473D0829">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7C66DB98">
      <w:pPr>
        <w:spacing w:line="360" w:lineRule="auto"/>
        <w:jc w:val="center"/>
        <w:rPr>
          <w:rFonts w:ascii="宋体" w:hAnsi="宋体" w:cs="宋体"/>
          <w:b/>
          <w:bCs/>
          <w:color w:val="auto"/>
          <w:kern w:val="0"/>
          <w:sz w:val="36"/>
          <w:szCs w:val="36"/>
          <w:highlight w:val="none"/>
        </w:rPr>
      </w:pPr>
      <w:r>
        <w:rPr>
          <w:rFonts w:hint="eastAsia" w:ascii="宋体" w:hAnsi="宋体" w:cs="宋体"/>
          <w:color w:val="auto"/>
          <w:spacing w:val="20"/>
          <w:sz w:val="30"/>
          <w:szCs w:val="30"/>
          <w:highlight w:val="none"/>
        </w:rPr>
        <w:br w:type="page"/>
      </w:r>
      <w:r>
        <w:rPr>
          <w:rFonts w:hint="eastAsia" w:ascii="宋体" w:hAnsi="宋体" w:cs="宋体"/>
          <w:b/>
          <w:bCs/>
          <w:color w:val="auto"/>
          <w:kern w:val="0"/>
          <w:sz w:val="36"/>
          <w:szCs w:val="36"/>
          <w:highlight w:val="none"/>
        </w:rPr>
        <w:t>报价文件</w:t>
      </w:r>
    </w:p>
    <w:p w14:paraId="4564B432">
      <w:pPr>
        <w:spacing w:line="360" w:lineRule="auto"/>
        <w:jc w:val="center"/>
        <w:rPr>
          <w:rFonts w:ascii="宋体" w:hAnsi="宋体" w:cs="宋体"/>
          <w:b/>
          <w:bCs/>
          <w:color w:val="auto"/>
          <w:kern w:val="0"/>
          <w:sz w:val="36"/>
          <w:szCs w:val="36"/>
          <w:highlight w:val="none"/>
        </w:rPr>
      </w:pPr>
    </w:p>
    <w:p w14:paraId="35FAAADD">
      <w:pPr>
        <w:spacing w:line="360" w:lineRule="auto"/>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目录</w:t>
      </w:r>
    </w:p>
    <w:p w14:paraId="6AEB988C">
      <w:pPr>
        <w:pStyle w:val="3"/>
        <w:ind w:firstLine="723"/>
        <w:rPr>
          <w:b/>
          <w:bCs/>
          <w:color w:val="auto"/>
          <w:kern w:val="0"/>
          <w:sz w:val="36"/>
          <w:szCs w:val="36"/>
          <w:highlight w:val="none"/>
        </w:rPr>
      </w:pPr>
    </w:p>
    <w:p w14:paraId="4A73C46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（1）磋商函（格式见附件）；</w:t>
      </w:r>
    </w:p>
    <w:p w14:paraId="2C4CA50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（2）报价一览表（格式见附件）；</w:t>
      </w:r>
    </w:p>
    <w:p w14:paraId="5B2A617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（3）磋商报价明细表（格式见附件）。</w:t>
      </w:r>
    </w:p>
    <w:p w14:paraId="3751B9E5">
      <w:pPr>
        <w:spacing w:line="360" w:lineRule="auto"/>
        <w:rPr>
          <w:rFonts w:ascii="宋体" w:hAnsi="宋体" w:cs="宋体"/>
          <w:color w:val="auto"/>
          <w:highlight w:val="none"/>
        </w:rPr>
      </w:pPr>
    </w:p>
    <w:p w14:paraId="701A6D2F">
      <w:pPr>
        <w:rPr>
          <w:rFonts w:ascii="宋体" w:hAnsi="宋体" w:cs="宋体"/>
          <w:color w:val="auto"/>
          <w:highlight w:val="none"/>
        </w:rPr>
      </w:pPr>
    </w:p>
    <w:p w14:paraId="673C9260">
      <w:pPr>
        <w:rPr>
          <w:rFonts w:ascii="宋体" w:hAnsi="宋体" w:cs="宋体"/>
          <w:color w:val="auto"/>
          <w:highlight w:val="none"/>
        </w:rPr>
      </w:pPr>
      <w:r>
        <w:rPr>
          <w:rFonts w:hint="eastAsia" w:ascii="宋体" w:hAnsi="宋体" w:cs="宋体"/>
          <w:color w:val="auto"/>
          <w:highlight w:val="none"/>
        </w:rPr>
        <w:br w:type="page"/>
      </w:r>
    </w:p>
    <w:p w14:paraId="0F6BFC3D">
      <w:pPr>
        <w:rPr>
          <w:rFonts w:ascii="宋体" w:hAnsi="宋体" w:cs="宋体"/>
          <w:b/>
          <w:bCs/>
          <w:color w:val="auto"/>
          <w:highlight w:val="none"/>
          <w:lang w:val="zh-CN"/>
        </w:rPr>
      </w:pPr>
      <w:bookmarkStart w:id="107" w:name="_Toc3094"/>
      <w:r>
        <w:rPr>
          <w:rFonts w:hint="eastAsia" w:ascii="宋体" w:hAnsi="宋体" w:cs="宋体"/>
          <w:b/>
          <w:bCs/>
          <w:color w:val="auto"/>
          <w:sz w:val="24"/>
          <w:szCs w:val="24"/>
          <w:highlight w:val="none"/>
          <w:lang w:val="zh-CN"/>
        </w:rPr>
        <w:t>附件</w:t>
      </w:r>
      <w:bookmarkStart w:id="108" w:name="_Toc130094924"/>
      <w:bookmarkStart w:id="109" w:name="_Toc98731770"/>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rPr>
        <w:t>：</w:t>
      </w:r>
    </w:p>
    <w:p w14:paraId="4A8E5A14">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磋商函</w:t>
      </w:r>
      <w:bookmarkEnd w:id="107"/>
      <w:bookmarkEnd w:id="108"/>
      <w:bookmarkEnd w:id="109"/>
    </w:p>
    <w:p w14:paraId="60EC0084">
      <w:pPr>
        <w:spacing w:line="360" w:lineRule="auto"/>
        <w:ind w:firstLine="480" w:firstLineChars="200"/>
        <w:rPr>
          <w:rFonts w:ascii="宋体" w:hAnsi="宋体" w:cs="宋体"/>
          <w:color w:val="auto"/>
          <w:sz w:val="24"/>
          <w:szCs w:val="24"/>
          <w:highlight w:val="none"/>
          <w:u w:val="single"/>
        </w:rPr>
      </w:pPr>
    </w:p>
    <w:p w14:paraId="2EBD8F1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中国共产党绍兴市上虞区委员会办公室</w:t>
      </w:r>
      <w:r>
        <w:rPr>
          <w:rFonts w:hint="eastAsia" w:ascii="宋体" w:hAnsi="宋体" w:cs="宋体"/>
          <w:color w:val="auto"/>
          <w:sz w:val="24"/>
          <w:szCs w:val="24"/>
          <w:highlight w:val="none"/>
        </w:rPr>
        <w:t>：</w:t>
      </w:r>
    </w:p>
    <w:p w14:paraId="48021C6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绍兴成言工程咨询管理有限公司：</w:t>
      </w:r>
    </w:p>
    <w:p w14:paraId="7E13F270">
      <w:pPr>
        <w:spacing w:line="360" w:lineRule="auto"/>
        <w:ind w:firstLine="480"/>
        <w:jc w:val="left"/>
        <w:rPr>
          <w:rFonts w:ascii="宋体" w:hAnsi="宋体" w:cs="宋体"/>
          <w:color w:val="auto"/>
          <w:sz w:val="24"/>
          <w:highlight w:val="none"/>
        </w:rPr>
      </w:pPr>
      <w:bookmarkStart w:id="110" w:name="_Toc12011"/>
      <w:r>
        <w:rPr>
          <w:rFonts w:hint="eastAsia" w:ascii="宋体" w:hAnsi="宋体" w:cs="宋体"/>
          <w:color w:val="auto"/>
          <w:sz w:val="24"/>
          <w:highlight w:val="none"/>
        </w:rPr>
        <w:t>我单位认真研究了关于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6DEA6ED3">
      <w:pPr>
        <w:spacing w:line="360" w:lineRule="auto"/>
        <w:ind w:firstLine="504" w:firstLineChars="240"/>
        <w:rPr>
          <w:rFonts w:ascii="宋体" w:hAnsi="宋体" w:cs="宋体"/>
          <w:color w:val="auto"/>
          <w:sz w:val="24"/>
          <w:highlight w:val="none"/>
        </w:rPr>
      </w:pPr>
      <w:r>
        <w:rPr>
          <w:rFonts w:ascii="宋体" w:hAnsi="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fill on="f" focussize="0,0"/>
                <v:stroke color="#000000" joinstyle="round"/>
                <v:imagedata o:title=""/>
                <o:lock v:ext="edit" aspectratio="f"/>
              </v:line>
            </w:pict>
          </mc:Fallback>
        </mc:AlternateContent>
      </w:r>
      <w:r>
        <w:rPr>
          <w:rFonts w:hint="eastAsia" w:ascii="宋体" w:hAnsi="宋体" w:cs="宋体"/>
          <w:color w:val="auto"/>
          <w:sz w:val="24"/>
          <w:highlight w:val="none"/>
        </w:rPr>
        <w:t>1、一旦我单位中标，我单位愿意承接报价一览表中所列的技术服务，服务期为：。</w:t>
      </w:r>
    </w:p>
    <w:p w14:paraId="49E5F2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2、我单位同意提供按照采购人的可能要求与其投标有关的一切数据和资料，完全理解采购人不一定要接受最低价者作为成交供应商。</w:t>
      </w:r>
    </w:p>
    <w:p w14:paraId="318DEE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3、一旦我单位中标，我们保证按照磋商文件的要求，完成服务。</w:t>
      </w:r>
    </w:p>
    <w:p w14:paraId="179E27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4、如果我单位中标，我方将按照要求严格履行合同义务。</w:t>
      </w:r>
    </w:p>
    <w:p w14:paraId="6C81D4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5、除非另行达成协议并生效，你方的成交通知书和本磋商函将构成约束你我双方的合同。</w:t>
      </w:r>
    </w:p>
    <w:p w14:paraId="2F8AEC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6、我单位承诺，一旦发生磋商文件第二部分第11条规定情形之一的，承担该条款约定的责任。</w:t>
      </w:r>
    </w:p>
    <w:p w14:paraId="1F023216">
      <w:pPr>
        <w:pStyle w:val="14"/>
        <w:snapToGrid w:val="0"/>
        <w:spacing w:line="360" w:lineRule="auto"/>
        <w:ind w:left="480"/>
        <w:jc w:val="left"/>
        <w:rPr>
          <w:rFonts w:hAnsi="宋体"/>
          <w:color w:val="auto"/>
          <w:sz w:val="24"/>
          <w:szCs w:val="24"/>
          <w:highlight w:val="none"/>
        </w:rPr>
      </w:pPr>
    </w:p>
    <w:p w14:paraId="62D391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                     邮编：</w:t>
      </w:r>
    </w:p>
    <w:p w14:paraId="057DAA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                     传真：</w:t>
      </w:r>
    </w:p>
    <w:p w14:paraId="564D54D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供应商代表姓名：        职务：</w:t>
      </w:r>
    </w:p>
    <w:p w14:paraId="34008E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供应商名称：</w:t>
      </w:r>
    </w:p>
    <w:p w14:paraId="09CAAF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（公章）：</w:t>
      </w:r>
    </w:p>
    <w:p w14:paraId="4A13AA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法定代表人签名（或签名章）：</w:t>
      </w:r>
    </w:p>
    <w:p w14:paraId="2B75D3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p>
    <w:p w14:paraId="299A1E7D">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br w:type="page"/>
      </w:r>
    </w:p>
    <w:p w14:paraId="75D6F687">
      <w:pP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bookmarkStart w:id="111" w:name="_Toc130094925"/>
      <w:bookmarkStart w:id="112" w:name="_Toc98731771"/>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w:t>
      </w:r>
    </w:p>
    <w:p w14:paraId="62D9C114">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报价一览表</w:t>
      </w:r>
      <w:bookmarkEnd w:id="110"/>
      <w:bookmarkEnd w:id="111"/>
      <w:bookmarkEnd w:id="112"/>
    </w:p>
    <w:p w14:paraId="5152DF06">
      <w:pPr>
        <w:pStyle w:val="14"/>
        <w:spacing w:line="360" w:lineRule="auto"/>
        <w:rPr>
          <w:rFonts w:hAnsi="宋体"/>
          <w:color w:val="auto"/>
          <w:sz w:val="24"/>
          <w:szCs w:val="24"/>
          <w:highlight w:val="none"/>
        </w:rPr>
      </w:pPr>
    </w:p>
    <w:p w14:paraId="0A3486E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25CA176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3"/>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2F5B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72D1A3DB">
            <w:pPr>
              <w:pStyle w:val="14"/>
              <w:spacing w:line="360" w:lineRule="auto"/>
              <w:jc w:val="center"/>
              <w:rPr>
                <w:rFonts w:hAnsi="宋体"/>
                <w:b/>
                <w:bCs/>
                <w:color w:val="auto"/>
                <w:sz w:val="24"/>
                <w:szCs w:val="24"/>
                <w:highlight w:val="none"/>
              </w:rPr>
            </w:pPr>
            <w:r>
              <w:rPr>
                <w:rFonts w:hint="eastAsia" w:hAnsi="宋体"/>
                <w:b/>
                <w:bCs/>
                <w:color w:val="auto"/>
                <w:sz w:val="24"/>
                <w:szCs w:val="24"/>
                <w:highlight w:val="none"/>
              </w:rPr>
              <w:t>投标总价</w:t>
            </w:r>
          </w:p>
        </w:tc>
        <w:tc>
          <w:tcPr>
            <w:tcW w:w="6707" w:type="dxa"/>
            <w:vAlign w:val="center"/>
          </w:tcPr>
          <w:p w14:paraId="553F6177">
            <w:pPr>
              <w:pStyle w:val="14"/>
              <w:spacing w:line="360" w:lineRule="auto"/>
              <w:jc w:val="center"/>
              <w:rPr>
                <w:rFonts w:hAnsi="宋体"/>
                <w:b/>
                <w:bCs/>
                <w:color w:val="auto"/>
                <w:sz w:val="24"/>
                <w:szCs w:val="24"/>
                <w:highlight w:val="none"/>
              </w:rPr>
            </w:pPr>
            <w:r>
              <w:rPr>
                <w:rFonts w:hint="eastAsia" w:hAnsi="宋体"/>
                <w:b/>
                <w:bCs/>
                <w:color w:val="auto"/>
                <w:sz w:val="24"/>
                <w:szCs w:val="24"/>
                <w:highlight w:val="none"/>
              </w:rPr>
              <w:t>大写：</w:t>
            </w:r>
            <w:r>
              <w:rPr>
                <w:rFonts w:hint="eastAsia" w:hAnsi="宋体"/>
                <w:b/>
                <w:bCs/>
                <w:color w:val="auto"/>
                <w:sz w:val="24"/>
                <w:szCs w:val="24"/>
                <w:highlight w:val="none"/>
                <w:u w:val="single"/>
              </w:rPr>
              <w:t>　　　　</w:t>
            </w:r>
            <w:r>
              <w:rPr>
                <w:rFonts w:hint="eastAsia" w:hAnsi="宋体"/>
                <w:b/>
                <w:bCs/>
                <w:color w:val="auto"/>
                <w:sz w:val="24"/>
                <w:szCs w:val="24"/>
                <w:highlight w:val="none"/>
              </w:rPr>
              <w:t>元（小写：</w:t>
            </w:r>
            <w:r>
              <w:rPr>
                <w:rFonts w:hint="eastAsia" w:hAnsi="宋体"/>
                <w:b/>
                <w:bCs/>
                <w:color w:val="auto"/>
                <w:sz w:val="24"/>
                <w:szCs w:val="24"/>
                <w:highlight w:val="none"/>
                <w:u w:val="single"/>
              </w:rPr>
              <w:t>　　　　</w:t>
            </w:r>
            <w:r>
              <w:rPr>
                <w:rFonts w:hint="eastAsia" w:hAnsi="宋体"/>
                <w:b/>
                <w:bCs/>
                <w:color w:val="auto"/>
                <w:sz w:val="24"/>
                <w:szCs w:val="24"/>
                <w:highlight w:val="none"/>
              </w:rPr>
              <w:t>）</w:t>
            </w:r>
          </w:p>
        </w:tc>
      </w:tr>
      <w:tr w14:paraId="798D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075E8CDB">
            <w:pPr>
              <w:pStyle w:val="14"/>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本次报价应包含项目所需全部服务，不得缺漏，是履行合同的最终价格（服务费、交通费、检测费、报告费、人工费、劳保及安全措施费</w:t>
            </w:r>
            <w:r>
              <w:rPr>
                <w:rFonts w:hint="eastAsia" w:hAnsi="宋体"/>
                <w:b/>
                <w:bCs/>
                <w:color w:val="auto"/>
                <w:sz w:val="24"/>
                <w:szCs w:val="24"/>
                <w:highlight w:val="none"/>
                <w:lang w:eastAsia="zh-CN"/>
              </w:rPr>
              <w:t>、</w:t>
            </w:r>
            <w:r>
              <w:rPr>
                <w:rFonts w:hint="eastAsia" w:hAnsi="宋体"/>
                <w:b/>
                <w:bCs/>
                <w:color w:val="auto"/>
                <w:sz w:val="24"/>
                <w:szCs w:val="24"/>
                <w:highlight w:val="none"/>
                <w:lang w:val="en-US" w:eastAsia="zh-CN"/>
              </w:rPr>
              <w:t>保险费、</w:t>
            </w:r>
            <w:r>
              <w:rPr>
                <w:rFonts w:hint="eastAsia" w:hAnsi="宋体"/>
                <w:b/>
                <w:bCs/>
                <w:color w:val="auto"/>
                <w:sz w:val="24"/>
                <w:szCs w:val="24"/>
                <w:highlight w:val="none"/>
              </w:rPr>
              <w:t>税金、招标代理费以及成交供应商认为有必要计入的其他费用等一切费用）。</w:t>
            </w:r>
          </w:p>
        </w:tc>
      </w:tr>
    </w:tbl>
    <w:p w14:paraId="08994156">
      <w:pPr>
        <w:pStyle w:val="14"/>
        <w:spacing w:line="360" w:lineRule="auto"/>
        <w:rPr>
          <w:rFonts w:hAnsi="宋体"/>
          <w:color w:val="auto"/>
          <w:sz w:val="24"/>
          <w:szCs w:val="24"/>
          <w:highlight w:val="none"/>
        </w:rPr>
      </w:pPr>
    </w:p>
    <w:p w14:paraId="4A8D9DB3">
      <w:pPr>
        <w:pStyle w:val="14"/>
        <w:spacing w:line="360" w:lineRule="auto"/>
        <w:rPr>
          <w:rFonts w:hAnsi="宋体"/>
          <w:color w:val="auto"/>
          <w:sz w:val="24"/>
          <w:szCs w:val="24"/>
          <w:highlight w:val="none"/>
        </w:rPr>
      </w:pPr>
    </w:p>
    <w:p w14:paraId="3BE5FA85">
      <w:pPr>
        <w:pStyle w:val="14"/>
        <w:spacing w:line="360" w:lineRule="auto"/>
        <w:rPr>
          <w:rFonts w:hAnsi="宋体"/>
          <w:color w:val="auto"/>
          <w:sz w:val="24"/>
          <w:szCs w:val="24"/>
          <w:highlight w:val="none"/>
        </w:rPr>
      </w:pPr>
    </w:p>
    <w:p w14:paraId="508CD84F">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75E440B2">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5E920C65">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p>
    <w:p w14:paraId="195B945D">
      <w:pPr>
        <w:snapToGrid w:val="0"/>
        <w:spacing w:line="360" w:lineRule="auto"/>
        <w:ind w:firstLine="435"/>
        <w:rPr>
          <w:rFonts w:ascii="宋体" w:hAnsi="宋体" w:cs="宋体"/>
          <w:color w:val="auto"/>
          <w:highlight w:val="none"/>
        </w:rPr>
      </w:pPr>
    </w:p>
    <w:p w14:paraId="472EF7F9">
      <w:pPr>
        <w:snapToGrid w:val="0"/>
        <w:spacing w:line="360" w:lineRule="auto"/>
        <w:ind w:firstLine="435"/>
        <w:rPr>
          <w:rFonts w:ascii="宋体" w:hAnsi="宋体" w:cs="宋体"/>
          <w:color w:val="auto"/>
          <w:highlight w:val="none"/>
        </w:rPr>
      </w:pPr>
    </w:p>
    <w:p w14:paraId="10F62BD9">
      <w:pPr>
        <w:snapToGrid w:val="0"/>
        <w:spacing w:line="360" w:lineRule="auto"/>
        <w:ind w:firstLine="435"/>
        <w:rPr>
          <w:rFonts w:ascii="宋体" w:hAnsi="宋体" w:cs="宋体"/>
          <w:color w:val="auto"/>
          <w:highlight w:val="none"/>
        </w:rPr>
      </w:pPr>
    </w:p>
    <w:p w14:paraId="7EB019C6">
      <w:pPr>
        <w:snapToGrid w:val="0"/>
        <w:spacing w:line="360" w:lineRule="auto"/>
        <w:ind w:firstLine="435"/>
        <w:rPr>
          <w:rFonts w:ascii="宋体" w:hAnsi="宋体" w:cs="宋体"/>
          <w:color w:val="auto"/>
          <w:highlight w:val="none"/>
        </w:rPr>
      </w:pPr>
    </w:p>
    <w:p w14:paraId="78C9ECD4">
      <w:pPr>
        <w:snapToGrid w:val="0"/>
        <w:spacing w:line="360" w:lineRule="auto"/>
        <w:ind w:firstLine="435"/>
        <w:rPr>
          <w:rFonts w:ascii="宋体" w:hAnsi="宋体" w:cs="宋体"/>
          <w:color w:val="auto"/>
          <w:highlight w:val="none"/>
        </w:rPr>
      </w:pPr>
    </w:p>
    <w:p w14:paraId="58B8E716">
      <w:pPr>
        <w:spacing w:line="360" w:lineRule="auto"/>
        <w:jc w:val="left"/>
        <w:rPr>
          <w:rFonts w:ascii="宋体" w:hAnsi="宋体" w:cs="宋体"/>
          <w:b/>
          <w:bCs/>
          <w:color w:val="auto"/>
          <w:sz w:val="24"/>
          <w:szCs w:val="24"/>
          <w:highlight w:val="none"/>
          <w:lang w:val="zh-CN"/>
        </w:rPr>
      </w:pPr>
      <w:r>
        <w:rPr>
          <w:rFonts w:hint="eastAsia" w:ascii="宋体" w:hAnsi="宋体" w:cs="宋体"/>
          <w:color w:val="auto"/>
          <w:highlight w:val="none"/>
        </w:rPr>
        <w:br w:type="page"/>
      </w:r>
      <w:bookmarkStart w:id="113" w:name="_Toc7196"/>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val="zh-CN"/>
        </w:rPr>
        <w:t>：</w:t>
      </w:r>
    </w:p>
    <w:p w14:paraId="4151F39D">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磋商报价明细表</w:t>
      </w:r>
    </w:p>
    <w:p w14:paraId="2761057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432E162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3"/>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2"/>
        <w:gridCol w:w="915"/>
        <w:gridCol w:w="1876"/>
        <w:gridCol w:w="495"/>
        <w:gridCol w:w="498"/>
        <w:gridCol w:w="1148"/>
        <w:gridCol w:w="1124"/>
      </w:tblGrid>
      <w:tr w14:paraId="10FC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30B59B96">
            <w:pPr>
              <w:pStyle w:val="14"/>
              <w:spacing w:line="360" w:lineRule="auto"/>
              <w:jc w:val="center"/>
              <w:rPr>
                <w:rFonts w:hAnsi="宋体"/>
                <w:color w:val="auto"/>
                <w:sz w:val="22"/>
                <w:szCs w:val="22"/>
                <w:highlight w:val="none"/>
              </w:rPr>
            </w:pPr>
            <w:r>
              <w:rPr>
                <w:rFonts w:hint="eastAsia" w:hAnsi="宋体"/>
                <w:color w:val="auto"/>
                <w:sz w:val="22"/>
                <w:szCs w:val="22"/>
                <w:highlight w:val="none"/>
              </w:rPr>
              <w:t>序</w:t>
            </w:r>
          </w:p>
          <w:p w14:paraId="7AAFF5C6">
            <w:pPr>
              <w:pStyle w:val="14"/>
              <w:spacing w:line="360" w:lineRule="auto"/>
              <w:jc w:val="center"/>
              <w:rPr>
                <w:rFonts w:hAnsi="宋体"/>
                <w:color w:val="auto"/>
                <w:sz w:val="22"/>
                <w:szCs w:val="22"/>
                <w:highlight w:val="none"/>
              </w:rPr>
            </w:pPr>
            <w:r>
              <w:rPr>
                <w:rFonts w:hint="eastAsia" w:hAnsi="宋体"/>
                <w:color w:val="auto"/>
                <w:sz w:val="22"/>
                <w:szCs w:val="22"/>
                <w:highlight w:val="none"/>
              </w:rPr>
              <w:t>号</w:t>
            </w:r>
          </w:p>
        </w:tc>
        <w:tc>
          <w:tcPr>
            <w:tcW w:w="2492" w:type="dxa"/>
            <w:vMerge w:val="restart"/>
            <w:vAlign w:val="center"/>
          </w:tcPr>
          <w:p w14:paraId="564B397B">
            <w:pPr>
              <w:pStyle w:val="14"/>
              <w:spacing w:line="360" w:lineRule="auto"/>
              <w:jc w:val="center"/>
              <w:rPr>
                <w:rFonts w:hAnsi="宋体"/>
                <w:color w:val="auto"/>
                <w:sz w:val="22"/>
                <w:szCs w:val="22"/>
                <w:highlight w:val="none"/>
              </w:rPr>
            </w:pPr>
            <w:r>
              <w:rPr>
                <w:rFonts w:hint="eastAsia" w:hAnsi="宋体"/>
                <w:color w:val="auto"/>
                <w:sz w:val="22"/>
                <w:szCs w:val="22"/>
                <w:highlight w:val="none"/>
              </w:rPr>
              <w:t>名称</w:t>
            </w:r>
          </w:p>
        </w:tc>
        <w:tc>
          <w:tcPr>
            <w:tcW w:w="915" w:type="dxa"/>
            <w:vMerge w:val="restart"/>
            <w:vAlign w:val="center"/>
          </w:tcPr>
          <w:p w14:paraId="7FF630F6">
            <w:pPr>
              <w:pStyle w:val="14"/>
              <w:spacing w:line="360" w:lineRule="auto"/>
              <w:jc w:val="center"/>
              <w:rPr>
                <w:rFonts w:hAnsi="宋体"/>
                <w:color w:val="auto"/>
                <w:sz w:val="22"/>
                <w:szCs w:val="22"/>
                <w:highlight w:val="none"/>
              </w:rPr>
            </w:pPr>
            <w:r>
              <w:rPr>
                <w:rFonts w:hint="eastAsia" w:hAnsi="宋体"/>
                <w:color w:val="auto"/>
                <w:sz w:val="22"/>
                <w:szCs w:val="22"/>
                <w:highlight w:val="none"/>
              </w:rPr>
              <w:t>内容</w:t>
            </w:r>
          </w:p>
        </w:tc>
        <w:tc>
          <w:tcPr>
            <w:tcW w:w="1876" w:type="dxa"/>
            <w:vMerge w:val="restart"/>
            <w:vAlign w:val="center"/>
          </w:tcPr>
          <w:p w14:paraId="1496C5EF">
            <w:pPr>
              <w:pStyle w:val="14"/>
              <w:spacing w:line="360" w:lineRule="auto"/>
              <w:jc w:val="center"/>
              <w:rPr>
                <w:rFonts w:hAnsi="宋体"/>
                <w:color w:val="auto"/>
                <w:sz w:val="22"/>
                <w:szCs w:val="22"/>
                <w:highlight w:val="none"/>
              </w:rPr>
            </w:pPr>
            <w:r>
              <w:rPr>
                <w:rFonts w:hint="eastAsia" w:hAnsi="宋体"/>
                <w:color w:val="auto"/>
                <w:sz w:val="22"/>
                <w:szCs w:val="22"/>
                <w:highlight w:val="none"/>
              </w:rPr>
              <w:t>其他</w:t>
            </w:r>
          </w:p>
        </w:tc>
        <w:tc>
          <w:tcPr>
            <w:tcW w:w="495" w:type="dxa"/>
            <w:vMerge w:val="restart"/>
            <w:vAlign w:val="center"/>
          </w:tcPr>
          <w:p w14:paraId="4E2BAFF3">
            <w:pPr>
              <w:pStyle w:val="14"/>
              <w:spacing w:line="360" w:lineRule="auto"/>
              <w:jc w:val="center"/>
              <w:rPr>
                <w:rFonts w:hAnsi="宋体"/>
                <w:color w:val="auto"/>
                <w:sz w:val="22"/>
                <w:szCs w:val="22"/>
                <w:highlight w:val="none"/>
              </w:rPr>
            </w:pPr>
            <w:r>
              <w:rPr>
                <w:rFonts w:hint="eastAsia" w:hAnsi="宋体"/>
                <w:color w:val="auto"/>
                <w:sz w:val="22"/>
                <w:szCs w:val="22"/>
                <w:highlight w:val="none"/>
              </w:rPr>
              <w:t>单</w:t>
            </w:r>
          </w:p>
          <w:p w14:paraId="0628AB6A">
            <w:pPr>
              <w:pStyle w:val="14"/>
              <w:spacing w:line="360" w:lineRule="auto"/>
              <w:jc w:val="center"/>
              <w:rPr>
                <w:rFonts w:hAnsi="宋体"/>
                <w:color w:val="auto"/>
                <w:sz w:val="22"/>
                <w:szCs w:val="22"/>
                <w:highlight w:val="none"/>
              </w:rPr>
            </w:pPr>
            <w:r>
              <w:rPr>
                <w:rFonts w:hint="eastAsia" w:hAnsi="宋体"/>
                <w:color w:val="auto"/>
                <w:sz w:val="22"/>
                <w:szCs w:val="22"/>
                <w:highlight w:val="none"/>
              </w:rPr>
              <w:t>位</w:t>
            </w:r>
          </w:p>
        </w:tc>
        <w:tc>
          <w:tcPr>
            <w:tcW w:w="498" w:type="dxa"/>
            <w:vMerge w:val="restart"/>
            <w:vAlign w:val="center"/>
          </w:tcPr>
          <w:p w14:paraId="003A3B4D">
            <w:pPr>
              <w:pStyle w:val="14"/>
              <w:spacing w:line="360" w:lineRule="auto"/>
              <w:jc w:val="center"/>
              <w:rPr>
                <w:rFonts w:hAnsi="宋体"/>
                <w:color w:val="auto"/>
                <w:sz w:val="22"/>
                <w:szCs w:val="22"/>
                <w:highlight w:val="none"/>
              </w:rPr>
            </w:pPr>
            <w:r>
              <w:rPr>
                <w:rFonts w:hint="eastAsia" w:hAnsi="宋体"/>
                <w:color w:val="auto"/>
                <w:sz w:val="22"/>
                <w:szCs w:val="22"/>
                <w:highlight w:val="none"/>
              </w:rPr>
              <w:t>数量</w:t>
            </w:r>
          </w:p>
        </w:tc>
        <w:tc>
          <w:tcPr>
            <w:tcW w:w="2272" w:type="dxa"/>
            <w:gridSpan w:val="2"/>
            <w:vAlign w:val="center"/>
          </w:tcPr>
          <w:p w14:paraId="5911344B">
            <w:pPr>
              <w:pStyle w:val="14"/>
              <w:spacing w:line="360" w:lineRule="auto"/>
              <w:jc w:val="center"/>
              <w:rPr>
                <w:rFonts w:hAnsi="宋体"/>
                <w:color w:val="auto"/>
                <w:sz w:val="22"/>
                <w:szCs w:val="22"/>
                <w:highlight w:val="none"/>
              </w:rPr>
            </w:pPr>
            <w:r>
              <w:rPr>
                <w:rFonts w:hint="eastAsia" w:hAnsi="宋体"/>
                <w:color w:val="auto"/>
                <w:sz w:val="22"/>
                <w:szCs w:val="22"/>
                <w:highlight w:val="none"/>
              </w:rPr>
              <w:t>投标报价（元）</w:t>
            </w:r>
          </w:p>
        </w:tc>
      </w:tr>
      <w:tr w14:paraId="6BBF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69F736DF">
            <w:pPr>
              <w:pStyle w:val="14"/>
              <w:spacing w:line="360" w:lineRule="auto"/>
              <w:jc w:val="center"/>
              <w:rPr>
                <w:rFonts w:hAnsi="宋体"/>
                <w:color w:val="auto"/>
                <w:sz w:val="22"/>
                <w:szCs w:val="22"/>
                <w:highlight w:val="none"/>
              </w:rPr>
            </w:pPr>
          </w:p>
        </w:tc>
        <w:tc>
          <w:tcPr>
            <w:tcW w:w="2492" w:type="dxa"/>
            <w:vMerge w:val="continue"/>
            <w:vAlign w:val="center"/>
          </w:tcPr>
          <w:p w14:paraId="7E04702A">
            <w:pPr>
              <w:pStyle w:val="14"/>
              <w:spacing w:line="360" w:lineRule="auto"/>
              <w:jc w:val="center"/>
              <w:rPr>
                <w:rFonts w:hAnsi="宋体"/>
                <w:color w:val="auto"/>
                <w:sz w:val="22"/>
                <w:szCs w:val="22"/>
                <w:highlight w:val="none"/>
              </w:rPr>
            </w:pPr>
          </w:p>
        </w:tc>
        <w:tc>
          <w:tcPr>
            <w:tcW w:w="915" w:type="dxa"/>
            <w:vMerge w:val="continue"/>
            <w:vAlign w:val="center"/>
          </w:tcPr>
          <w:p w14:paraId="5CEB5339">
            <w:pPr>
              <w:pStyle w:val="14"/>
              <w:spacing w:line="360" w:lineRule="auto"/>
              <w:jc w:val="center"/>
              <w:rPr>
                <w:rFonts w:hAnsi="宋体"/>
                <w:color w:val="auto"/>
                <w:sz w:val="22"/>
                <w:szCs w:val="22"/>
                <w:highlight w:val="none"/>
              </w:rPr>
            </w:pPr>
          </w:p>
        </w:tc>
        <w:tc>
          <w:tcPr>
            <w:tcW w:w="1876" w:type="dxa"/>
            <w:vMerge w:val="continue"/>
            <w:vAlign w:val="center"/>
          </w:tcPr>
          <w:p w14:paraId="7200F4B4">
            <w:pPr>
              <w:pStyle w:val="14"/>
              <w:spacing w:line="360" w:lineRule="auto"/>
              <w:jc w:val="center"/>
              <w:rPr>
                <w:rFonts w:hAnsi="宋体"/>
                <w:color w:val="auto"/>
                <w:sz w:val="22"/>
                <w:szCs w:val="22"/>
                <w:highlight w:val="none"/>
              </w:rPr>
            </w:pPr>
          </w:p>
        </w:tc>
        <w:tc>
          <w:tcPr>
            <w:tcW w:w="495" w:type="dxa"/>
            <w:vMerge w:val="continue"/>
            <w:vAlign w:val="center"/>
          </w:tcPr>
          <w:p w14:paraId="70D9986A">
            <w:pPr>
              <w:pStyle w:val="14"/>
              <w:spacing w:line="360" w:lineRule="auto"/>
              <w:jc w:val="center"/>
              <w:rPr>
                <w:rFonts w:hAnsi="宋体"/>
                <w:color w:val="auto"/>
                <w:sz w:val="22"/>
                <w:szCs w:val="22"/>
                <w:highlight w:val="none"/>
              </w:rPr>
            </w:pPr>
          </w:p>
        </w:tc>
        <w:tc>
          <w:tcPr>
            <w:tcW w:w="498" w:type="dxa"/>
            <w:vMerge w:val="continue"/>
            <w:vAlign w:val="center"/>
          </w:tcPr>
          <w:p w14:paraId="6E26C582">
            <w:pPr>
              <w:pStyle w:val="14"/>
              <w:spacing w:line="360" w:lineRule="auto"/>
              <w:jc w:val="center"/>
              <w:rPr>
                <w:rFonts w:hAnsi="宋体"/>
                <w:color w:val="auto"/>
                <w:sz w:val="22"/>
                <w:szCs w:val="22"/>
                <w:highlight w:val="none"/>
              </w:rPr>
            </w:pPr>
          </w:p>
        </w:tc>
        <w:tc>
          <w:tcPr>
            <w:tcW w:w="1148" w:type="dxa"/>
            <w:vAlign w:val="center"/>
          </w:tcPr>
          <w:p w14:paraId="2AF46F27">
            <w:pPr>
              <w:pStyle w:val="14"/>
              <w:spacing w:line="360" w:lineRule="auto"/>
              <w:jc w:val="center"/>
              <w:rPr>
                <w:rFonts w:hAnsi="宋体"/>
                <w:color w:val="auto"/>
                <w:sz w:val="22"/>
                <w:szCs w:val="22"/>
                <w:highlight w:val="none"/>
              </w:rPr>
            </w:pPr>
            <w:r>
              <w:rPr>
                <w:rFonts w:hint="eastAsia" w:hAnsi="宋体"/>
                <w:color w:val="auto"/>
                <w:sz w:val="22"/>
                <w:szCs w:val="22"/>
                <w:highlight w:val="none"/>
              </w:rPr>
              <w:t>单价</w:t>
            </w:r>
          </w:p>
        </w:tc>
        <w:tc>
          <w:tcPr>
            <w:tcW w:w="1124" w:type="dxa"/>
            <w:vAlign w:val="center"/>
          </w:tcPr>
          <w:p w14:paraId="52E6C16F">
            <w:pPr>
              <w:pStyle w:val="14"/>
              <w:spacing w:line="360" w:lineRule="auto"/>
              <w:jc w:val="center"/>
              <w:rPr>
                <w:rFonts w:hAnsi="宋体"/>
                <w:color w:val="auto"/>
                <w:sz w:val="22"/>
                <w:szCs w:val="22"/>
                <w:highlight w:val="none"/>
              </w:rPr>
            </w:pPr>
            <w:r>
              <w:rPr>
                <w:rFonts w:hint="eastAsia" w:hAnsi="宋体"/>
                <w:color w:val="auto"/>
                <w:sz w:val="22"/>
                <w:szCs w:val="22"/>
                <w:highlight w:val="none"/>
              </w:rPr>
              <w:t>小计</w:t>
            </w:r>
          </w:p>
        </w:tc>
      </w:tr>
      <w:tr w14:paraId="7596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25E4F20C">
            <w:pPr>
              <w:pStyle w:val="14"/>
              <w:jc w:val="center"/>
              <w:rPr>
                <w:rFonts w:hAnsi="宋体"/>
                <w:color w:val="auto"/>
                <w:sz w:val="22"/>
                <w:szCs w:val="22"/>
                <w:highlight w:val="none"/>
              </w:rPr>
            </w:pPr>
            <w:r>
              <w:rPr>
                <w:rFonts w:hint="eastAsia" w:hAnsi="宋体"/>
                <w:color w:val="auto"/>
                <w:sz w:val="22"/>
                <w:szCs w:val="22"/>
                <w:highlight w:val="none"/>
              </w:rPr>
              <w:t>1</w:t>
            </w:r>
          </w:p>
        </w:tc>
        <w:tc>
          <w:tcPr>
            <w:tcW w:w="2492" w:type="dxa"/>
            <w:vAlign w:val="center"/>
          </w:tcPr>
          <w:p w14:paraId="49A3DF41">
            <w:pPr>
              <w:pStyle w:val="14"/>
              <w:rPr>
                <w:rFonts w:hAnsi="宋体"/>
                <w:color w:val="auto"/>
                <w:sz w:val="22"/>
                <w:szCs w:val="22"/>
                <w:highlight w:val="none"/>
              </w:rPr>
            </w:pPr>
          </w:p>
        </w:tc>
        <w:tc>
          <w:tcPr>
            <w:tcW w:w="915" w:type="dxa"/>
            <w:vAlign w:val="center"/>
          </w:tcPr>
          <w:p w14:paraId="38817513">
            <w:pPr>
              <w:pStyle w:val="14"/>
              <w:spacing w:line="360" w:lineRule="auto"/>
              <w:rPr>
                <w:rFonts w:hAnsi="宋体"/>
                <w:b/>
                <w:bCs/>
                <w:color w:val="auto"/>
                <w:sz w:val="22"/>
                <w:szCs w:val="22"/>
                <w:highlight w:val="none"/>
              </w:rPr>
            </w:pPr>
          </w:p>
        </w:tc>
        <w:tc>
          <w:tcPr>
            <w:tcW w:w="1876" w:type="dxa"/>
            <w:vAlign w:val="center"/>
          </w:tcPr>
          <w:p w14:paraId="4623E32F">
            <w:pPr>
              <w:pStyle w:val="14"/>
              <w:spacing w:line="360" w:lineRule="auto"/>
              <w:rPr>
                <w:rFonts w:hAnsi="宋体"/>
                <w:b/>
                <w:bCs/>
                <w:color w:val="auto"/>
                <w:sz w:val="22"/>
                <w:szCs w:val="22"/>
                <w:highlight w:val="none"/>
              </w:rPr>
            </w:pPr>
          </w:p>
        </w:tc>
        <w:tc>
          <w:tcPr>
            <w:tcW w:w="495" w:type="dxa"/>
            <w:vAlign w:val="center"/>
          </w:tcPr>
          <w:p w14:paraId="544FE715">
            <w:pPr>
              <w:pStyle w:val="14"/>
              <w:spacing w:line="360" w:lineRule="auto"/>
              <w:rPr>
                <w:rFonts w:hAnsi="宋体"/>
                <w:b/>
                <w:bCs/>
                <w:color w:val="auto"/>
                <w:sz w:val="22"/>
                <w:szCs w:val="22"/>
                <w:highlight w:val="none"/>
              </w:rPr>
            </w:pPr>
          </w:p>
        </w:tc>
        <w:tc>
          <w:tcPr>
            <w:tcW w:w="498" w:type="dxa"/>
            <w:vAlign w:val="center"/>
          </w:tcPr>
          <w:p w14:paraId="653D46C7">
            <w:pPr>
              <w:pStyle w:val="14"/>
              <w:spacing w:line="360" w:lineRule="auto"/>
              <w:rPr>
                <w:rFonts w:hAnsi="宋体"/>
                <w:b/>
                <w:bCs/>
                <w:color w:val="auto"/>
                <w:sz w:val="22"/>
                <w:szCs w:val="22"/>
                <w:highlight w:val="none"/>
              </w:rPr>
            </w:pPr>
          </w:p>
        </w:tc>
        <w:tc>
          <w:tcPr>
            <w:tcW w:w="1148" w:type="dxa"/>
          </w:tcPr>
          <w:p w14:paraId="59E36323">
            <w:pPr>
              <w:pStyle w:val="14"/>
              <w:spacing w:line="360" w:lineRule="auto"/>
              <w:rPr>
                <w:rFonts w:hAnsi="宋体"/>
                <w:color w:val="auto"/>
                <w:sz w:val="22"/>
                <w:szCs w:val="22"/>
                <w:highlight w:val="none"/>
              </w:rPr>
            </w:pPr>
          </w:p>
        </w:tc>
        <w:tc>
          <w:tcPr>
            <w:tcW w:w="1124" w:type="dxa"/>
          </w:tcPr>
          <w:p w14:paraId="33620379">
            <w:pPr>
              <w:pStyle w:val="14"/>
              <w:spacing w:line="360" w:lineRule="auto"/>
              <w:rPr>
                <w:rFonts w:hAnsi="宋体"/>
                <w:color w:val="auto"/>
                <w:sz w:val="22"/>
                <w:szCs w:val="22"/>
                <w:highlight w:val="none"/>
              </w:rPr>
            </w:pPr>
          </w:p>
        </w:tc>
      </w:tr>
      <w:tr w14:paraId="4C5C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082482EF">
            <w:pPr>
              <w:pStyle w:val="14"/>
              <w:jc w:val="center"/>
              <w:rPr>
                <w:rFonts w:hAnsi="宋体"/>
                <w:color w:val="auto"/>
                <w:sz w:val="22"/>
                <w:szCs w:val="22"/>
                <w:highlight w:val="none"/>
              </w:rPr>
            </w:pPr>
            <w:r>
              <w:rPr>
                <w:rFonts w:hint="eastAsia" w:hAnsi="宋体"/>
                <w:color w:val="auto"/>
                <w:sz w:val="22"/>
                <w:szCs w:val="22"/>
                <w:highlight w:val="none"/>
              </w:rPr>
              <w:t>2</w:t>
            </w:r>
          </w:p>
        </w:tc>
        <w:tc>
          <w:tcPr>
            <w:tcW w:w="2492" w:type="dxa"/>
            <w:vAlign w:val="center"/>
          </w:tcPr>
          <w:p w14:paraId="02965BF7">
            <w:pPr>
              <w:pStyle w:val="14"/>
              <w:rPr>
                <w:rFonts w:hAnsi="宋体"/>
                <w:color w:val="auto"/>
                <w:sz w:val="22"/>
                <w:szCs w:val="22"/>
                <w:highlight w:val="none"/>
              </w:rPr>
            </w:pPr>
          </w:p>
        </w:tc>
        <w:tc>
          <w:tcPr>
            <w:tcW w:w="915" w:type="dxa"/>
            <w:vAlign w:val="center"/>
          </w:tcPr>
          <w:p w14:paraId="2F0C28C1">
            <w:pPr>
              <w:pStyle w:val="14"/>
              <w:spacing w:line="360" w:lineRule="auto"/>
              <w:rPr>
                <w:rFonts w:hAnsi="宋体"/>
                <w:b/>
                <w:bCs/>
                <w:color w:val="auto"/>
                <w:sz w:val="22"/>
                <w:szCs w:val="22"/>
                <w:highlight w:val="none"/>
              </w:rPr>
            </w:pPr>
          </w:p>
        </w:tc>
        <w:tc>
          <w:tcPr>
            <w:tcW w:w="1876" w:type="dxa"/>
            <w:vAlign w:val="center"/>
          </w:tcPr>
          <w:p w14:paraId="53C75B0A">
            <w:pPr>
              <w:pStyle w:val="14"/>
              <w:spacing w:line="360" w:lineRule="auto"/>
              <w:rPr>
                <w:rFonts w:hAnsi="宋体"/>
                <w:b/>
                <w:bCs/>
                <w:color w:val="auto"/>
                <w:sz w:val="22"/>
                <w:szCs w:val="22"/>
                <w:highlight w:val="none"/>
              </w:rPr>
            </w:pPr>
          </w:p>
        </w:tc>
        <w:tc>
          <w:tcPr>
            <w:tcW w:w="495" w:type="dxa"/>
            <w:vAlign w:val="center"/>
          </w:tcPr>
          <w:p w14:paraId="23A1D950">
            <w:pPr>
              <w:pStyle w:val="14"/>
              <w:spacing w:line="360" w:lineRule="auto"/>
              <w:rPr>
                <w:rFonts w:hAnsi="宋体"/>
                <w:b/>
                <w:bCs/>
                <w:color w:val="auto"/>
                <w:sz w:val="22"/>
                <w:szCs w:val="22"/>
                <w:highlight w:val="none"/>
              </w:rPr>
            </w:pPr>
          </w:p>
        </w:tc>
        <w:tc>
          <w:tcPr>
            <w:tcW w:w="498" w:type="dxa"/>
            <w:vAlign w:val="center"/>
          </w:tcPr>
          <w:p w14:paraId="147738A8">
            <w:pPr>
              <w:pStyle w:val="14"/>
              <w:spacing w:line="360" w:lineRule="auto"/>
              <w:rPr>
                <w:rFonts w:hAnsi="宋体"/>
                <w:b/>
                <w:bCs/>
                <w:color w:val="auto"/>
                <w:sz w:val="22"/>
                <w:szCs w:val="22"/>
                <w:highlight w:val="none"/>
              </w:rPr>
            </w:pPr>
          </w:p>
        </w:tc>
        <w:tc>
          <w:tcPr>
            <w:tcW w:w="1148" w:type="dxa"/>
          </w:tcPr>
          <w:p w14:paraId="3D366BB3">
            <w:pPr>
              <w:pStyle w:val="14"/>
              <w:spacing w:line="360" w:lineRule="auto"/>
              <w:rPr>
                <w:rFonts w:hAnsi="宋体"/>
                <w:color w:val="auto"/>
                <w:sz w:val="22"/>
                <w:szCs w:val="22"/>
                <w:highlight w:val="none"/>
              </w:rPr>
            </w:pPr>
          </w:p>
        </w:tc>
        <w:tc>
          <w:tcPr>
            <w:tcW w:w="1124" w:type="dxa"/>
          </w:tcPr>
          <w:p w14:paraId="4C79D469">
            <w:pPr>
              <w:pStyle w:val="14"/>
              <w:spacing w:line="360" w:lineRule="auto"/>
              <w:rPr>
                <w:rFonts w:hAnsi="宋体"/>
                <w:color w:val="auto"/>
                <w:sz w:val="22"/>
                <w:szCs w:val="22"/>
                <w:highlight w:val="none"/>
              </w:rPr>
            </w:pPr>
          </w:p>
        </w:tc>
      </w:tr>
      <w:tr w14:paraId="34FD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2305E97F">
            <w:pPr>
              <w:pStyle w:val="14"/>
              <w:jc w:val="center"/>
              <w:rPr>
                <w:rFonts w:hAnsi="宋体"/>
                <w:color w:val="auto"/>
                <w:sz w:val="22"/>
                <w:szCs w:val="22"/>
                <w:highlight w:val="none"/>
              </w:rPr>
            </w:pPr>
            <w:r>
              <w:rPr>
                <w:rFonts w:hint="eastAsia" w:hAnsi="宋体"/>
                <w:color w:val="auto"/>
                <w:sz w:val="22"/>
                <w:szCs w:val="22"/>
                <w:highlight w:val="none"/>
              </w:rPr>
              <w:t>3</w:t>
            </w:r>
          </w:p>
        </w:tc>
        <w:tc>
          <w:tcPr>
            <w:tcW w:w="2492" w:type="dxa"/>
            <w:vAlign w:val="center"/>
          </w:tcPr>
          <w:p w14:paraId="5FA4618C">
            <w:pPr>
              <w:pStyle w:val="14"/>
              <w:rPr>
                <w:rFonts w:hAnsi="宋体"/>
                <w:color w:val="auto"/>
                <w:sz w:val="22"/>
                <w:szCs w:val="22"/>
                <w:highlight w:val="none"/>
              </w:rPr>
            </w:pPr>
          </w:p>
        </w:tc>
        <w:tc>
          <w:tcPr>
            <w:tcW w:w="915" w:type="dxa"/>
            <w:vAlign w:val="center"/>
          </w:tcPr>
          <w:p w14:paraId="36B783FF">
            <w:pPr>
              <w:pStyle w:val="14"/>
              <w:spacing w:line="360" w:lineRule="auto"/>
              <w:rPr>
                <w:rFonts w:hAnsi="宋体"/>
                <w:b/>
                <w:bCs/>
                <w:color w:val="auto"/>
                <w:sz w:val="22"/>
                <w:szCs w:val="22"/>
                <w:highlight w:val="none"/>
              </w:rPr>
            </w:pPr>
          </w:p>
        </w:tc>
        <w:tc>
          <w:tcPr>
            <w:tcW w:w="1876" w:type="dxa"/>
            <w:vAlign w:val="center"/>
          </w:tcPr>
          <w:p w14:paraId="1BCDF9B2">
            <w:pPr>
              <w:pStyle w:val="14"/>
              <w:spacing w:line="360" w:lineRule="auto"/>
              <w:rPr>
                <w:rFonts w:hAnsi="宋体"/>
                <w:b/>
                <w:bCs/>
                <w:color w:val="auto"/>
                <w:sz w:val="22"/>
                <w:szCs w:val="22"/>
                <w:highlight w:val="none"/>
              </w:rPr>
            </w:pPr>
          </w:p>
        </w:tc>
        <w:tc>
          <w:tcPr>
            <w:tcW w:w="495" w:type="dxa"/>
            <w:vAlign w:val="center"/>
          </w:tcPr>
          <w:p w14:paraId="5942F5E2">
            <w:pPr>
              <w:pStyle w:val="14"/>
              <w:spacing w:line="360" w:lineRule="auto"/>
              <w:rPr>
                <w:rFonts w:hAnsi="宋体"/>
                <w:b/>
                <w:bCs/>
                <w:color w:val="auto"/>
                <w:sz w:val="22"/>
                <w:szCs w:val="22"/>
                <w:highlight w:val="none"/>
              </w:rPr>
            </w:pPr>
          </w:p>
        </w:tc>
        <w:tc>
          <w:tcPr>
            <w:tcW w:w="498" w:type="dxa"/>
            <w:vAlign w:val="center"/>
          </w:tcPr>
          <w:p w14:paraId="1EBCF7FE">
            <w:pPr>
              <w:pStyle w:val="14"/>
              <w:spacing w:line="360" w:lineRule="auto"/>
              <w:rPr>
                <w:rFonts w:hAnsi="宋体"/>
                <w:b/>
                <w:bCs/>
                <w:color w:val="auto"/>
                <w:sz w:val="22"/>
                <w:szCs w:val="22"/>
                <w:highlight w:val="none"/>
              </w:rPr>
            </w:pPr>
          </w:p>
        </w:tc>
        <w:tc>
          <w:tcPr>
            <w:tcW w:w="1148" w:type="dxa"/>
          </w:tcPr>
          <w:p w14:paraId="42345D56">
            <w:pPr>
              <w:pStyle w:val="14"/>
              <w:spacing w:line="360" w:lineRule="auto"/>
              <w:rPr>
                <w:rFonts w:hAnsi="宋体"/>
                <w:color w:val="auto"/>
                <w:sz w:val="22"/>
                <w:szCs w:val="22"/>
                <w:highlight w:val="none"/>
              </w:rPr>
            </w:pPr>
          </w:p>
        </w:tc>
        <w:tc>
          <w:tcPr>
            <w:tcW w:w="1124" w:type="dxa"/>
          </w:tcPr>
          <w:p w14:paraId="1FC7759F">
            <w:pPr>
              <w:pStyle w:val="14"/>
              <w:spacing w:line="360" w:lineRule="auto"/>
              <w:rPr>
                <w:rFonts w:hAnsi="宋体"/>
                <w:color w:val="auto"/>
                <w:sz w:val="22"/>
                <w:szCs w:val="22"/>
                <w:highlight w:val="none"/>
              </w:rPr>
            </w:pPr>
          </w:p>
        </w:tc>
      </w:tr>
      <w:tr w14:paraId="3054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1A351925">
            <w:pPr>
              <w:pStyle w:val="14"/>
              <w:jc w:val="center"/>
              <w:rPr>
                <w:rFonts w:hAnsi="宋体"/>
                <w:color w:val="auto"/>
                <w:sz w:val="22"/>
                <w:szCs w:val="22"/>
                <w:highlight w:val="none"/>
              </w:rPr>
            </w:pPr>
            <w:r>
              <w:rPr>
                <w:rFonts w:hint="eastAsia" w:hAnsi="宋体"/>
                <w:color w:val="auto"/>
                <w:sz w:val="22"/>
                <w:szCs w:val="22"/>
                <w:highlight w:val="none"/>
              </w:rPr>
              <w:t>4</w:t>
            </w:r>
          </w:p>
        </w:tc>
        <w:tc>
          <w:tcPr>
            <w:tcW w:w="2492" w:type="dxa"/>
            <w:vAlign w:val="center"/>
          </w:tcPr>
          <w:p w14:paraId="2F1D8C2F">
            <w:pPr>
              <w:pStyle w:val="14"/>
              <w:rPr>
                <w:rFonts w:hAnsi="宋体"/>
                <w:color w:val="auto"/>
                <w:sz w:val="22"/>
                <w:szCs w:val="22"/>
                <w:highlight w:val="none"/>
              </w:rPr>
            </w:pPr>
          </w:p>
        </w:tc>
        <w:tc>
          <w:tcPr>
            <w:tcW w:w="915" w:type="dxa"/>
            <w:vAlign w:val="center"/>
          </w:tcPr>
          <w:p w14:paraId="09B28D32">
            <w:pPr>
              <w:pStyle w:val="14"/>
              <w:spacing w:line="360" w:lineRule="auto"/>
              <w:jc w:val="center"/>
              <w:rPr>
                <w:rFonts w:hAnsi="宋体"/>
                <w:color w:val="auto"/>
                <w:sz w:val="22"/>
                <w:szCs w:val="22"/>
                <w:highlight w:val="none"/>
              </w:rPr>
            </w:pPr>
          </w:p>
        </w:tc>
        <w:tc>
          <w:tcPr>
            <w:tcW w:w="1876" w:type="dxa"/>
            <w:vAlign w:val="center"/>
          </w:tcPr>
          <w:p w14:paraId="724928D9">
            <w:pPr>
              <w:pStyle w:val="14"/>
              <w:spacing w:line="360" w:lineRule="auto"/>
              <w:jc w:val="center"/>
              <w:rPr>
                <w:rFonts w:hAnsi="宋体"/>
                <w:color w:val="auto"/>
                <w:sz w:val="22"/>
                <w:szCs w:val="22"/>
                <w:highlight w:val="none"/>
              </w:rPr>
            </w:pPr>
          </w:p>
        </w:tc>
        <w:tc>
          <w:tcPr>
            <w:tcW w:w="495" w:type="dxa"/>
            <w:vAlign w:val="center"/>
          </w:tcPr>
          <w:p w14:paraId="253D55A6">
            <w:pPr>
              <w:pStyle w:val="14"/>
              <w:spacing w:line="360" w:lineRule="auto"/>
              <w:jc w:val="center"/>
              <w:rPr>
                <w:rFonts w:hAnsi="宋体"/>
                <w:color w:val="auto"/>
                <w:sz w:val="22"/>
                <w:szCs w:val="22"/>
                <w:highlight w:val="none"/>
              </w:rPr>
            </w:pPr>
          </w:p>
        </w:tc>
        <w:tc>
          <w:tcPr>
            <w:tcW w:w="498" w:type="dxa"/>
            <w:vAlign w:val="center"/>
          </w:tcPr>
          <w:p w14:paraId="584AF603">
            <w:pPr>
              <w:pStyle w:val="14"/>
              <w:spacing w:line="360" w:lineRule="auto"/>
              <w:jc w:val="center"/>
              <w:rPr>
                <w:rFonts w:hAnsi="宋体"/>
                <w:color w:val="auto"/>
                <w:sz w:val="22"/>
                <w:szCs w:val="22"/>
                <w:highlight w:val="none"/>
              </w:rPr>
            </w:pPr>
          </w:p>
        </w:tc>
        <w:tc>
          <w:tcPr>
            <w:tcW w:w="1148" w:type="dxa"/>
          </w:tcPr>
          <w:p w14:paraId="1A3135A4">
            <w:pPr>
              <w:pStyle w:val="14"/>
              <w:spacing w:line="360" w:lineRule="auto"/>
              <w:rPr>
                <w:rFonts w:hAnsi="宋体"/>
                <w:color w:val="auto"/>
                <w:sz w:val="22"/>
                <w:szCs w:val="22"/>
                <w:highlight w:val="none"/>
              </w:rPr>
            </w:pPr>
          </w:p>
        </w:tc>
        <w:tc>
          <w:tcPr>
            <w:tcW w:w="1124" w:type="dxa"/>
          </w:tcPr>
          <w:p w14:paraId="7972BEF8">
            <w:pPr>
              <w:pStyle w:val="14"/>
              <w:spacing w:line="360" w:lineRule="auto"/>
              <w:rPr>
                <w:rFonts w:hAnsi="宋体"/>
                <w:color w:val="auto"/>
                <w:sz w:val="22"/>
                <w:szCs w:val="22"/>
                <w:highlight w:val="none"/>
              </w:rPr>
            </w:pPr>
          </w:p>
        </w:tc>
      </w:tr>
      <w:tr w14:paraId="4571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066443F0">
            <w:pPr>
              <w:pStyle w:val="14"/>
              <w:spacing w:line="360" w:lineRule="auto"/>
              <w:jc w:val="center"/>
              <w:rPr>
                <w:rFonts w:hAnsi="宋体"/>
                <w:color w:val="auto"/>
                <w:sz w:val="22"/>
                <w:szCs w:val="22"/>
                <w:highlight w:val="none"/>
              </w:rPr>
            </w:pPr>
            <w:r>
              <w:rPr>
                <w:rFonts w:hint="eastAsia" w:hAnsi="宋体"/>
                <w:color w:val="auto"/>
                <w:sz w:val="22"/>
                <w:szCs w:val="22"/>
                <w:highlight w:val="none"/>
              </w:rPr>
              <w:t>5</w:t>
            </w:r>
          </w:p>
        </w:tc>
        <w:tc>
          <w:tcPr>
            <w:tcW w:w="2492" w:type="dxa"/>
            <w:vAlign w:val="center"/>
          </w:tcPr>
          <w:p w14:paraId="69D5C7B9">
            <w:pPr>
              <w:pStyle w:val="14"/>
              <w:spacing w:line="360" w:lineRule="auto"/>
              <w:jc w:val="center"/>
              <w:rPr>
                <w:rFonts w:hAnsi="宋体"/>
                <w:color w:val="auto"/>
                <w:sz w:val="22"/>
                <w:szCs w:val="22"/>
                <w:highlight w:val="none"/>
              </w:rPr>
            </w:pPr>
          </w:p>
        </w:tc>
        <w:tc>
          <w:tcPr>
            <w:tcW w:w="915" w:type="dxa"/>
            <w:vAlign w:val="center"/>
          </w:tcPr>
          <w:p w14:paraId="0FC38F50">
            <w:pPr>
              <w:jc w:val="center"/>
              <w:rPr>
                <w:rFonts w:ascii="宋体" w:hAnsi="宋体" w:cs="宋体"/>
                <w:b/>
                <w:bCs/>
                <w:color w:val="auto"/>
                <w:sz w:val="22"/>
                <w:szCs w:val="22"/>
                <w:highlight w:val="none"/>
              </w:rPr>
            </w:pPr>
          </w:p>
        </w:tc>
        <w:tc>
          <w:tcPr>
            <w:tcW w:w="1876" w:type="dxa"/>
            <w:vAlign w:val="center"/>
          </w:tcPr>
          <w:p w14:paraId="3A584B5E">
            <w:pPr>
              <w:jc w:val="center"/>
              <w:rPr>
                <w:rFonts w:ascii="宋体" w:hAnsi="宋体" w:cs="宋体"/>
                <w:b/>
                <w:bCs/>
                <w:color w:val="auto"/>
                <w:sz w:val="22"/>
                <w:szCs w:val="22"/>
                <w:highlight w:val="none"/>
              </w:rPr>
            </w:pPr>
          </w:p>
        </w:tc>
        <w:tc>
          <w:tcPr>
            <w:tcW w:w="495" w:type="dxa"/>
            <w:vAlign w:val="center"/>
          </w:tcPr>
          <w:p w14:paraId="3ABF3F0A">
            <w:pPr>
              <w:pStyle w:val="14"/>
              <w:spacing w:line="360" w:lineRule="auto"/>
              <w:jc w:val="center"/>
              <w:rPr>
                <w:rFonts w:hAnsi="宋体"/>
                <w:b/>
                <w:bCs/>
                <w:color w:val="auto"/>
                <w:sz w:val="22"/>
                <w:szCs w:val="22"/>
                <w:highlight w:val="none"/>
              </w:rPr>
            </w:pPr>
          </w:p>
        </w:tc>
        <w:tc>
          <w:tcPr>
            <w:tcW w:w="498" w:type="dxa"/>
            <w:vAlign w:val="center"/>
          </w:tcPr>
          <w:p w14:paraId="691514F5">
            <w:pPr>
              <w:pStyle w:val="14"/>
              <w:spacing w:line="360" w:lineRule="auto"/>
              <w:jc w:val="center"/>
              <w:rPr>
                <w:rFonts w:hAnsi="宋体"/>
                <w:b/>
                <w:bCs/>
                <w:color w:val="auto"/>
                <w:sz w:val="22"/>
                <w:szCs w:val="22"/>
                <w:highlight w:val="none"/>
              </w:rPr>
            </w:pPr>
          </w:p>
        </w:tc>
        <w:tc>
          <w:tcPr>
            <w:tcW w:w="1148" w:type="dxa"/>
            <w:vAlign w:val="center"/>
          </w:tcPr>
          <w:p w14:paraId="77132467">
            <w:pPr>
              <w:pStyle w:val="14"/>
              <w:spacing w:line="360" w:lineRule="auto"/>
              <w:jc w:val="center"/>
              <w:rPr>
                <w:rFonts w:hAnsi="宋体"/>
                <w:b/>
                <w:bCs/>
                <w:color w:val="auto"/>
                <w:sz w:val="22"/>
                <w:szCs w:val="22"/>
                <w:highlight w:val="none"/>
              </w:rPr>
            </w:pPr>
          </w:p>
        </w:tc>
        <w:tc>
          <w:tcPr>
            <w:tcW w:w="1124" w:type="dxa"/>
            <w:vAlign w:val="center"/>
          </w:tcPr>
          <w:p w14:paraId="68CB567E">
            <w:pPr>
              <w:pStyle w:val="14"/>
              <w:spacing w:line="360" w:lineRule="auto"/>
              <w:jc w:val="center"/>
              <w:rPr>
                <w:rFonts w:hAnsi="宋体"/>
                <w:b/>
                <w:bCs/>
                <w:color w:val="auto"/>
                <w:sz w:val="22"/>
                <w:szCs w:val="22"/>
                <w:highlight w:val="none"/>
              </w:rPr>
            </w:pPr>
          </w:p>
        </w:tc>
      </w:tr>
      <w:tr w14:paraId="7464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1FD67495">
            <w:pPr>
              <w:pStyle w:val="14"/>
              <w:spacing w:line="360" w:lineRule="auto"/>
              <w:rPr>
                <w:rFonts w:hAnsi="宋体"/>
                <w:color w:val="auto"/>
                <w:sz w:val="22"/>
                <w:szCs w:val="22"/>
                <w:highlight w:val="none"/>
              </w:rPr>
            </w:pPr>
            <w:r>
              <w:rPr>
                <w:rFonts w:hint="eastAsia" w:hAnsi="宋体"/>
                <w:color w:val="auto"/>
                <w:sz w:val="22"/>
                <w:szCs w:val="22"/>
                <w:highlight w:val="none"/>
              </w:rPr>
              <w:t>…</w:t>
            </w:r>
          </w:p>
        </w:tc>
        <w:tc>
          <w:tcPr>
            <w:tcW w:w="2492" w:type="dxa"/>
            <w:vAlign w:val="center"/>
          </w:tcPr>
          <w:p w14:paraId="0F5C7EFB">
            <w:pPr>
              <w:pStyle w:val="14"/>
              <w:spacing w:line="360" w:lineRule="auto"/>
              <w:jc w:val="center"/>
              <w:rPr>
                <w:rFonts w:hAnsi="宋体"/>
                <w:color w:val="auto"/>
                <w:sz w:val="22"/>
                <w:szCs w:val="22"/>
                <w:highlight w:val="none"/>
              </w:rPr>
            </w:pPr>
            <w:r>
              <w:rPr>
                <w:rFonts w:hint="eastAsia" w:hAnsi="宋体"/>
                <w:color w:val="auto"/>
                <w:sz w:val="22"/>
                <w:szCs w:val="22"/>
                <w:highlight w:val="none"/>
              </w:rPr>
              <w:t>……</w:t>
            </w:r>
          </w:p>
        </w:tc>
        <w:tc>
          <w:tcPr>
            <w:tcW w:w="915" w:type="dxa"/>
            <w:vAlign w:val="center"/>
          </w:tcPr>
          <w:p w14:paraId="62F2F50A">
            <w:pPr>
              <w:jc w:val="center"/>
              <w:rPr>
                <w:rFonts w:ascii="宋体" w:hAnsi="宋体" w:cs="宋体"/>
                <w:color w:val="auto"/>
                <w:sz w:val="22"/>
                <w:szCs w:val="22"/>
                <w:highlight w:val="none"/>
              </w:rPr>
            </w:pPr>
          </w:p>
        </w:tc>
        <w:tc>
          <w:tcPr>
            <w:tcW w:w="1876" w:type="dxa"/>
            <w:vAlign w:val="center"/>
          </w:tcPr>
          <w:p w14:paraId="497C7606">
            <w:pPr>
              <w:jc w:val="center"/>
              <w:rPr>
                <w:rFonts w:ascii="宋体" w:hAnsi="宋体" w:cs="宋体"/>
                <w:color w:val="auto"/>
                <w:sz w:val="22"/>
                <w:szCs w:val="22"/>
                <w:highlight w:val="none"/>
              </w:rPr>
            </w:pPr>
          </w:p>
        </w:tc>
        <w:tc>
          <w:tcPr>
            <w:tcW w:w="495" w:type="dxa"/>
            <w:vAlign w:val="center"/>
          </w:tcPr>
          <w:p w14:paraId="59CFC213">
            <w:pPr>
              <w:pStyle w:val="14"/>
              <w:spacing w:line="360" w:lineRule="auto"/>
              <w:jc w:val="center"/>
              <w:rPr>
                <w:rFonts w:hAnsi="宋体"/>
                <w:color w:val="auto"/>
                <w:sz w:val="22"/>
                <w:szCs w:val="22"/>
                <w:highlight w:val="none"/>
              </w:rPr>
            </w:pPr>
          </w:p>
        </w:tc>
        <w:tc>
          <w:tcPr>
            <w:tcW w:w="498" w:type="dxa"/>
            <w:vAlign w:val="center"/>
          </w:tcPr>
          <w:p w14:paraId="406349B5">
            <w:pPr>
              <w:pStyle w:val="14"/>
              <w:spacing w:line="360" w:lineRule="auto"/>
              <w:jc w:val="center"/>
              <w:rPr>
                <w:rFonts w:hAnsi="宋体"/>
                <w:color w:val="auto"/>
                <w:sz w:val="22"/>
                <w:szCs w:val="22"/>
                <w:highlight w:val="none"/>
              </w:rPr>
            </w:pPr>
          </w:p>
        </w:tc>
        <w:tc>
          <w:tcPr>
            <w:tcW w:w="1148" w:type="dxa"/>
          </w:tcPr>
          <w:p w14:paraId="5FBF1BB5">
            <w:pPr>
              <w:pStyle w:val="14"/>
              <w:spacing w:line="360" w:lineRule="auto"/>
              <w:rPr>
                <w:rFonts w:hAnsi="宋体"/>
                <w:color w:val="auto"/>
                <w:sz w:val="22"/>
                <w:szCs w:val="22"/>
                <w:highlight w:val="none"/>
              </w:rPr>
            </w:pPr>
          </w:p>
        </w:tc>
        <w:tc>
          <w:tcPr>
            <w:tcW w:w="1124" w:type="dxa"/>
          </w:tcPr>
          <w:p w14:paraId="2503050C">
            <w:pPr>
              <w:pStyle w:val="14"/>
              <w:spacing w:line="360" w:lineRule="auto"/>
              <w:rPr>
                <w:rFonts w:hAnsi="宋体"/>
                <w:color w:val="auto"/>
                <w:sz w:val="22"/>
                <w:szCs w:val="22"/>
                <w:highlight w:val="none"/>
              </w:rPr>
            </w:pPr>
          </w:p>
        </w:tc>
      </w:tr>
      <w:tr w14:paraId="50EB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981" w:type="dxa"/>
            <w:gridSpan w:val="2"/>
            <w:vAlign w:val="center"/>
          </w:tcPr>
          <w:p w14:paraId="62D881A1">
            <w:pPr>
              <w:pStyle w:val="14"/>
              <w:spacing w:line="360" w:lineRule="auto"/>
              <w:jc w:val="center"/>
              <w:rPr>
                <w:rFonts w:hAnsi="宋体"/>
                <w:color w:val="auto"/>
                <w:sz w:val="22"/>
                <w:szCs w:val="22"/>
                <w:highlight w:val="none"/>
              </w:rPr>
            </w:pPr>
            <w:r>
              <w:rPr>
                <w:rFonts w:hint="eastAsia" w:hAnsi="宋体"/>
                <w:color w:val="auto"/>
                <w:sz w:val="22"/>
                <w:szCs w:val="22"/>
                <w:highlight w:val="none"/>
              </w:rPr>
              <w:t>投标总价</w:t>
            </w:r>
          </w:p>
        </w:tc>
        <w:tc>
          <w:tcPr>
            <w:tcW w:w="6056" w:type="dxa"/>
            <w:gridSpan w:val="6"/>
            <w:vAlign w:val="center"/>
          </w:tcPr>
          <w:p w14:paraId="4F973AFE">
            <w:pPr>
              <w:pStyle w:val="14"/>
              <w:spacing w:line="360" w:lineRule="auto"/>
              <w:jc w:val="center"/>
              <w:rPr>
                <w:rFonts w:hAnsi="宋体"/>
                <w:color w:val="auto"/>
                <w:sz w:val="22"/>
                <w:szCs w:val="22"/>
                <w:highlight w:val="none"/>
              </w:rPr>
            </w:pPr>
            <w:r>
              <w:rPr>
                <w:rFonts w:hint="eastAsia" w:hAnsi="宋体"/>
                <w:color w:val="auto"/>
                <w:sz w:val="22"/>
                <w:szCs w:val="22"/>
                <w:highlight w:val="none"/>
              </w:rPr>
              <w:t>大写：　　　　                元（小写：　　　　　）</w:t>
            </w:r>
          </w:p>
        </w:tc>
      </w:tr>
      <w:tr w14:paraId="3A44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2F6E9178">
            <w:pPr>
              <w:pStyle w:val="14"/>
              <w:spacing w:line="360" w:lineRule="auto"/>
              <w:ind w:firstLine="480" w:firstLineChars="200"/>
              <w:jc w:val="left"/>
              <w:rPr>
                <w:rFonts w:hAnsi="宋体"/>
                <w:color w:val="auto"/>
                <w:sz w:val="22"/>
                <w:szCs w:val="22"/>
                <w:highlight w:val="none"/>
              </w:rPr>
            </w:pPr>
            <w:r>
              <w:rPr>
                <w:rFonts w:hint="eastAsia" w:hAnsi="宋体"/>
                <w:color w:val="auto"/>
                <w:sz w:val="24"/>
                <w:szCs w:val="24"/>
                <w:highlight w:val="none"/>
              </w:rPr>
              <w:t>本次报价应包含项目所需全部服务，不得缺漏，是履行合同的最终价格（服务费、交通费、检测费、报告费、人工费、</w:t>
            </w:r>
            <w:r>
              <w:rPr>
                <w:rFonts w:hint="eastAsia" w:hAnsi="宋体" w:cs="宋体"/>
                <w:kern w:val="2"/>
                <w:sz w:val="24"/>
                <w:szCs w:val="24"/>
              </w:rPr>
              <w:t>劳保及安全措施费</w:t>
            </w:r>
            <w:r>
              <w:rPr>
                <w:rFonts w:hint="eastAsia" w:hAnsi="宋体" w:cs="宋体"/>
                <w:kern w:val="2"/>
                <w:sz w:val="24"/>
                <w:szCs w:val="24"/>
                <w:lang w:eastAsia="zh-CN"/>
              </w:rPr>
              <w:t>、</w:t>
            </w:r>
            <w:r>
              <w:rPr>
                <w:rFonts w:hint="eastAsia" w:hAnsi="宋体"/>
                <w:color w:val="auto"/>
                <w:sz w:val="24"/>
                <w:szCs w:val="24"/>
                <w:highlight w:val="none"/>
                <w:lang w:val="en-US" w:eastAsia="zh-CN"/>
              </w:rPr>
              <w:t>保险费、</w:t>
            </w:r>
            <w:r>
              <w:rPr>
                <w:rFonts w:hint="eastAsia" w:hAnsi="宋体"/>
                <w:color w:val="auto"/>
                <w:sz w:val="24"/>
                <w:szCs w:val="24"/>
                <w:highlight w:val="none"/>
              </w:rPr>
              <w:t>税金、招标代理费以及成交供应商认为有必要计入的其他费用等一切费用）。</w:t>
            </w:r>
          </w:p>
        </w:tc>
      </w:tr>
    </w:tbl>
    <w:p w14:paraId="7A0A70FD">
      <w:pPr>
        <w:spacing w:line="360" w:lineRule="auto"/>
        <w:ind w:firstLine="480" w:firstLineChars="200"/>
        <w:rPr>
          <w:rFonts w:ascii="宋体" w:hAnsi="宋体" w:cs="宋体"/>
          <w:color w:val="auto"/>
          <w:sz w:val="24"/>
          <w:szCs w:val="24"/>
          <w:highlight w:val="none"/>
        </w:rPr>
      </w:pPr>
    </w:p>
    <w:p w14:paraId="63E35063">
      <w:pPr>
        <w:pStyle w:val="14"/>
        <w:spacing w:line="360" w:lineRule="auto"/>
        <w:ind w:firstLine="480" w:firstLineChars="200"/>
        <w:rPr>
          <w:rFonts w:hAnsi="宋体"/>
          <w:color w:val="auto"/>
          <w:sz w:val="24"/>
          <w:szCs w:val="24"/>
          <w:highlight w:val="none"/>
        </w:rPr>
      </w:pPr>
    </w:p>
    <w:p w14:paraId="734D9BF2">
      <w:pPr>
        <w:pStyle w:val="14"/>
        <w:spacing w:line="360" w:lineRule="auto"/>
        <w:ind w:firstLine="480" w:firstLineChars="200"/>
        <w:rPr>
          <w:rFonts w:hAnsi="宋体"/>
          <w:color w:val="auto"/>
          <w:sz w:val="24"/>
          <w:szCs w:val="24"/>
          <w:highlight w:val="none"/>
        </w:rPr>
      </w:pPr>
      <w:r>
        <w:rPr>
          <w:rFonts w:hint="eastAsia" w:hAnsi="宋体"/>
          <w:color w:val="auto"/>
          <w:sz w:val="24"/>
          <w:szCs w:val="24"/>
          <w:highlight w:val="none"/>
        </w:rPr>
        <w:t>注：内容可根据供应商实际情况自行调整。</w:t>
      </w:r>
    </w:p>
    <w:p w14:paraId="663318B9">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法定代表人签名（或签名章）：</w:t>
      </w:r>
    </w:p>
    <w:p w14:paraId="30AD9042">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日期：</w:t>
      </w:r>
    </w:p>
    <w:p w14:paraId="74E67AC2">
      <w:pPr>
        <w:spacing w:line="360" w:lineRule="auto"/>
        <w:ind w:left="3780" w:leftChars="18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供应商全称（公章）</w:t>
      </w:r>
      <w:bookmarkEnd w:id="113"/>
      <w:r>
        <w:rPr>
          <w:rFonts w:hint="eastAsia" w:ascii="宋体" w:hAnsi="宋体" w:cs="宋体"/>
          <w:color w:val="auto"/>
          <w:sz w:val="24"/>
          <w:szCs w:val="24"/>
          <w:highlight w:val="none"/>
        </w:rPr>
        <w:t>：</w:t>
      </w:r>
    </w:p>
    <w:p w14:paraId="47ADD505">
      <w:pPr>
        <w:pStyle w:val="5"/>
        <w:rPr>
          <w:rFonts w:ascii="宋体" w:hAnsi="宋体" w:cs="宋体"/>
          <w:color w:val="auto"/>
          <w:sz w:val="24"/>
          <w:szCs w:val="24"/>
          <w:highlight w:val="none"/>
        </w:rPr>
      </w:pPr>
    </w:p>
    <w:p w14:paraId="61043F65">
      <w:pPr>
        <w:pStyle w:val="5"/>
        <w:rPr>
          <w:rFonts w:ascii="宋体" w:hAnsi="宋体" w:cs="宋体"/>
          <w:color w:val="auto"/>
          <w:sz w:val="24"/>
          <w:szCs w:val="24"/>
          <w:highlight w:val="none"/>
        </w:rPr>
      </w:pPr>
    </w:p>
    <w:p w14:paraId="725E5CBB">
      <w:pPr>
        <w:pStyle w:val="5"/>
        <w:rPr>
          <w:rFonts w:ascii="宋体" w:hAnsi="宋体" w:cs="宋体"/>
          <w:color w:val="auto"/>
          <w:sz w:val="24"/>
          <w:szCs w:val="24"/>
          <w:highlight w:val="none"/>
        </w:rPr>
      </w:pPr>
    </w:p>
    <w:p w14:paraId="2D118D33">
      <w:pPr>
        <w:pStyle w:val="5"/>
        <w:rPr>
          <w:rFonts w:ascii="宋体" w:hAnsi="宋体" w:cs="宋体"/>
          <w:color w:val="auto"/>
          <w:sz w:val="24"/>
          <w:szCs w:val="24"/>
          <w:highlight w:val="none"/>
        </w:rPr>
      </w:pPr>
    </w:p>
    <w:sectPr>
      <w:headerReference r:id="rId6" w:type="default"/>
      <w:footerReference r:id="rId7" w:type="default"/>
      <w:pgSz w:w="11906" w:h="16838"/>
      <w:pgMar w:top="1440" w:right="1803" w:bottom="1440" w:left="1803" w:header="851" w:footer="992" w:gutter="0"/>
      <w:pgNumType w:fmt="decimal"/>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AF319">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725C3">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D725C3">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1D334">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FBA1E0">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53</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40FBA1E0">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95F22">
    <w:pPr>
      <w:pStyle w:val="16"/>
      <w:jc w:val="center"/>
      <w:rPr>
        <w:rFonts w:asci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E6ADC">
                          <w:pPr>
                            <w:pStyle w:val="16"/>
                          </w:pPr>
                          <w:r>
                            <w:fldChar w:fldCharType="begin"/>
                          </w:r>
                          <w:r>
                            <w:instrText xml:space="preserve"> PAGE  \* MERGEFORMAT </w:instrText>
                          </w:r>
                          <w:r>
                            <w:fldChar w:fldCharType="separate"/>
                          </w:r>
                          <w:r>
                            <w:t>10</w:t>
                          </w:r>
                          <w:r>
                            <w:fldChar w:fldCharType="end"/>
                          </w:r>
                          <w:r>
                            <w:t xml:space="preserve"> / </w:t>
                          </w:r>
                          <w:r>
                            <w:fldChar w:fldCharType="begin"/>
                          </w:r>
                          <w:r>
                            <w:instrText xml:space="preserve"> NUMPAGES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0E6ADC">
                    <w:pPr>
                      <w:pStyle w:val="16"/>
                    </w:pPr>
                    <w:r>
                      <w:fldChar w:fldCharType="begin"/>
                    </w:r>
                    <w:r>
                      <w:instrText xml:space="preserve"> PAGE  \* MERGEFORMAT </w:instrText>
                    </w:r>
                    <w:r>
                      <w:fldChar w:fldCharType="separate"/>
                    </w:r>
                    <w:r>
                      <w:t>10</w:t>
                    </w:r>
                    <w:r>
                      <w:fldChar w:fldCharType="end"/>
                    </w:r>
                    <w:r>
                      <w:t xml:space="preserve"> / </w:t>
                    </w:r>
                    <w:r>
                      <w:fldChar w:fldCharType="begin"/>
                    </w:r>
                    <w:r>
                      <w:instrText xml:space="preserve"> NUMPAGES  \* MERGEFORMAT </w:instrText>
                    </w:r>
                    <w:r>
                      <w:fldChar w:fldCharType="separate"/>
                    </w:r>
                    <w:r>
                      <w:t>53</w:t>
                    </w:r>
                    <w:r>
                      <w:fldChar w:fldCharType="end"/>
                    </w:r>
                  </w:p>
                </w:txbxContent>
              </v:textbox>
            </v:shape>
          </w:pict>
        </mc:Fallback>
      </mc:AlternateContent>
    </w:r>
  </w:p>
  <w:p w14:paraId="09591247">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97FFE">
    <w:pPr>
      <w:pStyle w:val="16"/>
      <w:rPr>
        <w:rStyle w:val="26"/>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5A16348D">
                          <w:pPr>
                            <w:pStyle w:val="16"/>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53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5A16348D">
                    <w:pPr>
                      <w:pStyle w:val="16"/>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53</w:t>
                    </w:r>
                    <w:r>
                      <w:fldChar w:fldCharType="end"/>
                    </w:r>
                  </w:p>
                </w:txbxContent>
              </v:textbox>
            </v:shape>
          </w:pict>
        </mc:Fallback>
      </mc:AlternateContent>
    </w:r>
  </w:p>
  <w:p w14:paraId="168DCC56">
    <w:pPr>
      <w:pStyle w:val="16"/>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84A87">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8561A"/>
    <w:multiLevelType w:val="singleLevel"/>
    <w:tmpl w:val="8D88561A"/>
    <w:lvl w:ilvl="0" w:tentative="0">
      <w:start w:val="1"/>
      <w:numFmt w:val="decimal"/>
      <w:suff w:val="space"/>
      <w:lvlText w:val="%1."/>
      <w:lvlJc w:val="left"/>
    </w:lvl>
  </w:abstractNum>
  <w:abstractNum w:abstractNumId="1">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2">
    <w:nsid w:val="9E7D436F"/>
    <w:multiLevelType w:val="singleLevel"/>
    <w:tmpl w:val="9E7D436F"/>
    <w:lvl w:ilvl="0" w:tentative="0">
      <w:start w:val="1"/>
      <w:numFmt w:val="chineseCounting"/>
      <w:suff w:val="nothing"/>
      <w:lvlText w:val="%1、"/>
      <w:lvlJc w:val="left"/>
      <w:rPr>
        <w:rFonts w:hint="eastAsia"/>
      </w:rPr>
    </w:lvl>
  </w:abstractNum>
  <w:abstractNum w:abstractNumId="3">
    <w:nsid w:val="F4396F3A"/>
    <w:multiLevelType w:val="singleLevel"/>
    <w:tmpl w:val="F4396F3A"/>
    <w:lvl w:ilvl="0" w:tentative="0">
      <w:start w:val="2"/>
      <w:numFmt w:val="chineseCounting"/>
      <w:suff w:val="nothing"/>
      <w:lvlText w:val="%1、"/>
      <w:lvlJc w:val="left"/>
      <w:rPr>
        <w:rFonts w:hint="eastAsia"/>
      </w:rPr>
    </w:lvl>
  </w:abstractNum>
  <w:abstractNum w:abstractNumId="4">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5">
    <w:nsid w:val="0900A480"/>
    <w:multiLevelType w:val="singleLevel"/>
    <w:tmpl w:val="0900A480"/>
    <w:lvl w:ilvl="0" w:tentative="0">
      <w:start w:val="1"/>
      <w:numFmt w:val="decimal"/>
      <w:pStyle w:val="12"/>
      <w:lvlText w:val="%1."/>
      <w:lvlJc w:val="left"/>
      <w:pPr>
        <w:tabs>
          <w:tab w:val="left" w:pos="360"/>
        </w:tabs>
        <w:ind w:left="360" w:hanging="360"/>
      </w:pPr>
    </w:lvl>
  </w:abstractNum>
  <w:abstractNum w:abstractNumId="6">
    <w:nsid w:val="12F353C5"/>
    <w:multiLevelType w:val="singleLevel"/>
    <w:tmpl w:val="12F353C5"/>
    <w:lvl w:ilvl="0" w:tentative="0">
      <w:start w:val="1"/>
      <w:numFmt w:val="chineseCounting"/>
      <w:suff w:val="nothing"/>
      <w:lvlText w:val="%1、"/>
      <w:lvlJc w:val="left"/>
      <w:rPr>
        <w:rFonts w:hint="eastAsia"/>
      </w:rPr>
    </w:lvl>
  </w:abstractNum>
  <w:abstractNum w:abstractNumId="7">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8">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9">
    <w:nsid w:val="211911C0"/>
    <w:multiLevelType w:val="singleLevel"/>
    <w:tmpl w:val="211911C0"/>
    <w:lvl w:ilvl="0" w:tentative="0">
      <w:start w:val="1"/>
      <w:numFmt w:val="decimalEnclosedCircleChinese"/>
      <w:suff w:val="nothing"/>
      <w:lvlText w:val="%1　"/>
      <w:lvlJc w:val="left"/>
      <w:pPr>
        <w:ind w:left="150" w:firstLine="400"/>
      </w:pPr>
      <w:rPr>
        <w:rFonts w:hint="eastAsia"/>
      </w:rPr>
    </w:lvl>
  </w:abstractNum>
  <w:abstractNum w:abstractNumId="10">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1">
    <w:nsid w:val="2BCCD9E4"/>
    <w:multiLevelType w:val="singleLevel"/>
    <w:tmpl w:val="2BCCD9E4"/>
    <w:lvl w:ilvl="0" w:tentative="0">
      <w:start w:val="1"/>
      <w:numFmt w:val="decimalEnclosedCircleChinese"/>
      <w:suff w:val="nothing"/>
      <w:lvlText w:val="%1　"/>
      <w:lvlJc w:val="left"/>
      <w:pPr>
        <w:ind w:firstLine="1134"/>
      </w:pPr>
      <w:rPr>
        <w:rFonts w:hint="eastAsia"/>
      </w:rPr>
    </w:lvl>
  </w:abstractNum>
  <w:abstractNum w:abstractNumId="12">
    <w:nsid w:val="31213A5A"/>
    <w:multiLevelType w:val="singleLevel"/>
    <w:tmpl w:val="31213A5A"/>
    <w:lvl w:ilvl="0" w:tentative="0">
      <w:start w:val="4"/>
      <w:numFmt w:val="chineseCounting"/>
      <w:suff w:val="nothing"/>
      <w:lvlText w:val="%1、"/>
      <w:lvlJc w:val="left"/>
      <w:rPr>
        <w:rFonts w:hint="eastAsia"/>
      </w:rPr>
    </w:lvl>
  </w:abstractNum>
  <w:abstractNum w:abstractNumId="13">
    <w:nsid w:val="45F4B8F6"/>
    <w:multiLevelType w:val="singleLevel"/>
    <w:tmpl w:val="45F4B8F6"/>
    <w:lvl w:ilvl="0" w:tentative="0">
      <w:start w:val="1"/>
      <w:numFmt w:val="decimalEnclosedCircleChinese"/>
      <w:suff w:val="nothing"/>
      <w:lvlText w:val="%1　"/>
      <w:lvlJc w:val="left"/>
      <w:pPr>
        <w:ind w:left="150" w:firstLine="400"/>
      </w:pPr>
      <w:rPr>
        <w:rFonts w:hint="eastAsia"/>
      </w:rPr>
    </w:lvl>
  </w:abstractNum>
  <w:abstractNum w:abstractNumId="14">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5">
    <w:nsid w:val="483C6E98"/>
    <w:multiLevelType w:val="singleLevel"/>
    <w:tmpl w:val="483C6E98"/>
    <w:lvl w:ilvl="0" w:tentative="0">
      <w:start w:val="1"/>
      <w:numFmt w:val="decimal"/>
      <w:suff w:val="nothing"/>
      <w:lvlText w:val="%1、"/>
      <w:lvlJc w:val="left"/>
    </w:lvl>
  </w:abstractNum>
  <w:abstractNum w:abstractNumId="16">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7">
    <w:nsid w:val="55E84C23"/>
    <w:multiLevelType w:val="singleLevel"/>
    <w:tmpl w:val="55E84C23"/>
    <w:lvl w:ilvl="0" w:tentative="0">
      <w:start w:val="1"/>
      <w:numFmt w:val="decimal"/>
      <w:lvlText w:val="%1."/>
      <w:lvlJc w:val="left"/>
      <w:pPr>
        <w:tabs>
          <w:tab w:val="left" w:pos="312"/>
        </w:tabs>
      </w:pPr>
    </w:lvl>
  </w:abstractNum>
  <w:abstractNum w:abstractNumId="18">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19">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5"/>
  </w:num>
  <w:num w:numId="2">
    <w:abstractNumId w:val="4"/>
  </w:num>
  <w:num w:numId="3">
    <w:abstractNumId w:val="16"/>
  </w:num>
  <w:num w:numId="4">
    <w:abstractNumId w:val="7"/>
  </w:num>
  <w:num w:numId="5">
    <w:abstractNumId w:val="19"/>
  </w:num>
  <w:num w:numId="6">
    <w:abstractNumId w:val="8"/>
  </w:num>
  <w:num w:numId="7">
    <w:abstractNumId w:val="18"/>
  </w:num>
  <w:num w:numId="8">
    <w:abstractNumId w:val="15"/>
  </w:num>
  <w:num w:numId="9">
    <w:abstractNumId w:val="6"/>
  </w:num>
  <w:num w:numId="10">
    <w:abstractNumId w:val="14"/>
  </w:num>
  <w:num w:numId="11">
    <w:abstractNumId w:val="9"/>
  </w:num>
  <w:num w:numId="12">
    <w:abstractNumId w:val="11"/>
  </w:num>
  <w:num w:numId="13">
    <w:abstractNumId w:val="1"/>
  </w:num>
  <w:num w:numId="14">
    <w:abstractNumId w:val="10"/>
  </w:num>
  <w:num w:numId="15">
    <w:abstractNumId w:val="2"/>
  </w:num>
  <w:num w:numId="16">
    <w:abstractNumId w:val="12"/>
  </w:num>
  <w:num w:numId="17">
    <w:abstractNumId w:val="3"/>
  </w:num>
  <w:num w:numId="18">
    <w:abstractNumId w:val="17"/>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OWFjYjgwMWY2ZGNhMmY5ZjBjZmMxYmE0MDRhYWUifQ=="/>
  </w:docVars>
  <w:rsids>
    <w:rsidRoot w:val="004E7B46"/>
    <w:rsid w:val="004E7B46"/>
    <w:rsid w:val="007D1BF7"/>
    <w:rsid w:val="008871D9"/>
    <w:rsid w:val="008A0D8A"/>
    <w:rsid w:val="008A2738"/>
    <w:rsid w:val="00966966"/>
    <w:rsid w:val="00C93B61"/>
    <w:rsid w:val="00DC4ED6"/>
    <w:rsid w:val="00F904C3"/>
    <w:rsid w:val="01284C10"/>
    <w:rsid w:val="0166540A"/>
    <w:rsid w:val="018F4EBE"/>
    <w:rsid w:val="01AE6C84"/>
    <w:rsid w:val="01BB1ECC"/>
    <w:rsid w:val="01D44CBE"/>
    <w:rsid w:val="01DB68C5"/>
    <w:rsid w:val="02172392"/>
    <w:rsid w:val="02AB390E"/>
    <w:rsid w:val="03347FF6"/>
    <w:rsid w:val="03A72469"/>
    <w:rsid w:val="04EC458F"/>
    <w:rsid w:val="05804498"/>
    <w:rsid w:val="058D0A80"/>
    <w:rsid w:val="059A18C2"/>
    <w:rsid w:val="05A43A27"/>
    <w:rsid w:val="05BF4111"/>
    <w:rsid w:val="060F7DF2"/>
    <w:rsid w:val="06460E8D"/>
    <w:rsid w:val="06C13B23"/>
    <w:rsid w:val="070D0B30"/>
    <w:rsid w:val="0833559E"/>
    <w:rsid w:val="08850544"/>
    <w:rsid w:val="095945EF"/>
    <w:rsid w:val="096B69D0"/>
    <w:rsid w:val="09FC0922"/>
    <w:rsid w:val="0AB83A5C"/>
    <w:rsid w:val="0AF4146F"/>
    <w:rsid w:val="0B9C79DA"/>
    <w:rsid w:val="0BA871D4"/>
    <w:rsid w:val="0C8F1DB6"/>
    <w:rsid w:val="0CFA54CF"/>
    <w:rsid w:val="0D3E0ED6"/>
    <w:rsid w:val="0D995C1B"/>
    <w:rsid w:val="0DC25855"/>
    <w:rsid w:val="0E93747B"/>
    <w:rsid w:val="0EBD0A5A"/>
    <w:rsid w:val="0EF0772A"/>
    <w:rsid w:val="0F0C3DC3"/>
    <w:rsid w:val="0F1D1B2D"/>
    <w:rsid w:val="0F294985"/>
    <w:rsid w:val="0F831B8A"/>
    <w:rsid w:val="0FC57BC1"/>
    <w:rsid w:val="10340AC2"/>
    <w:rsid w:val="10A07E3F"/>
    <w:rsid w:val="11621E57"/>
    <w:rsid w:val="12112DCD"/>
    <w:rsid w:val="123E4294"/>
    <w:rsid w:val="12463148"/>
    <w:rsid w:val="126B73E2"/>
    <w:rsid w:val="12F4708E"/>
    <w:rsid w:val="133B3544"/>
    <w:rsid w:val="13AE6E45"/>
    <w:rsid w:val="13BD568C"/>
    <w:rsid w:val="151B6B0E"/>
    <w:rsid w:val="154A0179"/>
    <w:rsid w:val="16353452"/>
    <w:rsid w:val="16E71656"/>
    <w:rsid w:val="18C756A6"/>
    <w:rsid w:val="19353092"/>
    <w:rsid w:val="19362169"/>
    <w:rsid w:val="1A7E77DA"/>
    <w:rsid w:val="1ABF0599"/>
    <w:rsid w:val="1B171B26"/>
    <w:rsid w:val="1B6D7151"/>
    <w:rsid w:val="1B72462C"/>
    <w:rsid w:val="1B776A68"/>
    <w:rsid w:val="1B841782"/>
    <w:rsid w:val="1B9B060F"/>
    <w:rsid w:val="1BB22217"/>
    <w:rsid w:val="1BD22AE2"/>
    <w:rsid w:val="1CC37A0C"/>
    <w:rsid w:val="1D102A85"/>
    <w:rsid w:val="1D920DEA"/>
    <w:rsid w:val="1D9B643E"/>
    <w:rsid w:val="1D9C3FBB"/>
    <w:rsid w:val="1DBB05FE"/>
    <w:rsid w:val="1E696B3C"/>
    <w:rsid w:val="1ED15710"/>
    <w:rsid w:val="1F28542F"/>
    <w:rsid w:val="20A66641"/>
    <w:rsid w:val="21422E73"/>
    <w:rsid w:val="21BF0821"/>
    <w:rsid w:val="21D45591"/>
    <w:rsid w:val="22410E56"/>
    <w:rsid w:val="22EE43F4"/>
    <w:rsid w:val="23DC0A4C"/>
    <w:rsid w:val="248368E0"/>
    <w:rsid w:val="254B55DF"/>
    <w:rsid w:val="264F6618"/>
    <w:rsid w:val="269B71D5"/>
    <w:rsid w:val="27C13545"/>
    <w:rsid w:val="27FE6547"/>
    <w:rsid w:val="292C1E16"/>
    <w:rsid w:val="297F6DF4"/>
    <w:rsid w:val="29C63095"/>
    <w:rsid w:val="29CE5DA6"/>
    <w:rsid w:val="2AAA058C"/>
    <w:rsid w:val="2AD74E2E"/>
    <w:rsid w:val="2B345AF5"/>
    <w:rsid w:val="2B9F3B9D"/>
    <w:rsid w:val="2BC5112A"/>
    <w:rsid w:val="2C90612D"/>
    <w:rsid w:val="2CB35427"/>
    <w:rsid w:val="2CE221BD"/>
    <w:rsid w:val="2D401D7D"/>
    <w:rsid w:val="2E3D769E"/>
    <w:rsid w:val="2E7F2A5D"/>
    <w:rsid w:val="2F976672"/>
    <w:rsid w:val="2FF56DE4"/>
    <w:rsid w:val="30223447"/>
    <w:rsid w:val="30B57FCF"/>
    <w:rsid w:val="30CB78A0"/>
    <w:rsid w:val="31310F17"/>
    <w:rsid w:val="31A77CA8"/>
    <w:rsid w:val="32400512"/>
    <w:rsid w:val="3288698A"/>
    <w:rsid w:val="329D695D"/>
    <w:rsid w:val="336B20D1"/>
    <w:rsid w:val="336E20A7"/>
    <w:rsid w:val="33752BC2"/>
    <w:rsid w:val="33A57990"/>
    <w:rsid w:val="33D37E50"/>
    <w:rsid w:val="340D0AE3"/>
    <w:rsid w:val="342B6968"/>
    <w:rsid w:val="344A2B14"/>
    <w:rsid w:val="34BD33C3"/>
    <w:rsid w:val="35270760"/>
    <w:rsid w:val="353213A0"/>
    <w:rsid w:val="35FB4B57"/>
    <w:rsid w:val="362B07DC"/>
    <w:rsid w:val="364A3791"/>
    <w:rsid w:val="3656367E"/>
    <w:rsid w:val="36735251"/>
    <w:rsid w:val="36E36A42"/>
    <w:rsid w:val="378B3228"/>
    <w:rsid w:val="37AA5E7E"/>
    <w:rsid w:val="382A49E2"/>
    <w:rsid w:val="384B0848"/>
    <w:rsid w:val="386D0B7F"/>
    <w:rsid w:val="38CC1665"/>
    <w:rsid w:val="39551750"/>
    <w:rsid w:val="396A50BF"/>
    <w:rsid w:val="39AA7FC0"/>
    <w:rsid w:val="3A0947DF"/>
    <w:rsid w:val="3A5F47A0"/>
    <w:rsid w:val="3BCC3F21"/>
    <w:rsid w:val="3BE21AFB"/>
    <w:rsid w:val="3C786374"/>
    <w:rsid w:val="3C9B6463"/>
    <w:rsid w:val="3CC27654"/>
    <w:rsid w:val="3CE42F1D"/>
    <w:rsid w:val="3D302BB8"/>
    <w:rsid w:val="3D913748"/>
    <w:rsid w:val="3DBE1F94"/>
    <w:rsid w:val="3DD80F91"/>
    <w:rsid w:val="3E0E7312"/>
    <w:rsid w:val="3E15733A"/>
    <w:rsid w:val="3E3216FE"/>
    <w:rsid w:val="3E593851"/>
    <w:rsid w:val="3E6502E3"/>
    <w:rsid w:val="3E805CCE"/>
    <w:rsid w:val="3EED7957"/>
    <w:rsid w:val="3EFE27D5"/>
    <w:rsid w:val="3F731171"/>
    <w:rsid w:val="3FBB52FF"/>
    <w:rsid w:val="40E225F0"/>
    <w:rsid w:val="40E93B81"/>
    <w:rsid w:val="426E4C08"/>
    <w:rsid w:val="43210EE4"/>
    <w:rsid w:val="434A2EFA"/>
    <w:rsid w:val="438E3061"/>
    <w:rsid w:val="43A37B74"/>
    <w:rsid w:val="43EB38E7"/>
    <w:rsid w:val="440A5A5D"/>
    <w:rsid w:val="44141B83"/>
    <w:rsid w:val="44191701"/>
    <w:rsid w:val="442703FD"/>
    <w:rsid w:val="44D20CEB"/>
    <w:rsid w:val="44EB6BB8"/>
    <w:rsid w:val="44EF1588"/>
    <w:rsid w:val="452C70DB"/>
    <w:rsid w:val="455049B9"/>
    <w:rsid w:val="45E2188E"/>
    <w:rsid w:val="462C5484"/>
    <w:rsid w:val="46A53D0D"/>
    <w:rsid w:val="475875BB"/>
    <w:rsid w:val="47AC48AF"/>
    <w:rsid w:val="47D7542C"/>
    <w:rsid w:val="48474F49"/>
    <w:rsid w:val="488C7EAF"/>
    <w:rsid w:val="48D83DF3"/>
    <w:rsid w:val="48F77CAC"/>
    <w:rsid w:val="492D1A36"/>
    <w:rsid w:val="49492942"/>
    <w:rsid w:val="49824284"/>
    <w:rsid w:val="49B4250E"/>
    <w:rsid w:val="49BB026C"/>
    <w:rsid w:val="4A3A4459"/>
    <w:rsid w:val="4B3F5959"/>
    <w:rsid w:val="4B6D6758"/>
    <w:rsid w:val="4BA163BC"/>
    <w:rsid w:val="4BEB2F3F"/>
    <w:rsid w:val="4D42277A"/>
    <w:rsid w:val="4DFD0BBF"/>
    <w:rsid w:val="4E907370"/>
    <w:rsid w:val="4E9F0FF5"/>
    <w:rsid w:val="4EC8766C"/>
    <w:rsid w:val="4EF16300"/>
    <w:rsid w:val="4F757DDE"/>
    <w:rsid w:val="50550552"/>
    <w:rsid w:val="50CC1AE3"/>
    <w:rsid w:val="51133B73"/>
    <w:rsid w:val="516B447C"/>
    <w:rsid w:val="51EF4C91"/>
    <w:rsid w:val="51FC1106"/>
    <w:rsid w:val="51FD72AA"/>
    <w:rsid w:val="52346539"/>
    <w:rsid w:val="52460E0D"/>
    <w:rsid w:val="5265409F"/>
    <w:rsid w:val="5288658E"/>
    <w:rsid w:val="53192C95"/>
    <w:rsid w:val="54034147"/>
    <w:rsid w:val="5442626B"/>
    <w:rsid w:val="544F6377"/>
    <w:rsid w:val="551A1C1B"/>
    <w:rsid w:val="556708FB"/>
    <w:rsid w:val="55A57753"/>
    <w:rsid w:val="56151E85"/>
    <w:rsid w:val="56BE60E9"/>
    <w:rsid w:val="570C66F2"/>
    <w:rsid w:val="585A4825"/>
    <w:rsid w:val="586804F3"/>
    <w:rsid w:val="58970C93"/>
    <w:rsid w:val="58D85106"/>
    <w:rsid w:val="58DC5614"/>
    <w:rsid w:val="58FD3402"/>
    <w:rsid w:val="591D5539"/>
    <w:rsid w:val="59660BE0"/>
    <w:rsid w:val="5A2D2B8A"/>
    <w:rsid w:val="5B3531AA"/>
    <w:rsid w:val="5B593D82"/>
    <w:rsid w:val="5BA85751"/>
    <w:rsid w:val="5C6D4B06"/>
    <w:rsid w:val="5CAF4194"/>
    <w:rsid w:val="5D0D2DD8"/>
    <w:rsid w:val="5D4A7320"/>
    <w:rsid w:val="5E101875"/>
    <w:rsid w:val="5E7C2BF7"/>
    <w:rsid w:val="5EB94076"/>
    <w:rsid w:val="5EBC5859"/>
    <w:rsid w:val="5ECA2580"/>
    <w:rsid w:val="5F487A20"/>
    <w:rsid w:val="5FF34165"/>
    <w:rsid w:val="6009588A"/>
    <w:rsid w:val="6061130C"/>
    <w:rsid w:val="6128732F"/>
    <w:rsid w:val="618A35DC"/>
    <w:rsid w:val="62233915"/>
    <w:rsid w:val="62A42226"/>
    <w:rsid w:val="62D3266B"/>
    <w:rsid w:val="62F33965"/>
    <w:rsid w:val="62FD5252"/>
    <w:rsid w:val="63B70D7D"/>
    <w:rsid w:val="64760C38"/>
    <w:rsid w:val="648B5788"/>
    <w:rsid w:val="65623DBD"/>
    <w:rsid w:val="65B172DB"/>
    <w:rsid w:val="65DE046F"/>
    <w:rsid w:val="65F22540"/>
    <w:rsid w:val="66177CE7"/>
    <w:rsid w:val="662D1F7B"/>
    <w:rsid w:val="663279EE"/>
    <w:rsid w:val="66DA6AF8"/>
    <w:rsid w:val="66E96F94"/>
    <w:rsid w:val="66F7085F"/>
    <w:rsid w:val="67420919"/>
    <w:rsid w:val="676F3D7D"/>
    <w:rsid w:val="68CE384C"/>
    <w:rsid w:val="68D279B7"/>
    <w:rsid w:val="695B3EF6"/>
    <w:rsid w:val="69A91168"/>
    <w:rsid w:val="69C312F4"/>
    <w:rsid w:val="6A4D7F02"/>
    <w:rsid w:val="6A6E56A3"/>
    <w:rsid w:val="6A9D7623"/>
    <w:rsid w:val="6AF64881"/>
    <w:rsid w:val="6B855CC5"/>
    <w:rsid w:val="6BF20B40"/>
    <w:rsid w:val="6BF57693"/>
    <w:rsid w:val="6C046B2A"/>
    <w:rsid w:val="6C650D7D"/>
    <w:rsid w:val="6C803403"/>
    <w:rsid w:val="6CC335A1"/>
    <w:rsid w:val="6CCB33F0"/>
    <w:rsid w:val="6CFC39A7"/>
    <w:rsid w:val="6D7328F4"/>
    <w:rsid w:val="6DAF583F"/>
    <w:rsid w:val="6DCE32B7"/>
    <w:rsid w:val="6E9D1D96"/>
    <w:rsid w:val="6EE34D23"/>
    <w:rsid w:val="6F196606"/>
    <w:rsid w:val="7040062D"/>
    <w:rsid w:val="70711057"/>
    <w:rsid w:val="70A71437"/>
    <w:rsid w:val="71A90C4C"/>
    <w:rsid w:val="71AB7145"/>
    <w:rsid w:val="72394D45"/>
    <w:rsid w:val="725F23E1"/>
    <w:rsid w:val="72D67313"/>
    <w:rsid w:val="72E503E5"/>
    <w:rsid w:val="72EC3DD9"/>
    <w:rsid w:val="736A53B8"/>
    <w:rsid w:val="73AA0C5B"/>
    <w:rsid w:val="73D03795"/>
    <w:rsid w:val="74614F21"/>
    <w:rsid w:val="74831A34"/>
    <w:rsid w:val="7520503C"/>
    <w:rsid w:val="756045D5"/>
    <w:rsid w:val="75CF63FA"/>
    <w:rsid w:val="76252FA5"/>
    <w:rsid w:val="776C0ED2"/>
    <w:rsid w:val="77AB3DC8"/>
    <w:rsid w:val="782311A6"/>
    <w:rsid w:val="78C60970"/>
    <w:rsid w:val="78F3567D"/>
    <w:rsid w:val="7A245285"/>
    <w:rsid w:val="7B3B008E"/>
    <w:rsid w:val="7BBD0FCA"/>
    <w:rsid w:val="7BCF39AD"/>
    <w:rsid w:val="7C77104F"/>
    <w:rsid w:val="7CAB3D98"/>
    <w:rsid w:val="7D33445D"/>
    <w:rsid w:val="7D88756D"/>
    <w:rsid w:val="7E046E5D"/>
    <w:rsid w:val="7E20270D"/>
    <w:rsid w:val="7E2748DB"/>
    <w:rsid w:val="7E3A7A8B"/>
    <w:rsid w:val="7E415EE8"/>
    <w:rsid w:val="7E804E74"/>
    <w:rsid w:val="7ED433B5"/>
    <w:rsid w:val="7EEC7327"/>
    <w:rsid w:val="7FBA5A25"/>
    <w:rsid w:val="7FBB6EC5"/>
    <w:rsid w:val="7FD91C23"/>
    <w:rsid w:val="96FF692F"/>
    <w:rsid w:val="EAF6EACE"/>
    <w:rsid w:val="FDBDED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semiHidden="0" w:name="toc 2"/>
    <w:lsdException w:unhideWhenUsed="0" w:uiPriority="0" w:semiHidden="0" w:name="toc 3"/>
    <w:lsdException w:qFormat="1" w:unhideWhenUsed="0" w:uiPriority="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35"/>
    <w:qFormat/>
    <w:uiPriority w:val="99"/>
    <w:pPr>
      <w:keepNext/>
      <w:keepLines/>
      <w:spacing w:line="576" w:lineRule="auto"/>
      <w:jc w:val="center"/>
      <w:outlineLvl w:val="0"/>
    </w:pPr>
    <w:rPr>
      <w:rFonts w:ascii="Calibri" w:hAnsi="Calibri" w:cs="Calibri"/>
      <w:b/>
      <w:bCs/>
      <w:kern w:val="44"/>
      <w:sz w:val="36"/>
      <w:szCs w:val="44"/>
    </w:rPr>
  </w:style>
  <w:style w:type="paragraph" w:styleId="7">
    <w:name w:val="heading 2"/>
    <w:basedOn w:val="1"/>
    <w:next w:val="8"/>
    <w:qFormat/>
    <w:uiPriority w:val="99"/>
    <w:pPr>
      <w:keepNext/>
      <w:spacing w:line="216" w:lineRule="auto"/>
      <w:jc w:val="center"/>
      <w:outlineLvl w:val="1"/>
    </w:pPr>
    <w:rPr>
      <w:rFonts w:ascii="宋体" w:hAnsi="宋体" w:cs="宋体"/>
      <w:b/>
      <w:bCs/>
      <w:sz w:val="28"/>
      <w:szCs w:val="28"/>
    </w:rPr>
  </w:style>
  <w:style w:type="paragraph" w:styleId="10">
    <w:name w:val="heading 4"/>
    <w:basedOn w:val="1"/>
    <w:next w:val="1"/>
    <w:qFormat/>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paragraph" w:styleId="11">
    <w:name w:val="heading 5"/>
    <w:basedOn w:val="1"/>
    <w:next w:val="1"/>
    <w:qFormat/>
    <w:uiPriority w:val="0"/>
    <w:pPr>
      <w:keepNext/>
      <w:keepLines/>
      <w:outlineLvl w:val="4"/>
    </w:pPr>
    <w:rPr>
      <w:b/>
      <w:bCs/>
      <w:color w:val="000000"/>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1"/>
    <w:qFormat/>
    <w:uiPriority w:val="99"/>
    <w:pPr>
      <w:adjustRightInd w:val="0"/>
      <w:spacing w:line="360" w:lineRule="auto"/>
      <w:ind w:firstLine="490"/>
      <w:jc w:val="left"/>
    </w:pPr>
    <w:rPr>
      <w:rFonts w:ascii="宋体" w:hAnsi="宋体" w:cs="宋体"/>
      <w:sz w:val="24"/>
      <w:szCs w:val="24"/>
    </w:rPr>
  </w:style>
  <w:style w:type="paragraph" w:styleId="4">
    <w:name w:val="Body Text First Indent"/>
    <w:basedOn w:val="5"/>
    <w:qFormat/>
    <w:uiPriority w:val="99"/>
    <w:pPr>
      <w:ind w:firstLine="420" w:firstLineChars="100"/>
    </w:pPr>
  </w:style>
  <w:style w:type="paragraph" w:styleId="5">
    <w:name w:val="Body Text"/>
    <w:basedOn w:val="1"/>
    <w:next w:val="4"/>
    <w:qFormat/>
    <w:uiPriority w:val="99"/>
  </w:style>
  <w:style w:type="paragraph" w:styleId="8">
    <w:name w:val="Normal Indent"/>
    <w:basedOn w:val="1"/>
    <w:next w:val="9"/>
    <w:qFormat/>
    <w:uiPriority w:val="99"/>
    <w:pPr>
      <w:ind w:firstLine="420"/>
    </w:pPr>
  </w:style>
  <w:style w:type="paragraph" w:styleId="9">
    <w:name w:val="toc 4"/>
    <w:basedOn w:val="1"/>
    <w:next w:val="1"/>
    <w:semiHidden/>
    <w:qFormat/>
    <w:uiPriority w:val="0"/>
    <w:pPr>
      <w:ind w:left="1260" w:leftChars="600"/>
    </w:pPr>
  </w:style>
  <w:style w:type="paragraph" w:styleId="12">
    <w:name w:val="List Number"/>
    <w:basedOn w:val="1"/>
    <w:qFormat/>
    <w:uiPriority w:val="0"/>
    <w:pPr>
      <w:numPr>
        <w:ilvl w:val="0"/>
        <w:numId w:val="1"/>
      </w:numPr>
    </w:pPr>
  </w:style>
  <w:style w:type="paragraph" w:styleId="13">
    <w:name w:val="Body Text 3"/>
    <w:basedOn w:val="1"/>
    <w:qFormat/>
    <w:uiPriority w:val="0"/>
    <w:pPr>
      <w:spacing w:after="120"/>
      <w:ind w:left="425" w:hanging="425"/>
    </w:pPr>
    <w:rPr>
      <w:sz w:val="16"/>
      <w:szCs w:val="16"/>
    </w:rPr>
  </w:style>
  <w:style w:type="paragraph" w:styleId="14">
    <w:name w:val="Plain Text"/>
    <w:basedOn w:val="1"/>
    <w:next w:val="1"/>
    <w:qFormat/>
    <w:uiPriority w:val="99"/>
    <w:rPr>
      <w:rFonts w:ascii="宋体" w:hAnsi="Courier New" w:cs="宋体"/>
    </w:rPr>
  </w:style>
  <w:style w:type="paragraph" w:styleId="15">
    <w:name w:val="Date"/>
    <w:basedOn w:val="1"/>
    <w:next w:val="1"/>
    <w:qFormat/>
    <w:uiPriority w:val="99"/>
    <w:pPr>
      <w:ind w:left="100" w:leftChars="2500"/>
    </w:pPr>
    <w:rPr>
      <w:rFonts w:ascii="宋体" w:hAnsi="宋体" w:cs="宋体"/>
      <w:color w:val="000000"/>
      <w:sz w:val="24"/>
      <w:szCs w:val="24"/>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18">
    <w:name w:val="toc 1"/>
    <w:basedOn w:val="1"/>
    <w:next w:val="1"/>
    <w:semiHidden/>
    <w:qFormat/>
    <w:uiPriority w:val="99"/>
    <w:rPr>
      <w:rFonts w:ascii="Times New Roman" w:hAnsi="Times New Roman"/>
      <w:sz w:val="28"/>
    </w:rPr>
  </w:style>
  <w:style w:type="paragraph" w:styleId="19">
    <w:name w:val="toc 6"/>
    <w:basedOn w:val="1"/>
    <w:next w:val="1"/>
    <w:qFormat/>
    <w:uiPriority w:val="99"/>
    <w:pPr>
      <w:ind w:left="2100" w:leftChars="1000"/>
    </w:pPr>
    <w:rPr>
      <w:szCs w:val="22"/>
    </w:rPr>
  </w:style>
  <w:style w:type="paragraph" w:styleId="20">
    <w:name w:val="toc 2"/>
    <w:basedOn w:val="1"/>
    <w:next w:val="1"/>
    <w:link w:val="45"/>
    <w:qFormat/>
    <w:uiPriority w:val="99"/>
    <w:pPr>
      <w:ind w:left="420" w:leftChars="200"/>
    </w:pPr>
    <w:rPr>
      <w:rFonts w:ascii="Times New Roman" w:hAnsi="Times New Roman"/>
      <w:sz w:val="28"/>
    </w:rPr>
  </w:style>
  <w:style w:type="paragraph" w:styleId="21">
    <w:name w:val="Normal (Web)"/>
    <w:basedOn w:val="1"/>
    <w:qFormat/>
    <w:uiPriority w:val="99"/>
    <w:pPr>
      <w:widowControl/>
      <w:spacing w:before="100" w:beforeAutospacing="1" w:after="100" w:afterAutospacing="1"/>
      <w:jc w:val="left"/>
    </w:pPr>
    <w:rPr>
      <w:color w:val="000000"/>
      <w:kern w:val="0"/>
    </w:rPr>
  </w:style>
  <w:style w:type="paragraph" w:styleId="22">
    <w:name w:val="Title"/>
    <w:basedOn w:val="1"/>
    <w:next w:val="1"/>
    <w:qFormat/>
    <w:uiPriority w:val="0"/>
    <w:pPr>
      <w:jc w:val="center"/>
    </w:pPr>
    <w:rPr>
      <w:b/>
      <w:bCs/>
      <w:sz w:val="28"/>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99"/>
  </w:style>
  <w:style w:type="character" w:styleId="27">
    <w:name w:val="HTML Sample"/>
    <w:basedOn w:val="25"/>
    <w:qFormat/>
    <w:uiPriority w:val="0"/>
    <w:rPr>
      <w:rFonts w:ascii="Courier New" w:hAnsi="Courier New"/>
    </w:rPr>
  </w:style>
  <w:style w:type="paragraph" w:customStyle="1" w:styleId="28">
    <w:name w:val="BodyText1I2"/>
    <w:basedOn w:val="29"/>
    <w:qFormat/>
    <w:uiPriority w:val="0"/>
    <w:pPr>
      <w:ind w:firstLine="420"/>
    </w:pPr>
    <w:rPr>
      <w:sz w:val="21"/>
    </w:rPr>
  </w:style>
  <w:style w:type="paragraph" w:customStyle="1" w:styleId="29">
    <w:name w:val="BodyTextIndent"/>
    <w:basedOn w:val="1"/>
    <w:next w:val="28"/>
    <w:qFormat/>
    <w:uiPriority w:val="0"/>
    <w:pPr>
      <w:spacing w:line="360" w:lineRule="auto"/>
      <w:ind w:firstLine="490"/>
      <w:jc w:val="left"/>
    </w:pPr>
    <w:rPr>
      <w:rFonts w:ascii="宋体" w:hAnsi="宋体"/>
      <w:sz w:val="24"/>
    </w:rPr>
  </w:style>
  <w:style w:type="paragraph" w:customStyle="1" w:styleId="3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b/>
      <w:bCs/>
      <w:sz w:val="20"/>
    </w:rPr>
  </w:style>
  <w:style w:type="paragraph" w:customStyle="1" w:styleId="32">
    <w:name w:val="正文文字"/>
    <w:basedOn w:val="1"/>
    <w:qFormat/>
    <w:uiPriority w:val="0"/>
    <w:pPr>
      <w:ind w:firstLine="200" w:firstLineChars="200"/>
    </w:pPr>
    <w:rPr>
      <w:i/>
    </w:rPr>
  </w:style>
  <w:style w:type="paragraph" w:customStyle="1" w:styleId="33">
    <w:name w:val="表格文字"/>
    <w:basedOn w:val="1"/>
    <w:next w:val="5"/>
    <w:qFormat/>
    <w:uiPriority w:val="0"/>
    <w:pPr>
      <w:ind w:firstLine="200" w:firstLineChars="200"/>
    </w:pPr>
    <w:rPr>
      <w:rFonts w:ascii="Arial" w:hAnsi="Arial"/>
      <w:spacing w:val="-5"/>
      <w:kern w:val="0"/>
      <w:sz w:val="24"/>
      <w:szCs w:val="20"/>
    </w:rPr>
  </w:style>
  <w:style w:type="paragraph" w:customStyle="1" w:styleId="34">
    <w:name w:val="正文文本首行缩进 2"/>
    <w:basedOn w:val="3"/>
    <w:qFormat/>
    <w:uiPriority w:val="99"/>
    <w:pPr>
      <w:spacing w:line="200" w:lineRule="atLeast"/>
      <w:ind w:firstLine="420"/>
    </w:pPr>
    <w:rPr>
      <w:rFonts w:hAnsi="Courier New"/>
      <w:spacing w:val="-4"/>
      <w:sz w:val="18"/>
    </w:rPr>
  </w:style>
  <w:style w:type="character" w:customStyle="1" w:styleId="35">
    <w:name w:val="标题 1 Char"/>
    <w:basedOn w:val="25"/>
    <w:link w:val="6"/>
    <w:qFormat/>
    <w:locked/>
    <w:uiPriority w:val="99"/>
    <w:rPr>
      <w:rFonts w:ascii="Calibri" w:hAnsi="Calibri" w:eastAsia="宋体" w:cs="Calibri"/>
      <w:b/>
      <w:bCs/>
      <w:kern w:val="44"/>
      <w:sz w:val="36"/>
      <w:szCs w:val="44"/>
    </w:rPr>
  </w:style>
  <w:style w:type="paragraph" w:customStyle="1" w:styleId="36">
    <w:name w:val="正文2"/>
    <w:basedOn w:val="1"/>
    <w:qFormat/>
    <w:uiPriority w:val="99"/>
    <w:pPr>
      <w:adjustRightInd w:val="0"/>
      <w:spacing w:before="156" w:line="360" w:lineRule="auto"/>
      <w:ind w:firstLine="510" w:firstLineChars="200"/>
    </w:pPr>
    <w:rPr>
      <w:sz w:val="24"/>
      <w:szCs w:val="24"/>
    </w:rPr>
  </w:style>
  <w:style w:type="paragraph" w:customStyle="1" w:styleId="37">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38">
    <w:name w:val="NormalCharacter"/>
    <w:semiHidden/>
    <w:qFormat/>
    <w:uiPriority w:val="0"/>
  </w:style>
  <w:style w:type="paragraph" w:customStyle="1" w:styleId="39">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styleId="40">
    <w:name w:val="List Paragraph"/>
    <w:basedOn w:val="1"/>
    <w:qFormat/>
    <w:uiPriority w:val="99"/>
    <w:pPr>
      <w:widowControl/>
      <w:ind w:firstLine="420" w:firstLineChars="200"/>
      <w:jc w:val="left"/>
    </w:pPr>
    <w:rPr>
      <w:kern w:val="0"/>
      <w:sz w:val="24"/>
    </w:rPr>
  </w:style>
  <w:style w:type="paragraph" w:customStyle="1" w:styleId="41">
    <w:name w:val="正文缩进1"/>
    <w:basedOn w:val="1"/>
    <w:next w:val="3"/>
    <w:qFormat/>
    <w:uiPriority w:val="0"/>
    <w:pPr>
      <w:autoSpaceDE w:val="0"/>
      <w:autoSpaceDN w:val="0"/>
      <w:snapToGrid w:val="0"/>
      <w:spacing w:after="120" w:line="360" w:lineRule="auto"/>
      <w:ind w:left="420" w:leftChars="200" w:firstLine="480" w:firstLineChars="200"/>
    </w:pPr>
    <w:rPr>
      <w:sz w:val="24"/>
    </w:rPr>
  </w:style>
  <w:style w:type="paragraph" w:customStyle="1" w:styleId="42">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3">
    <w:name w:val="纯文本1"/>
    <w:basedOn w:val="1"/>
    <w:qFormat/>
    <w:uiPriority w:val="0"/>
    <w:rPr>
      <w:rFonts w:ascii="宋体" w:hAnsi="Courier New"/>
      <w:kern w:val="0"/>
      <w:sz w:val="20"/>
      <w:szCs w:val="20"/>
    </w:rPr>
  </w:style>
  <w:style w:type="paragraph" w:customStyle="1" w:styleId="44">
    <w:name w:val="标准文字"/>
    <w:basedOn w:val="1"/>
    <w:qFormat/>
    <w:uiPriority w:val="0"/>
    <w:pPr>
      <w:snapToGrid w:val="0"/>
      <w:spacing w:line="360" w:lineRule="auto"/>
      <w:ind w:firstLine="200" w:firstLineChars="200"/>
    </w:pPr>
    <w:rPr>
      <w:rFonts w:eastAsia="仿宋_GB2312"/>
      <w:color w:val="000000"/>
      <w:kern w:val="0"/>
      <w:sz w:val="32"/>
      <w:szCs w:val="32"/>
    </w:rPr>
  </w:style>
  <w:style w:type="character" w:customStyle="1" w:styleId="45">
    <w:name w:val="目录 2 Char"/>
    <w:link w:val="20"/>
    <w:qFormat/>
    <w:uiPriority w:val="99"/>
    <w:rPr>
      <w:rFonts w:ascii="Times New Roman" w:hAnsi="Times New Roman" w:eastAsia="宋体"/>
      <w:sz w:val="28"/>
    </w:rPr>
  </w:style>
  <w:style w:type="paragraph" w:customStyle="1" w:styleId="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7">
    <w:name w:val="Body Text First Indent 21"/>
    <w:basedOn w:val="48"/>
    <w:qFormat/>
    <w:uiPriority w:val="0"/>
    <w:pPr>
      <w:widowControl/>
      <w:ind w:firstLine="420" w:firstLineChars="192"/>
      <w:jc w:val="left"/>
    </w:pPr>
    <w:rPr>
      <w:rFonts w:ascii="仿宋_GB2312" w:hAnsi="Arial"/>
      <w:kern w:val="0"/>
    </w:rPr>
  </w:style>
  <w:style w:type="paragraph" w:customStyle="1" w:styleId="48">
    <w:name w:val="Body Text Indent1"/>
    <w:basedOn w:val="1"/>
    <w:qFormat/>
    <w:uiPriority w:val="0"/>
    <w:pPr>
      <w:spacing w:line="200" w:lineRule="exact"/>
      <w:ind w:firstLine="301"/>
    </w:pPr>
    <w:rPr>
      <w:rFonts w:ascii="宋体"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24245</Words>
  <Characters>25612</Characters>
  <Lines>239</Lines>
  <Paragraphs>67</Paragraphs>
  <TotalTime>6</TotalTime>
  <ScaleCrop>false</ScaleCrop>
  <LinksUpToDate>false</LinksUpToDate>
  <CharactersWithSpaces>26029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2025-01-07T02:51:00Z</dcterms:created>
  <dc:creator>Administrator</dc:creator>
  <cp:lastModifiedBy>Administrator</cp:lastModifiedBy>
  <dcterms:modified xsi:type="dcterms:W3CDTF">2025-06-25T10:32:02Z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05F849106549412794BC3A2D06BC5DDD</vt:lpwstr>
  </property>
  <property fmtid="{D5CDD505-2E9C-101B-9397-08002B2CF9AE}" pid="4" name="KSOTemplateDocerSaveRecord">
    <vt:lpwstr>eyJoZGlkIjoiZDJlOWFjYjgwMWY2ZGNhMmY5ZjBjZmMxYmE0MDRhYWUiLCJ1c2VySWQiOiIxOTg0NjU4NDQifQ==</vt:lpwstr>
  </property>
</Properties>
</file>