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2325E">
      <w:pPr>
        <w:pStyle w:val="4"/>
        <w:ind w:firstLine="0"/>
        <w:rPr>
          <w:rFonts w:ascii="宋体" w:hAnsi="宋体" w:cs="宋体"/>
          <w:b/>
          <w:bCs/>
          <w:sz w:val="44"/>
          <w:szCs w:val="44"/>
        </w:rPr>
      </w:pPr>
    </w:p>
    <w:p w14:paraId="6ADAC42E">
      <w:pPr>
        <w:pStyle w:val="5"/>
        <w:rPr>
          <w:rFonts w:ascii="宋体" w:hAnsi="宋体" w:cs="宋体"/>
          <w:b/>
          <w:bCs/>
          <w:color w:val="auto"/>
          <w:sz w:val="44"/>
          <w:szCs w:val="44"/>
          <w:highlight w:val="none"/>
        </w:rPr>
      </w:pPr>
    </w:p>
    <w:p w14:paraId="632B59BD">
      <w:pPr>
        <w:rPr>
          <w:color w:val="auto"/>
          <w:highlight w:val="none"/>
        </w:rPr>
      </w:pPr>
    </w:p>
    <w:p w14:paraId="30D5BFF2">
      <w:pPr>
        <w:pStyle w:val="4"/>
        <w:ind w:firstLine="0"/>
        <w:jc w:val="center"/>
        <w:rPr>
          <w:rFonts w:hint="eastAsia" w:ascii="宋体" w:eastAsia="宋体"/>
          <w:b/>
          <w:bCs/>
          <w:color w:val="auto"/>
          <w:sz w:val="40"/>
          <w:szCs w:val="40"/>
          <w:highlight w:val="none"/>
          <w:lang w:eastAsia="zh-CN"/>
        </w:rPr>
      </w:pPr>
      <w:r>
        <w:rPr>
          <w:rFonts w:hint="eastAsia" w:ascii="宋体"/>
          <w:b/>
          <w:bCs/>
          <w:color w:val="auto"/>
          <w:spacing w:val="-20"/>
          <w:sz w:val="44"/>
          <w:szCs w:val="44"/>
          <w:highlight w:val="none"/>
          <w:lang w:eastAsia="zh-CN"/>
        </w:rPr>
        <w:t>绍兴市上虞第二人民医院安保服务（两年）项目</w:t>
      </w:r>
    </w:p>
    <w:p w14:paraId="1E874ED6">
      <w:pPr>
        <w:pStyle w:val="4"/>
        <w:rPr>
          <w:rFonts w:ascii="宋体"/>
          <w:b/>
          <w:bCs/>
          <w:color w:val="auto"/>
          <w:sz w:val="44"/>
          <w:szCs w:val="44"/>
          <w:highlight w:val="none"/>
        </w:rPr>
      </w:pPr>
    </w:p>
    <w:p w14:paraId="2B816539">
      <w:pPr>
        <w:pStyle w:val="4"/>
        <w:rPr>
          <w:rFonts w:hint="eastAsia" w:ascii="宋体"/>
          <w:b/>
          <w:bCs/>
          <w:color w:val="auto"/>
          <w:sz w:val="44"/>
          <w:szCs w:val="44"/>
          <w:highlight w:val="none"/>
        </w:rPr>
      </w:pPr>
      <w:r>
        <w:rPr>
          <w:rFonts w:hint="eastAsia" w:ascii="宋体"/>
          <w:b/>
          <w:bCs/>
          <w:color w:val="auto"/>
          <w:sz w:val="44"/>
          <w:szCs w:val="44"/>
          <w:highlight w:val="none"/>
        </w:rPr>
        <w:t xml:space="preserve"> </w:t>
      </w:r>
    </w:p>
    <w:p w14:paraId="17355F4B">
      <w:pPr>
        <w:pStyle w:val="5"/>
        <w:rPr>
          <w:color w:val="auto"/>
          <w:highlight w:val="none"/>
        </w:rPr>
      </w:pPr>
    </w:p>
    <w:p w14:paraId="2A27561F">
      <w:pPr>
        <w:pStyle w:val="5"/>
        <w:ind w:left="1200"/>
        <w:rPr>
          <w:color w:val="auto"/>
          <w:highlight w:val="none"/>
        </w:rPr>
      </w:pPr>
    </w:p>
    <w:p w14:paraId="4763D8A5">
      <w:pPr>
        <w:rPr>
          <w:color w:val="auto"/>
          <w:highlight w:val="none"/>
        </w:rPr>
      </w:pPr>
    </w:p>
    <w:p w14:paraId="028AE4B9">
      <w:pPr>
        <w:pStyle w:val="4"/>
        <w:rPr>
          <w:color w:val="auto"/>
          <w:highlight w:val="none"/>
        </w:rPr>
      </w:pPr>
    </w:p>
    <w:p w14:paraId="40493386">
      <w:pPr>
        <w:jc w:val="center"/>
        <w:rPr>
          <w:b/>
          <w:bCs/>
          <w:color w:val="auto"/>
          <w:sz w:val="48"/>
          <w:szCs w:val="48"/>
          <w:highlight w:val="none"/>
        </w:rPr>
      </w:pPr>
      <w:bookmarkStart w:id="0" w:name="_Toc20516"/>
      <w:r>
        <w:rPr>
          <w:rFonts w:hint="eastAsia"/>
          <w:b/>
          <w:bCs/>
          <w:color w:val="auto"/>
          <w:sz w:val="48"/>
          <w:szCs w:val="48"/>
          <w:highlight w:val="none"/>
        </w:rPr>
        <w:t>竞争性磋商文件</w:t>
      </w:r>
      <w:bookmarkEnd w:id="0"/>
    </w:p>
    <w:p w14:paraId="504BE767">
      <w:pPr>
        <w:spacing w:line="360" w:lineRule="auto"/>
        <w:jc w:val="center"/>
        <w:rPr>
          <w:rFonts w:ascii="宋体"/>
          <w:b/>
          <w:bCs/>
          <w:color w:val="auto"/>
          <w:sz w:val="24"/>
          <w:szCs w:val="24"/>
          <w:highlight w:val="none"/>
        </w:rPr>
      </w:pPr>
    </w:p>
    <w:p w14:paraId="66EA33C3">
      <w:pPr>
        <w:snapToGrid w:val="0"/>
        <w:spacing w:line="360" w:lineRule="auto"/>
        <w:ind w:firstLine="2700" w:firstLineChars="900"/>
        <w:jc w:val="both"/>
        <w:rPr>
          <w:rFonts w:hint="default" w:ascii="宋体" w:eastAsia="宋体"/>
          <w:color w:val="auto"/>
          <w:sz w:val="30"/>
          <w:szCs w:val="30"/>
          <w:highlight w:val="none"/>
          <w:u w:val="singl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val="en-US" w:eastAsia="zh-CN"/>
        </w:rPr>
        <w:t xml:space="preserve"> FSJZCS2025030 </w:t>
      </w:r>
    </w:p>
    <w:p w14:paraId="4D81D0FF">
      <w:pPr>
        <w:snapToGrid w:val="0"/>
        <w:spacing w:line="360" w:lineRule="auto"/>
        <w:ind w:firstLine="2301" w:firstLineChars="767"/>
        <w:jc w:val="left"/>
        <w:rPr>
          <w:rFonts w:ascii="宋体"/>
          <w:color w:val="auto"/>
          <w:sz w:val="30"/>
          <w:szCs w:val="30"/>
          <w:highlight w:val="none"/>
        </w:rPr>
      </w:pPr>
    </w:p>
    <w:p w14:paraId="250C5D7A">
      <w:pPr>
        <w:spacing w:line="360" w:lineRule="auto"/>
        <w:rPr>
          <w:rFonts w:ascii="宋体"/>
          <w:color w:val="auto"/>
          <w:sz w:val="28"/>
          <w:szCs w:val="28"/>
          <w:highlight w:val="none"/>
        </w:rPr>
      </w:pPr>
    </w:p>
    <w:p w14:paraId="736C6F9A">
      <w:pPr>
        <w:spacing w:line="360" w:lineRule="auto"/>
        <w:jc w:val="center"/>
        <w:rPr>
          <w:rFonts w:ascii="宋体"/>
          <w:color w:val="auto"/>
          <w:sz w:val="24"/>
          <w:szCs w:val="24"/>
          <w:highlight w:val="none"/>
        </w:rPr>
      </w:pPr>
    </w:p>
    <w:p w14:paraId="761D9538">
      <w:pPr>
        <w:spacing w:line="360" w:lineRule="auto"/>
        <w:jc w:val="center"/>
        <w:rPr>
          <w:rFonts w:ascii="宋体"/>
          <w:color w:val="auto"/>
          <w:sz w:val="24"/>
          <w:szCs w:val="24"/>
          <w:highlight w:val="none"/>
        </w:rPr>
      </w:pPr>
    </w:p>
    <w:p w14:paraId="54EA6F07">
      <w:pPr>
        <w:pStyle w:val="26"/>
        <w:rPr>
          <w:color w:val="auto"/>
          <w:highlight w:val="none"/>
        </w:rPr>
      </w:pPr>
      <w:r>
        <w:rPr>
          <w:rFonts w:hint="eastAsia"/>
          <w:color w:val="auto"/>
          <w:highlight w:val="none"/>
        </w:rPr>
        <w:t xml:space="preserve">                                </w:t>
      </w:r>
    </w:p>
    <w:p w14:paraId="2D60517A">
      <w:pPr>
        <w:pStyle w:val="25"/>
        <w:ind w:firstLine="240"/>
        <w:rPr>
          <w:rFonts w:ascii="宋体"/>
          <w:color w:val="auto"/>
          <w:sz w:val="24"/>
          <w:szCs w:val="24"/>
          <w:highlight w:val="none"/>
        </w:rPr>
      </w:pPr>
    </w:p>
    <w:p w14:paraId="5C94659B">
      <w:pPr>
        <w:pStyle w:val="22"/>
        <w:ind w:left="2000"/>
        <w:rPr>
          <w:rFonts w:ascii="宋体"/>
          <w:color w:val="auto"/>
          <w:sz w:val="24"/>
          <w:highlight w:val="none"/>
        </w:rPr>
      </w:pPr>
    </w:p>
    <w:p w14:paraId="044C97AE">
      <w:pPr>
        <w:rPr>
          <w:color w:val="auto"/>
          <w:highlight w:val="none"/>
        </w:rPr>
      </w:pPr>
    </w:p>
    <w:p w14:paraId="0BDAADF4">
      <w:pPr>
        <w:pStyle w:val="3"/>
        <w:rPr>
          <w:color w:val="auto"/>
          <w:highlight w:val="none"/>
        </w:rPr>
      </w:pPr>
    </w:p>
    <w:p w14:paraId="45499EE9">
      <w:pPr>
        <w:pStyle w:val="4"/>
        <w:rPr>
          <w:color w:val="auto"/>
          <w:highlight w:val="none"/>
        </w:rPr>
      </w:pPr>
    </w:p>
    <w:p w14:paraId="44113812">
      <w:pPr>
        <w:pStyle w:val="5"/>
        <w:ind w:left="1200"/>
        <w:rPr>
          <w:color w:val="auto"/>
          <w:highlight w:val="none"/>
        </w:rPr>
      </w:pPr>
    </w:p>
    <w:p w14:paraId="3BCA32E6">
      <w:pPr>
        <w:spacing w:line="360" w:lineRule="auto"/>
        <w:jc w:val="center"/>
        <w:rPr>
          <w:rFonts w:ascii="宋体"/>
          <w:color w:val="auto"/>
          <w:sz w:val="24"/>
          <w:szCs w:val="24"/>
          <w:highlight w:val="none"/>
        </w:rPr>
      </w:pPr>
    </w:p>
    <w:p w14:paraId="1A6EE091">
      <w:pPr>
        <w:spacing w:line="360" w:lineRule="auto"/>
        <w:rPr>
          <w:rFonts w:ascii="宋体"/>
          <w:color w:val="auto"/>
          <w:sz w:val="24"/>
          <w:szCs w:val="24"/>
          <w:highlight w:val="none"/>
        </w:rPr>
      </w:pPr>
    </w:p>
    <w:p w14:paraId="59B0A051">
      <w:pPr>
        <w:snapToGrid w:val="0"/>
        <w:spacing w:line="360" w:lineRule="auto"/>
        <w:ind w:firstLine="600" w:firstLineChars="200"/>
        <w:jc w:val="left"/>
        <w:rPr>
          <w:rFonts w:hint="eastAsia" w:ascii="宋体" w:eastAsia="宋体"/>
          <w:color w:val="auto"/>
          <w:highlight w:val="none"/>
          <w:u w:val="single"/>
          <w:lang w:eastAsia="zh-CN"/>
        </w:rPr>
      </w:pPr>
      <w:r>
        <w:rPr>
          <w:rFonts w:hint="eastAsia" w:ascii="宋体" w:hAnsi="宋体" w:cs="宋体"/>
          <w:color w:val="auto"/>
          <w:sz w:val="30"/>
          <w:szCs w:val="30"/>
          <w:highlight w:val="none"/>
        </w:rPr>
        <w:t>采   购   人：</w:t>
      </w:r>
      <w:r>
        <w:rPr>
          <w:rFonts w:hint="eastAsia" w:ascii="宋体" w:hAnsi="宋体" w:cs="宋体"/>
          <w:color w:val="auto"/>
          <w:sz w:val="30"/>
          <w:szCs w:val="30"/>
          <w:highlight w:val="none"/>
          <w:lang w:eastAsia="zh-CN"/>
        </w:rPr>
        <w:t>绍兴市上虞第二人民医院</w:t>
      </w:r>
    </w:p>
    <w:p w14:paraId="7F5980DF">
      <w:pPr>
        <w:snapToGrid w:val="0"/>
        <w:spacing w:line="360" w:lineRule="auto"/>
        <w:ind w:firstLine="600" w:firstLineChars="200"/>
        <w:jc w:val="left"/>
        <w:rPr>
          <w:rFonts w:ascii="宋体"/>
          <w:color w:val="auto"/>
          <w:sz w:val="30"/>
          <w:szCs w:val="30"/>
          <w:highlight w:val="none"/>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浙江天平项目咨询有限公司</w:t>
      </w:r>
    </w:p>
    <w:p w14:paraId="3CFA47BF">
      <w:pPr>
        <w:jc w:val="center"/>
        <w:rPr>
          <w:rFonts w:ascii="宋体"/>
          <w:color w:val="auto"/>
          <w:sz w:val="30"/>
          <w:szCs w:val="30"/>
          <w:highlight w:val="none"/>
        </w:rPr>
        <w:sectPr>
          <w:pgSz w:w="11906" w:h="16838"/>
          <w:pgMar w:top="1440" w:right="17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七</w:t>
      </w:r>
      <w:r>
        <w:rPr>
          <w:rFonts w:hint="eastAsia" w:ascii="宋体" w:hAnsi="宋体" w:cs="宋体"/>
          <w:color w:val="auto"/>
          <w:sz w:val="30"/>
          <w:szCs w:val="30"/>
          <w:highlight w:val="none"/>
        </w:rPr>
        <w:t>月</w:t>
      </w:r>
    </w:p>
    <w:p w14:paraId="0AFFA21D">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14:paraId="0FC49001">
      <w:pPr>
        <w:pStyle w:val="20"/>
        <w:tabs>
          <w:tab w:val="right" w:leader="dot" w:pos="8306"/>
        </w:tabs>
        <w:rPr>
          <w:color w:val="auto"/>
          <w:sz w:val="28"/>
          <w:szCs w:val="28"/>
          <w:highlight w:val="none"/>
        </w:rPr>
      </w:pPr>
      <w:r>
        <w:rPr>
          <w:rFonts w:cs="Times New Roman"/>
          <w:color w:val="auto"/>
          <w:highlight w:val="none"/>
        </w:rPr>
        <w:fldChar w:fldCharType="begin"/>
      </w:r>
      <w:r>
        <w:rPr>
          <w:rFonts w:cs="Times New Roman"/>
          <w:color w:val="auto"/>
          <w:highlight w:val="none"/>
        </w:rPr>
        <w:instrText xml:space="preserve">TOC \o "1-2" \h \u </w:instrText>
      </w:r>
      <w:r>
        <w:rPr>
          <w:rFonts w:cs="Times New Roman"/>
          <w:color w:val="auto"/>
          <w:highlight w:val="none"/>
        </w:rPr>
        <w:fldChar w:fldCharType="separate"/>
      </w:r>
      <w:r>
        <w:rPr>
          <w:rFonts w:cs="Times New Roman"/>
          <w:color w:val="auto"/>
          <w:sz w:val="28"/>
          <w:szCs w:val="28"/>
          <w:highlight w:val="none"/>
        </w:rPr>
        <w:fldChar w:fldCharType="begin"/>
      </w:r>
      <w:r>
        <w:rPr>
          <w:rFonts w:cs="Times New Roman"/>
          <w:color w:val="auto"/>
          <w:sz w:val="28"/>
          <w:szCs w:val="28"/>
          <w:highlight w:val="none"/>
        </w:rPr>
        <w:instrText xml:space="preserve"> HYPERLINK \l _Toc31266 </w:instrText>
      </w:r>
      <w:r>
        <w:rPr>
          <w:rFonts w:cs="Times New Roman"/>
          <w:color w:val="auto"/>
          <w:sz w:val="28"/>
          <w:szCs w:val="28"/>
          <w:highlight w:val="none"/>
        </w:rPr>
        <w:fldChar w:fldCharType="separate"/>
      </w:r>
      <w:r>
        <w:rPr>
          <w:rFonts w:hint="eastAsia" w:cs="宋体"/>
          <w:color w:val="auto"/>
          <w:sz w:val="28"/>
          <w:szCs w:val="28"/>
          <w:highlight w:val="none"/>
        </w:rPr>
        <w:t>第一部分</w:t>
      </w:r>
      <w:r>
        <w:rPr>
          <w:color w:val="auto"/>
          <w:sz w:val="28"/>
          <w:szCs w:val="28"/>
          <w:highlight w:val="none"/>
        </w:rPr>
        <w:t xml:space="preserve"> </w:t>
      </w:r>
      <w:r>
        <w:rPr>
          <w:rFonts w:hint="eastAsia" w:cs="宋体"/>
          <w:color w:val="auto"/>
          <w:sz w:val="28"/>
          <w:szCs w:val="28"/>
          <w:highlight w:val="none"/>
        </w:rPr>
        <w:t>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_Toc31266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cs="Times New Roman"/>
          <w:color w:val="auto"/>
          <w:sz w:val="28"/>
          <w:szCs w:val="28"/>
          <w:highlight w:val="none"/>
        </w:rPr>
        <w:fldChar w:fldCharType="end"/>
      </w:r>
    </w:p>
    <w:p w14:paraId="495EECB8">
      <w:pPr>
        <w:pStyle w:val="20"/>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_Toc14548 </w:instrText>
      </w:r>
      <w:r>
        <w:rPr>
          <w:color w:val="auto"/>
          <w:sz w:val="28"/>
          <w:szCs w:val="28"/>
          <w:highlight w:val="none"/>
        </w:rPr>
        <w:fldChar w:fldCharType="separate"/>
      </w:r>
      <w:r>
        <w:rPr>
          <w:rFonts w:hint="eastAsia" w:cs="宋体"/>
          <w:color w:val="auto"/>
          <w:sz w:val="28"/>
          <w:szCs w:val="28"/>
          <w:highlight w:val="none"/>
        </w:rPr>
        <w:t>第二部分</w:t>
      </w:r>
      <w:r>
        <w:rPr>
          <w:color w:val="auto"/>
          <w:sz w:val="28"/>
          <w:szCs w:val="28"/>
          <w:highlight w:val="none"/>
        </w:rPr>
        <w:t xml:space="preserve"> </w:t>
      </w:r>
      <w:r>
        <w:rPr>
          <w:rFonts w:hint="eastAsia" w:cs="宋体"/>
          <w:color w:val="auto"/>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_Toc14548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68F86133">
      <w:pPr>
        <w:pStyle w:val="20"/>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_Toc17203 </w:instrText>
      </w:r>
      <w:r>
        <w:rPr>
          <w:color w:val="auto"/>
          <w:sz w:val="28"/>
          <w:szCs w:val="28"/>
          <w:highlight w:val="none"/>
        </w:rPr>
        <w:fldChar w:fldCharType="separate"/>
      </w:r>
      <w:r>
        <w:rPr>
          <w:rFonts w:hint="eastAsia"/>
          <w:color w:val="auto"/>
          <w:sz w:val="28"/>
          <w:szCs w:val="28"/>
          <w:highlight w:val="none"/>
        </w:rPr>
        <w:t xml:space="preserve">第三部分 </w:t>
      </w:r>
      <w:r>
        <w:rPr>
          <w:rFonts w:hint="eastAsia" w:cs="宋体"/>
          <w:color w:val="auto"/>
          <w:sz w:val="28"/>
          <w:szCs w:val="28"/>
          <w:highlight w:val="none"/>
        </w:rPr>
        <w:t>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_Toc17203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14:paraId="6B532978">
      <w:pPr>
        <w:pStyle w:val="20"/>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_Toc3044 </w:instrText>
      </w:r>
      <w:r>
        <w:rPr>
          <w:color w:val="auto"/>
          <w:sz w:val="28"/>
          <w:szCs w:val="28"/>
          <w:highlight w:val="none"/>
        </w:rPr>
        <w:fldChar w:fldCharType="separate"/>
      </w:r>
      <w:r>
        <w:rPr>
          <w:rFonts w:hint="eastAsia" w:cs="宋体"/>
          <w:color w:val="auto"/>
          <w:sz w:val="28"/>
          <w:szCs w:val="28"/>
          <w:highlight w:val="none"/>
        </w:rPr>
        <w:t>第四部分 磋商原则及磋商方法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_Toc3044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0CCBAD4B">
      <w:pPr>
        <w:pStyle w:val="20"/>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_Toc5886 </w:instrText>
      </w:r>
      <w:r>
        <w:rPr>
          <w:color w:val="auto"/>
          <w:sz w:val="28"/>
          <w:szCs w:val="28"/>
          <w:highlight w:val="none"/>
        </w:rPr>
        <w:fldChar w:fldCharType="separate"/>
      </w:r>
      <w:r>
        <w:rPr>
          <w:rFonts w:hint="eastAsia" w:cs="宋体"/>
          <w:color w:val="auto"/>
          <w:sz w:val="28"/>
          <w:szCs w:val="28"/>
          <w:highlight w:val="none"/>
        </w:rPr>
        <w:t>第五部分</w:t>
      </w:r>
      <w:r>
        <w:rPr>
          <w:color w:val="auto"/>
          <w:sz w:val="28"/>
          <w:szCs w:val="28"/>
          <w:highlight w:val="none"/>
        </w:rPr>
        <w:t xml:space="preserve"> </w:t>
      </w:r>
      <w:r>
        <w:rPr>
          <w:rFonts w:hint="eastAsia" w:cs="宋体"/>
          <w:color w:val="auto"/>
          <w:sz w:val="28"/>
          <w:szCs w:val="28"/>
          <w:highlight w:val="none"/>
        </w:rPr>
        <w:t>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_Toc5886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color w:val="auto"/>
          <w:sz w:val="28"/>
          <w:szCs w:val="28"/>
          <w:highlight w:val="none"/>
        </w:rPr>
        <w:fldChar w:fldCharType="end"/>
      </w:r>
    </w:p>
    <w:p w14:paraId="73F84E48">
      <w:pPr>
        <w:pStyle w:val="20"/>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_Toc12941 </w:instrText>
      </w:r>
      <w:r>
        <w:rPr>
          <w:color w:val="auto"/>
          <w:sz w:val="28"/>
          <w:szCs w:val="28"/>
          <w:highlight w:val="none"/>
        </w:rPr>
        <w:fldChar w:fldCharType="separate"/>
      </w:r>
      <w:r>
        <w:rPr>
          <w:rFonts w:hint="eastAsia" w:cs="宋体"/>
          <w:color w:val="auto"/>
          <w:sz w:val="28"/>
          <w:szCs w:val="28"/>
          <w:highlight w:val="none"/>
        </w:rPr>
        <w:t>第六部分</w:t>
      </w:r>
      <w:r>
        <w:rPr>
          <w:color w:val="auto"/>
          <w:sz w:val="28"/>
          <w:szCs w:val="28"/>
          <w:highlight w:val="none"/>
        </w:rPr>
        <w:t xml:space="preserve"> </w:t>
      </w:r>
      <w:r>
        <w:rPr>
          <w:rFonts w:hint="eastAsia" w:cs="宋体"/>
          <w:color w:val="auto"/>
          <w:sz w:val="28"/>
          <w:szCs w:val="28"/>
          <w:highlight w:val="none"/>
        </w:rPr>
        <w:t>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_Toc12941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color w:val="auto"/>
          <w:sz w:val="28"/>
          <w:szCs w:val="28"/>
          <w:highlight w:val="none"/>
        </w:rPr>
        <w:fldChar w:fldCharType="end"/>
      </w:r>
    </w:p>
    <w:p w14:paraId="7582EB89">
      <w:pPr>
        <w:pStyle w:val="20"/>
        <w:tabs>
          <w:tab w:val="right" w:leader="dot" w:pos="8306"/>
        </w:tabs>
        <w:rPr>
          <w:color w:val="auto"/>
          <w:highlight w:val="none"/>
        </w:rPr>
      </w:pPr>
    </w:p>
    <w:p w14:paraId="2156471E">
      <w:pPr>
        <w:spacing w:line="360" w:lineRule="auto"/>
        <w:rPr>
          <w:color w:val="auto"/>
          <w:highlight w:val="none"/>
        </w:rPr>
      </w:pPr>
      <w:r>
        <w:rPr>
          <w:color w:val="auto"/>
          <w:highlight w:val="none"/>
        </w:rPr>
        <w:fldChar w:fldCharType="end"/>
      </w:r>
    </w:p>
    <w:p w14:paraId="6A0E3498">
      <w:pPr>
        <w:spacing w:line="360" w:lineRule="auto"/>
        <w:rPr>
          <w:color w:val="auto"/>
          <w:highlight w:val="none"/>
        </w:rPr>
      </w:pPr>
    </w:p>
    <w:p w14:paraId="661A503D">
      <w:pPr>
        <w:spacing w:line="360" w:lineRule="auto"/>
        <w:rPr>
          <w:color w:val="auto"/>
          <w:highlight w:val="none"/>
        </w:rPr>
      </w:pPr>
    </w:p>
    <w:p w14:paraId="1500F19D">
      <w:pPr>
        <w:spacing w:line="360" w:lineRule="auto"/>
        <w:rPr>
          <w:color w:val="auto"/>
          <w:highlight w:val="none"/>
        </w:rPr>
      </w:pPr>
    </w:p>
    <w:p w14:paraId="377FB201">
      <w:pPr>
        <w:rPr>
          <w:color w:val="auto"/>
          <w:highlight w:val="none"/>
        </w:rPr>
      </w:pPr>
    </w:p>
    <w:p w14:paraId="61A69FAB">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bookmarkStart w:id="179" w:name="_GoBack"/>
      <w:bookmarkEnd w:id="179"/>
    </w:p>
    <w:p w14:paraId="1DB284F1">
      <w:pPr>
        <w:pStyle w:val="2"/>
        <w:jc w:val="center"/>
        <w:rPr>
          <w:rFonts w:ascii="宋体" w:cs="Times New Roman"/>
          <w:color w:val="auto"/>
          <w:highlight w:val="none"/>
        </w:rPr>
      </w:pPr>
      <w:bookmarkStart w:id="1" w:name="_Toc31034"/>
      <w:bookmarkStart w:id="2" w:name="_Toc32199"/>
      <w:bookmarkStart w:id="3" w:name="_Toc13178"/>
      <w:bookmarkStart w:id="4" w:name="_Toc31266"/>
      <w:bookmarkStart w:id="5" w:name="第二部分"/>
      <w:bookmarkStart w:id="6"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1"/>
      <w:bookmarkEnd w:id="2"/>
      <w:bookmarkEnd w:id="3"/>
      <w:bookmarkEnd w:id="4"/>
    </w:p>
    <w:p w14:paraId="3D468CD3">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lang w:eastAsia="zh-CN"/>
        </w:rPr>
        <w:t>浙江天平项目咨询有限公司</w:t>
      </w:r>
      <w:r>
        <w:rPr>
          <w:rFonts w:hint="eastAsia" w:ascii="宋体" w:hAnsi="宋体" w:cs="宋体"/>
          <w:color w:val="auto"/>
          <w:sz w:val="28"/>
          <w:szCs w:val="28"/>
          <w:highlight w:val="none"/>
        </w:rPr>
        <w:t>关于</w:t>
      </w:r>
      <w:r>
        <w:rPr>
          <w:rFonts w:hint="eastAsia" w:ascii="宋体" w:hAnsi="宋体" w:cs="宋体"/>
          <w:color w:val="auto"/>
          <w:sz w:val="28"/>
          <w:szCs w:val="28"/>
          <w:highlight w:val="none"/>
          <w:lang w:eastAsia="zh-CN"/>
        </w:rPr>
        <w:t>绍兴市上虞第二人民医院安保服务（两年）项目</w:t>
      </w:r>
      <w:r>
        <w:rPr>
          <w:rFonts w:hint="eastAsia" w:ascii="宋体" w:hAnsi="宋体" w:cs="宋体"/>
          <w:color w:val="auto"/>
          <w:sz w:val="28"/>
          <w:szCs w:val="28"/>
          <w:highlight w:val="none"/>
        </w:rPr>
        <w:t>的竞争性磋商公告</w:t>
      </w:r>
    </w:p>
    <w:p w14:paraId="20FFE469">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hint="eastAsia" w:ascii="宋体" w:hAnsi="宋体" w:cs="宋体"/>
          <w:color w:val="auto"/>
          <w:sz w:val="28"/>
          <w:szCs w:val="28"/>
          <w:highlight w:val="none"/>
          <w:lang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07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17</w:t>
      </w:r>
      <w:r>
        <w:rPr>
          <w:rFonts w:hint="eastAsia" w:ascii="宋体" w:hAnsi="宋体" w:cs="宋体"/>
          <w:color w:val="auto"/>
          <w:sz w:val="28"/>
          <w:szCs w:val="28"/>
          <w:highlight w:val="none"/>
        </w:rPr>
        <w:t>日</w:t>
      </w:r>
    </w:p>
    <w:p w14:paraId="1CF94ABC">
      <w:pPr>
        <w:adjustRightInd w:val="0"/>
        <w:spacing w:line="360" w:lineRule="auto"/>
        <w:ind w:firstLine="480" w:firstLineChars="200"/>
        <w:rPr>
          <w:rFonts w:ascii="宋体" w:hAnsi="宋体" w:cs="宋体"/>
          <w:color w:val="auto"/>
          <w:sz w:val="24"/>
          <w:highlight w:val="none"/>
        </w:rPr>
      </w:pPr>
      <w:bookmarkStart w:id="7" w:name="_Toc13882"/>
      <w:bookmarkStart w:id="8" w:name="_Toc1362"/>
      <w:r>
        <w:rPr>
          <w:rFonts w:hint="eastAsia" w:ascii="宋体" w:hAnsi="宋体" w:cs="宋体"/>
          <w:color w:val="auto"/>
          <w:sz w:val="24"/>
          <w:highlight w:val="none"/>
        </w:rPr>
        <w:t>根据《中华人民共和国政府采购法》等有关规定，</w:t>
      </w:r>
      <w:r>
        <w:rPr>
          <w:rFonts w:hint="eastAsia" w:ascii="宋体" w:hAnsi="宋体" w:cs="宋体"/>
          <w:color w:val="auto"/>
          <w:sz w:val="24"/>
          <w:highlight w:val="none"/>
          <w:lang w:eastAsia="zh-CN"/>
        </w:rPr>
        <w:t>浙江天平项目咨询有限公司</w:t>
      </w:r>
      <w:r>
        <w:rPr>
          <w:rFonts w:hint="eastAsia" w:ascii="宋体" w:hAnsi="宋体" w:cs="宋体"/>
          <w:color w:val="auto"/>
          <w:sz w:val="24"/>
          <w:highlight w:val="none"/>
        </w:rPr>
        <w:t>受</w:t>
      </w:r>
      <w:r>
        <w:rPr>
          <w:rFonts w:hint="eastAsia" w:ascii="宋体" w:hAnsi="宋体" w:cs="宋体"/>
          <w:color w:val="auto"/>
          <w:sz w:val="24"/>
          <w:highlight w:val="none"/>
          <w:lang w:eastAsia="zh-CN"/>
        </w:rPr>
        <w:t>绍兴市上虞第二人民医院</w:t>
      </w:r>
      <w:r>
        <w:rPr>
          <w:rFonts w:hint="eastAsia" w:ascii="宋体" w:hAnsi="宋体" w:cs="宋体"/>
          <w:color w:val="auto"/>
          <w:sz w:val="24"/>
          <w:highlight w:val="none"/>
        </w:rPr>
        <w:t>委托，现就</w:t>
      </w:r>
      <w:r>
        <w:rPr>
          <w:rFonts w:hint="eastAsia" w:ascii="宋体" w:hAnsi="宋体" w:cs="宋体"/>
          <w:color w:val="auto"/>
          <w:sz w:val="24"/>
          <w:highlight w:val="none"/>
          <w:lang w:eastAsia="zh-CN"/>
        </w:rPr>
        <w:t>绍兴市上虞第二人民医院安保服务（两年）项目</w:t>
      </w:r>
      <w:r>
        <w:rPr>
          <w:rFonts w:hint="eastAsia" w:ascii="宋体" w:hAnsi="宋体" w:cs="宋体"/>
          <w:color w:val="auto"/>
          <w:sz w:val="24"/>
          <w:highlight w:val="none"/>
        </w:rPr>
        <w:t>进行</w:t>
      </w:r>
      <w:r>
        <w:rPr>
          <w:rFonts w:hint="eastAsia" w:ascii="宋体" w:hAnsi="宋体" w:eastAsia="宋体" w:cs="宋体"/>
          <w:color w:val="auto"/>
          <w:sz w:val="24"/>
          <w:szCs w:val="24"/>
          <w:highlight w:val="none"/>
          <w:u w:val="none"/>
        </w:rPr>
        <w:t>竞争性磋商</w:t>
      </w:r>
      <w:r>
        <w:rPr>
          <w:rFonts w:hint="eastAsia" w:ascii="宋体" w:hAnsi="宋体" w:cs="宋体"/>
          <w:color w:val="auto"/>
          <w:sz w:val="24"/>
          <w:szCs w:val="24"/>
          <w:highlight w:val="none"/>
          <w:u w:val="none"/>
          <w:lang w:eastAsia="zh-CN"/>
        </w:rPr>
        <w:t>采购</w:t>
      </w:r>
      <w:r>
        <w:rPr>
          <w:rFonts w:hint="eastAsia" w:ascii="宋体" w:hAnsi="宋体" w:cs="宋体"/>
          <w:color w:val="auto"/>
          <w:sz w:val="24"/>
          <w:highlight w:val="none"/>
        </w:rPr>
        <w:t>，欢迎国内合格的供应商前来投标。</w:t>
      </w:r>
    </w:p>
    <w:p w14:paraId="6EC82E94">
      <w:pPr>
        <w:numPr>
          <w:ilvl w:val="0"/>
          <w:numId w:val="3"/>
        </w:numPr>
        <w:adjustRightInd w:val="0"/>
        <w:spacing w:line="360" w:lineRule="auto"/>
        <w:ind w:firstLine="480" w:firstLineChars="200"/>
        <w:outlineLvl w:val="1"/>
        <w:rPr>
          <w:rFonts w:ascii="宋体"/>
          <w:color w:val="auto"/>
          <w:sz w:val="24"/>
          <w:szCs w:val="24"/>
          <w:highlight w:val="none"/>
          <w:u w:val="single"/>
        </w:rPr>
      </w:pPr>
      <w:bookmarkStart w:id="9" w:name="_Toc20502"/>
      <w:r>
        <w:rPr>
          <w:rFonts w:hint="eastAsia" w:ascii="宋体" w:hAnsi="宋体" w:cs="宋体"/>
          <w:color w:val="auto"/>
          <w:sz w:val="24"/>
          <w:szCs w:val="24"/>
          <w:highlight w:val="none"/>
        </w:rPr>
        <w:t>磋商项目编号：</w:t>
      </w:r>
      <w:bookmarkEnd w:id="7"/>
      <w:bookmarkEnd w:id="8"/>
      <w:bookmarkEnd w:id="9"/>
      <w:r>
        <w:rPr>
          <w:rFonts w:hint="eastAsia" w:ascii="宋体" w:hAnsi="宋体" w:cs="宋体"/>
          <w:color w:val="auto"/>
          <w:sz w:val="24"/>
          <w:szCs w:val="24"/>
          <w:highlight w:val="none"/>
          <w:u w:val="single"/>
          <w:lang w:val="en-US" w:eastAsia="zh-CN"/>
        </w:rPr>
        <w:t xml:space="preserve">  FSJZCS2025030  </w:t>
      </w:r>
    </w:p>
    <w:p w14:paraId="60915A16">
      <w:pPr>
        <w:numPr>
          <w:ilvl w:val="0"/>
          <w:numId w:val="3"/>
        </w:numPr>
        <w:adjustRightInd w:val="0"/>
        <w:spacing w:line="360" w:lineRule="auto"/>
        <w:ind w:firstLine="480" w:firstLineChars="200"/>
        <w:outlineLvl w:val="1"/>
        <w:rPr>
          <w:rFonts w:ascii="宋体"/>
          <w:color w:val="auto"/>
          <w:sz w:val="24"/>
          <w:szCs w:val="24"/>
          <w:highlight w:val="none"/>
        </w:rPr>
      </w:pPr>
      <w:bookmarkStart w:id="10" w:name="_Toc3250"/>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bookmarkEnd w:id="10"/>
      <w:r>
        <w:rPr>
          <w:rFonts w:hint="eastAsia" w:ascii="宋体" w:hAnsi="宋体" w:eastAsia="宋体" w:cs="宋体"/>
          <w:color w:val="auto"/>
          <w:sz w:val="24"/>
          <w:highlight w:val="none"/>
          <w:u w:val="single"/>
        </w:rPr>
        <w:t>分散采购-分散委托中介</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7F4F4EA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p>
    <w:tbl>
      <w:tblPr>
        <w:tblStyle w:val="27"/>
        <w:tblW w:w="9621"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3"/>
        <w:gridCol w:w="2200"/>
        <w:gridCol w:w="559"/>
        <w:gridCol w:w="668"/>
        <w:gridCol w:w="1296"/>
        <w:gridCol w:w="2559"/>
        <w:gridCol w:w="1244"/>
        <w:gridCol w:w="632"/>
      </w:tblGrid>
      <w:tr w14:paraId="3A739517">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3" w:type="dxa"/>
            <w:vAlign w:val="center"/>
          </w:tcPr>
          <w:p w14:paraId="270686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00" w:type="dxa"/>
            <w:vAlign w:val="center"/>
          </w:tcPr>
          <w:p w14:paraId="1CA06B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559" w:type="dxa"/>
            <w:vAlign w:val="center"/>
          </w:tcPr>
          <w:p w14:paraId="03178B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68" w:type="dxa"/>
            <w:vAlign w:val="center"/>
          </w:tcPr>
          <w:p w14:paraId="1CE3CE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296" w:type="dxa"/>
            <w:vAlign w:val="center"/>
          </w:tcPr>
          <w:p w14:paraId="05DE3E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预算金额</w:t>
            </w:r>
          </w:p>
          <w:p w14:paraId="4AB77C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2559" w:type="dxa"/>
            <w:vAlign w:val="center"/>
          </w:tcPr>
          <w:p w14:paraId="4366CF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简要规格描述或标项基本概况介绍</w:t>
            </w:r>
          </w:p>
        </w:tc>
        <w:tc>
          <w:tcPr>
            <w:tcW w:w="1244" w:type="dxa"/>
            <w:vAlign w:val="center"/>
          </w:tcPr>
          <w:p w14:paraId="5EA90C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最高限价</w:t>
            </w:r>
          </w:p>
          <w:p w14:paraId="72F3B9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632" w:type="dxa"/>
            <w:vAlign w:val="center"/>
          </w:tcPr>
          <w:p w14:paraId="578796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300FED9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3" w:type="dxa"/>
            <w:vAlign w:val="center"/>
          </w:tcPr>
          <w:p w14:paraId="6DAB29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00" w:type="dxa"/>
            <w:vAlign w:val="center"/>
          </w:tcPr>
          <w:p w14:paraId="4D1FC2D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绍兴市上虞第二人民医院安保服务（两年）项目</w:t>
            </w:r>
          </w:p>
        </w:tc>
        <w:tc>
          <w:tcPr>
            <w:tcW w:w="559" w:type="dxa"/>
            <w:vAlign w:val="center"/>
          </w:tcPr>
          <w:p w14:paraId="757B20D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668" w:type="dxa"/>
            <w:vAlign w:val="center"/>
          </w:tcPr>
          <w:p w14:paraId="1CB5C2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w:t>
            </w:r>
          </w:p>
        </w:tc>
        <w:tc>
          <w:tcPr>
            <w:tcW w:w="1296" w:type="dxa"/>
            <w:vAlign w:val="center"/>
          </w:tcPr>
          <w:p w14:paraId="57244FD5">
            <w:pPr>
              <w:widowControl/>
              <w:spacing w:before="100" w:after="100"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180</w:t>
            </w:r>
          </w:p>
        </w:tc>
        <w:tc>
          <w:tcPr>
            <w:tcW w:w="2559" w:type="dxa"/>
            <w:vAlign w:val="center"/>
          </w:tcPr>
          <w:p w14:paraId="0C302AB0">
            <w:pPr>
              <w:pStyle w:val="15"/>
              <w:snapToGrid w:val="0"/>
              <w:spacing w:before="120" w:after="120"/>
              <w:jc w:val="left"/>
              <w:rPr>
                <w:rFonts w:hint="eastAsia" w:hAnsi="宋体" w:eastAsia="宋体"/>
                <w:color w:val="auto"/>
                <w:sz w:val="24"/>
                <w:szCs w:val="24"/>
                <w:highlight w:val="none"/>
                <w:lang w:eastAsia="zh-CN"/>
              </w:rPr>
            </w:pPr>
            <w:r>
              <w:rPr>
                <w:rFonts w:hint="eastAsia" w:hAnsi="宋体"/>
                <w:color w:val="auto"/>
                <w:sz w:val="24"/>
                <w:highlight w:val="none"/>
              </w:rPr>
              <w:t xml:space="preserve"> </w:t>
            </w:r>
            <w:r>
              <w:rPr>
                <w:rFonts w:hint="eastAsia" w:ascii="宋体" w:hAnsi="宋体" w:cs="宋体"/>
                <w:color w:val="auto"/>
                <w:sz w:val="24"/>
                <w:highlight w:val="none"/>
              </w:rPr>
              <w:t>主要</w:t>
            </w:r>
            <w:r>
              <w:rPr>
                <w:rFonts w:hint="eastAsia" w:ascii="宋体" w:hAnsi="宋体" w:cs="宋体"/>
                <w:color w:val="auto"/>
                <w:sz w:val="24"/>
                <w:highlight w:val="none"/>
                <w:lang w:val="en-US" w:eastAsia="zh-CN"/>
              </w:rPr>
              <w:t>负责</w:t>
            </w:r>
            <w:r>
              <w:rPr>
                <w:rFonts w:hint="eastAsia" w:ascii="宋体" w:hAnsi="宋体" w:cs="宋体"/>
                <w:color w:val="auto"/>
                <w:sz w:val="24"/>
                <w:highlight w:val="none"/>
              </w:rPr>
              <w:t>治安、监控、消防、门岗、</w:t>
            </w:r>
            <w:r>
              <w:rPr>
                <w:rFonts w:hint="eastAsia" w:ascii="宋体" w:hAnsi="宋体" w:cs="宋体"/>
                <w:color w:val="auto"/>
                <w:sz w:val="24"/>
                <w:highlight w:val="none"/>
                <w:lang w:val="en-US" w:eastAsia="zh-CN"/>
              </w:rPr>
              <w:t>安检、</w:t>
            </w:r>
            <w:r>
              <w:rPr>
                <w:rFonts w:hint="eastAsia" w:ascii="宋体" w:hAnsi="宋体" w:cs="宋体"/>
                <w:color w:val="auto"/>
                <w:sz w:val="24"/>
                <w:highlight w:val="none"/>
              </w:rPr>
              <w:t>控烟、车辆管理等工作</w:t>
            </w:r>
            <w:r>
              <w:rPr>
                <w:rFonts w:hint="eastAsia" w:ascii="宋体" w:hAnsi="宋体" w:cs="宋体"/>
                <w:color w:val="auto"/>
                <w:sz w:val="24"/>
                <w:highlight w:val="none"/>
                <w:lang w:eastAsia="zh-CN"/>
              </w:rPr>
              <w:t>；</w:t>
            </w:r>
            <w:r>
              <w:rPr>
                <w:rFonts w:hint="eastAsia" w:ascii="宋体" w:hAnsi="宋体" w:cs="宋体"/>
                <w:color w:val="auto"/>
                <w:sz w:val="24"/>
                <w:highlight w:val="none"/>
              </w:rPr>
              <w:t>做好防火、防盗、防爆、防破坏、防恐怖、防自然灾害、处置突发事件、协助处理医患纠纷等工作</w:t>
            </w:r>
            <w:r>
              <w:rPr>
                <w:rFonts w:hint="eastAsia" w:hAnsi="宋体"/>
                <w:color w:val="auto"/>
                <w:sz w:val="24"/>
                <w:szCs w:val="24"/>
                <w:highlight w:val="none"/>
              </w:rPr>
              <w:t>。</w:t>
            </w:r>
          </w:p>
        </w:tc>
        <w:tc>
          <w:tcPr>
            <w:tcW w:w="1244" w:type="dxa"/>
            <w:vAlign w:val="center"/>
          </w:tcPr>
          <w:p w14:paraId="3B9CA20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180</w:t>
            </w:r>
          </w:p>
        </w:tc>
        <w:tc>
          <w:tcPr>
            <w:tcW w:w="632" w:type="dxa"/>
            <w:vAlign w:val="center"/>
          </w:tcPr>
          <w:p w14:paraId="2E36AA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r>
    </w:tbl>
    <w:p w14:paraId="21856230">
      <w:pPr>
        <w:rPr>
          <w:color w:val="auto"/>
          <w:highlight w:val="none"/>
        </w:rPr>
      </w:pPr>
    </w:p>
    <w:p w14:paraId="0FF3992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p>
    <w:p w14:paraId="369D5503">
      <w:pPr>
        <w:numPr>
          <w:ilvl w:val="0"/>
          <w:numId w:val="4"/>
        </w:numPr>
        <w:wordWrap w:val="0"/>
        <w:adjustRightInd w:val="0"/>
        <w:spacing w:line="360" w:lineRule="auto"/>
        <w:ind w:firstLine="480" w:firstLineChars="200"/>
        <w:rPr>
          <w:rFonts w:ascii="宋体" w:hAnsi="宋体" w:cs="宋体"/>
          <w:color w:val="auto"/>
          <w:sz w:val="24"/>
          <w:szCs w:val="24"/>
          <w:highlight w:val="none"/>
        </w:rPr>
      </w:pPr>
      <w:bookmarkStart w:id="11" w:name="_Toc20115"/>
      <w:bookmarkStart w:id="12" w:name="_Toc16269"/>
      <w:r>
        <w:rPr>
          <w:rFonts w:hint="eastAsia" w:ascii="宋体" w:hAnsi="宋体" w:cs="宋体"/>
          <w:color w:val="auto"/>
          <w:sz w:val="24"/>
          <w:szCs w:val="24"/>
          <w:highlight w:val="none"/>
        </w:rPr>
        <w:t>满足《中华人民共和国政府采购法》第二十二条规定；未被“信用中国”（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w:t>
      </w:r>
    </w:p>
    <w:p w14:paraId="46043F37">
      <w:pPr>
        <w:numPr>
          <w:ilvl w:val="0"/>
          <w:numId w:val="4"/>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r>
        <w:rPr>
          <w:rFonts w:hint="eastAsia" w:ascii="宋体" w:hAnsi="宋体" w:cs="宋体"/>
          <w:color w:val="auto"/>
          <w:sz w:val="24"/>
          <w:szCs w:val="24"/>
          <w:highlight w:val="none"/>
        </w:rPr>
        <w:t>。</w:t>
      </w:r>
    </w:p>
    <w:p w14:paraId="22F7A1C3">
      <w:pPr>
        <w:numPr>
          <w:ilvl w:val="0"/>
          <w:numId w:val="4"/>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本项目不接受联合体参加磋商。</w:t>
      </w:r>
    </w:p>
    <w:p w14:paraId="2B370220">
      <w:pPr>
        <w:numPr>
          <w:ilvl w:val="0"/>
          <w:numId w:val="4"/>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4031F47F">
      <w:pPr>
        <w:adjustRightInd w:val="0"/>
        <w:spacing w:line="360" w:lineRule="auto"/>
        <w:ind w:firstLine="480" w:firstLineChars="200"/>
        <w:outlineLvl w:val="1"/>
        <w:rPr>
          <w:rFonts w:ascii="宋体"/>
          <w:color w:val="auto"/>
          <w:sz w:val="24"/>
          <w:szCs w:val="24"/>
          <w:highlight w:val="none"/>
        </w:rPr>
      </w:pPr>
      <w:bookmarkStart w:id="13" w:name="_Toc8227"/>
      <w:r>
        <w:rPr>
          <w:rFonts w:hint="eastAsia" w:ascii="宋体" w:hAnsi="宋体" w:cs="宋体"/>
          <w:color w:val="auto"/>
          <w:sz w:val="24"/>
          <w:szCs w:val="24"/>
          <w:highlight w:val="none"/>
        </w:rPr>
        <w:t>五．获取磋商文件</w:t>
      </w:r>
      <w:bookmarkEnd w:id="11"/>
      <w:bookmarkEnd w:id="12"/>
      <w:bookmarkEnd w:id="13"/>
    </w:p>
    <w:p w14:paraId="5B539AE9">
      <w:pPr>
        <w:numPr>
          <w:ilvl w:val="0"/>
          <w:numId w:val="5"/>
        </w:numPr>
        <w:adjustRightInd w:val="0"/>
        <w:spacing w:line="360" w:lineRule="auto"/>
        <w:ind w:firstLine="480" w:firstLineChars="200"/>
        <w:rPr>
          <w:rFonts w:ascii="宋体"/>
          <w:color w:val="auto"/>
          <w:sz w:val="24"/>
          <w:szCs w:val="24"/>
          <w:highlight w:val="none"/>
        </w:rPr>
      </w:pPr>
      <w:bookmarkStart w:id="14" w:name="报名开始时间1"/>
      <w:r>
        <w:rPr>
          <w:rFonts w:hint="eastAsia" w:ascii="宋体" w:hAnsi="宋体" w:cs="宋体"/>
          <w:color w:val="auto"/>
          <w:sz w:val="24"/>
          <w:szCs w:val="24"/>
          <w:highlight w:val="none"/>
        </w:rPr>
        <w:t>获取磋商文件时间：</w:t>
      </w:r>
      <w:bookmarkEnd w:id="14"/>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10：00 </w:t>
      </w:r>
      <w:r>
        <w:rPr>
          <w:rFonts w:hint="eastAsia" w:ascii="宋体" w:hAnsi="宋体" w:cs="宋体"/>
          <w:color w:val="auto"/>
          <w:sz w:val="24"/>
          <w:szCs w:val="24"/>
          <w:highlight w:val="none"/>
        </w:rPr>
        <w:t>之前获取。</w:t>
      </w:r>
    </w:p>
    <w:p w14:paraId="1805D582">
      <w:pPr>
        <w:numPr>
          <w:ilvl w:val="0"/>
          <w:numId w:val="5"/>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获取磋商文件方式：供应商登录政采云平台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5A5FC24A">
      <w:pPr>
        <w:numPr>
          <w:ilvl w:val="0"/>
          <w:numId w:val="5"/>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0C16FEFB">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6532DA84">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097CC7B7">
      <w:pPr>
        <w:adjustRightInd w:val="0"/>
        <w:spacing w:line="360" w:lineRule="auto"/>
        <w:ind w:firstLine="480" w:firstLineChars="200"/>
        <w:outlineLvl w:val="1"/>
        <w:rPr>
          <w:rFonts w:ascii="宋体" w:hAnsi="宋体" w:cs="宋体"/>
          <w:color w:val="auto"/>
          <w:sz w:val="24"/>
          <w:szCs w:val="24"/>
          <w:highlight w:val="none"/>
        </w:rPr>
      </w:pPr>
      <w:bookmarkStart w:id="15" w:name="_Toc22437"/>
      <w:bookmarkStart w:id="16" w:name="_Toc15349"/>
      <w:bookmarkStart w:id="17" w:name="_Toc28422"/>
      <w:r>
        <w:rPr>
          <w:rFonts w:hint="eastAsia" w:ascii="宋体" w:hAnsi="宋体" w:cs="宋体"/>
          <w:color w:val="auto"/>
          <w:sz w:val="24"/>
          <w:szCs w:val="24"/>
          <w:highlight w:val="none"/>
        </w:rPr>
        <w:t>六、投标与开标注意事项：</w:t>
      </w:r>
      <w:bookmarkEnd w:id="15"/>
      <w:bookmarkEnd w:id="16"/>
      <w:bookmarkEnd w:id="17"/>
    </w:p>
    <w:p w14:paraId="4CAAAB63">
      <w:pPr>
        <w:numPr>
          <w:ilvl w:val="0"/>
          <w:numId w:val="6"/>
        </w:numPr>
        <w:adjustRightInd w:val="0"/>
        <w:spacing w:line="360" w:lineRule="auto"/>
        <w:ind w:left="-8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1B40017E">
      <w:pPr>
        <w:numPr>
          <w:ilvl w:val="0"/>
          <w:numId w:val="6"/>
        </w:numPr>
        <w:wordWrap w:val="0"/>
        <w:adjustRightInd w:val="0"/>
        <w:spacing w:line="360" w:lineRule="auto"/>
        <w:ind w:left="-8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66E3F59D">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2DCB21C1">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51B57025">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59AF95A5">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43B62BC7">
      <w:pP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65CE4011">
      <w:pPr>
        <w:adjustRightInd w:val="0"/>
        <w:spacing w:line="360" w:lineRule="auto"/>
        <w:ind w:left="40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02E5F5AD">
      <w:pPr>
        <w:numPr>
          <w:ilvl w:val="0"/>
          <w:numId w:val="6"/>
        </w:numPr>
        <w:adjustRightInd w:val="0"/>
        <w:spacing w:line="360" w:lineRule="auto"/>
        <w:ind w:left="-8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21052AD3">
      <w:pPr>
        <w:numPr>
          <w:ilvl w:val="0"/>
          <w:numId w:val="7"/>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17C66892">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3D408E8F">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2E2FD94B">
      <w:pP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423B5693">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0646B1E2">
      <w:pP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665A6C1C">
      <w:pPr>
        <w:numPr>
          <w:ilvl w:val="0"/>
          <w:numId w:val="6"/>
        </w:numPr>
        <w:adjustRightInd w:val="0"/>
        <w:spacing w:line="360" w:lineRule="auto"/>
        <w:ind w:left="-8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60D7586B">
      <w:pPr>
        <w:numPr>
          <w:ilvl w:val="0"/>
          <w:numId w:val="6"/>
        </w:numPr>
        <w:adjustRightInd w:val="0"/>
        <w:spacing w:line="360" w:lineRule="auto"/>
        <w:ind w:left="-8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投标人可指派授权代表递交备份文件，授权代表递交备份文件需携带法定代表人授权书原件，于投标截止时间前到达开标地点递交。</w:t>
      </w:r>
    </w:p>
    <w:p w14:paraId="262D91EC">
      <w:pPr>
        <w:adjustRightInd w:val="0"/>
        <w:spacing w:line="360" w:lineRule="auto"/>
        <w:ind w:left="40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2B6D683B">
      <w:pPr>
        <w:wordWrap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单位负责人为同一人或者存在直接控股、管理关系的不同供应商，不得参加同一合同项下的政府采购活动。</w:t>
      </w:r>
    </w:p>
    <w:p w14:paraId="4076A704">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48C8DAAB">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07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28 </w:t>
      </w:r>
      <w:r>
        <w:rPr>
          <w:rFonts w:hint="eastAsia" w:ascii="宋体" w:hAnsi="宋体" w:cs="宋体"/>
          <w:color w:val="auto"/>
          <w:sz w:val="24"/>
          <w:szCs w:val="24"/>
          <w:highlight w:val="none"/>
        </w:rPr>
        <w:t xml:space="preserve">日 </w:t>
      </w:r>
      <w:r>
        <w:rPr>
          <w:rFonts w:hint="eastAsia" w:ascii="宋体" w:hAnsi="宋体" w:cs="宋体"/>
          <w:color w:val="auto"/>
          <w:sz w:val="24"/>
          <w:szCs w:val="24"/>
          <w:highlight w:val="none"/>
          <w:u w:val="single"/>
          <w:lang w:val="en-US" w:eastAsia="zh-CN"/>
        </w:rPr>
        <w:t xml:space="preserve"> 10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00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分整之前将电子磋商响应文件上传到“政采云”平台。</w:t>
      </w:r>
    </w:p>
    <w:p w14:paraId="7660687E">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bookmarkStart w:id="18" w:name="B30_开标地点"/>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07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28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10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00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分整在上虞区公共资源交易</w:t>
      </w:r>
      <w:r>
        <w:rPr>
          <w:rFonts w:hint="eastAsia" w:ascii="宋体" w:hAnsi="宋体" w:cs="宋体"/>
          <w:color w:val="auto"/>
          <w:sz w:val="24"/>
          <w:szCs w:val="24"/>
          <w:highlight w:val="none"/>
        </w:rPr>
        <w:t>中心三楼</w:t>
      </w:r>
      <w:r>
        <w:rPr>
          <w:rFonts w:hint="eastAsia" w:ascii="宋体" w:hAnsi="宋体" w:cs="宋体"/>
          <w:color w:val="auto"/>
          <w:sz w:val="24"/>
          <w:szCs w:val="24"/>
          <w:highlight w:val="none"/>
          <w:u w:val="single"/>
          <w:lang w:val="en-US" w:eastAsia="zh-CN"/>
        </w:rPr>
        <w:t xml:space="preserve"> 357  </w:t>
      </w:r>
      <w:r>
        <w:rPr>
          <w:rFonts w:hint="eastAsia" w:ascii="宋体" w:hAnsi="宋体" w:cs="宋体"/>
          <w:color w:val="auto"/>
          <w:sz w:val="24"/>
          <w:szCs w:val="24"/>
          <w:highlight w:val="none"/>
        </w:rPr>
        <w:t>开标室开标。</w:t>
      </w:r>
      <w:bookmarkEnd w:id="18"/>
    </w:p>
    <w:p w14:paraId="367AA21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hint="eastAsia" w:ascii="宋体" w:hAnsi="宋体" w:cs="宋体"/>
          <w:color w:val="auto"/>
          <w:sz w:val="24"/>
          <w:szCs w:val="24"/>
          <w:highlight w:val="none"/>
          <w:u w:val="single"/>
          <w:lang w:eastAsia="zh-CN"/>
        </w:rPr>
        <w:t>2025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07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28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10</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前）供应商可以登录“政采云”平台，用“项目采购－开标评标”功能进行解密响应文件。若供应商在规定时间内（</w:t>
      </w:r>
      <w:r>
        <w:rPr>
          <w:rFonts w:hint="eastAsia" w:ascii="宋体" w:hAnsi="宋体" w:cs="宋体"/>
          <w:color w:val="auto"/>
          <w:sz w:val="24"/>
          <w:szCs w:val="24"/>
          <w:highlight w:val="none"/>
          <w:u w:val="single"/>
          <w:lang w:eastAsia="zh-CN"/>
        </w:rPr>
        <w:t>2025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07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28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10</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0</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7DC3DBF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本次开标不提供现场</w:t>
      </w:r>
      <w:r>
        <w:rPr>
          <w:rFonts w:hint="eastAsia" w:ascii="宋体" w:hAnsi="宋体" w:cs="宋体"/>
          <w:color w:val="auto"/>
          <w:sz w:val="24"/>
          <w:highlight w:val="none"/>
        </w:rPr>
        <w:t>演示</w:t>
      </w:r>
      <w:r>
        <w:rPr>
          <w:rFonts w:hint="eastAsia" w:ascii="宋体" w:hAnsi="宋体" w:cs="宋体"/>
          <w:color w:val="auto"/>
          <w:sz w:val="24"/>
          <w:szCs w:val="24"/>
          <w:highlight w:val="none"/>
        </w:rPr>
        <w:t>。</w:t>
      </w:r>
    </w:p>
    <w:p w14:paraId="000309F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26A60BBD">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6ABA3A93">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4DE887F5">
      <w:pPr>
        <w:shd w:val="clear"/>
        <w:adjustRightInd w:val="0"/>
        <w:spacing w:line="360" w:lineRule="auto"/>
        <w:ind w:firstLine="480" w:firstLineChars="200"/>
        <w:rPr>
          <w:rFonts w:hint="eastAsia" w:ascii="宋体" w:hAnsi="宋体" w:eastAsia="宋体" w:cs="宋体"/>
          <w:color w:val="auto"/>
          <w:kern w:val="2"/>
          <w:sz w:val="24"/>
          <w:szCs w:val="24"/>
          <w:highlight w:val="none"/>
          <w:lang w:eastAsia="zh-CN"/>
        </w:rPr>
      </w:pPr>
      <w:bookmarkStart w:id="19" w:name="_Toc1032"/>
      <w:bookmarkStart w:id="20" w:name="_Toc22173"/>
      <w:bookmarkStart w:id="21" w:name="_Toc29067"/>
      <w:bookmarkStart w:id="22" w:name="_Toc31978"/>
      <w:bookmarkStart w:id="23" w:name="_Toc18715"/>
      <w:bookmarkStart w:id="24" w:name="_Toc21863"/>
      <w:bookmarkStart w:id="25" w:name="_Toc186"/>
      <w:r>
        <w:rPr>
          <w:rFonts w:hint="eastAsia" w:ascii="宋体" w:hAnsi="宋体" w:eastAsia="宋体" w:cs="宋体"/>
          <w:color w:val="auto"/>
          <w:kern w:val="2"/>
          <w:sz w:val="24"/>
          <w:szCs w:val="24"/>
          <w:highlight w:val="none"/>
        </w:rPr>
        <w:t>1．采购代理机构名称：</w:t>
      </w:r>
      <w:r>
        <w:rPr>
          <w:rFonts w:hint="eastAsia" w:ascii="宋体" w:hAnsi="宋体" w:cs="宋体"/>
          <w:color w:val="auto"/>
          <w:kern w:val="2"/>
          <w:sz w:val="24"/>
          <w:szCs w:val="24"/>
          <w:highlight w:val="none"/>
          <w:lang w:eastAsia="zh-CN"/>
        </w:rPr>
        <w:t>浙江天平项目咨询有限公司</w:t>
      </w:r>
    </w:p>
    <w:p w14:paraId="598BE295">
      <w:pPr>
        <w:shd w:val="clear"/>
        <w:adjustRightIn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项目联系人（询问）：</w:t>
      </w:r>
      <w:r>
        <w:rPr>
          <w:rFonts w:hint="eastAsia" w:ascii="宋体" w:hAnsi="宋体" w:cs="宋体"/>
          <w:color w:val="auto"/>
          <w:kern w:val="2"/>
          <w:sz w:val="24"/>
          <w:szCs w:val="24"/>
          <w:highlight w:val="none"/>
          <w:lang w:eastAsia="zh-CN"/>
        </w:rPr>
        <w:t>周权</w:t>
      </w:r>
      <w:r>
        <w:rPr>
          <w:rFonts w:hint="eastAsia" w:ascii="宋体" w:hAnsi="宋体" w:eastAsia="宋体" w:cs="宋体"/>
          <w:color w:val="auto"/>
          <w:kern w:val="2"/>
          <w:sz w:val="24"/>
          <w:szCs w:val="24"/>
          <w:highlight w:val="none"/>
        </w:rPr>
        <w:t xml:space="preserve">             </w:t>
      </w:r>
    </w:p>
    <w:p w14:paraId="3C9890A4">
      <w:pPr>
        <w:shd w:val="clear"/>
        <w:adjustRightIn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项目联系方式（询问）：</w:t>
      </w:r>
      <w:r>
        <w:rPr>
          <w:rFonts w:hint="eastAsia" w:ascii="宋体" w:hAnsi="宋体" w:cs="宋体"/>
          <w:color w:val="auto"/>
          <w:kern w:val="2"/>
          <w:sz w:val="24"/>
          <w:szCs w:val="24"/>
          <w:highlight w:val="none"/>
          <w:lang w:val="en-US" w:eastAsia="zh-CN"/>
        </w:rPr>
        <w:t>13805746800</w:t>
      </w:r>
      <w:r>
        <w:rPr>
          <w:rFonts w:hint="eastAsia" w:ascii="宋体" w:hAnsi="宋体" w:eastAsia="宋体" w:cs="宋体"/>
          <w:color w:val="auto"/>
          <w:kern w:val="2"/>
          <w:sz w:val="24"/>
          <w:szCs w:val="24"/>
          <w:highlight w:val="none"/>
        </w:rPr>
        <w:t xml:space="preserve">         </w:t>
      </w:r>
    </w:p>
    <w:p w14:paraId="035A7DCC">
      <w:pPr>
        <w:shd w:val="clear"/>
        <w:adjustRightIn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质疑联系人：</w:t>
      </w:r>
      <w:r>
        <w:rPr>
          <w:rFonts w:hint="eastAsia" w:ascii="宋体" w:hAnsi="宋体" w:eastAsia="宋体" w:cs="宋体"/>
          <w:color w:val="auto"/>
          <w:kern w:val="2"/>
          <w:sz w:val="24"/>
          <w:szCs w:val="24"/>
          <w:highlight w:val="none"/>
          <w:lang w:eastAsia="zh-CN"/>
        </w:rPr>
        <w:t>陈锦钟</w:t>
      </w:r>
      <w:r>
        <w:rPr>
          <w:rFonts w:hint="eastAsia" w:ascii="宋体" w:hAnsi="宋体" w:eastAsia="宋体" w:cs="宋体"/>
          <w:color w:val="auto"/>
          <w:kern w:val="2"/>
          <w:sz w:val="24"/>
          <w:szCs w:val="24"/>
          <w:highlight w:val="none"/>
        </w:rPr>
        <w:t xml:space="preserve">            </w:t>
      </w:r>
    </w:p>
    <w:p w14:paraId="17ED9BE9">
      <w:pPr>
        <w:shd w:val="clear"/>
        <w:adjustRightIn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质疑联系方式：</w:t>
      </w:r>
      <w:r>
        <w:rPr>
          <w:rFonts w:hint="eastAsia" w:ascii="宋体" w:hAnsi="宋体" w:eastAsia="宋体" w:cs="宋体"/>
          <w:color w:val="auto"/>
          <w:kern w:val="2"/>
          <w:sz w:val="24"/>
          <w:szCs w:val="24"/>
          <w:highlight w:val="none"/>
          <w:lang w:eastAsia="zh-CN"/>
        </w:rPr>
        <w:t>13587399711</w:t>
      </w:r>
      <w:r>
        <w:rPr>
          <w:rFonts w:hint="eastAsia" w:ascii="宋体" w:hAnsi="宋体" w:eastAsia="宋体" w:cs="宋体"/>
          <w:color w:val="auto"/>
          <w:kern w:val="2"/>
          <w:sz w:val="24"/>
          <w:szCs w:val="24"/>
          <w:highlight w:val="none"/>
        </w:rPr>
        <w:t xml:space="preserve">     </w:t>
      </w:r>
    </w:p>
    <w:p w14:paraId="0C8C93DF">
      <w:pPr>
        <w:adjustRightIn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rPr>
        <w:t>地址：</w:t>
      </w:r>
      <w:r>
        <w:rPr>
          <w:rFonts w:hint="eastAsia" w:ascii="宋体" w:hAnsi="宋体" w:cs="宋体"/>
          <w:color w:val="auto"/>
          <w:kern w:val="2"/>
          <w:sz w:val="24"/>
          <w:szCs w:val="24"/>
          <w:highlight w:val="none"/>
          <w:lang w:eastAsia="zh-CN"/>
        </w:rPr>
        <w:t>绍兴市上虞区江东北路588号百官广场11楼</w:t>
      </w:r>
    </w:p>
    <w:bookmarkEnd w:id="19"/>
    <w:bookmarkEnd w:id="20"/>
    <w:bookmarkEnd w:id="21"/>
    <w:bookmarkEnd w:id="22"/>
    <w:bookmarkEnd w:id="23"/>
    <w:bookmarkEnd w:id="24"/>
    <w:bookmarkEnd w:id="25"/>
    <w:p w14:paraId="6E278A88">
      <w:pPr>
        <w:adjustRightInd w:val="0"/>
        <w:spacing w:line="360" w:lineRule="auto"/>
        <w:ind w:firstLine="480" w:firstLineChars="200"/>
        <w:outlineLvl w:val="1"/>
        <w:rPr>
          <w:rFonts w:hint="eastAsia" w:ascii="宋体" w:hAnsi="宋体" w:eastAsia="宋体" w:cs="宋体"/>
          <w:color w:val="auto"/>
          <w:sz w:val="24"/>
          <w:highlight w:val="none"/>
          <w:lang w:eastAsia="zh-CN"/>
        </w:rPr>
      </w:pPr>
      <w:bookmarkStart w:id="26" w:name="_Toc24780"/>
      <w:bookmarkStart w:id="27" w:name="_Toc1240"/>
      <w:bookmarkStart w:id="28" w:name="_Toc17866"/>
      <w:bookmarkStart w:id="29" w:name="_Toc30495"/>
      <w:bookmarkStart w:id="30" w:name="_Toc19276"/>
      <w:bookmarkStart w:id="31" w:name="_Toc4032"/>
      <w:bookmarkStart w:id="32" w:name="_Toc25398"/>
      <w:bookmarkStart w:id="33" w:name="_Toc20572"/>
      <w:bookmarkStart w:id="34" w:name="_Toc11923"/>
      <w:bookmarkStart w:id="35" w:name="_Toc4823"/>
      <w:r>
        <w:rPr>
          <w:rFonts w:hint="eastAsia" w:ascii="宋体" w:hAnsi="宋体" w:cs="宋体"/>
          <w:color w:val="auto"/>
          <w:sz w:val="24"/>
          <w:highlight w:val="none"/>
        </w:rPr>
        <w:t>2．采购人名称：</w:t>
      </w:r>
      <w:bookmarkEnd w:id="26"/>
      <w:r>
        <w:rPr>
          <w:rFonts w:hint="eastAsia" w:ascii="宋体" w:hAnsi="宋体" w:cs="宋体"/>
          <w:color w:val="auto"/>
          <w:sz w:val="24"/>
          <w:highlight w:val="none"/>
          <w:lang w:eastAsia="zh-CN"/>
        </w:rPr>
        <w:t>绍兴市上虞第二人民医院</w:t>
      </w:r>
    </w:p>
    <w:p w14:paraId="46C6EF84">
      <w:pPr>
        <w:adjustRightInd w:val="0"/>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项目联系人（询问）：</w:t>
      </w:r>
      <w:r>
        <w:rPr>
          <w:rFonts w:hint="eastAsia" w:ascii="宋体" w:hAnsi="宋体" w:eastAsia="宋体" w:cs="宋体"/>
          <w:color w:val="auto"/>
          <w:kern w:val="2"/>
          <w:sz w:val="24"/>
          <w:szCs w:val="24"/>
          <w:highlight w:val="none"/>
          <w:lang w:val="en-US" w:eastAsia="zh-CN"/>
        </w:rPr>
        <w:t>金先生</w:t>
      </w:r>
      <w:r>
        <w:rPr>
          <w:rFonts w:hint="eastAsia" w:ascii="宋体" w:hAnsi="宋体" w:eastAsia="宋体" w:cs="宋体"/>
          <w:color w:val="auto"/>
          <w:kern w:val="2"/>
          <w:sz w:val="24"/>
          <w:szCs w:val="24"/>
          <w:highlight w:val="none"/>
        </w:rPr>
        <w:t xml:space="preserve"> </w:t>
      </w:r>
    </w:p>
    <w:p w14:paraId="665148DB">
      <w:pPr>
        <w:adjustRightInd w:val="0"/>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项目联系方式（询问）</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0575-82067891</w:t>
      </w:r>
    </w:p>
    <w:p w14:paraId="73A5FC58">
      <w:pPr>
        <w:adjustRightInd w:val="0"/>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质疑联系人：</w:t>
      </w:r>
      <w:r>
        <w:rPr>
          <w:rFonts w:hint="eastAsia" w:ascii="宋体" w:hAnsi="宋体" w:eastAsia="宋体" w:cs="宋体"/>
          <w:color w:val="auto"/>
          <w:kern w:val="2"/>
          <w:sz w:val="24"/>
          <w:szCs w:val="24"/>
          <w:highlight w:val="none"/>
          <w:lang w:val="en-US" w:eastAsia="zh-CN"/>
        </w:rPr>
        <w:t>何先生</w:t>
      </w:r>
    </w:p>
    <w:p w14:paraId="206E1ABE">
      <w:pPr>
        <w:adjustRightInd w:val="0"/>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质疑联系方式：</w:t>
      </w:r>
      <w:r>
        <w:rPr>
          <w:rFonts w:hint="eastAsia" w:ascii="宋体" w:hAnsi="宋体" w:eastAsia="宋体" w:cs="宋体"/>
          <w:color w:val="auto"/>
          <w:kern w:val="2"/>
          <w:sz w:val="24"/>
          <w:szCs w:val="24"/>
          <w:highlight w:val="none"/>
          <w:lang w:val="en-US" w:eastAsia="zh-CN"/>
        </w:rPr>
        <w:t>15381692783</w:t>
      </w:r>
      <w:r>
        <w:rPr>
          <w:rFonts w:hint="eastAsia" w:ascii="宋体" w:hAnsi="宋体" w:eastAsia="宋体" w:cs="宋体"/>
          <w:color w:val="auto"/>
          <w:kern w:val="2"/>
          <w:sz w:val="24"/>
          <w:szCs w:val="24"/>
          <w:highlight w:val="none"/>
        </w:rPr>
        <w:t xml:space="preserve">  </w:t>
      </w:r>
    </w:p>
    <w:p w14:paraId="2E2932BF">
      <w:pPr>
        <w:adjustRightInd w:val="0"/>
        <w:spacing w:line="360" w:lineRule="auto"/>
        <w:ind w:firstLine="480" w:firstLineChars="200"/>
        <w:outlineLvl w:val="1"/>
        <w:rPr>
          <w:rFonts w:ascii="宋体" w:hAnsi="宋体" w:cs="宋体"/>
          <w:color w:val="auto"/>
          <w:sz w:val="24"/>
          <w:highlight w:val="none"/>
        </w:rPr>
      </w:pPr>
      <w:r>
        <w:rPr>
          <w:rFonts w:hint="eastAsia" w:ascii="宋体" w:hAnsi="宋体" w:eastAsia="宋体" w:cs="宋体"/>
          <w:color w:val="auto"/>
          <w:kern w:val="2"/>
          <w:sz w:val="24"/>
          <w:szCs w:val="24"/>
          <w:highlight w:val="none"/>
        </w:rPr>
        <w:t>地址：绍兴市上虞区崧厦街道</w:t>
      </w:r>
      <w:r>
        <w:rPr>
          <w:rFonts w:hint="eastAsia" w:ascii="宋体" w:hAnsi="宋体" w:eastAsia="宋体" w:cs="宋体"/>
          <w:color w:val="auto"/>
          <w:kern w:val="2"/>
          <w:sz w:val="24"/>
          <w:szCs w:val="24"/>
          <w:highlight w:val="none"/>
          <w:lang w:val="en-US" w:eastAsia="zh-CN"/>
        </w:rPr>
        <w:t>百崧路328</w:t>
      </w:r>
      <w:r>
        <w:rPr>
          <w:rFonts w:hint="eastAsia" w:ascii="宋体" w:hAnsi="宋体" w:eastAsia="宋体" w:cs="宋体"/>
          <w:color w:val="auto"/>
          <w:kern w:val="2"/>
          <w:sz w:val="24"/>
          <w:szCs w:val="24"/>
          <w:highlight w:val="none"/>
        </w:rPr>
        <w:t>号</w:t>
      </w:r>
    </w:p>
    <w:p w14:paraId="71CA731D">
      <w:pPr>
        <w:adjustRightInd w:val="0"/>
        <w:spacing w:line="360" w:lineRule="auto"/>
        <w:ind w:firstLine="480" w:firstLineChars="200"/>
        <w:outlineLvl w:val="1"/>
        <w:rPr>
          <w:rFonts w:ascii="宋体" w:hAnsi="宋体" w:cs="宋体"/>
          <w:color w:val="auto"/>
          <w:sz w:val="24"/>
          <w:highlight w:val="none"/>
        </w:rPr>
      </w:pPr>
      <w:bookmarkStart w:id="36" w:name="_Toc10293"/>
      <w:r>
        <w:rPr>
          <w:rFonts w:hint="eastAsia" w:ascii="宋体" w:hAnsi="宋体" w:cs="宋体"/>
          <w:color w:val="auto"/>
          <w:sz w:val="24"/>
          <w:highlight w:val="none"/>
        </w:rPr>
        <w:t>3、同级政府采购监督管理部门名称：上虞区财政局政府采购监管科</w:t>
      </w:r>
      <w:bookmarkEnd w:id="27"/>
      <w:bookmarkEnd w:id="28"/>
      <w:bookmarkEnd w:id="29"/>
      <w:bookmarkEnd w:id="30"/>
      <w:bookmarkEnd w:id="31"/>
      <w:bookmarkEnd w:id="32"/>
      <w:bookmarkEnd w:id="33"/>
      <w:bookmarkEnd w:id="34"/>
      <w:bookmarkEnd w:id="35"/>
      <w:bookmarkEnd w:id="36"/>
    </w:p>
    <w:p w14:paraId="4479765E">
      <w:pPr>
        <w:adjustRightInd w:val="0"/>
        <w:spacing w:line="360" w:lineRule="auto"/>
        <w:ind w:firstLine="480" w:firstLineChars="200"/>
        <w:outlineLvl w:val="1"/>
        <w:rPr>
          <w:rFonts w:ascii="宋体" w:hAnsi="宋体" w:cs="宋体"/>
          <w:color w:val="auto"/>
          <w:sz w:val="24"/>
          <w:highlight w:val="none"/>
        </w:rPr>
      </w:pPr>
      <w:bookmarkStart w:id="37" w:name="_Toc14389"/>
      <w:bookmarkStart w:id="38" w:name="_Toc26465"/>
      <w:bookmarkStart w:id="39" w:name="_Toc20163"/>
      <w:bookmarkStart w:id="40" w:name="_Toc25812"/>
      <w:bookmarkStart w:id="41" w:name="_Toc31662"/>
      <w:bookmarkStart w:id="42" w:name="_Toc18196"/>
      <w:bookmarkStart w:id="43" w:name="_Toc17953"/>
      <w:r>
        <w:rPr>
          <w:rFonts w:hint="eastAsia" w:ascii="宋体" w:hAnsi="宋体" w:cs="宋体"/>
          <w:color w:val="auto"/>
          <w:sz w:val="24"/>
          <w:highlight w:val="none"/>
        </w:rPr>
        <w:t>联系人：</w:t>
      </w:r>
      <w:bookmarkEnd w:id="37"/>
      <w:r>
        <w:rPr>
          <w:rFonts w:hint="eastAsia" w:ascii="宋体" w:hAnsi="宋体" w:cs="宋体"/>
          <w:color w:val="auto"/>
          <w:sz w:val="24"/>
          <w:highlight w:val="none"/>
        </w:rPr>
        <w:t>谷先生</w:t>
      </w:r>
      <w:bookmarkEnd w:id="38"/>
      <w:bookmarkEnd w:id="39"/>
      <w:bookmarkEnd w:id="40"/>
      <w:bookmarkEnd w:id="41"/>
      <w:bookmarkEnd w:id="42"/>
      <w:bookmarkEnd w:id="43"/>
    </w:p>
    <w:p w14:paraId="7EF007B1">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监督投诉电话：0575-82130212</w:t>
      </w:r>
    </w:p>
    <w:p w14:paraId="7767FF66">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传真：0575-82154859</w:t>
      </w:r>
    </w:p>
    <w:p w14:paraId="0D3C55BE">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地址：绍兴市上虞区体育场路18号</w:t>
      </w:r>
    </w:p>
    <w:p w14:paraId="1A56FCCE">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44" w:name="_Toc29834"/>
      <w:bookmarkStart w:id="45" w:name="_Toc24505"/>
      <w:bookmarkStart w:id="46" w:name="_Toc14548"/>
      <w:bookmarkStart w:id="47" w:name="_Toc546"/>
      <w:r>
        <w:rPr>
          <w:rStyle w:val="37"/>
          <w:rFonts w:hint="eastAsia" w:cs="宋体"/>
          <w:color w:val="auto"/>
          <w:sz w:val="36"/>
          <w:szCs w:val="36"/>
          <w:highlight w:val="none"/>
        </w:rPr>
        <w:t>第二部分</w:t>
      </w:r>
      <w:bookmarkEnd w:id="5"/>
      <w:r>
        <w:rPr>
          <w:rStyle w:val="37"/>
          <w:color w:val="auto"/>
          <w:sz w:val="36"/>
          <w:szCs w:val="36"/>
          <w:highlight w:val="none"/>
        </w:rPr>
        <w:t xml:space="preserve"> </w:t>
      </w:r>
      <w:bookmarkEnd w:id="6"/>
      <w:r>
        <w:rPr>
          <w:rStyle w:val="37"/>
          <w:rFonts w:hint="eastAsia" w:cs="宋体"/>
          <w:color w:val="auto"/>
          <w:sz w:val="36"/>
          <w:szCs w:val="36"/>
          <w:highlight w:val="none"/>
        </w:rPr>
        <w:t>供应商须知</w:t>
      </w:r>
      <w:bookmarkEnd w:id="44"/>
      <w:bookmarkEnd w:id="45"/>
      <w:bookmarkEnd w:id="46"/>
      <w:bookmarkEnd w:id="47"/>
    </w:p>
    <w:p w14:paraId="120434F7">
      <w:pPr>
        <w:widowControl/>
        <w:adjustRightInd w:val="0"/>
        <w:snapToGrid w:val="0"/>
        <w:spacing w:line="360" w:lineRule="auto"/>
        <w:jc w:val="center"/>
        <w:rPr>
          <w:rFonts w:ascii="宋体"/>
          <w:b/>
          <w:bCs/>
          <w:snapToGrid w:val="0"/>
          <w:color w:val="auto"/>
          <w:sz w:val="32"/>
          <w:szCs w:val="32"/>
          <w:highlight w:val="none"/>
        </w:rPr>
      </w:pPr>
      <w:r>
        <w:rPr>
          <w:rFonts w:hint="eastAsia" w:ascii="宋体" w:hAnsi="宋体" w:cs="宋体"/>
          <w:b/>
          <w:bCs/>
          <w:snapToGrid w:val="0"/>
          <w:color w:val="auto"/>
          <w:sz w:val="30"/>
          <w:szCs w:val="30"/>
          <w:highlight w:val="none"/>
        </w:rPr>
        <w:t>供应商须知前附表</w:t>
      </w:r>
    </w:p>
    <w:tbl>
      <w:tblPr>
        <w:tblStyle w:val="2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116F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6CC2950C">
            <w:pPr>
              <w:snapToGrid w:val="0"/>
              <w:jc w:val="center"/>
              <w:rPr>
                <w:rFonts w:ascii="宋体"/>
                <w:b/>
                <w:bCs/>
                <w:snapToGrid w:val="0"/>
                <w:color w:val="auto"/>
                <w:sz w:val="24"/>
                <w:szCs w:val="24"/>
                <w:highlight w:val="none"/>
              </w:rPr>
            </w:pPr>
            <w:r>
              <w:rPr>
                <w:rFonts w:hint="eastAsia" w:ascii="宋体" w:hAnsi="宋体" w:cs="宋体"/>
                <w:b/>
                <w:bCs/>
                <w:snapToGrid w:val="0"/>
                <w:color w:val="auto"/>
                <w:sz w:val="24"/>
                <w:szCs w:val="24"/>
                <w:highlight w:val="none"/>
              </w:rPr>
              <w:t>序号</w:t>
            </w:r>
          </w:p>
        </w:tc>
        <w:tc>
          <w:tcPr>
            <w:tcW w:w="1800" w:type="dxa"/>
            <w:tcBorders>
              <w:top w:val="double" w:color="auto" w:sz="4" w:space="0"/>
            </w:tcBorders>
            <w:vAlign w:val="center"/>
          </w:tcPr>
          <w:p w14:paraId="37823EEB">
            <w:pPr>
              <w:snapToGrid w:val="0"/>
              <w:jc w:val="center"/>
              <w:rPr>
                <w:rFonts w:ascii="宋体"/>
                <w:b/>
                <w:bCs/>
                <w:snapToGrid w:val="0"/>
                <w:color w:val="auto"/>
                <w:sz w:val="24"/>
                <w:szCs w:val="24"/>
                <w:highlight w:val="none"/>
              </w:rPr>
            </w:pPr>
            <w:r>
              <w:rPr>
                <w:rFonts w:hint="eastAsia" w:ascii="宋体" w:hAnsi="宋体" w:cs="宋体"/>
                <w:b/>
                <w:bCs/>
                <w:snapToGrid w:val="0"/>
                <w:color w:val="auto"/>
                <w:sz w:val="24"/>
                <w:szCs w:val="24"/>
                <w:highlight w:val="none"/>
              </w:rPr>
              <w:t>项目</w:t>
            </w:r>
          </w:p>
        </w:tc>
        <w:tc>
          <w:tcPr>
            <w:tcW w:w="6682" w:type="dxa"/>
            <w:tcBorders>
              <w:top w:val="double" w:color="auto" w:sz="4" w:space="0"/>
            </w:tcBorders>
            <w:vAlign w:val="center"/>
          </w:tcPr>
          <w:p w14:paraId="455F17B0">
            <w:pPr>
              <w:snapToGrid w:val="0"/>
              <w:jc w:val="center"/>
              <w:rPr>
                <w:rFonts w:ascii="宋体"/>
                <w:b/>
                <w:bCs/>
                <w:snapToGrid w:val="0"/>
                <w:color w:val="auto"/>
                <w:sz w:val="24"/>
                <w:szCs w:val="24"/>
                <w:highlight w:val="none"/>
              </w:rPr>
            </w:pPr>
            <w:r>
              <w:rPr>
                <w:rFonts w:hint="eastAsia" w:ascii="宋体" w:hAnsi="宋体" w:cs="宋体"/>
                <w:b/>
                <w:bCs/>
                <w:snapToGrid w:val="0"/>
                <w:color w:val="auto"/>
                <w:sz w:val="24"/>
                <w:szCs w:val="24"/>
                <w:highlight w:val="none"/>
              </w:rPr>
              <w:t>内容</w:t>
            </w:r>
          </w:p>
        </w:tc>
      </w:tr>
      <w:tr w14:paraId="11EAC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68FE704B">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w:t>
            </w:r>
          </w:p>
        </w:tc>
        <w:tc>
          <w:tcPr>
            <w:tcW w:w="1800" w:type="dxa"/>
            <w:vAlign w:val="center"/>
          </w:tcPr>
          <w:p w14:paraId="49BDD42A">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项目名称</w:t>
            </w:r>
          </w:p>
        </w:tc>
        <w:tc>
          <w:tcPr>
            <w:tcW w:w="6682" w:type="dxa"/>
            <w:vAlign w:val="center"/>
          </w:tcPr>
          <w:p w14:paraId="56575D08">
            <w:pPr>
              <w:ind w:firstLine="480" w:firstLineChars="200"/>
              <w:jc w:val="left"/>
              <w:rPr>
                <w:rFonts w:hint="eastAsia" w:ascii="宋体" w:eastAsia="宋体"/>
                <w:snapToGrid w:val="0"/>
                <w:color w:val="auto"/>
                <w:sz w:val="24"/>
                <w:szCs w:val="24"/>
                <w:highlight w:val="none"/>
                <w:lang w:eastAsia="zh-CN"/>
              </w:rPr>
            </w:pPr>
            <w:r>
              <w:rPr>
                <w:rFonts w:hint="eastAsia" w:ascii="宋体"/>
                <w:snapToGrid w:val="0"/>
                <w:color w:val="auto"/>
                <w:sz w:val="24"/>
                <w:szCs w:val="24"/>
                <w:highlight w:val="none"/>
                <w:lang w:eastAsia="zh-CN"/>
              </w:rPr>
              <w:t>绍兴市上虞第二人民医院安保服务（两年）项目</w:t>
            </w:r>
          </w:p>
        </w:tc>
      </w:tr>
      <w:tr w14:paraId="6651F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304BC055">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2</w:t>
            </w:r>
          </w:p>
        </w:tc>
        <w:tc>
          <w:tcPr>
            <w:tcW w:w="1800" w:type="dxa"/>
            <w:vAlign w:val="center"/>
          </w:tcPr>
          <w:p w14:paraId="4F17A794">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项目实施时间</w:t>
            </w:r>
          </w:p>
        </w:tc>
        <w:tc>
          <w:tcPr>
            <w:tcW w:w="6682" w:type="dxa"/>
            <w:vAlign w:val="center"/>
          </w:tcPr>
          <w:p w14:paraId="6A33A169">
            <w:pPr>
              <w:ind w:firstLine="482" w:firstLineChars="200"/>
              <w:rPr>
                <w:rFonts w:ascii="宋体"/>
                <w:b/>
                <w:bCs/>
                <w:color w:val="auto"/>
                <w:sz w:val="24"/>
                <w:szCs w:val="24"/>
                <w:highlight w:val="none"/>
              </w:rPr>
            </w:pPr>
            <w:r>
              <w:rPr>
                <w:rFonts w:hint="eastAsia" w:ascii="宋体"/>
                <w:b/>
                <w:bCs/>
                <w:color w:val="auto"/>
                <w:sz w:val="24"/>
                <w:szCs w:val="24"/>
                <w:highlight w:val="none"/>
              </w:rPr>
              <w:t>自合同签订之日起至合同履行完毕</w:t>
            </w:r>
          </w:p>
        </w:tc>
      </w:tr>
      <w:tr w14:paraId="159FBB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9C91742">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3</w:t>
            </w:r>
          </w:p>
        </w:tc>
        <w:tc>
          <w:tcPr>
            <w:tcW w:w="1800" w:type="dxa"/>
            <w:vAlign w:val="center"/>
          </w:tcPr>
          <w:p w14:paraId="21B1965C">
            <w:pPr>
              <w:snapToGrid w:val="0"/>
              <w:jc w:val="center"/>
              <w:rPr>
                <w:rFonts w:ascii="宋体"/>
                <w:b/>
                <w:bCs/>
                <w:snapToGrid w:val="0"/>
                <w:color w:val="auto"/>
                <w:sz w:val="24"/>
                <w:szCs w:val="24"/>
                <w:highlight w:val="none"/>
              </w:rPr>
            </w:pPr>
            <w:r>
              <w:rPr>
                <w:rFonts w:hint="eastAsia" w:ascii="宋体" w:hAnsi="宋体" w:cs="宋体"/>
                <w:b/>
                <w:bCs/>
                <w:snapToGrid w:val="0"/>
                <w:color w:val="auto"/>
                <w:sz w:val="24"/>
                <w:szCs w:val="24"/>
                <w:highlight w:val="none"/>
              </w:rPr>
              <w:t>最高限价</w:t>
            </w:r>
          </w:p>
        </w:tc>
        <w:tc>
          <w:tcPr>
            <w:tcW w:w="6682" w:type="dxa"/>
            <w:vAlign w:val="center"/>
          </w:tcPr>
          <w:p w14:paraId="1ADAE365">
            <w:pPr>
              <w:snapToGrid w:val="0"/>
              <w:ind w:firstLine="480" w:firstLineChars="200"/>
              <w:rPr>
                <w:rFonts w:ascii="宋体"/>
                <w:b/>
                <w:bCs/>
                <w:snapToGrid w:val="0"/>
                <w:color w:val="auto"/>
                <w:sz w:val="24"/>
                <w:szCs w:val="24"/>
                <w:highlight w:val="none"/>
              </w:rPr>
            </w:pPr>
            <w:r>
              <w:rPr>
                <w:rFonts w:hint="eastAsia" w:ascii="宋体" w:hAnsi="宋体" w:cs="宋体"/>
                <w:color w:val="auto"/>
                <w:sz w:val="24"/>
                <w:szCs w:val="24"/>
                <w:highlight w:val="none"/>
              </w:rPr>
              <w:t>本项目最高限价人民币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180 </w:t>
            </w:r>
            <w:r>
              <w:rPr>
                <w:rFonts w:hint="eastAsia" w:ascii="宋体" w:hAnsi="宋体" w:cs="宋体"/>
                <w:b/>
                <w:bCs/>
                <w:color w:val="auto"/>
                <w:sz w:val="24"/>
                <w:szCs w:val="24"/>
                <w:highlight w:val="none"/>
              </w:rPr>
              <w:t>万元</w:t>
            </w:r>
            <w:r>
              <w:rPr>
                <w:rFonts w:hint="eastAsia" w:ascii="宋体" w:hAnsi="宋体" w:cs="宋体"/>
                <w:b/>
                <w:bCs/>
                <w:color w:val="auto"/>
                <w:sz w:val="24"/>
                <w:szCs w:val="24"/>
                <w:highlight w:val="none"/>
                <w:lang w:val="en-US" w:eastAsia="zh-CN"/>
              </w:rPr>
              <w:t>/二年</w:t>
            </w:r>
            <w:r>
              <w:rPr>
                <w:rFonts w:hint="eastAsia" w:ascii="宋体" w:hAnsi="宋体" w:cs="宋体"/>
                <w:b/>
                <w:bCs/>
                <w:color w:val="auto"/>
                <w:sz w:val="24"/>
                <w:szCs w:val="24"/>
                <w:highlight w:val="none"/>
              </w:rPr>
              <w:t xml:space="preserve">。 </w:t>
            </w:r>
          </w:p>
        </w:tc>
      </w:tr>
      <w:tr w14:paraId="0F57F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A692812">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 xml:space="preserve">                                                                                                   4</w:t>
            </w:r>
          </w:p>
        </w:tc>
        <w:tc>
          <w:tcPr>
            <w:tcW w:w="1800" w:type="dxa"/>
            <w:vAlign w:val="center"/>
          </w:tcPr>
          <w:p w14:paraId="61F30B8A">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资格审查方式</w:t>
            </w:r>
          </w:p>
        </w:tc>
        <w:tc>
          <w:tcPr>
            <w:tcW w:w="6682" w:type="dxa"/>
            <w:vAlign w:val="center"/>
          </w:tcPr>
          <w:p w14:paraId="2E641FE9">
            <w:pPr>
              <w:snapToGrid w:val="0"/>
              <w:ind w:firstLine="480" w:firstLineChars="200"/>
              <w:rPr>
                <w:rFonts w:ascii="宋体"/>
                <w:snapToGrid w:val="0"/>
                <w:color w:val="auto"/>
                <w:sz w:val="24"/>
                <w:szCs w:val="24"/>
                <w:highlight w:val="none"/>
              </w:rPr>
            </w:pPr>
            <w:r>
              <w:rPr>
                <w:rFonts w:hint="eastAsia" w:ascii="宋体" w:hAnsi="宋体" w:cs="宋体"/>
                <w:snapToGrid w:val="0"/>
                <w:color w:val="auto"/>
                <w:sz w:val="24"/>
                <w:szCs w:val="24"/>
                <w:highlight w:val="none"/>
              </w:rPr>
              <w:t>资格审查是指开标后，磋商小组将依据法律法规和磋商文件的规定对供应商的资格进行审查。</w:t>
            </w:r>
          </w:p>
        </w:tc>
      </w:tr>
      <w:tr w14:paraId="10BAC1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2291AAD5">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5</w:t>
            </w:r>
          </w:p>
        </w:tc>
        <w:tc>
          <w:tcPr>
            <w:tcW w:w="1800" w:type="dxa"/>
            <w:vAlign w:val="center"/>
          </w:tcPr>
          <w:p w14:paraId="299A66BD">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踏勘现场</w:t>
            </w:r>
          </w:p>
        </w:tc>
        <w:tc>
          <w:tcPr>
            <w:tcW w:w="6682" w:type="dxa"/>
            <w:vAlign w:val="center"/>
          </w:tcPr>
          <w:p w14:paraId="64359859">
            <w:pPr>
              <w:snapToGrid w:val="0"/>
              <w:ind w:firstLine="482" w:firstLineChars="200"/>
              <w:rPr>
                <w:rFonts w:hint="eastAsia" w:ascii="宋体" w:eastAsia="宋体"/>
                <w:snapToGrid w:val="0"/>
                <w:color w:val="auto"/>
                <w:sz w:val="24"/>
                <w:szCs w:val="24"/>
                <w:highlight w:val="none"/>
                <w:lang w:eastAsia="zh-CN"/>
              </w:rPr>
            </w:pPr>
            <w:r>
              <w:rPr>
                <w:rFonts w:hint="eastAsia" w:ascii="宋体" w:hAnsi="宋体" w:cs="宋体"/>
                <w:b/>
                <w:bCs/>
                <w:snapToGrid w:val="0"/>
                <w:color w:val="auto"/>
                <w:sz w:val="24"/>
                <w:szCs w:val="24"/>
                <w:highlight w:val="none"/>
              </w:rPr>
              <w:t>本项目不组织现场踏勘</w:t>
            </w:r>
            <w:r>
              <w:rPr>
                <w:rFonts w:hint="eastAsia" w:ascii="宋体" w:hAnsi="宋体" w:cs="宋体"/>
                <w:b/>
                <w:bCs/>
                <w:snapToGrid w:val="0"/>
                <w:color w:val="auto"/>
                <w:sz w:val="24"/>
                <w:szCs w:val="24"/>
                <w:highlight w:val="none"/>
                <w:lang w:eastAsia="zh-CN"/>
              </w:rPr>
              <w:t>（如有需要自行踏勘，费用自理）</w:t>
            </w:r>
          </w:p>
        </w:tc>
      </w:tr>
      <w:tr w14:paraId="489F8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F1DCB5C">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6</w:t>
            </w:r>
          </w:p>
        </w:tc>
        <w:tc>
          <w:tcPr>
            <w:tcW w:w="1800" w:type="dxa"/>
            <w:vAlign w:val="center"/>
          </w:tcPr>
          <w:p w14:paraId="29E02178">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询问</w:t>
            </w:r>
          </w:p>
        </w:tc>
        <w:tc>
          <w:tcPr>
            <w:tcW w:w="6682" w:type="dxa"/>
            <w:vAlign w:val="center"/>
          </w:tcPr>
          <w:p w14:paraId="3AE0A1DB">
            <w:pPr>
              <w:snapToGrid w:val="0"/>
              <w:ind w:firstLine="480" w:firstLineChars="200"/>
              <w:rPr>
                <w:rFonts w:ascii="宋体"/>
                <w:snapToGrid w:val="0"/>
                <w:color w:val="auto"/>
                <w:sz w:val="24"/>
                <w:szCs w:val="24"/>
                <w:highlight w:val="none"/>
              </w:rPr>
            </w:pPr>
            <w:r>
              <w:rPr>
                <w:rFonts w:hint="eastAsia" w:ascii="宋体" w:hAnsi="宋体" w:cs="宋体"/>
                <w:snapToGrid w:val="0"/>
                <w:color w:val="auto"/>
                <w:sz w:val="24"/>
                <w:szCs w:val="24"/>
                <w:highlight w:val="none"/>
              </w:rPr>
              <w:t>供应商对政府采购活动事项有疑问的，可以向采购机构提出询问，采购人或者招标代理机构应当在</w:t>
            </w:r>
            <w:r>
              <w:rPr>
                <w:rFonts w:ascii="宋体" w:hAnsi="宋体" w:cs="宋体"/>
                <w:snapToGrid w:val="0"/>
                <w:color w:val="auto"/>
                <w:sz w:val="24"/>
                <w:szCs w:val="24"/>
                <w:highlight w:val="none"/>
              </w:rPr>
              <w:t>3</w:t>
            </w:r>
            <w:r>
              <w:rPr>
                <w:rFonts w:hint="eastAsia" w:ascii="宋体" w:hAnsi="宋体" w:cs="宋体"/>
                <w:snapToGrid w:val="0"/>
                <w:color w:val="auto"/>
                <w:sz w:val="24"/>
                <w:szCs w:val="24"/>
                <w:highlight w:val="none"/>
              </w:rPr>
              <w:t>个工作日内对供应商依法提出的询问作出答复，但答复的内容不得涉及商业秘密。</w:t>
            </w:r>
          </w:p>
        </w:tc>
      </w:tr>
      <w:tr w14:paraId="59093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8C8EB1B">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7</w:t>
            </w:r>
          </w:p>
        </w:tc>
        <w:tc>
          <w:tcPr>
            <w:tcW w:w="1800" w:type="dxa"/>
            <w:vAlign w:val="center"/>
          </w:tcPr>
          <w:p w14:paraId="1545E5F6">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磋商文件的澄清与修改</w:t>
            </w:r>
          </w:p>
        </w:tc>
        <w:tc>
          <w:tcPr>
            <w:tcW w:w="6682" w:type="dxa"/>
            <w:vAlign w:val="center"/>
          </w:tcPr>
          <w:p w14:paraId="3D53370C">
            <w:pPr>
              <w:snapToGrid w:val="0"/>
              <w:ind w:firstLine="480" w:firstLineChars="200"/>
              <w:rPr>
                <w:rFonts w:ascii="宋体"/>
                <w:snapToGrid w:val="0"/>
                <w:color w:val="auto"/>
                <w:sz w:val="24"/>
                <w:szCs w:val="24"/>
                <w:highlight w:val="none"/>
              </w:rPr>
            </w:pPr>
            <w:r>
              <w:rPr>
                <w:rFonts w:hint="eastAsia" w:ascii="宋体" w:hAnsi="宋体" w:cs="宋体"/>
                <w:snapToGrid w:val="0"/>
                <w:color w:val="auto"/>
                <w:sz w:val="24"/>
                <w:szCs w:val="24"/>
                <w:highlight w:val="none"/>
              </w:rPr>
              <w:t>采购单位可以对已发出的磋商文件进行必要澄清或者修改，澄清或者修改的内容可能影响响应文件编制的，应当在提交首次响应文件截止时间至少</w:t>
            </w:r>
            <w:r>
              <w:rPr>
                <w:rFonts w:ascii="宋体" w:hAnsi="宋体" w:cs="宋体"/>
                <w:snapToGrid w:val="0"/>
                <w:color w:val="auto"/>
                <w:sz w:val="24"/>
                <w:szCs w:val="24"/>
                <w:highlight w:val="none"/>
              </w:rPr>
              <w:t>5</w:t>
            </w:r>
            <w:r>
              <w:rPr>
                <w:rFonts w:hint="eastAsia" w:ascii="宋体" w:hAnsi="宋体" w:cs="宋体"/>
                <w:snapToGrid w:val="0"/>
                <w:color w:val="auto"/>
                <w:sz w:val="24"/>
                <w:szCs w:val="24"/>
                <w:highlight w:val="none"/>
              </w:rPr>
              <w:t>日前，在磋商公告发布的媒体上发布更正公告。本项目磋商文件和补充（答疑、澄清）、修改文件等请自行登录浙江政府采购网或绍兴市上虞区公共资源交易中心网站查看。</w:t>
            </w:r>
          </w:p>
        </w:tc>
      </w:tr>
      <w:tr w14:paraId="748B51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5C75B63">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8</w:t>
            </w:r>
          </w:p>
        </w:tc>
        <w:tc>
          <w:tcPr>
            <w:tcW w:w="1800" w:type="dxa"/>
            <w:vAlign w:val="center"/>
          </w:tcPr>
          <w:p w14:paraId="1906F346">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磋商响应文件组成</w:t>
            </w:r>
          </w:p>
        </w:tc>
        <w:tc>
          <w:tcPr>
            <w:tcW w:w="6682" w:type="dxa"/>
            <w:vAlign w:val="center"/>
          </w:tcPr>
          <w:p w14:paraId="630E79C8">
            <w:pPr>
              <w:snapToGrid w:val="0"/>
              <w:ind w:firstLine="480" w:firstLineChars="200"/>
              <w:rPr>
                <w:rFonts w:ascii="宋体"/>
                <w:snapToGrid w:val="0"/>
                <w:color w:val="auto"/>
                <w:sz w:val="24"/>
                <w:szCs w:val="24"/>
                <w:highlight w:val="none"/>
              </w:rPr>
            </w:pPr>
            <w:r>
              <w:rPr>
                <w:rFonts w:hint="eastAsia" w:ascii="宋体" w:hAnsi="宋体" w:cs="宋体"/>
                <w:snapToGrid w:val="0"/>
                <w:color w:val="auto"/>
                <w:sz w:val="24"/>
                <w:szCs w:val="24"/>
                <w:highlight w:val="none"/>
              </w:rPr>
              <w:t>供应商向采购人递交的响应文件由资格文件、商务技术文件、报价文件三部分组成。</w:t>
            </w:r>
          </w:p>
        </w:tc>
      </w:tr>
      <w:tr w14:paraId="39028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648" w:type="dxa"/>
            <w:vAlign w:val="center"/>
          </w:tcPr>
          <w:p w14:paraId="145CF789">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9</w:t>
            </w:r>
          </w:p>
        </w:tc>
        <w:tc>
          <w:tcPr>
            <w:tcW w:w="1800" w:type="dxa"/>
            <w:vAlign w:val="center"/>
          </w:tcPr>
          <w:p w14:paraId="0E764C99">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评标办法</w:t>
            </w:r>
          </w:p>
        </w:tc>
        <w:tc>
          <w:tcPr>
            <w:tcW w:w="6682" w:type="dxa"/>
            <w:vAlign w:val="center"/>
          </w:tcPr>
          <w:p w14:paraId="5716D486">
            <w:pPr>
              <w:snapToGrid w:val="0"/>
              <w:ind w:firstLine="480" w:firstLineChars="200"/>
              <w:rPr>
                <w:rFonts w:ascii="宋体"/>
                <w:snapToGrid w:val="0"/>
                <w:color w:val="auto"/>
                <w:sz w:val="24"/>
                <w:szCs w:val="24"/>
                <w:highlight w:val="none"/>
              </w:rPr>
            </w:pPr>
            <w:r>
              <w:rPr>
                <w:rFonts w:hint="eastAsia" w:ascii="宋体" w:hAnsi="宋体" w:cs="宋体"/>
                <w:snapToGrid w:val="0"/>
                <w:color w:val="auto"/>
                <w:sz w:val="24"/>
                <w:szCs w:val="24"/>
                <w:highlight w:val="none"/>
              </w:rPr>
              <w:t>综合评分法</w:t>
            </w:r>
          </w:p>
        </w:tc>
      </w:tr>
      <w:tr w14:paraId="7BECC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ABFBB4">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10</w:t>
            </w:r>
          </w:p>
        </w:tc>
        <w:tc>
          <w:tcPr>
            <w:tcW w:w="1800" w:type="dxa"/>
            <w:vAlign w:val="center"/>
          </w:tcPr>
          <w:p w14:paraId="11C9C146">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磋商响应文件递交地址及截止时间</w:t>
            </w:r>
          </w:p>
        </w:tc>
        <w:tc>
          <w:tcPr>
            <w:tcW w:w="6682" w:type="dxa"/>
            <w:vAlign w:val="center"/>
          </w:tcPr>
          <w:p w14:paraId="603FF563">
            <w:pPr>
              <w:snapToGrid w:val="0"/>
              <w:ind w:firstLine="480" w:firstLineChars="200"/>
              <w:rPr>
                <w:rFonts w:ascii="宋体"/>
                <w:color w:val="auto"/>
                <w:sz w:val="24"/>
                <w:szCs w:val="24"/>
                <w:highlight w:val="none"/>
              </w:rPr>
            </w:pPr>
            <w:r>
              <w:rPr>
                <w:rFonts w:hint="eastAsia" w:ascii="宋体" w:hAnsi="宋体" w:cs="宋体"/>
                <w:snapToGrid w:val="0"/>
                <w:color w:val="auto"/>
                <w:sz w:val="24"/>
                <w:szCs w:val="24"/>
                <w:highlight w:val="none"/>
              </w:rPr>
              <w:t>详见磋商公告</w:t>
            </w:r>
          </w:p>
        </w:tc>
      </w:tr>
      <w:tr w14:paraId="15D3F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32A17BC">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11</w:t>
            </w:r>
          </w:p>
        </w:tc>
        <w:tc>
          <w:tcPr>
            <w:tcW w:w="1800" w:type="dxa"/>
            <w:vAlign w:val="center"/>
          </w:tcPr>
          <w:p w14:paraId="0D0C73D4">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开标时间、地点</w:t>
            </w:r>
          </w:p>
        </w:tc>
        <w:tc>
          <w:tcPr>
            <w:tcW w:w="6682" w:type="dxa"/>
            <w:vAlign w:val="center"/>
          </w:tcPr>
          <w:p w14:paraId="6DB08BE6">
            <w:pPr>
              <w:snapToGrid w:val="0"/>
              <w:ind w:firstLine="480" w:firstLineChars="200"/>
              <w:rPr>
                <w:rFonts w:ascii="宋体"/>
                <w:snapToGrid w:val="0"/>
                <w:color w:val="auto"/>
                <w:sz w:val="24"/>
                <w:szCs w:val="24"/>
                <w:highlight w:val="none"/>
              </w:rPr>
            </w:pPr>
            <w:r>
              <w:rPr>
                <w:rFonts w:hint="eastAsia" w:ascii="宋体" w:hAnsi="宋体" w:cs="宋体"/>
                <w:snapToGrid w:val="0"/>
                <w:color w:val="auto"/>
                <w:sz w:val="24"/>
                <w:szCs w:val="24"/>
                <w:highlight w:val="none"/>
              </w:rPr>
              <w:t>开标时间：</w:t>
            </w:r>
            <w:r>
              <w:rPr>
                <w:rFonts w:hint="eastAsia" w:ascii="宋体" w:hAnsi="宋体" w:cs="宋体"/>
                <w:color w:val="auto"/>
                <w:sz w:val="24"/>
                <w:szCs w:val="24"/>
                <w:highlight w:val="none"/>
              </w:rPr>
              <w:t>详见磋商公告</w:t>
            </w:r>
          </w:p>
          <w:p w14:paraId="53C32F8C">
            <w:pPr>
              <w:snapToGrid w:val="0"/>
              <w:ind w:firstLine="480" w:firstLineChars="200"/>
              <w:rPr>
                <w:rFonts w:ascii="宋体"/>
                <w:color w:val="auto"/>
                <w:sz w:val="24"/>
                <w:szCs w:val="24"/>
                <w:highlight w:val="none"/>
              </w:rPr>
            </w:pPr>
            <w:r>
              <w:rPr>
                <w:rFonts w:hint="eastAsia" w:ascii="宋体" w:hAnsi="宋体" w:cs="宋体"/>
                <w:snapToGrid w:val="0"/>
                <w:color w:val="auto"/>
                <w:sz w:val="24"/>
                <w:szCs w:val="24"/>
                <w:highlight w:val="none"/>
              </w:rPr>
              <w:t>开标地点：</w:t>
            </w:r>
            <w:r>
              <w:rPr>
                <w:rFonts w:hint="eastAsia" w:ascii="宋体" w:hAnsi="宋体" w:cs="宋体"/>
                <w:color w:val="auto"/>
                <w:sz w:val="24"/>
                <w:szCs w:val="24"/>
                <w:highlight w:val="none"/>
              </w:rPr>
              <w:t>详见磋商公告</w:t>
            </w:r>
          </w:p>
        </w:tc>
      </w:tr>
      <w:tr w14:paraId="61197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42D3374F">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12</w:t>
            </w:r>
          </w:p>
        </w:tc>
        <w:tc>
          <w:tcPr>
            <w:tcW w:w="1800" w:type="dxa"/>
            <w:vAlign w:val="center"/>
          </w:tcPr>
          <w:p w14:paraId="37D2A3E5">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磋商响应文件有效期</w:t>
            </w:r>
          </w:p>
        </w:tc>
        <w:tc>
          <w:tcPr>
            <w:tcW w:w="6682" w:type="dxa"/>
            <w:vAlign w:val="center"/>
          </w:tcPr>
          <w:p w14:paraId="7628FAF5">
            <w:pPr>
              <w:snapToGrid w:val="0"/>
              <w:ind w:firstLine="480" w:firstLineChars="200"/>
              <w:rPr>
                <w:rFonts w:ascii="宋体"/>
                <w:snapToGrid w:val="0"/>
                <w:color w:val="auto"/>
                <w:sz w:val="24"/>
                <w:szCs w:val="24"/>
                <w:highlight w:val="none"/>
              </w:rPr>
            </w:pPr>
            <w:r>
              <w:rPr>
                <w:rFonts w:hint="eastAsia" w:ascii="宋体" w:hAnsi="宋体" w:cs="宋体"/>
                <w:snapToGrid w:val="0"/>
                <w:color w:val="auto"/>
                <w:sz w:val="24"/>
                <w:szCs w:val="24"/>
                <w:highlight w:val="none"/>
              </w:rPr>
              <w:t>响应文件有效期为从提交响应文件的截止之日起</w:t>
            </w:r>
            <w:r>
              <w:rPr>
                <w:rFonts w:ascii="宋体" w:hAnsi="宋体" w:cs="宋体"/>
                <w:snapToGrid w:val="0"/>
                <w:color w:val="auto"/>
                <w:sz w:val="24"/>
                <w:szCs w:val="24"/>
                <w:highlight w:val="none"/>
              </w:rPr>
              <w:t>90</w:t>
            </w:r>
            <w:r>
              <w:rPr>
                <w:rFonts w:hint="eastAsia" w:ascii="宋体" w:hAnsi="宋体" w:cs="宋体"/>
                <w:snapToGrid w:val="0"/>
                <w:color w:val="auto"/>
                <w:sz w:val="24"/>
                <w:szCs w:val="24"/>
                <w:highlight w:val="none"/>
              </w:rPr>
              <w:t>天。供应商的响应文件中承诺的响应文件有效期少于磋商文件中载明的响应文件有效期的，磋商无效。</w:t>
            </w:r>
          </w:p>
        </w:tc>
      </w:tr>
      <w:tr w14:paraId="7ECF5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4488F91">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13</w:t>
            </w:r>
          </w:p>
        </w:tc>
        <w:tc>
          <w:tcPr>
            <w:tcW w:w="1800" w:type="dxa"/>
            <w:vAlign w:val="center"/>
          </w:tcPr>
          <w:p w14:paraId="742EF375">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履约保证金</w:t>
            </w:r>
          </w:p>
        </w:tc>
        <w:tc>
          <w:tcPr>
            <w:tcW w:w="6682" w:type="dxa"/>
            <w:vAlign w:val="center"/>
          </w:tcPr>
          <w:p w14:paraId="15885CD1">
            <w:pPr>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乙方在收到中标通知书后，需向甲方提供合同总价1%的履约保证金，在乙方与甲方签订合同前递交。（乙方应当以支票、汇票、本票或者金融机构、保险公司、担保机构出具的保函等非现金形式提交）</w:t>
            </w:r>
          </w:p>
          <w:p w14:paraId="2F5CDF1A">
            <w:pPr>
              <w:spacing w:line="240" w:lineRule="auto"/>
              <w:ind w:firstLine="480" w:firstLineChars="200"/>
              <w:rPr>
                <w:rFonts w:hint="eastAsia" w:hAnsi="宋体" w:eastAsia="宋体" w:cs="Times New Roman"/>
                <w:color w:val="auto"/>
                <w:sz w:val="24"/>
                <w:szCs w:val="24"/>
                <w:highlight w:val="none"/>
                <w:lang w:eastAsia="zh-CN"/>
              </w:rPr>
            </w:pPr>
            <w:r>
              <w:rPr>
                <w:rFonts w:hint="eastAsia" w:ascii="宋体" w:hAnsi="宋体" w:cs="宋体"/>
                <w:color w:val="auto"/>
                <w:sz w:val="24"/>
                <w:szCs w:val="24"/>
                <w:highlight w:val="none"/>
              </w:rPr>
              <w:t>甲方在服务期结束后向乙方无息退还全额履约保证金（不计息）。</w:t>
            </w:r>
          </w:p>
        </w:tc>
      </w:tr>
      <w:tr w14:paraId="10170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F3EFB83">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14</w:t>
            </w:r>
          </w:p>
        </w:tc>
        <w:tc>
          <w:tcPr>
            <w:tcW w:w="1800" w:type="dxa"/>
            <w:vAlign w:val="center"/>
          </w:tcPr>
          <w:p w14:paraId="4385714C">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磋商公告及成交结果公告发布媒体</w:t>
            </w:r>
          </w:p>
        </w:tc>
        <w:tc>
          <w:tcPr>
            <w:tcW w:w="6682" w:type="dxa"/>
            <w:vAlign w:val="center"/>
          </w:tcPr>
          <w:p w14:paraId="6CE78F57">
            <w:pPr>
              <w:pStyle w:val="15"/>
              <w:snapToGrid w:val="0"/>
              <w:ind w:firstLine="480" w:firstLineChars="200"/>
              <w:rPr>
                <w:rFonts w:hAnsi="宋体" w:cs="Times New Roman"/>
                <w:color w:val="auto"/>
                <w:sz w:val="24"/>
                <w:szCs w:val="24"/>
                <w:highlight w:val="none"/>
              </w:rPr>
            </w:pPr>
            <w:r>
              <w:rPr>
                <w:rFonts w:hint="eastAsia" w:hAnsi="宋体"/>
                <w:color w:val="auto"/>
                <w:sz w:val="24"/>
                <w:szCs w:val="24"/>
                <w:highlight w:val="none"/>
              </w:rPr>
              <w:t>浙江省政府采购网、</w:t>
            </w:r>
            <w:r>
              <w:rPr>
                <w:rFonts w:hAnsi="宋体"/>
                <w:color w:val="auto"/>
                <w:sz w:val="24"/>
                <w:szCs w:val="24"/>
                <w:highlight w:val="none"/>
              </w:rPr>
              <w:t xml:space="preserve"> </w:t>
            </w:r>
            <w:r>
              <w:rPr>
                <w:rFonts w:hint="eastAsia" w:hAnsi="宋体"/>
                <w:color w:val="auto"/>
                <w:sz w:val="24"/>
                <w:szCs w:val="24"/>
                <w:highlight w:val="none"/>
              </w:rPr>
              <w:t>绍兴市上虞区公共资源交易中心网站</w:t>
            </w:r>
          </w:p>
        </w:tc>
      </w:tr>
      <w:tr w14:paraId="79B5E9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7ABB744">
            <w:pPr>
              <w:snapToGrid w:val="0"/>
              <w:jc w:val="center"/>
              <w:rPr>
                <w:rFonts w:ascii="宋体"/>
                <w:color w:val="auto"/>
                <w:sz w:val="24"/>
                <w:szCs w:val="24"/>
                <w:highlight w:val="none"/>
              </w:rPr>
            </w:pPr>
            <w:r>
              <w:rPr>
                <w:rFonts w:ascii="宋体" w:hAnsi="宋体" w:cs="宋体"/>
                <w:color w:val="auto"/>
                <w:sz w:val="24"/>
                <w:szCs w:val="24"/>
                <w:highlight w:val="none"/>
              </w:rPr>
              <w:t>15</w:t>
            </w:r>
          </w:p>
        </w:tc>
        <w:tc>
          <w:tcPr>
            <w:tcW w:w="1800" w:type="dxa"/>
            <w:vAlign w:val="center"/>
          </w:tcPr>
          <w:p w14:paraId="7D7FDF58">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质疑</w:t>
            </w:r>
          </w:p>
        </w:tc>
        <w:tc>
          <w:tcPr>
            <w:tcW w:w="6682" w:type="dxa"/>
            <w:vAlign w:val="center"/>
          </w:tcPr>
          <w:p w14:paraId="34343C49">
            <w:pPr>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根据《中华人民共和国政府采购法》第五十二条、《中华人民共和国政府采购法实施条例》第五十三条、《浙江省政府采购供应商质疑处理办法》的规定：</w:t>
            </w:r>
          </w:p>
          <w:p w14:paraId="433B88F5">
            <w:pPr>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供应商认为磋商文件使自己的权益受到损害的，可以在磋商文件公告期限届满之日起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个工作日内，以书面形式向采购人和采购代理机构提出质疑。供应商在法定质疑期内应一次性提出针对同一采购程序环节的质疑。</w:t>
            </w:r>
          </w:p>
          <w:p w14:paraId="33C8EA0F">
            <w:pPr>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供应商如认为采购过程使自身的合法权益受到损害的，应于各采购程序环节结束之日起七个工作日内以书面形式向采购机构提出质疑；</w:t>
            </w:r>
          </w:p>
          <w:p w14:paraId="0410DBD1">
            <w:pPr>
              <w:snapToGrid w:val="0"/>
              <w:ind w:firstLine="480" w:firstLineChars="200"/>
              <w:jc w:val="left"/>
              <w:rPr>
                <w:rFonts w:ascii="宋体"/>
                <w:snapToGrid w:val="0"/>
                <w:color w:val="auto"/>
                <w:sz w:val="24"/>
                <w:szCs w:val="24"/>
                <w:highlight w:val="none"/>
              </w:rPr>
            </w:pPr>
            <w:r>
              <w:rPr>
                <w:rFonts w:hint="eastAsia" w:ascii="宋体" w:hAnsi="宋体" w:cs="宋体"/>
                <w:color w:val="auto"/>
                <w:sz w:val="24"/>
                <w:szCs w:val="24"/>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sz w:val="24"/>
                <w:szCs w:val="24"/>
                <w:highlight w:val="none"/>
              </w:rPr>
              <w:t>。</w:t>
            </w:r>
          </w:p>
        </w:tc>
      </w:tr>
      <w:tr w14:paraId="177676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D5958C">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16</w:t>
            </w:r>
          </w:p>
        </w:tc>
        <w:tc>
          <w:tcPr>
            <w:tcW w:w="1800" w:type="dxa"/>
            <w:vAlign w:val="center"/>
          </w:tcPr>
          <w:p w14:paraId="2AD315F8">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投诉</w:t>
            </w:r>
          </w:p>
        </w:tc>
        <w:tc>
          <w:tcPr>
            <w:tcW w:w="6682" w:type="dxa"/>
            <w:vAlign w:val="center"/>
          </w:tcPr>
          <w:p w14:paraId="6CC4BF32">
            <w:pPr>
              <w:snapToGrid w:val="0"/>
              <w:ind w:firstLine="480" w:firstLineChars="200"/>
              <w:jc w:val="left"/>
              <w:rPr>
                <w:rFonts w:ascii="宋体"/>
                <w:snapToGrid w:val="0"/>
                <w:color w:val="auto"/>
                <w:sz w:val="24"/>
                <w:szCs w:val="24"/>
                <w:highlight w:val="none"/>
              </w:rPr>
            </w:pPr>
            <w:r>
              <w:rPr>
                <w:rFonts w:hint="eastAsia" w:ascii="宋体" w:hAnsi="宋体" w:cs="宋体"/>
                <w:snapToGrid w:val="0"/>
                <w:color w:val="auto"/>
                <w:sz w:val="24"/>
                <w:szCs w:val="24"/>
                <w:highlight w:val="none"/>
              </w:rPr>
              <w:t>根据《</w:t>
            </w:r>
            <w:r>
              <w:rPr>
                <w:rFonts w:hint="eastAsia" w:ascii="宋体" w:hAnsi="宋体" w:cs="宋体"/>
                <w:color w:val="auto"/>
                <w:sz w:val="24"/>
                <w:szCs w:val="24"/>
                <w:highlight w:val="none"/>
              </w:rPr>
              <w:t>中华人民共和国政府采购法</w:t>
            </w:r>
            <w:r>
              <w:rPr>
                <w:rFonts w:hint="eastAsia" w:ascii="宋体" w:hAnsi="宋体" w:cs="宋体"/>
                <w:snapToGrid w:val="0"/>
                <w:color w:val="auto"/>
                <w:sz w:val="24"/>
                <w:szCs w:val="24"/>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0F2D3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009903C">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17</w:t>
            </w:r>
          </w:p>
        </w:tc>
        <w:tc>
          <w:tcPr>
            <w:tcW w:w="1800" w:type="dxa"/>
            <w:vAlign w:val="center"/>
          </w:tcPr>
          <w:p w14:paraId="518858A6">
            <w:pPr>
              <w:snapToGrid w:val="0"/>
              <w:jc w:val="center"/>
              <w:rPr>
                <w:rFonts w:ascii="宋体"/>
                <w:snapToGrid w:val="0"/>
                <w:color w:val="auto"/>
                <w:sz w:val="24"/>
                <w:szCs w:val="24"/>
                <w:highlight w:val="none"/>
              </w:rPr>
            </w:pPr>
            <w:r>
              <w:rPr>
                <w:rFonts w:hint="eastAsia" w:ascii="宋体" w:hAnsi="宋体" w:cs="宋体"/>
                <w:snapToGrid w:val="0"/>
                <w:color w:val="auto"/>
                <w:sz w:val="24"/>
                <w:szCs w:val="24"/>
                <w:highlight w:val="none"/>
              </w:rPr>
              <w:t>特别说明</w:t>
            </w:r>
          </w:p>
        </w:tc>
        <w:tc>
          <w:tcPr>
            <w:tcW w:w="6682" w:type="dxa"/>
            <w:vAlign w:val="center"/>
          </w:tcPr>
          <w:p w14:paraId="11655201">
            <w:pPr>
              <w:pStyle w:val="15"/>
              <w:snapToGrid w:val="0"/>
              <w:ind w:firstLine="480" w:firstLineChars="200"/>
              <w:rPr>
                <w:rFonts w:hAnsi="宋体" w:cs="Times New Roman"/>
                <w:color w:val="auto"/>
                <w:sz w:val="24"/>
                <w:szCs w:val="24"/>
                <w:highlight w:val="none"/>
              </w:rPr>
            </w:pPr>
            <w:r>
              <w:rPr>
                <w:rFonts w:hint="eastAsia" w:hAnsi="宋体"/>
                <w:color w:val="auto"/>
                <w:sz w:val="24"/>
                <w:szCs w:val="24"/>
                <w:highlight w:val="none"/>
              </w:rPr>
              <w:t>供应商应无条件地、认真仔细地阅读本磋商文件及其澄清答疑、修改答复的补充文件，严格按照磋商文件及补充文件的规定和要求编制响应文件。在编制响应文件过程中，应严格遵循实事求是、诚信投标的原则，对磋商文件中的采购需求、合同条款等各项内容进行确认，如有偏离，应如实填写响应偏离表。</w:t>
            </w:r>
          </w:p>
          <w:p w14:paraId="1B984C31">
            <w:pPr>
              <w:pStyle w:val="15"/>
              <w:snapToGrid w:val="0"/>
              <w:ind w:firstLine="480" w:firstLineChars="200"/>
              <w:rPr>
                <w:rFonts w:hAnsi="宋体" w:cs="Times New Roman"/>
                <w:color w:val="auto"/>
                <w:sz w:val="24"/>
                <w:szCs w:val="24"/>
                <w:highlight w:val="none"/>
              </w:rPr>
            </w:pPr>
            <w:r>
              <w:rPr>
                <w:rFonts w:hint="eastAsia" w:hAnsi="宋体"/>
                <w:color w:val="auto"/>
                <w:sz w:val="24"/>
                <w:szCs w:val="24"/>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286EC7E6">
            <w:pPr>
              <w:pStyle w:val="15"/>
              <w:snapToGrid w:val="0"/>
              <w:ind w:firstLine="480" w:firstLineChars="200"/>
              <w:rPr>
                <w:rFonts w:hAnsi="宋体" w:cs="Times New Roman"/>
                <w:color w:val="auto"/>
                <w:sz w:val="24"/>
                <w:szCs w:val="24"/>
                <w:highlight w:val="none"/>
              </w:rPr>
            </w:pPr>
            <w:r>
              <w:rPr>
                <w:rFonts w:hint="eastAsia" w:hAnsi="宋体"/>
                <w:color w:val="auto"/>
                <w:sz w:val="24"/>
                <w:szCs w:val="24"/>
                <w:highlight w:val="none"/>
              </w:rPr>
              <w:t>质疑、投诉人未按前列进行质疑、投诉（申诉），均属于扰乱政府采购市场不良行为。</w:t>
            </w:r>
          </w:p>
          <w:p w14:paraId="0DD4FE84">
            <w:pPr>
              <w:pStyle w:val="15"/>
              <w:snapToGrid w:val="0"/>
              <w:ind w:firstLine="480" w:firstLineChars="200"/>
              <w:rPr>
                <w:rFonts w:hAnsi="宋体" w:cs="Times New Roman"/>
                <w:b/>
                <w:bCs/>
                <w:color w:val="auto"/>
                <w:sz w:val="24"/>
                <w:szCs w:val="24"/>
                <w:highlight w:val="none"/>
              </w:rPr>
            </w:pPr>
            <w:r>
              <w:rPr>
                <w:rFonts w:hint="eastAsia" w:hAnsi="宋体"/>
                <w:color w:val="auto"/>
                <w:sz w:val="24"/>
                <w:szCs w:val="24"/>
                <w:highlight w:val="none"/>
              </w:rPr>
              <w:t>磋商文件中凡标注“★”的条款均为实质性要求，不响应的响应文件将作无效标处理。</w:t>
            </w:r>
          </w:p>
        </w:tc>
      </w:tr>
      <w:tr w14:paraId="61CDC0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558E88CE">
            <w:pPr>
              <w:snapToGrid w:val="0"/>
              <w:jc w:val="center"/>
              <w:rPr>
                <w:rFonts w:ascii="宋体"/>
                <w:snapToGrid w:val="0"/>
                <w:color w:val="auto"/>
                <w:sz w:val="24"/>
                <w:szCs w:val="24"/>
                <w:highlight w:val="none"/>
              </w:rPr>
            </w:pPr>
            <w:r>
              <w:rPr>
                <w:rFonts w:ascii="宋体" w:hAnsi="宋体" w:cs="宋体"/>
                <w:snapToGrid w:val="0"/>
                <w:color w:val="auto"/>
                <w:sz w:val="24"/>
                <w:szCs w:val="24"/>
                <w:highlight w:val="none"/>
              </w:rPr>
              <w:t>1</w:t>
            </w:r>
            <w:r>
              <w:rPr>
                <w:rFonts w:hint="eastAsia" w:ascii="宋体" w:hAnsi="宋体" w:cs="宋体"/>
                <w:snapToGrid w:val="0"/>
                <w:color w:val="auto"/>
                <w:sz w:val="24"/>
                <w:szCs w:val="24"/>
                <w:highlight w:val="none"/>
              </w:rPr>
              <w:t>8</w:t>
            </w:r>
          </w:p>
        </w:tc>
        <w:tc>
          <w:tcPr>
            <w:tcW w:w="1800" w:type="dxa"/>
            <w:vAlign w:val="center"/>
          </w:tcPr>
          <w:p w14:paraId="14911045">
            <w:pPr>
              <w:snapToGrid w:val="0"/>
              <w:jc w:val="center"/>
              <w:rPr>
                <w:rFonts w:ascii="宋体"/>
                <w:color w:val="auto"/>
                <w:sz w:val="24"/>
                <w:szCs w:val="24"/>
                <w:highlight w:val="none"/>
              </w:rPr>
            </w:pPr>
            <w:r>
              <w:rPr>
                <w:rFonts w:hint="eastAsia" w:ascii="宋体" w:hAnsi="宋体" w:cs="宋体"/>
                <w:color w:val="auto"/>
                <w:sz w:val="24"/>
                <w:szCs w:val="24"/>
                <w:highlight w:val="none"/>
              </w:rPr>
              <w:t>支</w:t>
            </w:r>
          </w:p>
          <w:p w14:paraId="53DB37D9">
            <w:pPr>
              <w:snapToGrid w:val="0"/>
              <w:jc w:val="center"/>
              <w:rPr>
                <w:rFonts w:ascii="宋体"/>
                <w:color w:val="auto"/>
                <w:sz w:val="24"/>
                <w:szCs w:val="24"/>
                <w:highlight w:val="none"/>
              </w:rPr>
            </w:pPr>
            <w:r>
              <w:rPr>
                <w:rFonts w:hint="eastAsia" w:ascii="宋体" w:hAnsi="宋体" w:cs="宋体"/>
                <w:color w:val="auto"/>
                <w:sz w:val="24"/>
                <w:szCs w:val="24"/>
                <w:highlight w:val="none"/>
              </w:rPr>
              <w:t>持</w:t>
            </w:r>
          </w:p>
          <w:p w14:paraId="76EB93C5">
            <w:pPr>
              <w:snapToGrid w:val="0"/>
              <w:jc w:val="center"/>
              <w:rPr>
                <w:rFonts w:ascii="宋体"/>
                <w:color w:val="auto"/>
                <w:sz w:val="24"/>
                <w:szCs w:val="24"/>
                <w:highlight w:val="none"/>
              </w:rPr>
            </w:pPr>
            <w:r>
              <w:rPr>
                <w:rFonts w:hint="eastAsia" w:ascii="宋体" w:hAnsi="宋体" w:cs="宋体"/>
                <w:color w:val="auto"/>
                <w:sz w:val="24"/>
                <w:szCs w:val="24"/>
                <w:highlight w:val="none"/>
              </w:rPr>
              <w:t>中</w:t>
            </w:r>
          </w:p>
          <w:p w14:paraId="0262ED0B">
            <w:pPr>
              <w:snapToGrid w:val="0"/>
              <w:jc w:val="center"/>
              <w:rPr>
                <w:rFonts w:ascii="宋体"/>
                <w:color w:val="auto"/>
                <w:sz w:val="24"/>
                <w:szCs w:val="24"/>
                <w:highlight w:val="none"/>
              </w:rPr>
            </w:pPr>
            <w:r>
              <w:rPr>
                <w:rFonts w:hint="eastAsia" w:ascii="宋体" w:hAnsi="宋体" w:cs="宋体"/>
                <w:color w:val="auto"/>
                <w:sz w:val="24"/>
                <w:szCs w:val="24"/>
                <w:highlight w:val="none"/>
              </w:rPr>
              <w:t>小</w:t>
            </w:r>
          </w:p>
          <w:p w14:paraId="18EF2520">
            <w:pPr>
              <w:snapToGrid w:val="0"/>
              <w:jc w:val="center"/>
              <w:rPr>
                <w:rFonts w:ascii="宋体"/>
                <w:color w:val="auto"/>
                <w:sz w:val="24"/>
                <w:szCs w:val="24"/>
                <w:highlight w:val="none"/>
              </w:rPr>
            </w:pPr>
            <w:r>
              <w:rPr>
                <w:rFonts w:hint="eastAsia" w:ascii="宋体" w:hAnsi="宋体" w:cs="宋体"/>
                <w:color w:val="auto"/>
                <w:sz w:val="24"/>
                <w:szCs w:val="24"/>
                <w:highlight w:val="none"/>
              </w:rPr>
              <w:t>企</w:t>
            </w:r>
          </w:p>
          <w:p w14:paraId="52EC9D83">
            <w:pPr>
              <w:snapToGrid w:val="0"/>
              <w:jc w:val="center"/>
              <w:rPr>
                <w:rFonts w:ascii="宋体"/>
                <w:color w:val="auto"/>
                <w:sz w:val="24"/>
                <w:szCs w:val="24"/>
                <w:highlight w:val="none"/>
              </w:rPr>
            </w:pPr>
            <w:r>
              <w:rPr>
                <w:rFonts w:hint="eastAsia" w:ascii="宋体" w:hAnsi="宋体" w:cs="宋体"/>
                <w:color w:val="auto"/>
                <w:sz w:val="24"/>
                <w:szCs w:val="24"/>
                <w:highlight w:val="none"/>
              </w:rPr>
              <w:t>业</w:t>
            </w:r>
          </w:p>
        </w:tc>
        <w:tc>
          <w:tcPr>
            <w:tcW w:w="6682" w:type="dxa"/>
            <w:vAlign w:val="center"/>
          </w:tcPr>
          <w:p w14:paraId="76F64974">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19E709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符合中小企业划分标准的个体工商户，在政府采购活动中视同中小企业。</w:t>
            </w:r>
          </w:p>
          <w:p w14:paraId="2697719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6616FE38">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在服务采购项目中，服务由小微企业承接，即提供服务的人员为小微企业依照《中华人民共和国劳动合同法》订立劳动合同的从业人员。</w:t>
            </w:r>
          </w:p>
          <w:p w14:paraId="789FF1C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联合体各方均为小型、微型企业的，联合体视同为小型、微型企业。</w:t>
            </w:r>
          </w:p>
          <w:p w14:paraId="78D4C7A8">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1F4F4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02F1C120">
            <w:pPr>
              <w:ind w:firstLine="480" w:firstLineChars="200"/>
              <w:rPr>
                <w:rFonts w:ascii="宋体"/>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组成联合体或者接受分包的小微企业与联合体内其他企业、分包企业之间存在直接控股、管理关系的，不享受价格扣除优惠政策。</w:t>
            </w:r>
          </w:p>
        </w:tc>
      </w:tr>
      <w:tr w14:paraId="3325AB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5168285C">
            <w:pPr>
              <w:shd w:val="clear"/>
              <w:snapToGrid w:val="0"/>
              <w:jc w:val="center"/>
              <w:rPr>
                <w:rFonts w:ascii="宋体" w:hAnsi="宋体" w:cs="宋体"/>
                <w:snapToGrid w:val="0"/>
                <w:color w:val="auto"/>
                <w:sz w:val="24"/>
                <w:szCs w:val="24"/>
                <w:highlight w:val="none"/>
              </w:rPr>
            </w:pPr>
            <w:r>
              <w:rPr>
                <w:rFonts w:hint="eastAsia" w:ascii="宋体" w:hAnsi="宋体" w:eastAsia="宋体" w:cs="宋体"/>
                <w:snapToGrid w:val="0"/>
                <w:color w:val="auto"/>
                <w:kern w:val="0"/>
                <w:sz w:val="24"/>
                <w:szCs w:val="24"/>
                <w:highlight w:val="none"/>
              </w:rPr>
              <w:t>19</w:t>
            </w:r>
          </w:p>
        </w:tc>
        <w:tc>
          <w:tcPr>
            <w:tcW w:w="1800" w:type="dxa"/>
            <w:vAlign w:val="center"/>
          </w:tcPr>
          <w:p w14:paraId="47A5F9FE">
            <w:pPr>
              <w:shd w:val="clear"/>
              <w:snapToGrid w:val="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682" w:type="dxa"/>
            <w:vAlign w:val="center"/>
          </w:tcPr>
          <w:p w14:paraId="1EEE0EA9">
            <w:pPr>
              <w:autoSpaceDN w:val="0"/>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招标代理服务费由成交供应商支付，按下列服务招标计算方式（差额定律累进法）</w:t>
            </w:r>
            <w:r>
              <w:rPr>
                <w:rFonts w:hint="eastAsia" w:ascii="宋体" w:hAnsi="宋体" w:cs="宋体"/>
                <w:color w:val="auto"/>
                <w:sz w:val="24"/>
                <w:szCs w:val="24"/>
                <w:highlight w:val="none"/>
                <w:lang w:val="en-US" w:eastAsia="zh-CN"/>
              </w:rPr>
              <w:t>7折</w:t>
            </w:r>
            <w:r>
              <w:rPr>
                <w:rFonts w:hint="eastAsia" w:ascii="宋体" w:hAnsi="宋体" w:eastAsia="宋体" w:cs="宋体"/>
                <w:color w:val="auto"/>
                <w:sz w:val="24"/>
                <w:szCs w:val="24"/>
                <w:highlight w:val="none"/>
              </w:rPr>
              <w:t>计取。</w:t>
            </w:r>
          </w:p>
          <w:tbl>
            <w:tblPr>
              <w:tblStyle w:val="27"/>
              <w:tblW w:w="610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0"/>
              <w:gridCol w:w="1008"/>
              <w:gridCol w:w="1008"/>
              <w:gridCol w:w="977"/>
            </w:tblGrid>
            <w:tr w14:paraId="2E9D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jc w:val="center"/>
              </w:trPr>
              <w:tc>
                <w:tcPr>
                  <w:tcW w:w="3110" w:type="dxa"/>
                  <w:tcBorders>
                    <w:tl2br w:val="nil"/>
                    <w:tr2bl w:val="nil"/>
                  </w:tcBorders>
                  <w:noWrap w:val="0"/>
                  <w:vAlign w:val="center"/>
                </w:tcPr>
                <w:p w14:paraId="225663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服务类型 中标金额（万元）</w:t>
                  </w:r>
                </w:p>
              </w:tc>
              <w:tc>
                <w:tcPr>
                  <w:tcW w:w="1008" w:type="dxa"/>
                  <w:tcBorders>
                    <w:tl2br w:val="nil"/>
                    <w:tr2bl w:val="nil"/>
                  </w:tcBorders>
                  <w:noWrap w:val="0"/>
                  <w:vAlign w:val="center"/>
                </w:tcPr>
                <w:p w14:paraId="26E2215C">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货物招标</w:t>
                  </w:r>
                </w:p>
              </w:tc>
              <w:tc>
                <w:tcPr>
                  <w:tcW w:w="1008" w:type="dxa"/>
                  <w:tcBorders>
                    <w:tl2br w:val="nil"/>
                    <w:tr2bl w:val="nil"/>
                  </w:tcBorders>
                  <w:noWrap w:val="0"/>
                  <w:vAlign w:val="center"/>
                </w:tcPr>
                <w:p w14:paraId="145BC9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977" w:type="dxa"/>
                  <w:tcBorders>
                    <w:tl2br w:val="nil"/>
                    <w:tr2bl w:val="nil"/>
                  </w:tcBorders>
                  <w:noWrap w:val="0"/>
                  <w:vAlign w:val="center"/>
                </w:tcPr>
                <w:p w14:paraId="63C55B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14:paraId="3EC8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3110" w:type="dxa"/>
                  <w:tcBorders>
                    <w:tl2br w:val="nil"/>
                    <w:tr2bl w:val="nil"/>
                  </w:tcBorders>
                  <w:noWrap w:val="0"/>
                  <w:vAlign w:val="center"/>
                </w:tcPr>
                <w:p w14:paraId="0C5FD4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1008" w:type="dxa"/>
                  <w:tcBorders>
                    <w:tl2br w:val="nil"/>
                    <w:tr2bl w:val="nil"/>
                  </w:tcBorders>
                  <w:noWrap w:val="0"/>
                  <w:vAlign w:val="center"/>
                </w:tcPr>
                <w:p w14:paraId="41697A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008" w:type="dxa"/>
                  <w:tcBorders>
                    <w:tl2br w:val="nil"/>
                    <w:tr2bl w:val="nil"/>
                  </w:tcBorders>
                  <w:noWrap w:val="0"/>
                  <w:vAlign w:val="center"/>
                </w:tcPr>
                <w:p w14:paraId="7852A1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77" w:type="dxa"/>
                  <w:tcBorders>
                    <w:tl2br w:val="nil"/>
                    <w:tr2bl w:val="nil"/>
                  </w:tcBorders>
                  <w:noWrap w:val="0"/>
                  <w:vAlign w:val="center"/>
                </w:tcPr>
                <w:p w14:paraId="07BE50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28D8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3110" w:type="dxa"/>
                  <w:tcBorders>
                    <w:tl2br w:val="nil"/>
                    <w:tr2bl w:val="nil"/>
                  </w:tcBorders>
                  <w:noWrap w:val="0"/>
                  <w:vAlign w:val="center"/>
                </w:tcPr>
                <w:p w14:paraId="6DF77E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1008" w:type="dxa"/>
                  <w:tcBorders>
                    <w:tl2br w:val="nil"/>
                    <w:tr2bl w:val="nil"/>
                  </w:tcBorders>
                  <w:noWrap w:val="0"/>
                  <w:vAlign w:val="center"/>
                </w:tcPr>
                <w:p w14:paraId="4FA61F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08" w:type="dxa"/>
                  <w:tcBorders>
                    <w:tl2br w:val="nil"/>
                    <w:tr2bl w:val="nil"/>
                  </w:tcBorders>
                  <w:noWrap w:val="0"/>
                  <w:vAlign w:val="center"/>
                </w:tcPr>
                <w:p w14:paraId="7AF6F5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977" w:type="dxa"/>
                  <w:tcBorders>
                    <w:tl2br w:val="nil"/>
                    <w:tr2bl w:val="nil"/>
                  </w:tcBorders>
                  <w:noWrap w:val="0"/>
                  <w:vAlign w:val="center"/>
                </w:tcPr>
                <w:p w14:paraId="5117EEC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10E8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3110" w:type="dxa"/>
                  <w:tcBorders>
                    <w:tl2br w:val="nil"/>
                    <w:tr2bl w:val="nil"/>
                  </w:tcBorders>
                  <w:noWrap w:val="0"/>
                  <w:vAlign w:val="center"/>
                </w:tcPr>
                <w:p w14:paraId="51594B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1008" w:type="dxa"/>
                  <w:tcBorders>
                    <w:tl2br w:val="nil"/>
                    <w:tr2bl w:val="nil"/>
                  </w:tcBorders>
                  <w:noWrap w:val="0"/>
                  <w:vAlign w:val="center"/>
                </w:tcPr>
                <w:p w14:paraId="057DC3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008" w:type="dxa"/>
                  <w:tcBorders>
                    <w:tl2br w:val="nil"/>
                    <w:tr2bl w:val="nil"/>
                  </w:tcBorders>
                  <w:noWrap w:val="0"/>
                  <w:vAlign w:val="center"/>
                </w:tcPr>
                <w:p w14:paraId="698710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977" w:type="dxa"/>
                  <w:tcBorders>
                    <w:tl2br w:val="nil"/>
                    <w:tr2bl w:val="nil"/>
                  </w:tcBorders>
                  <w:noWrap w:val="0"/>
                  <w:vAlign w:val="center"/>
                </w:tcPr>
                <w:p w14:paraId="517D7B3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bl>
          <w:p w14:paraId="7BEFD10E">
            <w:pPr>
              <w:autoSpaceDN w:val="0"/>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结算方式及时间为：在领取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通知书前由成交供应商一次性向采购代理机构付清。</w:t>
            </w:r>
          </w:p>
          <w:p w14:paraId="786F3A23">
            <w:pPr>
              <w:autoSpaceDN w:val="0"/>
              <w:spacing w:line="3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3、代理费支付信息</w:t>
            </w:r>
          </w:p>
          <w:p w14:paraId="4DF14486">
            <w:pPr>
              <w:autoSpaceDN w:val="0"/>
              <w:spacing w:line="3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浙江天平项目咨询有限公司</w:t>
            </w:r>
          </w:p>
          <w:p w14:paraId="09DF1B72">
            <w:pPr>
              <w:autoSpaceDN w:val="0"/>
              <w:spacing w:line="3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33001656435050002935</w:t>
            </w:r>
          </w:p>
          <w:p w14:paraId="59FA3DD0">
            <w:pPr>
              <w:shd w:val="clear"/>
              <w:spacing w:line="34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开户行∶上虞建行营业部</w:t>
            </w:r>
          </w:p>
        </w:tc>
      </w:tr>
      <w:tr w14:paraId="36E1D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234A6EA">
            <w:pPr>
              <w:snapToGrid w:val="0"/>
              <w:jc w:val="center"/>
              <w:rPr>
                <w:rFonts w:hint="default" w:ascii="宋体" w:eastAsia="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20</w:t>
            </w:r>
          </w:p>
        </w:tc>
        <w:tc>
          <w:tcPr>
            <w:tcW w:w="1800" w:type="dxa"/>
            <w:vAlign w:val="center"/>
          </w:tcPr>
          <w:p w14:paraId="6A08BECE">
            <w:pPr>
              <w:snapToGrid w:val="0"/>
              <w:jc w:val="center"/>
              <w:rPr>
                <w:rFonts w:ascii="宋体"/>
                <w:color w:val="auto"/>
                <w:sz w:val="24"/>
                <w:szCs w:val="24"/>
                <w:highlight w:val="none"/>
              </w:rPr>
            </w:pPr>
            <w:r>
              <w:rPr>
                <w:rFonts w:hint="eastAsia" w:ascii="宋体" w:hAnsi="宋体" w:cs="宋体"/>
                <w:color w:val="auto"/>
                <w:sz w:val="24"/>
                <w:szCs w:val="24"/>
                <w:highlight w:val="none"/>
              </w:rPr>
              <w:t>是否允许分包</w:t>
            </w:r>
          </w:p>
        </w:tc>
        <w:tc>
          <w:tcPr>
            <w:tcW w:w="6682" w:type="dxa"/>
            <w:vAlign w:val="center"/>
          </w:tcPr>
          <w:p w14:paraId="3C94538C">
            <w:pPr>
              <w:ind w:firstLine="480" w:firstLineChars="200"/>
              <w:rPr>
                <w:rFonts w:ascii="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不允许</w:t>
            </w:r>
            <w:r>
              <w:rPr>
                <w:rFonts w:hint="eastAsia" w:ascii="宋体" w:hAnsi="宋体" w:cs="宋体"/>
                <w:color w:val="auto"/>
                <w:sz w:val="24"/>
                <w:szCs w:val="24"/>
                <w:highlight w:val="none"/>
              </w:rPr>
              <w:t>分包</w:t>
            </w:r>
          </w:p>
        </w:tc>
      </w:tr>
      <w:tr w14:paraId="738615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6CE0B653">
            <w:pPr>
              <w:snapToGrid w:val="0"/>
              <w:jc w:val="center"/>
              <w:rPr>
                <w:rFonts w:hint="eastAsia" w:ascii="宋体" w:hAnsi="宋体" w:eastAsia="宋体" w:cs="宋体"/>
                <w:snapToGrid w:val="0"/>
                <w:color w:val="auto"/>
                <w:sz w:val="24"/>
                <w:szCs w:val="24"/>
                <w:highlight w:val="none"/>
                <w:lang w:eastAsia="zh-CN"/>
              </w:rPr>
            </w:pPr>
            <w:r>
              <w:rPr>
                <w:rFonts w:hint="eastAsia" w:ascii="宋体" w:hAnsi="宋体" w:cs="宋体"/>
                <w:snapToGrid w:val="0"/>
                <w:color w:val="auto"/>
                <w:sz w:val="24"/>
                <w:szCs w:val="24"/>
                <w:highlight w:val="none"/>
              </w:rPr>
              <w:t>2</w:t>
            </w:r>
            <w:r>
              <w:rPr>
                <w:rFonts w:hint="eastAsia" w:ascii="宋体" w:hAnsi="宋体" w:cs="宋体"/>
                <w:snapToGrid w:val="0"/>
                <w:color w:val="auto"/>
                <w:sz w:val="24"/>
                <w:szCs w:val="24"/>
                <w:highlight w:val="none"/>
                <w:lang w:val="en-US" w:eastAsia="zh-CN"/>
              </w:rPr>
              <w:t>1</w:t>
            </w:r>
          </w:p>
        </w:tc>
        <w:tc>
          <w:tcPr>
            <w:tcW w:w="1800" w:type="dxa"/>
            <w:vAlign w:val="center"/>
          </w:tcPr>
          <w:p w14:paraId="07A1ACA9">
            <w:pPr>
              <w:snapToGrid w:val="0"/>
              <w:jc w:val="center"/>
              <w:rPr>
                <w:rFonts w:ascii="宋体"/>
                <w:color w:val="auto"/>
                <w:sz w:val="24"/>
                <w:szCs w:val="24"/>
                <w:highlight w:val="none"/>
              </w:rPr>
            </w:pPr>
            <w:r>
              <w:rPr>
                <w:rFonts w:hint="eastAsia" w:ascii="宋体" w:hAnsi="宋体" w:cs="宋体"/>
                <w:color w:val="auto"/>
                <w:sz w:val="24"/>
                <w:szCs w:val="24"/>
                <w:highlight w:val="none"/>
              </w:rPr>
              <w:t>是否提供演示</w:t>
            </w:r>
          </w:p>
        </w:tc>
        <w:tc>
          <w:tcPr>
            <w:tcW w:w="6682" w:type="dxa"/>
            <w:vAlign w:val="center"/>
          </w:tcPr>
          <w:p w14:paraId="16441A95">
            <w:pPr>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 xml:space="preserve"> 不需要</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提供演示。</w:t>
            </w:r>
          </w:p>
        </w:tc>
      </w:tr>
      <w:tr w14:paraId="2BA3C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30FAE1DB">
            <w:pPr>
              <w:snapToGrid w:val="0"/>
              <w:jc w:val="center"/>
              <w:rPr>
                <w:rFonts w:hint="eastAsia" w:ascii="宋体" w:eastAsia="宋体"/>
                <w:snapToGrid w:val="0"/>
                <w:color w:val="auto"/>
                <w:sz w:val="24"/>
                <w:szCs w:val="24"/>
                <w:highlight w:val="none"/>
                <w:lang w:eastAsia="zh-CN"/>
              </w:rPr>
            </w:pPr>
            <w:r>
              <w:rPr>
                <w:rFonts w:hint="eastAsia" w:ascii="宋体" w:hAnsi="宋体" w:cs="宋体"/>
                <w:snapToGrid w:val="0"/>
                <w:color w:val="auto"/>
                <w:sz w:val="24"/>
                <w:szCs w:val="24"/>
                <w:highlight w:val="none"/>
              </w:rPr>
              <w:t>2</w:t>
            </w:r>
            <w:r>
              <w:rPr>
                <w:rFonts w:hint="eastAsia" w:ascii="宋体" w:hAnsi="宋体" w:cs="宋体"/>
                <w:snapToGrid w:val="0"/>
                <w:color w:val="auto"/>
                <w:sz w:val="24"/>
                <w:szCs w:val="24"/>
                <w:highlight w:val="none"/>
                <w:lang w:val="en-US" w:eastAsia="zh-CN"/>
              </w:rPr>
              <w:t>2</w:t>
            </w:r>
          </w:p>
        </w:tc>
        <w:tc>
          <w:tcPr>
            <w:tcW w:w="1800" w:type="dxa"/>
            <w:tcBorders>
              <w:top w:val="single" w:color="auto" w:sz="4" w:space="0"/>
            </w:tcBorders>
            <w:vAlign w:val="center"/>
          </w:tcPr>
          <w:p w14:paraId="184ADC4E">
            <w:pPr>
              <w:snapToGrid w:val="0"/>
              <w:jc w:val="center"/>
              <w:rPr>
                <w:rFonts w:ascii="宋体"/>
                <w:color w:val="auto"/>
                <w:sz w:val="24"/>
                <w:szCs w:val="24"/>
                <w:highlight w:val="none"/>
              </w:rPr>
            </w:pPr>
            <w:r>
              <w:rPr>
                <w:rFonts w:hint="eastAsia" w:ascii="宋体" w:hAnsi="宋体" w:cs="宋体"/>
                <w:color w:val="auto"/>
                <w:sz w:val="24"/>
                <w:szCs w:val="24"/>
                <w:highlight w:val="none"/>
              </w:rPr>
              <w:t>供应商信用信息查询渠道及截止时点、信用信息查询记录和证据留存的具体方式、信用信息的使用规则</w:t>
            </w:r>
          </w:p>
        </w:tc>
        <w:tc>
          <w:tcPr>
            <w:tcW w:w="6682" w:type="dxa"/>
            <w:tcBorders>
              <w:top w:val="single" w:color="auto" w:sz="4" w:space="0"/>
            </w:tcBorders>
            <w:vAlign w:val="center"/>
          </w:tcPr>
          <w:p w14:paraId="70909426">
            <w:pP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、查询渠道：信用中国（网址：</w:t>
            </w:r>
            <w:r>
              <w:rPr>
                <w:rFonts w:ascii="宋体" w:hAnsi="宋体" w:cs="宋体"/>
                <w:color w:val="auto"/>
                <w:sz w:val="24"/>
                <w:szCs w:val="24"/>
                <w:highlight w:val="none"/>
              </w:rPr>
              <w:t>http://www.creditchina.gov.cn</w:t>
            </w:r>
            <w:r>
              <w:rPr>
                <w:rFonts w:hint="eastAsia" w:ascii="宋体" w:hAnsi="宋体" w:cs="宋体"/>
                <w:color w:val="auto"/>
                <w:sz w:val="24"/>
                <w:szCs w:val="24"/>
                <w:highlight w:val="none"/>
              </w:rPr>
              <w:t>）、中国政府采购网（网址：</w:t>
            </w:r>
            <w:r>
              <w:rPr>
                <w:rFonts w:ascii="宋体" w:hAnsi="宋体" w:cs="宋体"/>
                <w:color w:val="auto"/>
                <w:sz w:val="24"/>
                <w:szCs w:val="24"/>
                <w:highlight w:val="none"/>
              </w:rPr>
              <w:t>http://www.ccgp.gov.cn</w:t>
            </w:r>
            <w:r>
              <w:rPr>
                <w:rFonts w:hint="eastAsia" w:ascii="宋体" w:hAnsi="宋体" w:cs="宋体"/>
                <w:color w:val="auto"/>
                <w:sz w:val="24"/>
                <w:szCs w:val="24"/>
                <w:highlight w:val="none"/>
              </w:rPr>
              <w:t>）。</w:t>
            </w:r>
          </w:p>
          <w:p w14:paraId="07CBE2F4">
            <w:pP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、截止时点：开标后评标前。</w:t>
            </w:r>
          </w:p>
          <w:p w14:paraId="629CF5B9">
            <w:pP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、信用信息查询记录和证据留存的具体方式：由采购组织机构在规定查询时间内打印信用信息查询记录并归入项目档案。</w:t>
            </w:r>
          </w:p>
          <w:p w14:paraId="72A78502">
            <w:pP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、使用规则：对列入失信被执行人、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、政府采购严重违法失信行为记录名单及其他不符合《中华人民共和国政府采购法》第二十二条规定条件的供应商，将被拒绝其参与政府采购活动。</w:t>
            </w:r>
          </w:p>
        </w:tc>
      </w:tr>
      <w:tr w14:paraId="670A2D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3E9F494">
            <w:pPr>
              <w:snapToGrid w:val="0"/>
              <w:jc w:val="center"/>
              <w:rPr>
                <w:rFonts w:hint="eastAsia" w:ascii="宋体" w:eastAsia="宋体"/>
                <w:snapToGrid w:val="0"/>
                <w:color w:val="auto"/>
                <w:sz w:val="24"/>
                <w:szCs w:val="24"/>
                <w:highlight w:val="none"/>
                <w:lang w:eastAsia="zh-CN"/>
              </w:rPr>
            </w:pPr>
            <w:r>
              <w:rPr>
                <w:rFonts w:hint="eastAsia" w:ascii="宋体" w:hAnsi="宋体" w:cs="宋体"/>
                <w:snapToGrid w:val="0"/>
                <w:color w:val="auto"/>
                <w:sz w:val="24"/>
                <w:szCs w:val="24"/>
                <w:highlight w:val="none"/>
              </w:rPr>
              <w:t>2</w:t>
            </w:r>
            <w:r>
              <w:rPr>
                <w:rFonts w:hint="eastAsia" w:ascii="宋体" w:hAnsi="宋体" w:cs="宋体"/>
                <w:snapToGrid w:val="0"/>
                <w:color w:val="auto"/>
                <w:sz w:val="24"/>
                <w:szCs w:val="24"/>
                <w:highlight w:val="none"/>
                <w:lang w:val="en-US" w:eastAsia="zh-CN"/>
              </w:rPr>
              <w:t>3</w:t>
            </w:r>
          </w:p>
        </w:tc>
        <w:tc>
          <w:tcPr>
            <w:tcW w:w="1800" w:type="dxa"/>
            <w:vAlign w:val="center"/>
          </w:tcPr>
          <w:p w14:paraId="4E809501">
            <w:pPr>
              <w:snapToGrid w:val="0"/>
              <w:jc w:val="center"/>
              <w:rPr>
                <w:rFonts w:ascii="宋体"/>
                <w:color w:val="auto"/>
                <w:sz w:val="24"/>
                <w:szCs w:val="24"/>
                <w:highlight w:val="none"/>
              </w:rPr>
            </w:pPr>
            <w:r>
              <w:rPr>
                <w:rFonts w:hint="eastAsia" w:ascii="宋体" w:hAnsi="宋体" w:cs="宋体"/>
                <w:color w:val="auto"/>
                <w:sz w:val="24"/>
                <w:szCs w:val="24"/>
                <w:highlight w:val="none"/>
              </w:rPr>
              <w:t>金融支持</w:t>
            </w:r>
          </w:p>
        </w:tc>
        <w:tc>
          <w:tcPr>
            <w:tcW w:w="6682" w:type="dxa"/>
            <w:vAlign w:val="center"/>
          </w:tcPr>
          <w:p w14:paraId="141B60E2">
            <w:pPr>
              <w:ind w:firstLine="480" w:firstLineChars="200"/>
              <w:rPr>
                <w:rFonts w:ascii="宋体"/>
                <w:color w:val="auto"/>
                <w:sz w:val="24"/>
                <w:szCs w:val="24"/>
                <w:highlight w:val="none"/>
              </w:rPr>
            </w:pPr>
            <w:r>
              <w:rPr>
                <w:rFonts w:hint="eastAsia" w:ascii="宋体" w:hAnsi="宋体" w:cs="宋体"/>
                <w:color w:val="auto"/>
                <w:sz w:val="24"/>
                <w:szCs w:val="24"/>
                <w:highlight w:val="none"/>
              </w:rPr>
              <w:t>为支持和促进中小企业发展，进一步发挥政府采购政策功能，浙江省财政厅出台浙财采监〔</w:t>
            </w:r>
            <w:r>
              <w:rPr>
                <w:rFonts w:ascii="宋体" w:hAnsi="宋体" w:cs="宋体"/>
                <w:color w:val="auto"/>
                <w:sz w:val="24"/>
                <w:szCs w:val="24"/>
                <w:highlight w:val="none"/>
              </w:rPr>
              <w:t>2020</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3 </w:t>
            </w:r>
            <w:r>
              <w:rPr>
                <w:rFonts w:hint="eastAsia" w:ascii="宋体" w:hAnsi="宋体" w:cs="宋体"/>
                <w:color w:val="auto"/>
                <w:sz w:val="24"/>
                <w:szCs w:val="24"/>
                <w:highlight w:val="none"/>
              </w:rPr>
              <w:t>号文件，企业若有融资意向，可登录政采云平台融资服务（</w:t>
            </w:r>
            <w:r>
              <w:rPr>
                <w:rFonts w:ascii="宋体" w:hAnsi="宋体" w:cs="宋体"/>
                <w:color w:val="auto"/>
                <w:sz w:val="24"/>
                <w:szCs w:val="24"/>
                <w:highlight w:val="none"/>
              </w:rPr>
              <w:t>https://jinrong.zcygov.cn/</w:t>
            </w:r>
            <w:r>
              <w:rPr>
                <w:rFonts w:hint="eastAsia" w:ascii="宋体" w:hAnsi="宋体" w:cs="宋体"/>
                <w:color w:val="auto"/>
                <w:sz w:val="24"/>
                <w:szCs w:val="24"/>
                <w:highlight w:val="none"/>
              </w:rPr>
              <w:t>），查看相应融资政策文件及各相关银行服务方案。</w:t>
            </w:r>
          </w:p>
        </w:tc>
      </w:tr>
      <w:tr w14:paraId="0D1EA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15F82DC6">
            <w:pPr>
              <w:snapToGrid w:val="0"/>
              <w:jc w:val="center"/>
              <w:rPr>
                <w:rFonts w:hint="eastAsia" w:ascii="宋体" w:hAnsi="宋体" w:eastAsia="宋体" w:cs="宋体"/>
                <w:snapToGrid w:val="0"/>
                <w:color w:val="auto"/>
                <w:sz w:val="24"/>
                <w:szCs w:val="24"/>
                <w:highlight w:val="none"/>
                <w:lang w:eastAsia="zh-CN"/>
              </w:rPr>
            </w:pPr>
            <w:r>
              <w:rPr>
                <w:rFonts w:hint="eastAsia" w:ascii="宋体" w:hAnsi="宋体" w:cs="宋体"/>
                <w:snapToGrid w:val="0"/>
                <w:color w:val="auto"/>
                <w:sz w:val="24"/>
                <w:szCs w:val="24"/>
                <w:highlight w:val="none"/>
              </w:rPr>
              <w:t>2</w:t>
            </w:r>
            <w:r>
              <w:rPr>
                <w:rFonts w:hint="eastAsia" w:ascii="宋体" w:hAnsi="宋体" w:cs="宋体"/>
                <w:snapToGrid w:val="0"/>
                <w:color w:val="auto"/>
                <w:sz w:val="24"/>
                <w:szCs w:val="24"/>
                <w:highlight w:val="none"/>
                <w:lang w:val="en-US" w:eastAsia="zh-CN"/>
              </w:rPr>
              <w:t>4</w:t>
            </w:r>
          </w:p>
        </w:tc>
        <w:tc>
          <w:tcPr>
            <w:tcW w:w="1800" w:type="dxa"/>
            <w:vMerge w:val="restart"/>
            <w:vAlign w:val="center"/>
          </w:tcPr>
          <w:p w14:paraId="4DEFF68A">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预付款</w:t>
            </w:r>
          </w:p>
        </w:tc>
        <w:tc>
          <w:tcPr>
            <w:tcW w:w="6682" w:type="dxa"/>
            <w:vAlign w:val="center"/>
          </w:tcPr>
          <w:p w14:paraId="63978D3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w:t>
            </w:r>
            <w:r>
              <w:rPr>
                <w:rFonts w:hint="eastAsia"/>
                <w:color w:val="auto"/>
                <w:sz w:val="24"/>
                <w:szCs w:val="24"/>
                <w:highlight w:val="none"/>
              </w:rPr>
              <w:t>☑</w:t>
            </w:r>
            <w:r>
              <w:rPr>
                <w:rFonts w:hint="eastAsia" w:ascii="宋体" w:hAnsi="宋体" w:cs="宋体"/>
                <w:color w:val="auto"/>
                <w:sz w:val="24"/>
                <w:szCs w:val="24"/>
                <w:highlight w:val="none"/>
              </w:rPr>
              <w:t xml:space="preserve">是  </w:t>
            </w:r>
            <w:r>
              <w:rPr>
                <w:rFonts w:hint="eastAsia"/>
                <w:color w:val="auto"/>
                <w:sz w:val="24"/>
                <w:szCs w:val="24"/>
                <w:highlight w:val="none"/>
              </w:rPr>
              <w:t>□</w:t>
            </w:r>
            <w:r>
              <w:rPr>
                <w:rFonts w:hint="eastAsia" w:ascii="宋体" w:hAnsi="宋体" w:cs="宋体"/>
                <w:color w:val="auto"/>
                <w:sz w:val="24"/>
                <w:szCs w:val="24"/>
                <w:highlight w:val="none"/>
              </w:rPr>
              <w:t>否  涉及预付款，预付款比例为</w:t>
            </w:r>
            <w:r>
              <w:rPr>
                <w:rFonts w:hint="eastAsia" w:ascii="宋体" w:hAnsi="宋体" w:cs="宋体"/>
                <w:color w:val="auto"/>
                <w:sz w:val="24"/>
                <w:szCs w:val="24"/>
                <w:highlight w:val="none"/>
                <w:u w:val="single"/>
              </w:rPr>
              <w:t xml:space="preserve"> 2</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14:paraId="306DB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619C6108">
            <w:pPr>
              <w:snapToGrid w:val="0"/>
              <w:jc w:val="center"/>
              <w:rPr>
                <w:rFonts w:ascii="宋体" w:hAnsi="宋体" w:cs="宋体"/>
                <w:snapToGrid w:val="0"/>
                <w:color w:val="auto"/>
                <w:sz w:val="24"/>
                <w:szCs w:val="24"/>
                <w:highlight w:val="none"/>
              </w:rPr>
            </w:pPr>
          </w:p>
        </w:tc>
        <w:tc>
          <w:tcPr>
            <w:tcW w:w="1800" w:type="dxa"/>
            <w:vMerge w:val="continue"/>
            <w:vAlign w:val="center"/>
          </w:tcPr>
          <w:p w14:paraId="4B998F9C">
            <w:pPr>
              <w:snapToGrid w:val="0"/>
              <w:jc w:val="center"/>
              <w:rPr>
                <w:rFonts w:ascii="宋体" w:hAnsi="宋体" w:cs="宋体"/>
                <w:color w:val="auto"/>
                <w:sz w:val="24"/>
                <w:szCs w:val="24"/>
                <w:highlight w:val="none"/>
              </w:rPr>
            </w:pPr>
          </w:p>
        </w:tc>
        <w:tc>
          <w:tcPr>
            <w:tcW w:w="6682" w:type="dxa"/>
            <w:vAlign w:val="center"/>
          </w:tcPr>
          <w:p w14:paraId="6D7F163D">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根据《浙江省财政厅关于进一步发挥政府采购政策功能全力推动经济稳进提质的通知》[浙财采监（2022）3号]文件第二条第五点关于“进一步提高政府采购预付款比例”的规定：</w:t>
            </w:r>
          </w:p>
          <w:p w14:paraId="638E5327">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1、采购单位应当在政府采购合同中约定预付款；</w:t>
            </w:r>
          </w:p>
          <w:p w14:paraId="4B5B556E">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403C2F3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3、本项目涉及投标人为大型企业，或者以人工投入为主且实行按月定期结算支付款项的，预付款可低于上述比例或者不约定预付款（相应字样应在合同中体现）。</w:t>
            </w:r>
          </w:p>
          <w:p w14:paraId="63722CF8">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4、在签订合同时，中标人明确表示无需预付款或者主动要求降低预付款比例的，应提交相应申请函经采购人确认后，可不适用前述规定。</w:t>
            </w:r>
          </w:p>
        </w:tc>
      </w:tr>
      <w:tr w14:paraId="0E862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1306BB28">
            <w:pPr>
              <w:snapToGrid w:val="0"/>
              <w:jc w:val="center"/>
              <w:rPr>
                <w:rFonts w:hint="default" w:ascii="宋体" w:eastAsia="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25</w:t>
            </w:r>
          </w:p>
        </w:tc>
        <w:tc>
          <w:tcPr>
            <w:tcW w:w="1800" w:type="dxa"/>
            <w:tcBorders>
              <w:bottom w:val="double" w:color="auto" w:sz="4" w:space="0"/>
            </w:tcBorders>
            <w:vAlign w:val="center"/>
          </w:tcPr>
          <w:p w14:paraId="27F19E9A">
            <w:pPr>
              <w:snapToGrid w:val="0"/>
              <w:jc w:val="center"/>
              <w:rPr>
                <w:rFonts w:ascii="宋体"/>
                <w:color w:val="auto"/>
                <w:sz w:val="24"/>
                <w:szCs w:val="24"/>
                <w:highlight w:val="none"/>
              </w:rPr>
            </w:pPr>
            <w:r>
              <w:rPr>
                <w:rFonts w:hint="eastAsia" w:ascii="宋体" w:hAnsi="宋体" w:cs="宋体"/>
                <w:color w:val="auto"/>
                <w:sz w:val="24"/>
                <w:szCs w:val="24"/>
                <w:highlight w:val="none"/>
              </w:rPr>
              <w:t>其他</w:t>
            </w:r>
          </w:p>
        </w:tc>
        <w:tc>
          <w:tcPr>
            <w:tcW w:w="6682" w:type="dxa"/>
            <w:tcBorders>
              <w:bottom w:val="double" w:color="auto" w:sz="4" w:space="0"/>
            </w:tcBorders>
            <w:vAlign w:val="center"/>
          </w:tcPr>
          <w:p w14:paraId="4CB7D854">
            <w:pPr>
              <w:ind w:firstLine="480" w:firstLineChars="200"/>
              <w:rPr>
                <w:color w:val="auto"/>
                <w:sz w:val="24"/>
                <w:szCs w:val="24"/>
                <w:highlight w:val="none"/>
              </w:rPr>
            </w:pPr>
            <w:r>
              <w:rPr>
                <w:rFonts w:hint="eastAsia"/>
                <w:color w:val="auto"/>
                <w:sz w:val="24"/>
                <w:szCs w:val="24"/>
                <w:highlight w:val="none"/>
              </w:rPr>
              <w:t>1、本磋商文件要求提供的身份证复印件皆需提供正反面，否则按不提供处理。</w:t>
            </w:r>
          </w:p>
          <w:p w14:paraId="70AD2909">
            <w:pPr>
              <w:ind w:firstLine="402"/>
              <w:rPr>
                <w:b/>
                <w:bCs/>
                <w:color w:val="auto"/>
                <w:sz w:val="24"/>
                <w:szCs w:val="24"/>
                <w:highlight w:val="none"/>
              </w:rPr>
            </w:pPr>
            <w:r>
              <w:rPr>
                <w:rFonts w:hint="eastAsia"/>
                <w:color w:val="auto"/>
                <w:sz w:val="24"/>
                <w:szCs w:val="24"/>
                <w:highlight w:val="none"/>
              </w:rPr>
              <w:t>2、本项目货物如涉及柴油动力移动源，柴油动力移动源应当符合低排放要求。</w:t>
            </w:r>
          </w:p>
        </w:tc>
      </w:tr>
    </w:tbl>
    <w:p w14:paraId="1C7B1FF1">
      <w:pPr>
        <w:pStyle w:val="4"/>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58E05B13">
      <w:pPr>
        <w:pStyle w:val="3"/>
        <w:numPr>
          <w:ilvl w:val="0"/>
          <w:numId w:val="8"/>
        </w:numPr>
        <w:jc w:val="center"/>
        <w:rPr>
          <w:rFonts w:cs="Times New Roman"/>
          <w:color w:val="auto"/>
          <w:highlight w:val="none"/>
        </w:rPr>
      </w:pPr>
      <w:r>
        <w:rPr>
          <w:color w:val="auto"/>
          <w:highlight w:val="none"/>
        </w:rPr>
        <w:t xml:space="preserve"> </w:t>
      </w:r>
      <w:bookmarkStart w:id="48" w:name="_Toc25187"/>
      <w:bookmarkStart w:id="49" w:name="_Toc24554"/>
      <w:bookmarkStart w:id="50" w:name="_Toc515"/>
      <w:r>
        <w:rPr>
          <w:rFonts w:hint="eastAsia"/>
          <w:color w:val="auto"/>
          <w:highlight w:val="none"/>
        </w:rPr>
        <w:t>总则</w:t>
      </w:r>
      <w:bookmarkEnd w:id="48"/>
      <w:bookmarkEnd w:id="49"/>
      <w:bookmarkEnd w:id="50"/>
    </w:p>
    <w:p w14:paraId="3E6B714D">
      <w:pPr>
        <w:spacing w:line="336" w:lineRule="auto"/>
        <w:ind w:firstLine="480" w:firstLineChars="200"/>
        <w:rPr>
          <w:color w:val="auto"/>
          <w:sz w:val="24"/>
          <w:szCs w:val="24"/>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0DD7D22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3BAF9187">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 xml:space="preserve">本次磋商工作仅适用于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绍兴市上虞第二人民医院安保服务（两年）项目</w:t>
      </w:r>
      <w:r>
        <w:rPr>
          <w:rFonts w:hint="eastAsia" w:ascii="宋体" w:hAnsi="宋体" w:cs="宋体"/>
          <w:color w:val="auto"/>
          <w:sz w:val="24"/>
          <w:szCs w:val="24"/>
          <w:highlight w:val="none"/>
          <w:u w:val="single"/>
        </w:rPr>
        <w:t>。</w:t>
      </w:r>
    </w:p>
    <w:p w14:paraId="557B0D30">
      <w:pPr>
        <w:pStyle w:val="25"/>
        <w:spacing w:line="336" w:lineRule="auto"/>
        <w:ind w:firstLine="480" w:firstLineChars="200"/>
        <w:rPr>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328A07D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2ECE00B6">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绍兴市上虞第二人民医院</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浙江天平项目咨询有限公司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703FCF4E">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55FD95D0">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4A95AAE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42CB3C2B">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5C097096">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05CE3BC8">
      <w:pPr>
        <w:spacing w:line="336" w:lineRule="auto"/>
        <w:ind w:firstLine="480" w:firstLineChars="200"/>
        <w:rPr>
          <w:rFonts w:ascii="宋体"/>
          <w:color w:val="auto"/>
          <w:sz w:val="24"/>
          <w:szCs w:val="24"/>
          <w:highlight w:val="none"/>
        </w:rPr>
      </w:pPr>
      <w:bookmarkStart w:id="51" w:name="_Toc204683265"/>
      <w:bookmarkStart w:id="52" w:name="_Toc209504018"/>
      <w:bookmarkStart w:id="53" w:name="_Toc211412066"/>
      <w:bookmarkStart w:id="54" w:name="_Toc197156227"/>
      <w:bookmarkStart w:id="55" w:name="_Toc209520993"/>
      <w:bookmarkStart w:id="56" w:name="_Toc209435242"/>
      <w:bookmarkStart w:id="57" w:name="_Toc208913145"/>
      <w:bookmarkStart w:id="58" w:name="_Toc208287611"/>
      <w:bookmarkStart w:id="59" w:name="_Toc193523219"/>
      <w:bookmarkStart w:id="60" w:name="_Toc207946571"/>
      <w:bookmarkStart w:id="61" w:name="_Toc197657950"/>
      <w:bookmarkStart w:id="62" w:name="_Toc197053926"/>
      <w:bookmarkStart w:id="63" w:name="_Toc193538208"/>
      <w:bookmarkStart w:id="64" w:name="_Toc197163261"/>
      <w:r>
        <w:rPr>
          <w:rFonts w:hint="eastAsia" w:ascii="宋体" w:hAnsi="宋体" w:cs="宋体"/>
          <w:color w:val="auto"/>
          <w:sz w:val="24"/>
          <w:szCs w:val="24"/>
          <w:highlight w:val="none"/>
        </w:rPr>
        <w:t>详见竞争性磋商采购公告磋商供应商的资格要求规定。</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BD5E0B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1CB742E5">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492A7EB2">
      <w:pPr>
        <w:pStyle w:val="3"/>
        <w:rPr>
          <w:color w:val="auto"/>
          <w:highlight w:val="none"/>
        </w:rPr>
      </w:pPr>
    </w:p>
    <w:p w14:paraId="1F6E9F7F">
      <w:pPr>
        <w:pStyle w:val="3"/>
        <w:numPr>
          <w:ilvl w:val="0"/>
          <w:numId w:val="8"/>
        </w:numPr>
        <w:jc w:val="center"/>
        <w:rPr>
          <w:rFonts w:cs="Times New Roman"/>
          <w:color w:val="auto"/>
          <w:highlight w:val="none"/>
        </w:rPr>
      </w:pPr>
      <w:bookmarkStart w:id="65" w:name="_Toc32689"/>
      <w:bookmarkStart w:id="66" w:name="_Toc25923"/>
      <w:bookmarkStart w:id="67" w:name="_Toc416992151"/>
      <w:r>
        <w:rPr>
          <w:color w:val="auto"/>
          <w:highlight w:val="none"/>
        </w:rPr>
        <w:t xml:space="preserve"> </w:t>
      </w:r>
      <w:bookmarkStart w:id="68" w:name="_Toc187"/>
      <w:bookmarkStart w:id="69" w:name="_Toc11814"/>
      <w:bookmarkStart w:id="70" w:name="_Toc28300"/>
      <w:r>
        <w:rPr>
          <w:rFonts w:hint="eastAsia"/>
          <w:color w:val="auto"/>
          <w:highlight w:val="none"/>
        </w:rPr>
        <w:t>竞争性磋商文件</w:t>
      </w:r>
      <w:bookmarkEnd w:id="65"/>
      <w:bookmarkEnd w:id="66"/>
      <w:bookmarkEnd w:id="67"/>
      <w:bookmarkEnd w:id="68"/>
      <w:bookmarkEnd w:id="69"/>
      <w:bookmarkEnd w:id="70"/>
    </w:p>
    <w:p w14:paraId="15C8FBEC">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289130B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701522B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7E0228A8">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61B7BC02">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6ED1313">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6737C389">
      <w:pPr>
        <w:pStyle w:val="11"/>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6A18FA94">
      <w:pPr>
        <w:pStyle w:val="11"/>
        <w:spacing w:line="336" w:lineRule="auto"/>
        <w:ind w:right="-240"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194F870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5D6FCADA">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13C97041">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77AB7564">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4703D2A1">
      <w:pPr>
        <w:pStyle w:val="4"/>
        <w:spacing w:line="336" w:lineRule="auto"/>
        <w:rPr>
          <w:rFonts w:ascii="宋体" w:hAnsi="宋体" w:cs="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6EE3F6A1">
      <w:pPr>
        <w:pStyle w:val="11"/>
        <w:rPr>
          <w:color w:val="auto"/>
          <w:highlight w:val="none"/>
        </w:rPr>
      </w:pPr>
    </w:p>
    <w:p w14:paraId="1DB708DD">
      <w:pPr>
        <w:pStyle w:val="3"/>
        <w:numPr>
          <w:ilvl w:val="0"/>
          <w:numId w:val="8"/>
        </w:numPr>
        <w:jc w:val="center"/>
        <w:rPr>
          <w:rFonts w:cs="Times New Roman"/>
          <w:color w:val="auto"/>
          <w:highlight w:val="none"/>
        </w:rPr>
      </w:pPr>
      <w:bookmarkStart w:id="71" w:name="_Toc8860"/>
      <w:bookmarkStart w:id="72" w:name="_Toc11093"/>
      <w:bookmarkStart w:id="73" w:name="_Toc6273"/>
      <w:bookmarkStart w:id="74" w:name="_Toc26027"/>
      <w:bookmarkStart w:id="75" w:name="_Toc10669"/>
      <w:bookmarkStart w:id="76" w:name="_Toc7126"/>
      <w:bookmarkStart w:id="77" w:name="_Toc18702"/>
      <w:bookmarkStart w:id="78" w:name="_Toc6079"/>
      <w:bookmarkStart w:id="79" w:name="_Toc391298957"/>
      <w:bookmarkStart w:id="80" w:name="_Toc1828"/>
      <w:bookmarkStart w:id="81" w:name="_Toc26603"/>
      <w:bookmarkStart w:id="82" w:name="_Toc10810"/>
      <w:bookmarkStart w:id="83" w:name="_Toc11692"/>
      <w:bookmarkStart w:id="84" w:name="_Toc23975"/>
      <w:bookmarkStart w:id="85" w:name="_Toc31748"/>
      <w:bookmarkStart w:id="86" w:name="_Toc11669"/>
      <w:bookmarkStart w:id="87" w:name="_Toc14650"/>
      <w:bookmarkStart w:id="88" w:name="_Toc6457"/>
      <w:bookmarkStart w:id="89" w:name="_Toc24622"/>
      <w:bookmarkStart w:id="90" w:name="_Toc1729"/>
      <w:bookmarkStart w:id="91" w:name="_Toc23135"/>
      <w:bookmarkStart w:id="92" w:name="_Toc1202"/>
      <w:r>
        <w:rPr>
          <w:color w:val="auto"/>
          <w:highlight w:val="none"/>
        </w:rPr>
        <w:t xml:space="preserve"> </w:t>
      </w:r>
      <w:bookmarkStart w:id="93" w:name="_Toc27018"/>
      <w:bookmarkStart w:id="94" w:name="_Toc11515"/>
      <w:r>
        <w:rPr>
          <w:color w:val="auto"/>
          <w:highlight w:val="none"/>
        </w:rPr>
        <w:tab/>
      </w:r>
      <w:bookmarkStart w:id="95" w:name="_Toc3741"/>
      <w:r>
        <w:rPr>
          <w:rFonts w:hint="eastAsia"/>
          <w:color w:val="auto"/>
          <w:highlight w:val="none"/>
        </w:rPr>
        <w:t>竞争性磋商响应文件的编写</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359B5D3">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4CE52303">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作出实质性响应，并保证所提供的全部资料的真实性，否则视其为虚假响应，其响应将被否决。</w:t>
      </w:r>
    </w:p>
    <w:p w14:paraId="549A46E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67399C1A">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699E579C">
      <w:pPr>
        <w:pStyle w:val="53"/>
        <w:tabs>
          <w:tab w:val="left" w:pos="0"/>
        </w:tabs>
        <w:spacing w:before="0" w:line="336" w:lineRule="auto"/>
        <w:ind w:firstLine="480"/>
        <w:rPr>
          <w:rFonts w:hint="eastAsia" w:ascii="宋体" w:eastAsia="宋体"/>
          <w:color w:val="auto"/>
          <w:highlight w:val="none"/>
          <w:u w:val="none"/>
          <w:lang w:eastAsia="zh-CN"/>
        </w:rPr>
      </w:pPr>
      <w:r>
        <w:rPr>
          <w:rFonts w:ascii="宋体" w:hAnsi="宋体" w:cs="宋体"/>
          <w:color w:val="auto"/>
          <w:highlight w:val="none"/>
          <w:u w:val="single"/>
        </w:rPr>
        <w:t>8.2.2</w:t>
      </w:r>
      <w:r>
        <w:rPr>
          <w:rFonts w:hint="eastAsia" w:ascii="宋体" w:hAnsi="宋体" w:cs="宋体"/>
          <w:color w:val="auto"/>
          <w:highlight w:val="none"/>
          <w:u w:val="single"/>
          <w:lang w:val="en-US" w:eastAsia="zh-CN"/>
        </w:rPr>
        <w:t>磋商</w:t>
      </w:r>
      <w:r>
        <w:rPr>
          <w:rFonts w:hint="eastAsia" w:ascii="宋体" w:hAnsi="宋体" w:cs="宋体"/>
          <w:color w:val="auto"/>
          <w:highlight w:val="none"/>
          <w:u w:val="single"/>
        </w:rPr>
        <w:t>报价应包含项目所需全部服务，不得缺漏，是履行合同的最终价格</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包括人员的工资福利、员工五险费(养老保险、医疗保险、失业保险、工伤保险、生育保险)、值勤所需的装备、器材、通讯设备、常用办公耗材（对讲机、橡皮棒、手电筒、雨衣雨鞋等）、招标代理服务费、管理费、税费与本项目相关的其他一切费用等</w:t>
      </w:r>
      <w:r>
        <w:rPr>
          <w:rFonts w:hint="eastAsia" w:ascii="宋体" w:hAnsi="宋体" w:cs="宋体"/>
          <w:color w:val="auto"/>
          <w:highlight w:val="none"/>
          <w:u w:val="single"/>
        </w:rPr>
        <w:t>。</w:t>
      </w:r>
      <w:r>
        <w:rPr>
          <w:rFonts w:hint="eastAsia" w:cs="宋体"/>
          <w:color w:val="auto"/>
          <w:highlight w:val="none"/>
          <w:lang w:val="en-US" w:eastAsia="zh-CN"/>
        </w:rPr>
        <w:t>磋商</w:t>
      </w:r>
      <w:r>
        <w:rPr>
          <w:rFonts w:hint="eastAsia" w:cs="宋体"/>
          <w:color w:val="auto"/>
          <w:highlight w:val="none"/>
        </w:rPr>
        <w:t>报价为供应商所能承受的最低、最终报价，供应商不得再要求追加任何费用</w:t>
      </w:r>
      <w:r>
        <w:rPr>
          <w:rFonts w:hint="eastAsia" w:ascii="宋体" w:hAnsi="宋体" w:cs="宋体"/>
          <w:color w:val="auto"/>
          <w:highlight w:val="none"/>
          <w:u w:val="none"/>
          <w:lang w:eastAsia="zh-CN"/>
        </w:rPr>
        <w:t>。</w:t>
      </w:r>
    </w:p>
    <w:p w14:paraId="7ADD1095">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7B8A2B3E">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5D288AF7">
      <w:pPr>
        <w:pStyle w:val="15"/>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0FD2A028">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22A26A34">
      <w:pPr>
        <w:pStyle w:val="53"/>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49439760">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14:paraId="0AF93AFB">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32F46C0A">
      <w:pPr>
        <w:pStyle w:val="53"/>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9F4B990">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具有履行合同所必需的产品和专业技术能力的承诺函；</w:t>
      </w:r>
    </w:p>
    <w:p w14:paraId="1BFE3AB6">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投标人承诺函（格式见附件）；</w:t>
      </w:r>
    </w:p>
    <w:p w14:paraId="3EF48497">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 xml:space="preserve">中小企业声明函（格式见附件）； </w:t>
      </w:r>
    </w:p>
    <w:p w14:paraId="09A62D77">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残疾人福利性单位声明函（如有）（格式见附件）；</w:t>
      </w:r>
    </w:p>
    <w:p w14:paraId="015194C9">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监狱企业证明文件（如有）（格式见附件）；</w:t>
      </w:r>
    </w:p>
    <w:p w14:paraId="730A287B">
      <w:pPr>
        <w:pStyle w:val="53"/>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25B0C020">
      <w:pPr>
        <w:numPr>
          <w:ilvl w:val="0"/>
          <w:numId w:val="11"/>
        </w:num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评分对应表（格式见附件，主要用于评委对应评分内容）</w:t>
      </w:r>
    </w:p>
    <w:p w14:paraId="169F6E45">
      <w:pPr>
        <w:numPr>
          <w:ilvl w:val="0"/>
          <w:numId w:val="11"/>
        </w:num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供应商商务技术文件中资信分自评表（格式见附件）；</w:t>
      </w:r>
    </w:p>
    <w:p w14:paraId="23A28735">
      <w:pPr>
        <w:numPr>
          <w:ilvl w:val="0"/>
          <w:numId w:val="11"/>
        </w:num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磋商项目明细清单（格式见附件）；</w:t>
      </w:r>
    </w:p>
    <w:p w14:paraId="788A711B">
      <w:pPr>
        <w:numPr>
          <w:ilvl w:val="0"/>
          <w:numId w:val="11"/>
        </w:num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技术响应及建议表（格式见附件）；</w:t>
      </w:r>
    </w:p>
    <w:p w14:paraId="1624A50C">
      <w:pPr>
        <w:numPr>
          <w:ilvl w:val="0"/>
          <w:numId w:val="11"/>
        </w:num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商务响应表（格式见附件）；</w:t>
      </w:r>
    </w:p>
    <w:p w14:paraId="15E227D6">
      <w:pPr>
        <w:numPr>
          <w:ilvl w:val="0"/>
          <w:numId w:val="11"/>
        </w:num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重难点分析</w:t>
      </w:r>
      <w:r>
        <w:rPr>
          <w:rFonts w:hint="eastAsia" w:ascii="宋体" w:hAnsi="宋体" w:eastAsia="宋体" w:cs="宋体"/>
          <w:color w:val="auto"/>
          <w:kern w:val="2"/>
          <w:sz w:val="24"/>
          <w:szCs w:val="24"/>
          <w:highlight w:val="none"/>
          <w:lang w:val="en-US" w:eastAsia="zh-CN"/>
        </w:rPr>
        <w:t>；</w:t>
      </w:r>
    </w:p>
    <w:p w14:paraId="462CB30E">
      <w:pPr>
        <w:numPr>
          <w:ilvl w:val="0"/>
          <w:numId w:val="11"/>
        </w:num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安保服务理念</w:t>
      </w:r>
      <w:r>
        <w:rPr>
          <w:rFonts w:hint="eastAsia" w:ascii="宋体" w:hAnsi="宋体" w:eastAsia="宋体" w:cs="宋体"/>
          <w:color w:val="auto"/>
          <w:kern w:val="2"/>
          <w:sz w:val="24"/>
          <w:szCs w:val="24"/>
          <w:highlight w:val="none"/>
          <w:lang w:eastAsia="zh-CN"/>
        </w:rPr>
        <w:t>；</w:t>
      </w:r>
    </w:p>
    <w:p w14:paraId="2104A707">
      <w:pPr>
        <w:numPr>
          <w:ilvl w:val="0"/>
          <w:numId w:val="11"/>
        </w:num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安保服务方案</w:t>
      </w:r>
      <w:r>
        <w:rPr>
          <w:rFonts w:hint="eastAsia" w:ascii="宋体" w:hAnsi="宋体" w:eastAsia="宋体" w:cs="宋体"/>
          <w:color w:val="auto"/>
          <w:kern w:val="2"/>
          <w:sz w:val="24"/>
          <w:szCs w:val="24"/>
          <w:highlight w:val="none"/>
          <w:lang w:eastAsia="zh-CN"/>
        </w:rPr>
        <w:t>；</w:t>
      </w:r>
    </w:p>
    <w:p w14:paraId="2B988E5C">
      <w:pPr>
        <w:numPr>
          <w:ilvl w:val="0"/>
          <w:numId w:val="11"/>
        </w:num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安保服务组织架构；</w:t>
      </w:r>
    </w:p>
    <w:p w14:paraId="753F4DC1">
      <w:pPr>
        <w:numPr>
          <w:ilvl w:val="0"/>
          <w:numId w:val="11"/>
        </w:num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人员配置；</w:t>
      </w:r>
    </w:p>
    <w:p w14:paraId="22D7674B">
      <w:pPr>
        <w:numPr>
          <w:ilvl w:val="0"/>
          <w:numId w:val="11"/>
        </w:num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项目组人员清单（格式见附件）</w:t>
      </w:r>
      <w:r>
        <w:rPr>
          <w:rFonts w:hint="eastAsia" w:ascii="宋体" w:hAnsi="宋体" w:eastAsia="宋体" w:cs="宋体"/>
          <w:color w:val="auto"/>
          <w:kern w:val="2"/>
          <w:sz w:val="24"/>
          <w:szCs w:val="24"/>
          <w:highlight w:val="none"/>
          <w:lang w:eastAsia="zh-CN"/>
        </w:rPr>
        <w:t>；</w:t>
      </w:r>
    </w:p>
    <w:p w14:paraId="49A97BFF">
      <w:pPr>
        <w:numPr>
          <w:ilvl w:val="0"/>
          <w:numId w:val="11"/>
        </w:num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装备配备</w:t>
      </w:r>
      <w:r>
        <w:rPr>
          <w:rFonts w:hint="eastAsia" w:ascii="宋体" w:hAnsi="宋体" w:eastAsia="宋体" w:cs="宋体"/>
          <w:color w:val="auto"/>
          <w:kern w:val="2"/>
          <w:sz w:val="24"/>
          <w:szCs w:val="24"/>
          <w:highlight w:val="none"/>
          <w:lang w:eastAsia="zh-CN"/>
        </w:rPr>
        <w:t>方案</w:t>
      </w:r>
      <w:r>
        <w:rPr>
          <w:rFonts w:hint="eastAsia" w:ascii="宋体" w:hAnsi="宋体" w:eastAsia="宋体" w:cs="宋体"/>
          <w:color w:val="auto"/>
          <w:kern w:val="2"/>
          <w:sz w:val="24"/>
          <w:szCs w:val="24"/>
          <w:highlight w:val="none"/>
          <w:lang w:val="en-US" w:eastAsia="zh-CN"/>
        </w:rPr>
        <w:t>；</w:t>
      </w:r>
    </w:p>
    <w:p w14:paraId="0228DE04">
      <w:pPr>
        <w:numPr>
          <w:ilvl w:val="0"/>
          <w:numId w:val="11"/>
        </w:num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应急预案及措施</w:t>
      </w:r>
      <w:r>
        <w:rPr>
          <w:rFonts w:hint="eastAsia" w:ascii="宋体" w:hAnsi="宋体" w:eastAsia="宋体" w:cs="宋体"/>
          <w:color w:val="auto"/>
          <w:kern w:val="2"/>
          <w:sz w:val="24"/>
          <w:szCs w:val="24"/>
          <w:highlight w:val="none"/>
          <w:lang w:eastAsia="zh-CN"/>
        </w:rPr>
        <w:t>；</w:t>
      </w:r>
    </w:p>
    <w:p w14:paraId="2738086D">
      <w:pPr>
        <w:numPr>
          <w:ilvl w:val="0"/>
          <w:numId w:val="11"/>
        </w:num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服务响应能力</w:t>
      </w:r>
      <w:r>
        <w:rPr>
          <w:rFonts w:hint="eastAsia" w:ascii="宋体" w:hAnsi="宋体" w:eastAsia="宋体" w:cs="宋体"/>
          <w:color w:val="auto"/>
          <w:kern w:val="2"/>
          <w:sz w:val="24"/>
          <w:szCs w:val="24"/>
          <w:highlight w:val="none"/>
          <w:lang w:eastAsia="zh-CN"/>
        </w:rPr>
        <w:t>；</w:t>
      </w:r>
    </w:p>
    <w:p w14:paraId="7FA831FA">
      <w:pPr>
        <w:numPr>
          <w:ilvl w:val="0"/>
          <w:numId w:val="11"/>
        </w:num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认证证书；</w:t>
      </w:r>
    </w:p>
    <w:p w14:paraId="1D410034">
      <w:pPr>
        <w:numPr>
          <w:ilvl w:val="0"/>
          <w:numId w:val="11"/>
        </w:num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供应商实力；</w:t>
      </w:r>
    </w:p>
    <w:p w14:paraId="2DB8A2D5">
      <w:pPr>
        <w:numPr>
          <w:ilvl w:val="0"/>
          <w:numId w:val="11"/>
        </w:numPr>
        <w:spacing w:line="360" w:lineRule="auto"/>
        <w:ind w:firstLine="480" w:firstLineChars="200"/>
        <w:rPr>
          <w:rFonts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rPr>
        <w:t>供应商认为需要的其他文件资料。</w:t>
      </w:r>
      <w:r>
        <w:rPr>
          <w:rFonts w:hint="eastAsia" w:ascii="宋体" w:hAnsi="Times New Roman" w:eastAsia="宋体" w:cs="Times New Roman"/>
          <w:color w:val="auto"/>
          <w:kern w:val="2"/>
          <w:sz w:val="24"/>
          <w:szCs w:val="24"/>
          <w:highlight w:val="none"/>
        </w:rPr>
        <w:t xml:space="preserve"> </w:t>
      </w:r>
    </w:p>
    <w:p w14:paraId="462F76FC">
      <w:pPr>
        <w:widowControl w:val="0"/>
        <w:tabs>
          <w:tab w:val="left" w:pos="0"/>
        </w:tabs>
        <w:adjustRightInd w:val="0"/>
        <w:spacing w:before="0" w:after="120" w:line="336" w:lineRule="auto"/>
        <w:ind w:firstLine="480" w:firstLineChars="200"/>
        <w:jc w:val="both"/>
        <w:rPr>
          <w:rFonts w:ascii="宋体"/>
          <w:color w:val="auto"/>
          <w:highlight w:val="none"/>
        </w:rPr>
      </w:pPr>
      <w:r>
        <w:rPr>
          <w:rFonts w:hint="eastAsia" w:ascii="宋体" w:hAnsi="宋体" w:eastAsia="宋体" w:cs="宋体"/>
          <w:color w:val="auto"/>
          <w:kern w:val="2"/>
          <w:sz w:val="24"/>
          <w:szCs w:val="24"/>
          <w:highlight w:val="none"/>
          <w:lang w:val="en-US" w:eastAsia="zh-CN" w:bidi="ar-SA"/>
        </w:rPr>
        <w:t>注：以上内容应与评标办法中内容具有一致性</w:t>
      </w:r>
      <w:r>
        <w:rPr>
          <w:rFonts w:hint="eastAsia" w:ascii="宋体" w:hAnsi="宋体" w:cs="宋体"/>
          <w:color w:val="auto"/>
          <w:highlight w:val="none"/>
        </w:rPr>
        <w:t>。</w:t>
      </w:r>
    </w:p>
    <w:p w14:paraId="63ED86D7">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68B1221A">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7728913">
      <w:pPr>
        <w:pStyle w:val="53"/>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34F7D486">
      <w:pPr>
        <w:pStyle w:val="53"/>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59AA670A">
      <w:pPr>
        <w:pStyle w:val="53"/>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6F2E1478">
      <w:pPr>
        <w:pStyle w:val="53"/>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4EAE99DC">
      <w:pPr>
        <w:pStyle w:val="53"/>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57A59869">
      <w:pPr>
        <w:pStyle w:val="53"/>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4F5E3D74">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46C00947">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03605D9B">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41EB5CA9">
      <w:pPr>
        <w:pStyle w:val="53"/>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0F8E37B3">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0F14295D">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1265016B">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65CA2A8C">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48B67447">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1D5A39F2">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786CFC26">
      <w:pPr>
        <w:pStyle w:val="53"/>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2C8282DC">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36786B1F">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w:t>
      </w:r>
      <w:r>
        <w:rPr>
          <w:rFonts w:hint="eastAsia" w:ascii="宋体" w:hAnsi="宋体" w:cs="宋体"/>
          <w:color w:val="auto"/>
          <w:highlight w:val="none"/>
          <w:lang w:eastAsia="zh-CN"/>
        </w:rPr>
        <w:t>需</w:t>
      </w:r>
      <w:r>
        <w:rPr>
          <w:rFonts w:hint="eastAsia" w:ascii="宋体" w:hAnsi="宋体" w:cs="宋体"/>
          <w:color w:val="auto"/>
          <w:highlight w:val="none"/>
        </w:rPr>
        <w:t>加盖公章部分均应采用电子签章）</w:t>
      </w:r>
    </w:p>
    <w:p w14:paraId="09CCD3A9">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38067E0E">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58C1E865">
      <w:pPr>
        <w:pStyle w:val="53"/>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w:t>
      </w:r>
      <w:r>
        <w:rPr>
          <w:rFonts w:ascii="宋体" w:hAnsi="宋体" w:cs="宋体"/>
          <w:b/>
          <w:bCs/>
          <w:color w:val="auto"/>
          <w:highlight w:val="none"/>
        </w:rPr>
        <w:t xml:space="preserve"> </w:t>
      </w:r>
      <w:r>
        <w:rPr>
          <w:rFonts w:hint="eastAsia" w:ascii="宋体" w:hAnsi="宋体" w:cs="宋体"/>
          <w:b/>
          <w:bCs/>
          <w:color w:val="auto"/>
          <w:highlight w:val="none"/>
        </w:rPr>
        <w:t>响应文件的形式</w:t>
      </w:r>
    </w:p>
    <w:p w14:paraId="436C274C">
      <w:pPr>
        <w:pStyle w:val="53"/>
        <w:spacing w:before="0" w:line="336" w:lineRule="auto"/>
        <w:ind w:left="400" w:leftChars="200" w:firstLine="0" w:firstLineChars="0"/>
        <w:rPr>
          <w:rFonts w:ascii="宋体" w:hAnsi="宋体" w:cs="宋体"/>
          <w:color w:val="auto"/>
          <w:highlight w:val="none"/>
        </w:rPr>
      </w:pPr>
      <w:r>
        <w:rPr>
          <w:rFonts w:hint="eastAsia" w:ascii="宋体" w:hAnsi="宋体" w:cs="宋体"/>
          <w:color w:val="auto"/>
          <w:highlight w:val="none"/>
        </w:rPr>
        <w:t>响应文件为电子磋商响应文件，电子磋商响应文件按“政采云供应商项目采购－电子招投标操作指南”及本磋商文件要求制作、加密传输。</w:t>
      </w:r>
    </w:p>
    <w:p w14:paraId="64A60AC7">
      <w:pPr>
        <w:pStyle w:val="53"/>
        <w:spacing w:before="0" w:line="336" w:lineRule="auto"/>
        <w:ind w:left="400" w:leftChars="200" w:firstLine="0" w:firstLineChars="0"/>
        <w:rPr>
          <w:rFonts w:ascii="宋体" w:hAnsi="宋体" w:cs="宋体"/>
          <w:color w:val="auto"/>
          <w:highlight w:val="none"/>
        </w:rPr>
      </w:pPr>
    </w:p>
    <w:p w14:paraId="70238555">
      <w:pPr>
        <w:pStyle w:val="3"/>
        <w:numPr>
          <w:ilvl w:val="0"/>
          <w:numId w:val="8"/>
        </w:numPr>
        <w:jc w:val="center"/>
        <w:rPr>
          <w:rFonts w:cs="Times New Roman"/>
          <w:color w:val="auto"/>
          <w:highlight w:val="none"/>
        </w:rPr>
      </w:pPr>
      <w:bookmarkStart w:id="96" w:name="_Toc1420"/>
      <w:r>
        <w:rPr>
          <w:color w:val="auto"/>
          <w:highlight w:val="none"/>
        </w:rPr>
        <w:t xml:space="preserve"> </w:t>
      </w:r>
      <w:bookmarkStart w:id="97" w:name="_Toc32523"/>
      <w:bookmarkStart w:id="98" w:name="_Toc919"/>
      <w:bookmarkStart w:id="99" w:name="_Toc21266"/>
      <w:r>
        <w:rPr>
          <w:rFonts w:hint="eastAsia"/>
          <w:color w:val="auto"/>
          <w:highlight w:val="none"/>
        </w:rPr>
        <w:t>响应文件的递交</w:t>
      </w:r>
      <w:bookmarkEnd w:id="96"/>
      <w:bookmarkEnd w:id="97"/>
      <w:bookmarkEnd w:id="98"/>
      <w:bookmarkEnd w:id="99"/>
    </w:p>
    <w:p w14:paraId="3FCD33D3">
      <w:pPr>
        <w:pStyle w:val="15"/>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18632DC4">
      <w:pPr>
        <w:pStyle w:val="53"/>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30DA45DC">
      <w:pPr>
        <w:pStyle w:val="53"/>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1A27A5E9">
      <w:pPr>
        <w:pStyle w:val="15"/>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7FCDAF48">
      <w:pPr>
        <w:pStyle w:val="15"/>
        <w:spacing w:line="336" w:lineRule="auto"/>
        <w:ind w:firstLine="480" w:firstLineChars="200"/>
        <w:rPr>
          <w:rFonts w:hAnsi="宋体"/>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41FBFDCE">
      <w:pPr>
        <w:rPr>
          <w:color w:val="auto"/>
          <w:highlight w:val="none"/>
        </w:rPr>
      </w:pPr>
    </w:p>
    <w:p w14:paraId="414B3583">
      <w:pPr>
        <w:pStyle w:val="3"/>
        <w:numPr>
          <w:ilvl w:val="0"/>
          <w:numId w:val="8"/>
        </w:numPr>
        <w:jc w:val="center"/>
        <w:rPr>
          <w:rFonts w:cs="Times New Roman"/>
          <w:color w:val="auto"/>
          <w:highlight w:val="none"/>
        </w:rPr>
      </w:pPr>
      <w:r>
        <w:rPr>
          <w:color w:val="auto"/>
          <w:highlight w:val="none"/>
        </w:rPr>
        <w:t xml:space="preserve"> </w:t>
      </w:r>
      <w:bookmarkStart w:id="100" w:name="_Toc24120"/>
      <w:bookmarkStart w:id="101" w:name="_Toc21139"/>
      <w:bookmarkStart w:id="102" w:name="_Toc31149"/>
      <w:r>
        <w:rPr>
          <w:rFonts w:hint="eastAsia"/>
          <w:color w:val="auto"/>
          <w:highlight w:val="none"/>
        </w:rPr>
        <w:t>磋商无效的情形</w:t>
      </w:r>
      <w:bookmarkEnd w:id="100"/>
      <w:bookmarkEnd w:id="101"/>
      <w:bookmarkEnd w:id="102"/>
    </w:p>
    <w:p w14:paraId="79354D21">
      <w:pPr>
        <w:pStyle w:val="15"/>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4ECA94CF">
      <w:pPr>
        <w:pStyle w:val="15"/>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3820C09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1E448C2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0AFAD5A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79C2B3D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73E68FA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79294E1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因未按规定的格式填写，内容不全或主要实质性内容字迹模糊辨认不清，经评标委员会认定为无法评审的；</w:t>
      </w:r>
    </w:p>
    <w:p w14:paraId="47213D7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出现同一标的物或本次采购产品（服务）内的主要产品（重要组成部分）出现技术、商务描述不一致或前后描述不一致，经评标委员会认定后为无法评审的；</w:t>
      </w:r>
    </w:p>
    <w:p w14:paraId="6935934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468E27E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4354206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15BE0CF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165B667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610AB16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6A8FA0F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1A80B23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59EB85D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1545671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33CB63E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1442046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7B617A1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6EFBC4BC">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635AB4E6">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16.17  其他违反法律法规的情形。</w:t>
      </w:r>
    </w:p>
    <w:p w14:paraId="61B3D274">
      <w:pPr>
        <w:pStyle w:val="3"/>
        <w:rPr>
          <w:color w:val="auto"/>
          <w:highlight w:val="none"/>
        </w:rPr>
      </w:pPr>
    </w:p>
    <w:p w14:paraId="7D10003B">
      <w:pPr>
        <w:pStyle w:val="3"/>
        <w:numPr>
          <w:ilvl w:val="0"/>
          <w:numId w:val="8"/>
        </w:numPr>
        <w:jc w:val="center"/>
        <w:rPr>
          <w:rFonts w:cs="Times New Roman"/>
          <w:color w:val="auto"/>
          <w:highlight w:val="none"/>
        </w:rPr>
      </w:pPr>
      <w:r>
        <w:rPr>
          <w:color w:val="auto"/>
          <w:highlight w:val="none"/>
        </w:rPr>
        <w:t xml:space="preserve"> </w:t>
      </w:r>
      <w:bookmarkStart w:id="103" w:name="_Toc21752"/>
      <w:bookmarkStart w:id="104" w:name="_Toc5010"/>
      <w:bookmarkStart w:id="105" w:name="_Toc6023"/>
      <w:r>
        <w:rPr>
          <w:rFonts w:hint="eastAsia"/>
          <w:color w:val="auto"/>
          <w:highlight w:val="none"/>
        </w:rPr>
        <w:t>采购中止的情形</w:t>
      </w:r>
      <w:bookmarkEnd w:id="103"/>
      <w:bookmarkEnd w:id="104"/>
      <w:bookmarkEnd w:id="105"/>
    </w:p>
    <w:p w14:paraId="282CB720">
      <w:pPr>
        <w:pStyle w:val="15"/>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72145568">
      <w:pPr>
        <w:pStyle w:val="53"/>
        <w:tabs>
          <w:tab w:val="left" w:pos="0"/>
        </w:tabs>
        <w:spacing w:before="0" w:line="336" w:lineRule="auto"/>
        <w:ind w:left="40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6682F814">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23E363EE">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5A0FF562">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0247BD8F">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3FCB44A1">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0FFB637A">
      <w:pPr>
        <w:pStyle w:val="53"/>
        <w:tabs>
          <w:tab w:val="left" w:pos="0"/>
        </w:tabs>
        <w:spacing w:before="0" w:line="336" w:lineRule="auto"/>
        <w:ind w:firstLine="480"/>
        <w:rPr>
          <w:rFonts w:ascii="宋体" w:hAnsi="宋体" w:cs="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798C8B2">
      <w:pPr>
        <w:pStyle w:val="53"/>
        <w:tabs>
          <w:tab w:val="left" w:pos="0"/>
        </w:tabs>
        <w:spacing w:before="0" w:line="336" w:lineRule="auto"/>
        <w:ind w:firstLine="480"/>
        <w:rPr>
          <w:rFonts w:ascii="宋体" w:hAnsi="宋体" w:cs="宋体"/>
          <w:color w:val="auto"/>
          <w:highlight w:val="none"/>
        </w:rPr>
      </w:pPr>
    </w:p>
    <w:p w14:paraId="2D1B729A">
      <w:pPr>
        <w:pStyle w:val="3"/>
        <w:numPr>
          <w:ilvl w:val="0"/>
          <w:numId w:val="8"/>
        </w:numPr>
        <w:jc w:val="center"/>
        <w:rPr>
          <w:rFonts w:cs="Times New Roman"/>
          <w:color w:val="auto"/>
          <w:highlight w:val="none"/>
        </w:rPr>
      </w:pPr>
      <w:r>
        <w:rPr>
          <w:color w:val="auto"/>
          <w:highlight w:val="none"/>
        </w:rPr>
        <w:t xml:space="preserve"> </w:t>
      </w:r>
      <w:bookmarkStart w:id="106" w:name="_Toc5935"/>
      <w:bookmarkStart w:id="107" w:name="_Toc24496"/>
      <w:bookmarkStart w:id="108" w:name="_Toc14029"/>
      <w:r>
        <w:rPr>
          <w:rFonts w:hint="eastAsia"/>
          <w:color w:val="auto"/>
          <w:highlight w:val="none"/>
        </w:rPr>
        <w:t>确定成交供应商与签订合同</w:t>
      </w:r>
      <w:bookmarkEnd w:id="106"/>
      <w:bookmarkEnd w:id="107"/>
      <w:bookmarkEnd w:id="108"/>
    </w:p>
    <w:p w14:paraId="5D1B818E">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14C9B073">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24E6B423">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3E0DF535">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073DE29A">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FDE13D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21F03F45">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75D6FCA1">
      <w:pPr>
        <w:pStyle w:val="53"/>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5054D064">
      <w:pPr>
        <w:pStyle w:val="53"/>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7A8C422C">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091FEEC2">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绍兴市上虞第二人民医院</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浙江天平项目咨询有限公司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A9A7249">
      <w:pPr>
        <w:pStyle w:val="2"/>
        <w:jc w:val="center"/>
        <w:rPr>
          <w:rFonts w:cs="Times New Roman"/>
          <w:color w:val="auto"/>
          <w:sz w:val="36"/>
          <w:szCs w:val="36"/>
          <w:highlight w:val="none"/>
        </w:rPr>
      </w:pPr>
      <w:r>
        <w:rPr>
          <w:color w:val="auto"/>
          <w:sz w:val="36"/>
          <w:szCs w:val="36"/>
          <w:highlight w:val="none"/>
        </w:rPr>
        <w:br w:type="page"/>
      </w:r>
      <w:bookmarkStart w:id="109" w:name="_Toc21248"/>
      <w:bookmarkStart w:id="110" w:name="_Toc17203"/>
      <w:bookmarkStart w:id="111" w:name="_Toc17731"/>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109"/>
      <w:bookmarkEnd w:id="110"/>
      <w:bookmarkEnd w:id="111"/>
    </w:p>
    <w:p w14:paraId="6122D29D">
      <w:pPr>
        <w:keepNext/>
        <w:widowControl w:val="0"/>
        <w:spacing w:line="216" w:lineRule="auto"/>
        <w:jc w:val="center"/>
        <w:outlineLvl w:val="1"/>
        <w:rPr>
          <w:rFonts w:ascii="宋体" w:hAnsi="Calibri" w:eastAsia="宋体" w:cs="宋体"/>
          <w:b/>
          <w:bCs/>
          <w:color w:val="auto"/>
          <w:kern w:val="2"/>
          <w:sz w:val="28"/>
          <w:szCs w:val="28"/>
          <w:highlight w:val="none"/>
          <w:lang w:val="en-US" w:eastAsia="zh-CN" w:bidi="ar-SA"/>
        </w:rPr>
      </w:pPr>
      <w:bookmarkStart w:id="112" w:name="_Toc11300"/>
      <w:bookmarkStart w:id="113" w:name="_Toc15284"/>
      <w:bookmarkStart w:id="114" w:name="_Toc18895"/>
      <w:r>
        <w:rPr>
          <w:rFonts w:hint="eastAsia" w:ascii="宋体" w:hAnsi="Calibri" w:eastAsia="宋体" w:cs="宋体"/>
          <w:b/>
          <w:bCs/>
          <w:color w:val="auto"/>
          <w:kern w:val="2"/>
          <w:sz w:val="28"/>
          <w:szCs w:val="28"/>
          <w:highlight w:val="none"/>
          <w:lang w:val="en-US" w:eastAsia="zh-CN" w:bidi="ar-SA"/>
        </w:rPr>
        <w:t>第一章 采购内容及要求</w:t>
      </w:r>
      <w:bookmarkEnd w:id="112"/>
    </w:p>
    <w:p w14:paraId="1BAF938D">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kern w:val="2"/>
          <w:sz w:val="24"/>
          <w:szCs w:val="24"/>
          <w:highlight w:val="none"/>
        </w:rPr>
      </w:pPr>
      <w:bookmarkStart w:id="115" w:name="_Toc83283744"/>
      <w:bookmarkStart w:id="116" w:name="_Toc20445"/>
      <w:bookmarkStart w:id="117" w:name="_Toc10260"/>
      <w:r>
        <w:rPr>
          <w:rFonts w:hint="eastAsia" w:ascii="宋体" w:hAnsi="宋体" w:eastAsia="宋体" w:cs="宋体"/>
          <w:b/>
          <w:bCs/>
          <w:color w:val="auto"/>
          <w:kern w:val="2"/>
          <w:sz w:val="24"/>
          <w:szCs w:val="24"/>
          <w:highlight w:val="none"/>
        </w:rPr>
        <w:t>项目介绍</w:t>
      </w:r>
    </w:p>
    <w:p w14:paraId="2164F55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绍兴市上虞第二人民医院是一家二级甲等综合性医院。占地面积56亩，建筑面积30000余平方米，座落于上虞区崧厦街道。医院现开放床位280张，设6个住院病区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本次安保服务主要内容：治安、监控、消防、门岗、控烟、</w:t>
      </w:r>
      <w:r>
        <w:rPr>
          <w:rFonts w:hint="eastAsia" w:ascii="宋体" w:hAnsi="宋体" w:eastAsia="宋体" w:cs="宋体"/>
          <w:color w:val="auto"/>
          <w:kern w:val="2"/>
          <w:sz w:val="24"/>
          <w:szCs w:val="24"/>
          <w:highlight w:val="none"/>
          <w:lang w:eastAsia="zh-CN"/>
        </w:rPr>
        <w:t>车辆管理</w:t>
      </w:r>
      <w:r>
        <w:rPr>
          <w:rFonts w:hint="eastAsia" w:ascii="宋体" w:hAnsi="宋体" w:eastAsia="宋体" w:cs="宋体"/>
          <w:color w:val="auto"/>
          <w:kern w:val="2"/>
          <w:sz w:val="24"/>
          <w:szCs w:val="24"/>
          <w:highlight w:val="none"/>
        </w:rPr>
        <w:t>等工作，做好防火、防盗、防爆、防破坏、防恐怖、防自然灾害、处置突发事件、协助处理医患纠纷等工作，保持医院正常的医疗秩序，有效保护医务人员的人身安全，保障院内交通顺畅，停车有序，保障医院重大活动的保安等工作。</w:t>
      </w:r>
    </w:p>
    <w:p w14:paraId="4E58C0C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服务期限</w:t>
      </w:r>
    </w:p>
    <w:p w14:paraId="31D07D9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服务期限为二</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具体以合同签订期限为准。</w:t>
      </w:r>
    </w:p>
    <w:p w14:paraId="7C97F1A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安保</w:t>
      </w:r>
      <w:r>
        <w:rPr>
          <w:rFonts w:hint="eastAsia" w:ascii="宋体" w:hAnsi="宋体" w:eastAsia="宋体" w:cs="宋体"/>
          <w:b/>
          <w:bCs/>
          <w:color w:val="auto"/>
          <w:kern w:val="2"/>
          <w:sz w:val="24"/>
          <w:szCs w:val="24"/>
          <w:highlight w:val="none"/>
          <w:lang w:eastAsia="zh-CN"/>
        </w:rPr>
        <w:t>人员岗位</w:t>
      </w:r>
      <w:r>
        <w:rPr>
          <w:rFonts w:hint="eastAsia" w:ascii="宋体" w:hAnsi="宋体" w:eastAsia="宋体" w:cs="宋体"/>
          <w:b/>
          <w:bCs/>
          <w:color w:val="auto"/>
          <w:kern w:val="2"/>
          <w:sz w:val="24"/>
          <w:szCs w:val="24"/>
          <w:highlight w:val="none"/>
        </w:rPr>
        <w:t>要求</w:t>
      </w:r>
    </w:p>
    <w:tbl>
      <w:tblPr>
        <w:tblStyle w:val="28"/>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791"/>
        <w:gridCol w:w="3695"/>
        <w:gridCol w:w="1568"/>
        <w:gridCol w:w="1350"/>
      </w:tblGrid>
      <w:tr w14:paraId="2D69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02" w:type="dxa"/>
            <w:noWrap w:val="0"/>
            <w:vAlign w:val="center"/>
          </w:tcPr>
          <w:p w14:paraId="3C6BCCD8">
            <w:pPr>
              <w:keepNext w:val="0"/>
              <w:keepLines w:val="0"/>
              <w:pageBreakBefore w:val="0"/>
              <w:tabs>
                <w:tab w:val="left" w:pos="2361"/>
              </w:tabs>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b/>
                <w:color w:val="auto"/>
                <w:kern w:val="2"/>
                <w:sz w:val="24"/>
                <w:szCs w:val="24"/>
                <w:highlight w:val="none"/>
              </w:rPr>
              <w:t>岗位</w:t>
            </w:r>
          </w:p>
        </w:tc>
        <w:tc>
          <w:tcPr>
            <w:tcW w:w="791" w:type="dxa"/>
            <w:noWrap w:val="0"/>
            <w:vAlign w:val="center"/>
          </w:tcPr>
          <w:p w14:paraId="2389EEE8">
            <w:pPr>
              <w:keepNext w:val="0"/>
              <w:keepLines w:val="0"/>
              <w:pageBreakBefore w:val="0"/>
              <w:tabs>
                <w:tab w:val="left" w:pos="2361"/>
              </w:tabs>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b/>
                <w:color w:val="auto"/>
                <w:kern w:val="2"/>
                <w:sz w:val="24"/>
                <w:szCs w:val="24"/>
                <w:highlight w:val="none"/>
                <w:lang w:val="en-US" w:eastAsia="zh-CN"/>
              </w:rPr>
              <w:t>数量</w:t>
            </w:r>
          </w:p>
        </w:tc>
        <w:tc>
          <w:tcPr>
            <w:tcW w:w="3695" w:type="dxa"/>
            <w:noWrap w:val="0"/>
            <w:vAlign w:val="center"/>
          </w:tcPr>
          <w:p w14:paraId="7E88AC11">
            <w:pPr>
              <w:keepNext w:val="0"/>
              <w:keepLines w:val="0"/>
              <w:pageBreakBefore w:val="0"/>
              <w:tabs>
                <w:tab w:val="left" w:pos="2361"/>
              </w:tabs>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b/>
                <w:color w:val="auto"/>
                <w:kern w:val="2"/>
                <w:sz w:val="24"/>
                <w:szCs w:val="24"/>
                <w:highlight w:val="none"/>
              </w:rPr>
              <w:t>岗位说明</w:t>
            </w:r>
          </w:p>
        </w:tc>
        <w:tc>
          <w:tcPr>
            <w:tcW w:w="2918" w:type="dxa"/>
            <w:gridSpan w:val="2"/>
            <w:noWrap w:val="0"/>
            <w:vAlign w:val="center"/>
          </w:tcPr>
          <w:p w14:paraId="4D162551">
            <w:pPr>
              <w:keepNext w:val="0"/>
              <w:keepLines w:val="0"/>
              <w:pageBreakBefore w:val="0"/>
              <w:tabs>
                <w:tab w:val="left" w:pos="2361"/>
              </w:tabs>
              <w:kinsoku/>
              <w:wordWrap/>
              <w:overflowPunct/>
              <w:topLinePunct w:val="0"/>
              <w:autoSpaceDE/>
              <w:autoSpaceDN/>
              <w:bidi w:val="0"/>
              <w:adjustRightInd/>
              <w:snapToGrid/>
              <w:spacing w:line="288" w:lineRule="auto"/>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w:t>
            </w:r>
          </w:p>
        </w:tc>
      </w:tr>
      <w:tr w14:paraId="16F2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noWrap w:val="0"/>
            <w:vAlign w:val="center"/>
          </w:tcPr>
          <w:p w14:paraId="22C27695">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lang w:eastAsia="zh-CN"/>
              </w:rPr>
              <w:t>队长</w:t>
            </w:r>
          </w:p>
        </w:tc>
        <w:tc>
          <w:tcPr>
            <w:tcW w:w="791" w:type="dxa"/>
            <w:noWrap w:val="0"/>
            <w:vAlign w:val="center"/>
          </w:tcPr>
          <w:p w14:paraId="14C84577">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岗</w:t>
            </w:r>
          </w:p>
        </w:tc>
        <w:tc>
          <w:tcPr>
            <w:tcW w:w="3695" w:type="dxa"/>
            <w:noWrap w:val="0"/>
            <w:vAlign w:val="center"/>
          </w:tcPr>
          <w:p w14:paraId="546585FB">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rPr>
              <w:t>负责保安队伍管理</w:t>
            </w:r>
            <w:r>
              <w:rPr>
                <w:rFonts w:hint="eastAsia" w:ascii="宋体" w:hAnsi="宋体" w:eastAsia="宋体" w:cs="宋体"/>
                <w:color w:val="auto"/>
                <w:kern w:val="2"/>
                <w:sz w:val="24"/>
                <w:szCs w:val="24"/>
                <w:highlight w:val="none"/>
                <w:lang w:eastAsia="zh-CN"/>
              </w:rPr>
              <w:t>和白天院内巡逻及交通车辆管理</w:t>
            </w:r>
          </w:p>
        </w:tc>
        <w:tc>
          <w:tcPr>
            <w:tcW w:w="1568" w:type="dxa"/>
            <w:noWrap w:val="0"/>
            <w:vAlign w:val="center"/>
          </w:tcPr>
          <w:p w14:paraId="085F0488">
            <w:pPr>
              <w:keepNext w:val="0"/>
              <w:keepLines w:val="0"/>
              <w:pageBreakBefore w:val="0"/>
              <w:tabs>
                <w:tab w:val="left" w:pos="2361"/>
              </w:tabs>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eastAsia="zh-CN"/>
              </w:rPr>
            </w:pPr>
          </w:p>
        </w:tc>
        <w:tc>
          <w:tcPr>
            <w:tcW w:w="1350" w:type="dxa"/>
            <w:noWrap w:val="0"/>
            <w:vAlign w:val="center"/>
          </w:tcPr>
          <w:p w14:paraId="5D54207C">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rPr>
              <w:t>保安证</w:t>
            </w:r>
          </w:p>
        </w:tc>
      </w:tr>
      <w:tr w14:paraId="32F5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2" w:type="dxa"/>
            <w:noWrap w:val="0"/>
            <w:vAlign w:val="center"/>
          </w:tcPr>
          <w:p w14:paraId="3DCBA44F">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警务室</w:t>
            </w:r>
          </w:p>
        </w:tc>
        <w:tc>
          <w:tcPr>
            <w:tcW w:w="791" w:type="dxa"/>
            <w:noWrap w:val="0"/>
            <w:vAlign w:val="center"/>
          </w:tcPr>
          <w:p w14:paraId="5ACD891A">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en-US" w:eastAsia="zh-CN"/>
              </w:rPr>
              <w:t>岗</w:t>
            </w:r>
          </w:p>
        </w:tc>
        <w:tc>
          <w:tcPr>
            <w:tcW w:w="3695" w:type="dxa"/>
            <w:noWrap w:val="0"/>
            <w:vAlign w:val="center"/>
          </w:tcPr>
          <w:p w14:paraId="7221FCE8">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w:t>
            </w:r>
            <w:r>
              <w:rPr>
                <w:rFonts w:hint="eastAsia" w:ascii="宋体" w:hAnsi="宋体" w:eastAsia="宋体" w:cs="宋体"/>
                <w:color w:val="auto"/>
                <w:kern w:val="2"/>
                <w:sz w:val="24"/>
                <w:szCs w:val="24"/>
                <w:highlight w:val="none"/>
                <w:lang w:eastAsia="zh-CN"/>
              </w:rPr>
              <w:t>医院门卫、收发及交通车辆管理</w:t>
            </w:r>
          </w:p>
        </w:tc>
        <w:tc>
          <w:tcPr>
            <w:tcW w:w="1568" w:type="dxa"/>
            <w:noWrap w:val="0"/>
            <w:vAlign w:val="center"/>
          </w:tcPr>
          <w:p w14:paraId="29D2C1ED">
            <w:pPr>
              <w:keepNext w:val="0"/>
              <w:keepLines w:val="0"/>
              <w:pageBreakBefore w:val="0"/>
              <w:tabs>
                <w:tab w:val="left" w:pos="2361"/>
              </w:tabs>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rPr>
              <w:t>实行24小时值班</w:t>
            </w:r>
          </w:p>
        </w:tc>
        <w:tc>
          <w:tcPr>
            <w:tcW w:w="1350" w:type="dxa"/>
            <w:noWrap w:val="0"/>
            <w:vAlign w:val="center"/>
          </w:tcPr>
          <w:p w14:paraId="482EF1C2">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rPr>
              <w:t>保安证</w:t>
            </w:r>
          </w:p>
        </w:tc>
      </w:tr>
      <w:tr w14:paraId="7483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02" w:type="dxa"/>
            <w:noWrap w:val="0"/>
            <w:vAlign w:val="center"/>
          </w:tcPr>
          <w:p w14:paraId="3FE476C0">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lang w:eastAsia="zh-CN"/>
              </w:rPr>
              <w:t>急诊</w:t>
            </w:r>
          </w:p>
        </w:tc>
        <w:tc>
          <w:tcPr>
            <w:tcW w:w="791" w:type="dxa"/>
            <w:noWrap w:val="0"/>
            <w:vAlign w:val="center"/>
          </w:tcPr>
          <w:p w14:paraId="07F0AB58">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en-US" w:eastAsia="zh-CN"/>
              </w:rPr>
              <w:t>岗</w:t>
            </w:r>
          </w:p>
        </w:tc>
        <w:tc>
          <w:tcPr>
            <w:tcW w:w="3695" w:type="dxa"/>
            <w:noWrap w:val="0"/>
            <w:vAlign w:val="center"/>
          </w:tcPr>
          <w:p w14:paraId="75B69780">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rPr>
              <w:t>负责该区域日常治安、人员管理</w:t>
            </w:r>
            <w:r>
              <w:rPr>
                <w:rFonts w:hint="eastAsia" w:ascii="宋体" w:hAnsi="宋体" w:eastAsia="宋体" w:cs="宋体"/>
                <w:color w:val="auto"/>
                <w:kern w:val="2"/>
                <w:sz w:val="24"/>
                <w:szCs w:val="24"/>
                <w:highlight w:val="none"/>
                <w:lang w:eastAsia="zh-CN"/>
              </w:rPr>
              <w:t>等</w:t>
            </w:r>
          </w:p>
        </w:tc>
        <w:tc>
          <w:tcPr>
            <w:tcW w:w="1568" w:type="dxa"/>
            <w:noWrap w:val="0"/>
            <w:vAlign w:val="center"/>
          </w:tcPr>
          <w:p w14:paraId="71409D46">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rPr>
              <w:t>实行24小时值班</w:t>
            </w:r>
          </w:p>
        </w:tc>
        <w:tc>
          <w:tcPr>
            <w:tcW w:w="1350" w:type="dxa"/>
            <w:noWrap w:val="0"/>
            <w:vAlign w:val="center"/>
          </w:tcPr>
          <w:p w14:paraId="6449F57B">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保安证</w:t>
            </w:r>
          </w:p>
        </w:tc>
      </w:tr>
      <w:tr w14:paraId="4575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02" w:type="dxa"/>
            <w:noWrap w:val="0"/>
            <w:vAlign w:val="center"/>
          </w:tcPr>
          <w:p w14:paraId="5BF9E940">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eastAsia="zh-CN"/>
              </w:rPr>
            </w:pPr>
          </w:p>
          <w:p w14:paraId="7413593E">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门诊</w:t>
            </w:r>
          </w:p>
          <w:p w14:paraId="74EBF329">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p>
        </w:tc>
        <w:tc>
          <w:tcPr>
            <w:tcW w:w="791" w:type="dxa"/>
            <w:noWrap w:val="0"/>
            <w:vAlign w:val="center"/>
          </w:tcPr>
          <w:p w14:paraId="05F04E65">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岗</w:t>
            </w:r>
          </w:p>
        </w:tc>
        <w:tc>
          <w:tcPr>
            <w:tcW w:w="3695" w:type="dxa"/>
            <w:noWrap w:val="0"/>
            <w:vAlign w:val="center"/>
          </w:tcPr>
          <w:p w14:paraId="19D07EA0">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rPr>
              <w:t>负责该区域日常治安、人员等管理</w:t>
            </w:r>
            <w:r>
              <w:rPr>
                <w:rFonts w:hint="eastAsia" w:ascii="宋体" w:hAnsi="宋体" w:eastAsia="宋体" w:cs="宋体"/>
                <w:color w:val="auto"/>
                <w:kern w:val="2"/>
                <w:sz w:val="24"/>
                <w:szCs w:val="24"/>
                <w:highlight w:val="none"/>
                <w:lang w:eastAsia="zh-CN"/>
              </w:rPr>
              <w:t>等</w:t>
            </w:r>
          </w:p>
        </w:tc>
        <w:tc>
          <w:tcPr>
            <w:tcW w:w="1568" w:type="dxa"/>
            <w:noWrap w:val="0"/>
            <w:vAlign w:val="center"/>
          </w:tcPr>
          <w:p w14:paraId="7DE2A976">
            <w:pPr>
              <w:keepNext w:val="0"/>
              <w:keepLines w:val="0"/>
              <w:pageBreakBefore w:val="0"/>
              <w:widowControl w:val="0"/>
              <w:kinsoku/>
              <w:wordWrap/>
              <w:overflowPunct/>
              <w:topLinePunct w:val="0"/>
              <w:autoSpaceDE/>
              <w:autoSpaceDN/>
              <w:bidi w:val="0"/>
              <w:adjustRightInd/>
              <w:snapToGrid/>
              <w:spacing w:line="288" w:lineRule="auto"/>
              <w:ind w:left="0" w:leftChars="0" w:firstLine="240" w:firstLineChars="100"/>
              <w:jc w:val="both"/>
              <w:rPr>
                <w:rFonts w:hint="eastAsia" w:ascii="宋体" w:hAnsi="宋体" w:eastAsia="宋体" w:cs="宋体"/>
                <w:color w:val="auto"/>
                <w:kern w:val="2"/>
                <w:sz w:val="24"/>
                <w:szCs w:val="24"/>
                <w:highlight w:val="none"/>
                <w:vertAlign w:val="baseline"/>
                <w:lang w:val="en-US" w:eastAsia="zh-CN" w:bidi="ar-SA"/>
              </w:rPr>
            </w:pPr>
          </w:p>
        </w:tc>
        <w:tc>
          <w:tcPr>
            <w:tcW w:w="1350" w:type="dxa"/>
            <w:noWrap w:val="0"/>
            <w:vAlign w:val="center"/>
          </w:tcPr>
          <w:p w14:paraId="5D46BA73">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保安证</w:t>
            </w:r>
          </w:p>
        </w:tc>
      </w:tr>
      <w:tr w14:paraId="713E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02" w:type="dxa"/>
            <w:noWrap w:val="0"/>
            <w:vAlign w:val="center"/>
          </w:tcPr>
          <w:p w14:paraId="3AA5C1B5">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外场电动自行车管理</w:t>
            </w:r>
          </w:p>
        </w:tc>
        <w:tc>
          <w:tcPr>
            <w:tcW w:w="791" w:type="dxa"/>
            <w:noWrap w:val="0"/>
            <w:vAlign w:val="center"/>
          </w:tcPr>
          <w:p w14:paraId="5FD58508">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3</w:t>
            </w:r>
            <w:r>
              <w:rPr>
                <w:rFonts w:hint="eastAsia" w:ascii="宋体" w:hAnsi="宋体" w:cs="宋体"/>
                <w:color w:val="auto"/>
                <w:kern w:val="2"/>
                <w:sz w:val="24"/>
                <w:szCs w:val="24"/>
                <w:highlight w:val="none"/>
                <w:lang w:val="en-US" w:eastAsia="zh-CN"/>
              </w:rPr>
              <w:t>岗</w:t>
            </w:r>
          </w:p>
        </w:tc>
        <w:tc>
          <w:tcPr>
            <w:tcW w:w="3695" w:type="dxa"/>
            <w:noWrap w:val="0"/>
            <w:vAlign w:val="center"/>
          </w:tcPr>
          <w:p w14:paraId="7CDA296B">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指挥来院电动自行车停放，对不规范停车行为制止</w:t>
            </w:r>
          </w:p>
        </w:tc>
        <w:tc>
          <w:tcPr>
            <w:tcW w:w="1568" w:type="dxa"/>
            <w:noWrap w:val="0"/>
            <w:vAlign w:val="center"/>
          </w:tcPr>
          <w:p w14:paraId="660DD5FA">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p>
        </w:tc>
        <w:tc>
          <w:tcPr>
            <w:tcW w:w="1350" w:type="dxa"/>
            <w:noWrap w:val="0"/>
            <w:vAlign w:val="center"/>
          </w:tcPr>
          <w:p w14:paraId="46E91901">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保安证</w:t>
            </w:r>
          </w:p>
        </w:tc>
      </w:tr>
      <w:tr w14:paraId="5508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02" w:type="dxa"/>
            <w:noWrap w:val="0"/>
            <w:vAlign w:val="center"/>
          </w:tcPr>
          <w:p w14:paraId="494C2A1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消控室</w:t>
            </w:r>
          </w:p>
        </w:tc>
        <w:tc>
          <w:tcPr>
            <w:tcW w:w="791" w:type="dxa"/>
            <w:noWrap w:val="0"/>
            <w:vAlign w:val="center"/>
          </w:tcPr>
          <w:p w14:paraId="00B05C01">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4</w:t>
            </w:r>
            <w:r>
              <w:rPr>
                <w:rFonts w:hint="eastAsia" w:ascii="宋体" w:hAnsi="宋体" w:cs="宋体"/>
                <w:color w:val="auto"/>
                <w:kern w:val="2"/>
                <w:sz w:val="24"/>
                <w:szCs w:val="24"/>
                <w:highlight w:val="none"/>
                <w:lang w:val="en-US" w:eastAsia="zh-CN"/>
              </w:rPr>
              <w:t>岗</w:t>
            </w:r>
          </w:p>
        </w:tc>
        <w:tc>
          <w:tcPr>
            <w:tcW w:w="3695" w:type="dxa"/>
            <w:noWrap w:val="0"/>
            <w:vAlign w:val="center"/>
          </w:tcPr>
          <w:p w14:paraId="2FD62D48">
            <w:pPr>
              <w:keepNext w:val="0"/>
              <w:keepLines w:val="0"/>
              <w:pageBreakBefore w:val="0"/>
              <w:kinsoku/>
              <w:wordWrap/>
              <w:overflowPunct/>
              <w:topLinePunct w:val="0"/>
              <w:autoSpaceDE/>
              <w:autoSpaceDN/>
              <w:bidi w:val="0"/>
              <w:adjustRightInd/>
              <w:snapToGrid/>
              <w:spacing w:line="288" w:lineRule="auto"/>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负责消控室内消防设施监控情况</w:t>
            </w:r>
            <w:r>
              <w:rPr>
                <w:rFonts w:hint="eastAsia" w:ascii="宋体" w:hAnsi="宋体" w:eastAsia="宋体" w:cs="宋体"/>
                <w:color w:val="auto"/>
                <w:kern w:val="2"/>
                <w:sz w:val="24"/>
                <w:szCs w:val="24"/>
                <w:highlight w:val="none"/>
                <w:lang w:eastAsia="zh-CN"/>
              </w:rPr>
              <w:t>、全院监控监管处置</w:t>
            </w:r>
          </w:p>
        </w:tc>
        <w:tc>
          <w:tcPr>
            <w:tcW w:w="1568" w:type="dxa"/>
            <w:noWrap w:val="0"/>
            <w:vAlign w:val="center"/>
          </w:tcPr>
          <w:p w14:paraId="441D1FF4">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rPr>
              <w:t>实行24小时值班</w:t>
            </w:r>
          </w:p>
        </w:tc>
        <w:tc>
          <w:tcPr>
            <w:tcW w:w="1350" w:type="dxa"/>
            <w:noWrap w:val="0"/>
            <w:vAlign w:val="center"/>
          </w:tcPr>
          <w:p w14:paraId="12CA6D97">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中级（四级）以上消防设施操作证</w:t>
            </w:r>
          </w:p>
        </w:tc>
      </w:tr>
      <w:tr w14:paraId="6FD3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2" w:type="dxa"/>
            <w:noWrap w:val="0"/>
            <w:vAlign w:val="center"/>
          </w:tcPr>
          <w:p w14:paraId="04BA5F34">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eastAsia="zh-CN"/>
              </w:rPr>
              <w:t>全院防火巡查</w:t>
            </w:r>
          </w:p>
        </w:tc>
        <w:tc>
          <w:tcPr>
            <w:tcW w:w="791" w:type="dxa"/>
            <w:noWrap w:val="0"/>
            <w:vAlign w:val="center"/>
          </w:tcPr>
          <w:p w14:paraId="641B3765">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en-US" w:eastAsia="zh-CN"/>
              </w:rPr>
              <w:t>岗</w:t>
            </w:r>
          </w:p>
        </w:tc>
        <w:tc>
          <w:tcPr>
            <w:tcW w:w="3695" w:type="dxa"/>
            <w:noWrap w:val="0"/>
            <w:vAlign w:val="center"/>
          </w:tcPr>
          <w:p w14:paraId="4343EA68">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配合消控室人员做好防火巡查（每2小时一次）、收到火警、故障报警、安防报警立即出动</w:t>
            </w:r>
          </w:p>
        </w:tc>
        <w:tc>
          <w:tcPr>
            <w:tcW w:w="1568" w:type="dxa"/>
            <w:noWrap w:val="0"/>
            <w:vAlign w:val="center"/>
          </w:tcPr>
          <w:p w14:paraId="0D8B34DB">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2"/>
                <w:sz w:val="24"/>
                <w:szCs w:val="24"/>
                <w:highlight w:val="none"/>
                <w:vertAlign w:val="baseline"/>
                <w:lang w:eastAsia="zh-CN"/>
              </w:rPr>
              <w:t>熟悉消防知识，能协助消控人员处理紧急事件（</w:t>
            </w:r>
            <w:r>
              <w:rPr>
                <w:rFonts w:hint="eastAsia" w:ascii="宋体" w:hAnsi="宋体" w:eastAsia="宋体" w:cs="宋体"/>
                <w:color w:val="auto"/>
                <w:kern w:val="2"/>
                <w:sz w:val="24"/>
                <w:szCs w:val="24"/>
                <w:highlight w:val="none"/>
                <w:vertAlign w:val="baseline"/>
                <w:lang w:val="en-US" w:eastAsia="zh-CN"/>
              </w:rPr>
              <w:t>24小时</w:t>
            </w:r>
            <w:r>
              <w:rPr>
                <w:rFonts w:hint="eastAsia" w:ascii="宋体" w:hAnsi="宋体" w:eastAsia="宋体" w:cs="宋体"/>
                <w:color w:val="auto"/>
                <w:kern w:val="2"/>
                <w:sz w:val="24"/>
                <w:szCs w:val="24"/>
                <w:highlight w:val="none"/>
                <w:vertAlign w:val="baseline"/>
                <w:lang w:eastAsia="zh-CN"/>
              </w:rPr>
              <w:t>）</w:t>
            </w:r>
          </w:p>
        </w:tc>
        <w:tc>
          <w:tcPr>
            <w:tcW w:w="1350" w:type="dxa"/>
            <w:noWrap w:val="0"/>
            <w:vAlign w:val="center"/>
          </w:tcPr>
          <w:p w14:paraId="518FB9F8">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保安证</w:t>
            </w:r>
          </w:p>
        </w:tc>
      </w:tr>
      <w:tr w14:paraId="0805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02" w:type="dxa"/>
            <w:noWrap w:val="0"/>
            <w:vAlign w:val="center"/>
          </w:tcPr>
          <w:p w14:paraId="0A4D9D62">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安检人员</w:t>
            </w:r>
          </w:p>
        </w:tc>
        <w:tc>
          <w:tcPr>
            <w:tcW w:w="791" w:type="dxa"/>
            <w:noWrap w:val="0"/>
            <w:vAlign w:val="center"/>
          </w:tcPr>
          <w:p w14:paraId="430B2FAF">
            <w:pPr>
              <w:keepNext w:val="0"/>
              <w:keepLines w:val="0"/>
              <w:pageBreakBefore w:val="0"/>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cs="宋体"/>
                <w:color w:val="auto"/>
                <w:kern w:val="2"/>
                <w:sz w:val="24"/>
                <w:szCs w:val="24"/>
                <w:highlight w:val="none"/>
                <w:lang w:val="en-US" w:eastAsia="zh-CN"/>
              </w:rPr>
              <w:t>岗</w:t>
            </w:r>
          </w:p>
        </w:tc>
        <w:tc>
          <w:tcPr>
            <w:tcW w:w="3695" w:type="dxa"/>
            <w:noWrap w:val="0"/>
            <w:vAlign w:val="center"/>
          </w:tcPr>
          <w:p w14:paraId="59F3737F">
            <w:pPr>
              <w:keepNext w:val="0"/>
              <w:keepLines w:val="0"/>
              <w:pageBreakBefore w:val="0"/>
              <w:widowControl w:val="0"/>
              <w:tabs>
                <w:tab w:val="left" w:pos="732"/>
              </w:tabs>
              <w:kinsoku/>
              <w:wordWrap/>
              <w:overflowPunct/>
              <w:topLinePunct w:val="0"/>
              <w:autoSpaceDE/>
              <w:autoSpaceDN/>
              <w:bidi w:val="0"/>
              <w:adjustRightInd/>
              <w:snapToGrid/>
              <w:spacing w:line="288" w:lineRule="auto"/>
              <w:ind w:left="0" w:leftChars="0"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负责门诊、急诊安检工作，检查包裹物品，手持安检仪对来院人员检查。</w:t>
            </w:r>
          </w:p>
        </w:tc>
        <w:tc>
          <w:tcPr>
            <w:tcW w:w="1568" w:type="dxa"/>
            <w:noWrap w:val="0"/>
            <w:vAlign w:val="center"/>
          </w:tcPr>
          <w:p w14:paraId="4B80BB38">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eastAsia="zh-CN"/>
              </w:rPr>
            </w:pPr>
          </w:p>
        </w:tc>
        <w:tc>
          <w:tcPr>
            <w:tcW w:w="1350" w:type="dxa"/>
            <w:noWrap w:val="0"/>
            <w:vAlign w:val="center"/>
          </w:tcPr>
          <w:p w14:paraId="4BBC9B59">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保安证</w:t>
            </w:r>
          </w:p>
        </w:tc>
      </w:tr>
    </w:tbl>
    <w:p w14:paraId="1290E1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注：</w:t>
      </w:r>
    </w:p>
    <w:p w14:paraId="5F293CC6">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消控中心</w:t>
      </w:r>
      <w:r>
        <w:rPr>
          <w:rFonts w:hint="eastAsia" w:ascii="宋体" w:hAnsi="宋体" w:eastAsia="宋体" w:cs="宋体"/>
          <w:b/>
          <w:bCs/>
          <w:color w:val="auto"/>
          <w:kern w:val="2"/>
          <w:sz w:val="24"/>
          <w:szCs w:val="24"/>
          <w:highlight w:val="none"/>
          <w:lang w:val="en-US" w:eastAsia="zh-CN"/>
        </w:rPr>
        <w:t>安保人员必须</w:t>
      </w:r>
      <w:r>
        <w:rPr>
          <w:rFonts w:hint="eastAsia" w:ascii="宋体" w:hAnsi="宋体" w:eastAsia="宋体" w:cs="宋体"/>
          <w:b/>
          <w:bCs/>
          <w:color w:val="auto"/>
          <w:kern w:val="2"/>
          <w:sz w:val="24"/>
          <w:szCs w:val="24"/>
          <w:highlight w:val="none"/>
          <w:lang w:eastAsia="zh-CN"/>
        </w:rPr>
        <w:t>持有中级（四级）以上消防设施操作证，须在中标后合同签订前提交相关证书原件核查。</w:t>
      </w:r>
    </w:p>
    <w:p w14:paraId="7865873B">
      <w:pPr>
        <w:widowControl w:val="0"/>
        <w:numPr>
          <w:ilvl w:val="0"/>
          <w:numId w:val="16"/>
        </w:numPr>
        <w:adjustRightInd w:val="0"/>
        <w:spacing w:line="360" w:lineRule="auto"/>
        <w:ind w:left="0" w:leftChars="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保安人员主要负责治安、监控、消防、门岗、安检、控烟、车辆管理等工作；做好防火、防盗、防爆、防破坏、防恐怖、防自然灾害、处置突发事件、协助处理医患纠纷、协助搬运等工作。</w:t>
      </w:r>
    </w:p>
    <w:p w14:paraId="36930544">
      <w:pPr>
        <w:pStyle w:val="26"/>
        <w:numPr>
          <w:ilvl w:val="0"/>
          <w:numId w:val="16"/>
        </w:numPr>
        <w:ind w:left="0" w:leftChars="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所有人员必须专职为本项目服务，</w:t>
      </w:r>
      <w:r>
        <w:rPr>
          <w:rFonts w:hint="eastAsia" w:cs="宋体"/>
          <w:b/>
          <w:bCs/>
          <w:color w:val="auto"/>
          <w:kern w:val="2"/>
          <w:sz w:val="24"/>
          <w:szCs w:val="24"/>
          <w:highlight w:val="none"/>
          <w:lang w:val="en-US" w:eastAsia="zh-CN" w:bidi="ar-SA"/>
        </w:rPr>
        <w:t>各岗位之间</w:t>
      </w:r>
      <w:r>
        <w:rPr>
          <w:rFonts w:hint="eastAsia" w:ascii="宋体" w:hAnsi="宋体" w:eastAsia="宋体" w:cs="宋体"/>
          <w:b/>
          <w:bCs/>
          <w:color w:val="auto"/>
          <w:kern w:val="2"/>
          <w:sz w:val="24"/>
          <w:szCs w:val="24"/>
          <w:highlight w:val="none"/>
          <w:lang w:val="en-US" w:eastAsia="zh-CN" w:bidi="ar-SA"/>
        </w:rPr>
        <w:t>不得兼</w:t>
      </w:r>
      <w:r>
        <w:rPr>
          <w:rFonts w:hint="eastAsia" w:cs="宋体"/>
          <w:b/>
          <w:bCs/>
          <w:color w:val="auto"/>
          <w:kern w:val="2"/>
          <w:sz w:val="24"/>
          <w:szCs w:val="24"/>
          <w:highlight w:val="none"/>
          <w:lang w:val="en-US" w:eastAsia="zh-CN" w:bidi="ar-SA"/>
        </w:rPr>
        <w:t>任。</w:t>
      </w:r>
    </w:p>
    <w:p w14:paraId="3C9CDDB3">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三、安保人员工作要求</w:t>
      </w:r>
    </w:p>
    <w:p w14:paraId="5756C8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rPr>
        <w:t>（一）人员要求</w:t>
      </w:r>
    </w:p>
    <w:p w14:paraId="4CF6E502">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rPr>
        <w:t>保安从业人员须持证</w:t>
      </w:r>
      <w:r>
        <w:rPr>
          <w:rFonts w:hint="eastAsia" w:ascii="宋体" w:hAnsi="宋体" w:eastAsia="宋体" w:cs="宋体"/>
          <w:color w:val="auto"/>
          <w:kern w:val="2"/>
          <w:sz w:val="24"/>
          <w:szCs w:val="24"/>
          <w:highlight w:val="none"/>
          <w:lang w:eastAsia="zh-CN"/>
        </w:rPr>
        <w:t>（安保证</w:t>
      </w:r>
      <w:r>
        <w:rPr>
          <w:rFonts w:hint="eastAsia" w:ascii="宋体" w:hAnsi="宋体" w:eastAsia="宋体" w:cs="宋体"/>
          <w:color w:val="auto"/>
          <w:kern w:val="2"/>
          <w:sz w:val="24"/>
          <w:szCs w:val="24"/>
          <w:highlight w:val="none"/>
          <w:lang w:val="en-US" w:eastAsia="zh-CN"/>
        </w:rPr>
        <w:t>/消控证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上岗，应知法，懂法，守法，依法办事，必须严格遵守保安从业规范，遵守医院安全管理规定</w:t>
      </w:r>
      <w:r>
        <w:rPr>
          <w:rFonts w:hint="eastAsia" w:ascii="宋体" w:hAnsi="宋体" w:eastAsia="宋体" w:cs="宋体"/>
          <w:color w:val="auto"/>
          <w:kern w:val="2"/>
          <w:sz w:val="24"/>
          <w:szCs w:val="24"/>
          <w:highlight w:val="none"/>
          <w:lang w:eastAsia="zh-CN"/>
        </w:rPr>
        <w:t>。</w:t>
      </w:r>
      <w:r>
        <w:rPr>
          <w:rFonts w:hint="eastAsia" w:ascii="宋体" w:hAnsi="宋体" w:eastAsia="宋体" w:cs="宋体"/>
          <w:b/>
          <w:bCs/>
          <w:color w:val="auto"/>
          <w:kern w:val="2"/>
          <w:sz w:val="24"/>
          <w:szCs w:val="24"/>
          <w:highlight w:val="none"/>
          <w:lang w:val="en-US" w:eastAsia="zh-CN"/>
        </w:rPr>
        <w:t>50周岁</w:t>
      </w:r>
      <w:r>
        <w:rPr>
          <w:rFonts w:hint="eastAsia" w:ascii="宋体" w:hAnsi="宋体" w:cs="宋体"/>
          <w:b/>
          <w:bCs/>
          <w:color w:val="auto"/>
          <w:kern w:val="2"/>
          <w:sz w:val="24"/>
          <w:szCs w:val="24"/>
          <w:highlight w:val="none"/>
          <w:lang w:val="en-US" w:eastAsia="zh-CN"/>
        </w:rPr>
        <w:t>（含）</w:t>
      </w:r>
      <w:r>
        <w:rPr>
          <w:rFonts w:hint="eastAsia" w:ascii="宋体" w:hAnsi="宋体" w:eastAsia="宋体" w:cs="宋体"/>
          <w:b/>
          <w:bCs/>
          <w:color w:val="auto"/>
          <w:kern w:val="2"/>
          <w:sz w:val="24"/>
          <w:szCs w:val="24"/>
          <w:highlight w:val="none"/>
          <w:lang w:val="en-US" w:eastAsia="zh-CN"/>
        </w:rPr>
        <w:t>及以下的安保人员占比不少于20%。</w:t>
      </w:r>
    </w:p>
    <w:p w14:paraId="7F9E11DE">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安队长应具备有较高的政治思想素养和业务水平，有较强的组织协调能力，受过专门的保安业务培训，有一定保安管理经验。年龄在25周岁-50周岁之间，身体健康，没有传染病及精神病等不能控制自己行为能力的疾病病史，体貌端正，没有犯罪记录，具有高中以上文化程度。</w:t>
      </w:r>
    </w:p>
    <w:p w14:paraId="1467AE6E">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消控人员：</w:t>
      </w:r>
      <w:r>
        <w:rPr>
          <w:rFonts w:hint="eastAsia" w:ascii="宋体" w:hAnsi="宋体" w:eastAsia="宋体" w:cs="宋体"/>
          <w:color w:val="auto"/>
          <w:kern w:val="2"/>
          <w:sz w:val="24"/>
          <w:szCs w:val="24"/>
          <w:highlight w:val="none"/>
          <w:lang w:eastAsia="zh-CN"/>
        </w:rPr>
        <w:t>消控中心</w:t>
      </w:r>
      <w:r>
        <w:rPr>
          <w:rFonts w:hint="eastAsia" w:ascii="宋体" w:hAnsi="宋体" w:eastAsia="宋体" w:cs="宋体"/>
          <w:color w:val="auto"/>
          <w:kern w:val="2"/>
          <w:sz w:val="24"/>
          <w:szCs w:val="24"/>
          <w:highlight w:val="none"/>
          <w:lang w:val="en-US" w:eastAsia="zh-CN"/>
        </w:rPr>
        <w:t>人员</w:t>
      </w:r>
      <w:r>
        <w:rPr>
          <w:rFonts w:hint="eastAsia" w:ascii="宋体" w:hAnsi="宋体" w:eastAsia="宋体" w:cs="宋体"/>
          <w:color w:val="auto"/>
          <w:kern w:val="2"/>
          <w:sz w:val="24"/>
          <w:szCs w:val="24"/>
          <w:highlight w:val="none"/>
          <w:lang w:eastAsia="zh-CN"/>
        </w:rPr>
        <w:t>须提供持有消控证，须在中标后合同签订前提交相关证书原件核查。</w:t>
      </w:r>
      <w:r>
        <w:rPr>
          <w:rFonts w:hint="eastAsia" w:ascii="宋体" w:hAnsi="宋体" w:eastAsia="宋体" w:cs="宋体"/>
          <w:color w:val="auto"/>
          <w:kern w:val="2"/>
          <w:sz w:val="24"/>
          <w:szCs w:val="24"/>
          <w:highlight w:val="none"/>
        </w:rPr>
        <w:t>年龄20周岁-</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0周岁之间</w:t>
      </w:r>
      <w:r>
        <w:rPr>
          <w:rFonts w:hint="eastAsia" w:ascii="宋体" w:hAnsi="宋体" w:eastAsia="宋体" w:cs="宋体"/>
          <w:color w:val="auto"/>
          <w:kern w:val="2"/>
          <w:sz w:val="24"/>
          <w:szCs w:val="24"/>
          <w:highlight w:val="none"/>
          <w:lang w:eastAsia="zh-CN"/>
        </w:rPr>
        <w:t>。</w:t>
      </w:r>
    </w:p>
    <w:p w14:paraId="20D61768">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轮休岗位顶替安保：</w:t>
      </w:r>
      <w:r>
        <w:rPr>
          <w:rFonts w:hint="eastAsia" w:ascii="宋体" w:hAnsi="宋体" w:eastAsia="宋体" w:cs="宋体"/>
          <w:color w:val="auto"/>
          <w:kern w:val="2"/>
          <w:sz w:val="24"/>
          <w:szCs w:val="24"/>
          <w:highlight w:val="none"/>
        </w:rPr>
        <w:t>年龄20周岁-</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0周岁之间，性别要求为男性，身高</w:t>
      </w:r>
      <w:r>
        <w:rPr>
          <w:rFonts w:hint="eastAsia" w:ascii="宋体" w:hAnsi="宋体" w:eastAsia="宋体" w:cs="宋体"/>
          <w:color w:val="auto"/>
          <w:kern w:val="2"/>
          <w:sz w:val="24"/>
          <w:szCs w:val="24"/>
          <w:highlight w:val="none"/>
          <w:lang w:eastAsia="zh-CN"/>
        </w:rPr>
        <w:t>170</w:t>
      </w:r>
      <w:r>
        <w:rPr>
          <w:rFonts w:hint="eastAsia" w:ascii="宋体" w:hAnsi="宋体" w:eastAsia="宋体" w:cs="宋体"/>
          <w:color w:val="auto"/>
          <w:kern w:val="2"/>
          <w:sz w:val="24"/>
          <w:szCs w:val="24"/>
          <w:highlight w:val="none"/>
        </w:rPr>
        <w:t>cm以上，身体健康，没有传染病及精神病等不能控制自己行为能力的疾病病史，体貌端正，身手敏捷，没有犯罪记录，具有初中及以上文化程度，退伍军人和有经验的</w:t>
      </w:r>
      <w:r>
        <w:rPr>
          <w:rFonts w:hint="eastAsia" w:ascii="宋体" w:hAnsi="宋体" w:eastAsia="宋体" w:cs="宋体"/>
          <w:color w:val="auto"/>
          <w:kern w:val="2"/>
          <w:sz w:val="24"/>
          <w:szCs w:val="24"/>
          <w:highlight w:val="none"/>
          <w:lang w:eastAsia="zh-CN"/>
        </w:rPr>
        <w:t>特殊保安</w:t>
      </w:r>
      <w:r>
        <w:rPr>
          <w:rFonts w:hint="eastAsia" w:ascii="宋体" w:hAnsi="宋体" w:eastAsia="宋体" w:cs="宋体"/>
          <w:color w:val="auto"/>
          <w:kern w:val="2"/>
          <w:sz w:val="24"/>
          <w:szCs w:val="24"/>
          <w:highlight w:val="none"/>
        </w:rPr>
        <w:t>老队员可优先。</w:t>
      </w:r>
    </w:p>
    <w:p w14:paraId="0CCD2CA8">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kern w:val="2"/>
          <w:sz w:val="21"/>
          <w:szCs w:val="21"/>
          <w:highlight w:val="none"/>
          <w:lang w:eastAsia="zh-CN"/>
        </w:rPr>
      </w:pPr>
      <w:r>
        <w:rPr>
          <w:rFonts w:hint="eastAsia" w:ascii="宋体" w:hAnsi="宋体" w:eastAsia="宋体" w:cs="宋体"/>
          <w:color w:val="auto"/>
          <w:kern w:val="2"/>
          <w:sz w:val="24"/>
          <w:szCs w:val="24"/>
          <w:highlight w:val="none"/>
        </w:rPr>
        <w:t>所聘用的保安人员有吃苦耐劳的精神和高度的责任感，受过专门岗前培训，熟知院方的管理规定，严格履行岗位职责，善于发现各类问题，具备一定的管理经验和处理突发事件能力；招收的新队员须先经</w:t>
      </w:r>
      <w:r>
        <w:rPr>
          <w:rFonts w:hint="eastAsia" w:ascii="宋体" w:hAnsi="宋体" w:eastAsia="宋体" w:cs="宋体"/>
          <w:color w:val="auto"/>
          <w:kern w:val="2"/>
          <w:sz w:val="24"/>
          <w:szCs w:val="24"/>
          <w:highlight w:val="none"/>
          <w:lang w:val="en-US" w:eastAsia="zh-CN"/>
        </w:rPr>
        <w:t>公安系统查询有无犯罪记录，查询合格后经</w:t>
      </w:r>
      <w:r>
        <w:rPr>
          <w:rFonts w:hint="eastAsia" w:ascii="宋体" w:hAnsi="宋体" w:eastAsia="宋体" w:cs="宋体"/>
          <w:color w:val="auto"/>
          <w:kern w:val="2"/>
          <w:sz w:val="24"/>
          <w:szCs w:val="24"/>
          <w:highlight w:val="none"/>
        </w:rPr>
        <w:t>上岗培训</w:t>
      </w:r>
      <w:r>
        <w:rPr>
          <w:rFonts w:hint="eastAsia" w:ascii="宋体" w:hAnsi="宋体" w:eastAsia="宋体" w:cs="宋体"/>
          <w:color w:val="auto"/>
          <w:kern w:val="2"/>
          <w:sz w:val="24"/>
          <w:szCs w:val="24"/>
          <w:highlight w:val="none"/>
          <w:lang w:val="en-US" w:eastAsia="zh-CN"/>
        </w:rPr>
        <w:t>合格</w:t>
      </w:r>
      <w:r>
        <w:rPr>
          <w:rFonts w:hint="eastAsia" w:ascii="宋体" w:hAnsi="宋体" w:eastAsia="宋体" w:cs="宋体"/>
          <w:color w:val="auto"/>
          <w:kern w:val="2"/>
          <w:sz w:val="24"/>
          <w:szCs w:val="24"/>
          <w:highlight w:val="none"/>
        </w:rPr>
        <w:t>，方可上岗</w:t>
      </w:r>
      <w:r>
        <w:rPr>
          <w:rFonts w:hint="eastAsia" w:ascii="宋体" w:hAnsi="宋体" w:eastAsia="宋体" w:cs="宋体"/>
          <w:color w:val="auto"/>
          <w:kern w:val="2"/>
          <w:sz w:val="24"/>
          <w:szCs w:val="24"/>
          <w:highlight w:val="none"/>
          <w:lang w:eastAsia="zh-CN"/>
        </w:rPr>
        <w:t>。</w:t>
      </w:r>
    </w:p>
    <w:p w14:paraId="0715F3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lang w:val="en-US" w:eastAsia="zh-CN"/>
        </w:rPr>
        <w:t>二</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保安人员岗位职责要求</w:t>
      </w:r>
    </w:p>
    <w:p w14:paraId="30035610">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巡查人员</w:t>
      </w:r>
      <w:r>
        <w:rPr>
          <w:rFonts w:hint="eastAsia" w:ascii="宋体" w:hAnsi="宋体" w:eastAsia="宋体" w:cs="宋体"/>
          <w:color w:val="auto"/>
          <w:kern w:val="2"/>
          <w:sz w:val="24"/>
          <w:szCs w:val="24"/>
          <w:highlight w:val="none"/>
        </w:rPr>
        <w:t>：发现和排除各种不安全因素，及时处置各种违法犯罪行为；听从</w:t>
      </w:r>
      <w:r>
        <w:rPr>
          <w:rFonts w:hint="eastAsia" w:ascii="宋体" w:hAnsi="宋体" w:eastAsia="宋体" w:cs="宋体"/>
          <w:color w:val="auto"/>
          <w:kern w:val="2"/>
          <w:sz w:val="24"/>
          <w:szCs w:val="24"/>
          <w:highlight w:val="none"/>
          <w:lang w:eastAsia="zh-CN"/>
        </w:rPr>
        <w:t>队长</w:t>
      </w:r>
      <w:r>
        <w:rPr>
          <w:rFonts w:hint="eastAsia" w:ascii="宋体" w:hAnsi="宋体" w:eastAsia="宋体" w:cs="宋体"/>
          <w:color w:val="auto"/>
          <w:kern w:val="2"/>
          <w:sz w:val="24"/>
          <w:szCs w:val="24"/>
          <w:highlight w:val="none"/>
        </w:rPr>
        <w:t>工作安排与指挥调度，善于发现、分析处理各种事故隐患和突发事件；配合医院</w:t>
      </w:r>
      <w:r>
        <w:rPr>
          <w:rFonts w:hint="eastAsia" w:ascii="宋体" w:hAnsi="宋体" w:eastAsia="宋体" w:cs="宋体"/>
          <w:color w:val="auto"/>
          <w:kern w:val="2"/>
          <w:sz w:val="24"/>
          <w:szCs w:val="24"/>
          <w:highlight w:val="none"/>
          <w:lang w:eastAsia="zh-CN"/>
        </w:rPr>
        <w:t>总务</w:t>
      </w:r>
      <w:r>
        <w:rPr>
          <w:rFonts w:hint="eastAsia" w:ascii="宋体" w:hAnsi="宋体" w:eastAsia="宋体" w:cs="宋体"/>
          <w:color w:val="auto"/>
          <w:kern w:val="2"/>
          <w:sz w:val="24"/>
          <w:szCs w:val="24"/>
          <w:highlight w:val="none"/>
        </w:rPr>
        <w:t>科和相关科室处理各类纠纷和治安案件，配合医院对违规事件的调查，协助公安机关对案件的排查，有突发状况须在</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分钟内响应</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3分钟</w:t>
      </w:r>
      <w:r>
        <w:rPr>
          <w:rFonts w:hint="eastAsia" w:ascii="宋体" w:hAnsi="宋体" w:cs="宋体"/>
          <w:color w:val="auto"/>
          <w:kern w:val="2"/>
          <w:sz w:val="24"/>
          <w:szCs w:val="24"/>
          <w:highlight w:val="none"/>
          <w:lang w:eastAsia="zh-CN"/>
        </w:rPr>
        <w:t>内达到现场。</w:t>
      </w:r>
    </w:p>
    <w:p w14:paraId="0A03F99E">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警务室</w:t>
      </w:r>
      <w:r>
        <w:rPr>
          <w:rFonts w:hint="eastAsia" w:ascii="宋体" w:hAnsi="宋体" w:eastAsia="宋体" w:cs="宋体"/>
          <w:color w:val="auto"/>
          <w:kern w:val="2"/>
          <w:sz w:val="24"/>
          <w:szCs w:val="24"/>
          <w:highlight w:val="none"/>
        </w:rPr>
        <w:t>管理：严格人员、车辆、物资进出管理，确保门口道路通畅；按时立岗，礼貌待人，树立良好的窗口形象；对携物出门实行出门证验审制度，防止财物流失，严格把控医疗废弃物出院管理；与各岗卫互通信息；值班室无闲杂人员滞留，保持室内外环境整洁卫生，门前卫生三包；完成医院交办的其他事项。</w:t>
      </w:r>
    </w:p>
    <w:p w14:paraId="0596DE33">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各区域人员</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门诊、急诊安检人员需要对来院人员的包裹进行安检仪检测，用手持安检仪对进院人员进行检查。</w:t>
      </w:r>
      <w:r>
        <w:rPr>
          <w:rFonts w:hint="eastAsia" w:ascii="宋体" w:hAnsi="宋体" w:eastAsia="宋体" w:cs="宋体"/>
          <w:color w:val="auto"/>
          <w:kern w:val="2"/>
          <w:sz w:val="24"/>
          <w:szCs w:val="24"/>
          <w:highlight w:val="none"/>
        </w:rPr>
        <w:t>熟悉守护区域的情况特点，定点守卫与区域巡查相结合；掌握消防栓、灭火器等安全设施的位置、性能和使用方法；听从</w:t>
      </w:r>
      <w:r>
        <w:rPr>
          <w:rFonts w:hint="eastAsia" w:ascii="宋体" w:hAnsi="宋体" w:eastAsia="宋体" w:cs="宋体"/>
          <w:color w:val="auto"/>
          <w:kern w:val="2"/>
          <w:sz w:val="24"/>
          <w:szCs w:val="24"/>
          <w:highlight w:val="none"/>
          <w:lang w:eastAsia="zh-CN"/>
        </w:rPr>
        <w:t>队</w:t>
      </w:r>
      <w:r>
        <w:rPr>
          <w:rFonts w:hint="eastAsia" w:ascii="宋体" w:hAnsi="宋体" w:eastAsia="宋体" w:cs="宋体"/>
          <w:color w:val="auto"/>
          <w:kern w:val="2"/>
          <w:sz w:val="24"/>
          <w:szCs w:val="24"/>
          <w:highlight w:val="none"/>
        </w:rPr>
        <w:t>长工作安排与指挥调度，及时处置突发事件；维护责任区域公共秩序，发现可疑人员主动盘问，发现违规行为，大胆管理，主动干预，发现异常及安全隐患，立即采取措施并报告，制止暴力事件，有效处置各种违法犯罪行为。</w:t>
      </w:r>
    </w:p>
    <w:p w14:paraId="64D3A7F5">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消防管理：定期检查记录院内公共部位的消防设施，确保完好。协助医院做好室外设施的日常维护；建立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w:t>
      </w:r>
      <w:r>
        <w:rPr>
          <w:rFonts w:hint="eastAsia" w:ascii="宋体" w:hAnsi="宋体" w:eastAsia="宋体" w:cs="宋体"/>
          <w:color w:val="auto"/>
          <w:kern w:val="2"/>
          <w:sz w:val="24"/>
          <w:szCs w:val="24"/>
          <w:highlight w:val="none"/>
          <w:lang w:eastAsia="zh-CN"/>
        </w:rPr>
        <w:t>医院总务科</w:t>
      </w:r>
      <w:r>
        <w:rPr>
          <w:rFonts w:hint="eastAsia" w:ascii="宋体" w:hAnsi="宋体" w:eastAsia="宋体" w:cs="宋体"/>
          <w:color w:val="auto"/>
          <w:kern w:val="2"/>
          <w:sz w:val="24"/>
          <w:szCs w:val="24"/>
          <w:highlight w:val="none"/>
        </w:rPr>
        <w:t>并设法消除；发生火警，能冷静处置，按预案进行火灾报警、人员疏散、组织扑救、抢救物资等工作。</w:t>
      </w:r>
    </w:p>
    <w:p w14:paraId="16373ED2">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政治保卫：医院重大活动的安全警戒与秩序保障；配合做好重大事件的政治保卫工作。</w:t>
      </w:r>
    </w:p>
    <w:p w14:paraId="243C086E">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突发事件处理：医院突发事件处置、灾害预防、火灾扑救，发现和制止医院暴力事件，随时准备提供紧急救助。</w:t>
      </w:r>
      <w:r>
        <w:rPr>
          <w:rFonts w:hint="eastAsia" w:ascii="宋体" w:hAnsi="宋体" w:eastAsia="宋体" w:cs="宋体"/>
          <w:color w:val="auto"/>
          <w:kern w:val="2"/>
          <w:sz w:val="24"/>
          <w:szCs w:val="24"/>
          <w:highlight w:val="none"/>
          <w:lang w:val="en-US" w:eastAsia="zh-CN"/>
        </w:rPr>
        <w:t>巡逻区域</w:t>
      </w:r>
      <w:r>
        <w:rPr>
          <w:rFonts w:hint="eastAsia" w:ascii="宋体" w:hAnsi="宋体" w:eastAsia="宋体" w:cs="宋体"/>
          <w:color w:val="auto"/>
          <w:kern w:val="2"/>
          <w:sz w:val="24"/>
          <w:szCs w:val="24"/>
          <w:highlight w:val="none"/>
        </w:rPr>
        <w:t>的响应时间为1分钟，</w:t>
      </w:r>
      <w:r>
        <w:rPr>
          <w:rFonts w:hint="eastAsia" w:ascii="宋体" w:hAnsi="宋体" w:eastAsia="宋体" w:cs="宋体"/>
          <w:color w:val="auto"/>
          <w:kern w:val="2"/>
          <w:sz w:val="24"/>
          <w:szCs w:val="24"/>
          <w:highlight w:val="none"/>
          <w:lang w:val="en-US" w:eastAsia="zh-CN"/>
        </w:rPr>
        <w:t>院内其它区域</w:t>
      </w:r>
      <w:r>
        <w:rPr>
          <w:rFonts w:hint="eastAsia" w:ascii="宋体" w:hAnsi="宋体" w:eastAsia="宋体" w:cs="宋体"/>
          <w:color w:val="auto"/>
          <w:kern w:val="2"/>
          <w:sz w:val="24"/>
          <w:szCs w:val="24"/>
          <w:highlight w:val="none"/>
        </w:rPr>
        <w:t>的响应时间为3分钟，服务单位增援的在30分钟内。</w:t>
      </w:r>
    </w:p>
    <w:p w14:paraId="0E91ECF2">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安全管理：医院内部安全隐患检查、排除及上报；违规纠正；有针对性地开展安全教育和提示。</w:t>
      </w:r>
    </w:p>
    <w:p w14:paraId="387CCACD">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其它应由保安人员完成的职责。</w:t>
      </w:r>
    </w:p>
    <w:p w14:paraId="373E965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（三）日常管理：</w:t>
      </w:r>
    </w:p>
    <w:p w14:paraId="3F0F44C3">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供应商负责日常管理，采购人</w:t>
      </w:r>
      <w:r>
        <w:rPr>
          <w:rFonts w:hint="eastAsia" w:ascii="宋体" w:hAnsi="宋体" w:eastAsia="宋体" w:cs="宋体"/>
          <w:color w:val="auto"/>
          <w:kern w:val="2"/>
          <w:sz w:val="24"/>
          <w:szCs w:val="24"/>
          <w:highlight w:val="none"/>
          <w:lang w:val="en-US" w:eastAsia="zh-CN"/>
        </w:rPr>
        <w:t>负责</w:t>
      </w:r>
      <w:r>
        <w:rPr>
          <w:rFonts w:hint="eastAsia" w:ascii="宋体" w:hAnsi="宋体" w:eastAsia="宋体" w:cs="宋体"/>
          <w:color w:val="auto"/>
          <w:kern w:val="2"/>
          <w:sz w:val="24"/>
          <w:szCs w:val="24"/>
          <w:highlight w:val="none"/>
          <w:lang w:eastAsia="zh-CN"/>
        </w:rPr>
        <w:t>监督、检查和考核。</w:t>
      </w:r>
    </w:p>
    <w:p w14:paraId="47F8A02D">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供应商为加强保安员日常管理，队长驻点负责。</w:t>
      </w:r>
    </w:p>
    <w:p w14:paraId="73AF935F">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供应商实行昼夜查岗制：每周前半夜不少于一次，后半夜不少于一次。</w:t>
      </w:r>
    </w:p>
    <w:p w14:paraId="3E42A2DF">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保安员每周进行一次例会，一次列队训练，一次学习来提高整体队伍素质，每月进行一次消防演练。</w:t>
      </w:r>
    </w:p>
    <w:p w14:paraId="3C5191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宋体" w:cs="宋体"/>
          <w:b/>
          <w:bCs/>
          <w:color w:val="auto"/>
          <w:kern w:val="2"/>
          <w:sz w:val="24"/>
          <w:szCs w:val="24"/>
          <w:highlight w:val="none"/>
          <w:lang w:eastAsia="zh-CN"/>
        </w:rPr>
      </w:pPr>
      <w:r>
        <w:rPr>
          <w:rFonts w:hint="eastAsia" w:ascii="Times New Roman" w:hAnsi="Times New Roman" w:eastAsia="宋体" w:cs="宋体"/>
          <w:b/>
          <w:bCs/>
          <w:color w:val="auto"/>
          <w:kern w:val="2"/>
          <w:sz w:val="24"/>
          <w:szCs w:val="24"/>
          <w:highlight w:val="none"/>
          <w:lang w:eastAsia="zh-CN"/>
        </w:rPr>
        <w:t>注：所有的培训、例会、演练都应有纸质记录。</w:t>
      </w:r>
    </w:p>
    <w:p w14:paraId="17B9DED7">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队伍内部建设与管理</w:t>
      </w:r>
    </w:p>
    <w:p w14:paraId="1F8AE333">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eastAsia="zh-CN"/>
        </w:rPr>
        <w:t>必须采取切实有效措施保持保安队伍的稳定，严格控制非违纪人员轮换岗比例，合同期限内轮换岗保安人员不得超过合同编制岗位数的50%；保安队伍主要管理员更换，应提前一周以书面形式通知采购人,其他队员更换要即时告知采购人；确保服务质量不因人员变动而受影响。</w:t>
      </w:r>
    </w:p>
    <w:p w14:paraId="1133BC0F">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安保人员的</w:t>
      </w:r>
      <w:r>
        <w:rPr>
          <w:rFonts w:hint="eastAsia" w:ascii="宋体" w:hAnsi="宋体" w:eastAsia="宋体" w:cs="宋体"/>
          <w:color w:val="auto"/>
          <w:kern w:val="2"/>
          <w:sz w:val="24"/>
          <w:szCs w:val="24"/>
          <w:highlight w:val="none"/>
          <w:lang w:eastAsia="zh-CN"/>
        </w:rPr>
        <w:t>应聘、录用、离职等管理档案规范，手续齐全，相应资料必须报医院总务（保卫）科备案。</w:t>
      </w:r>
    </w:p>
    <w:p w14:paraId="03A87D8B">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eastAsia="zh-CN"/>
        </w:rPr>
        <w:t>必须信守承包承诺，认真落实具有相应的固定服务人员，服务人员必须统一穿着工作服，挂牌上岗并建立健全的管理制度。</w:t>
      </w:r>
    </w:p>
    <w:p w14:paraId="4531D554">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在服务期内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eastAsia="zh-CN"/>
        </w:rPr>
        <w:t>遇到医院各类检查（如上级部门来院检查等）及突发事件时，应无条件加班，服从采购人指挥安排管理。</w:t>
      </w:r>
    </w:p>
    <w:p w14:paraId="118542C5">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eastAsia="zh-CN"/>
        </w:rPr>
        <w:t>必须对员工发生的事故责任以及员工计生、身份、健康等承担责任；同时对员工在院内做出不良行为给医院造成影响承担责任。</w:t>
      </w:r>
    </w:p>
    <w:p w14:paraId="31DA550A">
      <w:pPr>
        <w:keepNext w:val="0"/>
        <w:keepLines w:val="0"/>
        <w:pageBreakBefore w:val="0"/>
        <w:widowControl w:val="0"/>
        <w:numPr>
          <w:ilvl w:val="0"/>
          <w:numId w:val="15"/>
        </w:numP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装备要求：</w:t>
      </w:r>
    </w:p>
    <w:p w14:paraId="011F1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以下装备为中标单位提供，原医院的装备不算在此数量内。</w:t>
      </w:r>
    </w:p>
    <w:tbl>
      <w:tblPr>
        <w:tblStyle w:val="27"/>
        <w:tblW w:w="4998" w:type="pct"/>
        <w:jc w:val="center"/>
        <w:tblLayout w:type="autofit"/>
        <w:tblCellMar>
          <w:top w:w="0" w:type="dxa"/>
          <w:left w:w="108" w:type="dxa"/>
          <w:bottom w:w="0" w:type="dxa"/>
          <w:right w:w="108" w:type="dxa"/>
        </w:tblCellMar>
      </w:tblPr>
      <w:tblGrid>
        <w:gridCol w:w="1156"/>
        <w:gridCol w:w="4050"/>
        <w:gridCol w:w="1484"/>
        <w:gridCol w:w="1829"/>
      </w:tblGrid>
      <w:tr w14:paraId="6086FB6C">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58FB817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377" w:type="pct"/>
            <w:tcBorders>
              <w:top w:val="single" w:color="auto" w:sz="4" w:space="0"/>
              <w:left w:val="nil"/>
              <w:bottom w:val="single" w:color="auto" w:sz="4" w:space="0"/>
              <w:right w:val="single" w:color="auto" w:sz="4" w:space="0"/>
            </w:tcBorders>
            <w:noWrap/>
            <w:vAlign w:val="center"/>
          </w:tcPr>
          <w:p w14:paraId="4C2E1659">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设备/器材名称</w:t>
            </w:r>
          </w:p>
        </w:tc>
        <w:tc>
          <w:tcPr>
            <w:tcW w:w="870" w:type="pct"/>
            <w:tcBorders>
              <w:top w:val="single" w:color="auto" w:sz="4" w:space="0"/>
              <w:left w:val="nil"/>
              <w:bottom w:val="single" w:color="auto" w:sz="4" w:space="0"/>
              <w:right w:val="single" w:color="auto" w:sz="4" w:space="0"/>
            </w:tcBorders>
            <w:noWrap/>
            <w:vAlign w:val="center"/>
          </w:tcPr>
          <w:p w14:paraId="4545717A">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072" w:type="pct"/>
            <w:tcBorders>
              <w:top w:val="single" w:color="auto" w:sz="4" w:space="0"/>
              <w:left w:val="nil"/>
              <w:bottom w:val="single" w:color="auto" w:sz="4" w:space="0"/>
              <w:right w:val="single" w:color="auto" w:sz="4" w:space="0"/>
            </w:tcBorders>
            <w:noWrap/>
            <w:vAlign w:val="center"/>
          </w:tcPr>
          <w:p w14:paraId="53BBBF89">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485395E6">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3040DDFB">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1</w:t>
            </w:r>
          </w:p>
        </w:tc>
        <w:tc>
          <w:tcPr>
            <w:tcW w:w="2377" w:type="pct"/>
            <w:tcBorders>
              <w:top w:val="single" w:color="auto" w:sz="4" w:space="0"/>
              <w:left w:val="single" w:color="auto" w:sz="4" w:space="0"/>
              <w:bottom w:val="single" w:color="auto" w:sz="4" w:space="0"/>
              <w:right w:val="single" w:color="auto" w:sz="4" w:space="0"/>
            </w:tcBorders>
            <w:noWrap/>
            <w:vAlign w:val="center"/>
          </w:tcPr>
          <w:p w14:paraId="61FCCABB">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打卡机</w:t>
            </w:r>
          </w:p>
        </w:tc>
        <w:tc>
          <w:tcPr>
            <w:tcW w:w="870" w:type="pct"/>
            <w:tcBorders>
              <w:top w:val="single" w:color="auto" w:sz="4" w:space="0"/>
              <w:left w:val="single" w:color="auto" w:sz="4" w:space="0"/>
              <w:bottom w:val="single" w:color="auto" w:sz="4" w:space="0"/>
              <w:right w:val="single" w:color="auto" w:sz="4" w:space="0"/>
            </w:tcBorders>
            <w:noWrap/>
            <w:vAlign w:val="center"/>
          </w:tcPr>
          <w:p w14:paraId="05CBFB68">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1072" w:type="pct"/>
            <w:tcBorders>
              <w:top w:val="single" w:color="auto" w:sz="4" w:space="0"/>
              <w:left w:val="single" w:color="auto" w:sz="4" w:space="0"/>
              <w:bottom w:val="single" w:color="auto" w:sz="4" w:space="0"/>
              <w:right w:val="single" w:color="auto" w:sz="4" w:space="0"/>
            </w:tcBorders>
            <w:noWrap/>
            <w:vAlign w:val="center"/>
          </w:tcPr>
          <w:p w14:paraId="4E5E464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套</w:t>
            </w:r>
          </w:p>
        </w:tc>
      </w:tr>
      <w:tr w14:paraId="4A600B14">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73867A58">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2</w:t>
            </w:r>
          </w:p>
        </w:tc>
        <w:tc>
          <w:tcPr>
            <w:tcW w:w="2377" w:type="pct"/>
            <w:tcBorders>
              <w:top w:val="single" w:color="auto" w:sz="4" w:space="0"/>
              <w:left w:val="single" w:color="auto" w:sz="4" w:space="0"/>
              <w:bottom w:val="single" w:color="auto" w:sz="4" w:space="0"/>
              <w:right w:val="single" w:color="auto" w:sz="4" w:space="0"/>
            </w:tcBorders>
            <w:noWrap/>
            <w:vAlign w:val="center"/>
          </w:tcPr>
          <w:p w14:paraId="0D856A2D">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电子巡更系统</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25个点位</w:t>
            </w:r>
            <w:r>
              <w:rPr>
                <w:rFonts w:hint="eastAsia" w:ascii="宋体" w:hAnsi="宋体" w:cs="宋体"/>
                <w:color w:val="auto"/>
                <w:kern w:val="2"/>
                <w:sz w:val="24"/>
                <w:szCs w:val="24"/>
                <w:highlight w:val="none"/>
                <w:lang w:eastAsia="zh-CN"/>
              </w:rPr>
              <w:t>）</w:t>
            </w:r>
          </w:p>
        </w:tc>
        <w:tc>
          <w:tcPr>
            <w:tcW w:w="870" w:type="pct"/>
            <w:tcBorders>
              <w:top w:val="single" w:color="auto" w:sz="4" w:space="0"/>
              <w:left w:val="single" w:color="auto" w:sz="4" w:space="0"/>
              <w:bottom w:val="single" w:color="auto" w:sz="4" w:space="0"/>
              <w:right w:val="single" w:color="auto" w:sz="4" w:space="0"/>
            </w:tcBorders>
            <w:noWrap/>
            <w:vAlign w:val="center"/>
          </w:tcPr>
          <w:p w14:paraId="7A4B0002">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1072" w:type="pct"/>
            <w:tcBorders>
              <w:top w:val="single" w:color="auto" w:sz="4" w:space="0"/>
              <w:left w:val="single" w:color="auto" w:sz="4" w:space="0"/>
              <w:bottom w:val="single" w:color="auto" w:sz="4" w:space="0"/>
              <w:right w:val="single" w:color="auto" w:sz="4" w:space="0"/>
            </w:tcBorders>
            <w:noWrap/>
            <w:vAlign w:val="center"/>
          </w:tcPr>
          <w:p w14:paraId="26977EB3">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套</w:t>
            </w:r>
          </w:p>
        </w:tc>
      </w:tr>
      <w:tr w14:paraId="3F123E1C">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7B261258">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3</w:t>
            </w:r>
          </w:p>
        </w:tc>
        <w:tc>
          <w:tcPr>
            <w:tcW w:w="2377" w:type="pct"/>
            <w:tcBorders>
              <w:top w:val="single" w:color="auto" w:sz="4" w:space="0"/>
              <w:left w:val="single" w:color="auto" w:sz="4" w:space="0"/>
              <w:bottom w:val="single" w:color="auto" w:sz="4" w:space="0"/>
              <w:right w:val="single" w:color="auto" w:sz="4" w:space="0"/>
            </w:tcBorders>
            <w:noWrap/>
            <w:vAlign w:val="center"/>
          </w:tcPr>
          <w:p w14:paraId="1ADF9C29">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钢盔</w:t>
            </w:r>
          </w:p>
        </w:tc>
        <w:tc>
          <w:tcPr>
            <w:tcW w:w="870" w:type="pct"/>
            <w:tcBorders>
              <w:top w:val="single" w:color="auto" w:sz="4" w:space="0"/>
              <w:left w:val="single" w:color="auto" w:sz="4" w:space="0"/>
              <w:bottom w:val="single" w:color="auto" w:sz="4" w:space="0"/>
              <w:right w:val="single" w:color="auto" w:sz="4" w:space="0"/>
            </w:tcBorders>
            <w:noWrap/>
            <w:vAlign w:val="center"/>
          </w:tcPr>
          <w:p w14:paraId="124A1B39">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1072" w:type="pct"/>
            <w:tcBorders>
              <w:top w:val="single" w:color="auto" w:sz="4" w:space="0"/>
              <w:left w:val="single" w:color="auto" w:sz="4" w:space="0"/>
              <w:bottom w:val="single" w:color="auto" w:sz="4" w:space="0"/>
              <w:right w:val="single" w:color="auto" w:sz="4" w:space="0"/>
            </w:tcBorders>
            <w:noWrap/>
            <w:vAlign w:val="center"/>
          </w:tcPr>
          <w:p w14:paraId="6EA71676">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项</w:t>
            </w:r>
          </w:p>
        </w:tc>
      </w:tr>
      <w:tr w14:paraId="079E758D">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6DC49F9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4</w:t>
            </w:r>
          </w:p>
        </w:tc>
        <w:tc>
          <w:tcPr>
            <w:tcW w:w="2377" w:type="pct"/>
            <w:tcBorders>
              <w:top w:val="single" w:color="auto" w:sz="4" w:space="0"/>
              <w:left w:val="single" w:color="auto" w:sz="4" w:space="0"/>
              <w:bottom w:val="single" w:color="auto" w:sz="4" w:space="0"/>
              <w:right w:val="single" w:color="auto" w:sz="4" w:space="0"/>
            </w:tcBorders>
            <w:noWrap/>
            <w:vAlign w:val="center"/>
          </w:tcPr>
          <w:p w14:paraId="59900D7D">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伸缩警棍</w:t>
            </w:r>
          </w:p>
        </w:tc>
        <w:tc>
          <w:tcPr>
            <w:tcW w:w="870" w:type="pct"/>
            <w:tcBorders>
              <w:top w:val="single" w:color="auto" w:sz="4" w:space="0"/>
              <w:left w:val="single" w:color="auto" w:sz="4" w:space="0"/>
              <w:bottom w:val="single" w:color="auto" w:sz="4" w:space="0"/>
              <w:right w:val="single" w:color="auto" w:sz="4" w:space="0"/>
            </w:tcBorders>
            <w:noWrap/>
            <w:vAlign w:val="center"/>
          </w:tcPr>
          <w:p w14:paraId="53616C18">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1072" w:type="pct"/>
            <w:tcBorders>
              <w:top w:val="single" w:color="auto" w:sz="4" w:space="0"/>
              <w:left w:val="single" w:color="auto" w:sz="4" w:space="0"/>
              <w:bottom w:val="single" w:color="auto" w:sz="4" w:space="0"/>
              <w:right w:val="single" w:color="auto" w:sz="4" w:space="0"/>
            </w:tcBorders>
            <w:noWrap/>
            <w:vAlign w:val="center"/>
          </w:tcPr>
          <w:p w14:paraId="128770FD">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根</w:t>
            </w:r>
          </w:p>
        </w:tc>
      </w:tr>
      <w:tr w14:paraId="74D109DB">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7C8E9993">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5</w:t>
            </w:r>
          </w:p>
        </w:tc>
        <w:tc>
          <w:tcPr>
            <w:tcW w:w="2377" w:type="pct"/>
            <w:tcBorders>
              <w:top w:val="single" w:color="auto" w:sz="4" w:space="0"/>
              <w:left w:val="single" w:color="auto" w:sz="4" w:space="0"/>
              <w:bottom w:val="single" w:color="auto" w:sz="4" w:space="0"/>
              <w:right w:val="single" w:color="auto" w:sz="4" w:space="0"/>
            </w:tcBorders>
            <w:noWrap/>
            <w:vAlign w:val="center"/>
          </w:tcPr>
          <w:p w14:paraId="1C767944">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伸缩警棍套</w:t>
            </w:r>
          </w:p>
        </w:tc>
        <w:tc>
          <w:tcPr>
            <w:tcW w:w="870" w:type="pct"/>
            <w:tcBorders>
              <w:top w:val="single" w:color="auto" w:sz="4" w:space="0"/>
              <w:left w:val="single" w:color="auto" w:sz="4" w:space="0"/>
              <w:bottom w:val="single" w:color="auto" w:sz="4" w:space="0"/>
              <w:right w:val="single" w:color="auto" w:sz="4" w:space="0"/>
            </w:tcBorders>
            <w:noWrap/>
            <w:vAlign w:val="center"/>
          </w:tcPr>
          <w:p w14:paraId="322C8610">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1072" w:type="pct"/>
            <w:tcBorders>
              <w:top w:val="single" w:color="auto" w:sz="4" w:space="0"/>
              <w:left w:val="single" w:color="auto" w:sz="4" w:space="0"/>
              <w:bottom w:val="single" w:color="auto" w:sz="4" w:space="0"/>
              <w:right w:val="single" w:color="auto" w:sz="4" w:space="0"/>
            </w:tcBorders>
            <w:noWrap/>
            <w:vAlign w:val="center"/>
          </w:tcPr>
          <w:p w14:paraId="2EC4AA2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只</w:t>
            </w:r>
          </w:p>
        </w:tc>
      </w:tr>
      <w:tr w14:paraId="18530B18">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4DC38403">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6</w:t>
            </w:r>
          </w:p>
        </w:tc>
        <w:tc>
          <w:tcPr>
            <w:tcW w:w="2377" w:type="pct"/>
            <w:tcBorders>
              <w:top w:val="single" w:color="auto" w:sz="4" w:space="0"/>
              <w:left w:val="single" w:color="auto" w:sz="4" w:space="0"/>
              <w:bottom w:val="single" w:color="auto" w:sz="4" w:space="0"/>
              <w:right w:val="single" w:color="auto" w:sz="4" w:space="0"/>
            </w:tcBorders>
            <w:noWrap/>
            <w:vAlign w:val="center"/>
          </w:tcPr>
          <w:p w14:paraId="5BB0BF2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多功能分体式雨衣</w:t>
            </w:r>
          </w:p>
        </w:tc>
        <w:tc>
          <w:tcPr>
            <w:tcW w:w="870" w:type="pct"/>
            <w:tcBorders>
              <w:top w:val="single" w:color="auto" w:sz="4" w:space="0"/>
              <w:left w:val="single" w:color="auto" w:sz="4" w:space="0"/>
              <w:bottom w:val="single" w:color="auto" w:sz="4" w:space="0"/>
              <w:right w:val="single" w:color="auto" w:sz="4" w:space="0"/>
            </w:tcBorders>
            <w:noWrap/>
            <w:vAlign w:val="center"/>
          </w:tcPr>
          <w:p w14:paraId="38DE7DCC">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10</w:t>
            </w:r>
          </w:p>
        </w:tc>
        <w:tc>
          <w:tcPr>
            <w:tcW w:w="1072" w:type="pct"/>
            <w:tcBorders>
              <w:top w:val="single" w:color="auto" w:sz="4" w:space="0"/>
              <w:left w:val="single" w:color="auto" w:sz="4" w:space="0"/>
              <w:bottom w:val="single" w:color="auto" w:sz="4" w:space="0"/>
              <w:right w:val="single" w:color="auto" w:sz="4" w:space="0"/>
            </w:tcBorders>
            <w:noWrap/>
            <w:vAlign w:val="center"/>
          </w:tcPr>
          <w:p w14:paraId="7F0F4E05">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套</w:t>
            </w:r>
          </w:p>
        </w:tc>
      </w:tr>
      <w:tr w14:paraId="4C1AA140">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13D60E7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7</w:t>
            </w:r>
          </w:p>
        </w:tc>
        <w:tc>
          <w:tcPr>
            <w:tcW w:w="2377" w:type="pct"/>
            <w:tcBorders>
              <w:top w:val="single" w:color="auto" w:sz="4" w:space="0"/>
              <w:left w:val="single" w:color="auto" w:sz="4" w:space="0"/>
              <w:bottom w:val="single" w:color="auto" w:sz="4" w:space="0"/>
              <w:right w:val="single" w:color="auto" w:sz="4" w:space="0"/>
            </w:tcBorders>
            <w:noWrap/>
            <w:vAlign w:val="center"/>
          </w:tcPr>
          <w:p w14:paraId="082DFBC0">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雨鞋</w:t>
            </w:r>
          </w:p>
        </w:tc>
        <w:tc>
          <w:tcPr>
            <w:tcW w:w="870" w:type="pct"/>
            <w:tcBorders>
              <w:top w:val="single" w:color="auto" w:sz="4" w:space="0"/>
              <w:left w:val="single" w:color="auto" w:sz="4" w:space="0"/>
              <w:bottom w:val="single" w:color="auto" w:sz="4" w:space="0"/>
              <w:right w:val="single" w:color="auto" w:sz="4" w:space="0"/>
            </w:tcBorders>
            <w:noWrap/>
            <w:vAlign w:val="center"/>
          </w:tcPr>
          <w:p w14:paraId="049A9F2A">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10</w:t>
            </w:r>
          </w:p>
        </w:tc>
        <w:tc>
          <w:tcPr>
            <w:tcW w:w="1072" w:type="pct"/>
            <w:tcBorders>
              <w:top w:val="single" w:color="auto" w:sz="4" w:space="0"/>
              <w:left w:val="single" w:color="auto" w:sz="4" w:space="0"/>
              <w:bottom w:val="single" w:color="auto" w:sz="4" w:space="0"/>
              <w:right w:val="single" w:color="auto" w:sz="4" w:space="0"/>
            </w:tcBorders>
            <w:noWrap/>
            <w:vAlign w:val="center"/>
          </w:tcPr>
          <w:p w14:paraId="2416ABB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双</w:t>
            </w:r>
          </w:p>
        </w:tc>
      </w:tr>
      <w:tr w14:paraId="33CAEFAB">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7F592A7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2377" w:type="pct"/>
            <w:tcBorders>
              <w:top w:val="single" w:color="auto" w:sz="4" w:space="0"/>
              <w:left w:val="nil"/>
              <w:bottom w:val="single" w:color="auto" w:sz="4" w:space="0"/>
              <w:right w:val="single" w:color="auto" w:sz="4" w:space="0"/>
            </w:tcBorders>
            <w:noWrap/>
            <w:vAlign w:val="center"/>
          </w:tcPr>
          <w:p w14:paraId="73437850">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武装带</w:t>
            </w:r>
          </w:p>
        </w:tc>
        <w:tc>
          <w:tcPr>
            <w:tcW w:w="870" w:type="pct"/>
            <w:tcBorders>
              <w:top w:val="single" w:color="auto" w:sz="4" w:space="0"/>
              <w:left w:val="nil"/>
              <w:bottom w:val="single" w:color="auto" w:sz="4" w:space="0"/>
              <w:right w:val="single" w:color="auto" w:sz="4" w:space="0"/>
            </w:tcBorders>
            <w:noWrap/>
            <w:vAlign w:val="center"/>
          </w:tcPr>
          <w:p w14:paraId="78B817B8">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rPr>
              <w:t>10</w:t>
            </w:r>
          </w:p>
        </w:tc>
        <w:tc>
          <w:tcPr>
            <w:tcW w:w="1072" w:type="pct"/>
            <w:tcBorders>
              <w:top w:val="single" w:color="auto" w:sz="4" w:space="0"/>
              <w:left w:val="nil"/>
              <w:bottom w:val="single" w:color="auto" w:sz="4" w:space="0"/>
              <w:right w:val="single" w:color="auto" w:sz="4" w:space="0"/>
            </w:tcBorders>
            <w:noWrap/>
            <w:vAlign w:val="center"/>
          </w:tcPr>
          <w:p w14:paraId="36E0B05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w:t>
            </w:r>
          </w:p>
        </w:tc>
      </w:tr>
      <w:tr w14:paraId="05AA175E">
        <w:tblPrEx>
          <w:tblCellMar>
            <w:top w:w="0" w:type="dxa"/>
            <w:left w:w="108" w:type="dxa"/>
            <w:bottom w:w="0" w:type="dxa"/>
            <w:right w:w="108" w:type="dxa"/>
          </w:tblCellMar>
        </w:tblPrEx>
        <w:trPr>
          <w:trHeight w:val="499" w:hRule="atLeast"/>
          <w:jc w:val="center"/>
        </w:trPr>
        <w:tc>
          <w:tcPr>
            <w:tcW w:w="679" w:type="pct"/>
            <w:tcBorders>
              <w:top w:val="nil"/>
              <w:left w:val="single" w:color="auto" w:sz="4" w:space="0"/>
              <w:bottom w:val="single" w:color="auto" w:sz="4" w:space="0"/>
              <w:right w:val="single" w:color="auto" w:sz="4" w:space="0"/>
            </w:tcBorders>
            <w:noWrap/>
            <w:vAlign w:val="center"/>
          </w:tcPr>
          <w:p w14:paraId="69E3DD1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9</w:t>
            </w:r>
          </w:p>
        </w:tc>
        <w:tc>
          <w:tcPr>
            <w:tcW w:w="2377" w:type="pct"/>
            <w:tcBorders>
              <w:top w:val="nil"/>
              <w:left w:val="nil"/>
              <w:bottom w:val="single" w:color="auto" w:sz="4" w:space="0"/>
              <w:right w:val="single" w:color="auto" w:sz="4" w:space="0"/>
            </w:tcBorders>
            <w:noWrap/>
            <w:vAlign w:val="center"/>
          </w:tcPr>
          <w:p w14:paraId="7D03157D">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防暴盾牌</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大</w:t>
            </w:r>
            <w:r>
              <w:rPr>
                <w:rFonts w:hint="eastAsia" w:ascii="宋体" w:hAnsi="宋体" w:eastAsia="宋体" w:cs="宋体"/>
                <w:color w:val="auto"/>
                <w:kern w:val="2"/>
                <w:sz w:val="24"/>
                <w:szCs w:val="24"/>
                <w:highlight w:val="none"/>
                <w:lang w:eastAsia="zh-CN"/>
              </w:rPr>
              <w:t>）</w:t>
            </w:r>
          </w:p>
        </w:tc>
        <w:tc>
          <w:tcPr>
            <w:tcW w:w="870" w:type="pct"/>
            <w:tcBorders>
              <w:top w:val="nil"/>
              <w:left w:val="nil"/>
              <w:bottom w:val="single" w:color="auto" w:sz="4" w:space="0"/>
              <w:right w:val="single" w:color="auto" w:sz="4" w:space="0"/>
            </w:tcBorders>
            <w:noWrap/>
            <w:vAlign w:val="center"/>
          </w:tcPr>
          <w:p w14:paraId="4580E36A">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1072" w:type="pct"/>
            <w:tcBorders>
              <w:top w:val="nil"/>
              <w:left w:val="nil"/>
              <w:bottom w:val="single" w:color="auto" w:sz="4" w:space="0"/>
              <w:right w:val="single" w:color="auto" w:sz="4" w:space="0"/>
            </w:tcBorders>
            <w:noWrap/>
            <w:vAlign w:val="center"/>
          </w:tcPr>
          <w:p w14:paraId="41CCF466">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块</w:t>
            </w:r>
          </w:p>
        </w:tc>
      </w:tr>
      <w:tr w14:paraId="7C7E57BA">
        <w:tblPrEx>
          <w:tblCellMar>
            <w:top w:w="0" w:type="dxa"/>
            <w:left w:w="108" w:type="dxa"/>
            <w:bottom w:w="0" w:type="dxa"/>
            <w:right w:w="108" w:type="dxa"/>
          </w:tblCellMar>
        </w:tblPrEx>
        <w:trPr>
          <w:trHeight w:val="499" w:hRule="atLeast"/>
          <w:jc w:val="center"/>
        </w:trPr>
        <w:tc>
          <w:tcPr>
            <w:tcW w:w="679" w:type="pct"/>
            <w:tcBorders>
              <w:top w:val="nil"/>
              <w:left w:val="single" w:color="auto" w:sz="4" w:space="0"/>
              <w:bottom w:val="single" w:color="auto" w:sz="4" w:space="0"/>
              <w:right w:val="single" w:color="auto" w:sz="4" w:space="0"/>
            </w:tcBorders>
            <w:noWrap/>
            <w:vAlign w:val="center"/>
          </w:tcPr>
          <w:p w14:paraId="5CA273C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10</w:t>
            </w:r>
          </w:p>
        </w:tc>
        <w:tc>
          <w:tcPr>
            <w:tcW w:w="2377" w:type="pct"/>
            <w:tcBorders>
              <w:top w:val="nil"/>
              <w:left w:val="nil"/>
              <w:bottom w:val="single" w:color="auto" w:sz="4" w:space="0"/>
              <w:right w:val="single" w:color="auto" w:sz="4" w:space="0"/>
            </w:tcBorders>
            <w:noWrap/>
            <w:vAlign w:val="center"/>
          </w:tcPr>
          <w:p w14:paraId="06362999">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强光电筒</w:t>
            </w:r>
          </w:p>
        </w:tc>
        <w:tc>
          <w:tcPr>
            <w:tcW w:w="870" w:type="pct"/>
            <w:tcBorders>
              <w:top w:val="nil"/>
              <w:left w:val="nil"/>
              <w:bottom w:val="single" w:color="auto" w:sz="4" w:space="0"/>
              <w:right w:val="single" w:color="auto" w:sz="4" w:space="0"/>
            </w:tcBorders>
            <w:noWrap/>
            <w:vAlign w:val="center"/>
          </w:tcPr>
          <w:p w14:paraId="54439D0B">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c>
          <w:tcPr>
            <w:tcW w:w="1072" w:type="pct"/>
            <w:tcBorders>
              <w:top w:val="nil"/>
              <w:left w:val="nil"/>
              <w:bottom w:val="single" w:color="auto" w:sz="4" w:space="0"/>
              <w:right w:val="single" w:color="auto" w:sz="4" w:space="0"/>
            </w:tcBorders>
            <w:noWrap/>
            <w:vAlign w:val="center"/>
          </w:tcPr>
          <w:p w14:paraId="04690355">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只</w:t>
            </w:r>
          </w:p>
        </w:tc>
      </w:tr>
      <w:tr w14:paraId="6DA3D1B5">
        <w:tblPrEx>
          <w:tblCellMar>
            <w:top w:w="0" w:type="dxa"/>
            <w:left w:w="108" w:type="dxa"/>
            <w:bottom w:w="0" w:type="dxa"/>
            <w:right w:w="108" w:type="dxa"/>
          </w:tblCellMar>
        </w:tblPrEx>
        <w:trPr>
          <w:trHeight w:val="499" w:hRule="atLeast"/>
          <w:jc w:val="center"/>
        </w:trPr>
        <w:tc>
          <w:tcPr>
            <w:tcW w:w="679" w:type="pct"/>
            <w:tcBorders>
              <w:top w:val="nil"/>
              <w:left w:val="single" w:color="auto" w:sz="4" w:space="0"/>
              <w:bottom w:val="single" w:color="auto" w:sz="4" w:space="0"/>
              <w:right w:val="single" w:color="auto" w:sz="4" w:space="0"/>
            </w:tcBorders>
            <w:noWrap/>
            <w:vAlign w:val="center"/>
          </w:tcPr>
          <w:p w14:paraId="04A27C0D">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11</w:t>
            </w:r>
          </w:p>
        </w:tc>
        <w:tc>
          <w:tcPr>
            <w:tcW w:w="2377" w:type="pct"/>
            <w:tcBorders>
              <w:top w:val="nil"/>
              <w:left w:val="nil"/>
              <w:bottom w:val="single" w:color="auto" w:sz="4" w:space="0"/>
              <w:right w:val="single" w:color="auto" w:sz="4" w:space="0"/>
            </w:tcBorders>
            <w:noWrap/>
            <w:vAlign w:val="center"/>
          </w:tcPr>
          <w:p w14:paraId="0A102B29">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防刺服</w:t>
            </w:r>
          </w:p>
        </w:tc>
        <w:tc>
          <w:tcPr>
            <w:tcW w:w="870" w:type="pct"/>
            <w:tcBorders>
              <w:top w:val="nil"/>
              <w:left w:val="nil"/>
              <w:bottom w:val="single" w:color="auto" w:sz="4" w:space="0"/>
              <w:right w:val="single" w:color="auto" w:sz="4" w:space="0"/>
            </w:tcBorders>
            <w:noWrap/>
            <w:vAlign w:val="center"/>
          </w:tcPr>
          <w:p w14:paraId="6E42CD2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8</w:t>
            </w:r>
          </w:p>
        </w:tc>
        <w:tc>
          <w:tcPr>
            <w:tcW w:w="1072" w:type="pct"/>
            <w:tcBorders>
              <w:top w:val="nil"/>
              <w:left w:val="nil"/>
              <w:bottom w:val="single" w:color="auto" w:sz="4" w:space="0"/>
              <w:right w:val="single" w:color="auto" w:sz="4" w:space="0"/>
            </w:tcBorders>
            <w:noWrap/>
            <w:vAlign w:val="center"/>
          </w:tcPr>
          <w:p w14:paraId="395A0D6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套</w:t>
            </w:r>
          </w:p>
        </w:tc>
      </w:tr>
      <w:tr w14:paraId="7FED687E">
        <w:tblPrEx>
          <w:tblCellMar>
            <w:top w:w="0" w:type="dxa"/>
            <w:left w:w="108" w:type="dxa"/>
            <w:bottom w:w="0" w:type="dxa"/>
            <w:right w:w="108" w:type="dxa"/>
          </w:tblCellMar>
        </w:tblPrEx>
        <w:trPr>
          <w:trHeight w:val="499" w:hRule="atLeast"/>
          <w:jc w:val="center"/>
        </w:trPr>
        <w:tc>
          <w:tcPr>
            <w:tcW w:w="679" w:type="pct"/>
            <w:tcBorders>
              <w:top w:val="nil"/>
              <w:left w:val="single" w:color="auto" w:sz="4" w:space="0"/>
              <w:bottom w:val="single" w:color="auto" w:sz="4" w:space="0"/>
              <w:right w:val="single" w:color="auto" w:sz="4" w:space="0"/>
            </w:tcBorders>
            <w:noWrap/>
            <w:vAlign w:val="center"/>
          </w:tcPr>
          <w:p w14:paraId="6044A0F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12</w:t>
            </w:r>
          </w:p>
        </w:tc>
        <w:tc>
          <w:tcPr>
            <w:tcW w:w="2377" w:type="pct"/>
            <w:tcBorders>
              <w:top w:val="nil"/>
              <w:left w:val="nil"/>
              <w:bottom w:val="single" w:color="auto" w:sz="4" w:space="0"/>
              <w:right w:val="single" w:color="auto" w:sz="4" w:space="0"/>
            </w:tcBorders>
            <w:noWrap/>
            <w:vAlign w:val="center"/>
          </w:tcPr>
          <w:p w14:paraId="3BE2C4B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对讲机</w:t>
            </w:r>
          </w:p>
        </w:tc>
        <w:tc>
          <w:tcPr>
            <w:tcW w:w="870" w:type="pct"/>
            <w:tcBorders>
              <w:top w:val="nil"/>
              <w:left w:val="nil"/>
              <w:bottom w:val="single" w:color="auto" w:sz="4" w:space="0"/>
              <w:right w:val="single" w:color="auto" w:sz="4" w:space="0"/>
            </w:tcBorders>
            <w:noWrap/>
            <w:vAlign w:val="center"/>
          </w:tcPr>
          <w:p w14:paraId="2AA9FC27">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12</w:t>
            </w:r>
          </w:p>
        </w:tc>
        <w:tc>
          <w:tcPr>
            <w:tcW w:w="1072" w:type="pct"/>
            <w:tcBorders>
              <w:top w:val="nil"/>
              <w:left w:val="nil"/>
              <w:bottom w:val="single" w:color="auto" w:sz="4" w:space="0"/>
              <w:right w:val="single" w:color="auto" w:sz="4" w:space="0"/>
            </w:tcBorders>
            <w:noWrap/>
            <w:vAlign w:val="center"/>
          </w:tcPr>
          <w:p w14:paraId="42F7E924">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只</w:t>
            </w:r>
          </w:p>
        </w:tc>
      </w:tr>
      <w:tr w14:paraId="14AD2955">
        <w:tblPrEx>
          <w:tblCellMar>
            <w:top w:w="0" w:type="dxa"/>
            <w:left w:w="108" w:type="dxa"/>
            <w:bottom w:w="0" w:type="dxa"/>
            <w:right w:w="108" w:type="dxa"/>
          </w:tblCellMar>
        </w:tblPrEx>
        <w:trPr>
          <w:trHeight w:val="499" w:hRule="atLeast"/>
          <w:jc w:val="center"/>
        </w:trPr>
        <w:tc>
          <w:tcPr>
            <w:tcW w:w="679" w:type="pct"/>
            <w:tcBorders>
              <w:top w:val="nil"/>
              <w:left w:val="single" w:color="auto" w:sz="4" w:space="0"/>
              <w:bottom w:val="single" w:color="auto" w:sz="4" w:space="0"/>
              <w:right w:val="single" w:color="auto" w:sz="4" w:space="0"/>
            </w:tcBorders>
            <w:noWrap/>
            <w:vAlign w:val="center"/>
          </w:tcPr>
          <w:p w14:paraId="2C9D154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2377" w:type="pct"/>
            <w:tcBorders>
              <w:top w:val="nil"/>
              <w:left w:val="nil"/>
              <w:bottom w:val="single" w:color="auto" w:sz="4" w:space="0"/>
              <w:right w:val="single" w:color="auto" w:sz="4" w:space="0"/>
            </w:tcBorders>
            <w:noWrap/>
            <w:vAlign w:val="center"/>
          </w:tcPr>
          <w:p w14:paraId="5D73FE9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防割手套</w:t>
            </w:r>
          </w:p>
        </w:tc>
        <w:tc>
          <w:tcPr>
            <w:tcW w:w="870" w:type="pct"/>
            <w:tcBorders>
              <w:top w:val="nil"/>
              <w:left w:val="nil"/>
              <w:bottom w:val="single" w:color="auto" w:sz="4" w:space="0"/>
              <w:right w:val="single" w:color="auto" w:sz="4" w:space="0"/>
            </w:tcBorders>
            <w:noWrap/>
            <w:vAlign w:val="center"/>
          </w:tcPr>
          <w:p w14:paraId="7C891742">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10</w:t>
            </w:r>
          </w:p>
        </w:tc>
        <w:tc>
          <w:tcPr>
            <w:tcW w:w="1072" w:type="pct"/>
            <w:tcBorders>
              <w:top w:val="nil"/>
              <w:left w:val="nil"/>
              <w:bottom w:val="single" w:color="auto" w:sz="4" w:space="0"/>
              <w:right w:val="single" w:color="auto" w:sz="4" w:space="0"/>
            </w:tcBorders>
            <w:noWrap/>
            <w:vAlign w:val="center"/>
          </w:tcPr>
          <w:p w14:paraId="0036CF25">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套</w:t>
            </w:r>
          </w:p>
        </w:tc>
      </w:tr>
      <w:tr w14:paraId="1DE88329">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1232C78E">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2377" w:type="pct"/>
            <w:tcBorders>
              <w:top w:val="single" w:color="auto" w:sz="4" w:space="0"/>
              <w:left w:val="single" w:color="auto" w:sz="4" w:space="0"/>
              <w:bottom w:val="single" w:color="auto" w:sz="4" w:space="0"/>
              <w:right w:val="single" w:color="auto" w:sz="4" w:space="0"/>
            </w:tcBorders>
            <w:noWrap/>
            <w:vAlign w:val="center"/>
          </w:tcPr>
          <w:p w14:paraId="64DCF1B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辣椒水</w:t>
            </w:r>
          </w:p>
        </w:tc>
        <w:tc>
          <w:tcPr>
            <w:tcW w:w="870" w:type="pct"/>
            <w:tcBorders>
              <w:top w:val="single" w:color="auto" w:sz="4" w:space="0"/>
              <w:left w:val="single" w:color="auto" w:sz="4" w:space="0"/>
              <w:bottom w:val="single" w:color="auto" w:sz="4" w:space="0"/>
              <w:right w:val="single" w:color="auto" w:sz="4" w:space="0"/>
            </w:tcBorders>
            <w:noWrap/>
            <w:vAlign w:val="center"/>
          </w:tcPr>
          <w:p w14:paraId="6C86C769">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10</w:t>
            </w:r>
          </w:p>
        </w:tc>
        <w:tc>
          <w:tcPr>
            <w:tcW w:w="1072" w:type="pct"/>
            <w:tcBorders>
              <w:top w:val="single" w:color="auto" w:sz="4" w:space="0"/>
              <w:left w:val="single" w:color="auto" w:sz="4" w:space="0"/>
              <w:bottom w:val="single" w:color="auto" w:sz="4" w:space="0"/>
              <w:right w:val="single" w:color="auto" w:sz="4" w:space="0"/>
            </w:tcBorders>
            <w:noWrap/>
            <w:vAlign w:val="center"/>
          </w:tcPr>
          <w:p w14:paraId="6C17E79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瓶</w:t>
            </w:r>
          </w:p>
        </w:tc>
      </w:tr>
      <w:tr w14:paraId="4017D113">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7D46B1AE">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2377" w:type="pct"/>
            <w:tcBorders>
              <w:top w:val="single" w:color="auto" w:sz="4" w:space="0"/>
              <w:left w:val="single" w:color="auto" w:sz="4" w:space="0"/>
              <w:bottom w:val="single" w:color="auto" w:sz="4" w:space="0"/>
              <w:right w:val="single" w:color="auto" w:sz="4" w:space="0"/>
            </w:tcBorders>
            <w:noWrap/>
            <w:vAlign w:val="center"/>
          </w:tcPr>
          <w:p w14:paraId="721F3EE4">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执法记录仪</w:t>
            </w:r>
          </w:p>
        </w:tc>
        <w:tc>
          <w:tcPr>
            <w:tcW w:w="870" w:type="pct"/>
            <w:tcBorders>
              <w:top w:val="single" w:color="auto" w:sz="4" w:space="0"/>
              <w:left w:val="single" w:color="auto" w:sz="4" w:space="0"/>
              <w:bottom w:val="single" w:color="auto" w:sz="4" w:space="0"/>
              <w:right w:val="single" w:color="auto" w:sz="4" w:space="0"/>
            </w:tcBorders>
            <w:noWrap/>
            <w:vAlign w:val="center"/>
          </w:tcPr>
          <w:p w14:paraId="48698EC8">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1072" w:type="pct"/>
            <w:tcBorders>
              <w:top w:val="single" w:color="auto" w:sz="4" w:space="0"/>
              <w:left w:val="single" w:color="auto" w:sz="4" w:space="0"/>
              <w:bottom w:val="single" w:color="auto" w:sz="4" w:space="0"/>
              <w:right w:val="single" w:color="auto" w:sz="4" w:space="0"/>
            </w:tcBorders>
            <w:noWrap/>
            <w:vAlign w:val="center"/>
          </w:tcPr>
          <w:p w14:paraId="1F1ACBFC">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套</w:t>
            </w:r>
          </w:p>
        </w:tc>
      </w:tr>
      <w:tr w14:paraId="78E29809">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6D48252E">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p>
        </w:tc>
        <w:tc>
          <w:tcPr>
            <w:tcW w:w="2377" w:type="pct"/>
            <w:tcBorders>
              <w:top w:val="single" w:color="auto" w:sz="4" w:space="0"/>
              <w:left w:val="single" w:color="auto" w:sz="4" w:space="0"/>
              <w:bottom w:val="single" w:color="auto" w:sz="4" w:space="0"/>
              <w:right w:val="single" w:color="auto" w:sz="4" w:space="0"/>
            </w:tcBorders>
            <w:noWrap/>
            <w:vAlign w:val="center"/>
          </w:tcPr>
          <w:p w14:paraId="4B33B41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统一工作服装</w:t>
            </w:r>
          </w:p>
        </w:tc>
        <w:tc>
          <w:tcPr>
            <w:tcW w:w="870" w:type="pct"/>
            <w:tcBorders>
              <w:top w:val="single" w:color="auto" w:sz="4" w:space="0"/>
              <w:left w:val="single" w:color="auto" w:sz="4" w:space="0"/>
              <w:bottom w:val="single" w:color="auto" w:sz="4" w:space="0"/>
              <w:right w:val="single" w:color="auto" w:sz="4" w:space="0"/>
            </w:tcBorders>
            <w:noWrap/>
            <w:vAlign w:val="center"/>
          </w:tcPr>
          <w:p w14:paraId="4CEA3F2D">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vertAlign w:val="baseline"/>
                <w:lang w:val="en-US" w:eastAsia="zh-CN" w:bidi="ar-SA"/>
              </w:rPr>
              <w:t>按需配置</w:t>
            </w:r>
          </w:p>
        </w:tc>
        <w:tc>
          <w:tcPr>
            <w:tcW w:w="1072" w:type="pct"/>
            <w:tcBorders>
              <w:top w:val="single" w:color="auto" w:sz="4" w:space="0"/>
              <w:left w:val="single" w:color="auto" w:sz="4" w:space="0"/>
              <w:bottom w:val="single" w:color="auto" w:sz="4" w:space="0"/>
              <w:right w:val="single" w:color="auto" w:sz="4" w:space="0"/>
            </w:tcBorders>
            <w:noWrap/>
            <w:vAlign w:val="center"/>
          </w:tcPr>
          <w:p w14:paraId="4034DC3D">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套</w:t>
            </w:r>
          </w:p>
        </w:tc>
      </w:tr>
      <w:tr w14:paraId="1B4F5121">
        <w:tblPrEx>
          <w:tblCellMar>
            <w:top w:w="0" w:type="dxa"/>
            <w:left w:w="108" w:type="dxa"/>
            <w:bottom w:w="0" w:type="dxa"/>
            <w:right w:w="108" w:type="dxa"/>
          </w:tblCellMar>
        </w:tblPrEx>
        <w:trPr>
          <w:trHeight w:val="499"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14:paraId="7C76F02D">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17</w:t>
            </w:r>
          </w:p>
        </w:tc>
        <w:tc>
          <w:tcPr>
            <w:tcW w:w="2377" w:type="pct"/>
            <w:tcBorders>
              <w:top w:val="single" w:color="auto" w:sz="4" w:space="0"/>
              <w:left w:val="single" w:color="auto" w:sz="4" w:space="0"/>
              <w:bottom w:val="single" w:color="auto" w:sz="4" w:space="0"/>
              <w:right w:val="single" w:color="auto" w:sz="4" w:space="0"/>
            </w:tcBorders>
            <w:noWrap/>
            <w:vAlign w:val="center"/>
          </w:tcPr>
          <w:p w14:paraId="509B311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雨伞</w:t>
            </w:r>
          </w:p>
        </w:tc>
        <w:tc>
          <w:tcPr>
            <w:tcW w:w="1483" w:type="dxa"/>
            <w:tcBorders>
              <w:top w:val="single" w:color="auto" w:sz="4" w:space="0"/>
              <w:left w:val="single" w:color="auto" w:sz="4" w:space="0"/>
              <w:bottom w:val="single" w:color="auto" w:sz="4" w:space="0"/>
              <w:right w:val="single" w:color="auto" w:sz="4" w:space="0"/>
            </w:tcBorders>
            <w:noWrap/>
            <w:vAlign w:val="center"/>
          </w:tcPr>
          <w:p w14:paraId="37003442">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按需配置</w:t>
            </w:r>
          </w:p>
        </w:tc>
        <w:tc>
          <w:tcPr>
            <w:tcW w:w="1828" w:type="dxa"/>
            <w:tcBorders>
              <w:top w:val="single" w:color="auto" w:sz="4" w:space="0"/>
              <w:left w:val="single" w:color="auto" w:sz="4" w:space="0"/>
              <w:bottom w:val="single" w:color="auto" w:sz="4" w:space="0"/>
              <w:right w:val="single" w:color="auto" w:sz="4" w:space="0"/>
            </w:tcBorders>
            <w:noWrap/>
            <w:vAlign w:val="center"/>
          </w:tcPr>
          <w:p w14:paraId="68322CB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把</w:t>
            </w:r>
          </w:p>
        </w:tc>
      </w:tr>
    </w:tbl>
    <w:p w14:paraId="5B9193AD">
      <w:pPr>
        <w:keepNext w:val="0"/>
        <w:keepLines w:val="0"/>
        <w:pageBreakBefore w:val="0"/>
        <w:kinsoku/>
        <w:wordWrap/>
        <w:overflowPunct/>
        <w:topLinePunct w:val="0"/>
        <w:autoSpaceDE/>
        <w:autoSpaceDN/>
        <w:bidi w:val="0"/>
        <w:adjustRightInd w:val="0"/>
        <w:spacing w:line="460" w:lineRule="exact"/>
        <w:ind w:firstLine="480" w:firstLineChars="200"/>
        <w:rPr>
          <w:rFonts w:hint="eastAsia"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4"/>
          <w:highlight w:val="none"/>
        </w:rPr>
        <w:t>注</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上述装备价格包含在合同总金额中</w:t>
      </w:r>
      <w:r>
        <w:rPr>
          <w:rFonts w:hint="eastAsia" w:ascii="宋体" w:hAnsi="宋体" w:eastAsia="宋体" w:cs="宋体"/>
          <w:color w:val="auto"/>
          <w:kern w:val="2"/>
          <w:sz w:val="24"/>
          <w:szCs w:val="21"/>
          <w:highlight w:val="none"/>
          <w:lang w:eastAsia="zh-CN"/>
        </w:rPr>
        <w:t>。</w:t>
      </w:r>
    </w:p>
    <w:p w14:paraId="77F29058">
      <w:pPr>
        <w:keepNext w:val="0"/>
        <w:keepLines w:val="0"/>
        <w:pageBreakBefore w:val="0"/>
        <w:numPr>
          <w:ilvl w:val="0"/>
          <w:numId w:val="0"/>
        </w:numPr>
        <w:kinsoku/>
        <w:wordWrap/>
        <w:overflowPunct/>
        <w:topLinePunct w:val="0"/>
        <w:autoSpaceDE/>
        <w:autoSpaceDN/>
        <w:bidi w:val="0"/>
        <w:adjustRightInd w:val="0"/>
        <w:spacing w:line="460" w:lineRule="exact"/>
        <w:ind w:leftChars="200"/>
        <w:rPr>
          <w:rFonts w:hint="eastAsia" w:ascii="宋体" w:hAnsi="宋体" w:eastAsia="宋体" w:cs="宋体"/>
          <w:color w:val="auto"/>
          <w:kern w:val="2"/>
          <w:sz w:val="24"/>
          <w:szCs w:val="21"/>
          <w:highlight w:val="none"/>
          <w:lang w:val="en-US" w:eastAsia="zh-CN"/>
        </w:rPr>
      </w:pPr>
    </w:p>
    <w:p w14:paraId="3FB92AED">
      <w:pPr>
        <w:keepNext/>
        <w:widowControl w:val="0"/>
        <w:spacing w:line="216" w:lineRule="auto"/>
        <w:jc w:val="center"/>
        <w:outlineLvl w:val="1"/>
        <w:rPr>
          <w:rFonts w:hint="eastAsia" w:ascii="宋体" w:hAnsi="Calibri" w:eastAsia="宋体" w:cs="宋体"/>
          <w:b/>
          <w:bCs/>
          <w:color w:val="auto"/>
          <w:kern w:val="2"/>
          <w:sz w:val="28"/>
          <w:szCs w:val="28"/>
          <w:highlight w:val="none"/>
          <w:lang w:val="en-US" w:eastAsia="zh-CN" w:bidi="ar-SA"/>
        </w:rPr>
      </w:pPr>
    </w:p>
    <w:p w14:paraId="250F37DA">
      <w:pPr>
        <w:widowControl w:val="0"/>
        <w:ind w:firstLine="420"/>
        <w:jc w:val="both"/>
        <w:rPr>
          <w:rFonts w:hint="eastAsia" w:ascii="Times New Roman" w:hAnsi="Times New Roman" w:eastAsia="宋体" w:cs="Times New Roman"/>
          <w:color w:val="auto"/>
          <w:kern w:val="2"/>
          <w:sz w:val="21"/>
          <w:szCs w:val="21"/>
          <w:highlight w:val="none"/>
          <w:lang w:val="en-US" w:eastAsia="zh-CN" w:bidi="ar-SA"/>
        </w:rPr>
      </w:pPr>
    </w:p>
    <w:p w14:paraId="2AAED87F">
      <w:pPr>
        <w:jc w:val="center"/>
        <w:rPr>
          <w:rFonts w:hint="eastAsia"/>
          <w:color w:val="auto"/>
          <w:highlight w:val="none"/>
        </w:rPr>
        <w:sectPr>
          <w:pgSz w:w="11906" w:h="16838"/>
          <w:pgMar w:top="1440" w:right="1800" w:bottom="1440" w:left="1800" w:header="851" w:footer="992" w:gutter="0"/>
          <w:cols w:space="425" w:num="1"/>
          <w:docGrid w:type="lines" w:linePitch="312" w:charSpace="0"/>
        </w:sectPr>
      </w:pPr>
    </w:p>
    <w:p w14:paraId="62710E59">
      <w:pPr>
        <w:keepNext/>
        <w:widowControl w:val="0"/>
        <w:spacing w:line="216" w:lineRule="auto"/>
        <w:jc w:val="center"/>
        <w:outlineLvl w:val="1"/>
        <w:rPr>
          <w:rFonts w:hint="default" w:ascii="宋体" w:hAnsi="Calibri" w:eastAsia="宋体" w:cs="宋体"/>
          <w:b/>
          <w:bCs/>
          <w:color w:val="auto"/>
          <w:kern w:val="2"/>
          <w:sz w:val="28"/>
          <w:szCs w:val="28"/>
          <w:highlight w:val="none"/>
          <w:lang w:val="en-US" w:eastAsia="zh-CN" w:bidi="ar-SA"/>
        </w:rPr>
      </w:pPr>
      <w:bookmarkStart w:id="118" w:name="_Toc16434"/>
      <w:r>
        <w:rPr>
          <w:rFonts w:hint="eastAsia" w:ascii="宋体" w:hAnsi="Calibri" w:eastAsia="宋体" w:cs="宋体"/>
          <w:b/>
          <w:bCs/>
          <w:color w:val="auto"/>
          <w:kern w:val="2"/>
          <w:sz w:val="28"/>
          <w:szCs w:val="28"/>
          <w:highlight w:val="none"/>
          <w:lang w:val="en-US" w:eastAsia="zh-CN" w:bidi="ar-SA"/>
        </w:rPr>
        <w:t>第二章 考核办法</w:t>
      </w:r>
      <w:bookmarkEnd w:id="118"/>
    </w:p>
    <w:p w14:paraId="505E0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为加强绍兴市上虞第二人民医院的管理，达到管理工作的制度化、规范化、标准化目标，确保医院规范、高效、安全运行，结合医院管理实际，绍兴市上虞第二人民医院制定以下考核办法。</w:t>
      </w:r>
    </w:p>
    <w:p w14:paraId="4D877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具体考核办法如下：</w:t>
      </w:r>
    </w:p>
    <w:p w14:paraId="06091762">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考核对象</w:t>
      </w:r>
    </w:p>
    <w:p w14:paraId="233FD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绍兴市上虞第二人民医院安保服务项目服务单位。</w:t>
      </w:r>
    </w:p>
    <w:p w14:paraId="28933790">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考核原则</w:t>
      </w:r>
    </w:p>
    <w:p w14:paraId="5DFB8424">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坚持公开、公平、公正的原则；</w:t>
      </w:r>
    </w:p>
    <w:p w14:paraId="6BF2EB14">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坚持季度检查、年度考评原则；</w:t>
      </w:r>
    </w:p>
    <w:p w14:paraId="18367F53">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坚持定性和定量相结合的原则。</w:t>
      </w:r>
    </w:p>
    <w:p w14:paraId="020DC5F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考核方式</w:t>
      </w:r>
    </w:p>
    <w:p w14:paraId="5D9B7F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采购人成立考核小组每月不定期对中标单位的各项工作进行考核，详见下表《上虞第二人民医院安保服务项目考核细则》</w:t>
      </w:r>
    </w:p>
    <w:p w14:paraId="1654AED6">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奖惩办法</w:t>
      </w:r>
    </w:p>
    <w:p w14:paraId="3B961083">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满分为100分，90分（含）以上为优秀，支付全部月度合同款；</w:t>
      </w:r>
    </w:p>
    <w:p w14:paraId="1FB0CC6D">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80分（含）—90分（不含），每分扣1000元；</w:t>
      </w:r>
    </w:p>
    <w:p w14:paraId="48C35B76">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80分（不含）以下，每分扣2000元；</w:t>
      </w:r>
    </w:p>
    <w:p w14:paraId="284A5BAE">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cs="宋体"/>
          <w:color w:val="auto"/>
          <w:kern w:val="2"/>
          <w:sz w:val="24"/>
          <w:szCs w:val="21"/>
          <w:highlight w:val="none"/>
          <w:lang w:val="en-US" w:eastAsia="zh-CN"/>
        </w:rPr>
        <w:t>累计</w:t>
      </w:r>
      <w:r>
        <w:rPr>
          <w:rFonts w:hint="eastAsia" w:ascii="宋体" w:hAnsi="宋体" w:eastAsia="宋体" w:cs="宋体"/>
          <w:color w:val="auto"/>
          <w:kern w:val="2"/>
          <w:sz w:val="24"/>
          <w:szCs w:val="21"/>
          <w:highlight w:val="none"/>
          <w:lang w:val="en-US" w:eastAsia="zh-CN"/>
        </w:rPr>
        <w:t>2个月80分（不含）以下，采购人可解除本合同。</w:t>
      </w:r>
    </w:p>
    <w:p w14:paraId="3E90BD5A">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补充细则</w:t>
      </w:r>
    </w:p>
    <w:p w14:paraId="6D850FE8">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中标单位应按采购人需求及时增减保安服务岗位数量，如出现不及时到岗或缺岗，但未造成后果的，在扣除岗位费用的前提下，另按每个岗位扣100元。</w:t>
      </w:r>
    </w:p>
    <w:p w14:paraId="23E1CB0E">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中标单位保安在岗位服务中，出现服务不到位而造成不良投诉和不良影响的，每岗次扣除服务费100元。</w:t>
      </w:r>
    </w:p>
    <w:p w14:paraId="633FE18E">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中标单位保安在岗位服务中违反保安工作规范和工作纪律（中标单位需提供保安工作规范和工作纪律标准给采购人备案），被采购人发现和查到的，每岗次扣100元。</w:t>
      </w:r>
    </w:p>
    <w:p w14:paraId="75E3A553">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中标单位每月向采购人提供费用票据的同时，需提供明细费用计算单和在采购人服务岗位人员详细名单表，如不及时和不全面的，每月次扣服务费1000元。</w:t>
      </w:r>
    </w:p>
    <w:p w14:paraId="3FF9A524">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中标单位岗位保安在服务中应遵守采购人的规章制度和岗位职责，有不服从管理和有违反的，发现一岗次视情节扣服务费100元。</w:t>
      </w:r>
    </w:p>
    <w:p w14:paraId="15E8C570">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以上采购人对中标单位的月度考核内容，采购人可在月度中累计对中标单位进行扣除服务费用。</w:t>
      </w:r>
    </w:p>
    <w:p w14:paraId="21CB6937">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此月度考核标准为仅限于中标单位服务上对采购人未造成严重后果的情况，如发生严重后果的，采购人有权另行追究中标单位的责任。</w:t>
      </w:r>
    </w:p>
    <w:p w14:paraId="4A548386">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本考核办法最终解释权归采购人所有。</w:t>
      </w:r>
    </w:p>
    <w:p w14:paraId="472CE1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附件：《上虞第二人民医院安保服务项目考核细则》</w:t>
      </w:r>
    </w:p>
    <w:p w14:paraId="63791DD4">
      <w:pPr>
        <w:tabs>
          <w:tab w:val="left" w:pos="1275"/>
        </w:tabs>
        <w:jc w:val="center"/>
        <w:rPr>
          <w:rFonts w:hint="eastAsia" w:ascii="宋体" w:hAnsi="宋体" w:eastAsia="宋体" w:cs="宋体"/>
          <w:b/>
          <w:bCs/>
          <w:color w:val="auto"/>
          <w:kern w:val="0"/>
          <w:sz w:val="28"/>
          <w:szCs w:val="22"/>
          <w:highlight w:val="none"/>
          <w:lang w:val="en-US" w:eastAsia="zh-CN"/>
        </w:rPr>
        <w:sectPr>
          <w:pgSz w:w="11906" w:h="16838"/>
          <w:pgMar w:top="1440" w:right="1800" w:bottom="1440" w:left="1800" w:header="851" w:footer="992" w:gutter="0"/>
          <w:cols w:space="425" w:num="1"/>
          <w:docGrid w:type="lines" w:linePitch="312" w:charSpace="0"/>
        </w:sectPr>
      </w:pPr>
    </w:p>
    <w:p w14:paraId="49F14248">
      <w:pPr>
        <w:widowControl w:val="0"/>
        <w:tabs>
          <w:tab w:val="left" w:pos="1275"/>
        </w:tabs>
        <w:ind w:firstLine="281" w:firstLineChars="100"/>
        <w:jc w:val="center"/>
        <w:rPr>
          <w:rFonts w:hint="eastAsia" w:ascii="宋体" w:hAnsi="宋体" w:eastAsia="宋体" w:cs="宋体"/>
          <w:b/>
          <w:bCs/>
          <w:color w:val="auto"/>
          <w:kern w:val="2"/>
          <w:sz w:val="28"/>
          <w:szCs w:val="22"/>
          <w:highlight w:val="none"/>
          <w:lang w:val="en-US" w:eastAsia="zh-CN" w:bidi="ar-SA"/>
        </w:rPr>
      </w:pPr>
      <w:r>
        <w:rPr>
          <w:rFonts w:hint="eastAsia" w:ascii="宋体" w:hAnsi="宋体" w:eastAsia="宋体" w:cs="宋体"/>
          <w:b/>
          <w:bCs/>
          <w:color w:val="auto"/>
          <w:kern w:val="0"/>
          <w:sz w:val="28"/>
          <w:szCs w:val="22"/>
          <w:highlight w:val="none"/>
          <w:lang w:val="en-US" w:eastAsia="zh-CN" w:bidi="ar-SA"/>
        </w:rPr>
        <w:t>上虞第二人民医院安保服务项目考核细则</w:t>
      </w:r>
    </w:p>
    <w:tbl>
      <w:tblPr>
        <w:tblStyle w:val="28"/>
        <w:tblW w:w="90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6300"/>
        <w:gridCol w:w="900"/>
        <w:gridCol w:w="720"/>
      </w:tblGrid>
      <w:tr w14:paraId="7C5B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20833557">
            <w:pPr>
              <w:autoSpaceDE w:val="0"/>
              <w:autoSpaceDN w:val="0"/>
              <w:adjustRightInd w:val="0"/>
              <w:spacing w:line="360" w:lineRule="auto"/>
              <w:jc w:val="center"/>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项目</w:t>
            </w:r>
          </w:p>
        </w:tc>
        <w:tc>
          <w:tcPr>
            <w:tcW w:w="6300" w:type="dxa"/>
            <w:noWrap w:val="0"/>
            <w:vAlign w:val="center"/>
          </w:tcPr>
          <w:p w14:paraId="5176D02C">
            <w:pPr>
              <w:autoSpaceDE w:val="0"/>
              <w:autoSpaceDN w:val="0"/>
              <w:adjustRightInd w:val="0"/>
              <w:spacing w:line="360" w:lineRule="auto"/>
              <w:jc w:val="center"/>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考核内容</w:t>
            </w:r>
          </w:p>
        </w:tc>
        <w:tc>
          <w:tcPr>
            <w:tcW w:w="900" w:type="dxa"/>
            <w:noWrap w:val="0"/>
            <w:vAlign w:val="center"/>
          </w:tcPr>
          <w:p w14:paraId="6747D908">
            <w:pPr>
              <w:autoSpaceDE w:val="0"/>
              <w:autoSpaceDN w:val="0"/>
              <w:adjustRightInd w:val="0"/>
              <w:spacing w:line="360" w:lineRule="auto"/>
              <w:jc w:val="center"/>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分值</w:t>
            </w:r>
          </w:p>
        </w:tc>
        <w:tc>
          <w:tcPr>
            <w:tcW w:w="720" w:type="dxa"/>
            <w:noWrap w:val="0"/>
            <w:vAlign w:val="center"/>
          </w:tcPr>
          <w:p w14:paraId="344666E5">
            <w:pPr>
              <w:autoSpaceDE w:val="0"/>
              <w:autoSpaceDN w:val="0"/>
              <w:adjustRightInd w:val="0"/>
              <w:spacing w:line="360" w:lineRule="auto"/>
              <w:jc w:val="center"/>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扣分</w:t>
            </w:r>
          </w:p>
        </w:tc>
      </w:tr>
      <w:tr w14:paraId="39AE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0" w:type="dxa"/>
            <w:gridSpan w:val="4"/>
            <w:noWrap w:val="0"/>
            <w:vAlign w:val="center"/>
          </w:tcPr>
          <w:p w14:paraId="00405C09">
            <w:pPr>
              <w:autoSpaceDE w:val="0"/>
              <w:autoSpaceDN w:val="0"/>
              <w:adjustRightInd w:val="0"/>
              <w:spacing w:line="360" w:lineRule="auto"/>
              <w:jc w:val="left"/>
              <w:rPr>
                <w:rFonts w:hint="default"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一、常规考核内容</w:t>
            </w:r>
          </w:p>
        </w:tc>
      </w:tr>
      <w:tr w14:paraId="36C1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6551749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仪容  仪表  15分</w:t>
            </w:r>
          </w:p>
        </w:tc>
        <w:tc>
          <w:tcPr>
            <w:tcW w:w="6300" w:type="dxa"/>
            <w:noWrap w:val="0"/>
            <w:vAlign w:val="center"/>
          </w:tcPr>
          <w:p w14:paraId="3950F2A8">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1、安保人员值班时必须按规定着装、佩戴整齐、干净，帽、帽徽、肩章、领章、臂装、领带、编号、武装带、工作证等规范佩戴。非工作时间不得穿制服。</w:t>
            </w:r>
          </w:p>
        </w:tc>
        <w:tc>
          <w:tcPr>
            <w:tcW w:w="900" w:type="dxa"/>
            <w:noWrap w:val="0"/>
            <w:vAlign w:val="center"/>
          </w:tcPr>
          <w:p w14:paraId="5492B1BC">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1E2067AE">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18A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48423BB">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8116EFC">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2、不准敞衣、松带、卷袖和卷裤腿。</w:t>
            </w:r>
          </w:p>
        </w:tc>
        <w:tc>
          <w:tcPr>
            <w:tcW w:w="900" w:type="dxa"/>
            <w:noWrap w:val="0"/>
            <w:vAlign w:val="center"/>
          </w:tcPr>
          <w:p w14:paraId="40F978A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4E2A13D3">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FFB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3EF311A">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71D9179">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3、要保持工作服无污染、无开线、无掉扣现象。</w:t>
            </w:r>
          </w:p>
        </w:tc>
        <w:tc>
          <w:tcPr>
            <w:tcW w:w="900" w:type="dxa"/>
            <w:noWrap w:val="0"/>
            <w:vAlign w:val="center"/>
          </w:tcPr>
          <w:p w14:paraId="6F664740">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1分</w:t>
            </w:r>
          </w:p>
        </w:tc>
        <w:tc>
          <w:tcPr>
            <w:tcW w:w="720" w:type="dxa"/>
            <w:noWrap w:val="0"/>
            <w:vAlign w:val="top"/>
          </w:tcPr>
          <w:p w14:paraId="437850A9">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CA3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7CD61D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F1CEAA8">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4、制服便裤不混穿，不留小胡子和大鬓角、长指甲或不得留长发，蓄发不露于帽外2厘米以上，染发、烫发、纹身。</w:t>
            </w:r>
          </w:p>
        </w:tc>
        <w:tc>
          <w:tcPr>
            <w:tcW w:w="900" w:type="dxa"/>
            <w:noWrap w:val="0"/>
            <w:vAlign w:val="center"/>
          </w:tcPr>
          <w:p w14:paraId="1B36F0E5">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2427C484">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2B7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BA0676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10CC86D">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5、上班时，衣服高领、</w:t>
            </w:r>
            <w:r>
              <w:rPr>
                <w:rFonts w:hint="eastAsia" w:ascii="宋体" w:hAnsi="宋体" w:eastAsia="宋体" w:cs="宋体"/>
                <w:color w:val="auto"/>
                <w:kern w:val="2"/>
                <w:sz w:val="24"/>
                <w:szCs w:val="21"/>
                <w:highlight w:val="none"/>
                <w:lang w:eastAsia="zh-CN"/>
              </w:rPr>
              <w:t>项链</w:t>
            </w:r>
            <w:r>
              <w:rPr>
                <w:rFonts w:hint="eastAsia" w:ascii="宋体" w:hAnsi="宋体" w:eastAsia="宋体" w:cs="宋体"/>
                <w:color w:val="auto"/>
                <w:kern w:val="2"/>
                <w:sz w:val="24"/>
                <w:szCs w:val="21"/>
                <w:highlight w:val="none"/>
              </w:rPr>
              <w:t>等不得外露，外出需着保安服时，不外套其他服装，不围围巾等。</w:t>
            </w:r>
          </w:p>
        </w:tc>
        <w:tc>
          <w:tcPr>
            <w:tcW w:w="900" w:type="dxa"/>
            <w:noWrap w:val="0"/>
            <w:vAlign w:val="center"/>
          </w:tcPr>
          <w:p w14:paraId="02F04570">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287204E8">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61B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73B652A">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BF9BD33">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6、上岗执勤精神饱满，严肃认真，态度严谨，挺胸收腹，严禁有晃膀、勾肩搭背、背手、吃零食、或哼小调、吹口哨或抽烟、两手插口袋等不良行为。要求两人成排三人成列。</w:t>
            </w:r>
          </w:p>
        </w:tc>
        <w:tc>
          <w:tcPr>
            <w:tcW w:w="900" w:type="dxa"/>
            <w:noWrap w:val="0"/>
            <w:vAlign w:val="center"/>
          </w:tcPr>
          <w:p w14:paraId="15D4A776">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6EB32CD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E97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8E5AEB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8321A0F">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7、站立式不要手插口袋、插腰、抱肩、前后叉腿或单腿打点，不要前</w:t>
            </w:r>
            <w:r>
              <w:rPr>
                <w:rFonts w:hint="eastAsia" w:ascii="宋体" w:hAnsi="宋体" w:eastAsia="宋体" w:cs="宋体"/>
                <w:color w:val="auto"/>
                <w:kern w:val="2"/>
                <w:sz w:val="24"/>
                <w:szCs w:val="21"/>
                <w:highlight w:val="none"/>
                <w:lang w:eastAsia="zh-CN"/>
              </w:rPr>
              <w:t>倚</w:t>
            </w:r>
            <w:r>
              <w:rPr>
                <w:rFonts w:hint="eastAsia" w:ascii="宋体" w:hAnsi="宋体" w:eastAsia="宋体" w:cs="宋体"/>
                <w:color w:val="auto"/>
                <w:kern w:val="2"/>
                <w:sz w:val="24"/>
                <w:szCs w:val="21"/>
                <w:highlight w:val="none"/>
              </w:rPr>
              <w:t>后靠、东倒西歪、手脚颤动，要以军姿为准。</w:t>
            </w:r>
          </w:p>
        </w:tc>
        <w:tc>
          <w:tcPr>
            <w:tcW w:w="900" w:type="dxa"/>
            <w:noWrap w:val="0"/>
            <w:vAlign w:val="center"/>
          </w:tcPr>
          <w:p w14:paraId="2150C486">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7110EC0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B07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3325D7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1E8A64A">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8、在执勤范围内未上岗人员也不准穿拖鞋、背心、短裤在责任区内自由活动或将香烟夹在耳朵上。</w:t>
            </w:r>
          </w:p>
        </w:tc>
        <w:tc>
          <w:tcPr>
            <w:tcW w:w="900" w:type="dxa"/>
            <w:noWrap w:val="0"/>
            <w:vAlign w:val="center"/>
          </w:tcPr>
          <w:p w14:paraId="111AC00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1分</w:t>
            </w:r>
          </w:p>
        </w:tc>
        <w:tc>
          <w:tcPr>
            <w:tcW w:w="720" w:type="dxa"/>
            <w:noWrap w:val="0"/>
            <w:vAlign w:val="top"/>
          </w:tcPr>
          <w:p w14:paraId="73ECF730">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4FB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3A039916">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服务  态度  10分</w:t>
            </w:r>
          </w:p>
        </w:tc>
        <w:tc>
          <w:tcPr>
            <w:tcW w:w="6300" w:type="dxa"/>
            <w:noWrap w:val="0"/>
            <w:vAlign w:val="center"/>
          </w:tcPr>
          <w:p w14:paraId="1CBAF51B">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1、管理时先敬礼。工作时严禁以貌取人、粗言恶语，要多用“您好、请问、谢谢、对不起、再见”等文明用语，不得先无故厉声喝问。</w:t>
            </w:r>
          </w:p>
        </w:tc>
        <w:tc>
          <w:tcPr>
            <w:tcW w:w="900" w:type="dxa"/>
            <w:noWrap w:val="0"/>
            <w:vAlign w:val="center"/>
          </w:tcPr>
          <w:p w14:paraId="09D86A3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1FC9155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E81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A53AC6A">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996737C">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2、工作时对领导、访客要热情接待。对待他人主动、热情、耐心，举止端庄，有礼有节，文明用语，没有损害医院形象；执勤中文明纠正违章，不刁难、骂人、打人。</w:t>
            </w:r>
          </w:p>
        </w:tc>
        <w:tc>
          <w:tcPr>
            <w:tcW w:w="900" w:type="dxa"/>
            <w:noWrap w:val="0"/>
            <w:vAlign w:val="center"/>
          </w:tcPr>
          <w:p w14:paraId="102CE1E0">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749E3D48">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AE4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ED52FD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7144C9A">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3、对所有访问者的提问，必须有问必答，不含糊其辞、乱解释，严禁说不知道，要应答、帮助打听或报告，凡事都要有交待。</w:t>
            </w:r>
          </w:p>
        </w:tc>
        <w:tc>
          <w:tcPr>
            <w:tcW w:w="900" w:type="dxa"/>
            <w:noWrap w:val="0"/>
            <w:vAlign w:val="center"/>
          </w:tcPr>
          <w:p w14:paraId="3761CC12">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770BA4D3">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15A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B19A2B0">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3489920">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4、严禁对领导、外来工作者、同事之间在管理意见不同时，发生争吵，要以政策、条例办事。</w:t>
            </w:r>
          </w:p>
        </w:tc>
        <w:tc>
          <w:tcPr>
            <w:tcW w:w="900" w:type="dxa"/>
            <w:noWrap w:val="0"/>
            <w:vAlign w:val="center"/>
          </w:tcPr>
          <w:p w14:paraId="67B0AA9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71C848C0">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F31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61831DB">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091B85E">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5、即使面对无理取闹者，也不随意恶意相向，必须耐心的解释原因，若必要时应及时转达上级部门处理。</w:t>
            </w:r>
          </w:p>
        </w:tc>
        <w:tc>
          <w:tcPr>
            <w:tcW w:w="900" w:type="dxa"/>
            <w:noWrap w:val="0"/>
            <w:vAlign w:val="center"/>
          </w:tcPr>
          <w:p w14:paraId="53B70AA5">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259623A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AB6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42D22200">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工作  纪律  20分</w:t>
            </w:r>
          </w:p>
        </w:tc>
        <w:tc>
          <w:tcPr>
            <w:tcW w:w="6300" w:type="dxa"/>
            <w:noWrap w:val="0"/>
            <w:vAlign w:val="center"/>
          </w:tcPr>
          <w:p w14:paraId="37BF0333">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必须服从上级的命令指挥，不得顶撞、讨价还价。服从工作分配；按要求做好交接班；在岗在位履行好岗位职责；发现问题或特殊清苦及时处理、汇报，并做好记录；及时到位妥善处理和协助处理各类纠纷；认真完成临时性工作。</w:t>
            </w:r>
          </w:p>
        </w:tc>
        <w:tc>
          <w:tcPr>
            <w:tcW w:w="900" w:type="dxa"/>
            <w:noWrap w:val="0"/>
            <w:vAlign w:val="center"/>
          </w:tcPr>
          <w:p w14:paraId="039D559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4分</w:t>
            </w:r>
          </w:p>
        </w:tc>
        <w:tc>
          <w:tcPr>
            <w:tcW w:w="720" w:type="dxa"/>
            <w:noWrap w:val="0"/>
            <w:vAlign w:val="top"/>
          </w:tcPr>
          <w:p w14:paraId="47798C4C">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2F1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EC1B06B">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A58A998">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2、捉到犯罪嫌疑人，必须交由公安机关处理，严禁使用暴力。</w:t>
            </w:r>
          </w:p>
        </w:tc>
        <w:tc>
          <w:tcPr>
            <w:tcW w:w="900" w:type="dxa"/>
            <w:noWrap w:val="0"/>
            <w:vAlign w:val="center"/>
          </w:tcPr>
          <w:p w14:paraId="7EA8C930">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28F37774">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C06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AD84FF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A773554">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3、严格按照排班上下班打卡，严禁擅自调班、迟到、早退、擅离职守，迟到半小时及以上按旷工处理。</w:t>
            </w:r>
          </w:p>
        </w:tc>
        <w:tc>
          <w:tcPr>
            <w:tcW w:w="900" w:type="dxa"/>
            <w:noWrap w:val="0"/>
            <w:vAlign w:val="center"/>
          </w:tcPr>
          <w:p w14:paraId="0B6FED60">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31C678D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FC5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4FCC29D">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8DF111D">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4、严格执行交接班制度，钱、物、单据无差错，不能有误班、漏班、严禁擅自离岗，做好值班记录。</w:t>
            </w:r>
          </w:p>
        </w:tc>
        <w:tc>
          <w:tcPr>
            <w:tcW w:w="900" w:type="dxa"/>
            <w:noWrap w:val="0"/>
            <w:vAlign w:val="center"/>
          </w:tcPr>
          <w:p w14:paraId="1FE87C2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24595032">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DD7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1C02666">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751764E">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5、严禁违反规定使用领导办公室电话，严禁拨打信息电话。</w:t>
            </w:r>
          </w:p>
        </w:tc>
        <w:tc>
          <w:tcPr>
            <w:tcW w:w="900" w:type="dxa"/>
            <w:noWrap w:val="0"/>
            <w:vAlign w:val="center"/>
          </w:tcPr>
          <w:p w14:paraId="1EF1267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3D5FED4E">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121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D118F58">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D39C9C7">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6、严禁工作时玩手机、看书、看报纸、听音乐、抽烟、打牌、下棋和人闲聊、打瞌睡、饮酒、会客、做私活、听收音机等。</w:t>
            </w:r>
          </w:p>
        </w:tc>
        <w:tc>
          <w:tcPr>
            <w:tcW w:w="900" w:type="dxa"/>
            <w:noWrap w:val="0"/>
            <w:vAlign w:val="center"/>
          </w:tcPr>
          <w:p w14:paraId="306652E1">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10B0394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EB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8F447BA">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E9039BC">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7、不准收受贿赂、徇私舞弊和包庇坏人。</w:t>
            </w:r>
          </w:p>
        </w:tc>
        <w:tc>
          <w:tcPr>
            <w:tcW w:w="900" w:type="dxa"/>
            <w:noWrap w:val="0"/>
            <w:vAlign w:val="center"/>
          </w:tcPr>
          <w:p w14:paraId="110B4B67">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290F18AE">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B5A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442C9AF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工作  要求   5分</w:t>
            </w:r>
          </w:p>
        </w:tc>
        <w:tc>
          <w:tcPr>
            <w:tcW w:w="6300" w:type="dxa"/>
            <w:noWrap w:val="0"/>
            <w:vAlign w:val="center"/>
          </w:tcPr>
          <w:p w14:paraId="264AD3DF">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1、不准向领导或访客索要或兑换各种币种、票据，借钱、借物等。</w:t>
            </w:r>
          </w:p>
        </w:tc>
        <w:tc>
          <w:tcPr>
            <w:tcW w:w="900" w:type="dxa"/>
            <w:noWrap w:val="0"/>
            <w:vAlign w:val="center"/>
          </w:tcPr>
          <w:p w14:paraId="3839C3EA">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37E306AE">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A2C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93C4D41">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57D05F4">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2、执勤时要爱护公用物品和公共配套设施。</w:t>
            </w:r>
          </w:p>
        </w:tc>
        <w:tc>
          <w:tcPr>
            <w:tcW w:w="900" w:type="dxa"/>
            <w:noWrap w:val="0"/>
            <w:vAlign w:val="center"/>
          </w:tcPr>
          <w:p w14:paraId="41DC889C">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1分</w:t>
            </w:r>
          </w:p>
        </w:tc>
        <w:tc>
          <w:tcPr>
            <w:tcW w:w="720" w:type="dxa"/>
            <w:noWrap w:val="0"/>
            <w:vAlign w:val="top"/>
          </w:tcPr>
          <w:p w14:paraId="0BAB3E4A">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7B6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C09445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3B67F59">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3、按要求进行巡查，巡更无漏点，签到、点名时，不代签带点。</w:t>
            </w:r>
          </w:p>
        </w:tc>
        <w:tc>
          <w:tcPr>
            <w:tcW w:w="900" w:type="dxa"/>
            <w:noWrap w:val="0"/>
            <w:vAlign w:val="center"/>
          </w:tcPr>
          <w:p w14:paraId="00BEE871">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336D25E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1DC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3B8C9894">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学习  训练   5分</w:t>
            </w:r>
          </w:p>
        </w:tc>
        <w:tc>
          <w:tcPr>
            <w:tcW w:w="6300" w:type="dxa"/>
            <w:noWrap w:val="0"/>
            <w:vAlign w:val="center"/>
          </w:tcPr>
          <w:p w14:paraId="684A6805">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1、每周队列、预案训练不少于2小时，不得无故不参加训练，在训练场应服从指挥。</w:t>
            </w:r>
          </w:p>
        </w:tc>
        <w:tc>
          <w:tcPr>
            <w:tcW w:w="900" w:type="dxa"/>
            <w:noWrap w:val="0"/>
            <w:vAlign w:val="center"/>
          </w:tcPr>
          <w:p w14:paraId="472F21C5">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1分</w:t>
            </w:r>
          </w:p>
        </w:tc>
        <w:tc>
          <w:tcPr>
            <w:tcW w:w="720" w:type="dxa"/>
            <w:noWrap w:val="0"/>
            <w:vAlign w:val="top"/>
          </w:tcPr>
          <w:p w14:paraId="1F7BCCF4">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559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BA50E8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52DF9774">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2、每周参加班组会议不少于一次，不得无故不参加会议。</w:t>
            </w:r>
          </w:p>
        </w:tc>
        <w:tc>
          <w:tcPr>
            <w:tcW w:w="900" w:type="dxa"/>
            <w:noWrap w:val="0"/>
            <w:vAlign w:val="center"/>
          </w:tcPr>
          <w:p w14:paraId="2C58BF86">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1CFB194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648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ECEB8B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5E689428">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3、积极参加班组政治、业务、法律学习。</w:t>
            </w:r>
          </w:p>
        </w:tc>
        <w:tc>
          <w:tcPr>
            <w:tcW w:w="900" w:type="dxa"/>
            <w:noWrap w:val="0"/>
            <w:vAlign w:val="center"/>
          </w:tcPr>
          <w:p w14:paraId="748DFE3C">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2D3E94A0">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1AD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1732658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内务  卫生  15分</w:t>
            </w:r>
          </w:p>
        </w:tc>
        <w:tc>
          <w:tcPr>
            <w:tcW w:w="6300" w:type="dxa"/>
            <w:noWrap w:val="0"/>
            <w:vAlign w:val="center"/>
          </w:tcPr>
          <w:p w14:paraId="121E2908">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1、值班室及周边保持卫生整洁，物品摆放有序，地面、桌面、墙壁保持整洁。值班室内禁止吸烟。</w:t>
            </w:r>
          </w:p>
        </w:tc>
        <w:tc>
          <w:tcPr>
            <w:tcW w:w="900" w:type="dxa"/>
            <w:noWrap w:val="0"/>
            <w:vAlign w:val="center"/>
          </w:tcPr>
          <w:p w14:paraId="0365E1DA">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377CDA3B">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2DC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C2D416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A54EF33">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2、个人卫生用品及餐具、装备要统一摆放整齐。</w:t>
            </w:r>
          </w:p>
        </w:tc>
        <w:tc>
          <w:tcPr>
            <w:tcW w:w="900" w:type="dxa"/>
            <w:noWrap w:val="0"/>
            <w:vAlign w:val="center"/>
          </w:tcPr>
          <w:p w14:paraId="721A1C8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4772DE3E">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703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CCBC9F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6203C76E">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3、值班室内不得随意私拉电线，更换门锁等。</w:t>
            </w:r>
          </w:p>
        </w:tc>
        <w:tc>
          <w:tcPr>
            <w:tcW w:w="900" w:type="dxa"/>
            <w:noWrap w:val="0"/>
            <w:vAlign w:val="center"/>
          </w:tcPr>
          <w:p w14:paraId="4D8C37B7">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1518A34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F43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21A8FF46">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工作  能力  15分</w:t>
            </w:r>
          </w:p>
        </w:tc>
        <w:tc>
          <w:tcPr>
            <w:tcW w:w="6300" w:type="dxa"/>
            <w:noWrap w:val="0"/>
            <w:vAlign w:val="center"/>
          </w:tcPr>
          <w:p w14:paraId="47B10712">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1、熟悉执勤区域内结构，楼层单位，各种公共设施的分布，会使用各种救生、灭火设备。</w:t>
            </w:r>
          </w:p>
        </w:tc>
        <w:tc>
          <w:tcPr>
            <w:tcW w:w="900" w:type="dxa"/>
            <w:noWrap w:val="0"/>
            <w:vAlign w:val="center"/>
          </w:tcPr>
          <w:p w14:paraId="524B755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1A61095B">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AD9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A48D3DF">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573ADDD2">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2、工作时会处理突然断电、停水、水管爆裂和急需急救人等突发事件。而若发现未能自行处理，应立即向上级报告并要求协助。</w:t>
            </w:r>
          </w:p>
        </w:tc>
        <w:tc>
          <w:tcPr>
            <w:tcW w:w="900" w:type="dxa"/>
            <w:noWrap w:val="0"/>
            <w:vAlign w:val="center"/>
          </w:tcPr>
          <w:p w14:paraId="3EB54184">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4FE6ACAC">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518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E594C01">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6CC76F0C">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3、必须具备团队精神，同事之间应主动相互帮助，不可在遇事时相互推卸责任或拒不赴援。</w:t>
            </w:r>
          </w:p>
        </w:tc>
        <w:tc>
          <w:tcPr>
            <w:tcW w:w="900" w:type="dxa"/>
            <w:noWrap w:val="0"/>
            <w:vAlign w:val="center"/>
          </w:tcPr>
          <w:p w14:paraId="2254F2D7">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7891943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70F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9FAE3AD">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9F4A562">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4、若有发现可疑事和物，切勿害怕麻烦而放弃调查。</w:t>
            </w:r>
          </w:p>
        </w:tc>
        <w:tc>
          <w:tcPr>
            <w:tcW w:w="900" w:type="dxa"/>
            <w:noWrap w:val="0"/>
            <w:vAlign w:val="center"/>
          </w:tcPr>
          <w:p w14:paraId="6ECD197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654542F8">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64C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95CD000">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580168B">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5、若发现有拜访者需要帮助，应主动协助。</w:t>
            </w:r>
          </w:p>
        </w:tc>
        <w:tc>
          <w:tcPr>
            <w:tcW w:w="900" w:type="dxa"/>
            <w:noWrap w:val="0"/>
            <w:vAlign w:val="center"/>
          </w:tcPr>
          <w:p w14:paraId="5EA61CC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2DB10B2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C39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82CCC1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64156080">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6、每个班都应做好工作小结，工作有交接，有记录，做好交接岗仪式。</w:t>
            </w:r>
          </w:p>
        </w:tc>
        <w:tc>
          <w:tcPr>
            <w:tcW w:w="900" w:type="dxa"/>
            <w:noWrap w:val="0"/>
            <w:vAlign w:val="center"/>
          </w:tcPr>
          <w:p w14:paraId="3EBD2CC2">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64D13092">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F03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374ADEC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服务  质量  15分</w:t>
            </w:r>
          </w:p>
        </w:tc>
        <w:tc>
          <w:tcPr>
            <w:tcW w:w="6300" w:type="dxa"/>
            <w:noWrap w:val="0"/>
            <w:vAlign w:val="center"/>
          </w:tcPr>
          <w:p w14:paraId="69EC7D73">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w:t>
            </w:r>
            <w:r>
              <w:rPr>
                <w:rFonts w:hint="eastAsia" w:ascii="宋体" w:hAnsi="宋体" w:eastAsia="宋体" w:cs="宋体"/>
                <w:color w:val="auto"/>
                <w:kern w:val="2"/>
                <w:sz w:val="24"/>
                <w:szCs w:val="21"/>
                <w:highlight w:val="none"/>
                <w:lang w:eastAsia="zh-CN"/>
              </w:rPr>
              <w:t>值</w:t>
            </w:r>
            <w:r>
              <w:rPr>
                <w:rFonts w:hint="eastAsia" w:ascii="宋体" w:hAnsi="宋体" w:eastAsia="宋体" w:cs="宋体"/>
                <w:color w:val="auto"/>
                <w:kern w:val="2"/>
                <w:sz w:val="24"/>
                <w:szCs w:val="21"/>
                <w:highlight w:val="none"/>
              </w:rPr>
              <w:t>岗人员必须熟悉本岗位的岗位职责，以文件为依据，符合工作标准。熟知与岗位、工作相关的各项规章制度、操作规范，并严格遵守与执行。</w:t>
            </w:r>
          </w:p>
        </w:tc>
        <w:tc>
          <w:tcPr>
            <w:tcW w:w="900" w:type="dxa"/>
            <w:noWrap w:val="0"/>
            <w:vAlign w:val="center"/>
          </w:tcPr>
          <w:p w14:paraId="20C1B1AE">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5EE826F9">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8DD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980F17A">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8952473">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2、治安无死角，火灾无隐患，有防范方案。</w:t>
            </w:r>
          </w:p>
        </w:tc>
        <w:tc>
          <w:tcPr>
            <w:tcW w:w="900" w:type="dxa"/>
            <w:noWrap w:val="0"/>
            <w:vAlign w:val="center"/>
          </w:tcPr>
          <w:p w14:paraId="5C35900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650A16A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BB7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F06204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BE1417F">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3、积极按照要求做好文明创建有关工作，医院内禁烟，积极劝烟；协助做好医院大门口卫生保洁工作。</w:t>
            </w:r>
          </w:p>
        </w:tc>
        <w:tc>
          <w:tcPr>
            <w:tcW w:w="900" w:type="dxa"/>
            <w:noWrap w:val="0"/>
            <w:vAlign w:val="center"/>
          </w:tcPr>
          <w:p w14:paraId="301882A6">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521079C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EAB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0" w:type="dxa"/>
            <w:gridSpan w:val="4"/>
            <w:noWrap w:val="0"/>
            <w:vAlign w:val="center"/>
          </w:tcPr>
          <w:p w14:paraId="06B4D438">
            <w:pPr>
              <w:autoSpaceDE w:val="0"/>
              <w:autoSpaceDN w:val="0"/>
              <w:adjustRightInd w:val="0"/>
              <w:spacing w:line="360" w:lineRule="auto"/>
              <w:rPr>
                <w:rFonts w:hint="default"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二、附加奖惩</w:t>
            </w:r>
          </w:p>
        </w:tc>
      </w:tr>
      <w:tr w14:paraId="2694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3A40971C">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扣分  项目</w:t>
            </w:r>
          </w:p>
        </w:tc>
        <w:tc>
          <w:tcPr>
            <w:tcW w:w="6300" w:type="dxa"/>
            <w:noWrap w:val="0"/>
            <w:vAlign w:val="center"/>
          </w:tcPr>
          <w:p w14:paraId="3CBEFC92">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1、安保员因违纪等行为被投诉一次，或有效投诉未处理、汇报。扣2—10分。</w:t>
            </w:r>
          </w:p>
        </w:tc>
        <w:tc>
          <w:tcPr>
            <w:tcW w:w="900" w:type="dxa"/>
            <w:noWrap w:val="0"/>
            <w:vAlign w:val="center"/>
          </w:tcPr>
          <w:p w14:paraId="07F9E70A">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5A14858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4D2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918FBB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5E6A4B1F">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2、安保员不负责任，违规违纪造成经济损失一次扣5—10分。</w:t>
            </w:r>
          </w:p>
        </w:tc>
        <w:tc>
          <w:tcPr>
            <w:tcW w:w="900" w:type="dxa"/>
            <w:noWrap w:val="0"/>
            <w:vAlign w:val="center"/>
          </w:tcPr>
          <w:p w14:paraId="0E889F2D">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1D01090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5AB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9055EE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AF15EEA">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rPr>
              <w:t>、一个月内迟到一次以上，每次加扣3分。</w:t>
            </w:r>
          </w:p>
        </w:tc>
        <w:tc>
          <w:tcPr>
            <w:tcW w:w="900" w:type="dxa"/>
            <w:noWrap w:val="0"/>
            <w:vAlign w:val="center"/>
          </w:tcPr>
          <w:p w14:paraId="24AD6AC8">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1BAD4563">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0F1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C05F00C">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50360D7C">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4</w:t>
            </w:r>
            <w:r>
              <w:rPr>
                <w:rFonts w:hint="eastAsia" w:ascii="宋体" w:hAnsi="宋体" w:eastAsia="宋体" w:cs="宋体"/>
                <w:color w:val="auto"/>
                <w:kern w:val="2"/>
                <w:sz w:val="24"/>
                <w:szCs w:val="21"/>
                <w:highlight w:val="none"/>
              </w:rPr>
              <w:t>、一个月内早退一次以上，每次加扣3分。</w:t>
            </w:r>
          </w:p>
        </w:tc>
        <w:tc>
          <w:tcPr>
            <w:tcW w:w="900" w:type="dxa"/>
            <w:noWrap w:val="0"/>
            <w:vAlign w:val="center"/>
          </w:tcPr>
          <w:p w14:paraId="460DC4B6">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066BC61A">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7A5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BDCE081">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583FB4B">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5</w:t>
            </w:r>
            <w:r>
              <w:rPr>
                <w:rFonts w:hint="eastAsia" w:ascii="宋体" w:hAnsi="宋体" w:eastAsia="宋体" w:cs="宋体"/>
                <w:color w:val="auto"/>
                <w:kern w:val="2"/>
                <w:sz w:val="24"/>
                <w:szCs w:val="21"/>
                <w:highlight w:val="none"/>
              </w:rPr>
              <w:t>、一个月内缺席、旷工一次以上，每次加扣5分。</w:t>
            </w:r>
          </w:p>
        </w:tc>
        <w:tc>
          <w:tcPr>
            <w:tcW w:w="900" w:type="dxa"/>
            <w:noWrap w:val="0"/>
            <w:vAlign w:val="center"/>
          </w:tcPr>
          <w:p w14:paraId="5CD7AB9C">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56509F3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785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A846186">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6992420D">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6</w:t>
            </w:r>
            <w:r>
              <w:rPr>
                <w:rFonts w:hint="eastAsia" w:ascii="宋体" w:hAnsi="宋体" w:eastAsia="宋体" w:cs="宋体"/>
                <w:color w:val="auto"/>
                <w:kern w:val="2"/>
                <w:sz w:val="24"/>
                <w:szCs w:val="21"/>
                <w:highlight w:val="none"/>
              </w:rPr>
              <w:t>、一个月内违反细则其他条例一次以上，每次加扣3分。</w:t>
            </w:r>
          </w:p>
        </w:tc>
        <w:tc>
          <w:tcPr>
            <w:tcW w:w="900" w:type="dxa"/>
            <w:noWrap w:val="0"/>
            <w:vAlign w:val="center"/>
          </w:tcPr>
          <w:p w14:paraId="6D8ED98C">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0129F34F">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850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52A44F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93765EE">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7</w:t>
            </w:r>
            <w:r>
              <w:rPr>
                <w:rFonts w:hint="eastAsia" w:ascii="宋体" w:hAnsi="宋体" w:eastAsia="宋体" w:cs="宋体"/>
                <w:color w:val="auto"/>
                <w:kern w:val="2"/>
                <w:sz w:val="24"/>
                <w:szCs w:val="21"/>
                <w:highlight w:val="none"/>
              </w:rPr>
              <w:t>、医院其他需要减分的，一次减1</w:t>
            </w:r>
            <w:r>
              <w:rPr>
                <w:rFonts w:hint="eastAsia" w:ascii="宋体" w:hAnsi="宋体" w:eastAsia="宋体" w:cs="宋体"/>
                <w:color w:val="auto"/>
                <w:kern w:val="2"/>
                <w:sz w:val="24"/>
                <w:szCs w:val="21"/>
                <w:highlight w:val="none"/>
              </w:rPr>
              <w:softHyphen/>
            </w:r>
            <w:r>
              <w:rPr>
                <w:rFonts w:hint="eastAsia" w:ascii="宋体" w:hAnsi="宋体" w:eastAsia="宋体" w:cs="宋体"/>
                <w:color w:val="auto"/>
                <w:kern w:val="2"/>
                <w:sz w:val="24"/>
                <w:szCs w:val="21"/>
                <w:highlight w:val="none"/>
              </w:rPr>
              <w:t>—5分。</w:t>
            </w:r>
          </w:p>
        </w:tc>
        <w:tc>
          <w:tcPr>
            <w:tcW w:w="900" w:type="dxa"/>
            <w:noWrap w:val="0"/>
            <w:vAlign w:val="center"/>
          </w:tcPr>
          <w:p w14:paraId="76877E4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4AFAF914">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FE2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0095595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加分  项目</w:t>
            </w:r>
          </w:p>
        </w:tc>
        <w:tc>
          <w:tcPr>
            <w:tcW w:w="6300" w:type="dxa"/>
            <w:noWrap w:val="0"/>
            <w:vAlign w:val="center"/>
          </w:tcPr>
          <w:p w14:paraId="49A3A29F">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1、好人好事一次加2—5分，</w:t>
            </w:r>
            <w:r>
              <w:rPr>
                <w:rFonts w:hint="eastAsia" w:ascii="宋体" w:hAnsi="宋体" w:eastAsia="宋体" w:cs="宋体"/>
                <w:color w:val="auto"/>
                <w:kern w:val="2"/>
                <w:sz w:val="24"/>
                <w:szCs w:val="21"/>
                <w:highlight w:val="none"/>
                <w:lang w:eastAsia="zh-CN"/>
              </w:rPr>
              <w:t>收</w:t>
            </w:r>
            <w:r>
              <w:rPr>
                <w:rFonts w:hint="eastAsia" w:ascii="宋体" w:hAnsi="宋体" w:eastAsia="宋体" w:cs="宋体"/>
                <w:color w:val="auto"/>
                <w:kern w:val="2"/>
                <w:sz w:val="24"/>
                <w:szCs w:val="21"/>
                <w:highlight w:val="none"/>
              </w:rPr>
              <w:t>到锦旗加5分，获得区级及以上媒体表扬的加5—10分。</w:t>
            </w:r>
          </w:p>
        </w:tc>
        <w:tc>
          <w:tcPr>
            <w:tcW w:w="900" w:type="dxa"/>
            <w:noWrap w:val="0"/>
            <w:vAlign w:val="center"/>
          </w:tcPr>
          <w:p w14:paraId="57A7B8C8">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443CF7EB">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878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2C6816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47E4161">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2、抓获犯罪嫌疑人，见义勇为，获得群众或公安机关肯定表扬的加5—10分</w:t>
            </w:r>
          </w:p>
        </w:tc>
        <w:tc>
          <w:tcPr>
            <w:tcW w:w="900" w:type="dxa"/>
            <w:noWrap w:val="0"/>
            <w:vAlign w:val="center"/>
          </w:tcPr>
          <w:p w14:paraId="03C6271E">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4E2E1505">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DDD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670F68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6CABEECD">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3、对安保队伍建设提出合理化建议的加5—10分。</w:t>
            </w:r>
          </w:p>
        </w:tc>
        <w:tc>
          <w:tcPr>
            <w:tcW w:w="900" w:type="dxa"/>
            <w:noWrap w:val="0"/>
            <w:vAlign w:val="center"/>
          </w:tcPr>
          <w:p w14:paraId="75DE7A9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77D35EF9">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34A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024559D7">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B45A623">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4、举报队长、队员有违法者，经查证属实的，根据情节轻重一次加5—10分。</w:t>
            </w:r>
          </w:p>
        </w:tc>
        <w:tc>
          <w:tcPr>
            <w:tcW w:w="900" w:type="dxa"/>
            <w:noWrap w:val="0"/>
            <w:vAlign w:val="center"/>
          </w:tcPr>
          <w:p w14:paraId="3C08BDBE">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65369CD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AA0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394703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F635B8B">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5、为医院做出特殊贡献的加10—20分。</w:t>
            </w:r>
          </w:p>
        </w:tc>
        <w:tc>
          <w:tcPr>
            <w:tcW w:w="900" w:type="dxa"/>
            <w:noWrap w:val="0"/>
            <w:vAlign w:val="center"/>
          </w:tcPr>
          <w:p w14:paraId="0EEDA18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3A68206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31A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09791EA6">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55389AC8">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6、被医院通报表扬一次加5分。</w:t>
            </w:r>
          </w:p>
        </w:tc>
        <w:tc>
          <w:tcPr>
            <w:tcW w:w="900" w:type="dxa"/>
            <w:noWrap w:val="0"/>
            <w:vAlign w:val="center"/>
          </w:tcPr>
          <w:p w14:paraId="3E8ACEC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25E5F75D">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4EB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5C05A6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2815CE0">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7、医院认为其他需要加分的，一次加1—5分。</w:t>
            </w:r>
          </w:p>
        </w:tc>
        <w:tc>
          <w:tcPr>
            <w:tcW w:w="900" w:type="dxa"/>
            <w:noWrap w:val="0"/>
            <w:vAlign w:val="center"/>
          </w:tcPr>
          <w:p w14:paraId="05602E5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16F9203D">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29F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6D4EB29C">
            <w:pPr>
              <w:autoSpaceDE w:val="0"/>
              <w:autoSpaceDN w:val="0"/>
              <w:adjustRightInd w:val="0"/>
              <w:spacing w:line="360" w:lineRule="auto"/>
              <w:jc w:val="center"/>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总分</w:t>
            </w:r>
          </w:p>
        </w:tc>
        <w:tc>
          <w:tcPr>
            <w:tcW w:w="6300" w:type="dxa"/>
            <w:noWrap w:val="0"/>
            <w:vAlign w:val="center"/>
          </w:tcPr>
          <w:p w14:paraId="78462ED5">
            <w:pPr>
              <w:autoSpaceDE w:val="0"/>
              <w:autoSpaceDN w:val="0"/>
              <w:adjustRightInd w:val="0"/>
              <w:spacing w:line="360" w:lineRule="auto"/>
              <w:rPr>
                <w:rFonts w:hint="eastAsia" w:ascii="宋体" w:hAnsi="宋体" w:eastAsia="宋体" w:cs="宋体"/>
                <w:color w:val="auto"/>
                <w:kern w:val="2"/>
                <w:sz w:val="24"/>
                <w:szCs w:val="21"/>
                <w:highlight w:val="none"/>
              </w:rPr>
            </w:pPr>
          </w:p>
        </w:tc>
        <w:tc>
          <w:tcPr>
            <w:tcW w:w="900" w:type="dxa"/>
            <w:noWrap w:val="0"/>
            <w:vAlign w:val="center"/>
          </w:tcPr>
          <w:p w14:paraId="6338C027">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531F0EFC">
            <w:pPr>
              <w:autoSpaceDE w:val="0"/>
              <w:autoSpaceDN w:val="0"/>
              <w:adjustRightInd w:val="0"/>
              <w:spacing w:line="360" w:lineRule="auto"/>
              <w:rPr>
                <w:rFonts w:hint="eastAsia" w:ascii="宋体" w:hAnsi="宋体" w:eastAsia="宋体" w:cs="宋体"/>
                <w:color w:val="auto"/>
                <w:kern w:val="2"/>
                <w:sz w:val="24"/>
                <w:szCs w:val="21"/>
                <w:highlight w:val="none"/>
              </w:rPr>
            </w:pPr>
          </w:p>
        </w:tc>
      </w:tr>
    </w:tbl>
    <w:p w14:paraId="38FC6AF9">
      <w:pPr>
        <w:spacing w:line="360" w:lineRule="auto"/>
        <w:ind w:firstLine="720" w:firstLineChars="3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备注</w:t>
      </w:r>
      <w:r>
        <w:rPr>
          <w:rFonts w:hint="eastAsia" w:ascii="宋体" w:hAnsi="宋体" w:eastAsia="宋体" w:cs="宋体"/>
          <w:color w:val="auto"/>
          <w:kern w:val="0"/>
          <w:sz w:val="24"/>
          <w:szCs w:val="21"/>
          <w:highlight w:val="none"/>
          <w:lang w:eastAsia="zh-CN"/>
        </w:rPr>
        <w:t>：</w:t>
      </w:r>
      <w:r>
        <w:rPr>
          <w:rFonts w:hint="eastAsia" w:ascii="宋体" w:hAnsi="宋体" w:eastAsia="宋体" w:cs="宋体"/>
          <w:color w:val="auto"/>
          <w:kern w:val="0"/>
          <w:sz w:val="24"/>
          <w:szCs w:val="21"/>
          <w:highlight w:val="none"/>
        </w:rPr>
        <w:t>本考核细则可根据医院实际情况定期进行调整。</w:t>
      </w:r>
    </w:p>
    <w:p w14:paraId="3C41E4AF">
      <w:pPr>
        <w:jc w:val="center"/>
        <w:rPr>
          <w:rFonts w:hint="eastAsia"/>
          <w:color w:val="auto"/>
          <w:highlight w:val="none"/>
          <w:lang w:val="en-US" w:eastAsia="zh-CN"/>
        </w:rPr>
        <w:sectPr>
          <w:pgSz w:w="11906" w:h="16838"/>
          <w:pgMar w:top="1440" w:right="1800" w:bottom="1440" w:left="1800" w:header="851" w:footer="992" w:gutter="0"/>
          <w:cols w:space="425" w:num="1"/>
          <w:docGrid w:type="lines" w:linePitch="312" w:charSpace="0"/>
        </w:sectPr>
      </w:pPr>
    </w:p>
    <w:p w14:paraId="32199424">
      <w:pPr>
        <w:keepNext/>
        <w:widowControl w:val="0"/>
        <w:spacing w:line="216" w:lineRule="auto"/>
        <w:jc w:val="center"/>
        <w:outlineLvl w:val="1"/>
        <w:rPr>
          <w:rFonts w:hint="default" w:ascii="宋体" w:hAnsi="Calibri" w:eastAsia="宋体" w:cs="宋体"/>
          <w:b/>
          <w:bCs/>
          <w:color w:val="auto"/>
          <w:kern w:val="2"/>
          <w:sz w:val="28"/>
          <w:szCs w:val="28"/>
          <w:highlight w:val="none"/>
          <w:lang w:val="en-US" w:eastAsia="zh-CN" w:bidi="ar-SA"/>
        </w:rPr>
      </w:pPr>
      <w:bookmarkStart w:id="119" w:name="_Toc21494"/>
      <w:r>
        <w:rPr>
          <w:rFonts w:hint="eastAsia" w:ascii="宋体" w:hAnsi="Calibri" w:eastAsia="宋体" w:cs="宋体"/>
          <w:b/>
          <w:bCs/>
          <w:color w:val="auto"/>
          <w:kern w:val="2"/>
          <w:sz w:val="28"/>
          <w:szCs w:val="28"/>
          <w:highlight w:val="none"/>
          <w:lang w:val="en-US" w:eastAsia="zh-CN" w:bidi="ar-SA"/>
        </w:rPr>
        <w:t>第三章 付款方式及要求</w:t>
      </w:r>
      <w:bookmarkEnd w:id="119"/>
    </w:p>
    <w:bookmarkEnd w:id="115"/>
    <w:bookmarkEnd w:id="116"/>
    <w:bookmarkEnd w:id="117"/>
    <w:p w14:paraId="06A4E22A">
      <w:pPr>
        <w:keepNext w:val="0"/>
        <w:keepLines w:val="0"/>
        <w:pageBreakBefore w:val="0"/>
        <w:widowControl w:val="0"/>
        <w:numPr>
          <w:ilvl w:val="0"/>
          <w:numId w:val="26"/>
        </w:numPr>
        <w:kinsoku/>
        <w:wordWrap/>
        <w:overflowPunct/>
        <w:topLinePunct w:val="0"/>
        <w:autoSpaceDE w:val="0"/>
        <w:autoSpaceDN w:val="0"/>
        <w:bidi w:val="0"/>
        <w:adjustRightInd w:val="0"/>
        <w:snapToGrid/>
        <w:spacing w:line="360" w:lineRule="auto"/>
        <w:ind w:leftChars="0" w:firstLine="482" w:firstLineChars="200"/>
        <w:jc w:val="left"/>
        <w:textAlignment w:val="auto"/>
        <w:rPr>
          <w:rFonts w:ascii="宋体" w:hAnsi="宋体" w:eastAsia="宋体" w:cs="宋体"/>
          <w:b/>
          <w:bCs/>
          <w:color w:val="auto"/>
          <w:kern w:val="2"/>
          <w:sz w:val="24"/>
          <w:szCs w:val="21"/>
          <w:highlight w:val="none"/>
          <w:lang w:val="zh-CN"/>
        </w:rPr>
      </w:pPr>
      <w:r>
        <w:rPr>
          <w:rFonts w:hint="eastAsia" w:ascii="宋体" w:hAnsi="宋体" w:eastAsia="宋体" w:cs="宋体"/>
          <w:b/>
          <w:bCs/>
          <w:color w:val="auto"/>
          <w:kern w:val="2"/>
          <w:sz w:val="24"/>
          <w:szCs w:val="21"/>
          <w:highlight w:val="none"/>
        </w:rPr>
        <w:t>付款方式</w:t>
      </w:r>
    </w:p>
    <w:p w14:paraId="4CA67DDE">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lang w:val="en-US" w:eastAsia="zh-CN"/>
        </w:rPr>
        <w:t>采购人在合同签订后7个工作日内，向中标单位支付合同总价的20%作为预付款（中标单位须先提交银行、保险公司等金融机构出具的预付款保函，预付款保函有效期不得少于12个月；如果在签订合同时，中标单位明确表示无需预付款或者主动要求降低预付款比例的，应提交相应申请函经采购人确认后，可不适用前述规定）；</w:t>
      </w:r>
      <w:r>
        <w:rPr>
          <w:rFonts w:hint="eastAsia" w:ascii="宋体" w:hAnsi="宋体" w:eastAsia="宋体" w:cs="宋体"/>
          <w:color w:val="auto"/>
          <w:sz w:val="24"/>
          <w:szCs w:val="21"/>
          <w:highlight w:val="none"/>
          <w:lang w:val="en-US" w:eastAsia="zh-CN"/>
        </w:rPr>
        <w:t>预付款在</w:t>
      </w:r>
      <w:r>
        <w:rPr>
          <w:rFonts w:hint="eastAsia" w:ascii="宋体" w:hAnsi="宋体" w:cs="宋体"/>
          <w:color w:val="auto"/>
          <w:sz w:val="24"/>
          <w:szCs w:val="21"/>
          <w:highlight w:val="none"/>
          <w:lang w:val="en-US" w:eastAsia="zh-CN"/>
        </w:rPr>
        <w:t>服务费</w:t>
      </w:r>
      <w:r>
        <w:rPr>
          <w:rFonts w:hint="eastAsia" w:ascii="宋体" w:hAnsi="宋体" w:eastAsia="宋体" w:cs="宋体"/>
          <w:color w:val="auto"/>
          <w:sz w:val="24"/>
          <w:szCs w:val="21"/>
          <w:highlight w:val="none"/>
          <w:lang w:val="en-US" w:eastAsia="zh-CN"/>
        </w:rPr>
        <w:t>累计金额达到签约合同价的20％时一次性扣回。</w:t>
      </w:r>
    </w:p>
    <w:p w14:paraId="030F900D">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1"/>
          <w:highlight w:val="none"/>
          <w:lang w:eastAsia="zh-CN"/>
        </w:rPr>
      </w:pPr>
      <w:r>
        <w:rPr>
          <w:rFonts w:hint="eastAsia" w:ascii="宋体" w:hAnsi="宋体" w:eastAsia="宋体" w:cs="宋体"/>
          <w:color w:val="auto"/>
          <w:sz w:val="24"/>
          <w:szCs w:val="32"/>
          <w:highlight w:val="none"/>
          <w:lang w:val="en-US" w:eastAsia="zh-CN"/>
        </w:rPr>
        <w:t>服务费按合同约定总价平均按月支付，先做后付，考核合格后根据考核情况在次月月底日前支付上月安保费用，具体考核标准详见《上虞第二人民医院安保服务项目考核细则》</w:t>
      </w:r>
      <w:r>
        <w:rPr>
          <w:rFonts w:hint="eastAsia" w:ascii="宋体" w:hAnsi="宋体" w:eastAsia="宋体" w:cs="宋体"/>
          <w:color w:val="auto"/>
          <w:kern w:val="2"/>
          <w:sz w:val="24"/>
          <w:szCs w:val="21"/>
          <w:highlight w:val="none"/>
          <w:lang w:eastAsia="zh-CN"/>
        </w:rPr>
        <w:t>。</w:t>
      </w:r>
    </w:p>
    <w:p w14:paraId="3AA25FE7">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注：合同履行期间，采购人根据实际需要调整人员，中标单位需根据采购人要求调整相应人员，调整的人员费用根据中标单价按实</w:t>
      </w:r>
      <w:r>
        <w:rPr>
          <w:rFonts w:hint="eastAsia" w:ascii="宋体" w:hAnsi="宋体" w:eastAsia="宋体" w:cs="宋体"/>
          <w:color w:val="auto"/>
          <w:kern w:val="2"/>
          <w:sz w:val="24"/>
          <w:szCs w:val="21"/>
          <w:highlight w:val="none"/>
          <w:lang w:val="en-US" w:eastAsia="zh-CN"/>
        </w:rPr>
        <w:t>增减</w:t>
      </w:r>
      <w:r>
        <w:rPr>
          <w:rFonts w:hint="eastAsia" w:ascii="宋体" w:hAnsi="宋体" w:eastAsia="宋体" w:cs="宋体"/>
          <w:color w:val="auto"/>
          <w:kern w:val="2"/>
          <w:sz w:val="24"/>
          <w:szCs w:val="21"/>
          <w:highlight w:val="none"/>
          <w:lang w:eastAsia="zh-CN"/>
        </w:rPr>
        <w:t>结算。如为增加费用的，增加部分不超过原合同价的10%。</w:t>
      </w:r>
    </w:p>
    <w:p w14:paraId="6268D2F7">
      <w:pPr>
        <w:keepNext w:val="0"/>
        <w:keepLines w:val="0"/>
        <w:pageBreakBefore w:val="0"/>
        <w:widowControl w:val="0"/>
        <w:numPr>
          <w:ilvl w:val="0"/>
          <w:numId w:val="26"/>
        </w:numPr>
        <w:kinsoku/>
        <w:wordWrap/>
        <w:overflowPunct/>
        <w:topLinePunct w:val="0"/>
        <w:autoSpaceDE w:val="0"/>
        <w:autoSpaceDN w:val="0"/>
        <w:bidi w:val="0"/>
        <w:adjustRightInd w:val="0"/>
        <w:snapToGrid/>
        <w:spacing w:line="360" w:lineRule="auto"/>
        <w:ind w:leftChars="0" w:firstLine="482" w:firstLineChars="200"/>
        <w:jc w:val="left"/>
        <w:textAlignment w:val="auto"/>
        <w:rPr>
          <w:rFonts w:ascii="宋体" w:hAnsi="宋体" w:eastAsia="宋体" w:cs="宋体"/>
          <w:b/>
          <w:bCs/>
          <w:color w:val="auto"/>
          <w:kern w:val="2"/>
          <w:sz w:val="24"/>
          <w:szCs w:val="21"/>
          <w:highlight w:val="none"/>
          <w:lang w:val="zh-CN"/>
        </w:rPr>
      </w:pPr>
      <w:r>
        <w:rPr>
          <w:rFonts w:hint="eastAsia" w:ascii="宋体" w:hAnsi="宋体" w:eastAsia="宋体" w:cs="宋体"/>
          <w:b/>
          <w:bCs/>
          <w:color w:val="auto"/>
          <w:kern w:val="2"/>
          <w:sz w:val="24"/>
          <w:szCs w:val="21"/>
          <w:highlight w:val="none"/>
        </w:rPr>
        <w:t>付款要求</w:t>
      </w:r>
    </w:p>
    <w:p w14:paraId="6271E442">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ascii="宋体" w:hAnsi="宋体" w:eastAsia="宋体" w:cs="Times New Roman"/>
          <w:color w:val="auto"/>
          <w:kern w:val="0"/>
          <w:sz w:val="24"/>
          <w:szCs w:val="24"/>
          <w:highlight w:val="none"/>
        </w:rPr>
      </w:pPr>
      <w:r>
        <w:rPr>
          <w:rFonts w:hint="eastAsia" w:ascii="宋体" w:hAnsi="宋体" w:eastAsia="宋体" w:cs="宋体"/>
          <w:color w:val="auto"/>
          <w:kern w:val="2"/>
          <w:sz w:val="24"/>
          <w:szCs w:val="21"/>
          <w:highlight w:val="none"/>
          <w:lang w:val="en-US" w:eastAsia="zh-CN"/>
        </w:rPr>
        <w:t>中标单位</w:t>
      </w:r>
      <w:r>
        <w:rPr>
          <w:rFonts w:hint="eastAsia" w:ascii="宋体" w:hAnsi="宋体" w:eastAsia="宋体" w:cs="宋体"/>
          <w:color w:val="auto"/>
          <w:kern w:val="2"/>
          <w:sz w:val="24"/>
          <w:szCs w:val="21"/>
          <w:highlight w:val="none"/>
        </w:rPr>
        <w:t>在收款之前，应向采购人提供发票，采购人凭发票付款。如</w:t>
      </w:r>
      <w:r>
        <w:rPr>
          <w:rFonts w:hint="eastAsia" w:ascii="宋体" w:hAnsi="宋体" w:eastAsia="宋体" w:cs="宋体"/>
          <w:color w:val="auto"/>
          <w:kern w:val="2"/>
          <w:sz w:val="24"/>
          <w:szCs w:val="21"/>
          <w:highlight w:val="none"/>
          <w:lang w:val="en-US" w:eastAsia="zh-CN"/>
        </w:rPr>
        <w:t>中标单位</w:t>
      </w:r>
      <w:r>
        <w:rPr>
          <w:rFonts w:hint="eastAsia" w:ascii="宋体" w:hAnsi="宋体" w:eastAsia="宋体" w:cs="宋体"/>
          <w:color w:val="auto"/>
          <w:kern w:val="2"/>
          <w:sz w:val="24"/>
          <w:szCs w:val="21"/>
          <w:highlight w:val="none"/>
        </w:rPr>
        <w:t>未按约定提供发票的，采购人有权拒绝付款，直至收到</w:t>
      </w:r>
      <w:r>
        <w:rPr>
          <w:rFonts w:hint="eastAsia" w:ascii="宋体" w:hAnsi="宋体" w:eastAsia="宋体" w:cs="宋体"/>
          <w:color w:val="auto"/>
          <w:kern w:val="2"/>
          <w:sz w:val="24"/>
          <w:szCs w:val="21"/>
          <w:highlight w:val="none"/>
          <w:lang w:eastAsia="zh-CN"/>
        </w:rPr>
        <w:t>供应商</w:t>
      </w:r>
      <w:r>
        <w:rPr>
          <w:rFonts w:hint="eastAsia" w:ascii="宋体" w:hAnsi="宋体" w:eastAsia="宋体" w:cs="宋体"/>
          <w:color w:val="auto"/>
          <w:kern w:val="2"/>
          <w:sz w:val="24"/>
          <w:szCs w:val="21"/>
          <w:highlight w:val="none"/>
        </w:rPr>
        <w:t>提交的相应发票为止，在此情况下，采购人不承担逾期付款违约责任。</w:t>
      </w:r>
    </w:p>
    <w:p w14:paraId="2AD78094">
      <w:pPr>
        <w:autoSpaceDE w:val="0"/>
        <w:autoSpaceDN w:val="0"/>
        <w:adjustRightInd w:val="0"/>
        <w:spacing w:line="360" w:lineRule="auto"/>
        <w:ind w:firstLine="480" w:firstLineChars="200"/>
        <w:jc w:val="left"/>
        <w:rPr>
          <w:rFonts w:ascii="宋体" w:hAnsi="宋体" w:cs="宋体"/>
          <w:color w:val="auto"/>
          <w:sz w:val="24"/>
          <w:szCs w:val="24"/>
          <w:highlight w:val="none"/>
        </w:rPr>
      </w:pPr>
    </w:p>
    <w:p w14:paraId="27102FE5">
      <w:pPr>
        <w:rPr>
          <w:rFonts w:cs="宋体"/>
          <w:color w:val="auto"/>
          <w:sz w:val="36"/>
          <w:szCs w:val="36"/>
          <w:highlight w:val="none"/>
        </w:rPr>
      </w:pPr>
      <w:r>
        <w:rPr>
          <w:rFonts w:hint="eastAsia" w:cs="宋体"/>
          <w:color w:val="auto"/>
          <w:sz w:val="36"/>
          <w:szCs w:val="36"/>
          <w:highlight w:val="none"/>
        </w:rPr>
        <w:br w:type="page"/>
      </w:r>
    </w:p>
    <w:p w14:paraId="7AF65F13">
      <w:pPr>
        <w:pStyle w:val="2"/>
        <w:jc w:val="center"/>
        <w:rPr>
          <w:rFonts w:cs="Times New Roman"/>
          <w:color w:val="auto"/>
          <w:sz w:val="36"/>
          <w:szCs w:val="36"/>
          <w:highlight w:val="none"/>
        </w:rPr>
      </w:pPr>
      <w:bookmarkStart w:id="120" w:name="_Toc3044"/>
      <w:r>
        <w:rPr>
          <w:rFonts w:hint="eastAsia" w:cs="宋体"/>
          <w:color w:val="auto"/>
          <w:sz w:val="36"/>
          <w:szCs w:val="36"/>
          <w:highlight w:val="none"/>
        </w:rPr>
        <w:t>第四部分 磋商原则及磋商方法</w:t>
      </w:r>
      <w:bookmarkEnd w:id="113"/>
      <w:bookmarkEnd w:id="114"/>
      <w:bookmarkEnd w:id="120"/>
    </w:p>
    <w:p w14:paraId="36FF21F5">
      <w:pPr>
        <w:pStyle w:val="3"/>
        <w:numPr>
          <w:ilvl w:val="0"/>
          <w:numId w:val="27"/>
        </w:numPr>
        <w:jc w:val="center"/>
        <w:rPr>
          <w:rFonts w:cs="Times New Roman"/>
          <w:color w:val="auto"/>
          <w:highlight w:val="none"/>
        </w:rPr>
      </w:pPr>
      <w:bookmarkStart w:id="121" w:name="_Toc1265"/>
      <w:r>
        <w:rPr>
          <w:rFonts w:hint="eastAsia"/>
          <w:color w:val="auto"/>
          <w:highlight w:val="none"/>
        </w:rPr>
        <w:t xml:space="preserve"> </w:t>
      </w:r>
      <w:bookmarkStart w:id="122" w:name="_Toc3582"/>
      <w:bookmarkStart w:id="123" w:name="_Toc12903"/>
      <w:r>
        <w:rPr>
          <w:rFonts w:hint="eastAsia"/>
          <w:color w:val="auto"/>
          <w:highlight w:val="none"/>
        </w:rPr>
        <w:t>磋商原则</w:t>
      </w:r>
      <w:bookmarkEnd w:id="121"/>
      <w:bookmarkEnd w:id="122"/>
      <w:bookmarkEnd w:id="123"/>
    </w:p>
    <w:p w14:paraId="3F9350BD">
      <w:pPr>
        <w:pStyle w:val="4"/>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10C542A8">
      <w:pPr>
        <w:pStyle w:val="4"/>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26F47CFD">
      <w:pPr>
        <w:pStyle w:val="4"/>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0F36816C">
      <w:pPr>
        <w:pStyle w:val="15"/>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251059F1">
      <w:pPr>
        <w:pStyle w:val="15"/>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5EFB71A5">
      <w:pPr>
        <w:pStyle w:val="15"/>
        <w:spacing w:line="336"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51376F81">
      <w:pPr>
        <w:pStyle w:val="15"/>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6DAF8B46">
      <w:pPr>
        <w:pStyle w:val="53"/>
        <w:spacing w:before="0" w:line="336" w:lineRule="auto"/>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5CBC07B1">
      <w:pPr>
        <w:pStyle w:val="53"/>
        <w:spacing w:before="0" w:line="336" w:lineRule="auto"/>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AB367A">
      <w:pPr>
        <w:spacing w:line="336"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252E0185">
      <w:pPr>
        <w:pStyle w:val="53"/>
        <w:spacing w:before="0" w:line="336" w:lineRule="auto"/>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4CC91F36">
      <w:pPr>
        <w:pStyle w:val="53"/>
        <w:tabs>
          <w:tab w:val="left" w:pos="0"/>
        </w:tabs>
        <w:spacing w:before="0" w:line="336" w:lineRule="auto"/>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5D709AC6">
      <w:pPr>
        <w:pStyle w:val="4"/>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02A8A4E5">
      <w:pPr>
        <w:pStyle w:val="3"/>
        <w:numPr>
          <w:ilvl w:val="0"/>
          <w:numId w:val="27"/>
        </w:numPr>
        <w:jc w:val="center"/>
        <w:rPr>
          <w:rFonts w:cs="Times New Roman"/>
          <w:color w:val="auto"/>
          <w:highlight w:val="none"/>
        </w:rPr>
      </w:pPr>
      <w:r>
        <w:rPr>
          <w:color w:val="auto"/>
          <w:highlight w:val="none"/>
        </w:rPr>
        <w:t xml:space="preserve"> </w:t>
      </w:r>
      <w:bookmarkStart w:id="124" w:name="_Toc26461"/>
      <w:bookmarkStart w:id="125" w:name="_Toc4456"/>
      <w:bookmarkStart w:id="126" w:name="_Toc10093"/>
      <w:r>
        <w:rPr>
          <w:rFonts w:hint="eastAsia"/>
          <w:color w:val="auto"/>
          <w:highlight w:val="none"/>
        </w:rPr>
        <w:t>磋商程序</w:t>
      </w:r>
      <w:bookmarkEnd w:id="124"/>
      <w:bookmarkEnd w:id="125"/>
      <w:bookmarkEnd w:id="126"/>
    </w:p>
    <w:p w14:paraId="7EDB125E">
      <w:pPr>
        <w:snapToGrid w:val="0"/>
        <w:spacing w:line="336"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1、对所有响应文件的初审</w:t>
      </w:r>
    </w:p>
    <w:p w14:paraId="6BA387A9">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1.1资格审查</w:t>
      </w:r>
    </w:p>
    <w:p w14:paraId="118E063C">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（1）开标后，磋商小组将依法对供应商的资格进行审查。</w:t>
      </w:r>
    </w:p>
    <w:p w14:paraId="556802B6">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（2）磋商小组依据法律法规和磋商文件的规定，对供应商的基本资格条件、特定资格条件进行审查。</w:t>
      </w:r>
    </w:p>
    <w:p w14:paraId="7E6188C3">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（3）供应商未按照磋商文件要求提供与基本资格条件、特定资格条件相应的有效资格证明材料的，视为供应商不具备磋商文件中规定的资格要求，其磋商无效。并将无效缘由告知相关供应商.</w:t>
      </w:r>
    </w:p>
    <w:p w14:paraId="11EC4815">
      <w:pPr>
        <w:wordWrap w:val="0"/>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、政府采购严重违法失信行为记录名单的，其磋商无效。</w:t>
      </w:r>
    </w:p>
    <w:p w14:paraId="598EEB4A">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67450AB1">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63B9A5C4">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（1）响应文件无法定代表人或其委托授权代表签名或盖章。</w:t>
      </w:r>
    </w:p>
    <w:p w14:paraId="4BBBA495">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（2）响应文件内容虚假的。</w:t>
      </w:r>
    </w:p>
    <w:p w14:paraId="71489804">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（3）响应文件有采购人不能接受的附加条件的。</w:t>
      </w:r>
    </w:p>
    <w:p w14:paraId="6B45AA33">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（4）磋商有效期、服务期等商务条款不能满足磋商文件要求的。</w:t>
      </w:r>
    </w:p>
    <w:p w14:paraId="1C03FCA3">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（5）投标价格超出预算或最高限价，导致采购单位无法支付的。</w:t>
      </w:r>
    </w:p>
    <w:p w14:paraId="5C402001">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（6）磋商文件明确规定的其他无效条款的。</w:t>
      </w:r>
    </w:p>
    <w:p w14:paraId="5B899248">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75EDD5">
      <w:pPr>
        <w:pStyle w:val="53"/>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41D0C9CB">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2752CC24">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 初审合格的供应商进入下一步的磋商活动。</w:t>
      </w:r>
    </w:p>
    <w:p w14:paraId="0AC0BEF0">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 磋商小组所有成员应当集中与单一供应商分别进行磋商，并给予所有参加磋商的供应商平等的磋商机会。</w:t>
      </w:r>
    </w:p>
    <w:p w14:paraId="543AFF1F">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41FBA1E2">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46CBAC11">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 磋商文件作出的实质性变动是磋商文件的有效组成部分，磋商小组应当及时以书面形式同时通知所有参加磋商的供应商。</w:t>
      </w:r>
    </w:p>
    <w:p w14:paraId="100673B7">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6A43CC9">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3B4575D9">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81928E">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4ECFCA02">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3.1商务技术汇总后，供应商开启报价文件，磋商小组应当要求所有实质性响应的供应商在规定时间内提交最后报价。</w:t>
      </w:r>
    </w:p>
    <w:p w14:paraId="560E5252">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3.2最后报价是供应商响应文件的有效组成部分，若最后报价高于报价文件报价，则以第一次报价计入评分。</w:t>
      </w:r>
    </w:p>
    <w:p w14:paraId="6420C70B">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3.3已提交响应文件的供应商，在提交最后报价之前，若因磋商文件实质性变动导致供应商无法满足采购需求的，允许供应商退出磋商。</w:t>
      </w:r>
    </w:p>
    <w:p w14:paraId="3EFB24E6">
      <w:pPr>
        <w:pStyle w:val="4"/>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4、电子评标</w:t>
      </w:r>
    </w:p>
    <w:p w14:paraId="197E997F">
      <w:pPr>
        <w:pStyle w:val="4"/>
        <w:spacing w:line="336"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4.1磋商活动由采购代理机构主持，磋商响应截止时间后，供应商登录政采云平台对电子响应文件进行在线解密；</w:t>
      </w:r>
    </w:p>
    <w:p w14:paraId="32AD20FF">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4.2响应文件解密结束，开启响应文件，磋商小组对资格和商务技术响应文件进行资格审查和符合性审查；</w:t>
      </w:r>
    </w:p>
    <w:p w14:paraId="4BE1A08D">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687AA883">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4.4磋商小组对商务技术响应文件进行评审；</w:t>
      </w:r>
    </w:p>
    <w:p w14:paraId="0AEA49DC">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4.5商务技术汇总后，供应商开启报价文件，进行磋商二次报价（最终报价），</w:t>
      </w:r>
      <w:r>
        <w:rPr>
          <w:rFonts w:hint="eastAsia" w:ascii="宋体" w:hAnsi="宋体" w:cs="宋体"/>
          <w:b/>
          <w:bCs/>
          <w:color w:val="auto"/>
          <w:sz w:val="24"/>
          <w:szCs w:val="24"/>
          <w:highlight w:val="none"/>
        </w:rPr>
        <w:t>如果供应商在规定时间30分钟内未提交第二次报价，视该供应商放弃本次投标，作无效标处理</w:t>
      </w:r>
      <w:r>
        <w:rPr>
          <w:rFonts w:hint="eastAsia" w:ascii="宋体" w:hAnsi="宋体" w:cs="宋体"/>
          <w:color w:val="auto"/>
          <w:sz w:val="24"/>
          <w:szCs w:val="24"/>
          <w:highlight w:val="none"/>
        </w:rPr>
        <w:t>；</w:t>
      </w:r>
    </w:p>
    <w:p w14:paraId="330017B9">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4.6在系统上开启最终报价情况；</w:t>
      </w:r>
    </w:p>
    <w:p w14:paraId="40E152C0">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4.7磋商小组对报价情况进行评审；</w:t>
      </w:r>
    </w:p>
    <w:p w14:paraId="25B45CA4">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4.8在系统上公开资格和商务技术评审结果；</w:t>
      </w:r>
    </w:p>
    <w:p w14:paraId="0BD72C7A">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4.9在系统上公布评审结果。</w:t>
      </w:r>
    </w:p>
    <w:p w14:paraId="5F080A3E">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4.10开标会结束。</w:t>
      </w:r>
    </w:p>
    <w:p w14:paraId="3F754BAC">
      <w:pPr>
        <w:snapToGrid w:val="0"/>
        <w:spacing w:line="336"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特别说明：政采云如对电子化开标及评审程序有调整的，按调整后的程序操作。</w:t>
      </w:r>
    </w:p>
    <w:p w14:paraId="03131E55">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5.综合评分</w:t>
      </w:r>
    </w:p>
    <w:p w14:paraId="2753832B">
      <w:pPr>
        <w:tabs>
          <w:tab w:val="left" w:pos="-1080"/>
          <w:tab w:val="left" w:pos="180"/>
          <w:tab w:val="left" w:pos="1080"/>
        </w:tabs>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分、报价分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分；满分为100分。</w:t>
      </w:r>
    </w:p>
    <w:p w14:paraId="31343275">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5.2经初步评审合格的响应文件，磋商小组根据竞争性磋商文件确定的评审标准和方法，对其商务技术部分</w:t>
      </w:r>
      <w:r>
        <w:rPr>
          <w:rFonts w:hint="eastAsia" w:ascii="宋体" w:hAnsi="宋体" w:cs="宋体"/>
          <w:color w:val="auto"/>
          <w:sz w:val="24"/>
          <w:szCs w:val="24"/>
          <w:highlight w:val="none"/>
          <w:lang w:eastAsia="zh-CN"/>
        </w:rPr>
        <w:t>做</w:t>
      </w:r>
      <w:r>
        <w:rPr>
          <w:rFonts w:hint="eastAsia" w:ascii="宋体" w:hAnsi="宋体" w:cs="宋体"/>
          <w:color w:val="auto"/>
          <w:sz w:val="24"/>
          <w:szCs w:val="24"/>
          <w:highlight w:val="none"/>
        </w:rPr>
        <w:t>进一步评审、比较、打分。</w:t>
      </w:r>
    </w:p>
    <w:p w14:paraId="224A154D">
      <w:pPr>
        <w:pStyle w:val="15"/>
        <w:spacing w:line="336" w:lineRule="auto"/>
        <w:ind w:firstLine="480" w:firstLineChars="200"/>
        <w:rPr>
          <w:rFonts w:hAnsi="宋体"/>
          <w:color w:val="auto"/>
          <w:sz w:val="24"/>
          <w:szCs w:val="24"/>
          <w:highlight w:val="none"/>
        </w:rPr>
      </w:pPr>
      <w:r>
        <w:rPr>
          <w:rFonts w:hint="eastAsia" w:hAnsi="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E8C783E">
      <w:pPr>
        <w:pStyle w:val="15"/>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6、修正原则</w:t>
      </w:r>
    </w:p>
    <w:p w14:paraId="10A2D42E">
      <w:pPr>
        <w:pStyle w:val="53"/>
        <w:spacing w:before="0" w:line="336" w:lineRule="auto"/>
        <w:ind w:left="400" w:leftChars="200" w:firstLine="0" w:firstLineChars="0"/>
        <w:rPr>
          <w:rFonts w:ascii="宋体" w:hAnsi="宋体" w:cs="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7A4BC030">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6.1响应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0C903667">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28C65225">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1EC2AD5F">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44E4860E">
      <w:pPr>
        <w:pStyle w:val="53"/>
        <w:spacing w:before="0" w:line="336" w:lineRule="auto"/>
        <w:ind w:firstLine="480"/>
        <w:rPr>
          <w:rFonts w:ascii="宋体" w:hAnsi="宋体" w:cs="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60F32574">
      <w:pPr>
        <w:pStyle w:val="15"/>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7、响应文件的澄清</w:t>
      </w:r>
    </w:p>
    <w:p w14:paraId="26C6080F">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731158D5">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6506528E">
      <w:pPr>
        <w:pStyle w:val="3"/>
        <w:numPr>
          <w:ilvl w:val="0"/>
          <w:numId w:val="27"/>
        </w:numPr>
        <w:jc w:val="center"/>
        <w:rPr>
          <w:rFonts w:cs="Times New Roman"/>
          <w:color w:val="auto"/>
          <w:highlight w:val="none"/>
        </w:rPr>
      </w:pPr>
      <w:r>
        <w:rPr>
          <w:color w:val="auto"/>
          <w:highlight w:val="none"/>
        </w:rPr>
        <w:t xml:space="preserve"> </w:t>
      </w:r>
      <w:bookmarkStart w:id="127" w:name="_Toc1778"/>
      <w:bookmarkStart w:id="128" w:name="_Toc12846"/>
      <w:bookmarkStart w:id="129" w:name="_Toc12816"/>
      <w:r>
        <w:rPr>
          <w:rFonts w:hint="eastAsia"/>
          <w:color w:val="auto"/>
          <w:highlight w:val="none"/>
        </w:rPr>
        <w:t>注意事项</w:t>
      </w:r>
      <w:bookmarkEnd w:id="127"/>
      <w:bookmarkEnd w:id="128"/>
      <w:bookmarkEnd w:id="129"/>
    </w:p>
    <w:p w14:paraId="63EDABFC">
      <w:pPr>
        <w:pStyle w:val="4"/>
        <w:spacing w:line="336"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208DF897">
      <w:pPr>
        <w:pStyle w:val="3"/>
        <w:numPr>
          <w:ilvl w:val="0"/>
          <w:numId w:val="28"/>
        </w:numPr>
        <w:jc w:val="center"/>
        <w:rPr>
          <w:rFonts w:cs="Times New Roman"/>
          <w:color w:val="auto"/>
          <w:highlight w:val="none"/>
        </w:rPr>
      </w:pPr>
      <w:r>
        <w:rPr>
          <w:color w:val="auto"/>
          <w:highlight w:val="none"/>
        </w:rPr>
        <w:t xml:space="preserve"> </w:t>
      </w:r>
      <w:bookmarkStart w:id="130" w:name="_Toc6127"/>
      <w:bookmarkStart w:id="131" w:name="_Toc11025"/>
      <w:bookmarkStart w:id="132" w:name="_Toc13782"/>
      <w:r>
        <w:rPr>
          <w:rFonts w:hint="eastAsia"/>
          <w:color w:val="auto"/>
          <w:highlight w:val="none"/>
        </w:rPr>
        <w:t>评分细则</w:t>
      </w:r>
      <w:bookmarkEnd w:id="130"/>
      <w:bookmarkEnd w:id="131"/>
      <w:bookmarkEnd w:id="132"/>
    </w:p>
    <w:p w14:paraId="713C645E">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372EB0D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03662F0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7402C596">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lang w:eastAsia="zh-CN"/>
        </w:rPr>
        <w:t>壹佰捌拾万元</w:t>
      </w:r>
      <w:r>
        <w:rPr>
          <w:rFonts w:hint="eastAsia" w:ascii="宋体" w:hAnsi="宋体" w:cs="宋体"/>
          <w:b/>
          <w:bCs/>
          <w:color w:val="auto"/>
          <w:sz w:val="24"/>
          <w:szCs w:val="24"/>
          <w:highlight w:val="none"/>
          <w:u w:val="single"/>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1800000</w:t>
      </w:r>
      <w:r>
        <w:rPr>
          <w:rFonts w:hint="eastAsia"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w:t>
      </w:r>
    </w:p>
    <w:p w14:paraId="40DE388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0276119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、本次评标设有最佳报价。最佳报价确定方式：根据所有入围供应商有效报价中的最低报价作为最佳报价。</w:t>
      </w:r>
    </w:p>
    <w:p w14:paraId="2B90C02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794D025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3274852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2FACC85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”元，视同赠送），如出现则作</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3E16258E">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w:t>
      </w:r>
      <w:r>
        <w:rPr>
          <w:rFonts w:hint="eastAsia" w:ascii="Arial" w:hAnsi="Arial" w:cs="宋体"/>
          <w:color w:val="auto"/>
          <w:sz w:val="24"/>
          <w:szCs w:val="24"/>
          <w:highlight w:val="none"/>
          <w:lang w:eastAsia="zh-CN"/>
        </w:rPr>
        <w:t>查的</w:t>
      </w:r>
      <w:r>
        <w:rPr>
          <w:rFonts w:hint="eastAsia" w:ascii="Arial" w:hAnsi="Arial" w:cs="宋体"/>
          <w:color w:val="auto"/>
          <w:sz w:val="24"/>
          <w:szCs w:val="24"/>
          <w:highlight w:val="none"/>
        </w:rPr>
        <w:t>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09DFD45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1"/>
          <w:highlight w:val="none"/>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CA709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49719C74">
      <w:pPr>
        <w:spacing w:line="360" w:lineRule="auto"/>
        <w:ind w:firstLine="480" w:firstLineChars="200"/>
        <w:rPr>
          <w:rFonts w:ascii="Arial" w:hAnsi="Arial" w:cs="宋体"/>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p>
    <w:p w14:paraId="3086D43A">
      <w:pPr>
        <w:spacing w:line="360" w:lineRule="auto"/>
        <w:ind w:firstLine="482" w:firstLineChars="200"/>
        <w:outlineLvl w:val="1"/>
        <w:rPr>
          <w:rFonts w:ascii="宋体"/>
          <w:b/>
          <w:bCs/>
          <w:color w:val="auto"/>
          <w:sz w:val="24"/>
          <w:szCs w:val="24"/>
          <w:highlight w:val="none"/>
        </w:rPr>
      </w:pPr>
      <w:bookmarkStart w:id="133" w:name="_Toc12563"/>
      <w:bookmarkStart w:id="134" w:name="_Toc29672"/>
      <w:bookmarkStart w:id="135" w:name="_Toc20488"/>
      <w:r>
        <w:rPr>
          <w:rFonts w:hint="eastAsia" w:ascii="宋体" w:hAnsi="宋体" w:cs="宋体"/>
          <w:b/>
          <w:bCs/>
          <w:color w:val="auto"/>
          <w:sz w:val="24"/>
          <w:szCs w:val="24"/>
          <w:highlight w:val="none"/>
        </w:rPr>
        <w:t>二、商务技术文件评标内容及标准（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7</w:t>
      </w:r>
      <w:r>
        <w:rPr>
          <w:rFonts w:hint="eastAsia" w:ascii="宋体" w:hAnsi="宋体" w:cs="宋体"/>
          <w:b/>
          <w:bCs/>
          <w:color w:val="auto"/>
          <w:sz w:val="24"/>
          <w:szCs w:val="24"/>
          <w:highlight w:val="none"/>
          <w:u w:val="single"/>
        </w:rPr>
        <w:t>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bookmarkEnd w:id="133"/>
      <w:bookmarkEnd w:id="134"/>
      <w:bookmarkEnd w:id="135"/>
    </w:p>
    <w:p w14:paraId="46C9E892">
      <w:p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1、评分细则</w:t>
      </w:r>
    </w:p>
    <w:tbl>
      <w:tblPr>
        <w:tblStyle w:val="27"/>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196"/>
        <w:gridCol w:w="5595"/>
        <w:gridCol w:w="745"/>
      </w:tblGrid>
      <w:tr w14:paraId="0E5D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10" w:type="dxa"/>
            <w:tcBorders>
              <w:top w:val="single" w:color="auto" w:sz="4" w:space="0"/>
              <w:left w:val="single" w:color="auto" w:sz="4" w:space="0"/>
              <w:bottom w:val="single" w:color="auto" w:sz="4" w:space="0"/>
              <w:right w:val="single" w:color="auto" w:sz="4" w:space="0"/>
            </w:tcBorders>
            <w:noWrap/>
            <w:vAlign w:val="center"/>
          </w:tcPr>
          <w:p w14:paraId="33C362B1">
            <w:pPr>
              <w:autoSpaceDE w:val="0"/>
              <w:adjustRightInd w:val="0"/>
              <w:spacing w:beforeLines="50" w:line="360" w:lineRule="auto"/>
              <w:ind w:left="0" w:leftChars="0" w:firstLine="0" w:firstLineChars="0"/>
              <w:jc w:val="center"/>
              <w:rPr>
                <w:rFonts w:ascii="宋体" w:hAnsi="宋体" w:eastAsia="宋体" w:cs="Times New Roman"/>
                <w:b/>
                <w:bCs/>
                <w:color w:val="auto"/>
                <w:kern w:val="2"/>
                <w:sz w:val="24"/>
                <w:szCs w:val="21"/>
                <w:highlight w:val="none"/>
              </w:rPr>
            </w:pPr>
            <w:r>
              <w:rPr>
                <w:rFonts w:hint="eastAsia" w:ascii="宋体" w:hAnsi="宋体" w:eastAsia="宋体" w:cs="Times New Roman"/>
                <w:b/>
                <w:bCs/>
                <w:color w:val="auto"/>
                <w:kern w:val="2"/>
                <w:sz w:val="24"/>
                <w:szCs w:val="21"/>
                <w:highlight w:val="none"/>
              </w:rPr>
              <w:t>评分项目</w:t>
            </w:r>
          </w:p>
        </w:tc>
        <w:tc>
          <w:tcPr>
            <w:tcW w:w="6791" w:type="dxa"/>
            <w:gridSpan w:val="2"/>
            <w:tcBorders>
              <w:top w:val="single" w:color="auto" w:sz="4" w:space="0"/>
              <w:left w:val="nil"/>
              <w:bottom w:val="single" w:color="auto" w:sz="4" w:space="0"/>
              <w:right w:val="single" w:color="auto" w:sz="4" w:space="0"/>
            </w:tcBorders>
            <w:noWrap/>
            <w:vAlign w:val="center"/>
          </w:tcPr>
          <w:p w14:paraId="47BC78D0">
            <w:pPr>
              <w:autoSpaceDE w:val="0"/>
              <w:adjustRightInd w:val="0"/>
              <w:spacing w:beforeLines="50" w:line="360" w:lineRule="auto"/>
              <w:ind w:left="0" w:leftChars="0" w:firstLine="0" w:firstLineChars="0"/>
              <w:jc w:val="center"/>
              <w:rPr>
                <w:rFonts w:ascii="宋体" w:hAnsi="宋体" w:eastAsia="宋体" w:cs="Times New Roman"/>
                <w:b/>
                <w:bCs/>
                <w:color w:val="auto"/>
                <w:kern w:val="2"/>
                <w:sz w:val="24"/>
                <w:szCs w:val="21"/>
                <w:highlight w:val="none"/>
              </w:rPr>
            </w:pPr>
            <w:r>
              <w:rPr>
                <w:rFonts w:hint="eastAsia" w:ascii="宋体" w:hAnsi="宋体" w:eastAsia="宋体" w:cs="Times New Roman"/>
                <w:b/>
                <w:bCs/>
                <w:color w:val="auto"/>
                <w:kern w:val="2"/>
                <w:sz w:val="24"/>
                <w:szCs w:val="21"/>
                <w:highlight w:val="none"/>
              </w:rPr>
              <w:t>评标要点及说明</w:t>
            </w:r>
          </w:p>
        </w:tc>
        <w:tc>
          <w:tcPr>
            <w:tcW w:w="745" w:type="dxa"/>
            <w:tcBorders>
              <w:top w:val="single" w:color="auto" w:sz="4" w:space="0"/>
              <w:left w:val="single" w:color="auto" w:sz="4" w:space="0"/>
              <w:bottom w:val="single" w:color="auto" w:sz="4" w:space="0"/>
              <w:right w:val="single" w:color="auto" w:sz="4" w:space="0"/>
            </w:tcBorders>
            <w:noWrap/>
            <w:vAlign w:val="center"/>
          </w:tcPr>
          <w:p w14:paraId="50B9402B">
            <w:pPr>
              <w:autoSpaceDE w:val="0"/>
              <w:adjustRightInd w:val="0"/>
              <w:spacing w:beforeLines="50" w:line="360" w:lineRule="auto"/>
              <w:ind w:left="0" w:leftChars="0" w:firstLine="0" w:firstLineChars="0"/>
              <w:jc w:val="center"/>
              <w:rPr>
                <w:rFonts w:ascii="宋体" w:hAnsi="宋体" w:eastAsia="宋体" w:cs="Times New Roman"/>
                <w:b/>
                <w:bCs/>
                <w:color w:val="auto"/>
                <w:kern w:val="2"/>
                <w:sz w:val="24"/>
                <w:szCs w:val="21"/>
                <w:highlight w:val="none"/>
              </w:rPr>
            </w:pPr>
            <w:r>
              <w:rPr>
                <w:rFonts w:hint="eastAsia" w:ascii="宋体" w:hAnsi="宋体" w:eastAsia="宋体" w:cs="Times New Roman"/>
                <w:b/>
                <w:bCs/>
                <w:color w:val="auto"/>
                <w:kern w:val="2"/>
                <w:sz w:val="24"/>
                <w:szCs w:val="21"/>
                <w:highlight w:val="none"/>
              </w:rPr>
              <w:t>分值</w:t>
            </w:r>
          </w:p>
        </w:tc>
      </w:tr>
      <w:tr w14:paraId="022C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0" w:type="dxa"/>
            <w:vMerge w:val="restart"/>
            <w:tcBorders>
              <w:left w:val="single" w:color="auto" w:sz="4" w:space="0"/>
              <w:right w:val="single" w:color="auto" w:sz="4" w:space="0"/>
            </w:tcBorders>
            <w:noWrap/>
            <w:vAlign w:val="center"/>
          </w:tcPr>
          <w:p w14:paraId="2E425FCE">
            <w:pPr>
              <w:spacing w:line="360" w:lineRule="auto"/>
              <w:ind w:left="0" w:leftChars="0" w:firstLine="0" w:firstLineChars="0"/>
              <w:jc w:val="center"/>
              <w:rPr>
                <w:rFonts w:hint="eastAsia" w:ascii="宋体" w:hAnsi="宋体" w:eastAsia="宋体" w:cs="Times New Roman"/>
                <w:color w:val="auto"/>
                <w:kern w:val="2"/>
                <w:sz w:val="24"/>
                <w:szCs w:val="21"/>
                <w:highlight w:val="none"/>
                <w:lang w:val="en-US" w:eastAsia="zh-CN"/>
              </w:rPr>
            </w:pPr>
            <w:r>
              <w:rPr>
                <w:rFonts w:hint="eastAsia" w:ascii="宋体" w:hAnsi="宋体" w:eastAsia="宋体" w:cs="Times New Roman"/>
                <w:color w:val="auto"/>
                <w:kern w:val="2"/>
                <w:sz w:val="24"/>
                <w:szCs w:val="21"/>
                <w:highlight w:val="none"/>
                <w:lang w:val="en-US" w:eastAsia="zh-CN"/>
              </w:rPr>
              <w:t>技术</w:t>
            </w:r>
          </w:p>
          <w:p w14:paraId="4BB5447E">
            <w:pPr>
              <w:spacing w:line="360" w:lineRule="auto"/>
              <w:ind w:left="0" w:leftChars="0" w:firstLine="0" w:firstLineChars="0"/>
              <w:jc w:val="center"/>
              <w:rPr>
                <w:rFonts w:hint="eastAsia" w:ascii="Times New Roman" w:hAnsi="Times New Roman" w:eastAsia="宋体" w:cs="Times New Roman"/>
                <w:color w:val="auto"/>
                <w:kern w:val="2"/>
                <w:sz w:val="21"/>
                <w:szCs w:val="21"/>
                <w:highlight w:val="none"/>
                <w:lang w:val="en-US" w:eastAsia="zh-CN"/>
              </w:rPr>
            </w:pPr>
            <w:r>
              <w:rPr>
                <w:rFonts w:hint="eastAsia" w:ascii="宋体" w:hAnsi="宋体" w:eastAsia="宋体" w:cs="Times New Roman"/>
                <w:color w:val="auto"/>
                <w:kern w:val="2"/>
                <w:sz w:val="24"/>
                <w:szCs w:val="21"/>
                <w:highlight w:val="none"/>
                <w:lang w:val="en-US" w:eastAsia="zh-CN"/>
              </w:rPr>
              <w:t>（64分）</w:t>
            </w:r>
          </w:p>
        </w:tc>
        <w:tc>
          <w:tcPr>
            <w:tcW w:w="1196" w:type="dxa"/>
            <w:vMerge w:val="restart"/>
            <w:tcBorders>
              <w:left w:val="single" w:color="auto" w:sz="4" w:space="0"/>
              <w:right w:val="single" w:color="auto" w:sz="4" w:space="0"/>
            </w:tcBorders>
            <w:noWrap/>
            <w:vAlign w:val="center"/>
          </w:tcPr>
          <w:p w14:paraId="199144AB">
            <w:pPr>
              <w:ind w:left="0" w:leftChars="0" w:firstLine="0" w:firstLineChars="0"/>
              <w:jc w:val="center"/>
              <w:rPr>
                <w:rFonts w:hint="eastAsia" w:ascii="宋体" w:hAnsi="宋体" w:eastAsia="宋体" w:cs="Times New Roman"/>
                <w:color w:val="auto"/>
                <w:kern w:val="0"/>
                <w:sz w:val="24"/>
                <w:szCs w:val="21"/>
                <w:highlight w:val="none"/>
                <w:lang w:val="en-US" w:eastAsia="zh-CN" w:bidi="ar-SA"/>
              </w:rPr>
            </w:pPr>
            <w:r>
              <w:rPr>
                <w:rFonts w:hint="eastAsia" w:ascii="宋体" w:hAnsi="宋体" w:eastAsia="宋体" w:cs="宋体"/>
                <w:color w:val="auto"/>
                <w:kern w:val="2"/>
                <w:sz w:val="24"/>
                <w:szCs w:val="21"/>
                <w:highlight w:val="none"/>
              </w:rPr>
              <w:t>重难点分析</w:t>
            </w:r>
          </w:p>
        </w:tc>
        <w:tc>
          <w:tcPr>
            <w:tcW w:w="5595" w:type="dxa"/>
            <w:tcBorders>
              <w:top w:val="single" w:color="auto" w:sz="4" w:space="0"/>
              <w:left w:val="single" w:color="auto" w:sz="4" w:space="0"/>
              <w:bottom w:val="single" w:color="auto" w:sz="4" w:space="0"/>
              <w:right w:val="single" w:color="auto" w:sz="4" w:space="0"/>
            </w:tcBorders>
            <w:noWrap/>
            <w:vAlign w:val="center"/>
          </w:tcPr>
          <w:p w14:paraId="16D628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rPr>
              <w:t>的重难点分析的</w:t>
            </w:r>
            <w:r>
              <w:rPr>
                <w:rFonts w:hint="eastAsia" w:ascii="宋体" w:hAnsi="宋体" w:eastAsia="宋体" w:cs="宋体"/>
                <w:color w:val="auto"/>
                <w:kern w:val="2"/>
                <w:sz w:val="24"/>
                <w:szCs w:val="24"/>
                <w:highlight w:val="none"/>
                <w:lang w:val="en-US" w:eastAsia="zh-CN"/>
              </w:rPr>
              <w:t>准确性、完整性进行打分。</w:t>
            </w:r>
          </w:p>
        </w:tc>
        <w:tc>
          <w:tcPr>
            <w:tcW w:w="745" w:type="dxa"/>
            <w:tcBorders>
              <w:left w:val="single" w:color="auto" w:sz="4" w:space="0"/>
              <w:bottom w:val="single" w:color="auto" w:sz="4" w:space="0"/>
              <w:right w:val="single" w:color="auto" w:sz="4" w:space="0"/>
            </w:tcBorders>
            <w:noWrap/>
            <w:vAlign w:val="center"/>
          </w:tcPr>
          <w:p w14:paraId="54E3710E">
            <w:pPr>
              <w:ind w:left="0" w:leftChars="0"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rPr>
              <w:t>3</w:t>
            </w:r>
          </w:p>
        </w:tc>
      </w:tr>
      <w:tr w14:paraId="1080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0" w:type="dxa"/>
            <w:vMerge w:val="continue"/>
            <w:tcBorders>
              <w:left w:val="single" w:color="auto" w:sz="4" w:space="0"/>
              <w:right w:val="single" w:color="auto" w:sz="4" w:space="0"/>
            </w:tcBorders>
            <w:noWrap/>
            <w:vAlign w:val="center"/>
          </w:tcPr>
          <w:p w14:paraId="19616B7B">
            <w:pPr>
              <w:spacing w:line="360" w:lineRule="auto"/>
              <w:ind w:left="0" w:leftChars="0" w:firstLine="0" w:firstLineChars="0"/>
              <w:jc w:val="center"/>
              <w:rPr>
                <w:rFonts w:hint="eastAsia" w:ascii="宋体" w:hAnsi="宋体" w:eastAsia="宋体" w:cs="Times New Roman"/>
                <w:color w:val="auto"/>
                <w:kern w:val="2"/>
                <w:sz w:val="24"/>
                <w:szCs w:val="21"/>
                <w:highlight w:val="none"/>
                <w:lang w:val="en-US" w:eastAsia="zh-CN"/>
              </w:rPr>
            </w:pPr>
          </w:p>
        </w:tc>
        <w:tc>
          <w:tcPr>
            <w:tcW w:w="1196" w:type="dxa"/>
            <w:vMerge w:val="continue"/>
            <w:tcBorders>
              <w:left w:val="single" w:color="auto" w:sz="4" w:space="0"/>
              <w:right w:val="single" w:color="auto" w:sz="4" w:space="0"/>
            </w:tcBorders>
            <w:noWrap/>
            <w:vAlign w:val="center"/>
          </w:tcPr>
          <w:p w14:paraId="117440CF">
            <w:pPr>
              <w:ind w:left="0" w:leftChars="0" w:firstLine="0" w:firstLineChars="0"/>
              <w:jc w:val="center"/>
              <w:rPr>
                <w:rFonts w:hint="eastAsia" w:ascii="宋体" w:hAnsi="宋体" w:eastAsia="宋体" w:cs="宋体"/>
                <w:color w:val="auto"/>
                <w:kern w:val="2"/>
                <w:sz w:val="24"/>
                <w:szCs w:val="21"/>
                <w:highlight w:val="none"/>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7394C4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重难点提出的</w:t>
            </w:r>
            <w:r>
              <w:rPr>
                <w:rFonts w:hint="eastAsia" w:ascii="宋体" w:hAnsi="宋体" w:eastAsia="宋体" w:cs="宋体"/>
                <w:color w:val="auto"/>
                <w:kern w:val="2"/>
                <w:sz w:val="24"/>
                <w:szCs w:val="24"/>
                <w:highlight w:val="none"/>
              </w:rPr>
              <w:t>相应解决措施的可行</w:t>
            </w:r>
            <w:r>
              <w:rPr>
                <w:rFonts w:hint="eastAsia" w:ascii="宋体" w:hAnsi="宋体" w:eastAsia="宋体" w:cs="宋体"/>
                <w:color w:val="auto"/>
                <w:kern w:val="2"/>
                <w:sz w:val="24"/>
                <w:szCs w:val="24"/>
                <w:highlight w:val="none"/>
                <w:lang w:val="en-US" w:eastAsia="zh-CN"/>
              </w:rPr>
              <w:t>性、合理性</w:t>
            </w:r>
            <w:r>
              <w:rPr>
                <w:rFonts w:hint="eastAsia" w:ascii="宋体" w:hAnsi="宋体" w:eastAsia="宋体" w:cs="宋体"/>
                <w:color w:val="auto"/>
                <w:kern w:val="2"/>
                <w:sz w:val="24"/>
                <w:szCs w:val="24"/>
                <w:highlight w:val="none"/>
              </w:rPr>
              <w:t>进行打分。</w:t>
            </w:r>
          </w:p>
        </w:tc>
        <w:tc>
          <w:tcPr>
            <w:tcW w:w="745" w:type="dxa"/>
            <w:tcBorders>
              <w:left w:val="single" w:color="auto" w:sz="4" w:space="0"/>
              <w:bottom w:val="single" w:color="auto" w:sz="4" w:space="0"/>
              <w:right w:val="single" w:color="auto" w:sz="4" w:space="0"/>
            </w:tcBorders>
            <w:noWrap/>
            <w:vAlign w:val="center"/>
          </w:tcPr>
          <w:p w14:paraId="6D15A5DF">
            <w:pPr>
              <w:ind w:left="0" w:leftChars="0" w:firstLine="0" w:firstLineChars="0"/>
              <w:jc w:val="center"/>
              <w:rPr>
                <w:rFonts w:hint="default" w:ascii="宋体" w:hAnsi="宋体" w:eastAsia="宋体" w:cs="宋体"/>
                <w:color w:val="auto"/>
                <w:kern w:val="0"/>
                <w:sz w:val="24"/>
                <w:szCs w:val="21"/>
                <w:highlight w:val="none"/>
                <w:lang w:eastAsia="zh-CN"/>
              </w:rPr>
            </w:pPr>
            <w:r>
              <w:rPr>
                <w:rFonts w:hint="eastAsia" w:ascii="宋体" w:hAnsi="宋体" w:eastAsia="宋体" w:cs="宋体"/>
                <w:color w:val="auto"/>
                <w:kern w:val="0"/>
                <w:sz w:val="24"/>
                <w:szCs w:val="21"/>
                <w:highlight w:val="none"/>
                <w:lang w:val="en-US" w:eastAsia="zh-CN"/>
              </w:rPr>
              <w:t>4</w:t>
            </w:r>
          </w:p>
        </w:tc>
      </w:tr>
      <w:tr w14:paraId="51ED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0" w:type="dxa"/>
            <w:vMerge w:val="continue"/>
            <w:tcBorders>
              <w:left w:val="single" w:color="auto" w:sz="4" w:space="0"/>
              <w:right w:val="single" w:color="auto" w:sz="4" w:space="0"/>
            </w:tcBorders>
            <w:noWrap/>
            <w:vAlign w:val="center"/>
          </w:tcPr>
          <w:p w14:paraId="2F36FABB">
            <w:pPr>
              <w:spacing w:line="360" w:lineRule="auto"/>
              <w:jc w:val="center"/>
              <w:rPr>
                <w:rFonts w:hint="eastAsia" w:ascii="宋体" w:hAnsi="宋体" w:eastAsia="宋体" w:cs="Times New Roman"/>
                <w:color w:val="auto"/>
                <w:kern w:val="2"/>
                <w:sz w:val="24"/>
                <w:szCs w:val="21"/>
                <w:highlight w:val="none"/>
                <w:lang w:val="en-US" w:eastAsia="zh-CN"/>
              </w:rPr>
            </w:pPr>
          </w:p>
        </w:tc>
        <w:tc>
          <w:tcPr>
            <w:tcW w:w="1196" w:type="dxa"/>
            <w:vMerge w:val="restart"/>
            <w:tcBorders>
              <w:left w:val="single" w:color="auto" w:sz="4" w:space="0"/>
              <w:right w:val="single" w:color="auto" w:sz="4" w:space="0"/>
            </w:tcBorders>
            <w:noWrap/>
            <w:vAlign w:val="center"/>
          </w:tcPr>
          <w:p w14:paraId="7AA67B6B">
            <w:pPr>
              <w:ind w:left="0" w:leftChars="0" w:firstLine="0" w:firstLineChars="0"/>
              <w:jc w:val="center"/>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rPr>
              <w:t>安保服务理念</w:t>
            </w:r>
          </w:p>
        </w:tc>
        <w:tc>
          <w:tcPr>
            <w:tcW w:w="5595" w:type="dxa"/>
            <w:tcBorders>
              <w:top w:val="single" w:color="auto" w:sz="4" w:space="0"/>
              <w:left w:val="single" w:color="auto" w:sz="4" w:space="0"/>
              <w:bottom w:val="single" w:color="auto" w:sz="4" w:space="0"/>
              <w:right w:val="single" w:color="auto" w:sz="4" w:space="0"/>
            </w:tcBorders>
            <w:noWrap/>
            <w:vAlign w:val="center"/>
          </w:tcPr>
          <w:p w14:paraId="580233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安保</w:t>
            </w:r>
            <w:r>
              <w:rPr>
                <w:rFonts w:hint="eastAsia" w:ascii="宋体" w:hAnsi="宋体" w:eastAsia="宋体" w:cs="宋体"/>
                <w:color w:val="auto"/>
                <w:kern w:val="2"/>
                <w:sz w:val="24"/>
                <w:szCs w:val="24"/>
                <w:highlight w:val="none"/>
              </w:rPr>
              <w:t>服务特点提出合理的保安服务理念进行打分。</w:t>
            </w:r>
          </w:p>
        </w:tc>
        <w:tc>
          <w:tcPr>
            <w:tcW w:w="745" w:type="dxa"/>
            <w:tcBorders>
              <w:left w:val="single" w:color="auto" w:sz="4" w:space="0"/>
              <w:bottom w:val="single" w:color="auto" w:sz="4" w:space="0"/>
              <w:right w:val="single" w:color="auto" w:sz="4" w:space="0"/>
            </w:tcBorders>
            <w:noWrap/>
            <w:vAlign w:val="center"/>
          </w:tcPr>
          <w:p w14:paraId="6345FC68">
            <w:pPr>
              <w:ind w:left="0" w:leftChars="0"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rPr>
              <w:t>3</w:t>
            </w:r>
          </w:p>
        </w:tc>
      </w:tr>
      <w:tr w14:paraId="62E0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0" w:type="dxa"/>
            <w:vMerge w:val="continue"/>
            <w:tcBorders>
              <w:left w:val="single" w:color="auto" w:sz="4" w:space="0"/>
              <w:right w:val="single" w:color="auto" w:sz="4" w:space="0"/>
            </w:tcBorders>
            <w:noWrap/>
            <w:vAlign w:val="center"/>
          </w:tcPr>
          <w:p w14:paraId="6ECE670E">
            <w:pPr>
              <w:spacing w:line="360" w:lineRule="auto"/>
              <w:jc w:val="center"/>
              <w:rPr>
                <w:rFonts w:hint="eastAsia" w:ascii="宋体" w:hAnsi="宋体" w:eastAsia="宋体" w:cs="Times New Roman"/>
                <w:color w:val="auto"/>
                <w:kern w:val="2"/>
                <w:sz w:val="24"/>
                <w:szCs w:val="21"/>
                <w:highlight w:val="none"/>
                <w:lang w:val="en-US" w:eastAsia="zh-CN"/>
              </w:rPr>
            </w:pPr>
          </w:p>
        </w:tc>
        <w:tc>
          <w:tcPr>
            <w:tcW w:w="1196" w:type="dxa"/>
            <w:vMerge w:val="continue"/>
            <w:tcBorders>
              <w:left w:val="single" w:color="auto" w:sz="4" w:space="0"/>
              <w:right w:val="single" w:color="auto" w:sz="4" w:space="0"/>
            </w:tcBorders>
            <w:noWrap/>
            <w:vAlign w:val="center"/>
          </w:tcPr>
          <w:p w14:paraId="5A1C8987">
            <w:pPr>
              <w:ind w:left="0" w:leftChars="0" w:firstLine="0" w:firstLineChars="0"/>
              <w:jc w:val="center"/>
              <w:rPr>
                <w:rFonts w:hint="eastAsia" w:ascii="宋体" w:hAnsi="宋体" w:eastAsia="宋体" w:cs="Times New Roman"/>
                <w:color w:val="auto"/>
                <w:kern w:val="2"/>
                <w:sz w:val="24"/>
                <w:szCs w:val="21"/>
                <w:highlight w:val="none"/>
                <w:lang w:val="en-US" w:eastAsia="zh-CN"/>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362196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安保</w:t>
            </w:r>
            <w:r>
              <w:rPr>
                <w:rFonts w:hint="eastAsia" w:ascii="宋体" w:hAnsi="宋体" w:eastAsia="宋体" w:cs="宋体"/>
                <w:color w:val="auto"/>
                <w:kern w:val="2"/>
                <w:sz w:val="24"/>
                <w:szCs w:val="24"/>
                <w:highlight w:val="none"/>
              </w:rPr>
              <w:t>服务特点提出服务定位、目标进行打分。</w:t>
            </w:r>
          </w:p>
        </w:tc>
        <w:tc>
          <w:tcPr>
            <w:tcW w:w="745" w:type="dxa"/>
            <w:tcBorders>
              <w:left w:val="single" w:color="auto" w:sz="4" w:space="0"/>
              <w:bottom w:val="single" w:color="auto" w:sz="4" w:space="0"/>
              <w:right w:val="single" w:color="auto" w:sz="4" w:space="0"/>
            </w:tcBorders>
            <w:noWrap/>
            <w:vAlign w:val="center"/>
          </w:tcPr>
          <w:p w14:paraId="27BE110E">
            <w:pPr>
              <w:ind w:left="0" w:leftChars="0" w:firstLine="0" w:firstLineChars="0"/>
              <w:jc w:val="center"/>
              <w:rPr>
                <w:rFonts w:hint="default"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3</w:t>
            </w:r>
          </w:p>
        </w:tc>
      </w:tr>
      <w:tr w14:paraId="2A2E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right w:val="single" w:color="auto" w:sz="4" w:space="0"/>
            </w:tcBorders>
            <w:noWrap/>
            <w:vAlign w:val="center"/>
          </w:tcPr>
          <w:p w14:paraId="34D16032">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vMerge w:val="restart"/>
            <w:tcBorders>
              <w:left w:val="single" w:color="auto" w:sz="4" w:space="0"/>
              <w:right w:val="single" w:color="auto" w:sz="4" w:space="0"/>
            </w:tcBorders>
            <w:noWrap/>
            <w:vAlign w:val="center"/>
          </w:tcPr>
          <w:p w14:paraId="0F10F05A">
            <w:pPr>
              <w:ind w:left="0" w:leftChars="0" w:firstLine="0" w:firstLineChars="0"/>
              <w:jc w:val="center"/>
              <w:rPr>
                <w:rFonts w:hint="default" w:ascii="宋体" w:hAnsi="宋体" w:eastAsia="宋体" w:cs="Times New Roman"/>
                <w:color w:val="auto"/>
                <w:kern w:val="0"/>
                <w:sz w:val="24"/>
                <w:szCs w:val="21"/>
                <w:highlight w:val="none"/>
                <w:lang w:val="en-US" w:eastAsia="zh-CN"/>
              </w:rPr>
            </w:pPr>
            <w:r>
              <w:rPr>
                <w:rFonts w:hint="eastAsia" w:ascii="宋体" w:hAnsi="宋体" w:eastAsia="宋体" w:cs="Times New Roman"/>
                <w:color w:val="auto"/>
                <w:kern w:val="2"/>
                <w:sz w:val="24"/>
                <w:szCs w:val="21"/>
                <w:highlight w:val="none"/>
                <w:lang w:val="en-US" w:eastAsia="zh-CN"/>
              </w:rPr>
              <w:t>安保服务方案</w:t>
            </w:r>
          </w:p>
        </w:tc>
        <w:tc>
          <w:tcPr>
            <w:tcW w:w="5595" w:type="dxa"/>
            <w:tcBorders>
              <w:top w:val="single" w:color="auto" w:sz="4" w:space="0"/>
              <w:left w:val="single" w:color="auto" w:sz="4" w:space="0"/>
              <w:bottom w:val="single" w:color="auto" w:sz="4" w:space="0"/>
              <w:right w:val="single" w:color="auto" w:sz="4" w:space="0"/>
            </w:tcBorders>
            <w:noWrap/>
            <w:vAlign w:val="center"/>
          </w:tcPr>
          <w:p w14:paraId="3C20F6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安保</w:t>
            </w:r>
            <w:r>
              <w:rPr>
                <w:rFonts w:hint="eastAsia" w:ascii="宋体" w:hAnsi="宋体" w:eastAsia="宋体" w:cs="宋体"/>
                <w:color w:val="auto"/>
                <w:kern w:val="2"/>
                <w:sz w:val="24"/>
                <w:szCs w:val="24"/>
                <w:highlight w:val="none"/>
              </w:rPr>
              <w:t>服务区域内巡逻方案</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合理性、完整性、可实施性</w:t>
            </w:r>
            <w:r>
              <w:rPr>
                <w:rFonts w:hint="eastAsia" w:ascii="宋体" w:hAnsi="宋体" w:eastAsia="宋体" w:cs="宋体"/>
                <w:color w:val="auto"/>
                <w:kern w:val="2"/>
                <w:sz w:val="24"/>
                <w:szCs w:val="24"/>
                <w:highlight w:val="none"/>
                <w:lang w:val="en-US" w:eastAsia="zh-CN"/>
              </w:rPr>
              <w:t>进行打分</w:t>
            </w:r>
            <w:r>
              <w:rPr>
                <w:rFonts w:hint="eastAsia" w:ascii="宋体" w:hAnsi="宋体" w:eastAsia="宋体" w:cs="宋体"/>
                <w:color w:val="auto"/>
                <w:kern w:val="2"/>
                <w:sz w:val="24"/>
                <w:szCs w:val="24"/>
                <w:highlight w:val="none"/>
              </w:rPr>
              <w:t>。</w:t>
            </w:r>
          </w:p>
        </w:tc>
        <w:tc>
          <w:tcPr>
            <w:tcW w:w="745" w:type="dxa"/>
            <w:tcBorders>
              <w:left w:val="single" w:color="auto" w:sz="4" w:space="0"/>
              <w:bottom w:val="single" w:color="auto" w:sz="4" w:space="0"/>
              <w:right w:val="single" w:color="auto" w:sz="4" w:space="0"/>
            </w:tcBorders>
            <w:noWrap/>
            <w:vAlign w:val="center"/>
          </w:tcPr>
          <w:p w14:paraId="2DAFAF27">
            <w:pPr>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1"/>
                <w:highlight w:val="none"/>
                <w:lang w:val="en-US" w:eastAsia="zh-CN"/>
              </w:rPr>
              <w:t>4</w:t>
            </w:r>
          </w:p>
        </w:tc>
      </w:tr>
      <w:tr w14:paraId="09DB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right w:val="single" w:color="auto" w:sz="4" w:space="0"/>
            </w:tcBorders>
            <w:noWrap/>
            <w:vAlign w:val="center"/>
          </w:tcPr>
          <w:p w14:paraId="57EEA971">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vMerge w:val="continue"/>
            <w:tcBorders>
              <w:left w:val="single" w:color="auto" w:sz="4" w:space="0"/>
              <w:right w:val="single" w:color="auto" w:sz="4" w:space="0"/>
            </w:tcBorders>
            <w:noWrap/>
            <w:vAlign w:val="center"/>
          </w:tcPr>
          <w:p w14:paraId="342C58C8">
            <w:pPr>
              <w:jc w:val="center"/>
              <w:rPr>
                <w:rFonts w:hint="eastAsia" w:ascii="宋体" w:hAnsi="宋体" w:eastAsia="宋体" w:cs="Times New Roman"/>
                <w:color w:val="auto"/>
                <w:kern w:val="2"/>
                <w:sz w:val="24"/>
                <w:szCs w:val="21"/>
                <w:highlight w:val="none"/>
                <w:lang w:val="en-US" w:eastAsia="zh-CN"/>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65BA59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安保</w:t>
            </w:r>
            <w:r>
              <w:rPr>
                <w:rFonts w:hint="eastAsia" w:ascii="宋体" w:hAnsi="宋体" w:eastAsia="宋体" w:cs="宋体"/>
                <w:color w:val="auto"/>
                <w:kern w:val="2"/>
                <w:sz w:val="24"/>
                <w:szCs w:val="24"/>
                <w:highlight w:val="none"/>
              </w:rPr>
              <w:t>服务区域内</w:t>
            </w:r>
            <w:r>
              <w:rPr>
                <w:rFonts w:hint="eastAsia" w:ascii="宋体" w:hAnsi="宋体" w:eastAsia="宋体" w:cs="宋体"/>
                <w:color w:val="auto"/>
                <w:kern w:val="2"/>
                <w:sz w:val="24"/>
                <w:szCs w:val="24"/>
                <w:highlight w:val="none"/>
                <w:lang w:val="en-US" w:eastAsia="zh-CN"/>
              </w:rPr>
              <w:t>门诊、急诊安保</w:t>
            </w:r>
            <w:r>
              <w:rPr>
                <w:rFonts w:hint="eastAsia" w:ascii="宋体" w:hAnsi="宋体" w:eastAsia="宋体" w:cs="宋体"/>
                <w:color w:val="auto"/>
                <w:kern w:val="2"/>
                <w:sz w:val="24"/>
                <w:szCs w:val="24"/>
                <w:highlight w:val="none"/>
              </w:rPr>
              <w:t>方案</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合理性、完整性、可实施性</w:t>
            </w:r>
            <w:r>
              <w:rPr>
                <w:rFonts w:hint="eastAsia" w:ascii="宋体" w:hAnsi="宋体" w:eastAsia="宋体" w:cs="宋体"/>
                <w:color w:val="auto"/>
                <w:kern w:val="2"/>
                <w:sz w:val="24"/>
                <w:szCs w:val="24"/>
                <w:highlight w:val="none"/>
                <w:lang w:val="en-US" w:eastAsia="zh-CN"/>
              </w:rPr>
              <w:t>进行打分</w:t>
            </w:r>
            <w:r>
              <w:rPr>
                <w:rFonts w:hint="eastAsia" w:ascii="宋体" w:hAnsi="宋体" w:eastAsia="宋体" w:cs="宋体"/>
                <w:color w:val="auto"/>
                <w:kern w:val="2"/>
                <w:sz w:val="24"/>
                <w:szCs w:val="24"/>
                <w:highlight w:val="none"/>
              </w:rPr>
              <w:t>。</w:t>
            </w:r>
          </w:p>
        </w:tc>
        <w:tc>
          <w:tcPr>
            <w:tcW w:w="745" w:type="dxa"/>
            <w:tcBorders>
              <w:left w:val="single" w:color="auto" w:sz="4" w:space="0"/>
              <w:bottom w:val="single" w:color="auto" w:sz="4" w:space="0"/>
              <w:right w:val="single" w:color="auto" w:sz="4" w:space="0"/>
            </w:tcBorders>
            <w:noWrap/>
            <w:vAlign w:val="center"/>
          </w:tcPr>
          <w:p w14:paraId="2FBD4633">
            <w:pPr>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1"/>
                <w:highlight w:val="none"/>
                <w:lang w:val="en-US" w:eastAsia="zh-CN"/>
              </w:rPr>
              <w:t>4</w:t>
            </w:r>
          </w:p>
        </w:tc>
      </w:tr>
      <w:tr w14:paraId="06A1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right w:val="single" w:color="auto" w:sz="4" w:space="0"/>
            </w:tcBorders>
            <w:noWrap/>
            <w:vAlign w:val="center"/>
          </w:tcPr>
          <w:p w14:paraId="0063721F">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vMerge w:val="continue"/>
            <w:tcBorders>
              <w:left w:val="single" w:color="auto" w:sz="4" w:space="0"/>
              <w:right w:val="single" w:color="auto" w:sz="4" w:space="0"/>
            </w:tcBorders>
            <w:noWrap/>
            <w:vAlign w:val="center"/>
          </w:tcPr>
          <w:p w14:paraId="7361C092">
            <w:pPr>
              <w:jc w:val="center"/>
              <w:rPr>
                <w:rFonts w:hint="eastAsia" w:ascii="宋体" w:hAnsi="宋体" w:eastAsia="宋体" w:cs="Times New Roman"/>
                <w:color w:val="auto"/>
                <w:kern w:val="2"/>
                <w:sz w:val="24"/>
                <w:szCs w:val="21"/>
                <w:highlight w:val="none"/>
                <w:lang w:val="en-US" w:eastAsia="zh-CN"/>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34528A62">
            <w:pPr>
              <w:spacing w:line="360" w:lineRule="auto"/>
              <w:jc w:val="left"/>
              <w:rPr>
                <w:rFonts w:hint="eastAsia" w:ascii="宋体" w:hAnsi="宋体" w:eastAsia="宋体" w:cs="Times New Roman"/>
                <w:color w:val="auto"/>
                <w:kern w:val="2"/>
                <w:sz w:val="24"/>
                <w:szCs w:val="21"/>
                <w:highlight w:val="none"/>
                <w:lang w:val="en-US" w:eastAsia="zh-CN"/>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安保</w:t>
            </w:r>
            <w:r>
              <w:rPr>
                <w:rFonts w:hint="eastAsia" w:ascii="宋体" w:hAnsi="宋体" w:eastAsia="宋体" w:cs="宋体"/>
                <w:color w:val="auto"/>
                <w:kern w:val="2"/>
                <w:sz w:val="24"/>
                <w:szCs w:val="24"/>
                <w:highlight w:val="none"/>
              </w:rPr>
              <w:t>服务区域内</w:t>
            </w:r>
            <w:r>
              <w:rPr>
                <w:rFonts w:hint="eastAsia" w:ascii="宋体" w:hAnsi="宋体" w:eastAsia="宋体" w:cs="宋体"/>
                <w:color w:val="auto"/>
                <w:kern w:val="2"/>
                <w:sz w:val="24"/>
                <w:szCs w:val="24"/>
                <w:highlight w:val="none"/>
                <w:lang w:val="en-US" w:eastAsia="zh-CN"/>
              </w:rPr>
              <w:t>消防管理</w:t>
            </w:r>
            <w:r>
              <w:rPr>
                <w:rFonts w:hint="eastAsia" w:ascii="宋体" w:hAnsi="宋体" w:eastAsia="宋体" w:cs="宋体"/>
                <w:color w:val="auto"/>
                <w:kern w:val="2"/>
                <w:sz w:val="24"/>
                <w:szCs w:val="24"/>
                <w:highlight w:val="none"/>
              </w:rPr>
              <w:t>方案</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合理性、完整性、可实施性</w:t>
            </w:r>
            <w:r>
              <w:rPr>
                <w:rFonts w:hint="eastAsia" w:ascii="宋体" w:hAnsi="宋体" w:eastAsia="宋体" w:cs="宋体"/>
                <w:color w:val="auto"/>
                <w:kern w:val="2"/>
                <w:sz w:val="24"/>
                <w:szCs w:val="24"/>
                <w:highlight w:val="none"/>
                <w:lang w:val="en-US" w:eastAsia="zh-CN"/>
              </w:rPr>
              <w:t>进行打分</w:t>
            </w:r>
            <w:r>
              <w:rPr>
                <w:rFonts w:hint="eastAsia" w:ascii="宋体" w:hAnsi="宋体" w:eastAsia="宋体" w:cs="宋体"/>
                <w:color w:val="auto"/>
                <w:kern w:val="2"/>
                <w:sz w:val="24"/>
                <w:szCs w:val="24"/>
                <w:highlight w:val="none"/>
              </w:rPr>
              <w:t>。</w:t>
            </w:r>
          </w:p>
        </w:tc>
        <w:tc>
          <w:tcPr>
            <w:tcW w:w="745" w:type="dxa"/>
            <w:tcBorders>
              <w:left w:val="single" w:color="auto" w:sz="4" w:space="0"/>
              <w:bottom w:val="single" w:color="auto" w:sz="4" w:space="0"/>
              <w:right w:val="single" w:color="auto" w:sz="4" w:space="0"/>
            </w:tcBorders>
            <w:noWrap/>
            <w:vAlign w:val="center"/>
          </w:tcPr>
          <w:p w14:paraId="5395BA85">
            <w:pPr>
              <w:ind w:left="0" w:leftChars="0" w:firstLine="0" w:firstLineChars="0"/>
              <w:jc w:val="center"/>
              <w:rPr>
                <w:rFonts w:hint="default" w:ascii="宋体" w:hAnsi="宋体" w:eastAsia="宋体" w:cs="宋体"/>
                <w:color w:val="auto"/>
                <w:kern w:val="0"/>
                <w:sz w:val="24"/>
                <w:szCs w:val="24"/>
                <w:highlight w:val="none"/>
                <w:lang w:eastAsia="zh-CN" w:bidi="ar-SA"/>
              </w:rPr>
            </w:pPr>
            <w:r>
              <w:rPr>
                <w:rFonts w:hint="eastAsia" w:ascii="宋体" w:hAnsi="宋体" w:eastAsia="宋体" w:cs="宋体"/>
                <w:color w:val="auto"/>
                <w:kern w:val="0"/>
                <w:sz w:val="24"/>
                <w:szCs w:val="21"/>
                <w:highlight w:val="none"/>
                <w:lang w:val="en-US" w:eastAsia="zh-CN"/>
              </w:rPr>
              <w:t>4</w:t>
            </w:r>
          </w:p>
        </w:tc>
      </w:tr>
      <w:tr w14:paraId="0334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right w:val="single" w:color="auto" w:sz="4" w:space="0"/>
            </w:tcBorders>
            <w:noWrap/>
            <w:vAlign w:val="center"/>
          </w:tcPr>
          <w:p w14:paraId="7F5C6FD7">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vMerge w:val="continue"/>
            <w:tcBorders>
              <w:left w:val="single" w:color="auto" w:sz="4" w:space="0"/>
              <w:right w:val="single" w:color="auto" w:sz="4" w:space="0"/>
            </w:tcBorders>
            <w:noWrap/>
            <w:vAlign w:val="center"/>
          </w:tcPr>
          <w:p w14:paraId="67A8BB09">
            <w:pPr>
              <w:jc w:val="center"/>
              <w:rPr>
                <w:rFonts w:hint="eastAsia" w:ascii="宋体" w:hAnsi="宋体" w:eastAsia="宋体" w:cs="Times New Roman"/>
                <w:color w:val="auto"/>
                <w:kern w:val="2"/>
                <w:sz w:val="24"/>
                <w:szCs w:val="21"/>
                <w:highlight w:val="none"/>
                <w:lang w:val="en-US" w:eastAsia="zh-CN"/>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43ED48D4">
            <w:pPr>
              <w:spacing w:line="360" w:lineRule="auto"/>
              <w:jc w:val="left"/>
              <w:rPr>
                <w:rFonts w:hint="eastAsia" w:ascii="宋体" w:hAnsi="宋体" w:eastAsia="宋体" w:cs="Times New Roman"/>
                <w:color w:val="auto"/>
                <w:kern w:val="2"/>
                <w:sz w:val="24"/>
                <w:szCs w:val="21"/>
                <w:highlight w:val="none"/>
                <w:lang w:val="en-US" w:eastAsia="zh-CN"/>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安保</w:t>
            </w:r>
            <w:r>
              <w:rPr>
                <w:rFonts w:hint="eastAsia" w:ascii="宋体" w:hAnsi="宋体" w:eastAsia="宋体" w:cs="宋体"/>
                <w:color w:val="auto"/>
                <w:kern w:val="2"/>
                <w:sz w:val="24"/>
                <w:szCs w:val="24"/>
                <w:highlight w:val="none"/>
              </w:rPr>
              <w:t>服务区域内</w:t>
            </w:r>
            <w:r>
              <w:rPr>
                <w:rFonts w:hint="eastAsia" w:ascii="宋体" w:hAnsi="宋体" w:eastAsia="宋体" w:cs="宋体"/>
                <w:color w:val="auto"/>
                <w:kern w:val="2"/>
                <w:sz w:val="24"/>
                <w:szCs w:val="24"/>
                <w:highlight w:val="none"/>
                <w:lang w:val="en-US" w:eastAsia="zh-CN"/>
              </w:rPr>
              <w:t>警务室、外场车辆管理安保</w:t>
            </w:r>
            <w:r>
              <w:rPr>
                <w:rFonts w:hint="eastAsia" w:ascii="宋体" w:hAnsi="宋体" w:eastAsia="宋体" w:cs="宋体"/>
                <w:color w:val="auto"/>
                <w:kern w:val="2"/>
                <w:sz w:val="24"/>
                <w:szCs w:val="24"/>
                <w:highlight w:val="none"/>
              </w:rPr>
              <w:t>方案</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合理性、完整性、可实施性</w:t>
            </w:r>
            <w:r>
              <w:rPr>
                <w:rFonts w:hint="eastAsia" w:ascii="宋体" w:hAnsi="宋体" w:eastAsia="宋体" w:cs="宋体"/>
                <w:color w:val="auto"/>
                <w:kern w:val="2"/>
                <w:sz w:val="24"/>
                <w:szCs w:val="24"/>
                <w:highlight w:val="none"/>
                <w:lang w:val="en-US" w:eastAsia="zh-CN"/>
              </w:rPr>
              <w:t>进行打分</w:t>
            </w:r>
            <w:r>
              <w:rPr>
                <w:rFonts w:hint="eastAsia" w:ascii="宋体" w:hAnsi="宋体" w:eastAsia="宋体" w:cs="宋体"/>
                <w:color w:val="auto"/>
                <w:kern w:val="2"/>
                <w:sz w:val="24"/>
                <w:szCs w:val="24"/>
                <w:highlight w:val="none"/>
              </w:rPr>
              <w:t>。</w:t>
            </w:r>
          </w:p>
        </w:tc>
        <w:tc>
          <w:tcPr>
            <w:tcW w:w="745" w:type="dxa"/>
            <w:tcBorders>
              <w:left w:val="single" w:color="auto" w:sz="4" w:space="0"/>
              <w:bottom w:val="single" w:color="auto" w:sz="4" w:space="0"/>
              <w:right w:val="single" w:color="auto" w:sz="4" w:space="0"/>
            </w:tcBorders>
            <w:noWrap/>
            <w:vAlign w:val="center"/>
          </w:tcPr>
          <w:p w14:paraId="17F73DF0">
            <w:pPr>
              <w:ind w:left="0" w:leftChars="0" w:firstLine="0" w:firstLineChars="0"/>
              <w:jc w:val="center"/>
              <w:rPr>
                <w:rFonts w:hint="default" w:ascii="宋体" w:hAnsi="宋体" w:eastAsia="宋体" w:cs="宋体"/>
                <w:color w:val="auto"/>
                <w:kern w:val="0"/>
                <w:sz w:val="24"/>
                <w:szCs w:val="21"/>
                <w:highlight w:val="none"/>
                <w:lang w:eastAsia="zh-CN"/>
              </w:rPr>
            </w:pPr>
            <w:r>
              <w:rPr>
                <w:rFonts w:hint="eastAsia" w:ascii="宋体" w:hAnsi="宋体" w:eastAsia="宋体" w:cs="宋体"/>
                <w:color w:val="auto"/>
                <w:kern w:val="0"/>
                <w:sz w:val="24"/>
                <w:szCs w:val="21"/>
                <w:highlight w:val="none"/>
                <w:lang w:val="en-US" w:eastAsia="zh-CN"/>
              </w:rPr>
              <w:t>4</w:t>
            </w:r>
          </w:p>
        </w:tc>
      </w:tr>
      <w:tr w14:paraId="0CED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right w:val="single" w:color="auto" w:sz="4" w:space="0"/>
            </w:tcBorders>
            <w:noWrap/>
            <w:vAlign w:val="center"/>
          </w:tcPr>
          <w:p w14:paraId="039474C6">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vMerge w:val="continue"/>
            <w:tcBorders>
              <w:left w:val="single" w:color="auto" w:sz="4" w:space="0"/>
              <w:right w:val="single" w:color="auto" w:sz="4" w:space="0"/>
            </w:tcBorders>
            <w:noWrap/>
            <w:vAlign w:val="center"/>
          </w:tcPr>
          <w:p w14:paraId="47E8FAB0">
            <w:pPr>
              <w:jc w:val="center"/>
              <w:rPr>
                <w:rFonts w:hint="eastAsia" w:ascii="宋体" w:hAnsi="宋体" w:eastAsia="宋体" w:cs="Times New Roman"/>
                <w:color w:val="auto"/>
                <w:kern w:val="2"/>
                <w:sz w:val="24"/>
                <w:szCs w:val="21"/>
                <w:highlight w:val="none"/>
                <w:lang w:val="en-US" w:eastAsia="zh-CN"/>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34C8097A">
            <w:pPr>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整体安保保障措施</w:t>
            </w:r>
            <w:r>
              <w:rPr>
                <w:rFonts w:hint="eastAsia" w:ascii="宋体" w:hAnsi="宋体" w:cs="宋体"/>
                <w:color w:val="auto"/>
                <w:kern w:val="2"/>
                <w:sz w:val="24"/>
                <w:szCs w:val="24"/>
                <w:highlight w:val="none"/>
                <w:lang w:val="en-US" w:eastAsia="zh-CN"/>
              </w:rPr>
              <w:t>方案的可行性</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合理性</w:t>
            </w:r>
            <w:r>
              <w:rPr>
                <w:rFonts w:hint="eastAsia" w:ascii="宋体" w:hAnsi="宋体" w:eastAsia="宋体" w:cs="宋体"/>
                <w:color w:val="auto"/>
                <w:kern w:val="2"/>
                <w:sz w:val="24"/>
                <w:szCs w:val="24"/>
                <w:highlight w:val="none"/>
                <w:lang w:val="en-US" w:eastAsia="zh-CN"/>
              </w:rPr>
              <w:t>等情况进行打分。</w:t>
            </w:r>
          </w:p>
        </w:tc>
        <w:tc>
          <w:tcPr>
            <w:tcW w:w="745" w:type="dxa"/>
            <w:tcBorders>
              <w:left w:val="single" w:color="auto" w:sz="4" w:space="0"/>
              <w:bottom w:val="single" w:color="auto" w:sz="4" w:space="0"/>
              <w:right w:val="single" w:color="auto" w:sz="4" w:space="0"/>
            </w:tcBorders>
            <w:noWrap/>
            <w:vAlign w:val="center"/>
          </w:tcPr>
          <w:p w14:paraId="4457A282">
            <w:pPr>
              <w:ind w:left="0" w:leftChars="0" w:firstLine="0" w:firstLineChars="0"/>
              <w:jc w:val="center"/>
              <w:rPr>
                <w:rFonts w:hint="default"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4</w:t>
            </w:r>
          </w:p>
        </w:tc>
      </w:tr>
      <w:tr w14:paraId="2EE2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right w:val="single" w:color="auto" w:sz="4" w:space="0"/>
            </w:tcBorders>
            <w:noWrap/>
            <w:vAlign w:val="center"/>
          </w:tcPr>
          <w:p w14:paraId="0040C512">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tcBorders>
              <w:left w:val="single" w:color="auto" w:sz="4" w:space="0"/>
              <w:right w:val="single" w:color="auto" w:sz="4" w:space="0"/>
            </w:tcBorders>
            <w:noWrap/>
            <w:vAlign w:val="center"/>
          </w:tcPr>
          <w:p w14:paraId="16580F3A">
            <w:pPr>
              <w:jc w:val="center"/>
              <w:rPr>
                <w:rFonts w:hint="eastAsia" w:ascii="宋体" w:hAnsi="宋体" w:eastAsia="宋体" w:cs="Times New Roman"/>
                <w:color w:val="auto"/>
                <w:kern w:val="2"/>
                <w:sz w:val="24"/>
                <w:szCs w:val="21"/>
                <w:highlight w:val="none"/>
                <w:lang w:val="en-US" w:eastAsia="zh-CN"/>
              </w:rPr>
            </w:pPr>
            <w:r>
              <w:rPr>
                <w:rFonts w:hint="eastAsia" w:ascii="宋体" w:hAnsi="宋体" w:eastAsia="宋体" w:cs="Times New Roman"/>
                <w:color w:val="auto"/>
                <w:kern w:val="2"/>
                <w:sz w:val="24"/>
                <w:szCs w:val="21"/>
                <w:highlight w:val="none"/>
                <w:lang w:val="en-US" w:eastAsia="zh-CN"/>
              </w:rPr>
              <w:t>安保服务组织架构</w:t>
            </w:r>
          </w:p>
        </w:tc>
        <w:tc>
          <w:tcPr>
            <w:tcW w:w="5595" w:type="dxa"/>
            <w:tcBorders>
              <w:top w:val="single" w:color="auto" w:sz="4" w:space="0"/>
              <w:left w:val="single" w:color="auto" w:sz="4" w:space="0"/>
              <w:bottom w:val="single" w:color="auto" w:sz="4" w:space="0"/>
              <w:right w:val="single" w:color="auto" w:sz="4" w:space="0"/>
            </w:tcBorders>
            <w:noWrap/>
            <w:vAlign w:val="center"/>
          </w:tcPr>
          <w:p w14:paraId="7D72A698">
            <w:pPr>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rPr>
              <w:t>是否具有完善的组织架构及主要管理流程进行打分，内容包括但不限于运作流程图、激励机制、监督机制、信息反馈渠道及处理机制等，管理指标是否承诺达到物业管理标准。</w:t>
            </w:r>
          </w:p>
        </w:tc>
        <w:tc>
          <w:tcPr>
            <w:tcW w:w="745" w:type="dxa"/>
            <w:tcBorders>
              <w:left w:val="single" w:color="auto" w:sz="4" w:space="0"/>
              <w:bottom w:val="single" w:color="auto" w:sz="4" w:space="0"/>
              <w:right w:val="single" w:color="auto" w:sz="4" w:space="0"/>
            </w:tcBorders>
            <w:noWrap/>
            <w:vAlign w:val="center"/>
          </w:tcPr>
          <w:p w14:paraId="0F5ABEE3">
            <w:pPr>
              <w:ind w:left="0" w:leftChars="0" w:firstLine="0" w:firstLineChars="0"/>
              <w:jc w:val="center"/>
              <w:rPr>
                <w:rFonts w:hint="default"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4</w:t>
            </w:r>
          </w:p>
        </w:tc>
      </w:tr>
      <w:tr w14:paraId="50A5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right w:val="single" w:color="auto" w:sz="4" w:space="0"/>
            </w:tcBorders>
            <w:noWrap/>
            <w:vAlign w:val="center"/>
          </w:tcPr>
          <w:p w14:paraId="1A25BE18">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vMerge w:val="restart"/>
            <w:tcBorders>
              <w:left w:val="single" w:color="auto" w:sz="4" w:space="0"/>
              <w:right w:val="single" w:color="auto" w:sz="4" w:space="0"/>
            </w:tcBorders>
            <w:noWrap/>
            <w:vAlign w:val="center"/>
          </w:tcPr>
          <w:p w14:paraId="0B475108">
            <w:pPr>
              <w:ind w:left="0" w:leftChars="0" w:firstLine="0" w:firstLineChars="0"/>
              <w:jc w:val="center"/>
              <w:rPr>
                <w:rFonts w:hint="default" w:ascii="宋体" w:hAnsi="宋体" w:eastAsia="宋体" w:cs="Times New Roman"/>
                <w:color w:val="auto"/>
                <w:kern w:val="2"/>
                <w:sz w:val="24"/>
                <w:szCs w:val="21"/>
                <w:highlight w:val="none"/>
                <w:lang w:val="en-US" w:eastAsia="zh-CN"/>
              </w:rPr>
            </w:pPr>
            <w:r>
              <w:rPr>
                <w:rFonts w:hint="eastAsia" w:ascii="宋体" w:hAnsi="宋体" w:eastAsia="宋体" w:cs="Times New Roman"/>
                <w:color w:val="auto"/>
                <w:kern w:val="2"/>
                <w:sz w:val="24"/>
                <w:szCs w:val="21"/>
                <w:highlight w:val="none"/>
                <w:lang w:val="en-US" w:eastAsia="zh-CN"/>
              </w:rPr>
              <w:t>人员配置</w:t>
            </w:r>
          </w:p>
        </w:tc>
        <w:tc>
          <w:tcPr>
            <w:tcW w:w="5595" w:type="dxa"/>
            <w:tcBorders>
              <w:top w:val="single" w:color="auto" w:sz="4" w:space="0"/>
              <w:left w:val="single" w:color="auto" w:sz="4" w:space="0"/>
              <w:bottom w:val="single" w:color="auto" w:sz="4" w:space="0"/>
              <w:right w:val="single" w:color="auto" w:sz="4" w:space="0"/>
            </w:tcBorders>
            <w:noWrap/>
            <w:vAlign w:val="center"/>
          </w:tcPr>
          <w:p w14:paraId="4A32CDDE">
            <w:pPr>
              <w:spacing w:line="360" w:lineRule="auto"/>
              <w:jc w:val="left"/>
              <w:rPr>
                <w:rFonts w:hint="default" w:ascii="宋体" w:hAnsi="宋体" w:eastAsia="宋体" w:cs="Times New Roman"/>
                <w:color w:val="auto"/>
                <w:kern w:val="2"/>
                <w:sz w:val="24"/>
                <w:szCs w:val="21"/>
                <w:highlight w:val="none"/>
                <w:lang w:val="en-US" w:eastAsia="zh-CN"/>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Times New Roman"/>
                <w:color w:val="auto"/>
                <w:kern w:val="2"/>
                <w:sz w:val="24"/>
                <w:szCs w:val="21"/>
                <w:highlight w:val="none"/>
                <w:lang w:val="en-US" w:eastAsia="zh-CN"/>
              </w:rPr>
              <w:t>拟投入人员的岗位安排、工作分配情况、人员配备合理性、与采购需求的</w:t>
            </w:r>
            <w:r>
              <w:rPr>
                <w:rFonts w:hint="eastAsia" w:ascii="宋体" w:hAnsi="宋体" w:cs="Times New Roman"/>
                <w:color w:val="auto"/>
                <w:kern w:val="2"/>
                <w:sz w:val="24"/>
                <w:szCs w:val="21"/>
                <w:highlight w:val="none"/>
                <w:lang w:val="en-US" w:eastAsia="zh-CN"/>
              </w:rPr>
              <w:t>匹配</w:t>
            </w:r>
            <w:r>
              <w:rPr>
                <w:rFonts w:hint="eastAsia" w:ascii="宋体" w:hAnsi="宋体" w:eastAsia="宋体" w:cs="Times New Roman"/>
                <w:color w:val="auto"/>
                <w:kern w:val="2"/>
                <w:sz w:val="24"/>
                <w:szCs w:val="21"/>
                <w:highlight w:val="none"/>
                <w:lang w:val="en-US" w:eastAsia="zh-CN"/>
              </w:rPr>
              <w:t>情况进行打分。</w:t>
            </w:r>
          </w:p>
        </w:tc>
        <w:tc>
          <w:tcPr>
            <w:tcW w:w="745" w:type="dxa"/>
            <w:tcBorders>
              <w:left w:val="single" w:color="auto" w:sz="4" w:space="0"/>
              <w:bottom w:val="single" w:color="auto" w:sz="4" w:space="0"/>
              <w:right w:val="single" w:color="auto" w:sz="4" w:space="0"/>
            </w:tcBorders>
            <w:noWrap/>
            <w:vAlign w:val="center"/>
          </w:tcPr>
          <w:p w14:paraId="30D2099A">
            <w:pPr>
              <w:ind w:left="0" w:leftChars="0" w:firstLine="0" w:firstLineChars="0"/>
              <w:jc w:val="center"/>
              <w:rPr>
                <w:rFonts w:hint="default"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4</w:t>
            </w:r>
          </w:p>
        </w:tc>
      </w:tr>
      <w:tr w14:paraId="391A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tcBorders>
              <w:left w:val="single" w:color="auto" w:sz="4" w:space="0"/>
              <w:right w:val="single" w:color="auto" w:sz="4" w:space="0"/>
            </w:tcBorders>
            <w:noWrap/>
            <w:vAlign w:val="center"/>
          </w:tcPr>
          <w:p w14:paraId="62493792">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vMerge w:val="continue"/>
            <w:tcBorders>
              <w:left w:val="single" w:color="auto" w:sz="4" w:space="0"/>
              <w:right w:val="single" w:color="auto" w:sz="4" w:space="0"/>
            </w:tcBorders>
            <w:noWrap/>
            <w:vAlign w:val="center"/>
          </w:tcPr>
          <w:p w14:paraId="7EB2A959">
            <w:pPr>
              <w:ind w:left="0" w:leftChars="0" w:firstLine="0" w:firstLineChars="0"/>
              <w:jc w:val="center"/>
              <w:rPr>
                <w:rFonts w:hint="eastAsia" w:ascii="宋体" w:hAnsi="宋体" w:eastAsia="宋体" w:cs="Times New Roman"/>
                <w:color w:val="auto"/>
                <w:kern w:val="2"/>
                <w:sz w:val="24"/>
                <w:szCs w:val="21"/>
                <w:highlight w:val="none"/>
                <w:lang w:val="en-US" w:eastAsia="zh-CN"/>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69D8CCDD">
            <w:pPr>
              <w:spacing w:line="360" w:lineRule="auto"/>
              <w:jc w:val="left"/>
              <w:rPr>
                <w:rFonts w:hint="eastAsia" w:ascii="宋体" w:hAnsi="宋体" w:eastAsia="宋体" w:cs="Times New Roman"/>
                <w:color w:val="auto"/>
                <w:kern w:val="2"/>
                <w:sz w:val="24"/>
                <w:szCs w:val="21"/>
                <w:highlight w:val="none"/>
                <w:lang w:val="en-US" w:eastAsia="zh-CN"/>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Times New Roman"/>
                <w:color w:val="auto"/>
                <w:kern w:val="2"/>
                <w:sz w:val="24"/>
                <w:szCs w:val="21"/>
                <w:highlight w:val="none"/>
                <w:lang w:val="en-US" w:eastAsia="zh-CN"/>
              </w:rPr>
              <w:t>拟投入保安负责人的素质能力[包括证书（如：人社局颁发的保安员二级及以上技师证书）、工作能力、同类项目管理经验等]，需提供相关证明文件、证书扫描件及由投标单位缴纳的社保缴费证明扫描件并加盖公章，无社保不得分。</w:t>
            </w:r>
          </w:p>
        </w:tc>
        <w:tc>
          <w:tcPr>
            <w:tcW w:w="745" w:type="dxa"/>
            <w:tcBorders>
              <w:left w:val="single" w:color="auto" w:sz="4" w:space="0"/>
              <w:bottom w:val="single" w:color="auto" w:sz="4" w:space="0"/>
              <w:right w:val="single" w:color="auto" w:sz="4" w:space="0"/>
            </w:tcBorders>
            <w:noWrap/>
            <w:vAlign w:val="center"/>
          </w:tcPr>
          <w:p w14:paraId="329D9C35">
            <w:pPr>
              <w:ind w:left="0" w:leftChars="0" w:firstLine="0" w:firstLineChars="0"/>
              <w:jc w:val="center"/>
              <w:rPr>
                <w:rFonts w:hint="default"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4</w:t>
            </w:r>
          </w:p>
        </w:tc>
      </w:tr>
      <w:tr w14:paraId="7ECB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left w:val="single" w:color="auto" w:sz="4" w:space="0"/>
              <w:right w:val="single" w:color="auto" w:sz="4" w:space="0"/>
            </w:tcBorders>
            <w:noWrap/>
            <w:vAlign w:val="center"/>
          </w:tcPr>
          <w:p w14:paraId="54D7626E">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vMerge w:val="continue"/>
            <w:tcBorders>
              <w:left w:val="single" w:color="auto" w:sz="4" w:space="0"/>
              <w:right w:val="single" w:color="auto" w:sz="4" w:space="0"/>
            </w:tcBorders>
            <w:noWrap/>
            <w:vAlign w:val="center"/>
          </w:tcPr>
          <w:p w14:paraId="7129037A">
            <w:pPr>
              <w:jc w:val="center"/>
              <w:rPr>
                <w:rFonts w:hint="eastAsia" w:ascii="宋体" w:hAnsi="宋体" w:eastAsia="宋体" w:cs="Times New Roman"/>
                <w:color w:val="auto"/>
                <w:kern w:val="2"/>
                <w:sz w:val="24"/>
                <w:szCs w:val="21"/>
                <w:highlight w:val="none"/>
                <w:lang w:val="en-US" w:eastAsia="zh-CN"/>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5463B343">
            <w:pPr>
              <w:spacing w:line="360" w:lineRule="auto"/>
              <w:jc w:val="left"/>
              <w:rPr>
                <w:rFonts w:hint="eastAsia" w:ascii="宋体" w:hAnsi="宋体" w:eastAsia="宋体" w:cs="Times New Roman"/>
                <w:color w:val="auto"/>
                <w:kern w:val="2"/>
                <w:sz w:val="24"/>
                <w:szCs w:val="21"/>
                <w:highlight w:val="none"/>
                <w:lang w:val="en-US" w:eastAsia="zh-CN"/>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Times New Roman"/>
                <w:color w:val="auto"/>
                <w:kern w:val="2"/>
                <w:sz w:val="24"/>
                <w:szCs w:val="21"/>
                <w:highlight w:val="none"/>
                <w:lang w:val="en-US" w:eastAsia="zh-CN"/>
              </w:rPr>
              <w:t>拟投入本项目的项目组成员（除保安负责人以外）学历、证书、职称、荣誉、工作经验等进行打分，需提供相关证明文件、证书扫描件及由投标单位缴纳的社保缴费证明扫描件并加盖公章，无社保不得分。</w:t>
            </w:r>
          </w:p>
        </w:tc>
        <w:tc>
          <w:tcPr>
            <w:tcW w:w="745" w:type="dxa"/>
            <w:tcBorders>
              <w:left w:val="single" w:color="auto" w:sz="4" w:space="0"/>
              <w:bottom w:val="single" w:color="auto" w:sz="4" w:space="0"/>
              <w:right w:val="single" w:color="auto" w:sz="4" w:space="0"/>
            </w:tcBorders>
            <w:noWrap/>
            <w:vAlign w:val="center"/>
          </w:tcPr>
          <w:p w14:paraId="0A9DB0DB">
            <w:pPr>
              <w:ind w:left="0" w:leftChars="0" w:firstLine="0" w:firstLineChars="0"/>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rPr>
              <w:t>4</w:t>
            </w:r>
          </w:p>
        </w:tc>
      </w:tr>
      <w:tr w14:paraId="7CCD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vMerge w:val="continue"/>
            <w:tcBorders>
              <w:left w:val="single" w:color="auto" w:sz="4" w:space="0"/>
              <w:right w:val="single" w:color="auto" w:sz="4" w:space="0"/>
            </w:tcBorders>
            <w:noWrap/>
            <w:vAlign w:val="center"/>
          </w:tcPr>
          <w:p w14:paraId="65DB43C1">
            <w:pPr>
              <w:autoSpaceDE w:val="0"/>
              <w:autoSpaceDN w:val="0"/>
              <w:adjustRightInd w:val="0"/>
              <w:jc w:val="center"/>
              <w:textAlignment w:val="baseline"/>
              <w:rPr>
                <w:rFonts w:ascii="Times New Roman" w:hAnsi="Times New Roman" w:eastAsia="宋体" w:cs="Times New Roman"/>
                <w:color w:val="auto"/>
                <w:kern w:val="2"/>
                <w:sz w:val="21"/>
                <w:szCs w:val="21"/>
                <w:highlight w:val="none"/>
              </w:rPr>
            </w:pPr>
          </w:p>
        </w:tc>
        <w:tc>
          <w:tcPr>
            <w:tcW w:w="1196" w:type="dxa"/>
            <w:tcBorders>
              <w:left w:val="single" w:color="auto" w:sz="4" w:space="0"/>
              <w:right w:val="single" w:color="auto" w:sz="4" w:space="0"/>
            </w:tcBorders>
            <w:noWrap/>
            <w:vAlign w:val="center"/>
          </w:tcPr>
          <w:p w14:paraId="6E651A31">
            <w:pPr>
              <w:adjustRightInd w:val="0"/>
              <w:snapToGrid w:val="0"/>
              <w:spacing w:line="240" w:lineRule="auto"/>
              <w:ind w:left="74"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装备配备</w:t>
            </w:r>
            <w:r>
              <w:rPr>
                <w:rFonts w:hint="eastAsia" w:ascii="宋体" w:hAnsi="宋体" w:eastAsia="宋体" w:cs="宋体"/>
                <w:bCs/>
                <w:color w:val="auto"/>
                <w:kern w:val="2"/>
                <w:sz w:val="24"/>
                <w:szCs w:val="24"/>
                <w:highlight w:val="none"/>
              </w:rPr>
              <w:t>方案</w:t>
            </w:r>
          </w:p>
        </w:tc>
        <w:tc>
          <w:tcPr>
            <w:tcW w:w="5595" w:type="dxa"/>
            <w:tcBorders>
              <w:top w:val="single" w:color="auto" w:sz="4" w:space="0"/>
              <w:left w:val="single" w:color="auto" w:sz="4" w:space="0"/>
              <w:bottom w:val="single" w:color="auto" w:sz="4" w:space="0"/>
              <w:right w:val="single" w:color="auto" w:sz="4" w:space="0"/>
            </w:tcBorders>
            <w:noWrap/>
            <w:vAlign w:val="center"/>
          </w:tcPr>
          <w:p w14:paraId="798EA3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lang w:val="en-US" w:eastAsia="zh-CN" w:bidi="ar-SA"/>
              </w:rPr>
              <w:t>拟投入本项目的安保装备的种类、品牌型号、数量等的合理性和适用性进行打分。提供设备发票、说明书等证明资料并加盖公章。</w:t>
            </w:r>
          </w:p>
        </w:tc>
        <w:tc>
          <w:tcPr>
            <w:tcW w:w="745" w:type="dxa"/>
            <w:tcBorders>
              <w:left w:val="single" w:color="auto" w:sz="4" w:space="0"/>
              <w:bottom w:val="single" w:color="auto" w:sz="4" w:space="0"/>
              <w:right w:val="single" w:color="auto" w:sz="4" w:space="0"/>
            </w:tcBorders>
            <w:noWrap/>
            <w:vAlign w:val="center"/>
          </w:tcPr>
          <w:p w14:paraId="0EC0315D">
            <w:pPr>
              <w:spacing w:after="120"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r>
      <w:tr w14:paraId="61E4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10" w:type="dxa"/>
            <w:vMerge w:val="continue"/>
            <w:tcBorders>
              <w:left w:val="single" w:color="auto" w:sz="4" w:space="0"/>
              <w:right w:val="single" w:color="auto" w:sz="4" w:space="0"/>
            </w:tcBorders>
            <w:noWrap/>
            <w:vAlign w:val="center"/>
          </w:tcPr>
          <w:p w14:paraId="43A910CD">
            <w:pPr>
              <w:widowControl/>
              <w:jc w:val="center"/>
              <w:rPr>
                <w:rFonts w:ascii="宋体" w:hAnsi="宋体" w:eastAsia="宋体" w:cs="Times New Roman"/>
                <w:color w:val="auto"/>
                <w:kern w:val="2"/>
                <w:sz w:val="24"/>
                <w:szCs w:val="21"/>
                <w:highlight w:val="none"/>
              </w:rPr>
            </w:pPr>
          </w:p>
        </w:tc>
        <w:tc>
          <w:tcPr>
            <w:tcW w:w="1196" w:type="dxa"/>
            <w:vMerge w:val="restart"/>
            <w:tcBorders>
              <w:left w:val="nil"/>
              <w:right w:val="single" w:color="auto" w:sz="4" w:space="0"/>
            </w:tcBorders>
            <w:noWrap/>
            <w:vAlign w:val="center"/>
          </w:tcPr>
          <w:p w14:paraId="270D197B">
            <w:pPr>
              <w:spacing w:line="312" w:lineRule="auto"/>
              <w:ind w:left="0" w:leftChars="0" w:firstLine="0" w:firstLineChars="0"/>
              <w:jc w:val="center"/>
              <w:rPr>
                <w:rFonts w:hint="eastAsia" w:ascii="宋体" w:hAnsi="宋体" w:eastAsia="宋体" w:cs="Times New Roman"/>
                <w:color w:val="auto"/>
                <w:kern w:val="2"/>
                <w:sz w:val="24"/>
                <w:szCs w:val="21"/>
                <w:highlight w:val="none"/>
              </w:rPr>
            </w:pPr>
            <w:r>
              <w:rPr>
                <w:rFonts w:hint="eastAsia" w:ascii="宋体" w:hAnsi="宋体" w:eastAsia="宋体" w:cs="Times New Roman"/>
                <w:color w:val="auto"/>
                <w:kern w:val="2"/>
                <w:sz w:val="24"/>
                <w:szCs w:val="21"/>
                <w:highlight w:val="none"/>
                <w:lang w:val="en-US" w:eastAsia="zh-CN"/>
              </w:rPr>
              <w:t>应急预案及措施</w:t>
            </w:r>
          </w:p>
        </w:tc>
        <w:tc>
          <w:tcPr>
            <w:tcW w:w="5595" w:type="dxa"/>
            <w:tcBorders>
              <w:top w:val="single" w:color="auto" w:sz="4" w:space="0"/>
              <w:left w:val="single" w:color="auto" w:sz="4" w:space="0"/>
              <w:bottom w:val="single" w:color="auto" w:sz="4" w:space="0"/>
              <w:right w:val="single" w:color="auto" w:sz="4" w:space="0"/>
            </w:tcBorders>
            <w:noWrap/>
            <w:vAlign w:val="center"/>
          </w:tcPr>
          <w:p w14:paraId="3747F7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rPr>
              <w:t>对保安服务区域内安全防范措施、消防、抗台、抗震等紧急预案进行打分</w:t>
            </w:r>
            <w:r>
              <w:rPr>
                <w:rFonts w:hint="eastAsia" w:ascii="宋体" w:hAnsi="宋体" w:eastAsia="宋体" w:cs="宋体"/>
                <w:color w:val="auto"/>
                <w:kern w:val="2"/>
                <w:sz w:val="24"/>
                <w:szCs w:val="24"/>
                <w:highlight w:val="none"/>
                <w:lang w:eastAsia="zh-CN"/>
              </w:rPr>
              <w:t>。</w:t>
            </w:r>
          </w:p>
        </w:tc>
        <w:tc>
          <w:tcPr>
            <w:tcW w:w="745" w:type="dxa"/>
            <w:tcBorders>
              <w:top w:val="single" w:color="auto" w:sz="4" w:space="0"/>
              <w:left w:val="single" w:color="auto" w:sz="4" w:space="0"/>
              <w:bottom w:val="single" w:color="auto" w:sz="4" w:space="0"/>
              <w:right w:val="single" w:color="auto" w:sz="4" w:space="0"/>
            </w:tcBorders>
            <w:noWrap/>
            <w:vAlign w:val="center"/>
          </w:tcPr>
          <w:p w14:paraId="56F6289B">
            <w:pPr>
              <w:ind w:left="0" w:leftChars="0" w:firstLine="0" w:firstLineChars="0"/>
              <w:jc w:val="center"/>
              <w:rPr>
                <w:rFonts w:hint="default"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4</w:t>
            </w:r>
          </w:p>
        </w:tc>
      </w:tr>
      <w:tr w14:paraId="6502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10" w:type="dxa"/>
            <w:vMerge w:val="continue"/>
            <w:tcBorders>
              <w:left w:val="single" w:color="auto" w:sz="4" w:space="0"/>
              <w:right w:val="single" w:color="auto" w:sz="4" w:space="0"/>
            </w:tcBorders>
            <w:noWrap/>
            <w:vAlign w:val="center"/>
          </w:tcPr>
          <w:p w14:paraId="073B0FCB">
            <w:pPr>
              <w:widowControl/>
              <w:jc w:val="center"/>
              <w:rPr>
                <w:rFonts w:ascii="宋体" w:hAnsi="宋体" w:eastAsia="宋体" w:cs="Times New Roman"/>
                <w:color w:val="auto"/>
                <w:kern w:val="2"/>
                <w:sz w:val="24"/>
                <w:szCs w:val="21"/>
                <w:highlight w:val="none"/>
              </w:rPr>
            </w:pPr>
          </w:p>
        </w:tc>
        <w:tc>
          <w:tcPr>
            <w:tcW w:w="1196" w:type="dxa"/>
            <w:vMerge w:val="continue"/>
            <w:tcBorders>
              <w:left w:val="nil"/>
              <w:right w:val="single" w:color="auto" w:sz="4" w:space="0"/>
            </w:tcBorders>
            <w:noWrap/>
            <w:vAlign w:val="center"/>
          </w:tcPr>
          <w:p w14:paraId="6D24C2CA">
            <w:pPr>
              <w:spacing w:line="312" w:lineRule="auto"/>
              <w:ind w:left="0" w:leftChars="0" w:firstLine="0" w:firstLineChars="0"/>
              <w:jc w:val="center"/>
              <w:rPr>
                <w:rFonts w:hint="eastAsia" w:ascii="Calibri" w:hAnsi="Times New Roman" w:eastAsia="宋体" w:cs="Times New Roman"/>
                <w:color w:val="auto"/>
                <w:kern w:val="2"/>
                <w:sz w:val="24"/>
                <w:szCs w:val="21"/>
                <w:highlight w:val="none"/>
                <w:lang w:eastAsia="zh-Hans"/>
              </w:rPr>
            </w:pPr>
          </w:p>
        </w:tc>
        <w:tc>
          <w:tcPr>
            <w:tcW w:w="5595" w:type="dxa"/>
            <w:tcBorders>
              <w:top w:val="single" w:color="auto" w:sz="4" w:space="0"/>
              <w:left w:val="single" w:color="auto" w:sz="4" w:space="0"/>
              <w:bottom w:val="single" w:color="auto" w:sz="4" w:space="0"/>
              <w:right w:val="single" w:color="auto" w:sz="4" w:space="0"/>
            </w:tcBorders>
            <w:noWrap/>
            <w:vAlign w:val="center"/>
          </w:tcPr>
          <w:p w14:paraId="6FF4D8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宋体"/>
                <w:color w:val="auto"/>
                <w:kern w:val="2"/>
                <w:sz w:val="24"/>
                <w:szCs w:val="24"/>
                <w:highlight w:val="none"/>
              </w:rPr>
              <w:t>对保安服务区域内的防盗、防火的安全防范巡查、群体性事件、暴恐事件、火灾等突发事件应急预案进行打分。</w:t>
            </w:r>
          </w:p>
        </w:tc>
        <w:tc>
          <w:tcPr>
            <w:tcW w:w="745" w:type="dxa"/>
            <w:tcBorders>
              <w:top w:val="single" w:color="auto" w:sz="4" w:space="0"/>
              <w:left w:val="single" w:color="auto" w:sz="4" w:space="0"/>
              <w:bottom w:val="single" w:color="auto" w:sz="4" w:space="0"/>
              <w:right w:val="single" w:color="auto" w:sz="4" w:space="0"/>
            </w:tcBorders>
            <w:noWrap/>
            <w:vAlign w:val="center"/>
          </w:tcPr>
          <w:p w14:paraId="2A4DF850">
            <w:pPr>
              <w:ind w:left="0" w:leftChars="0" w:firstLine="0" w:firstLineChars="0"/>
              <w:jc w:val="center"/>
              <w:rPr>
                <w:rFonts w:hint="default"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val="en-US" w:eastAsia="zh-CN"/>
              </w:rPr>
              <w:t>3</w:t>
            </w:r>
          </w:p>
        </w:tc>
      </w:tr>
      <w:tr w14:paraId="6C7F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0" w:type="dxa"/>
            <w:vMerge w:val="continue"/>
            <w:tcBorders>
              <w:left w:val="single" w:color="auto" w:sz="4" w:space="0"/>
              <w:right w:val="single" w:color="auto" w:sz="4" w:space="0"/>
            </w:tcBorders>
            <w:noWrap/>
            <w:vAlign w:val="center"/>
          </w:tcPr>
          <w:p w14:paraId="5C3C1A2D">
            <w:pPr>
              <w:widowControl/>
              <w:jc w:val="center"/>
              <w:rPr>
                <w:rFonts w:ascii="宋体" w:hAnsi="宋体" w:eastAsia="宋体" w:cs="Times New Roman"/>
                <w:color w:val="auto"/>
                <w:kern w:val="2"/>
                <w:sz w:val="24"/>
                <w:szCs w:val="21"/>
                <w:highlight w:val="none"/>
              </w:rPr>
            </w:pPr>
          </w:p>
        </w:tc>
        <w:tc>
          <w:tcPr>
            <w:tcW w:w="1196" w:type="dxa"/>
            <w:tcBorders>
              <w:left w:val="nil"/>
              <w:right w:val="single" w:color="auto" w:sz="4" w:space="0"/>
            </w:tcBorders>
            <w:noWrap/>
            <w:vAlign w:val="center"/>
          </w:tcPr>
          <w:p w14:paraId="25741F8D">
            <w:pPr>
              <w:spacing w:line="276" w:lineRule="auto"/>
              <w:ind w:left="0" w:leftChars="0" w:firstLine="0" w:firstLineChars="0"/>
              <w:jc w:val="center"/>
              <w:rPr>
                <w:rFonts w:hint="default" w:ascii="Calibri" w:hAnsi="Times New Roman" w:eastAsia="宋体" w:cs="Times New Roman"/>
                <w:color w:val="auto"/>
                <w:kern w:val="2"/>
                <w:sz w:val="24"/>
                <w:szCs w:val="21"/>
                <w:highlight w:val="none"/>
                <w:lang w:val="en-US" w:eastAsia="zh-CN"/>
              </w:rPr>
            </w:pPr>
            <w:r>
              <w:rPr>
                <w:rFonts w:hint="eastAsia" w:ascii="Calibri" w:hAnsi="Times New Roman" w:eastAsia="宋体" w:cs="Times New Roman"/>
                <w:color w:val="auto"/>
                <w:kern w:val="2"/>
                <w:sz w:val="24"/>
                <w:szCs w:val="21"/>
                <w:highlight w:val="none"/>
                <w:lang w:val="en-US" w:eastAsia="zh-CN"/>
              </w:rPr>
              <w:t>服务响应能力</w:t>
            </w:r>
          </w:p>
        </w:tc>
        <w:tc>
          <w:tcPr>
            <w:tcW w:w="5595" w:type="dxa"/>
            <w:tcBorders>
              <w:top w:val="single" w:color="auto" w:sz="4" w:space="0"/>
              <w:left w:val="single" w:color="auto" w:sz="4" w:space="0"/>
              <w:bottom w:val="single" w:color="auto" w:sz="4" w:space="0"/>
              <w:right w:val="single" w:color="auto" w:sz="4" w:space="0"/>
            </w:tcBorders>
            <w:noWrap/>
            <w:vAlign w:val="center"/>
          </w:tcPr>
          <w:p w14:paraId="29B6519D">
            <w:pPr>
              <w:spacing w:line="360" w:lineRule="auto"/>
              <w:jc w:val="left"/>
              <w:rPr>
                <w:rFonts w:hint="default" w:ascii="宋体" w:hAnsi="宋体" w:eastAsia="宋体" w:cs="Times New Roman"/>
                <w:color w:val="auto"/>
                <w:kern w:val="2"/>
                <w:sz w:val="24"/>
                <w:szCs w:val="21"/>
                <w:highlight w:val="none"/>
                <w:lang w:eastAsia="zh-CN"/>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eastAsia="zh-CN"/>
              </w:rPr>
              <w:t>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本项目</w:t>
            </w:r>
            <w:r>
              <w:rPr>
                <w:rFonts w:hint="eastAsia" w:ascii="宋体" w:hAnsi="宋体" w:eastAsia="宋体" w:cs="Times New Roman"/>
                <w:color w:val="auto"/>
                <w:kern w:val="2"/>
                <w:sz w:val="24"/>
                <w:szCs w:val="21"/>
                <w:highlight w:val="none"/>
                <w:lang w:val="en-US" w:eastAsia="zh-CN"/>
              </w:rPr>
              <w:t>的服务响应能力进行打分，是否有专业的其他团队人员、技术人员，服务响应时效等情况进行打分。</w:t>
            </w:r>
          </w:p>
        </w:tc>
        <w:tc>
          <w:tcPr>
            <w:tcW w:w="745" w:type="dxa"/>
            <w:tcBorders>
              <w:top w:val="single" w:color="auto" w:sz="4" w:space="0"/>
              <w:left w:val="single" w:color="auto" w:sz="4" w:space="0"/>
              <w:bottom w:val="single" w:color="auto" w:sz="4" w:space="0"/>
              <w:right w:val="single" w:color="auto" w:sz="4" w:space="0"/>
            </w:tcBorders>
            <w:noWrap/>
            <w:vAlign w:val="center"/>
          </w:tcPr>
          <w:p w14:paraId="7495DC59">
            <w:pPr>
              <w:ind w:left="0" w:leftChars="0" w:firstLine="0" w:firstLineChars="0"/>
              <w:jc w:val="center"/>
              <w:rPr>
                <w:rFonts w:hint="default"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val="en-US" w:eastAsia="zh-CN"/>
              </w:rPr>
              <w:t>3</w:t>
            </w:r>
          </w:p>
        </w:tc>
      </w:tr>
      <w:tr w14:paraId="0182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10" w:type="dxa"/>
            <w:vMerge w:val="restart"/>
            <w:tcBorders>
              <w:top w:val="single" w:color="auto" w:sz="4" w:space="0"/>
              <w:left w:val="single" w:color="auto" w:sz="4" w:space="0"/>
              <w:right w:val="single" w:color="auto" w:sz="4" w:space="0"/>
            </w:tcBorders>
            <w:noWrap/>
            <w:vAlign w:val="center"/>
          </w:tcPr>
          <w:p w14:paraId="08CDFA92">
            <w:pPr>
              <w:spacing w:line="360" w:lineRule="auto"/>
              <w:ind w:left="0" w:leftChars="0" w:firstLine="0" w:firstLineChars="0"/>
              <w:jc w:val="center"/>
              <w:rPr>
                <w:rFonts w:ascii="宋体" w:hAnsi="宋体" w:eastAsia="宋体" w:cs="Times New Roman"/>
                <w:color w:val="auto"/>
                <w:kern w:val="2"/>
                <w:sz w:val="24"/>
                <w:szCs w:val="21"/>
                <w:highlight w:val="none"/>
              </w:rPr>
            </w:pPr>
            <w:r>
              <w:rPr>
                <w:rFonts w:hint="eastAsia" w:ascii="宋体" w:hAnsi="宋体" w:eastAsia="宋体" w:cs="Times New Roman"/>
                <w:color w:val="auto"/>
                <w:kern w:val="2"/>
                <w:sz w:val="24"/>
                <w:szCs w:val="21"/>
                <w:highlight w:val="none"/>
                <w:lang w:val="en-US" w:eastAsia="zh-CN"/>
              </w:rPr>
              <w:t>商务</w:t>
            </w:r>
            <w:r>
              <w:rPr>
                <w:rFonts w:hint="eastAsia" w:ascii="宋体" w:hAnsi="宋体" w:eastAsia="宋体" w:cs="Times New Roman"/>
                <w:color w:val="auto"/>
                <w:kern w:val="2"/>
                <w:sz w:val="24"/>
                <w:szCs w:val="21"/>
                <w:highlight w:val="none"/>
              </w:rPr>
              <w:t>资信（</w:t>
            </w:r>
            <w:r>
              <w:rPr>
                <w:rFonts w:hint="eastAsia" w:ascii="宋体" w:hAnsi="宋体" w:eastAsia="宋体" w:cs="Times New Roman"/>
                <w:color w:val="auto"/>
                <w:kern w:val="2"/>
                <w:sz w:val="24"/>
                <w:szCs w:val="21"/>
                <w:highlight w:val="none"/>
                <w:lang w:val="en-US" w:eastAsia="zh-CN"/>
              </w:rPr>
              <w:t>6分</w:t>
            </w:r>
            <w:r>
              <w:rPr>
                <w:rFonts w:hint="eastAsia" w:ascii="宋体" w:hAnsi="宋体" w:eastAsia="宋体" w:cs="Times New Roman"/>
                <w:color w:val="auto"/>
                <w:kern w:val="2"/>
                <w:sz w:val="24"/>
                <w:szCs w:val="21"/>
                <w:highlight w:val="none"/>
              </w:rPr>
              <w:t>）</w:t>
            </w:r>
          </w:p>
        </w:tc>
        <w:tc>
          <w:tcPr>
            <w:tcW w:w="1196" w:type="dxa"/>
            <w:tcBorders>
              <w:top w:val="single" w:color="auto" w:sz="4" w:space="0"/>
              <w:left w:val="single" w:color="auto" w:sz="4" w:space="0"/>
              <w:bottom w:val="single" w:color="auto" w:sz="4" w:space="0"/>
              <w:right w:val="single" w:color="auto" w:sz="4" w:space="0"/>
            </w:tcBorders>
            <w:noWrap/>
            <w:vAlign w:val="center"/>
          </w:tcPr>
          <w:p w14:paraId="6E3AE27C">
            <w:pPr>
              <w:ind w:left="0" w:leftChars="0" w:firstLine="0" w:firstLineChars="0"/>
              <w:jc w:val="center"/>
              <w:rPr>
                <w:rFonts w:hint="default" w:ascii="宋体" w:hAnsi="宋体" w:eastAsia="宋体" w:cs="Times New Roman"/>
                <w:color w:val="auto"/>
                <w:kern w:val="2"/>
                <w:sz w:val="24"/>
                <w:szCs w:val="21"/>
                <w:highlight w:val="none"/>
                <w:lang w:val="en-US" w:eastAsia="zh-CN"/>
              </w:rPr>
            </w:pPr>
            <w:r>
              <w:rPr>
                <w:rFonts w:hint="eastAsia" w:ascii="宋体" w:hAnsi="宋体" w:eastAsia="宋体" w:cs="宋体"/>
                <w:color w:val="auto"/>
                <w:kern w:val="2"/>
                <w:sz w:val="24"/>
                <w:szCs w:val="24"/>
                <w:highlight w:val="none"/>
                <w:lang w:val="en-US" w:eastAsia="zh-CN"/>
              </w:rPr>
              <w:t>证书</w:t>
            </w:r>
          </w:p>
        </w:tc>
        <w:tc>
          <w:tcPr>
            <w:tcW w:w="5595" w:type="dxa"/>
            <w:tcBorders>
              <w:top w:val="single" w:color="auto" w:sz="4" w:space="0"/>
              <w:left w:val="single" w:color="auto" w:sz="4" w:space="0"/>
              <w:bottom w:val="single" w:color="auto" w:sz="4" w:space="0"/>
              <w:right w:val="single" w:color="auto" w:sz="4" w:space="0"/>
            </w:tcBorders>
            <w:noWrap/>
            <w:vAlign w:val="center"/>
          </w:tcPr>
          <w:p w14:paraId="17ADA6B4">
            <w:pPr>
              <w:autoSpaceDE w:val="0"/>
              <w:spacing w:line="360" w:lineRule="auto"/>
              <w:rPr>
                <w:rFonts w:ascii="宋体" w:hAnsi="宋体" w:eastAsia="宋体" w:cs="Times New Roman"/>
                <w:color w:val="auto"/>
                <w:kern w:val="2"/>
                <w:sz w:val="24"/>
                <w:szCs w:val="21"/>
                <w:highlight w:val="none"/>
              </w:rPr>
            </w:pPr>
            <w:r>
              <w:rPr>
                <w:rFonts w:hint="eastAsia" w:ascii="宋体" w:hAnsi="宋体" w:eastAsia="宋体" w:cs="宋体"/>
                <w:color w:val="auto"/>
                <w:kern w:val="2"/>
                <w:sz w:val="24"/>
                <w:szCs w:val="24"/>
                <w:highlight w:val="none"/>
                <w:lang w:val="en-US" w:eastAsia="zh-CN"/>
              </w:rPr>
              <w:t>认证证书</w:t>
            </w:r>
            <w:r>
              <w:rPr>
                <w:rFonts w:hint="eastAsia" w:ascii="宋体" w:hAnsi="宋体" w:eastAsia="宋体" w:cs="Times New Roman"/>
                <w:b/>
                <w:bCs/>
                <w:color w:val="auto"/>
                <w:kern w:val="2"/>
                <w:sz w:val="24"/>
                <w:szCs w:val="21"/>
                <w:highlight w:val="none"/>
              </w:rPr>
              <w:t>（具体详见商务要求表）</w:t>
            </w:r>
          </w:p>
        </w:tc>
        <w:tc>
          <w:tcPr>
            <w:tcW w:w="745" w:type="dxa"/>
            <w:tcBorders>
              <w:top w:val="single" w:color="auto" w:sz="4" w:space="0"/>
              <w:left w:val="single" w:color="auto" w:sz="4" w:space="0"/>
              <w:bottom w:val="single" w:color="auto" w:sz="4" w:space="0"/>
              <w:right w:val="single" w:color="auto" w:sz="4" w:space="0"/>
            </w:tcBorders>
            <w:noWrap/>
            <w:vAlign w:val="center"/>
          </w:tcPr>
          <w:p w14:paraId="6F8D92C8">
            <w:pPr>
              <w:spacing w:line="360" w:lineRule="auto"/>
              <w:ind w:left="0" w:leftChars="0" w:firstLine="0" w:firstLineChars="0"/>
              <w:jc w:val="center"/>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3</w:t>
            </w:r>
          </w:p>
        </w:tc>
      </w:tr>
      <w:tr w14:paraId="6D9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210" w:type="dxa"/>
            <w:vMerge w:val="continue"/>
            <w:tcBorders>
              <w:left w:val="single" w:color="auto" w:sz="4" w:space="0"/>
              <w:right w:val="single" w:color="auto" w:sz="4" w:space="0"/>
            </w:tcBorders>
            <w:noWrap/>
            <w:vAlign w:val="center"/>
          </w:tcPr>
          <w:p w14:paraId="42CE5BCB">
            <w:pPr>
              <w:spacing w:line="360" w:lineRule="auto"/>
              <w:jc w:val="center"/>
              <w:rPr>
                <w:rFonts w:hint="eastAsia" w:ascii="宋体" w:hAnsi="宋体" w:eastAsia="宋体" w:cs="Times New Roman"/>
                <w:color w:val="auto"/>
                <w:kern w:val="2"/>
                <w:sz w:val="24"/>
                <w:szCs w:val="21"/>
                <w:highlight w:val="none"/>
                <w:lang w:val="en-US" w:eastAsia="zh-CN"/>
              </w:rPr>
            </w:pPr>
          </w:p>
        </w:tc>
        <w:tc>
          <w:tcPr>
            <w:tcW w:w="1196" w:type="dxa"/>
            <w:tcBorders>
              <w:top w:val="single" w:color="auto" w:sz="4" w:space="0"/>
              <w:left w:val="single" w:color="auto" w:sz="4" w:space="0"/>
              <w:right w:val="single" w:color="auto" w:sz="4" w:space="0"/>
            </w:tcBorders>
            <w:noWrap/>
            <w:vAlign w:val="center"/>
          </w:tcPr>
          <w:p w14:paraId="757F68F6">
            <w:pPr>
              <w:ind w:left="0" w:leftChars="0" w:firstLine="0" w:firstLineChars="0"/>
              <w:jc w:val="center"/>
              <w:rPr>
                <w:rFonts w:hint="default" w:ascii="宋体" w:hAnsi="宋体" w:eastAsia="宋体" w:cs="Times New Roman"/>
                <w:color w:val="auto"/>
                <w:kern w:val="2"/>
                <w:sz w:val="24"/>
                <w:szCs w:val="21"/>
                <w:highlight w:val="none"/>
                <w:lang w:val="en-US" w:eastAsia="zh-CN"/>
              </w:rPr>
            </w:pPr>
            <w:r>
              <w:rPr>
                <w:rFonts w:hint="eastAsia" w:ascii="宋体" w:hAnsi="宋体" w:eastAsia="宋体" w:cs="宋体"/>
                <w:color w:val="auto"/>
                <w:kern w:val="2"/>
                <w:sz w:val="24"/>
                <w:szCs w:val="24"/>
                <w:highlight w:val="none"/>
                <w:lang w:val="en-US" w:eastAsia="zh-CN"/>
              </w:rPr>
              <w:t>供应商实力</w:t>
            </w:r>
          </w:p>
        </w:tc>
        <w:tc>
          <w:tcPr>
            <w:tcW w:w="5595" w:type="dxa"/>
            <w:tcBorders>
              <w:top w:val="single" w:color="auto" w:sz="4" w:space="0"/>
              <w:left w:val="single" w:color="auto" w:sz="4" w:space="0"/>
              <w:right w:val="single" w:color="auto" w:sz="4" w:space="0"/>
            </w:tcBorders>
            <w:noWrap/>
            <w:vAlign w:val="center"/>
          </w:tcPr>
          <w:p w14:paraId="4404DE4E">
            <w:pPr>
              <w:autoSpaceDE w:val="0"/>
              <w:spacing w:line="360" w:lineRule="auto"/>
              <w:rPr>
                <w:rFonts w:hint="default" w:ascii="宋体" w:hAnsi="宋体" w:eastAsia="宋体" w:cs="Times New Roman"/>
                <w:color w:val="auto"/>
                <w:kern w:val="2"/>
                <w:sz w:val="24"/>
                <w:szCs w:val="21"/>
                <w:highlight w:val="none"/>
                <w:lang w:val="en-US" w:eastAsia="zh-CN"/>
              </w:rPr>
            </w:pPr>
            <w:r>
              <w:rPr>
                <w:rFonts w:hint="eastAsia" w:ascii="宋体" w:hAnsi="宋体" w:eastAsia="宋体" w:cs="宋体"/>
                <w:color w:val="auto"/>
                <w:kern w:val="2"/>
                <w:sz w:val="24"/>
                <w:szCs w:val="24"/>
                <w:highlight w:val="none"/>
                <w:lang w:val="en-US" w:eastAsia="zh-CN"/>
              </w:rPr>
              <w:t>供应商实力</w:t>
            </w:r>
            <w:r>
              <w:rPr>
                <w:rFonts w:hint="eastAsia" w:ascii="宋体" w:hAnsi="宋体" w:eastAsia="宋体" w:cs="Times New Roman"/>
                <w:b/>
                <w:bCs/>
                <w:color w:val="auto"/>
                <w:kern w:val="2"/>
                <w:sz w:val="24"/>
                <w:szCs w:val="21"/>
                <w:highlight w:val="none"/>
              </w:rPr>
              <w:t>（具体详见商务要求表）</w:t>
            </w:r>
          </w:p>
        </w:tc>
        <w:tc>
          <w:tcPr>
            <w:tcW w:w="745" w:type="dxa"/>
            <w:tcBorders>
              <w:top w:val="single" w:color="auto" w:sz="4" w:space="0"/>
              <w:left w:val="single" w:color="auto" w:sz="4" w:space="0"/>
              <w:bottom w:val="single" w:color="auto" w:sz="4" w:space="0"/>
              <w:right w:val="single" w:color="auto" w:sz="4" w:space="0"/>
            </w:tcBorders>
            <w:noWrap/>
            <w:vAlign w:val="center"/>
          </w:tcPr>
          <w:p w14:paraId="70A85D1C">
            <w:pPr>
              <w:spacing w:line="360" w:lineRule="auto"/>
              <w:ind w:left="0" w:leftChars="0" w:firstLine="0" w:firstLineChars="0"/>
              <w:jc w:val="center"/>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3</w:t>
            </w:r>
          </w:p>
        </w:tc>
      </w:tr>
    </w:tbl>
    <w:p w14:paraId="1BF5CF64">
      <w:pPr>
        <w:rPr>
          <w:rFonts w:hint="eastAsia" w:ascii="宋体" w:hAnsi="宋体" w:cs="宋体"/>
          <w:b/>
          <w:bCs/>
          <w:color w:val="auto"/>
          <w:sz w:val="24"/>
          <w:szCs w:val="24"/>
          <w:highlight w:val="none"/>
        </w:rPr>
      </w:pPr>
    </w:p>
    <w:p w14:paraId="2F073EB4">
      <w:pPr>
        <w:pStyle w:val="6"/>
        <w:numPr>
          <w:ilvl w:val="0"/>
          <w:numId w:val="0"/>
        </w:numPr>
        <w:rPr>
          <w:color w:val="auto"/>
          <w:highlight w:val="none"/>
        </w:rPr>
      </w:pPr>
    </w:p>
    <w:p w14:paraId="5242E375">
      <w:pPr>
        <w:spacing w:line="360" w:lineRule="auto"/>
        <w:ind w:firstLine="482" w:firstLineChars="200"/>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2、商务要求表</w:t>
      </w:r>
      <w:r>
        <w:rPr>
          <w:rFonts w:hint="eastAsia" w:ascii="宋体" w:hAnsi="宋体" w:cs="宋体"/>
          <w:color w:val="auto"/>
          <w:sz w:val="24"/>
          <w:szCs w:val="21"/>
          <w:highlight w:val="none"/>
        </w:rPr>
        <w:t>（对应评分标准）</w:t>
      </w:r>
    </w:p>
    <w:tbl>
      <w:tblPr>
        <w:tblStyle w:val="2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84"/>
        <w:gridCol w:w="6262"/>
        <w:gridCol w:w="936"/>
      </w:tblGrid>
      <w:tr w14:paraId="34D7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045" w:type="dxa"/>
            <w:gridSpan w:val="2"/>
            <w:tcBorders>
              <w:left w:val="single" w:color="auto" w:sz="4" w:space="0"/>
              <w:right w:val="single" w:color="auto" w:sz="4" w:space="0"/>
            </w:tcBorders>
            <w:noWrap w:val="0"/>
            <w:vAlign w:val="center"/>
          </w:tcPr>
          <w:p w14:paraId="5C189D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服务时间</w:t>
            </w:r>
          </w:p>
          <w:p w14:paraId="540376A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及地点</w:t>
            </w:r>
          </w:p>
        </w:tc>
        <w:tc>
          <w:tcPr>
            <w:tcW w:w="7198" w:type="dxa"/>
            <w:gridSpan w:val="2"/>
            <w:tcBorders>
              <w:top w:val="single" w:color="auto" w:sz="4" w:space="0"/>
              <w:left w:val="single" w:color="auto" w:sz="4" w:space="0"/>
              <w:bottom w:val="single" w:color="auto" w:sz="4" w:space="0"/>
              <w:right w:val="single" w:color="auto" w:sz="4" w:space="0"/>
            </w:tcBorders>
            <w:noWrap w:val="0"/>
            <w:vAlign w:val="center"/>
          </w:tcPr>
          <w:p w14:paraId="55143B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年（以合同签订时间为准）</w:t>
            </w:r>
          </w:p>
          <w:p w14:paraId="405E9F73">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地点：上虞区</w:t>
            </w:r>
          </w:p>
        </w:tc>
      </w:tr>
      <w:tr w14:paraId="4A6E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61" w:type="dxa"/>
            <w:vMerge w:val="restart"/>
            <w:tcBorders>
              <w:left w:val="single" w:color="auto" w:sz="4" w:space="0"/>
              <w:right w:val="single" w:color="auto" w:sz="4" w:space="0"/>
            </w:tcBorders>
            <w:noWrap w:val="0"/>
            <w:vAlign w:val="center"/>
          </w:tcPr>
          <w:p w14:paraId="64F148A5">
            <w:pPr>
              <w:widowControl/>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资信（</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6ABD235C">
            <w:pPr>
              <w:spacing w:line="276"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kern w:val="2"/>
                <w:sz w:val="24"/>
                <w:szCs w:val="24"/>
                <w:highlight w:val="none"/>
                <w:lang w:val="en-US" w:eastAsia="zh-CN" w:bidi="ar-SA"/>
              </w:rPr>
              <w:t>认证证书</w:t>
            </w:r>
          </w:p>
        </w:tc>
        <w:tc>
          <w:tcPr>
            <w:tcW w:w="6262" w:type="dxa"/>
            <w:tcBorders>
              <w:top w:val="single" w:color="auto" w:sz="4" w:space="0"/>
              <w:left w:val="single" w:color="auto" w:sz="4" w:space="0"/>
              <w:bottom w:val="single" w:color="auto" w:sz="4" w:space="0"/>
              <w:right w:val="single" w:color="auto" w:sz="4" w:space="0"/>
            </w:tcBorders>
            <w:noWrap w:val="0"/>
            <w:vAlign w:val="center"/>
          </w:tcPr>
          <w:p w14:paraId="5930DF79">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具有有效的</w:t>
            </w:r>
            <w:r>
              <w:rPr>
                <w:rFonts w:hint="eastAsia" w:ascii="宋体" w:hAnsi="宋体" w:cs="宋体"/>
                <w:color w:val="auto"/>
                <w:sz w:val="24"/>
                <w:szCs w:val="24"/>
                <w:highlight w:val="none"/>
                <w:lang w:val="en-US" w:eastAsia="zh-CN"/>
              </w:rPr>
              <w:t>质量管理体系</w:t>
            </w:r>
            <w:r>
              <w:rPr>
                <w:rFonts w:hint="eastAsia" w:ascii="宋体" w:hAnsi="宋体" w:eastAsia="宋体" w:cs="宋体"/>
                <w:color w:val="auto"/>
                <w:sz w:val="24"/>
                <w:szCs w:val="24"/>
                <w:highlight w:val="none"/>
                <w:lang w:val="en-US" w:eastAsia="zh-CN"/>
              </w:rPr>
              <w:t>认证证书、</w:t>
            </w:r>
            <w:r>
              <w:rPr>
                <w:rFonts w:hint="eastAsia" w:ascii="宋体" w:hAnsi="宋体" w:cs="宋体"/>
                <w:color w:val="auto"/>
                <w:sz w:val="24"/>
                <w:szCs w:val="24"/>
                <w:highlight w:val="none"/>
                <w:lang w:val="en-US" w:eastAsia="zh-CN"/>
              </w:rPr>
              <w:t>职业健康管理</w:t>
            </w:r>
            <w:r>
              <w:rPr>
                <w:rFonts w:hint="eastAsia" w:ascii="宋体" w:hAnsi="宋体" w:eastAsia="宋体" w:cs="宋体"/>
                <w:color w:val="auto"/>
                <w:sz w:val="24"/>
                <w:szCs w:val="24"/>
                <w:highlight w:val="none"/>
                <w:lang w:val="en-US" w:eastAsia="zh-CN"/>
              </w:rPr>
              <w:t>体系认证证书、</w:t>
            </w:r>
            <w:r>
              <w:rPr>
                <w:rFonts w:hint="eastAsia" w:ascii="宋体" w:hAnsi="宋体" w:cs="宋体"/>
                <w:color w:val="auto"/>
                <w:sz w:val="24"/>
                <w:szCs w:val="24"/>
                <w:highlight w:val="none"/>
                <w:lang w:val="en-US" w:eastAsia="zh-CN"/>
              </w:rPr>
              <w:t>环境健康管理</w:t>
            </w:r>
            <w:r>
              <w:rPr>
                <w:rFonts w:hint="eastAsia" w:ascii="宋体" w:hAnsi="宋体" w:eastAsia="宋体" w:cs="宋体"/>
                <w:color w:val="auto"/>
                <w:sz w:val="24"/>
                <w:szCs w:val="24"/>
                <w:highlight w:val="none"/>
                <w:lang w:val="en-US" w:eastAsia="zh-CN"/>
              </w:rPr>
              <w:t>体系认证证书的每个得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分，须提供证书扫描件并</w:t>
            </w:r>
            <w:r>
              <w:rPr>
                <w:rFonts w:hint="eastAsia" w:ascii="宋体" w:hAnsi="宋体" w:eastAsia="宋体" w:cs="Times New Roman"/>
                <w:color w:val="auto"/>
                <w:sz w:val="24"/>
                <w:highlight w:val="none"/>
                <w:lang w:val="en-US" w:eastAsia="zh-CN"/>
              </w:rPr>
              <w:t>加盖</w:t>
            </w:r>
            <w:r>
              <w:rPr>
                <w:rFonts w:hint="eastAsia" w:ascii="宋体" w:hAnsi="宋体" w:eastAsia="宋体" w:cs="宋体"/>
                <w:color w:val="auto"/>
                <w:sz w:val="24"/>
                <w:szCs w:val="24"/>
                <w:highlight w:val="none"/>
                <w:lang w:val="en-US" w:eastAsia="zh-CN"/>
              </w:rPr>
              <w:t>投标人公章。</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300879F7">
            <w:pPr>
              <w:ind w:left="0" w:leftChars="0" w:firstLine="0" w:firstLine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3</w:t>
            </w:r>
          </w:p>
        </w:tc>
      </w:tr>
      <w:tr w14:paraId="062B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61" w:type="dxa"/>
            <w:vMerge w:val="continue"/>
            <w:tcBorders>
              <w:left w:val="single" w:color="auto" w:sz="4" w:space="0"/>
              <w:right w:val="single" w:color="auto" w:sz="4" w:space="0"/>
            </w:tcBorders>
            <w:noWrap w:val="0"/>
            <w:vAlign w:val="center"/>
          </w:tcPr>
          <w:p w14:paraId="6BE657A8">
            <w:pPr>
              <w:widowControl/>
              <w:spacing w:line="360" w:lineRule="auto"/>
              <w:jc w:val="center"/>
              <w:rPr>
                <w:rFonts w:hint="eastAsia" w:ascii="宋体" w:hAnsi="宋体" w:eastAsia="宋体" w:cs="宋体"/>
                <w:color w:val="auto"/>
                <w:sz w:val="24"/>
                <w:highlight w:val="none"/>
              </w:rPr>
            </w:pPr>
          </w:p>
        </w:tc>
        <w:tc>
          <w:tcPr>
            <w:tcW w:w="984" w:type="dxa"/>
            <w:tcBorders>
              <w:left w:val="single" w:color="auto" w:sz="4" w:space="0"/>
              <w:right w:val="single" w:color="auto" w:sz="4" w:space="0"/>
            </w:tcBorders>
            <w:noWrap w:val="0"/>
            <w:vAlign w:val="center"/>
          </w:tcPr>
          <w:p w14:paraId="5CFCBD85">
            <w:pPr>
              <w:spacing w:line="276" w:lineRule="auto"/>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供应商实力</w:t>
            </w:r>
          </w:p>
        </w:tc>
        <w:tc>
          <w:tcPr>
            <w:tcW w:w="6262" w:type="dxa"/>
            <w:tcBorders>
              <w:top w:val="single" w:color="auto" w:sz="4" w:space="0"/>
              <w:left w:val="single" w:color="auto" w:sz="4" w:space="0"/>
              <w:right w:val="single" w:color="auto" w:sz="4" w:space="0"/>
            </w:tcBorders>
            <w:noWrap w:val="0"/>
            <w:vAlign w:val="center"/>
          </w:tcPr>
          <w:p w14:paraId="7121D9A7">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投标人具有公安部门颁发的保安从业单位备案证明或保安服务许可证的得3分。需提供相关证书扫描件加盖投标人公章。</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507EE9A4">
            <w:pPr>
              <w:ind w:left="0" w:leftChars="0" w:firstLine="0" w:firstLineChars="0"/>
              <w:jc w:val="center"/>
              <w:rPr>
                <w:rFonts w:hint="default"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3</w:t>
            </w:r>
          </w:p>
        </w:tc>
      </w:tr>
    </w:tbl>
    <w:p w14:paraId="69411C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B0A0D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1、评标委员会各成员应当独立对每个投标人的投标文件进行评价，并汇总每个投标人的得分。资信分为客观分，也需独立进行评价并核对分值，最终分值需一致。</w:t>
      </w:r>
    </w:p>
    <w:p w14:paraId="71D1B8CB">
      <w:pPr>
        <w:spacing w:line="360" w:lineRule="auto"/>
        <w:ind w:firstLine="480" w:firstLineChars="200"/>
        <w:rPr>
          <w:color w:val="auto"/>
          <w:sz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2、所有文件、合同、证书、证明材料等需要真实有效。中标人在中标后签订合同时需提供以上证明文件原件，若发现资料作假的取消中标资格。</w:t>
      </w:r>
    </w:p>
    <w:p w14:paraId="03491BAA">
      <w:pPr>
        <w:pStyle w:val="2"/>
        <w:jc w:val="center"/>
        <w:rPr>
          <w:rFonts w:ascii="宋体" w:cs="Times New Roman"/>
          <w:color w:val="auto"/>
          <w:highlight w:val="none"/>
        </w:rPr>
      </w:pPr>
      <w:bookmarkStart w:id="136" w:name="_Toc4517"/>
      <w:bookmarkStart w:id="137" w:name="_Toc32092"/>
      <w:bookmarkStart w:id="138" w:name="_Toc5886"/>
      <w:bookmarkStart w:id="139" w:name="_Toc8033"/>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136"/>
      <w:bookmarkEnd w:id="137"/>
      <w:bookmarkEnd w:id="138"/>
      <w:bookmarkEnd w:id="139"/>
    </w:p>
    <w:p w14:paraId="64AC1279">
      <w:pPr>
        <w:keepNext w:val="0"/>
        <w:keepLines w:val="0"/>
        <w:pageBreakBefore w:val="0"/>
        <w:kinsoku/>
        <w:wordWrap/>
        <w:overflowPunct/>
        <w:topLinePunct w:val="0"/>
        <w:bidi w:val="0"/>
        <w:spacing w:line="500" w:lineRule="exact"/>
        <w:ind w:firstLine="480" w:firstLineChars="200"/>
        <w:jc w:val="left"/>
        <w:textAlignment w:val="auto"/>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合同编号：（202</w:t>
      </w:r>
      <w:r>
        <w:rPr>
          <w:rFonts w:hint="eastAsia" w:ascii="宋体" w:hAnsi="宋体" w:eastAsia="宋体" w:cs="宋体"/>
          <w:color w:val="auto"/>
          <w:kern w:val="0"/>
          <w:sz w:val="24"/>
          <w:szCs w:val="21"/>
          <w:highlight w:val="none"/>
          <w:lang w:val="en-US" w:eastAsia="zh-CN"/>
        </w:rPr>
        <w:t>5</w:t>
      </w:r>
      <w:r>
        <w:rPr>
          <w:rFonts w:hint="eastAsia" w:ascii="宋体" w:hAnsi="宋体" w:eastAsia="宋体" w:cs="宋体"/>
          <w:color w:val="auto"/>
          <w:kern w:val="0"/>
          <w:sz w:val="24"/>
          <w:szCs w:val="21"/>
          <w:highlight w:val="none"/>
        </w:rPr>
        <w:t>）第</w:t>
      </w:r>
      <w:r>
        <w:rPr>
          <w:rFonts w:hint="eastAsia" w:ascii="宋体" w:hAnsi="宋体" w:eastAsia="宋体" w:cs="宋体"/>
          <w:color w:val="auto"/>
          <w:kern w:val="0"/>
          <w:sz w:val="24"/>
          <w:szCs w:val="21"/>
          <w:highlight w:val="none"/>
          <w:u w:val="single"/>
        </w:rPr>
        <w:t>　　</w:t>
      </w:r>
      <w:r>
        <w:rPr>
          <w:rFonts w:hint="eastAsia" w:ascii="宋体" w:hAnsi="宋体" w:eastAsia="宋体" w:cs="宋体"/>
          <w:color w:val="auto"/>
          <w:kern w:val="0"/>
          <w:sz w:val="24"/>
          <w:szCs w:val="21"/>
          <w:highlight w:val="none"/>
        </w:rPr>
        <w:t>号</w:t>
      </w:r>
    </w:p>
    <w:p w14:paraId="25A5641F">
      <w:pPr>
        <w:keepNext w:val="0"/>
        <w:keepLines w:val="0"/>
        <w:pageBreakBefore w:val="0"/>
        <w:kinsoku/>
        <w:wordWrap/>
        <w:overflowPunct/>
        <w:topLinePunct w:val="0"/>
        <w:bidi w:val="0"/>
        <w:spacing w:line="500" w:lineRule="exact"/>
        <w:ind w:firstLine="480" w:firstLineChars="200"/>
        <w:jc w:val="left"/>
        <w:textAlignment w:val="auto"/>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签订日期：202</w:t>
      </w:r>
      <w:r>
        <w:rPr>
          <w:rFonts w:hint="eastAsia" w:ascii="宋体" w:hAnsi="宋体" w:eastAsia="宋体" w:cs="宋体"/>
          <w:color w:val="auto"/>
          <w:kern w:val="0"/>
          <w:sz w:val="24"/>
          <w:szCs w:val="21"/>
          <w:highlight w:val="none"/>
          <w:lang w:val="en-US" w:eastAsia="zh-CN"/>
        </w:rPr>
        <w:t>5</w:t>
      </w:r>
      <w:r>
        <w:rPr>
          <w:rFonts w:hint="eastAsia" w:ascii="宋体" w:hAnsi="宋体" w:eastAsia="宋体" w:cs="宋体"/>
          <w:color w:val="auto"/>
          <w:kern w:val="0"/>
          <w:sz w:val="24"/>
          <w:szCs w:val="21"/>
          <w:highlight w:val="none"/>
        </w:rPr>
        <w:t>年</w:t>
      </w:r>
      <w:r>
        <w:rPr>
          <w:rFonts w:hint="eastAsia" w:ascii="宋体" w:hAnsi="宋体" w:eastAsia="宋体" w:cs="宋体"/>
          <w:color w:val="auto"/>
          <w:kern w:val="0"/>
          <w:sz w:val="24"/>
          <w:szCs w:val="21"/>
          <w:highlight w:val="none"/>
          <w:u w:val="single"/>
        </w:rPr>
        <w:t>　　</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rPr>
        <w:t>　　</w:t>
      </w:r>
      <w:r>
        <w:rPr>
          <w:rFonts w:hint="eastAsia" w:ascii="宋体" w:hAnsi="宋体" w:eastAsia="宋体" w:cs="宋体"/>
          <w:color w:val="auto"/>
          <w:kern w:val="0"/>
          <w:sz w:val="24"/>
          <w:szCs w:val="21"/>
          <w:highlight w:val="none"/>
        </w:rPr>
        <w:t>日</w:t>
      </w:r>
    </w:p>
    <w:p w14:paraId="4ACC39CE">
      <w:pPr>
        <w:keepNext w:val="0"/>
        <w:keepLines w:val="0"/>
        <w:pageBreakBefore w:val="0"/>
        <w:kinsoku/>
        <w:wordWrap/>
        <w:overflowPunct/>
        <w:topLinePunct w:val="0"/>
        <w:bidi w:val="0"/>
        <w:spacing w:line="500" w:lineRule="exact"/>
        <w:ind w:firstLine="480" w:firstLineChars="200"/>
        <w:jc w:val="left"/>
        <w:textAlignment w:val="auto"/>
        <w:rPr>
          <w:rFonts w:ascii="宋体" w:hAnsi="宋体" w:eastAsia="宋体" w:cs="宋体"/>
          <w:color w:val="auto"/>
          <w:kern w:val="2"/>
          <w:sz w:val="24"/>
          <w:szCs w:val="21"/>
          <w:highlight w:val="none"/>
          <w:u w:val="single"/>
        </w:rPr>
      </w:pPr>
      <w:r>
        <w:rPr>
          <w:rFonts w:hint="eastAsia" w:ascii="宋体" w:hAnsi="宋体" w:eastAsia="宋体" w:cs="宋体"/>
          <w:color w:val="auto"/>
          <w:kern w:val="2"/>
          <w:sz w:val="24"/>
          <w:szCs w:val="21"/>
          <w:highlight w:val="none"/>
        </w:rPr>
        <w:t>采购单位：</w:t>
      </w:r>
      <w:r>
        <w:rPr>
          <w:rFonts w:hint="eastAsia" w:ascii="宋体" w:hAnsi="宋体" w:eastAsia="宋体" w:cs="宋体"/>
          <w:color w:val="auto"/>
          <w:kern w:val="2"/>
          <w:sz w:val="24"/>
          <w:szCs w:val="21"/>
          <w:highlight w:val="none"/>
          <w:u w:val="single"/>
        </w:rPr>
        <w:t>　　　　　　　　　　　　　　　　　　　　　　</w:t>
      </w:r>
      <w:r>
        <w:rPr>
          <w:rFonts w:hint="eastAsia" w:ascii="宋体" w:hAnsi="宋体" w:eastAsia="宋体" w:cs="宋体"/>
          <w:color w:val="auto"/>
          <w:kern w:val="2"/>
          <w:sz w:val="24"/>
          <w:szCs w:val="21"/>
          <w:highlight w:val="none"/>
        </w:rPr>
        <w:t>（甲方）</w:t>
      </w:r>
    </w:p>
    <w:p w14:paraId="7BFBA0D9">
      <w:pPr>
        <w:keepNext w:val="0"/>
        <w:keepLines w:val="0"/>
        <w:pageBreakBefore w:val="0"/>
        <w:kinsoku/>
        <w:wordWrap/>
        <w:overflowPunct/>
        <w:topLinePunct w:val="0"/>
        <w:bidi w:val="0"/>
        <w:spacing w:line="500" w:lineRule="exact"/>
        <w:ind w:firstLine="480" w:firstLineChars="200"/>
        <w:jc w:val="left"/>
        <w:textAlignment w:val="auto"/>
        <w:rPr>
          <w:rFonts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中标单位：</w:t>
      </w:r>
      <w:r>
        <w:rPr>
          <w:rFonts w:hint="eastAsia" w:ascii="宋体" w:hAnsi="宋体" w:eastAsia="宋体" w:cs="宋体"/>
          <w:color w:val="auto"/>
          <w:kern w:val="2"/>
          <w:sz w:val="24"/>
          <w:szCs w:val="21"/>
          <w:highlight w:val="none"/>
          <w:u w:val="single"/>
        </w:rPr>
        <w:t>　　　　　　　　　　　　　　　　　　　　　　</w:t>
      </w:r>
      <w:r>
        <w:rPr>
          <w:rFonts w:hint="eastAsia" w:ascii="宋体" w:hAnsi="宋体" w:eastAsia="宋体" w:cs="宋体"/>
          <w:color w:val="auto"/>
          <w:kern w:val="2"/>
          <w:sz w:val="24"/>
          <w:szCs w:val="21"/>
          <w:highlight w:val="none"/>
        </w:rPr>
        <w:t>（乙方）</w:t>
      </w:r>
    </w:p>
    <w:p w14:paraId="4FEB442C">
      <w:pPr>
        <w:keepNext w:val="0"/>
        <w:keepLines w:val="0"/>
        <w:pageBreakBefore w:val="0"/>
        <w:kinsoku/>
        <w:wordWrap/>
        <w:overflowPunct/>
        <w:topLinePunct w:val="0"/>
        <w:bidi w:val="0"/>
        <w:spacing w:line="500" w:lineRule="exact"/>
        <w:ind w:firstLine="480" w:firstLineChars="200"/>
        <w:textAlignment w:val="auto"/>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根据《中华人民共和国民法典</w:t>
      </w:r>
      <w:r>
        <w:rPr>
          <w:rFonts w:hint="eastAsia" w:ascii="宋体" w:hAnsi="宋体" w:eastAsia="宋体" w:cs="宋体"/>
          <w:color w:val="auto"/>
          <w:kern w:val="0"/>
          <w:sz w:val="24"/>
          <w:szCs w:val="21"/>
          <w:highlight w:val="none"/>
          <w:lang w:eastAsia="zh-CN"/>
        </w:rPr>
        <w:t>》《</w:t>
      </w:r>
      <w:r>
        <w:rPr>
          <w:rFonts w:hint="eastAsia" w:ascii="宋体" w:hAnsi="宋体" w:eastAsia="宋体" w:cs="宋体"/>
          <w:color w:val="auto"/>
          <w:kern w:val="2"/>
          <w:sz w:val="24"/>
          <w:szCs w:val="21"/>
          <w:highlight w:val="none"/>
        </w:rPr>
        <w:t>中华人民共和国政府采购法》，</w:t>
      </w:r>
      <w:r>
        <w:rPr>
          <w:rFonts w:hint="eastAsia" w:ascii="宋体" w:hAnsi="宋体" w:eastAsia="宋体" w:cs="宋体"/>
          <w:color w:val="auto"/>
          <w:kern w:val="0"/>
          <w:sz w:val="24"/>
          <w:szCs w:val="21"/>
          <w:highlight w:val="none"/>
        </w:rPr>
        <w:t>政府采购编号为</w:t>
      </w:r>
      <w:r>
        <w:rPr>
          <w:rFonts w:hint="eastAsia" w:ascii="宋体" w:hAnsi="宋体" w:eastAsia="宋体" w:cs="宋体"/>
          <w:color w:val="auto"/>
          <w:kern w:val="0"/>
          <w:sz w:val="24"/>
          <w:szCs w:val="21"/>
          <w:highlight w:val="none"/>
          <w:u w:val="single"/>
          <w:lang w:val="en-US" w:eastAsia="zh-CN"/>
        </w:rPr>
        <w:t xml:space="preserve">  FSJZCS2025030 </w:t>
      </w:r>
      <w:r>
        <w:rPr>
          <w:rFonts w:hint="eastAsia" w:ascii="宋体" w:hAnsi="宋体" w:eastAsia="宋体" w:cs="宋体"/>
          <w:color w:val="auto"/>
          <w:kern w:val="0"/>
          <w:sz w:val="24"/>
          <w:szCs w:val="21"/>
          <w:highlight w:val="none"/>
        </w:rPr>
        <w:t>磋商文件、</w:t>
      </w:r>
      <w:r>
        <w:rPr>
          <w:rFonts w:hint="eastAsia" w:ascii="宋体" w:hAnsi="宋体" w:eastAsia="宋体" w:cs="宋体"/>
          <w:color w:val="auto"/>
          <w:kern w:val="0"/>
          <w:sz w:val="24"/>
          <w:szCs w:val="21"/>
          <w:highlight w:val="none"/>
          <w:lang w:val="en-US" w:eastAsia="zh-CN"/>
        </w:rPr>
        <w:t>乙方</w:t>
      </w:r>
      <w:r>
        <w:rPr>
          <w:rFonts w:hint="eastAsia" w:ascii="宋体" w:hAnsi="宋体" w:eastAsia="宋体" w:cs="宋体"/>
          <w:color w:val="auto"/>
          <w:kern w:val="0"/>
          <w:sz w:val="24"/>
          <w:szCs w:val="21"/>
          <w:highlight w:val="none"/>
        </w:rPr>
        <w:t>响应文件的规定，经竞争性磋商采购，签订本合同。</w:t>
      </w:r>
    </w:p>
    <w:p w14:paraId="3184006E">
      <w:pPr>
        <w:keepNext w:val="0"/>
        <w:keepLines w:val="0"/>
        <w:pageBreakBefore w:val="0"/>
        <w:widowControl w:val="0"/>
        <w:kinsoku/>
        <w:wordWrap/>
        <w:overflowPunct/>
        <w:topLinePunct w:val="0"/>
        <w:autoSpaceDE/>
        <w:autoSpaceDN/>
        <w:bidi w:val="0"/>
        <w:spacing w:line="360" w:lineRule="auto"/>
        <w:ind w:left="0" w:firstLine="482" w:firstLineChars="20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第一条：项目基本情况</w:t>
      </w:r>
    </w:p>
    <w:p w14:paraId="75CBA1B0">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绍兴市上虞第二人民医院是一家二级甲等综合性医院。占地面积56亩，建筑面积30000余平方米，座落于上虞区崧厦街道。医院现开放床位280张，设6个住院病区，本次保安服务主要内容：治安、监控、消防、门岗、控烟、车辆管理等工作，做好防火、防盗、防爆、防破坏、防恐怖、防自然灾害、处置突发事件、协助处理医患纠纷等工作，保持医院正常的医疗秩序，有效保护医务人员的人身安全，保障院内交通顺畅，停车有序，保障医院重大活动的保安等工作</w:t>
      </w:r>
      <w:r>
        <w:rPr>
          <w:rFonts w:hint="eastAsia" w:ascii="宋体" w:hAnsi="宋体" w:eastAsia="宋体" w:cs="宋体"/>
          <w:color w:val="auto"/>
          <w:kern w:val="2"/>
          <w:sz w:val="24"/>
          <w:szCs w:val="24"/>
          <w:highlight w:val="none"/>
          <w:lang w:eastAsia="zh-CN"/>
        </w:rPr>
        <w:t>。</w:t>
      </w:r>
    </w:p>
    <w:p w14:paraId="1AE84EA8">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人员配备表：</w:t>
      </w:r>
    </w:p>
    <w:p w14:paraId="0B5E730D">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2"/>
          <w:sz w:val="24"/>
          <w:szCs w:val="24"/>
          <w:highlight w:val="none"/>
          <w:lang w:val="en-US" w:eastAsia="zh-CN"/>
        </w:rPr>
        <w:t>根据磋商响应文件</w:t>
      </w:r>
      <w:r>
        <w:rPr>
          <w:rFonts w:hint="eastAsia" w:ascii="宋体" w:hAnsi="宋体" w:eastAsia="宋体" w:cs="宋体"/>
          <w:color w:val="auto"/>
          <w:kern w:val="2"/>
          <w:sz w:val="24"/>
          <w:szCs w:val="24"/>
          <w:highlight w:val="none"/>
        </w:rPr>
        <w:t>。</w:t>
      </w:r>
    </w:p>
    <w:p w14:paraId="7327F62C">
      <w:pPr>
        <w:keepNext w:val="0"/>
        <w:keepLines w:val="0"/>
        <w:pageBreakBefore w:val="0"/>
        <w:widowControl w:val="0"/>
        <w:tabs>
          <w:tab w:val="left" w:pos="772"/>
        </w:tabs>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第二条：</w:t>
      </w:r>
      <w:r>
        <w:rPr>
          <w:rFonts w:hint="eastAsia" w:ascii="宋体" w:hAnsi="宋体" w:eastAsia="宋体" w:cs="宋体"/>
          <w:b/>
          <w:color w:val="auto"/>
          <w:kern w:val="2"/>
          <w:sz w:val="24"/>
          <w:szCs w:val="21"/>
          <w:highlight w:val="none"/>
          <w:lang w:val="en-US" w:eastAsia="zh-CN"/>
        </w:rPr>
        <w:t>安保</w:t>
      </w:r>
      <w:r>
        <w:rPr>
          <w:rFonts w:hint="eastAsia" w:ascii="宋体" w:hAnsi="宋体" w:eastAsia="宋体" w:cs="宋体"/>
          <w:b/>
          <w:color w:val="auto"/>
          <w:kern w:val="2"/>
          <w:sz w:val="24"/>
          <w:szCs w:val="21"/>
          <w:highlight w:val="none"/>
        </w:rPr>
        <w:t>服务期限</w:t>
      </w:r>
    </w:p>
    <w:p w14:paraId="2B7622C2">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1、本项目招标期限为</w:t>
      </w: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年。自</w:t>
      </w:r>
      <w:r>
        <w:rPr>
          <w:rFonts w:hint="eastAsia" w:ascii="宋体" w:hAnsi="宋体" w:eastAsia="宋体" w:cs="宋体"/>
          <w:color w:val="auto"/>
          <w:kern w:val="2"/>
          <w:sz w:val="24"/>
          <w:szCs w:val="24"/>
          <w:highlight w:val="none"/>
          <w:lang w:val="en-US" w:eastAsia="zh-CN"/>
        </w:rPr>
        <w:t>2025</w:t>
      </w:r>
      <w:r>
        <w:rPr>
          <w:rFonts w:hint="eastAsia" w:ascii="宋体" w:hAnsi="宋体" w:eastAsia="宋体" w:cs="宋体"/>
          <w:color w:val="auto"/>
          <w:kern w:val="2"/>
          <w:sz w:val="24"/>
          <w:szCs w:val="24"/>
          <w:highlight w:val="none"/>
        </w:rPr>
        <w:t>年  月  日起至</w:t>
      </w:r>
      <w:r>
        <w:rPr>
          <w:rFonts w:hint="eastAsia" w:ascii="宋体" w:hAnsi="宋体" w:eastAsia="宋体" w:cs="宋体"/>
          <w:color w:val="auto"/>
          <w:kern w:val="2"/>
          <w:sz w:val="24"/>
          <w:szCs w:val="24"/>
          <w:highlight w:val="none"/>
          <w:lang w:val="en-US" w:eastAsia="zh-CN"/>
        </w:rPr>
        <w:t>2027</w:t>
      </w:r>
      <w:r>
        <w:rPr>
          <w:rFonts w:hint="eastAsia" w:ascii="宋体" w:hAnsi="宋体" w:eastAsia="宋体" w:cs="宋体"/>
          <w:color w:val="auto"/>
          <w:kern w:val="2"/>
          <w:sz w:val="24"/>
          <w:szCs w:val="24"/>
          <w:highlight w:val="none"/>
        </w:rPr>
        <w:t>年  月  日止</w:t>
      </w:r>
      <w:r>
        <w:rPr>
          <w:rFonts w:hint="eastAsia" w:ascii="宋体" w:hAnsi="宋体" w:eastAsia="宋体" w:cs="宋体"/>
          <w:color w:val="auto"/>
          <w:kern w:val="2"/>
          <w:sz w:val="24"/>
          <w:szCs w:val="24"/>
          <w:highlight w:val="none"/>
          <w:lang w:eastAsia="zh-CN"/>
        </w:rPr>
        <w:t>。</w:t>
      </w:r>
    </w:p>
    <w:p w14:paraId="4FBA9363">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2、正式进场时间为服务期限起算时间。</w:t>
      </w:r>
    </w:p>
    <w:p w14:paraId="41BA0CC4">
      <w:pPr>
        <w:keepNext w:val="0"/>
        <w:keepLines w:val="0"/>
        <w:pageBreakBefore w:val="0"/>
        <w:widowControl w:val="0"/>
        <w:tabs>
          <w:tab w:val="left" w:pos="772"/>
        </w:tabs>
        <w:kinsoku/>
        <w:wordWrap/>
        <w:overflowPunct/>
        <w:topLinePunct w:val="0"/>
        <w:autoSpaceDE/>
        <w:autoSpaceDN/>
        <w:bidi w:val="0"/>
        <w:spacing w:line="360" w:lineRule="auto"/>
        <w:ind w:left="0" w:firstLine="482" w:firstLineChars="200"/>
        <w:textAlignment w:val="auto"/>
        <w:rPr>
          <w:rFonts w:hint="default" w:ascii="宋体" w:hAnsi="宋体" w:eastAsia="宋体" w:cs="宋体"/>
          <w:b/>
          <w:color w:val="auto"/>
          <w:kern w:val="2"/>
          <w:sz w:val="24"/>
          <w:szCs w:val="21"/>
          <w:highlight w:val="none"/>
          <w:lang w:val="en-US" w:eastAsia="zh-CN"/>
        </w:rPr>
      </w:pPr>
      <w:r>
        <w:rPr>
          <w:rFonts w:hint="eastAsia" w:ascii="宋体" w:hAnsi="宋体" w:eastAsia="宋体" w:cs="宋体"/>
          <w:b/>
          <w:color w:val="auto"/>
          <w:kern w:val="2"/>
          <w:sz w:val="24"/>
          <w:szCs w:val="21"/>
          <w:highlight w:val="none"/>
        </w:rPr>
        <w:t>第</w:t>
      </w:r>
      <w:r>
        <w:rPr>
          <w:rFonts w:hint="eastAsia" w:ascii="宋体" w:hAnsi="宋体" w:eastAsia="宋体" w:cs="宋体"/>
          <w:b/>
          <w:color w:val="auto"/>
          <w:kern w:val="2"/>
          <w:sz w:val="24"/>
          <w:szCs w:val="21"/>
          <w:highlight w:val="none"/>
          <w:lang w:val="en-US" w:eastAsia="zh-CN"/>
        </w:rPr>
        <w:t>三</w:t>
      </w:r>
      <w:r>
        <w:rPr>
          <w:rFonts w:hint="eastAsia" w:ascii="宋体" w:hAnsi="宋体" w:eastAsia="宋体" w:cs="宋体"/>
          <w:b/>
          <w:color w:val="auto"/>
          <w:kern w:val="2"/>
          <w:sz w:val="24"/>
          <w:szCs w:val="21"/>
          <w:highlight w:val="none"/>
        </w:rPr>
        <w:t>条：</w:t>
      </w:r>
      <w:r>
        <w:rPr>
          <w:rFonts w:hint="eastAsia" w:ascii="宋体" w:hAnsi="宋体" w:eastAsia="宋体" w:cs="宋体"/>
          <w:b/>
          <w:color w:val="auto"/>
          <w:kern w:val="2"/>
          <w:sz w:val="24"/>
          <w:szCs w:val="21"/>
          <w:highlight w:val="none"/>
          <w:lang w:val="en-US" w:eastAsia="zh-CN"/>
        </w:rPr>
        <w:t>合同价及付款方式</w:t>
      </w:r>
    </w:p>
    <w:p w14:paraId="1FE83051">
      <w:pPr>
        <w:keepNext w:val="0"/>
        <w:keepLines w:val="0"/>
        <w:pageBreakBefore w:val="0"/>
        <w:widowControl w:val="0"/>
        <w:numPr>
          <w:ilvl w:val="0"/>
          <w:numId w:val="29"/>
        </w:numPr>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合同金额：大写：______________小写：_____________</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每月服务费：</w:t>
      </w:r>
      <w:r>
        <w:rPr>
          <w:rFonts w:hint="eastAsia" w:ascii="宋体" w:hAnsi="宋体" w:eastAsia="宋体" w:cs="宋体"/>
          <w:color w:val="auto"/>
          <w:kern w:val="2"/>
          <w:sz w:val="24"/>
          <w:szCs w:val="24"/>
          <w:highlight w:val="none"/>
        </w:rPr>
        <w:t>大写：______________小写：_____________</w:t>
      </w:r>
      <w:r>
        <w:rPr>
          <w:rFonts w:hint="eastAsia" w:ascii="宋体" w:hAnsi="宋体" w:eastAsia="宋体" w:cs="宋体"/>
          <w:color w:val="auto"/>
          <w:kern w:val="2"/>
          <w:sz w:val="24"/>
          <w:szCs w:val="24"/>
          <w:highlight w:val="none"/>
          <w:lang w:eastAsia="zh-CN"/>
        </w:rPr>
        <w:t>。</w:t>
      </w:r>
    </w:p>
    <w:p w14:paraId="078FAD4C">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合同金额</w:t>
      </w:r>
      <w:r>
        <w:rPr>
          <w:rFonts w:hint="eastAsia" w:ascii="宋体" w:hAnsi="宋体" w:eastAsia="宋体" w:cs="宋体"/>
          <w:color w:val="auto"/>
          <w:kern w:val="2"/>
          <w:sz w:val="24"/>
          <w:szCs w:val="24"/>
          <w:highlight w:val="none"/>
          <w:lang w:val="en-US" w:eastAsia="zh-CN"/>
        </w:rPr>
        <w:t>包含项目所需全部服务，不得缺漏，是履行合同的最终价格，包括人员的工资福利、员工五险费(养老保险、医疗保险、失业保险、工伤保险、生育保险)、</w:t>
      </w:r>
      <w:r>
        <w:rPr>
          <w:rFonts w:hint="eastAsia" w:ascii="宋体" w:hAnsi="宋体" w:eastAsia="宋体" w:cs="宋体"/>
          <w:color w:val="auto"/>
          <w:kern w:val="2"/>
          <w:sz w:val="24"/>
          <w:szCs w:val="24"/>
          <w:highlight w:val="none"/>
        </w:rPr>
        <w:t>值勤所需的装备、器材、通讯设备、常用办公耗材</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对讲机、橡皮棒、手电筒、雨衣雨鞋</w:t>
      </w:r>
      <w:r>
        <w:rPr>
          <w:rFonts w:hint="eastAsia" w:ascii="宋体" w:hAnsi="宋体" w:eastAsia="宋体" w:cs="宋体"/>
          <w:color w:val="auto"/>
          <w:kern w:val="2"/>
          <w:sz w:val="24"/>
          <w:szCs w:val="24"/>
          <w:highlight w:val="none"/>
          <w:lang w:val="en-US" w:eastAsia="zh-CN"/>
        </w:rPr>
        <w:t>等）、招标代理服务费、管理费、税费与本项目相关的其他一切费用等。</w:t>
      </w:r>
    </w:p>
    <w:p w14:paraId="3EDD535B">
      <w:pPr>
        <w:keepNext w:val="0"/>
        <w:keepLines w:val="0"/>
        <w:pageBreakBefore w:val="0"/>
        <w:widowControl w:val="0"/>
        <w:numPr>
          <w:ilvl w:val="0"/>
          <w:numId w:val="29"/>
        </w:numPr>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甲方在合同签订后7个工作日内，向乙方支付合同总价的20%作为预付款（乙方须先提交银行、保险公司等金融机构出具的预付款保函，预付款保函有效期不得少于12个月；如果在签订合同时，乙方明确表示无需预付款或者主动要求降低预付款比例的，应提交相应申请函经甲方确认后，可不适用前述规定）；</w:t>
      </w:r>
      <w:r>
        <w:rPr>
          <w:rFonts w:hint="eastAsia" w:ascii="宋体" w:hAnsi="宋体" w:eastAsia="宋体" w:cs="宋体"/>
          <w:color w:val="auto"/>
          <w:sz w:val="24"/>
          <w:szCs w:val="21"/>
          <w:highlight w:val="none"/>
          <w:lang w:val="en-US" w:eastAsia="zh-CN"/>
        </w:rPr>
        <w:t>预付款在</w:t>
      </w:r>
      <w:r>
        <w:rPr>
          <w:rFonts w:hint="eastAsia" w:ascii="宋体" w:hAnsi="宋体" w:cs="宋体"/>
          <w:color w:val="auto"/>
          <w:sz w:val="24"/>
          <w:szCs w:val="21"/>
          <w:highlight w:val="none"/>
          <w:lang w:val="en-US" w:eastAsia="zh-CN"/>
        </w:rPr>
        <w:t>服务费</w:t>
      </w:r>
      <w:r>
        <w:rPr>
          <w:rFonts w:hint="eastAsia" w:ascii="宋体" w:hAnsi="宋体" w:eastAsia="宋体" w:cs="宋体"/>
          <w:color w:val="auto"/>
          <w:sz w:val="24"/>
          <w:szCs w:val="21"/>
          <w:highlight w:val="none"/>
          <w:lang w:val="en-US" w:eastAsia="zh-CN"/>
        </w:rPr>
        <w:t>累计金额达到签约合同价的20％时一次性扣回。</w:t>
      </w:r>
    </w:p>
    <w:p w14:paraId="0BCE2AFE">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、付款方式</w:t>
      </w:r>
    </w:p>
    <w:p w14:paraId="55CDC3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32"/>
          <w:highlight w:val="none"/>
          <w:lang w:val="en-US" w:eastAsia="zh-CN"/>
        </w:rPr>
      </w:pPr>
      <w:bookmarkStart w:id="140" w:name="_Toc277772230"/>
      <w:bookmarkStart w:id="141" w:name="_Toc277772394"/>
      <w:r>
        <w:rPr>
          <w:rFonts w:hint="eastAsia" w:ascii="宋体" w:hAnsi="宋体" w:eastAsia="宋体" w:cs="宋体"/>
          <w:color w:val="auto"/>
          <w:kern w:val="2"/>
          <w:sz w:val="24"/>
          <w:szCs w:val="32"/>
          <w:highlight w:val="none"/>
          <w:lang w:val="en-US" w:eastAsia="zh-CN"/>
        </w:rPr>
        <w:t>服务费按合同约定总价平均按月支付，先做后付，考核合格后根据考核情况在次月月底日前支付上月安保费用，具体考核标准详见《上虞第二人民医院安保服务项目考核细则》。乙方应当在甲方每次付款前向甲方开具发票，甲方凭票付款，若乙方未按约开具发票，甲方有权拒绝付款并不承担逾期付款的违约责任。</w:t>
      </w:r>
    </w:p>
    <w:p w14:paraId="27EB9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32"/>
          <w:highlight w:val="none"/>
          <w:lang w:val="en-US" w:eastAsia="zh-CN"/>
        </w:rPr>
        <w:t>注：合同履行期间，甲方根据实际需要调整人员，乙方需根据甲方要求调整相应人员，调整的人员费用根据中标单价按实增减结算。如为增加费用的，增加部分不超过原合同价的10%</w:t>
      </w:r>
      <w:r>
        <w:rPr>
          <w:rFonts w:hint="eastAsia" w:ascii="宋体" w:hAnsi="宋体" w:eastAsia="宋体" w:cs="宋体"/>
          <w:color w:val="auto"/>
          <w:kern w:val="2"/>
          <w:sz w:val="24"/>
          <w:szCs w:val="21"/>
          <w:highlight w:val="none"/>
          <w:lang w:val="en-US" w:eastAsia="zh-CN"/>
        </w:rPr>
        <w:t>。</w:t>
      </w:r>
    </w:p>
    <w:p w14:paraId="1ED7B2C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宋体" w:hAnsi="宋体" w:eastAsia="宋体" w:cs="宋体"/>
          <w:b/>
          <w:bCs w:val="0"/>
          <w:color w:val="auto"/>
          <w:kern w:val="2"/>
          <w:sz w:val="24"/>
          <w:szCs w:val="21"/>
          <w:highlight w:val="none"/>
          <w:lang w:val="en-US" w:eastAsia="zh-CN"/>
        </w:rPr>
      </w:pPr>
      <w:r>
        <w:rPr>
          <w:rFonts w:hint="eastAsia" w:ascii="宋体" w:hAnsi="宋体" w:eastAsia="宋体" w:cs="宋体"/>
          <w:b/>
          <w:bCs w:val="0"/>
          <w:color w:val="auto"/>
          <w:kern w:val="2"/>
          <w:sz w:val="24"/>
          <w:szCs w:val="21"/>
          <w:highlight w:val="none"/>
        </w:rPr>
        <w:t>第</w:t>
      </w:r>
      <w:r>
        <w:rPr>
          <w:rFonts w:hint="eastAsia" w:ascii="宋体" w:hAnsi="宋体" w:eastAsia="宋体" w:cs="宋体"/>
          <w:b/>
          <w:bCs w:val="0"/>
          <w:color w:val="auto"/>
          <w:kern w:val="2"/>
          <w:sz w:val="24"/>
          <w:szCs w:val="21"/>
          <w:highlight w:val="none"/>
          <w:lang w:val="en-US" w:eastAsia="zh-CN"/>
        </w:rPr>
        <w:t>四</w:t>
      </w:r>
      <w:r>
        <w:rPr>
          <w:rFonts w:hint="eastAsia" w:ascii="宋体" w:hAnsi="宋体" w:eastAsia="宋体" w:cs="宋体"/>
          <w:b/>
          <w:bCs w:val="0"/>
          <w:color w:val="auto"/>
          <w:kern w:val="2"/>
          <w:sz w:val="24"/>
          <w:szCs w:val="21"/>
          <w:highlight w:val="none"/>
        </w:rPr>
        <w:t>条：</w:t>
      </w:r>
      <w:bookmarkEnd w:id="140"/>
      <w:bookmarkEnd w:id="141"/>
      <w:r>
        <w:rPr>
          <w:rFonts w:hint="eastAsia" w:ascii="宋体" w:hAnsi="宋体" w:eastAsia="宋体" w:cs="宋体"/>
          <w:b/>
          <w:bCs w:val="0"/>
          <w:color w:val="auto"/>
          <w:kern w:val="2"/>
          <w:sz w:val="24"/>
          <w:szCs w:val="21"/>
          <w:highlight w:val="none"/>
          <w:lang w:val="en-US" w:eastAsia="zh-CN"/>
        </w:rPr>
        <w:t>履约保证金</w:t>
      </w:r>
    </w:p>
    <w:p w14:paraId="77312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32"/>
          <w:highlight w:val="none"/>
          <w:lang w:val="en-US" w:eastAsia="zh-CN"/>
        </w:rPr>
      </w:pPr>
      <w:r>
        <w:rPr>
          <w:rFonts w:hint="eastAsia" w:ascii="宋体" w:hAnsi="宋体" w:eastAsia="宋体" w:cs="宋体"/>
          <w:color w:val="auto"/>
          <w:kern w:val="2"/>
          <w:sz w:val="24"/>
          <w:szCs w:val="32"/>
          <w:highlight w:val="none"/>
          <w:lang w:val="en-US" w:eastAsia="zh-CN"/>
        </w:rPr>
        <w:t>乙方在收到中标通知书后，需向甲方提供合同总价的 1%的履约保证金，在乙方与甲方签订合同前递交。（乙方应当以支票、汇票、本票或者金融机构、保险公司、担保机构出具的保函等非现金形式提交）</w:t>
      </w:r>
    </w:p>
    <w:p w14:paraId="407FD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32"/>
          <w:highlight w:val="none"/>
          <w:lang w:val="en-US" w:eastAsia="zh-CN"/>
        </w:rPr>
      </w:pPr>
      <w:r>
        <w:rPr>
          <w:rFonts w:hint="eastAsia" w:ascii="宋体" w:hAnsi="宋体" w:eastAsia="宋体" w:cs="宋体"/>
          <w:color w:val="auto"/>
          <w:kern w:val="2"/>
          <w:sz w:val="24"/>
          <w:szCs w:val="32"/>
          <w:highlight w:val="none"/>
          <w:lang w:val="en-US" w:eastAsia="zh-CN"/>
        </w:rPr>
        <w:t>甲方在合同期满后或提前终止合同后一个月内向乙方无息退还。</w:t>
      </w:r>
    </w:p>
    <w:p w14:paraId="12CEF63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1"/>
          <w:highlight w:val="none"/>
        </w:rPr>
        <w:t>第</w:t>
      </w:r>
      <w:r>
        <w:rPr>
          <w:rFonts w:hint="eastAsia" w:ascii="宋体" w:hAnsi="宋体" w:eastAsia="宋体" w:cs="宋体"/>
          <w:b/>
          <w:bCs w:val="0"/>
          <w:color w:val="auto"/>
          <w:kern w:val="2"/>
          <w:sz w:val="24"/>
          <w:szCs w:val="21"/>
          <w:highlight w:val="none"/>
          <w:lang w:val="en-US" w:eastAsia="zh-CN"/>
        </w:rPr>
        <w:t>五</w:t>
      </w:r>
      <w:r>
        <w:rPr>
          <w:rFonts w:hint="eastAsia" w:ascii="宋体" w:hAnsi="宋体" w:eastAsia="宋体" w:cs="宋体"/>
          <w:b/>
          <w:bCs w:val="0"/>
          <w:color w:val="auto"/>
          <w:kern w:val="2"/>
          <w:sz w:val="24"/>
          <w:szCs w:val="21"/>
          <w:highlight w:val="none"/>
        </w:rPr>
        <w:t>条：</w:t>
      </w:r>
      <w:r>
        <w:rPr>
          <w:rFonts w:hint="eastAsia" w:ascii="宋体" w:hAnsi="宋体" w:eastAsia="宋体" w:cs="宋体"/>
          <w:b/>
          <w:bCs w:val="0"/>
          <w:color w:val="auto"/>
          <w:kern w:val="2"/>
          <w:sz w:val="24"/>
          <w:szCs w:val="24"/>
          <w:highlight w:val="none"/>
        </w:rPr>
        <w:t>工作职责要求</w:t>
      </w:r>
    </w:p>
    <w:p w14:paraId="0B580044">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（一）人员要求</w:t>
      </w:r>
    </w:p>
    <w:p w14:paraId="51788948">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rPr>
        <w:t>1．保安从业人员须持证（安保证/消控证）上岗，应知法，懂法，守法，依法办事，必须严格遵守保安从业规范，遵守医院安全管理规定。</w:t>
      </w:r>
      <w:r>
        <w:rPr>
          <w:rFonts w:hint="eastAsia" w:ascii="宋体" w:hAnsi="宋体" w:eastAsia="宋体" w:cs="宋体"/>
          <w:b/>
          <w:bCs/>
          <w:color w:val="auto"/>
          <w:kern w:val="2"/>
          <w:sz w:val="24"/>
          <w:szCs w:val="24"/>
          <w:highlight w:val="none"/>
          <w:lang w:val="en-US" w:eastAsia="zh-CN"/>
        </w:rPr>
        <w:t>50周岁</w:t>
      </w:r>
      <w:r>
        <w:rPr>
          <w:rFonts w:hint="eastAsia" w:ascii="宋体" w:hAnsi="宋体" w:cs="宋体"/>
          <w:b/>
          <w:bCs/>
          <w:color w:val="auto"/>
          <w:kern w:val="2"/>
          <w:sz w:val="24"/>
          <w:szCs w:val="24"/>
          <w:highlight w:val="none"/>
          <w:lang w:val="en-US" w:eastAsia="zh-CN"/>
        </w:rPr>
        <w:t>（含）</w:t>
      </w:r>
      <w:r>
        <w:rPr>
          <w:rFonts w:hint="eastAsia" w:ascii="宋体" w:hAnsi="宋体" w:eastAsia="宋体" w:cs="宋体"/>
          <w:b/>
          <w:bCs/>
          <w:color w:val="auto"/>
          <w:kern w:val="2"/>
          <w:sz w:val="24"/>
          <w:szCs w:val="24"/>
          <w:highlight w:val="none"/>
        </w:rPr>
        <w:t>及以下的安保人员占比不少于20%</w:t>
      </w:r>
      <w:r>
        <w:rPr>
          <w:rFonts w:hint="eastAsia" w:ascii="宋体" w:hAnsi="宋体" w:eastAsia="宋体" w:cs="宋体"/>
          <w:b/>
          <w:bCs/>
          <w:color w:val="auto"/>
          <w:kern w:val="2"/>
          <w:sz w:val="24"/>
          <w:szCs w:val="24"/>
          <w:highlight w:val="none"/>
          <w:lang w:eastAsia="zh-CN"/>
        </w:rPr>
        <w:t>。</w:t>
      </w:r>
    </w:p>
    <w:p w14:paraId="6603BE35">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保安队长应具备有较高的政治思想素养和业务水平，有较强的组织协调能力，受过专门的保安业务培训，有一定保安管理经验。年龄在25周岁-50周岁之间，身体健康，没有传染病及精神病等不能控制自己行为能力的疾病病史，体貌端正，没有犯罪记录，具有高中以上文化程度。</w:t>
      </w:r>
    </w:p>
    <w:p w14:paraId="32A52127">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3．消控人员：消控中心人员须提供持有消控证，须在中标后合同签订前提交相关证书原件核查。年龄20周岁-60周岁之间。</w:t>
      </w:r>
    </w:p>
    <w:p w14:paraId="7B7AA980">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4．轮休岗位顶替安保：年龄20周岁-50周岁之间，性别要求为男性，身高</w:t>
      </w:r>
      <w:r>
        <w:rPr>
          <w:rFonts w:hint="eastAsia" w:ascii="宋体" w:hAnsi="宋体" w:eastAsia="宋体" w:cs="宋体"/>
          <w:color w:val="auto"/>
          <w:kern w:val="2"/>
          <w:sz w:val="24"/>
          <w:szCs w:val="24"/>
          <w:highlight w:val="none"/>
          <w:lang w:eastAsia="zh-CN"/>
        </w:rPr>
        <w:t>170</w:t>
      </w:r>
      <w:r>
        <w:rPr>
          <w:rFonts w:hint="eastAsia" w:ascii="宋体" w:hAnsi="宋体" w:eastAsia="宋体" w:cs="宋体"/>
          <w:color w:val="auto"/>
          <w:kern w:val="2"/>
          <w:sz w:val="24"/>
          <w:szCs w:val="24"/>
          <w:highlight w:val="none"/>
        </w:rPr>
        <w:t>cm以上，身体健康，没有传染病及精神病等不能控制自己行为能力的疾病病史，体貌端正，身手敏捷，没有犯罪记录，具有初中及以上文化程度，退伍军人和有经验的特殊保安老队员可优先。</w:t>
      </w:r>
    </w:p>
    <w:p w14:paraId="22C75400">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5．所聘用的保安人员有吃苦耐劳的精神和高度的责任感，受过专门岗前培训，熟知</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的管理规定，严格履行岗位职责，善于发现各类问题，具备一定的管理经验和处理突发事件能力；招收的新队员须先经公安系统查询有无犯罪记录，查询合格后经上岗培训合格，方可上岗。</w:t>
      </w:r>
    </w:p>
    <w:p w14:paraId="20CA2207">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（二）保安人员岗位职责要求</w:t>
      </w:r>
    </w:p>
    <w:p w14:paraId="4750391C">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①　巡查人员：发现和排除各种不安全因素，及时处置各种违法犯罪行为；听从队长工作安排与指挥调度，善于发现、分析处理各种事故隐患和突发事件；配合医院总务科和相关科室处理各类纠纷和治安案件，配合医院对违规事件的调查，协助公安机关对案件的排查，有突发状况须在</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分钟内响应</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3分钟</w:t>
      </w:r>
      <w:r>
        <w:rPr>
          <w:rFonts w:hint="eastAsia" w:ascii="宋体" w:hAnsi="宋体" w:cs="宋体"/>
          <w:color w:val="auto"/>
          <w:kern w:val="2"/>
          <w:sz w:val="24"/>
          <w:szCs w:val="24"/>
          <w:highlight w:val="none"/>
          <w:lang w:eastAsia="zh-CN"/>
        </w:rPr>
        <w:t>内达到现场。</w:t>
      </w:r>
    </w:p>
    <w:p w14:paraId="2AF91DFD">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　警务室管理：严格人员、车辆、物资进出管理，确保门口道路通畅；按时立岗，礼貌待人，树立良好的窗口形象；对携物出门实行出门证验审制度，防止财物流失，严格把控医疗废弃物出院管理；与各岗卫互通信息；值班室无闲杂人员滞留，保持室内外环境整洁卫生，门前卫生三包；完成医院交办的其他事项。</w:t>
      </w:r>
    </w:p>
    <w:p w14:paraId="6547AFB6">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③　各区域人员：熟悉守护区域的情况特点，定点守卫与区域巡查相结合；掌握消防栓、灭火器等安全设施的位置、性能和使用方法；听从队长工作安排与指挥调度，及时处置突发事件；维护责任区域公共秩序，发现可疑人员主动盘问，发现违规行为，大胆管理，主动干预，发现异常及安全隐患，立即采取措施并报告，制止暴力事件，有效处置各种违法犯罪行为。</w:t>
      </w:r>
    </w:p>
    <w:p w14:paraId="76861175">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④　消防管理：定期检查记录院内公共部位的消防设施，确保完好。协助医院做好室外设施的日常维护；建立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总务科并设法消除；发生火警，能冷静处置，按预案进行火灾报警、人员疏散、组织扑救、抢救物资等工作。</w:t>
      </w:r>
    </w:p>
    <w:p w14:paraId="03D22F4D">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⑤　政治保卫：医院重大活动的安全警戒与秩序保障；配合做好重大事件的政治保卫工作。</w:t>
      </w:r>
    </w:p>
    <w:p w14:paraId="7738A731">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⑥　突发事件处理：医院突发事件处置、灾害预防、火灾扑救，发现和制止医院暴力事件，随时准备提供紧急救助。巡逻区域的响应时间为1分钟，院内其它区域的响应时间为3分钟，服务单位增援的在30分钟内。</w:t>
      </w:r>
    </w:p>
    <w:p w14:paraId="4F4F768E">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⑦　安全管理：医院内部安全隐患检查、排除及上报；违规纠正；有针对性地开展安全教育和提示。</w:t>
      </w:r>
    </w:p>
    <w:p w14:paraId="3487BED3">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⑧　其它应由保安人员完成的职责。</w:t>
      </w:r>
    </w:p>
    <w:p w14:paraId="7F58E615">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（三）日常管理：</w:t>
      </w:r>
    </w:p>
    <w:p w14:paraId="6A972382">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负责日常管理，</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负责监督、检查和考核。</w:t>
      </w:r>
    </w:p>
    <w:p w14:paraId="6F38D242">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为加强保安员日常管理，队长驻点负责。</w:t>
      </w:r>
    </w:p>
    <w:p w14:paraId="3C43E015">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实行昼夜查岗制：每周前半夜不少于一次，后半夜不少于一次。</w:t>
      </w:r>
    </w:p>
    <w:p w14:paraId="487C1372">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4．保安员每周进行一次例会，一次列队训练，一次学习来提高整体队伍素质，每月进行一次消防演练。</w:t>
      </w:r>
    </w:p>
    <w:p w14:paraId="681E336D">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注：所有的培训、例会、演练都应有纸质记录。</w:t>
      </w:r>
    </w:p>
    <w:p w14:paraId="244BA4E4">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（四）队伍内部建设与管理</w:t>
      </w:r>
    </w:p>
    <w:p w14:paraId="1FC5F6D1">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必须采取切实有效措施保持保安队伍的稳定，严格控制非违纪人员轮换岗比例，合同期限内轮换岗保安人员不得超过合同编制岗位数的50%；保安队伍主要管理员更换，应提前一周以书面形式通知</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,其他队员更换要即时告知</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；确保服务质量不因人员变动而受影响。</w:t>
      </w:r>
    </w:p>
    <w:p w14:paraId="07482AF3">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2．安保人员的应聘、录用、离职等管理档案规范，手续齐全，相应资料必须报医院总务（保卫）科备案。</w:t>
      </w:r>
    </w:p>
    <w:p w14:paraId="35E8253B">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必须信守承包承诺，认真落实具有相应的固定服务人员，服务人员必须统一穿着工作服，挂牌上岗并建立健全的管理制度。</w:t>
      </w:r>
    </w:p>
    <w:p w14:paraId="701D9004">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4．在服务期内</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遇到医院各类检查（如上级部门来院检查等）及突发事件时，应无条件加班，服从</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指挥安排管理。</w:t>
      </w:r>
    </w:p>
    <w:p w14:paraId="4A82E72D">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必须对员工发生的事故责任以及员工计生、身份、健康等承担责任；同时对员工在院内做出不良行为给医院造成影响承担责任</w:t>
      </w:r>
      <w:r>
        <w:rPr>
          <w:rFonts w:hint="eastAsia" w:ascii="宋体" w:hAnsi="宋体" w:eastAsia="宋体" w:cs="宋体"/>
          <w:color w:val="auto"/>
          <w:kern w:val="2"/>
          <w:sz w:val="24"/>
          <w:szCs w:val="24"/>
          <w:highlight w:val="none"/>
          <w:lang w:eastAsia="zh-CN"/>
        </w:rPr>
        <w:t>。</w:t>
      </w:r>
    </w:p>
    <w:p w14:paraId="13EF09C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宋体" w:hAnsi="宋体" w:eastAsia="宋体" w:cs="宋体"/>
          <w:b/>
          <w:bCs w:val="0"/>
          <w:color w:val="auto"/>
          <w:kern w:val="2"/>
          <w:sz w:val="24"/>
          <w:szCs w:val="21"/>
          <w:highlight w:val="none"/>
          <w:lang w:val="en-US" w:eastAsia="zh-CN"/>
        </w:rPr>
      </w:pPr>
      <w:r>
        <w:rPr>
          <w:rFonts w:hint="eastAsia" w:ascii="宋体" w:hAnsi="宋体" w:eastAsia="宋体" w:cs="宋体"/>
          <w:b/>
          <w:bCs w:val="0"/>
          <w:color w:val="auto"/>
          <w:kern w:val="2"/>
          <w:sz w:val="24"/>
          <w:szCs w:val="21"/>
          <w:highlight w:val="none"/>
        </w:rPr>
        <w:t>第</w:t>
      </w:r>
      <w:r>
        <w:rPr>
          <w:rFonts w:hint="eastAsia" w:ascii="宋体" w:hAnsi="宋体" w:eastAsia="宋体" w:cs="宋体"/>
          <w:b/>
          <w:bCs w:val="0"/>
          <w:color w:val="auto"/>
          <w:kern w:val="2"/>
          <w:sz w:val="24"/>
          <w:szCs w:val="21"/>
          <w:highlight w:val="none"/>
          <w:lang w:val="en-US" w:eastAsia="zh-CN"/>
        </w:rPr>
        <w:t>六</w:t>
      </w:r>
      <w:r>
        <w:rPr>
          <w:rFonts w:hint="eastAsia" w:ascii="宋体" w:hAnsi="宋体" w:eastAsia="宋体" w:cs="宋体"/>
          <w:b/>
          <w:bCs w:val="0"/>
          <w:color w:val="auto"/>
          <w:kern w:val="2"/>
          <w:sz w:val="24"/>
          <w:szCs w:val="21"/>
          <w:highlight w:val="none"/>
        </w:rPr>
        <w:t xml:space="preserve">条  </w:t>
      </w:r>
      <w:r>
        <w:rPr>
          <w:rFonts w:hint="eastAsia" w:ascii="宋体" w:hAnsi="宋体" w:eastAsia="宋体" w:cs="宋体"/>
          <w:b/>
          <w:bCs w:val="0"/>
          <w:color w:val="auto"/>
          <w:kern w:val="2"/>
          <w:sz w:val="24"/>
          <w:szCs w:val="21"/>
          <w:highlight w:val="none"/>
          <w:lang w:val="en-US" w:eastAsia="zh-CN"/>
        </w:rPr>
        <w:t>装备要求</w:t>
      </w:r>
    </w:p>
    <w:p w14:paraId="5ADD9F1F">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所有装备由乙方自行提供，至少包括磋商文件要求的装备，原医院的装备不算在此数量内，所有装备价格包含在合同总金额中。</w:t>
      </w:r>
    </w:p>
    <w:p w14:paraId="0119BBA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auto"/>
          <w:kern w:val="2"/>
          <w:sz w:val="24"/>
          <w:szCs w:val="21"/>
          <w:highlight w:val="none"/>
        </w:rPr>
      </w:pPr>
      <w:r>
        <w:rPr>
          <w:rFonts w:hint="eastAsia" w:ascii="宋体" w:hAnsi="宋体" w:eastAsia="宋体" w:cs="宋体"/>
          <w:b/>
          <w:bCs w:val="0"/>
          <w:color w:val="auto"/>
          <w:kern w:val="2"/>
          <w:sz w:val="24"/>
          <w:szCs w:val="21"/>
          <w:highlight w:val="none"/>
        </w:rPr>
        <w:t>第</w:t>
      </w:r>
      <w:r>
        <w:rPr>
          <w:rFonts w:hint="eastAsia" w:ascii="宋体" w:hAnsi="宋体" w:eastAsia="宋体" w:cs="宋体"/>
          <w:b/>
          <w:bCs w:val="0"/>
          <w:color w:val="auto"/>
          <w:kern w:val="2"/>
          <w:sz w:val="24"/>
          <w:szCs w:val="21"/>
          <w:highlight w:val="none"/>
          <w:lang w:val="en-US" w:eastAsia="zh-CN"/>
        </w:rPr>
        <w:t>七</w:t>
      </w:r>
      <w:r>
        <w:rPr>
          <w:rFonts w:hint="eastAsia" w:ascii="宋体" w:hAnsi="宋体" w:eastAsia="宋体" w:cs="宋体"/>
          <w:b/>
          <w:bCs w:val="0"/>
          <w:color w:val="auto"/>
          <w:kern w:val="2"/>
          <w:sz w:val="24"/>
          <w:szCs w:val="21"/>
          <w:highlight w:val="none"/>
        </w:rPr>
        <w:t>条  保险</w:t>
      </w:r>
    </w:p>
    <w:p w14:paraId="517724B7">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1.第三者责任保险</w:t>
      </w:r>
    </w:p>
    <w:p w14:paraId="1A11E116">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除甲方对事故的发生或扩大存在过错外，乙方应对乙方人员以及第三方全权负责(如乙方应投保第三责任险)，在乙方的责任区内由于乙方原因导致自己员工或第三方的事故由乙方负责，甲方不承担任何责任。</w:t>
      </w:r>
    </w:p>
    <w:p w14:paraId="3F12159E">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2.员工人身意外</w:t>
      </w:r>
    </w:p>
    <w:p w14:paraId="1C8DD1DA">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除甲方对事故的发生或扩大存在过错外，在</w:t>
      </w:r>
      <w:r>
        <w:rPr>
          <w:rFonts w:hint="eastAsia" w:ascii="宋体" w:hAnsi="宋体" w:eastAsia="宋体" w:cs="宋体"/>
          <w:color w:val="auto"/>
          <w:kern w:val="2"/>
          <w:sz w:val="24"/>
          <w:szCs w:val="24"/>
          <w:highlight w:val="none"/>
          <w:lang w:val="en-US" w:eastAsia="zh-CN"/>
        </w:rPr>
        <w:t>合同</w:t>
      </w:r>
      <w:r>
        <w:rPr>
          <w:rFonts w:hint="eastAsia" w:ascii="宋体" w:hAnsi="宋体" w:eastAsia="宋体" w:cs="宋体"/>
          <w:color w:val="auto"/>
          <w:kern w:val="2"/>
          <w:sz w:val="24"/>
          <w:szCs w:val="24"/>
          <w:highlight w:val="none"/>
        </w:rPr>
        <w:t>期内，乙方所有人员的事故由乙方自行全权负责(如乙方应对其员工投保人身意外险)，以保证甲方在乙方工作人员索赔时不受任何责任的约束。</w:t>
      </w:r>
    </w:p>
    <w:p w14:paraId="4FA1B366">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3.其他保险及费用</w:t>
      </w:r>
    </w:p>
    <w:p w14:paraId="3D418C13">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乙方须按《</w:t>
      </w:r>
      <w:r>
        <w:rPr>
          <w:rFonts w:hint="eastAsia" w:ascii="宋体" w:hAnsi="宋体" w:eastAsia="宋体" w:cs="宋体"/>
          <w:color w:val="auto"/>
          <w:kern w:val="2"/>
          <w:sz w:val="24"/>
          <w:szCs w:val="24"/>
          <w:highlight w:val="none"/>
          <w:lang w:val="en-US" w:eastAsia="zh-CN"/>
        </w:rPr>
        <w:t>中华人民共和国</w:t>
      </w:r>
      <w:r>
        <w:rPr>
          <w:rFonts w:hint="eastAsia" w:ascii="宋体" w:hAnsi="宋体" w:eastAsia="宋体" w:cs="宋体"/>
          <w:color w:val="auto"/>
          <w:kern w:val="2"/>
          <w:sz w:val="24"/>
          <w:szCs w:val="24"/>
          <w:highlight w:val="none"/>
        </w:rPr>
        <w:t>劳动合同法》和政府有关各部门规定为全体服务人员交纳所有相关的社会保险及其他相关费用。乙方对此全权负责。</w:t>
      </w:r>
    </w:p>
    <w:p w14:paraId="670B15E5">
      <w:pPr>
        <w:keepNext w:val="0"/>
        <w:keepLines w:val="0"/>
        <w:pageBreakBefore w:val="0"/>
        <w:widowControl w:val="0"/>
        <w:kinsoku/>
        <w:wordWrap/>
        <w:overflowPunct/>
        <w:topLinePunct w:val="0"/>
        <w:autoSpaceDE/>
        <w:autoSpaceDN/>
        <w:bidi w:val="0"/>
        <w:spacing w:line="360" w:lineRule="auto"/>
        <w:ind w:left="0" w:firstLine="482" w:firstLineChars="20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第八条：考核</w:t>
      </w:r>
    </w:p>
    <w:p w14:paraId="7B0F2711">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按</w:t>
      </w:r>
      <w:r>
        <w:rPr>
          <w:rFonts w:hint="eastAsia" w:ascii="宋体" w:hAnsi="宋体" w:eastAsia="宋体" w:cs="宋体"/>
          <w:color w:val="auto"/>
          <w:kern w:val="2"/>
          <w:sz w:val="24"/>
          <w:szCs w:val="24"/>
          <w:highlight w:val="none"/>
          <w:lang w:val="en-US" w:eastAsia="zh-CN"/>
        </w:rPr>
        <w:t>磋商文件《上虞第二人民医院安保服务项目考核细则》</w:t>
      </w:r>
      <w:r>
        <w:rPr>
          <w:rFonts w:hint="eastAsia" w:ascii="宋体" w:hAnsi="宋体" w:eastAsia="宋体" w:cs="宋体"/>
          <w:color w:val="auto"/>
          <w:kern w:val="2"/>
          <w:sz w:val="24"/>
          <w:szCs w:val="24"/>
          <w:highlight w:val="none"/>
        </w:rPr>
        <w:t>进行考核</w:t>
      </w:r>
      <w:r>
        <w:rPr>
          <w:rFonts w:hint="eastAsia" w:ascii="宋体" w:hAnsi="宋体" w:eastAsia="宋体" w:cs="宋体"/>
          <w:color w:val="auto"/>
          <w:kern w:val="2"/>
          <w:sz w:val="24"/>
          <w:szCs w:val="24"/>
          <w:highlight w:val="none"/>
          <w:lang w:eastAsia="zh-CN"/>
        </w:rPr>
        <w:t>。</w:t>
      </w:r>
      <w:r>
        <w:rPr>
          <w:rFonts w:hint="eastAsia" w:ascii="宋体" w:hAnsi="宋体" w:cs="宋体"/>
          <w:color w:val="auto"/>
          <w:kern w:val="2"/>
          <w:sz w:val="24"/>
          <w:szCs w:val="24"/>
          <w:highlight w:val="none"/>
          <w:lang w:eastAsia="zh-CN"/>
        </w:rPr>
        <w:t>详见合同附件</w:t>
      </w:r>
      <w:r>
        <w:rPr>
          <w:rFonts w:hint="eastAsia" w:ascii="宋体" w:hAnsi="宋体" w:cs="宋体"/>
          <w:color w:val="auto"/>
          <w:kern w:val="2"/>
          <w:sz w:val="24"/>
          <w:szCs w:val="24"/>
          <w:highlight w:val="none"/>
          <w:lang w:val="en-US" w:eastAsia="zh-CN"/>
        </w:rPr>
        <w:t>1。</w:t>
      </w:r>
    </w:p>
    <w:p w14:paraId="3A75213F">
      <w:pPr>
        <w:keepNext w:val="0"/>
        <w:keepLines w:val="0"/>
        <w:pageBreakBefore w:val="0"/>
        <w:widowControl w:val="0"/>
        <w:kinsoku/>
        <w:wordWrap/>
        <w:overflowPunct/>
        <w:topLinePunct w:val="0"/>
        <w:autoSpaceDE/>
        <w:autoSpaceDN/>
        <w:bidi w:val="0"/>
        <w:spacing w:line="360" w:lineRule="auto"/>
        <w:ind w:left="0" w:firstLine="482" w:firstLineChars="20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第九条：其他约定事项</w:t>
      </w:r>
    </w:p>
    <w:p w14:paraId="3B69E981">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岗位保安人员为乙方员工，甲方与岗位保安人员之间不存在劳动关系或劳务关系等任何合同关系。甲方支付给乙方的费用中，包括了岗位保安人力服务的所有费用，如发生保安人员劳资人事纠纷及诉讼等问题的，概由乙方负责。</w:t>
      </w:r>
    </w:p>
    <w:p w14:paraId="78E698D1">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2、法定节假日岗位保安人员加班费由乙方按规定支付。</w:t>
      </w:r>
    </w:p>
    <w:p w14:paraId="6BAE2B8A">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3、乙方应急承诺：如甲方临时应急需要增加保安岗位，乙方应在收到甲方通知时起30分钟内组织保安到现场协助甲方处理突发应急事故；乙方临时派遣保安人员到</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处置突发事件的收费标准：普通保安员按20元/人/小时计；</w:t>
      </w:r>
      <w:r>
        <w:rPr>
          <w:rFonts w:hint="eastAsia" w:ascii="宋体" w:hAnsi="宋体" w:eastAsia="宋体" w:cs="宋体"/>
          <w:color w:val="auto"/>
          <w:kern w:val="2"/>
          <w:sz w:val="24"/>
          <w:szCs w:val="24"/>
          <w:highlight w:val="none"/>
          <w:lang w:eastAsia="zh-CN"/>
        </w:rPr>
        <w:t>特殊保安</w:t>
      </w:r>
      <w:r>
        <w:rPr>
          <w:rFonts w:hint="eastAsia" w:ascii="宋体" w:hAnsi="宋体" w:eastAsia="宋体" w:cs="宋体"/>
          <w:color w:val="auto"/>
          <w:kern w:val="2"/>
          <w:sz w:val="24"/>
          <w:szCs w:val="24"/>
          <w:highlight w:val="none"/>
        </w:rPr>
        <w:t>员按</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5元/人/小时计算。（不足半小时的按半小时计；超过半小时不足一小时的按一小时计）。</w:t>
      </w:r>
    </w:p>
    <w:p w14:paraId="3AEA6169">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4、岗位保安人员的考核：乙方在岗位保安服务费中每人每月核出100元作为考核奖励，由甲方</w:t>
      </w:r>
      <w:r>
        <w:rPr>
          <w:rFonts w:hint="eastAsia" w:ascii="宋体" w:hAnsi="宋体" w:eastAsia="宋体" w:cs="宋体"/>
          <w:color w:val="auto"/>
          <w:kern w:val="2"/>
          <w:sz w:val="24"/>
          <w:szCs w:val="24"/>
          <w:highlight w:val="none"/>
          <w:lang w:eastAsia="zh-CN"/>
        </w:rPr>
        <w:t>总务处督促和指导</w:t>
      </w:r>
      <w:r>
        <w:rPr>
          <w:rFonts w:hint="eastAsia" w:ascii="宋体" w:hAnsi="宋体" w:eastAsia="宋体" w:cs="宋体"/>
          <w:color w:val="auto"/>
          <w:kern w:val="2"/>
          <w:sz w:val="24"/>
          <w:szCs w:val="24"/>
          <w:highlight w:val="none"/>
        </w:rPr>
        <w:t>乙方保安部根据每名保安人员日常工作情况进行监督、考核，乙方根据考核情况落实发放。</w:t>
      </w:r>
    </w:p>
    <w:p w14:paraId="28C77386">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5、乙方每月向甲方提供前一个月的保安人员工资发放表用于备案。另乙方应保证国定节假日加班费按国家相关规定发放给保安人员。</w:t>
      </w:r>
    </w:p>
    <w:p w14:paraId="0486FA0B">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6、合同履行期间，甲方根据实际需要增加人员，乙方需根据甲方要求增派相应人员，增派人员费用按投标单价，金额按实计算，但所增加的费用不超过原合同价的10%。</w:t>
      </w:r>
    </w:p>
    <w:p w14:paraId="566EEDB1">
      <w:pPr>
        <w:keepNext w:val="0"/>
        <w:keepLines w:val="0"/>
        <w:pageBreakBefore w:val="0"/>
        <w:widowControl w:val="0"/>
        <w:kinsoku/>
        <w:wordWrap/>
        <w:overflowPunct/>
        <w:topLinePunct w:val="0"/>
        <w:autoSpaceDE/>
        <w:autoSpaceDN/>
        <w:bidi w:val="0"/>
        <w:spacing w:line="360" w:lineRule="auto"/>
        <w:ind w:left="0" w:firstLine="482" w:firstLineChars="20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第十条：违约责任</w:t>
      </w:r>
    </w:p>
    <w:p w14:paraId="15934FC2">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由于乙方原因，造成服务质量达不到合同约定的要求或造成甲方经济损失的，甲方有权要求乙方限期整改、赔偿甲方的经济损失，若乙方拒不整改或整改后仍不能达到甲方要求的，就该项内容甲方有权另行委托他人进行管理，所需费用由乙方承担，直至单方面终止合同。</w:t>
      </w:r>
    </w:p>
    <w:p w14:paraId="285E57CA">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、服务人员配备或增减人员标准必须符合投标报名人员要求和</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文件规定的相关要求，对不符合投标报名人员和</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 xml:space="preserve">文件要求的，则该服务人员费用不予计算。 </w:t>
      </w:r>
    </w:p>
    <w:p w14:paraId="26BB8BE0">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、在本合同履行期间，乙方应杜绝发生重大管理责任事故，如经有关部门认定乙方发生重大管理责任事故的，甲方有权每起扣罚乙方违约金5万元，违约金从履约保证金中扣除，</w:t>
      </w:r>
      <w:r>
        <w:rPr>
          <w:rFonts w:hint="eastAsia" w:ascii="宋体" w:hAnsi="宋体" w:eastAsia="宋体" w:cs="宋体"/>
          <w:color w:val="auto"/>
          <w:kern w:val="2"/>
          <w:sz w:val="24"/>
          <w:szCs w:val="24"/>
          <w:highlight w:val="none"/>
          <w:lang w:val="en-US" w:eastAsia="zh-CN"/>
        </w:rPr>
        <w:t>不足部分从合同价中扣除，</w:t>
      </w:r>
      <w:r>
        <w:rPr>
          <w:rFonts w:hint="eastAsia" w:ascii="宋体" w:hAnsi="宋体" w:eastAsia="宋体" w:cs="宋体"/>
          <w:color w:val="auto"/>
          <w:kern w:val="2"/>
          <w:sz w:val="24"/>
          <w:szCs w:val="24"/>
          <w:highlight w:val="none"/>
        </w:rPr>
        <w:t>并承担由此而造成的一切经济损失和法律后果。发生二次重大管理责任</w:t>
      </w:r>
      <w:r>
        <w:rPr>
          <w:rFonts w:hint="eastAsia" w:ascii="宋体" w:hAnsi="宋体" w:eastAsia="宋体" w:cs="宋体"/>
          <w:color w:val="auto"/>
          <w:kern w:val="2"/>
          <w:sz w:val="24"/>
          <w:szCs w:val="24"/>
          <w:highlight w:val="none"/>
          <w:lang w:eastAsia="zh-CN"/>
        </w:rPr>
        <w:t>事故</w:t>
      </w:r>
      <w:r>
        <w:rPr>
          <w:rFonts w:hint="eastAsia" w:ascii="宋体" w:hAnsi="宋体" w:eastAsia="宋体" w:cs="宋体"/>
          <w:color w:val="auto"/>
          <w:kern w:val="2"/>
          <w:sz w:val="24"/>
          <w:szCs w:val="24"/>
          <w:highlight w:val="none"/>
        </w:rPr>
        <w:t>的，甲方有权</w:t>
      </w:r>
      <w:r>
        <w:rPr>
          <w:rFonts w:hint="eastAsia" w:ascii="宋体" w:hAnsi="宋体" w:eastAsia="宋体" w:cs="宋体"/>
          <w:color w:val="auto"/>
          <w:kern w:val="2"/>
          <w:sz w:val="24"/>
          <w:szCs w:val="24"/>
          <w:highlight w:val="none"/>
          <w:lang w:eastAsia="zh-CN"/>
        </w:rPr>
        <w:t>解除</w:t>
      </w:r>
      <w:r>
        <w:rPr>
          <w:rFonts w:hint="eastAsia" w:ascii="宋体" w:hAnsi="宋体" w:eastAsia="宋体" w:cs="宋体"/>
          <w:color w:val="auto"/>
          <w:kern w:val="2"/>
          <w:sz w:val="24"/>
          <w:szCs w:val="24"/>
          <w:highlight w:val="none"/>
        </w:rPr>
        <w:t>合同，</w:t>
      </w:r>
      <w:r>
        <w:rPr>
          <w:rFonts w:hint="eastAsia" w:ascii="宋体" w:hAnsi="宋体" w:eastAsia="宋体" w:cs="宋体"/>
          <w:color w:val="auto"/>
          <w:kern w:val="2"/>
          <w:sz w:val="24"/>
          <w:szCs w:val="24"/>
          <w:highlight w:val="none"/>
          <w:lang w:eastAsia="zh-CN"/>
        </w:rPr>
        <w:t>并罚没全部履约保证金。</w:t>
      </w:r>
      <w:r>
        <w:rPr>
          <w:rFonts w:hint="eastAsia" w:ascii="宋体" w:hAnsi="宋体" w:eastAsia="宋体" w:cs="宋体"/>
          <w:color w:val="auto"/>
          <w:kern w:val="2"/>
          <w:sz w:val="24"/>
          <w:szCs w:val="24"/>
          <w:highlight w:val="none"/>
        </w:rPr>
        <w:t>由此而造成的一切经济损失和法律后果均由乙方承担。</w:t>
      </w:r>
    </w:p>
    <w:p w14:paraId="4290E053">
      <w:pPr>
        <w:keepNext w:val="0"/>
        <w:keepLines w:val="0"/>
        <w:pageBreakBefore w:val="0"/>
        <w:widowControl w:val="0"/>
        <w:kinsoku/>
        <w:wordWrap/>
        <w:overflowPunct/>
        <w:topLinePunct w:val="0"/>
        <w:autoSpaceDE/>
        <w:autoSpaceDN/>
        <w:bidi w:val="0"/>
        <w:spacing w:line="360" w:lineRule="auto"/>
        <w:ind w:left="0" w:firstLine="482" w:firstLineChars="200"/>
        <w:jc w:val="both"/>
        <w:textAlignment w:val="auto"/>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第十一条：争议解决</w:t>
      </w:r>
    </w:p>
    <w:p w14:paraId="4345158A">
      <w:pPr>
        <w:keepNext w:val="0"/>
        <w:keepLines w:val="0"/>
        <w:pageBreakBefore w:val="0"/>
        <w:widowControl w:val="0"/>
        <w:numPr>
          <w:ilvl w:val="0"/>
          <w:numId w:val="30"/>
        </w:numPr>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因本合同及合同有关事项发生的争议，由甲乙双方友好协商解决。协商不成时，可以向有关组织申请调解。合同一方或双方不愿调解或调解不成的，可以通过仲裁或诉讼的方式解决争议。</w:t>
      </w:r>
    </w:p>
    <w:p w14:paraId="2FB0FBB7">
      <w:pPr>
        <w:keepNext w:val="0"/>
        <w:keepLines w:val="0"/>
        <w:pageBreakBefore w:val="0"/>
        <w:widowControl w:val="0"/>
        <w:numPr>
          <w:ilvl w:val="0"/>
          <w:numId w:val="30"/>
        </w:numPr>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因本合同及合同有关事项发生的争议，按下列第</w:t>
      </w:r>
      <w:r>
        <w:rPr>
          <w:rFonts w:hint="eastAsia" w:ascii="宋体" w:hAnsi="宋体" w:eastAsia="宋体" w:cs="宋体"/>
          <w:color w:val="auto"/>
          <w:kern w:val="2"/>
          <w:sz w:val="24"/>
          <w:szCs w:val="24"/>
          <w:highlight w:val="none"/>
          <w:u w:val="single"/>
        </w:rPr>
        <w:t>（</w:t>
      </w:r>
      <w:r>
        <w:rPr>
          <w:rFonts w:hint="eastAsia" w:ascii="宋体" w:hAnsi="宋体" w:eastAsia="宋体" w:cs="宋体"/>
          <w:color w:val="auto"/>
          <w:kern w:val="2"/>
          <w:sz w:val="24"/>
          <w:szCs w:val="24"/>
          <w:highlight w:val="none"/>
          <w:u w:val="single"/>
          <w:lang w:val="en-US" w:eastAsia="zh-CN"/>
        </w:rPr>
        <w:t>2</w:t>
      </w:r>
      <w:r>
        <w:rPr>
          <w:rFonts w:hint="eastAsia" w:ascii="宋体" w:hAnsi="宋体" w:eastAsia="宋体" w:cs="宋体"/>
          <w:color w:val="auto"/>
          <w:kern w:val="2"/>
          <w:sz w:val="24"/>
          <w:szCs w:val="24"/>
          <w:highlight w:val="none"/>
          <w:u w:val="single"/>
        </w:rPr>
        <w:t>）</w:t>
      </w:r>
      <w:r>
        <w:rPr>
          <w:rFonts w:hint="eastAsia" w:ascii="宋体" w:hAnsi="宋体" w:eastAsia="宋体" w:cs="宋体"/>
          <w:color w:val="auto"/>
          <w:kern w:val="2"/>
          <w:sz w:val="24"/>
          <w:szCs w:val="24"/>
          <w:highlight w:val="none"/>
        </w:rPr>
        <w:t>种方式解决：</w:t>
      </w:r>
    </w:p>
    <w:p w14:paraId="16833992">
      <w:pPr>
        <w:keepNext w:val="0"/>
        <w:keepLines w:val="0"/>
        <w:pageBreakBefore w:val="0"/>
        <w:widowControl w:val="0"/>
        <w:numPr>
          <w:ilvl w:val="0"/>
          <w:numId w:val="0"/>
        </w:numPr>
        <w:kinsoku/>
        <w:wordWrap/>
        <w:overflowPunct/>
        <w:topLinePunct w:val="0"/>
        <w:autoSpaceDE/>
        <w:autoSpaceDN/>
        <w:bidi w:val="0"/>
        <w:spacing w:line="360" w:lineRule="auto"/>
        <w:ind w:firstLine="720" w:firstLineChars="3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（1）向绍兴仲裁委员会申请仲裁，仲裁地点为</w:t>
      </w:r>
      <w:r>
        <w:rPr>
          <w:rFonts w:hint="eastAsia" w:ascii="宋体" w:hAnsi="宋体" w:eastAsia="宋体" w:cs="宋体"/>
          <w:color w:val="auto"/>
          <w:kern w:val="2"/>
          <w:sz w:val="24"/>
          <w:szCs w:val="24"/>
          <w:highlight w:val="none"/>
          <w:u w:val="single"/>
        </w:rPr>
        <w:t>上虞</w:t>
      </w:r>
      <w:r>
        <w:rPr>
          <w:rFonts w:hint="eastAsia" w:ascii="宋体" w:hAnsi="宋体" w:eastAsia="宋体" w:cs="宋体"/>
          <w:color w:val="auto"/>
          <w:kern w:val="2"/>
          <w:sz w:val="24"/>
          <w:szCs w:val="24"/>
          <w:highlight w:val="none"/>
        </w:rPr>
        <w:t>；</w:t>
      </w:r>
    </w:p>
    <w:p w14:paraId="50CD3560">
      <w:pPr>
        <w:keepNext w:val="0"/>
        <w:keepLines w:val="0"/>
        <w:pageBreakBefore w:val="0"/>
        <w:widowControl w:val="0"/>
        <w:numPr>
          <w:ilvl w:val="0"/>
          <w:numId w:val="0"/>
        </w:numPr>
        <w:kinsoku/>
        <w:wordWrap/>
        <w:overflowPunct/>
        <w:topLinePunct w:val="0"/>
        <w:autoSpaceDE/>
        <w:autoSpaceDN/>
        <w:bidi w:val="0"/>
        <w:spacing w:line="360" w:lineRule="auto"/>
        <w:ind w:firstLine="720" w:firstLineChars="3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（2）向</w:t>
      </w:r>
      <w:r>
        <w:rPr>
          <w:rFonts w:hint="eastAsia" w:ascii="宋体" w:hAnsi="宋体" w:eastAsia="宋体" w:cs="宋体"/>
          <w:color w:val="auto"/>
          <w:kern w:val="2"/>
          <w:sz w:val="24"/>
          <w:szCs w:val="24"/>
          <w:highlight w:val="none"/>
          <w:u w:val="single"/>
        </w:rPr>
        <w:t>绍兴市上虞区人民法院</w:t>
      </w:r>
      <w:r>
        <w:rPr>
          <w:rFonts w:hint="eastAsia" w:ascii="宋体" w:hAnsi="宋体" w:eastAsia="宋体" w:cs="宋体"/>
          <w:color w:val="auto"/>
          <w:kern w:val="2"/>
          <w:sz w:val="24"/>
          <w:szCs w:val="24"/>
          <w:highlight w:val="none"/>
        </w:rPr>
        <w:t>起诉。</w:t>
      </w:r>
    </w:p>
    <w:p w14:paraId="5D11716A">
      <w:pPr>
        <w:keepNext w:val="0"/>
        <w:keepLines w:val="0"/>
        <w:pageBreakBefore w:val="0"/>
        <w:widowControl w:val="0"/>
        <w:numPr>
          <w:ilvl w:val="0"/>
          <w:numId w:val="0"/>
        </w:numPr>
        <w:kinsoku/>
        <w:wordWrap/>
        <w:overflowPunct/>
        <w:topLinePunct w:val="0"/>
        <w:autoSpaceDE/>
        <w:autoSpaceDN/>
        <w:bidi w:val="0"/>
        <w:spacing w:line="360" w:lineRule="auto"/>
        <w:ind w:left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 如甲乙双方有争议的事项不影响合同其他部分的履行，在争议解决期间，</w:t>
      </w:r>
    </w:p>
    <w:p w14:paraId="11DFCB61">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合同其他部分应当继续履行。</w:t>
      </w:r>
    </w:p>
    <w:p w14:paraId="108785CB">
      <w:pPr>
        <w:keepNext w:val="0"/>
        <w:keepLines w:val="0"/>
        <w:pageBreakBefore w:val="0"/>
        <w:widowControl w:val="0"/>
        <w:kinsoku/>
        <w:wordWrap/>
        <w:overflowPunct/>
        <w:topLinePunct w:val="0"/>
        <w:autoSpaceDE/>
        <w:autoSpaceDN/>
        <w:bidi w:val="0"/>
        <w:spacing w:line="360" w:lineRule="auto"/>
        <w:ind w:left="0" w:firstLine="482" w:firstLineChars="200"/>
        <w:jc w:val="both"/>
        <w:textAlignment w:val="auto"/>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第十二条：免责条款</w:t>
      </w:r>
    </w:p>
    <w:p w14:paraId="14D502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kern w:val="2"/>
          <w:sz w:val="24"/>
          <w:szCs w:val="21"/>
          <w:highlight w:val="none"/>
        </w:rPr>
      </w:pPr>
      <w:r>
        <w:rPr>
          <w:rFonts w:hint="eastAsia" w:ascii="宋体" w:hAnsi="宋体" w:eastAsia="宋体" w:cs="宋体"/>
          <w:bCs/>
          <w:color w:val="auto"/>
          <w:kern w:val="2"/>
          <w:sz w:val="24"/>
          <w:szCs w:val="21"/>
          <w:highlight w:val="none"/>
        </w:rPr>
        <w:t>因不可抗力情况发生而令双方未能执行其根据本合同规定必要执行的职责，双方对此可免其咎。</w:t>
      </w:r>
    </w:p>
    <w:p w14:paraId="4D4D96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kern w:val="2"/>
          <w:sz w:val="24"/>
          <w:szCs w:val="21"/>
          <w:highlight w:val="none"/>
        </w:rPr>
      </w:pPr>
      <w:r>
        <w:rPr>
          <w:rFonts w:hint="eastAsia" w:ascii="宋体" w:hAnsi="宋体" w:eastAsia="宋体" w:cs="宋体"/>
          <w:bCs/>
          <w:color w:val="auto"/>
          <w:kern w:val="2"/>
          <w:sz w:val="24"/>
          <w:szCs w:val="21"/>
          <w:highlight w:val="none"/>
        </w:rPr>
        <w:t>下述情况均构成不可抗力之事件：</w:t>
      </w:r>
    </w:p>
    <w:p w14:paraId="0E13C509">
      <w:pPr>
        <w:keepNext w:val="0"/>
        <w:keepLines w:val="0"/>
        <w:pageBreakBefore w:val="0"/>
        <w:widowControl w:val="0"/>
        <w:numPr>
          <w:ilvl w:val="0"/>
          <w:numId w:val="31"/>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kern w:val="2"/>
          <w:sz w:val="24"/>
          <w:szCs w:val="21"/>
          <w:highlight w:val="none"/>
        </w:rPr>
      </w:pPr>
      <w:r>
        <w:rPr>
          <w:rFonts w:hint="eastAsia" w:ascii="宋体" w:hAnsi="宋体" w:eastAsia="宋体" w:cs="宋体"/>
          <w:bCs/>
          <w:color w:val="auto"/>
          <w:kern w:val="2"/>
          <w:sz w:val="24"/>
          <w:szCs w:val="21"/>
          <w:highlight w:val="none"/>
        </w:rPr>
        <w:t>战争、侵略、反叛、暴动及内战；</w:t>
      </w:r>
    </w:p>
    <w:p w14:paraId="32AB44C0">
      <w:pPr>
        <w:keepNext w:val="0"/>
        <w:keepLines w:val="0"/>
        <w:pageBreakBefore w:val="0"/>
        <w:widowControl w:val="0"/>
        <w:numPr>
          <w:ilvl w:val="0"/>
          <w:numId w:val="31"/>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bCs/>
          <w:color w:val="auto"/>
          <w:kern w:val="2"/>
          <w:sz w:val="24"/>
          <w:szCs w:val="21"/>
          <w:highlight w:val="none"/>
        </w:rPr>
      </w:pPr>
      <w:r>
        <w:rPr>
          <w:rFonts w:hint="eastAsia" w:ascii="宋体" w:hAnsi="宋体" w:eastAsia="宋体" w:cs="宋体"/>
          <w:bCs/>
          <w:color w:val="auto"/>
          <w:kern w:val="2"/>
          <w:sz w:val="24"/>
          <w:szCs w:val="21"/>
          <w:highlight w:val="none"/>
        </w:rPr>
        <w:t>地震或任何因自然力量发生而被影响及不可合理预测或抗拒的事故。</w:t>
      </w:r>
    </w:p>
    <w:p w14:paraId="338EA60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Times New Roman"/>
          <w:b/>
          <w:color w:val="auto"/>
          <w:kern w:val="2"/>
          <w:sz w:val="24"/>
          <w:szCs w:val="24"/>
          <w:highlight w:val="none"/>
        </w:rPr>
      </w:pPr>
      <w:r>
        <w:rPr>
          <w:rFonts w:hint="eastAsia" w:ascii="宋体" w:hAnsi="宋体" w:eastAsia="宋体" w:cs="宋体"/>
          <w:b/>
          <w:color w:val="auto"/>
          <w:kern w:val="2"/>
          <w:sz w:val="24"/>
          <w:szCs w:val="24"/>
          <w:highlight w:val="none"/>
        </w:rPr>
        <w:t>第</w:t>
      </w:r>
      <w:r>
        <w:rPr>
          <w:rFonts w:hint="eastAsia" w:ascii="宋体" w:hAnsi="宋体" w:eastAsia="宋体" w:cs="宋体"/>
          <w:b/>
          <w:color w:val="auto"/>
          <w:kern w:val="2"/>
          <w:sz w:val="24"/>
          <w:szCs w:val="24"/>
          <w:highlight w:val="none"/>
          <w:lang w:val="en-US" w:eastAsia="zh-CN"/>
        </w:rPr>
        <w:t>十三</w:t>
      </w:r>
      <w:r>
        <w:rPr>
          <w:rFonts w:hint="eastAsia" w:ascii="宋体" w:hAnsi="宋体" w:eastAsia="宋体" w:cs="宋体"/>
          <w:b/>
          <w:color w:val="auto"/>
          <w:kern w:val="2"/>
          <w:sz w:val="24"/>
          <w:szCs w:val="24"/>
          <w:highlight w:val="none"/>
        </w:rPr>
        <w:t>条：</w:t>
      </w:r>
      <w:r>
        <w:rPr>
          <w:rFonts w:hint="eastAsia" w:ascii="宋体" w:hAnsi="宋体" w:eastAsia="宋体" w:cs="Times New Roman"/>
          <w:b/>
          <w:color w:val="auto"/>
          <w:kern w:val="2"/>
          <w:sz w:val="24"/>
          <w:szCs w:val="24"/>
          <w:highlight w:val="none"/>
        </w:rPr>
        <w:t>其它事项</w:t>
      </w:r>
    </w:p>
    <w:p w14:paraId="709598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w:t>
      </w:r>
      <w:r>
        <w:rPr>
          <w:rFonts w:hint="eastAsia" w:ascii="宋体" w:hAnsi="宋体" w:eastAsia="宋体" w:cs="Times New Roman"/>
          <w:color w:val="auto"/>
          <w:kern w:val="2"/>
          <w:sz w:val="24"/>
          <w:szCs w:val="24"/>
          <w:highlight w:val="none"/>
          <w:lang w:val="en-US" w:eastAsia="zh-CN"/>
        </w:rPr>
        <w:t>.</w:t>
      </w:r>
      <w:r>
        <w:rPr>
          <w:rFonts w:hint="eastAsia" w:ascii="宋体" w:hAnsi="宋体" w:eastAsia="宋体" w:cs="Times New Roman"/>
          <w:color w:val="auto"/>
          <w:kern w:val="2"/>
          <w:sz w:val="24"/>
          <w:szCs w:val="24"/>
          <w:highlight w:val="none"/>
        </w:rPr>
        <w:t>本合同</w:t>
      </w:r>
      <w:r>
        <w:rPr>
          <w:rFonts w:hint="eastAsia" w:ascii="宋体" w:hAnsi="宋体" w:eastAsia="宋体" w:cs="宋体"/>
          <w:bCs/>
          <w:color w:val="auto"/>
          <w:kern w:val="2"/>
          <w:sz w:val="24"/>
          <w:szCs w:val="21"/>
          <w:highlight w:val="none"/>
        </w:rPr>
        <w:t>附件</w:t>
      </w:r>
      <w:r>
        <w:rPr>
          <w:rFonts w:hint="eastAsia" w:ascii="宋体" w:hAnsi="宋体" w:eastAsia="宋体" w:cs="Times New Roman"/>
          <w:color w:val="auto"/>
          <w:kern w:val="2"/>
          <w:sz w:val="24"/>
          <w:szCs w:val="24"/>
          <w:highlight w:val="none"/>
        </w:rPr>
        <w:t>属于本合同不可分割部分，具有同等效力。</w:t>
      </w:r>
    </w:p>
    <w:p w14:paraId="6124D348">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2.甲乙双方经协商后，可对本合同的条款进行修订、补充，并以书面形式签订补充协议，补充协议与本合同具有同等法律效力。</w:t>
      </w:r>
    </w:p>
    <w:p w14:paraId="2A93A6E6">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3.项目结束，费用结算完成后，本合同自然终止。</w:t>
      </w:r>
    </w:p>
    <w:p w14:paraId="48393F1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kern w:val="0"/>
          <w:sz w:val="24"/>
          <w:szCs w:val="21"/>
          <w:highlight w:val="none"/>
          <w:lang w:val="en-US" w:eastAsia="zh-CN"/>
        </w:rPr>
      </w:pPr>
      <w:r>
        <w:rPr>
          <w:rFonts w:hint="eastAsia" w:ascii="宋体" w:hAnsi="宋体" w:eastAsia="宋体" w:cs="宋体"/>
          <w:b w:val="0"/>
          <w:bCs/>
          <w:color w:val="auto"/>
          <w:kern w:val="0"/>
          <w:sz w:val="24"/>
          <w:szCs w:val="21"/>
          <w:highlight w:val="none"/>
          <w:lang w:val="en-US" w:eastAsia="zh-CN"/>
        </w:rPr>
        <w:t>4.本项目货物如涉及柴油动力移动源，柴油动力移动源应当符合低排放要求。</w:t>
      </w:r>
    </w:p>
    <w:p w14:paraId="2309526A">
      <w:pPr>
        <w:keepNext w:val="0"/>
        <w:keepLines w:val="0"/>
        <w:pageBreakBefore w:val="0"/>
        <w:kinsoku/>
        <w:wordWrap/>
        <w:overflowPunct/>
        <w:topLinePunct w:val="0"/>
        <w:bidi w:val="0"/>
        <w:spacing w:line="500" w:lineRule="exact"/>
        <w:ind w:firstLine="482"/>
        <w:jc w:val="left"/>
        <w:textAlignment w:val="auto"/>
        <w:rPr>
          <w:rFonts w:ascii="宋体" w:hAnsi="宋体" w:eastAsia="宋体" w:cs="宋体"/>
          <w:color w:val="auto"/>
          <w:kern w:val="0"/>
          <w:sz w:val="24"/>
          <w:szCs w:val="21"/>
          <w:highlight w:val="none"/>
        </w:rPr>
      </w:pPr>
      <w:r>
        <w:rPr>
          <w:rFonts w:hint="eastAsia" w:ascii="宋体" w:hAnsi="宋体" w:eastAsia="宋体" w:cs="宋体"/>
          <w:b/>
          <w:color w:val="auto"/>
          <w:kern w:val="0"/>
          <w:sz w:val="24"/>
          <w:szCs w:val="21"/>
          <w:highlight w:val="none"/>
          <w:lang w:val="en-US" w:eastAsia="zh-CN"/>
        </w:rPr>
        <w:t>5.</w:t>
      </w:r>
      <w:r>
        <w:rPr>
          <w:rFonts w:hint="eastAsia" w:ascii="宋体" w:hAnsi="宋体" w:eastAsia="宋体" w:cs="宋体"/>
          <w:b/>
          <w:color w:val="auto"/>
          <w:kern w:val="0"/>
          <w:sz w:val="24"/>
          <w:szCs w:val="21"/>
          <w:highlight w:val="none"/>
        </w:rPr>
        <w:t>本合同一式</w:t>
      </w:r>
      <w:r>
        <w:rPr>
          <w:rFonts w:hint="eastAsia" w:ascii="宋体" w:hAnsi="宋体" w:eastAsia="宋体" w:cs="宋体"/>
          <w:b/>
          <w:color w:val="auto"/>
          <w:kern w:val="0"/>
          <w:sz w:val="24"/>
          <w:szCs w:val="21"/>
          <w:highlight w:val="none"/>
          <w:u w:val="single"/>
        </w:rPr>
        <w:t>　</w:t>
      </w:r>
      <w:r>
        <w:rPr>
          <w:rFonts w:hint="eastAsia" w:ascii="宋体" w:hAnsi="宋体" w:eastAsia="宋体" w:cs="宋体"/>
          <w:b/>
          <w:color w:val="auto"/>
          <w:kern w:val="0"/>
          <w:sz w:val="24"/>
          <w:szCs w:val="21"/>
          <w:highlight w:val="none"/>
          <w:u w:val="single"/>
          <w:lang w:val="en-US" w:eastAsia="zh-CN"/>
        </w:rPr>
        <w:t xml:space="preserve"> </w:t>
      </w:r>
      <w:r>
        <w:rPr>
          <w:rFonts w:hint="eastAsia" w:ascii="宋体" w:hAnsi="宋体" w:eastAsia="宋体" w:cs="宋体"/>
          <w:b/>
          <w:color w:val="auto"/>
          <w:kern w:val="0"/>
          <w:sz w:val="24"/>
          <w:szCs w:val="21"/>
          <w:highlight w:val="none"/>
          <w:u w:val="single"/>
        </w:rPr>
        <w:t xml:space="preserve"> </w:t>
      </w:r>
      <w:r>
        <w:rPr>
          <w:rFonts w:hint="eastAsia" w:ascii="宋体" w:hAnsi="宋体" w:eastAsia="宋体" w:cs="宋体"/>
          <w:b/>
          <w:color w:val="auto"/>
          <w:kern w:val="0"/>
          <w:sz w:val="24"/>
          <w:szCs w:val="21"/>
          <w:highlight w:val="none"/>
        </w:rPr>
        <w:t>份，</w:t>
      </w:r>
      <w:r>
        <w:rPr>
          <w:rFonts w:hint="eastAsia" w:ascii="宋体" w:hAnsi="宋体" w:eastAsia="宋体" w:cs="宋体"/>
          <w:b/>
          <w:color w:val="auto"/>
          <w:kern w:val="0"/>
          <w:sz w:val="24"/>
          <w:szCs w:val="21"/>
          <w:highlight w:val="none"/>
          <w:lang w:eastAsia="zh-CN"/>
        </w:rPr>
        <w:t>甲方</w:t>
      </w:r>
      <w:r>
        <w:rPr>
          <w:rFonts w:hint="eastAsia" w:ascii="宋体" w:hAnsi="宋体" w:eastAsia="宋体" w:cs="宋体"/>
          <w:b/>
          <w:color w:val="auto"/>
          <w:kern w:val="0"/>
          <w:sz w:val="24"/>
          <w:szCs w:val="21"/>
          <w:highlight w:val="none"/>
        </w:rPr>
        <w:t>和</w:t>
      </w:r>
      <w:r>
        <w:rPr>
          <w:rFonts w:hint="eastAsia" w:ascii="宋体" w:hAnsi="宋体" w:eastAsia="宋体" w:cs="宋体"/>
          <w:b/>
          <w:color w:val="auto"/>
          <w:kern w:val="0"/>
          <w:sz w:val="24"/>
          <w:szCs w:val="21"/>
          <w:highlight w:val="none"/>
          <w:lang w:eastAsia="zh-CN"/>
        </w:rPr>
        <w:t>乙方</w:t>
      </w:r>
      <w:r>
        <w:rPr>
          <w:rFonts w:hint="eastAsia" w:ascii="宋体" w:hAnsi="宋体" w:eastAsia="宋体" w:cs="宋体"/>
          <w:b/>
          <w:color w:val="auto"/>
          <w:kern w:val="0"/>
          <w:sz w:val="24"/>
          <w:szCs w:val="21"/>
          <w:highlight w:val="none"/>
        </w:rPr>
        <w:t>各执</w:t>
      </w:r>
      <w:r>
        <w:rPr>
          <w:rFonts w:hint="eastAsia" w:ascii="宋体" w:hAnsi="宋体" w:eastAsia="宋体" w:cs="宋体"/>
          <w:b/>
          <w:color w:val="auto"/>
          <w:kern w:val="0"/>
          <w:sz w:val="24"/>
          <w:szCs w:val="21"/>
          <w:highlight w:val="none"/>
          <w:u w:val="single"/>
          <w:lang w:val="en-US" w:eastAsia="zh-CN"/>
        </w:rPr>
        <w:t xml:space="preserve">   </w:t>
      </w:r>
      <w:r>
        <w:rPr>
          <w:rFonts w:hint="eastAsia" w:ascii="宋体" w:hAnsi="宋体" w:eastAsia="宋体" w:cs="宋体"/>
          <w:b/>
          <w:color w:val="auto"/>
          <w:kern w:val="0"/>
          <w:sz w:val="24"/>
          <w:szCs w:val="21"/>
          <w:highlight w:val="none"/>
        </w:rPr>
        <w:t>份，</w:t>
      </w:r>
      <w:r>
        <w:rPr>
          <w:rFonts w:hint="eastAsia" w:ascii="宋体" w:hAnsi="宋体" w:eastAsia="宋体" w:cs="宋体"/>
          <w:b/>
          <w:color w:val="auto"/>
          <w:kern w:val="0"/>
          <w:sz w:val="24"/>
          <w:szCs w:val="21"/>
          <w:highlight w:val="none"/>
          <w:lang w:val="en-US" w:eastAsia="zh-CN"/>
        </w:rPr>
        <w:t>并由甲方在30日内做好政采云平台网上合同创建及备案</w:t>
      </w:r>
      <w:r>
        <w:rPr>
          <w:rFonts w:hint="eastAsia" w:ascii="宋体" w:hAnsi="宋体" w:eastAsia="宋体" w:cs="宋体"/>
          <w:b/>
          <w:color w:val="auto"/>
          <w:kern w:val="0"/>
          <w:sz w:val="24"/>
          <w:szCs w:val="24"/>
          <w:highlight w:val="none"/>
        </w:rPr>
        <w:t>。</w:t>
      </w:r>
    </w:p>
    <w:tbl>
      <w:tblPr>
        <w:tblStyle w:val="27"/>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345"/>
        <w:gridCol w:w="1624"/>
        <w:gridCol w:w="2706"/>
      </w:tblGrid>
      <w:tr w14:paraId="1447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443" w:type="dxa"/>
            <w:vAlign w:val="center"/>
          </w:tcPr>
          <w:p w14:paraId="2CC3136F">
            <w:pPr>
              <w:snapToGrid w:val="0"/>
              <w:spacing w:line="360" w:lineRule="auto"/>
              <w:jc w:val="center"/>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甲方</w:t>
            </w:r>
            <w:r>
              <w:rPr>
                <w:rFonts w:ascii="宋体" w:hAnsi="宋体" w:eastAsia="宋体" w:cs="宋体"/>
                <w:snapToGrid w:val="0"/>
                <w:color w:val="auto"/>
                <w:kern w:val="0"/>
                <w:sz w:val="24"/>
                <w:szCs w:val="24"/>
                <w:highlight w:val="none"/>
              </w:rPr>
              <w:t>单位</w:t>
            </w:r>
          </w:p>
        </w:tc>
        <w:tc>
          <w:tcPr>
            <w:tcW w:w="2345" w:type="dxa"/>
            <w:vAlign w:val="center"/>
          </w:tcPr>
          <w:p w14:paraId="2D703773">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（盖章）</w:t>
            </w:r>
          </w:p>
        </w:tc>
        <w:tc>
          <w:tcPr>
            <w:tcW w:w="1624" w:type="dxa"/>
            <w:vAlign w:val="center"/>
          </w:tcPr>
          <w:p w14:paraId="41A8CAED">
            <w:pPr>
              <w:snapToGrid w:val="0"/>
              <w:spacing w:line="360" w:lineRule="auto"/>
              <w:jc w:val="center"/>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乙方</w:t>
            </w:r>
            <w:r>
              <w:rPr>
                <w:rFonts w:ascii="宋体" w:hAnsi="宋体" w:eastAsia="宋体" w:cs="宋体"/>
                <w:snapToGrid w:val="0"/>
                <w:color w:val="auto"/>
                <w:kern w:val="0"/>
                <w:sz w:val="24"/>
                <w:szCs w:val="24"/>
                <w:highlight w:val="none"/>
              </w:rPr>
              <w:t>单位</w:t>
            </w:r>
          </w:p>
        </w:tc>
        <w:tc>
          <w:tcPr>
            <w:tcW w:w="2706" w:type="dxa"/>
            <w:vAlign w:val="center"/>
          </w:tcPr>
          <w:p w14:paraId="25B2CE95">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（盖章）</w:t>
            </w:r>
          </w:p>
        </w:tc>
      </w:tr>
      <w:tr w14:paraId="7914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443" w:type="dxa"/>
            <w:vAlign w:val="center"/>
          </w:tcPr>
          <w:p w14:paraId="365F01B8">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代表签名</w:t>
            </w:r>
          </w:p>
        </w:tc>
        <w:tc>
          <w:tcPr>
            <w:tcW w:w="2345" w:type="dxa"/>
            <w:vAlign w:val="center"/>
          </w:tcPr>
          <w:p w14:paraId="1C7FFA9E">
            <w:pPr>
              <w:snapToGrid w:val="0"/>
              <w:spacing w:line="360" w:lineRule="auto"/>
              <w:jc w:val="center"/>
              <w:rPr>
                <w:rFonts w:ascii="宋体" w:hAnsi="宋体" w:eastAsia="宋体" w:cs="宋体"/>
                <w:snapToGrid w:val="0"/>
                <w:color w:val="auto"/>
                <w:kern w:val="0"/>
                <w:sz w:val="24"/>
                <w:szCs w:val="24"/>
                <w:highlight w:val="none"/>
              </w:rPr>
            </w:pPr>
          </w:p>
        </w:tc>
        <w:tc>
          <w:tcPr>
            <w:tcW w:w="1624" w:type="dxa"/>
            <w:vAlign w:val="center"/>
          </w:tcPr>
          <w:p w14:paraId="484A3505">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代表签名</w:t>
            </w:r>
          </w:p>
        </w:tc>
        <w:tc>
          <w:tcPr>
            <w:tcW w:w="2706" w:type="dxa"/>
            <w:vAlign w:val="center"/>
          </w:tcPr>
          <w:p w14:paraId="69CBD329">
            <w:pPr>
              <w:snapToGrid w:val="0"/>
              <w:spacing w:line="360" w:lineRule="auto"/>
              <w:jc w:val="center"/>
              <w:rPr>
                <w:rFonts w:ascii="宋体" w:hAnsi="宋体" w:eastAsia="宋体" w:cs="宋体"/>
                <w:snapToGrid w:val="0"/>
                <w:color w:val="auto"/>
                <w:kern w:val="0"/>
                <w:sz w:val="24"/>
                <w:szCs w:val="24"/>
                <w:highlight w:val="none"/>
              </w:rPr>
            </w:pPr>
          </w:p>
        </w:tc>
      </w:tr>
      <w:tr w14:paraId="5D03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443" w:type="dxa"/>
            <w:vAlign w:val="center"/>
          </w:tcPr>
          <w:p w14:paraId="158F0BB5">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地址</w:t>
            </w:r>
          </w:p>
        </w:tc>
        <w:tc>
          <w:tcPr>
            <w:tcW w:w="2345" w:type="dxa"/>
            <w:vAlign w:val="center"/>
          </w:tcPr>
          <w:p w14:paraId="7265A8C9">
            <w:pPr>
              <w:snapToGrid w:val="0"/>
              <w:spacing w:line="360" w:lineRule="auto"/>
              <w:jc w:val="center"/>
              <w:rPr>
                <w:rFonts w:ascii="宋体" w:hAnsi="宋体" w:eastAsia="宋体" w:cs="宋体"/>
                <w:snapToGrid w:val="0"/>
                <w:color w:val="auto"/>
                <w:kern w:val="0"/>
                <w:sz w:val="24"/>
                <w:szCs w:val="24"/>
                <w:highlight w:val="none"/>
              </w:rPr>
            </w:pPr>
          </w:p>
        </w:tc>
        <w:tc>
          <w:tcPr>
            <w:tcW w:w="1624" w:type="dxa"/>
            <w:vAlign w:val="center"/>
          </w:tcPr>
          <w:p w14:paraId="47053C77">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地址</w:t>
            </w:r>
          </w:p>
        </w:tc>
        <w:tc>
          <w:tcPr>
            <w:tcW w:w="2706" w:type="dxa"/>
            <w:vAlign w:val="center"/>
          </w:tcPr>
          <w:p w14:paraId="1DAC1F04">
            <w:pPr>
              <w:snapToGrid w:val="0"/>
              <w:spacing w:line="360" w:lineRule="auto"/>
              <w:jc w:val="center"/>
              <w:rPr>
                <w:rFonts w:ascii="宋体" w:hAnsi="宋体" w:eastAsia="宋体" w:cs="宋体"/>
                <w:snapToGrid w:val="0"/>
                <w:color w:val="auto"/>
                <w:kern w:val="0"/>
                <w:sz w:val="24"/>
                <w:szCs w:val="24"/>
                <w:highlight w:val="none"/>
              </w:rPr>
            </w:pPr>
          </w:p>
        </w:tc>
      </w:tr>
      <w:tr w14:paraId="696D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443" w:type="dxa"/>
            <w:vAlign w:val="center"/>
          </w:tcPr>
          <w:p w14:paraId="4C52E6F4">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电话</w:t>
            </w:r>
          </w:p>
        </w:tc>
        <w:tc>
          <w:tcPr>
            <w:tcW w:w="2345" w:type="dxa"/>
            <w:vAlign w:val="center"/>
          </w:tcPr>
          <w:p w14:paraId="44E92DED">
            <w:pPr>
              <w:snapToGrid w:val="0"/>
              <w:spacing w:line="360" w:lineRule="auto"/>
              <w:jc w:val="center"/>
              <w:rPr>
                <w:rFonts w:ascii="宋体" w:hAnsi="宋体" w:eastAsia="宋体" w:cs="宋体"/>
                <w:snapToGrid w:val="0"/>
                <w:color w:val="auto"/>
                <w:kern w:val="0"/>
                <w:sz w:val="24"/>
                <w:szCs w:val="24"/>
                <w:highlight w:val="none"/>
              </w:rPr>
            </w:pPr>
          </w:p>
        </w:tc>
        <w:tc>
          <w:tcPr>
            <w:tcW w:w="1624" w:type="dxa"/>
            <w:vAlign w:val="center"/>
          </w:tcPr>
          <w:p w14:paraId="1DE9D722">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电话</w:t>
            </w:r>
          </w:p>
        </w:tc>
        <w:tc>
          <w:tcPr>
            <w:tcW w:w="2706" w:type="dxa"/>
            <w:vAlign w:val="center"/>
          </w:tcPr>
          <w:p w14:paraId="33C76009">
            <w:pPr>
              <w:snapToGrid w:val="0"/>
              <w:spacing w:line="360" w:lineRule="auto"/>
              <w:jc w:val="center"/>
              <w:rPr>
                <w:rFonts w:ascii="宋体" w:hAnsi="宋体" w:eastAsia="宋体" w:cs="宋体"/>
                <w:snapToGrid w:val="0"/>
                <w:color w:val="auto"/>
                <w:kern w:val="0"/>
                <w:sz w:val="24"/>
                <w:szCs w:val="24"/>
                <w:highlight w:val="none"/>
              </w:rPr>
            </w:pPr>
          </w:p>
        </w:tc>
      </w:tr>
      <w:tr w14:paraId="31FA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443" w:type="dxa"/>
            <w:vAlign w:val="center"/>
          </w:tcPr>
          <w:p w14:paraId="03D33D38">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开户银行</w:t>
            </w:r>
          </w:p>
        </w:tc>
        <w:tc>
          <w:tcPr>
            <w:tcW w:w="2345" w:type="dxa"/>
            <w:vAlign w:val="center"/>
          </w:tcPr>
          <w:p w14:paraId="6BC76D21">
            <w:pPr>
              <w:snapToGrid w:val="0"/>
              <w:spacing w:line="360" w:lineRule="auto"/>
              <w:jc w:val="center"/>
              <w:rPr>
                <w:rFonts w:ascii="宋体" w:hAnsi="宋体" w:eastAsia="宋体" w:cs="宋体"/>
                <w:snapToGrid w:val="0"/>
                <w:color w:val="auto"/>
                <w:kern w:val="0"/>
                <w:sz w:val="24"/>
                <w:szCs w:val="24"/>
                <w:highlight w:val="none"/>
              </w:rPr>
            </w:pPr>
          </w:p>
        </w:tc>
        <w:tc>
          <w:tcPr>
            <w:tcW w:w="1624" w:type="dxa"/>
            <w:vAlign w:val="center"/>
          </w:tcPr>
          <w:p w14:paraId="39FEBBA6">
            <w:pPr>
              <w:snapToGrid w:val="0"/>
              <w:spacing w:line="360" w:lineRule="auto"/>
              <w:jc w:val="center"/>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开户银行</w:t>
            </w:r>
          </w:p>
        </w:tc>
        <w:tc>
          <w:tcPr>
            <w:tcW w:w="2706" w:type="dxa"/>
            <w:vAlign w:val="center"/>
          </w:tcPr>
          <w:p w14:paraId="3789B0EB">
            <w:pPr>
              <w:snapToGrid w:val="0"/>
              <w:spacing w:line="360" w:lineRule="auto"/>
              <w:jc w:val="center"/>
              <w:rPr>
                <w:rFonts w:ascii="宋体" w:hAnsi="宋体" w:eastAsia="宋体" w:cs="宋体"/>
                <w:snapToGrid w:val="0"/>
                <w:color w:val="auto"/>
                <w:kern w:val="0"/>
                <w:sz w:val="24"/>
                <w:szCs w:val="24"/>
                <w:highlight w:val="none"/>
              </w:rPr>
            </w:pPr>
          </w:p>
        </w:tc>
      </w:tr>
      <w:tr w14:paraId="07FC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443" w:type="dxa"/>
            <w:vAlign w:val="center"/>
          </w:tcPr>
          <w:p w14:paraId="60DEBB99">
            <w:pPr>
              <w:snapToGrid w:val="0"/>
              <w:spacing w:line="36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账号</w:t>
            </w:r>
          </w:p>
        </w:tc>
        <w:tc>
          <w:tcPr>
            <w:tcW w:w="2345" w:type="dxa"/>
            <w:vAlign w:val="center"/>
          </w:tcPr>
          <w:p w14:paraId="4B58302F">
            <w:pPr>
              <w:snapToGrid w:val="0"/>
              <w:spacing w:line="360" w:lineRule="auto"/>
              <w:jc w:val="center"/>
              <w:rPr>
                <w:rFonts w:ascii="宋体" w:hAnsi="宋体" w:eastAsia="宋体" w:cs="宋体"/>
                <w:snapToGrid w:val="0"/>
                <w:color w:val="auto"/>
                <w:kern w:val="0"/>
                <w:sz w:val="24"/>
                <w:szCs w:val="24"/>
                <w:highlight w:val="none"/>
              </w:rPr>
            </w:pPr>
          </w:p>
        </w:tc>
        <w:tc>
          <w:tcPr>
            <w:tcW w:w="1624" w:type="dxa"/>
            <w:vAlign w:val="center"/>
          </w:tcPr>
          <w:p w14:paraId="263BB844">
            <w:pPr>
              <w:snapToGrid w:val="0"/>
              <w:spacing w:line="36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账号</w:t>
            </w:r>
          </w:p>
        </w:tc>
        <w:tc>
          <w:tcPr>
            <w:tcW w:w="2706" w:type="dxa"/>
            <w:vAlign w:val="center"/>
          </w:tcPr>
          <w:p w14:paraId="56BE67DA">
            <w:pPr>
              <w:snapToGrid w:val="0"/>
              <w:spacing w:line="360" w:lineRule="auto"/>
              <w:jc w:val="center"/>
              <w:rPr>
                <w:rFonts w:ascii="宋体" w:hAnsi="宋体" w:eastAsia="宋体" w:cs="宋体"/>
                <w:snapToGrid w:val="0"/>
                <w:color w:val="auto"/>
                <w:kern w:val="0"/>
                <w:sz w:val="24"/>
                <w:szCs w:val="24"/>
                <w:highlight w:val="none"/>
              </w:rPr>
            </w:pPr>
          </w:p>
        </w:tc>
      </w:tr>
    </w:tbl>
    <w:p w14:paraId="79EC9A69">
      <w:pPr>
        <w:rPr>
          <w:rFonts w:hint="eastAsia" w:ascii="宋体" w:hAnsi="宋体" w:cs="宋体"/>
          <w:color w:val="auto"/>
          <w:sz w:val="24"/>
          <w:szCs w:val="24"/>
          <w:highlight w:val="none"/>
        </w:rPr>
      </w:pPr>
    </w:p>
    <w:p w14:paraId="7FC93343">
      <w:pPr>
        <w:rPr>
          <w:color w:val="auto"/>
          <w:highlight w:val="none"/>
        </w:rPr>
      </w:pPr>
    </w:p>
    <w:p w14:paraId="7C46E76A">
      <w:pPr>
        <w:pStyle w:val="2"/>
        <w:jc w:val="center"/>
        <w:rPr>
          <w:rFonts w:hint="eastAsia" w:cs="宋体"/>
          <w:color w:val="auto"/>
          <w:sz w:val="36"/>
          <w:szCs w:val="36"/>
          <w:highlight w:val="none"/>
        </w:rPr>
      </w:pPr>
      <w:bookmarkStart w:id="142" w:name="_Toc7690"/>
      <w:bookmarkStart w:id="143" w:name="_Toc4669"/>
      <w:bookmarkStart w:id="144" w:name="_Toc31834"/>
      <w:bookmarkStart w:id="145" w:name="_Toc12941"/>
    </w:p>
    <w:p w14:paraId="2EC2F5EA">
      <w:pPr>
        <w:rPr>
          <w:rFonts w:hint="eastAsia" w:cs="宋体"/>
          <w:color w:val="auto"/>
          <w:sz w:val="36"/>
          <w:szCs w:val="36"/>
          <w:highlight w:val="none"/>
        </w:rPr>
      </w:pPr>
    </w:p>
    <w:p w14:paraId="2DC67C41">
      <w:pPr>
        <w:pStyle w:val="2"/>
        <w:jc w:val="center"/>
        <w:rPr>
          <w:rFonts w:hint="eastAsia" w:cs="宋体"/>
          <w:color w:val="auto"/>
          <w:sz w:val="36"/>
          <w:szCs w:val="36"/>
          <w:highlight w:val="none"/>
        </w:rPr>
      </w:pPr>
    </w:p>
    <w:p w14:paraId="0BC0FDD2">
      <w:pPr>
        <w:rPr>
          <w:rFonts w:hint="eastAsia" w:cs="宋体"/>
          <w:color w:val="auto"/>
          <w:sz w:val="36"/>
          <w:szCs w:val="36"/>
          <w:highlight w:val="none"/>
        </w:rPr>
      </w:pPr>
    </w:p>
    <w:p w14:paraId="1E3B7C15">
      <w:pPr>
        <w:pStyle w:val="26"/>
        <w:ind w:left="0" w:leftChars="0" w:firstLine="0" w:firstLineChars="0"/>
        <w:rPr>
          <w:rFonts w:hint="eastAsia"/>
          <w:color w:val="auto"/>
          <w:highlight w:val="none"/>
          <w:lang w:eastAsia="zh-CN"/>
        </w:rPr>
      </w:pPr>
    </w:p>
    <w:p w14:paraId="274E234C">
      <w:pPr>
        <w:pStyle w:val="26"/>
        <w:ind w:left="0" w:leftChars="0" w:firstLine="0" w:firstLineChars="0"/>
        <w:rPr>
          <w:rFonts w:hint="eastAsia"/>
          <w:color w:val="auto"/>
          <w:highlight w:val="none"/>
          <w:lang w:eastAsia="zh-CN"/>
        </w:rPr>
      </w:pPr>
      <w:r>
        <w:rPr>
          <w:rFonts w:hint="eastAsia"/>
          <w:color w:val="auto"/>
          <w:highlight w:val="none"/>
          <w:lang w:eastAsia="zh-CN"/>
        </w:rPr>
        <w:t>合同附件</w:t>
      </w:r>
      <w:r>
        <w:rPr>
          <w:rFonts w:hint="eastAsia"/>
          <w:color w:val="auto"/>
          <w:highlight w:val="none"/>
          <w:lang w:val="en-US" w:eastAsia="zh-CN"/>
        </w:rPr>
        <w:t>1</w:t>
      </w:r>
      <w:r>
        <w:rPr>
          <w:rFonts w:hint="eastAsia"/>
          <w:color w:val="auto"/>
          <w:highlight w:val="none"/>
          <w:lang w:eastAsia="zh-CN"/>
        </w:rPr>
        <w:t>：</w:t>
      </w:r>
    </w:p>
    <w:p w14:paraId="286F35C5">
      <w:pPr>
        <w:keepNext/>
        <w:widowControl w:val="0"/>
        <w:spacing w:line="216" w:lineRule="auto"/>
        <w:jc w:val="center"/>
        <w:outlineLvl w:val="1"/>
        <w:rPr>
          <w:rFonts w:hint="default" w:ascii="宋体" w:hAnsi="Calibri" w:eastAsia="宋体" w:cs="宋体"/>
          <w:b/>
          <w:bCs/>
          <w:color w:val="auto"/>
          <w:kern w:val="2"/>
          <w:sz w:val="28"/>
          <w:szCs w:val="28"/>
          <w:highlight w:val="none"/>
          <w:lang w:val="en-US" w:eastAsia="zh-CN" w:bidi="ar-SA"/>
        </w:rPr>
      </w:pPr>
      <w:r>
        <w:rPr>
          <w:rFonts w:hint="eastAsia" w:ascii="宋体" w:hAnsi="Calibri" w:eastAsia="宋体" w:cs="宋体"/>
          <w:b/>
          <w:bCs/>
          <w:color w:val="auto"/>
          <w:kern w:val="2"/>
          <w:sz w:val="28"/>
          <w:szCs w:val="28"/>
          <w:highlight w:val="none"/>
          <w:lang w:val="en-US" w:eastAsia="zh-CN" w:bidi="ar-SA"/>
        </w:rPr>
        <w:t>上虞第二人民医院安保服务项目考核</w:t>
      </w:r>
      <w:r>
        <w:rPr>
          <w:rFonts w:hint="eastAsia" w:ascii="宋体" w:hAnsi="Calibri" w:cs="宋体"/>
          <w:b/>
          <w:bCs/>
          <w:color w:val="auto"/>
          <w:kern w:val="2"/>
          <w:sz w:val="28"/>
          <w:szCs w:val="28"/>
          <w:highlight w:val="none"/>
          <w:lang w:val="en-US" w:eastAsia="zh-CN" w:bidi="ar-SA"/>
        </w:rPr>
        <w:t>办法</w:t>
      </w:r>
    </w:p>
    <w:p w14:paraId="783F00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为加强绍兴市上虞第二人民医院的管理，达到管理工作的制度化、规范化、标准化目标，确保医院规范、高效、安全运行，结合医院管理实际，绍兴市上虞第二人民医院制定以下考核办法。</w:t>
      </w:r>
    </w:p>
    <w:p w14:paraId="6E47B2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具体考核办法如下：</w:t>
      </w:r>
    </w:p>
    <w:p w14:paraId="255C88E7">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考核对象</w:t>
      </w:r>
    </w:p>
    <w:p w14:paraId="3247F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绍兴市上虞第二人民医院安保服务项目服务单位。</w:t>
      </w:r>
    </w:p>
    <w:p w14:paraId="3BD10419">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考核原则</w:t>
      </w:r>
    </w:p>
    <w:p w14:paraId="40C44B2C">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坚持公开、公平、公正的原则；</w:t>
      </w:r>
    </w:p>
    <w:p w14:paraId="2455C9C3">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坚持季度检查、年度考评原则；</w:t>
      </w:r>
    </w:p>
    <w:p w14:paraId="53C5FC90">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坚持定性和定量相结合的原则。</w:t>
      </w:r>
    </w:p>
    <w:p w14:paraId="35189446">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考核方式</w:t>
      </w:r>
    </w:p>
    <w:p w14:paraId="6EA76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成立考核小组每月不定期对</w:t>
      </w: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的各项工作进行考核，详见下表《上虞第二人民医院安保服务项目考核细则》</w:t>
      </w:r>
    </w:p>
    <w:p w14:paraId="59D0DF72">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奖惩办法</w:t>
      </w:r>
    </w:p>
    <w:p w14:paraId="514F0745">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满分为100分，90分（含）以上为优秀，支付全部月度合同款；</w:t>
      </w:r>
    </w:p>
    <w:p w14:paraId="58454E31">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80分（含）—90分（不含），每分扣1000元；</w:t>
      </w:r>
    </w:p>
    <w:p w14:paraId="6008BFD2">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80分（不含）以下，每分扣2000元；</w:t>
      </w:r>
    </w:p>
    <w:p w14:paraId="69CD58DD">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cs="宋体"/>
          <w:color w:val="auto"/>
          <w:kern w:val="2"/>
          <w:sz w:val="24"/>
          <w:szCs w:val="21"/>
          <w:highlight w:val="none"/>
          <w:lang w:val="en-US" w:eastAsia="zh-CN"/>
        </w:rPr>
        <w:t>累计</w:t>
      </w:r>
      <w:r>
        <w:rPr>
          <w:rFonts w:hint="eastAsia" w:ascii="宋体" w:hAnsi="宋体" w:eastAsia="宋体" w:cs="宋体"/>
          <w:color w:val="auto"/>
          <w:kern w:val="2"/>
          <w:sz w:val="24"/>
          <w:szCs w:val="21"/>
          <w:highlight w:val="none"/>
          <w:lang w:val="en-US" w:eastAsia="zh-CN"/>
        </w:rPr>
        <w:t>2个月80分（不含）以下，采购人可解除本合同。</w:t>
      </w:r>
    </w:p>
    <w:p w14:paraId="5B27708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补充细则</w:t>
      </w:r>
    </w:p>
    <w:p w14:paraId="130C454D">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应按</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需求及时增减保安服务岗位数量，如出现不及时到岗或缺岗，但未造成后果的，在扣除岗位费用的前提下，另按每个岗位扣100元。</w:t>
      </w:r>
    </w:p>
    <w:p w14:paraId="7386F083">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保安在岗位服务中，出现服务不到位而造成不良投诉和不良影响的，每岗次扣除服务费100元。</w:t>
      </w:r>
    </w:p>
    <w:p w14:paraId="58D82FB3">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保安在岗位服务中违反保安工作规范和工作纪律（</w:t>
      </w: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需提供保安工作规范和工作纪律标准给</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备案），被</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发现和查到的，每岗次扣100元。</w:t>
      </w:r>
    </w:p>
    <w:p w14:paraId="7DD9C66E">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每月向</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提供费用票据的同时，需提供明细费用计算</w:t>
      </w:r>
      <w:r>
        <w:rPr>
          <w:rFonts w:hint="eastAsia" w:ascii="宋体" w:hAnsi="宋体" w:cs="宋体"/>
          <w:color w:val="auto"/>
          <w:kern w:val="2"/>
          <w:sz w:val="24"/>
          <w:szCs w:val="21"/>
          <w:highlight w:val="none"/>
          <w:lang w:val="en-US" w:eastAsia="zh-CN"/>
        </w:rPr>
        <w:t>单</w:t>
      </w:r>
      <w:r>
        <w:rPr>
          <w:rFonts w:hint="eastAsia" w:ascii="宋体" w:hAnsi="宋体" w:eastAsia="宋体" w:cs="宋体"/>
          <w:color w:val="auto"/>
          <w:kern w:val="2"/>
          <w:sz w:val="24"/>
          <w:szCs w:val="21"/>
          <w:highlight w:val="none"/>
          <w:lang w:val="en-US" w:eastAsia="zh-CN"/>
        </w:rPr>
        <w:t>和在</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服务岗位人员详细名单表，如不及时和不全面的，每月次扣服务费1000元。</w:t>
      </w:r>
    </w:p>
    <w:p w14:paraId="27075ED0">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保安在服务中应遵守</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的规章制度和岗位职责，有不服从管理和有违反的，发现一岗次视情节扣服务费100元。</w:t>
      </w:r>
    </w:p>
    <w:p w14:paraId="77940931">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以上</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对</w:t>
      </w: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的月度考核内容，</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可在月度中累计对</w:t>
      </w: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进行扣除服务费用。</w:t>
      </w:r>
    </w:p>
    <w:p w14:paraId="58ED9AB3">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此月度考核标准为仅限于</w:t>
      </w: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服务上对</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未造成严重后果的情况，如发生严重后果的，</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有权另行追究</w:t>
      </w:r>
      <w:r>
        <w:rPr>
          <w:rFonts w:hint="eastAsia" w:ascii="宋体" w:hAnsi="宋体" w:cs="宋体"/>
          <w:color w:val="auto"/>
          <w:kern w:val="2"/>
          <w:sz w:val="24"/>
          <w:szCs w:val="21"/>
          <w:highlight w:val="none"/>
          <w:lang w:val="en-US" w:eastAsia="zh-CN"/>
        </w:rPr>
        <w:t>乙方</w:t>
      </w:r>
      <w:r>
        <w:rPr>
          <w:rFonts w:hint="eastAsia" w:ascii="宋体" w:hAnsi="宋体" w:eastAsia="宋体" w:cs="宋体"/>
          <w:color w:val="auto"/>
          <w:kern w:val="2"/>
          <w:sz w:val="24"/>
          <w:szCs w:val="21"/>
          <w:highlight w:val="none"/>
          <w:lang w:val="en-US" w:eastAsia="zh-CN"/>
        </w:rPr>
        <w:t>的责任。</w:t>
      </w:r>
    </w:p>
    <w:p w14:paraId="3ACED1B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本考核办法最终解释权归</w:t>
      </w:r>
      <w:r>
        <w:rPr>
          <w:rFonts w:hint="eastAsia" w:ascii="宋体" w:hAnsi="宋体" w:cs="宋体"/>
          <w:color w:val="auto"/>
          <w:kern w:val="2"/>
          <w:sz w:val="24"/>
          <w:szCs w:val="21"/>
          <w:highlight w:val="none"/>
          <w:lang w:val="en-US" w:eastAsia="zh-CN"/>
        </w:rPr>
        <w:t>甲方</w:t>
      </w:r>
      <w:r>
        <w:rPr>
          <w:rFonts w:hint="eastAsia" w:ascii="宋体" w:hAnsi="宋体" w:eastAsia="宋体" w:cs="宋体"/>
          <w:color w:val="auto"/>
          <w:kern w:val="2"/>
          <w:sz w:val="24"/>
          <w:szCs w:val="21"/>
          <w:highlight w:val="none"/>
          <w:lang w:val="en-US" w:eastAsia="zh-CN"/>
        </w:rPr>
        <w:t>所有。</w:t>
      </w:r>
    </w:p>
    <w:p w14:paraId="6995EFBC">
      <w:pPr>
        <w:tabs>
          <w:tab w:val="left" w:pos="1275"/>
        </w:tabs>
        <w:jc w:val="center"/>
        <w:rPr>
          <w:rFonts w:hint="eastAsia" w:ascii="宋体" w:hAnsi="宋体" w:eastAsia="宋体" w:cs="宋体"/>
          <w:b/>
          <w:bCs/>
          <w:color w:val="auto"/>
          <w:kern w:val="0"/>
          <w:sz w:val="28"/>
          <w:szCs w:val="22"/>
          <w:highlight w:val="none"/>
          <w:lang w:val="en-US" w:eastAsia="zh-CN"/>
        </w:rPr>
        <w:sectPr>
          <w:pgSz w:w="11906" w:h="16838"/>
          <w:pgMar w:top="1440" w:right="1800" w:bottom="1440" w:left="1800" w:header="851" w:footer="992" w:gutter="0"/>
          <w:cols w:space="425" w:num="1"/>
          <w:docGrid w:type="lines" w:linePitch="312" w:charSpace="0"/>
        </w:sectPr>
      </w:pPr>
    </w:p>
    <w:p w14:paraId="0D9C0E9A">
      <w:pPr>
        <w:widowControl w:val="0"/>
        <w:tabs>
          <w:tab w:val="left" w:pos="1275"/>
        </w:tabs>
        <w:ind w:firstLine="281" w:firstLineChars="100"/>
        <w:jc w:val="center"/>
        <w:rPr>
          <w:rFonts w:hint="eastAsia" w:ascii="宋体" w:hAnsi="宋体" w:eastAsia="宋体" w:cs="宋体"/>
          <w:b/>
          <w:bCs/>
          <w:color w:val="auto"/>
          <w:kern w:val="2"/>
          <w:sz w:val="28"/>
          <w:szCs w:val="22"/>
          <w:highlight w:val="none"/>
          <w:lang w:val="en-US" w:eastAsia="zh-CN" w:bidi="ar-SA"/>
        </w:rPr>
      </w:pPr>
      <w:r>
        <w:rPr>
          <w:rFonts w:hint="eastAsia" w:ascii="宋体" w:hAnsi="宋体" w:eastAsia="宋体" w:cs="宋体"/>
          <w:b/>
          <w:bCs/>
          <w:color w:val="auto"/>
          <w:kern w:val="0"/>
          <w:sz w:val="28"/>
          <w:szCs w:val="22"/>
          <w:highlight w:val="none"/>
          <w:lang w:val="en-US" w:eastAsia="zh-CN" w:bidi="ar-SA"/>
        </w:rPr>
        <w:t>上虞第二人民医院安保服务项目考核细则</w:t>
      </w:r>
    </w:p>
    <w:tbl>
      <w:tblPr>
        <w:tblStyle w:val="28"/>
        <w:tblW w:w="90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6300"/>
        <w:gridCol w:w="900"/>
        <w:gridCol w:w="720"/>
      </w:tblGrid>
      <w:tr w14:paraId="65A5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42A2FCE5">
            <w:pPr>
              <w:autoSpaceDE w:val="0"/>
              <w:autoSpaceDN w:val="0"/>
              <w:adjustRightInd w:val="0"/>
              <w:spacing w:line="360" w:lineRule="auto"/>
              <w:jc w:val="center"/>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项目</w:t>
            </w:r>
          </w:p>
        </w:tc>
        <w:tc>
          <w:tcPr>
            <w:tcW w:w="6300" w:type="dxa"/>
            <w:noWrap w:val="0"/>
            <w:vAlign w:val="center"/>
          </w:tcPr>
          <w:p w14:paraId="66EE4E61">
            <w:pPr>
              <w:autoSpaceDE w:val="0"/>
              <w:autoSpaceDN w:val="0"/>
              <w:adjustRightInd w:val="0"/>
              <w:spacing w:line="360" w:lineRule="auto"/>
              <w:jc w:val="center"/>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考核内容</w:t>
            </w:r>
          </w:p>
        </w:tc>
        <w:tc>
          <w:tcPr>
            <w:tcW w:w="900" w:type="dxa"/>
            <w:noWrap w:val="0"/>
            <w:vAlign w:val="center"/>
          </w:tcPr>
          <w:p w14:paraId="0A31EBC8">
            <w:pPr>
              <w:autoSpaceDE w:val="0"/>
              <w:autoSpaceDN w:val="0"/>
              <w:adjustRightInd w:val="0"/>
              <w:spacing w:line="360" w:lineRule="auto"/>
              <w:jc w:val="center"/>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分值</w:t>
            </w:r>
          </w:p>
        </w:tc>
        <w:tc>
          <w:tcPr>
            <w:tcW w:w="720" w:type="dxa"/>
            <w:noWrap w:val="0"/>
            <w:vAlign w:val="center"/>
          </w:tcPr>
          <w:p w14:paraId="70CB4D6C">
            <w:pPr>
              <w:autoSpaceDE w:val="0"/>
              <w:autoSpaceDN w:val="0"/>
              <w:adjustRightInd w:val="0"/>
              <w:spacing w:line="360" w:lineRule="auto"/>
              <w:jc w:val="center"/>
              <w:rPr>
                <w:rFonts w:hint="eastAsia" w:ascii="宋体" w:hAnsi="宋体" w:eastAsia="宋体" w:cs="宋体"/>
                <w:b/>
                <w:color w:val="auto"/>
                <w:kern w:val="2"/>
                <w:sz w:val="24"/>
                <w:szCs w:val="21"/>
                <w:highlight w:val="none"/>
              </w:rPr>
            </w:pPr>
            <w:r>
              <w:rPr>
                <w:rFonts w:hint="eastAsia" w:ascii="宋体" w:hAnsi="宋体" w:eastAsia="宋体" w:cs="宋体"/>
                <w:b/>
                <w:color w:val="auto"/>
                <w:kern w:val="2"/>
                <w:sz w:val="24"/>
                <w:szCs w:val="21"/>
                <w:highlight w:val="none"/>
              </w:rPr>
              <w:t>扣分</w:t>
            </w:r>
          </w:p>
        </w:tc>
      </w:tr>
      <w:tr w14:paraId="54FE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0" w:type="dxa"/>
            <w:gridSpan w:val="4"/>
            <w:noWrap w:val="0"/>
            <w:vAlign w:val="center"/>
          </w:tcPr>
          <w:p w14:paraId="1EC5561C">
            <w:pPr>
              <w:autoSpaceDE w:val="0"/>
              <w:autoSpaceDN w:val="0"/>
              <w:adjustRightInd w:val="0"/>
              <w:spacing w:line="360" w:lineRule="auto"/>
              <w:jc w:val="left"/>
              <w:rPr>
                <w:rFonts w:hint="default"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一、常规考核内容</w:t>
            </w:r>
          </w:p>
        </w:tc>
      </w:tr>
      <w:tr w14:paraId="7C7C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22B6DBB3">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仪容  仪表  15分</w:t>
            </w:r>
          </w:p>
        </w:tc>
        <w:tc>
          <w:tcPr>
            <w:tcW w:w="6300" w:type="dxa"/>
            <w:noWrap w:val="0"/>
            <w:vAlign w:val="center"/>
          </w:tcPr>
          <w:p w14:paraId="1A2088E4">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1、安保人员值班时必须按规定着装、佩戴整齐、干净，帽、帽徽、肩章、领章、臂装、领带、编号、武装带、工作证等规范佩戴。非工作时间不得穿制服。</w:t>
            </w:r>
          </w:p>
        </w:tc>
        <w:tc>
          <w:tcPr>
            <w:tcW w:w="900" w:type="dxa"/>
            <w:noWrap w:val="0"/>
            <w:vAlign w:val="center"/>
          </w:tcPr>
          <w:p w14:paraId="7D5FE8E1">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1C7C24A8">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163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EFE217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B2F6EF7">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2、不准敞衣、松带、卷袖和卷裤腿。</w:t>
            </w:r>
          </w:p>
        </w:tc>
        <w:tc>
          <w:tcPr>
            <w:tcW w:w="900" w:type="dxa"/>
            <w:noWrap w:val="0"/>
            <w:vAlign w:val="center"/>
          </w:tcPr>
          <w:p w14:paraId="68D0990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03055FE9">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CE6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0A61CD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D098B15">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3、要保持工作服无污染、无开线、无掉扣现象。</w:t>
            </w:r>
          </w:p>
        </w:tc>
        <w:tc>
          <w:tcPr>
            <w:tcW w:w="900" w:type="dxa"/>
            <w:noWrap w:val="0"/>
            <w:vAlign w:val="center"/>
          </w:tcPr>
          <w:p w14:paraId="4BFB04B2">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1分</w:t>
            </w:r>
          </w:p>
        </w:tc>
        <w:tc>
          <w:tcPr>
            <w:tcW w:w="720" w:type="dxa"/>
            <w:noWrap w:val="0"/>
            <w:vAlign w:val="top"/>
          </w:tcPr>
          <w:p w14:paraId="78AE9878">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04A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8F09F70">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FE566D0">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4、制服便裤不混穿，不留小胡子和大鬓角、长指甲或不得留长发，蓄发不露于帽外2厘米以上，染发、烫发、纹身。</w:t>
            </w:r>
          </w:p>
        </w:tc>
        <w:tc>
          <w:tcPr>
            <w:tcW w:w="900" w:type="dxa"/>
            <w:noWrap w:val="0"/>
            <w:vAlign w:val="center"/>
          </w:tcPr>
          <w:p w14:paraId="3EAEB360">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30B58028">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C07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481985B">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448AB51">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5、上班时，衣服高领、</w:t>
            </w:r>
            <w:r>
              <w:rPr>
                <w:rFonts w:hint="eastAsia" w:ascii="宋体" w:hAnsi="宋体" w:eastAsia="宋体" w:cs="宋体"/>
                <w:color w:val="auto"/>
                <w:kern w:val="2"/>
                <w:sz w:val="24"/>
                <w:szCs w:val="21"/>
                <w:highlight w:val="none"/>
                <w:lang w:eastAsia="zh-CN"/>
              </w:rPr>
              <w:t>项链</w:t>
            </w:r>
            <w:r>
              <w:rPr>
                <w:rFonts w:hint="eastAsia" w:ascii="宋体" w:hAnsi="宋体" w:eastAsia="宋体" w:cs="宋体"/>
                <w:color w:val="auto"/>
                <w:kern w:val="2"/>
                <w:sz w:val="24"/>
                <w:szCs w:val="21"/>
                <w:highlight w:val="none"/>
              </w:rPr>
              <w:t>等不得外露，外出需着保安服时，不外套其他服装，不围围巾等。</w:t>
            </w:r>
          </w:p>
        </w:tc>
        <w:tc>
          <w:tcPr>
            <w:tcW w:w="900" w:type="dxa"/>
            <w:noWrap w:val="0"/>
            <w:vAlign w:val="center"/>
          </w:tcPr>
          <w:p w14:paraId="1B6DD694">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503BA47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DF3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ABC986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704DADE">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6、上岗执勤精神饱满，严肃认真，态度严谨，挺胸收腹，严禁有晃膀、勾肩搭背、背手、吃零食、或哼小调、吹口哨或抽烟、两手插口袋等不良行为。要求两人成排三人成列。</w:t>
            </w:r>
          </w:p>
        </w:tc>
        <w:tc>
          <w:tcPr>
            <w:tcW w:w="900" w:type="dxa"/>
            <w:noWrap w:val="0"/>
            <w:vAlign w:val="center"/>
          </w:tcPr>
          <w:p w14:paraId="7CAD0B1A">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09E9D13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DAF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BD356C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2B31148">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7、站立式不要手插口袋、插腰、抱肩、前后叉腿或单腿打点，不要前</w:t>
            </w:r>
            <w:r>
              <w:rPr>
                <w:rFonts w:hint="eastAsia" w:ascii="宋体" w:hAnsi="宋体" w:eastAsia="宋体" w:cs="宋体"/>
                <w:color w:val="auto"/>
                <w:kern w:val="2"/>
                <w:sz w:val="24"/>
                <w:szCs w:val="21"/>
                <w:highlight w:val="none"/>
                <w:lang w:eastAsia="zh-CN"/>
              </w:rPr>
              <w:t>倚</w:t>
            </w:r>
            <w:r>
              <w:rPr>
                <w:rFonts w:hint="eastAsia" w:ascii="宋体" w:hAnsi="宋体" w:eastAsia="宋体" w:cs="宋体"/>
                <w:color w:val="auto"/>
                <w:kern w:val="2"/>
                <w:sz w:val="24"/>
                <w:szCs w:val="21"/>
                <w:highlight w:val="none"/>
              </w:rPr>
              <w:t>后靠、东倒西歪、手脚颤动，要以军姿为准。</w:t>
            </w:r>
          </w:p>
        </w:tc>
        <w:tc>
          <w:tcPr>
            <w:tcW w:w="900" w:type="dxa"/>
            <w:noWrap w:val="0"/>
            <w:vAlign w:val="center"/>
          </w:tcPr>
          <w:p w14:paraId="43366653">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65B1C809">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C64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26437DD">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35198E4">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8、在执勤范围内未上岗人员也不准穿拖鞋、背心、短裤在责任区内自由活动或将香烟夹在耳朵上。</w:t>
            </w:r>
          </w:p>
        </w:tc>
        <w:tc>
          <w:tcPr>
            <w:tcW w:w="900" w:type="dxa"/>
            <w:noWrap w:val="0"/>
            <w:vAlign w:val="center"/>
          </w:tcPr>
          <w:p w14:paraId="2F3D38B2">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1分</w:t>
            </w:r>
          </w:p>
        </w:tc>
        <w:tc>
          <w:tcPr>
            <w:tcW w:w="720" w:type="dxa"/>
            <w:noWrap w:val="0"/>
            <w:vAlign w:val="top"/>
          </w:tcPr>
          <w:p w14:paraId="5733F8BD">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5E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161DC41D">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服务  态度  10分</w:t>
            </w:r>
          </w:p>
        </w:tc>
        <w:tc>
          <w:tcPr>
            <w:tcW w:w="6300" w:type="dxa"/>
            <w:noWrap w:val="0"/>
            <w:vAlign w:val="center"/>
          </w:tcPr>
          <w:p w14:paraId="775CDBE9">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1、管理时先敬礼。工作时严禁以貌取人、粗言恶语，要多用“您好、请问、谢谢、对不起、再见”等文明用语，不得先无故厉声喝问。</w:t>
            </w:r>
          </w:p>
        </w:tc>
        <w:tc>
          <w:tcPr>
            <w:tcW w:w="900" w:type="dxa"/>
            <w:noWrap w:val="0"/>
            <w:vAlign w:val="center"/>
          </w:tcPr>
          <w:p w14:paraId="03AACC4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723AC2EB">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8C5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0F673AB">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3D1C1CA">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2、工作时对领导、访客要热情接待。对待他人主动、热情、耐心，举止端庄，有礼有节，文明用语，没有损害医院形象；执勤中文明纠正违章，不刁难、骂人、打人。</w:t>
            </w:r>
          </w:p>
        </w:tc>
        <w:tc>
          <w:tcPr>
            <w:tcW w:w="900" w:type="dxa"/>
            <w:noWrap w:val="0"/>
            <w:vAlign w:val="center"/>
          </w:tcPr>
          <w:p w14:paraId="4AC69A5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610C91FB">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AE0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8E4612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8A5C925">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3、对所有访问者的提问，必须有问必答，不含糊其辞、乱解释，严禁说不知道，要应答、帮助打听或报告，凡事都要有交待。</w:t>
            </w:r>
          </w:p>
        </w:tc>
        <w:tc>
          <w:tcPr>
            <w:tcW w:w="900" w:type="dxa"/>
            <w:noWrap w:val="0"/>
            <w:vAlign w:val="center"/>
          </w:tcPr>
          <w:p w14:paraId="5B01AB0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5133A87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1F4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0E3F43B">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937ACEA">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4、严禁对领导、外来工作者、同事之间在管理意见不同时，发生争吵，要以政策、条例办事。</w:t>
            </w:r>
          </w:p>
        </w:tc>
        <w:tc>
          <w:tcPr>
            <w:tcW w:w="900" w:type="dxa"/>
            <w:noWrap w:val="0"/>
            <w:vAlign w:val="center"/>
          </w:tcPr>
          <w:p w14:paraId="6371D07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174F18F9">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2D8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83A6700">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74CF66D">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5、即使面对无理取闹者，也不随意恶意相向，必须耐心的解释原因，若必要时应及时转达上级部门处理。</w:t>
            </w:r>
          </w:p>
        </w:tc>
        <w:tc>
          <w:tcPr>
            <w:tcW w:w="900" w:type="dxa"/>
            <w:noWrap w:val="0"/>
            <w:vAlign w:val="center"/>
          </w:tcPr>
          <w:p w14:paraId="02B9258A">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099919C9">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09D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4BFF6C45">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工作  纪律  20分</w:t>
            </w:r>
          </w:p>
        </w:tc>
        <w:tc>
          <w:tcPr>
            <w:tcW w:w="6300" w:type="dxa"/>
            <w:noWrap w:val="0"/>
            <w:vAlign w:val="center"/>
          </w:tcPr>
          <w:p w14:paraId="1DADAF62">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必须服从上级的命令指挥，不得顶撞、讨价还价。服从工作分配；按要求做好交接班；在岗在位履行好岗位职责；发现问题或特殊清苦及时处理、汇报，并做好记录；及时到位妥善处理和协助处理各类纠纷；认真完成临时性工作。</w:t>
            </w:r>
          </w:p>
        </w:tc>
        <w:tc>
          <w:tcPr>
            <w:tcW w:w="900" w:type="dxa"/>
            <w:noWrap w:val="0"/>
            <w:vAlign w:val="center"/>
          </w:tcPr>
          <w:p w14:paraId="5453977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4分</w:t>
            </w:r>
          </w:p>
        </w:tc>
        <w:tc>
          <w:tcPr>
            <w:tcW w:w="720" w:type="dxa"/>
            <w:noWrap w:val="0"/>
            <w:vAlign w:val="top"/>
          </w:tcPr>
          <w:p w14:paraId="60A7D64B">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678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E57BA1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61D7B36">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2、捉到犯罪嫌疑人，必须交由公安机关处理，严禁使用暴力。</w:t>
            </w:r>
          </w:p>
        </w:tc>
        <w:tc>
          <w:tcPr>
            <w:tcW w:w="900" w:type="dxa"/>
            <w:noWrap w:val="0"/>
            <w:vAlign w:val="center"/>
          </w:tcPr>
          <w:p w14:paraId="1D15988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269944A4">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A77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3A68EE1">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AF8406E">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3、严格按照排班上下班打卡，严禁擅自调班、迟到、早退、擅离职守，迟到半小时及以上按旷工处理。</w:t>
            </w:r>
          </w:p>
        </w:tc>
        <w:tc>
          <w:tcPr>
            <w:tcW w:w="900" w:type="dxa"/>
            <w:noWrap w:val="0"/>
            <w:vAlign w:val="center"/>
          </w:tcPr>
          <w:p w14:paraId="3BB3BF5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38A55C7C">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762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BA79877">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19DD2AB">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4、严格执行交接班制度，钱、物、单据无差错，不能有误班、漏班、严禁擅自离岗，做好值班记录。</w:t>
            </w:r>
          </w:p>
        </w:tc>
        <w:tc>
          <w:tcPr>
            <w:tcW w:w="900" w:type="dxa"/>
            <w:noWrap w:val="0"/>
            <w:vAlign w:val="center"/>
          </w:tcPr>
          <w:p w14:paraId="07308AEC">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24E84AF3">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C51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7131AC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9EFC6C6">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5、严禁违反规定使用领导办公室电话，严禁拨打信息电话。</w:t>
            </w:r>
          </w:p>
        </w:tc>
        <w:tc>
          <w:tcPr>
            <w:tcW w:w="900" w:type="dxa"/>
            <w:noWrap w:val="0"/>
            <w:vAlign w:val="center"/>
          </w:tcPr>
          <w:p w14:paraId="5AE6EC93">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1C382C78">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BA7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8A796A4">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240BA48">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6、严禁工作时玩手机、看书、看报纸、听音乐、抽烟、打牌、下棋和人闲聊、打瞌睡、饮酒、会客、做私活、听收音机等。</w:t>
            </w:r>
          </w:p>
        </w:tc>
        <w:tc>
          <w:tcPr>
            <w:tcW w:w="900" w:type="dxa"/>
            <w:noWrap w:val="0"/>
            <w:vAlign w:val="center"/>
          </w:tcPr>
          <w:p w14:paraId="4AE186A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4C92E13D">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285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0598807">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5FC38737">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7、不准收受贿赂、徇私舞弊和包庇坏人。</w:t>
            </w:r>
          </w:p>
        </w:tc>
        <w:tc>
          <w:tcPr>
            <w:tcW w:w="900" w:type="dxa"/>
            <w:noWrap w:val="0"/>
            <w:vAlign w:val="center"/>
          </w:tcPr>
          <w:p w14:paraId="1B36816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276FAD5F">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ED5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6345E2E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工作  要求   5分</w:t>
            </w:r>
          </w:p>
        </w:tc>
        <w:tc>
          <w:tcPr>
            <w:tcW w:w="6300" w:type="dxa"/>
            <w:noWrap w:val="0"/>
            <w:vAlign w:val="center"/>
          </w:tcPr>
          <w:p w14:paraId="57F3B6B1">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1、不准向领导或访客索要或兑换各种币种、票据，借钱、借物等。</w:t>
            </w:r>
          </w:p>
        </w:tc>
        <w:tc>
          <w:tcPr>
            <w:tcW w:w="900" w:type="dxa"/>
            <w:noWrap w:val="0"/>
            <w:vAlign w:val="center"/>
          </w:tcPr>
          <w:p w14:paraId="21F9172E">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3127B2D4">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3B8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7560E9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6BD37ED">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2、执勤时要爱护公用物品和公共配套设施。</w:t>
            </w:r>
          </w:p>
        </w:tc>
        <w:tc>
          <w:tcPr>
            <w:tcW w:w="900" w:type="dxa"/>
            <w:noWrap w:val="0"/>
            <w:vAlign w:val="center"/>
          </w:tcPr>
          <w:p w14:paraId="625D76B2">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1分</w:t>
            </w:r>
          </w:p>
        </w:tc>
        <w:tc>
          <w:tcPr>
            <w:tcW w:w="720" w:type="dxa"/>
            <w:noWrap w:val="0"/>
            <w:vAlign w:val="top"/>
          </w:tcPr>
          <w:p w14:paraId="7190B920">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FB2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BD768BB">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FF9DF1F">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3、按要求进行巡查，巡更无漏点，签到、点名时，不代签带点。</w:t>
            </w:r>
          </w:p>
        </w:tc>
        <w:tc>
          <w:tcPr>
            <w:tcW w:w="900" w:type="dxa"/>
            <w:noWrap w:val="0"/>
            <w:vAlign w:val="center"/>
          </w:tcPr>
          <w:p w14:paraId="57E50B1C">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1BF90BB0">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0C8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125BFCAC">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学习  训练   5分</w:t>
            </w:r>
          </w:p>
        </w:tc>
        <w:tc>
          <w:tcPr>
            <w:tcW w:w="6300" w:type="dxa"/>
            <w:noWrap w:val="0"/>
            <w:vAlign w:val="center"/>
          </w:tcPr>
          <w:p w14:paraId="4D71914D">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1、每周队列、预案训练不少于2小时，不得无故不参加训练，在训练场应服从指挥。</w:t>
            </w:r>
          </w:p>
        </w:tc>
        <w:tc>
          <w:tcPr>
            <w:tcW w:w="900" w:type="dxa"/>
            <w:noWrap w:val="0"/>
            <w:vAlign w:val="center"/>
          </w:tcPr>
          <w:p w14:paraId="68CF3E56">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1分</w:t>
            </w:r>
          </w:p>
        </w:tc>
        <w:tc>
          <w:tcPr>
            <w:tcW w:w="720" w:type="dxa"/>
            <w:noWrap w:val="0"/>
            <w:vAlign w:val="top"/>
          </w:tcPr>
          <w:p w14:paraId="303DC60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180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7D84ABCB">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9D333A4">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2、每周参加班组会议不少于一次，不得无故不参加会议。</w:t>
            </w:r>
          </w:p>
        </w:tc>
        <w:tc>
          <w:tcPr>
            <w:tcW w:w="900" w:type="dxa"/>
            <w:noWrap w:val="0"/>
            <w:vAlign w:val="center"/>
          </w:tcPr>
          <w:p w14:paraId="5423C64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2BB9E58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6BC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1ED610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519D489">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3、积极参加班组政治、业务、法律学习。</w:t>
            </w:r>
          </w:p>
        </w:tc>
        <w:tc>
          <w:tcPr>
            <w:tcW w:w="900" w:type="dxa"/>
            <w:noWrap w:val="0"/>
            <w:vAlign w:val="center"/>
          </w:tcPr>
          <w:p w14:paraId="328AA01C">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7D93DE85">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F35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0A2679B4">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内务  卫生  15分</w:t>
            </w:r>
          </w:p>
        </w:tc>
        <w:tc>
          <w:tcPr>
            <w:tcW w:w="6300" w:type="dxa"/>
            <w:noWrap w:val="0"/>
            <w:vAlign w:val="center"/>
          </w:tcPr>
          <w:p w14:paraId="19561314">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1、值班室及周边保持卫生整洁，物品摆放有序，地面、桌面、墙壁保持整洁。值班室内禁止吸烟。</w:t>
            </w:r>
          </w:p>
        </w:tc>
        <w:tc>
          <w:tcPr>
            <w:tcW w:w="900" w:type="dxa"/>
            <w:noWrap w:val="0"/>
            <w:vAlign w:val="center"/>
          </w:tcPr>
          <w:p w14:paraId="43FE6FF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3E6BBFE3">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195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A168D1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526C09D0">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2、个人卫生用品及餐具、装备要统一摆放整齐。</w:t>
            </w:r>
          </w:p>
        </w:tc>
        <w:tc>
          <w:tcPr>
            <w:tcW w:w="900" w:type="dxa"/>
            <w:noWrap w:val="0"/>
            <w:vAlign w:val="center"/>
          </w:tcPr>
          <w:p w14:paraId="6628288D">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45F7A14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EC7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529E650">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0A4BE1B">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3、值班室内不得随意私拉电线，更换门锁等。</w:t>
            </w:r>
          </w:p>
        </w:tc>
        <w:tc>
          <w:tcPr>
            <w:tcW w:w="900" w:type="dxa"/>
            <w:noWrap w:val="0"/>
            <w:vAlign w:val="center"/>
          </w:tcPr>
          <w:p w14:paraId="1D498FD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64CEE169">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78B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27A8EA53">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工作  能力  15分</w:t>
            </w:r>
          </w:p>
        </w:tc>
        <w:tc>
          <w:tcPr>
            <w:tcW w:w="6300" w:type="dxa"/>
            <w:noWrap w:val="0"/>
            <w:vAlign w:val="center"/>
          </w:tcPr>
          <w:p w14:paraId="1CA792A5">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1、熟悉执勤区域内结构，楼层单位，各种公共设施的分布，会使用各种救生、灭火设备。</w:t>
            </w:r>
          </w:p>
        </w:tc>
        <w:tc>
          <w:tcPr>
            <w:tcW w:w="900" w:type="dxa"/>
            <w:noWrap w:val="0"/>
            <w:vAlign w:val="center"/>
          </w:tcPr>
          <w:p w14:paraId="0E3A326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4D57E1EC">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23E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852133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AE52686">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2、工作时会处理突然断电、停水、水管爆裂和急需急救人等突发事件。而若发现未能自行处理，应立即向上级报告并要求协助。</w:t>
            </w:r>
          </w:p>
        </w:tc>
        <w:tc>
          <w:tcPr>
            <w:tcW w:w="900" w:type="dxa"/>
            <w:noWrap w:val="0"/>
            <w:vAlign w:val="center"/>
          </w:tcPr>
          <w:p w14:paraId="7F009BA0">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74754680">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B13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5E5C146">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D1B423B">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3、必须具备团队精神，同事之间应主动相互帮助，不可在遇事时相互推卸责任或拒不赴援。</w:t>
            </w:r>
          </w:p>
        </w:tc>
        <w:tc>
          <w:tcPr>
            <w:tcW w:w="900" w:type="dxa"/>
            <w:noWrap w:val="0"/>
            <w:vAlign w:val="center"/>
          </w:tcPr>
          <w:p w14:paraId="0F0441C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4A9A8DA5">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AF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F904CCF">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56320F9">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4、若有发现可疑事和物，切勿害怕麻烦而放弃调查。</w:t>
            </w:r>
          </w:p>
        </w:tc>
        <w:tc>
          <w:tcPr>
            <w:tcW w:w="900" w:type="dxa"/>
            <w:noWrap w:val="0"/>
            <w:vAlign w:val="center"/>
          </w:tcPr>
          <w:p w14:paraId="69AA4A4B">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2FF4271A">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B8B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3BC860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5047C27">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5、若发现有拜访者需要帮助，应主动协助。</w:t>
            </w:r>
          </w:p>
        </w:tc>
        <w:tc>
          <w:tcPr>
            <w:tcW w:w="900" w:type="dxa"/>
            <w:noWrap w:val="0"/>
            <w:vAlign w:val="center"/>
          </w:tcPr>
          <w:p w14:paraId="45D3C1FA">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2分</w:t>
            </w:r>
          </w:p>
        </w:tc>
        <w:tc>
          <w:tcPr>
            <w:tcW w:w="720" w:type="dxa"/>
            <w:noWrap w:val="0"/>
            <w:vAlign w:val="top"/>
          </w:tcPr>
          <w:p w14:paraId="3A1499E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51B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3433BCD8">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326084C">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6、每个班都应做好工作小结，工作有交接，有记录，做好交接岗仪式。</w:t>
            </w:r>
          </w:p>
        </w:tc>
        <w:tc>
          <w:tcPr>
            <w:tcW w:w="900" w:type="dxa"/>
            <w:noWrap w:val="0"/>
            <w:vAlign w:val="center"/>
          </w:tcPr>
          <w:p w14:paraId="646FE819">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3分</w:t>
            </w:r>
          </w:p>
        </w:tc>
        <w:tc>
          <w:tcPr>
            <w:tcW w:w="720" w:type="dxa"/>
            <w:noWrap w:val="0"/>
            <w:vAlign w:val="top"/>
          </w:tcPr>
          <w:p w14:paraId="66BD8512">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5EA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0D359F2F">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服务  质量  15分</w:t>
            </w:r>
          </w:p>
        </w:tc>
        <w:tc>
          <w:tcPr>
            <w:tcW w:w="6300" w:type="dxa"/>
            <w:noWrap w:val="0"/>
            <w:vAlign w:val="center"/>
          </w:tcPr>
          <w:p w14:paraId="7FDDC914">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w:t>
            </w:r>
            <w:r>
              <w:rPr>
                <w:rFonts w:hint="eastAsia" w:ascii="宋体" w:hAnsi="宋体" w:eastAsia="宋体" w:cs="宋体"/>
                <w:color w:val="auto"/>
                <w:kern w:val="2"/>
                <w:sz w:val="24"/>
                <w:szCs w:val="21"/>
                <w:highlight w:val="none"/>
                <w:lang w:eastAsia="zh-CN"/>
              </w:rPr>
              <w:t>值</w:t>
            </w:r>
            <w:r>
              <w:rPr>
                <w:rFonts w:hint="eastAsia" w:ascii="宋体" w:hAnsi="宋体" w:eastAsia="宋体" w:cs="宋体"/>
                <w:color w:val="auto"/>
                <w:kern w:val="2"/>
                <w:sz w:val="24"/>
                <w:szCs w:val="21"/>
                <w:highlight w:val="none"/>
              </w:rPr>
              <w:t>岗人员必须熟悉本岗位的岗位职责，以文件为依据，符合工作标准。熟知与岗位、工作相关的各项规章制度、操作规范，并严格遵守与执行。</w:t>
            </w:r>
          </w:p>
        </w:tc>
        <w:tc>
          <w:tcPr>
            <w:tcW w:w="900" w:type="dxa"/>
            <w:noWrap w:val="0"/>
            <w:vAlign w:val="center"/>
          </w:tcPr>
          <w:p w14:paraId="334B8A0D">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74808CFA">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FBB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2BC91C0">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0CB0173">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2、治安无死角，火灾无隐患，有防范方案。</w:t>
            </w:r>
          </w:p>
        </w:tc>
        <w:tc>
          <w:tcPr>
            <w:tcW w:w="900" w:type="dxa"/>
            <w:noWrap w:val="0"/>
            <w:vAlign w:val="center"/>
          </w:tcPr>
          <w:p w14:paraId="7E2AB972">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09375E1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BF4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240F3A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A39003B">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3、积极按照要求做好文明创建有关工作，医院内禁烟，积极劝烟；协助做好医院大门口卫生保洁工作。</w:t>
            </w:r>
          </w:p>
        </w:tc>
        <w:tc>
          <w:tcPr>
            <w:tcW w:w="900" w:type="dxa"/>
            <w:noWrap w:val="0"/>
            <w:vAlign w:val="center"/>
          </w:tcPr>
          <w:p w14:paraId="0CB30AC5">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5分</w:t>
            </w:r>
          </w:p>
        </w:tc>
        <w:tc>
          <w:tcPr>
            <w:tcW w:w="720" w:type="dxa"/>
            <w:noWrap w:val="0"/>
            <w:vAlign w:val="top"/>
          </w:tcPr>
          <w:p w14:paraId="6EA4AE6D">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3C3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0" w:type="dxa"/>
            <w:gridSpan w:val="4"/>
            <w:noWrap w:val="0"/>
            <w:vAlign w:val="center"/>
          </w:tcPr>
          <w:p w14:paraId="1B4C0AD0">
            <w:pPr>
              <w:autoSpaceDE w:val="0"/>
              <w:autoSpaceDN w:val="0"/>
              <w:adjustRightInd w:val="0"/>
              <w:spacing w:line="360" w:lineRule="auto"/>
              <w:rPr>
                <w:rFonts w:hint="default"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二、附加奖惩</w:t>
            </w:r>
          </w:p>
        </w:tc>
      </w:tr>
      <w:tr w14:paraId="5821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21097878">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扣分  项目</w:t>
            </w:r>
          </w:p>
        </w:tc>
        <w:tc>
          <w:tcPr>
            <w:tcW w:w="6300" w:type="dxa"/>
            <w:noWrap w:val="0"/>
            <w:vAlign w:val="center"/>
          </w:tcPr>
          <w:p w14:paraId="3C3C2010">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1、安保员因违纪等行为被投诉一次，或有效投诉未处理、汇报。扣2—10分。</w:t>
            </w:r>
          </w:p>
        </w:tc>
        <w:tc>
          <w:tcPr>
            <w:tcW w:w="900" w:type="dxa"/>
            <w:noWrap w:val="0"/>
            <w:vAlign w:val="center"/>
          </w:tcPr>
          <w:p w14:paraId="030D8C0C">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5957720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84D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44A36ED">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47745827">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2、安保员不负责任，违规违纪造成经济损失一次扣5—10分。</w:t>
            </w:r>
          </w:p>
        </w:tc>
        <w:tc>
          <w:tcPr>
            <w:tcW w:w="900" w:type="dxa"/>
            <w:noWrap w:val="0"/>
            <w:vAlign w:val="center"/>
          </w:tcPr>
          <w:p w14:paraId="558B7A4E">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61BD14BD">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BEC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243E1E1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0A3418E4">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3</w:t>
            </w:r>
            <w:r>
              <w:rPr>
                <w:rFonts w:hint="eastAsia" w:ascii="宋体" w:hAnsi="宋体" w:eastAsia="宋体" w:cs="宋体"/>
                <w:color w:val="auto"/>
                <w:kern w:val="2"/>
                <w:sz w:val="24"/>
                <w:szCs w:val="21"/>
                <w:highlight w:val="none"/>
              </w:rPr>
              <w:t>、一个月内迟到一次以上，每次加扣3分。</w:t>
            </w:r>
          </w:p>
        </w:tc>
        <w:tc>
          <w:tcPr>
            <w:tcW w:w="900" w:type="dxa"/>
            <w:noWrap w:val="0"/>
            <w:vAlign w:val="center"/>
          </w:tcPr>
          <w:p w14:paraId="7E3AB2E0">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67E8BEE2">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86B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2EA7E6C">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48A629A">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4</w:t>
            </w:r>
            <w:r>
              <w:rPr>
                <w:rFonts w:hint="eastAsia" w:ascii="宋体" w:hAnsi="宋体" w:eastAsia="宋体" w:cs="宋体"/>
                <w:color w:val="auto"/>
                <w:kern w:val="2"/>
                <w:sz w:val="24"/>
                <w:szCs w:val="21"/>
                <w:highlight w:val="none"/>
              </w:rPr>
              <w:t>、一个月内早退一次以上，每次加扣3分。</w:t>
            </w:r>
          </w:p>
        </w:tc>
        <w:tc>
          <w:tcPr>
            <w:tcW w:w="900" w:type="dxa"/>
            <w:noWrap w:val="0"/>
            <w:vAlign w:val="center"/>
          </w:tcPr>
          <w:p w14:paraId="61AFF4A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0DEC81E0">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6DFD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6BF9CA1">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D1269CA">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5</w:t>
            </w:r>
            <w:r>
              <w:rPr>
                <w:rFonts w:hint="eastAsia" w:ascii="宋体" w:hAnsi="宋体" w:eastAsia="宋体" w:cs="宋体"/>
                <w:color w:val="auto"/>
                <w:kern w:val="2"/>
                <w:sz w:val="24"/>
                <w:szCs w:val="21"/>
                <w:highlight w:val="none"/>
              </w:rPr>
              <w:t>、一个月内缺席、旷工一次以上，每次加扣5分。</w:t>
            </w:r>
          </w:p>
        </w:tc>
        <w:tc>
          <w:tcPr>
            <w:tcW w:w="900" w:type="dxa"/>
            <w:noWrap w:val="0"/>
            <w:vAlign w:val="center"/>
          </w:tcPr>
          <w:p w14:paraId="06CF786D">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451290C2">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DA0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847C1CF">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33B384C3">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6</w:t>
            </w:r>
            <w:r>
              <w:rPr>
                <w:rFonts w:hint="eastAsia" w:ascii="宋体" w:hAnsi="宋体" w:eastAsia="宋体" w:cs="宋体"/>
                <w:color w:val="auto"/>
                <w:kern w:val="2"/>
                <w:sz w:val="24"/>
                <w:szCs w:val="21"/>
                <w:highlight w:val="none"/>
              </w:rPr>
              <w:t>、一个月内违反细则其他条例一次以上，每次加扣3分。</w:t>
            </w:r>
          </w:p>
        </w:tc>
        <w:tc>
          <w:tcPr>
            <w:tcW w:w="900" w:type="dxa"/>
            <w:noWrap w:val="0"/>
            <w:vAlign w:val="center"/>
          </w:tcPr>
          <w:p w14:paraId="7E314FED">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5C86B696">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1E9E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09D59DE2">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420CA16">
            <w:pPr>
              <w:autoSpaceDE w:val="0"/>
              <w:autoSpaceDN w:val="0"/>
              <w:adjustRightIn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1"/>
                <w:highlight w:val="none"/>
              </w:rPr>
              <w:t xml:space="preserve">    </w:t>
            </w:r>
            <w:r>
              <w:rPr>
                <w:rFonts w:hint="eastAsia" w:ascii="宋体" w:hAnsi="宋体" w:eastAsia="宋体" w:cs="宋体"/>
                <w:color w:val="auto"/>
                <w:kern w:val="2"/>
                <w:sz w:val="24"/>
                <w:szCs w:val="21"/>
                <w:highlight w:val="none"/>
                <w:lang w:val="en-US" w:eastAsia="zh-CN"/>
              </w:rPr>
              <w:t>7</w:t>
            </w:r>
            <w:r>
              <w:rPr>
                <w:rFonts w:hint="eastAsia" w:ascii="宋体" w:hAnsi="宋体" w:eastAsia="宋体" w:cs="宋体"/>
                <w:color w:val="auto"/>
                <w:kern w:val="2"/>
                <w:sz w:val="24"/>
                <w:szCs w:val="21"/>
                <w:highlight w:val="none"/>
              </w:rPr>
              <w:t>、医院其他需要减分的，一次减1</w:t>
            </w:r>
            <w:r>
              <w:rPr>
                <w:rFonts w:hint="eastAsia" w:ascii="宋体" w:hAnsi="宋体" w:eastAsia="宋体" w:cs="宋体"/>
                <w:color w:val="auto"/>
                <w:kern w:val="2"/>
                <w:sz w:val="24"/>
                <w:szCs w:val="21"/>
                <w:highlight w:val="none"/>
              </w:rPr>
              <w:softHyphen/>
            </w:r>
            <w:r>
              <w:rPr>
                <w:rFonts w:hint="eastAsia" w:ascii="宋体" w:hAnsi="宋体" w:eastAsia="宋体" w:cs="宋体"/>
                <w:color w:val="auto"/>
                <w:kern w:val="2"/>
                <w:sz w:val="24"/>
                <w:szCs w:val="21"/>
                <w:highlight w:val="none"/>
              </w:rPr>
              <w:t>—5分。</w:t>
            </w:r>
          </w:p>
        </w:tc>
        <w:tc>
          <w:tcPr>
            <w:tcW w:w="900" w:type="dxa"/>
            <w:noWrap w:val="0"/>
            <w:vAlign w:val="center"/>
          </w:tcPr>
          <w:p w14:paraId="5CA1CBC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53A66CA5">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2CBE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restart"/>
            <w:noWrap w:val="0"/>
            <w:vAlign w:val="center"/>
          </w:tcPr>
          <w:p w14:paraId="2B65A572">
            <w:pPr>
              <w:autoSpaceDE w:val="0"/>
              <w:autoSpaceDN w:val="0"/>
              <w:adjustRightInd w:val="0"/>
              <w:spacing w:line="360" w:lineRule="auto"/>
              <w:jc w:val="center"/>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加分  项目</w:t>
            </w:r>
          </w:p>
        </w:tc>
        <w:tc>
          <w:tcPr>
            <w:tcW w:w="6300" w:type="dxa"/>
            <w:noWrap w:val="0"/>
            <w:vAlign w:val="center"/>
          </w:tcPr>
          <w:p w14:paraId="6E17C0A9">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1、好人好事一次加2—5分，</w:t>
            </w:r>
            <w:r>
              <w:rPr>
                <w:rFonts w:hint="eastAsia" w:ascii="宋体" w:hAnsi="宋体" w:eastAsia="宋体" w:cs="宋体"/>
                <w:color w:val="auto"/>
                <w:kern w:val="2"/>
                <w:sz w:val="24"/>
                <w:szCs w:val="21"/>
                <w:highlight w:val="none"/>
                <w:lang w:eastAsia="zh-CN"/>
              </w:rPr>
              <w:t>收</w:t>
            </w:r>
            <w:r>
              <w:rPr>
                <w:rFonts w:hint="eastAsia" w:ascii="宋体" w:hAnsi="宋体" w:eastAsia="宋体" w:cs="宋体"/>
                <w:color w:val="auto"/>
                <w:kern w:val="2"/>
                <w:sz w:val="24"/>
                <w:szCs w:val="21"/>
                <w:highlight w:val="none"/>
              </w:rPr>
              <w:t>到锦旗加5分，获得区级及以上媒体表扬的加5—10分。</w:t>
            </w:r>
          </w:p>
        </w:tc>
        <w:tc>
          <w:tcPr>
            <w:tcW w:w="900" w:type="dxa"/>
            <w:noWrap w:val="0"/>
            <w:vAlign w:val="center"/>
          </w:tcPr>
          <w:p w14:paraId="5DCABA60">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4AC12B80">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77D4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4AFF35C5">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3DF2209">
            <w:pPr>
              <w:autoSpaceDE w:val="0"/>
              <w:autoSpaceDN w:val="0"/>
              <w:adjustRightInd w:val="0"/>
              <w:spacing w:line="360" w:lineRule="auto"/>
              <w:ind w:firstLine="480" w:firstLineChars="200"/>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2、抓获犯罪嫌疑人，见义勇为，获得群众或公安机关肯定表扬的加5—10分</w:t>
            </w:r>
          </w:p>
        </w:tc>
        <w:tc>
          <w:tcPr>
            <w:tcW w:w="900" w:type="dxa"/>
            <w:noWrap w:val="0"/>
            <w:vAlign w:val="center"/>
          </w:tcPr>
          <w:p w14:paraId="7DC5F1B8">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6740F7C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8B2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5C79FEBC">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12BFEDF">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3、对安保队伍建设提出合理化建议的加5—10分。</w:t>
            </w:r>
          </w:p>
        </w:tc>
        <w:tc>
          <w:tcPr>
            <w:tcW w:w="900" w:type="dxa"/>
            <w:noWrap w:val="0"/>
            <w:vAlign w:val="center"/>
          </w:tcPr>
          <w:p w14:paraId="76422DFE">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72E49568">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4811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B756D4E">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D54DACD">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4、举报队长、队员有违法者，经查证属实的，根据情节轻重一次加5—10分。</w:t>
            </w:r>
          </w:p>
        </w:tc>
        <w:tc>
          <w:tcPr>
            <w:tcW w:w="900" w:type="dxa"/>
            <w:noWrap w:val="0"/>
            <w:vAlign w:val="center"/>
          </w:tcPr>
          <w:p w14:paraId="1D57E73C">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0CDB7A81">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025C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78B283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159040CF">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5、为医院做出特殊贡献的加10—20分。</w:t>
            </w:r>
          </w:p>
        </w:tc>
        <w:tc>
          <w:tcPr>
            <w:tcW w:w="900" w:type="dxa"/>
            <w:noWrap w:val="0"/>
            <w:vAlign w:val="center"/>
          </w:tcPr>
          <w:p w14:paraId="355CB35F">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3575283B">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F96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1A5194B3">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24E55451">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6、被医院通报表扬一次加5分。</w:t>
            </w:r>
          </w:p>
        </w:tc>
        <w:tc>
          <w:tcPr>
            <w:tcW w:w="900" w:type="dxa"/>
            <w:noWrap w:val="0"/>
            <w:vAlign w:val="center"/>
          </w:tcPr>
          <w:p w14:paraId="41DCA566">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7B432D07">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5184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Merge w:val="continue"/>
            <w:noWrap w:val="0"/>
            <w:vAlign w:val="center"/>
          </w:tcPr>
          <w:p w14:paraId="6B366DCA">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6300" w:type="dxa"/>
            <w:noWrap w:val="0"/>
            <w:vAlign w:val="center"/>
          </w:tcPr>
          <w:p w14:paraId="7A448B63">
            <w:pPr>
              <w:autoSpaceDE w:val="0"/>
              <w:autoSpaceDN w:val="0"/>
              <w:adjustRightInd w:val="0"/>
              <w:spacing w:line="360" w:lineRule="auto"/>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rPr>
              <w:t xml:space="preserve">    7、医院认为其他需要加分的，一次加1—5分。</w:t>
            </w:r>
          </w:p>
        </w:tc>
        <w:tc>
          <w:tcPr>
            <w:tcW w:w="900" w:type="dxa"/>
            <w:noWrap w:val="0"/>
            <w:vAlign w:val="center"/>
          </w:tcPr>
          <w:p w14:paraId="47AF7479">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4FAF46AE">
            <w:pPr>
              <w:autoSpaceDE w:val="0"/>
              <w:autoSpaceDN w:val="0"/>
              <w:adjustRightInd w:val="0"/>
              <w:spacing w:line="360" w:lineRule="auto"/>
              <w:rPr>
                <w:rFonts w:hint="eastAsia" w:ascii="宋体" w:hAnsi="宋体" w:eastAsia="宋体" w:cs="宋体"/>
                <w:color w:val="auto"/>
                <w:kern w:val="2"/>
                <w:sz w:val="24"/>
                <w:szCs w:val="21"/>
                <w:highlight w:val="none"/>
              </w:rPr>
            </w:pPr>
          </w:p>
        </w:tc>
      </w:tr>
      <w:tr w14:paraId="3760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46C219FE">
            <w:pPr>
              <w:autoSpaceDE w:val="0"/>
              <w:autoSpaceDN w:val="0"/>
              <w:adjustRightInd w:val="0"/>
              <w:spacing w:line="360" w:lineRule="auto"/>
              <w:jc w:val="center"/>
              <w:rPr>
                <w:rFonts w:hint="eastAsia" w:ascii="宋体" w:hAnsi="宋体" w:eastAsia="宋体" w:cs="宋体"/>
                <w:color w:val="auto"/>
                <w:kern w:val="2"/>
                <w:sz w:val="24"/>
                <w:szCs w:val="21"/>
                <w:highlight w:val="none"/>
                <w:lang w:val="en-US" w:eastAsia="zh-CN"/>
              </w:rPr>
            </w:pPr>
            <w:r>
              <w:rPr>
                <w:rFonts w:hint="eastAsia" w:ascii="宋体" w:hAnsi="宋体" w:eastAsia="宋体" w:cs="宋体"/>
                <w:color w:val="auto"/>
                <w:kern w:val="2"/>
                <w:sz w:val="24"/>
                <w:szCs w:val="21"/>
                <w:highlight w:val="none"/>
                <w:lang w:val="en-US" w:eastAsia="zh-CN"/>
              </w:rPr>
              <w:t>总分</w:t>
            </w:r>
          </w:p>
        </w:tc>
        <w:tc>
          <w:tcPr>
            <w:tcW w:w="6300" w:type="dxa"/>
            <w:noWrap w:val="0"/>
            <w:vAlign w:val="center"/>
          </w:tcPr>
          <w:p w14:paraId="27E2D732">
            <w:pPr>
              <w:autoSpaceDE w:val="0"/>
              <w:autoSpaceDN w:val="0"/>
              <w:adjustRightInd w:val="0"/>
              <w:spacing w:line="360" w:lineRule="auto"/>
              <w:rPr>
                <w:rFonts w:hint="eastAsia" w:ascii="宋体" w:hAnsi="宋体" w:eastAsia="宋体" w:cs="宋体"/>
                <w:color w:val="auto"/>
                <w:kern w:val="2"/>
                <w:sz w:val="24"/>
                <w:szCs w:val="21"/>
                <w:highlight w:val="none"/>
              </w:rPr>
            </w:pPr>
          </w:p>
        </w:tc>
        <w:tc>
          <w:tcPr>
            <w:tcW w:w="900" w:type="dxa"/>
            <w:noWrap w:val="0"/>
            <w:vAlign w:val="center"/>
          </w:tcPr>
          <w:p w14:paraId="7E9BC017">
            <w:pPr>
              <w:autoSpaceDE w:val="0"/>
              <w:autoSpaceDN w:val="0"/>
              <w:adjustRightInd w:val="0"/>
              <w:spacing w:line="360" w:lineRule="auto"/>
              <w:jc w:val="center"/>
              <w:rPr>
                <w:rFonts w:hint="eastAsia" w:ascii="宋体" w:hAnsi="宋体" w:eastAsia="宋体" w:cs="宋体"/>
                <w:color w:val="auto"/>
                <w:kern w:val="2"/>
                <w:sz w:val="24"/>
                <w:szCs w:val="21"/>
                <w:highlight w:val="none"/>
              </w:rPr>
            </w:pPr>
          </w:p>
        </w:tc>
        <w:tc>
          <w:tcPr>
            <w:tcW w:w="720" w:type="dxa"/>
            <w:noWrap w:val="0"/>
            <w:vAlign w:val="top"/>
          </w:tcPr>
          <w:p w14:paraId="6FECE5BF">
            <w:pPr>
              <w:autoSpaceDE w:val="0"/>
              <w:autoSpaceDN w:val="0"/>
              <w:adjustRightInd w:val="0"/>
              <w:spacing w:line="360" w:lineRule="auto"/>
              <w:rPr>
                <w:rFonts w:hint="eastAsia" w:ascii="宋体" w:hAnsi="宋体" w:eastAsia="宋体" w:cs="宋体"/>
                <w:color w:val="auto"/>
                <w:kern w:val="2"/>
                <w:sz w:val="24"/>
                <w:szCs w:val="21"/>
                <w:highlight w:val="none"/>
              </w:rPr>
            </w:pPr>
          </w:p>
        </w:tc>
      </w:tr>
    </w:tbl>
    <w:p w14:paraId="1A32B93A">
      <w:pPr>
        <w:spacing w:line="360" w:lineRule="auto"/>
        <w:ind w:firstLine="720" w:firstLineChars="3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备注</w:t>
      </w:r>
      <w:r>
        <w:rPr>
          <w:rFonts w:hint="eastAsia" w:ascii="宋体" w:hAnsi="宋体" w:eastAsia="宋体" w:cs="宋体"/>
          <w:color w:val="auto"/>
          <w:kern w:val="0"/>
          <w:sz w:val="24"/>
          <w:szCs w:val="21"/>
          <w:highlight w:val="none"/>
          <w:lang w:eastAsia="zh-CN"/>
        </w:rPr>
        <w:t>：</w:t>
      </w:r>
      <w:r>
        <w:rPr>
          <w:rFonts w:hint="eastAsia" w:ascii="宋体" w:hAnsi="宋体" w:eastAsia="宋体" w:cs="宋体"/>
          <w:color w:val="auto"/>
          <w:kern w:val="0"/>
          <w:sz w:val="24"/>
          <w:szCs w:val="21"/>
          <w:highlight w:val="none"/>
        </w:rPr>
        <w:t>本考核细则可根据医院实际情况定期进行调整。</w:t>
      </w:r>
    </w:p>
    <w:p w14:paraId="3B228C47">
      <w:pPr>
        <w:jc w:val="center"/>
        <w:rPr>
          <w:rFonts w:hint="eastAsia"/>
          <w:color w:val="auto"/>
          <w:highlight w:val="none"/>
          <w:lang w:val="en-US" w:eastAsia="zh-CN"/>
        </w:rPr>
        <w:sectPr>
          <w:pgSz w:w="11906" w:h="16838"/>
          <w:pgMar w:top="1440" w:right="1800" w:bottom="1440" w:left="1800" w:header="851" w:footer="992" w:gutter="0"/>
          <w:cols w:space="425" w:num="1"/>
          <w:docGrid w:type="lines" w:linePitch="312" w:charSpace="0"/>
        </w:sectPr>
      </w:pPr>
    </w:p>
    <w:p w14:paraId="44DE653B">
      <w:pPr>
        <w:pStyle w:val="2"/>
        <w:jc w:val="center"/>
        <w:rPr>
          <w:rFonts w:cs="Times New Roman"/>
          <w:color w:val="auto"/>
          <w:sz w:val="36"/>
          <w:szCs w:val="36"/>
          <w:highlight w:val="none"/>
        </w:rPr>
      </w:pPr>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142"/>
      <w:bookmarkEnd w:id="143"/>
      <w:bookmarkEnd w:id="144"/>
      <w:bookmarkEnd w:id="145"/>
    </w:p>
    <w:p w14:paraId="655AC2BA">
      <w:pPr>
        <w:spacing w:line="360" w:lineRule="auto"/>
        <w:ind w:firstLine="480" w:firstLineChars="200"/>
        <w:rPr>
          <w:rFonts w:ascii="宋体"/>
          <w:color w:val="auto"/>
          <w:sz w:val="24"/>
          <w:szCs w:val="24"/>
          <w:highlight w:val="none"/>
        </w:rPr>
      </w:pPr>
    </w:p>
    <w:p w14:paraId="4E73580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2A9FE2A7">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除招标文件另有要求外。未按以下格式编制响应文件或因格式不规范、页码不清等原因引发的一切后果由供应商自行承担。</w:t>
      </w:r>
    </w:p>
    <w:p w14:paraId="7FA9AB83">
      <w:pPr>
        <w:spacing w:line="360" w:lineRule="auto"/>
        <w:jc w:val="center"/>
        <w:outlineLvl w:val="1"/>
        <w:rPr>
          <w:rFonts w:ascii="宋体"/>
          <w:b/>
          <w:bCs/>
          <w:color w:val="auto"/>
          <w:sz w:val="36"/>
          <w:szCs w:val="36"/>
          <w:highlight w:val="none"/>
        </w:rPr>
      </w:pPr>
      <w:r>
        <w:rPr>
          <w:rFonts w:ascii="宋体"/>
          <w:b/>
          <w:bCs/>
          <w:color w:val="auto"/>
          <w:sz w:val="24"/>
          <w:szCs w:val="24"/>
          <w:highlight w:val="none"/>
        </w:rPr>
        <w:br w:type="page"/>
      </w:r>
      <w:bookmarkStart w:id="146" w:name="_Toc1492"/>
      <w:bookmarkStart w:id="147" w:name="_Toc11729"/>
      <w:bookmarkStart w:id="148" w:name="_Toc6473"/>
      <w:r>
        <w:rPr>
          <w:rFonts w:hint="eastAsia" w:ascii="宋体" w:hAnsi="宋体" w:cs="宋体"/>
          <w:b/>
          <w:bCs/>
          <w:color w:val="auto"/>
          <w:sz w:val="36"/>
          <w:szCs w:val="36"/>
          <w:highlight w:val="none"/>
        </w:rPr>
        <w:t>资格文件部分</w:t>
      </w:r>
      <w:bookmarkEnd w:id="146"/>
      <w:bookmarkEnd w:id="147"/>
      <w:bookmarkEnd w:id="148"/>
    </w:p>
    <w:p w14:paraId="65BA0D48">
      <w:pPr>
        <w:spacing w:line="360" w:lineRule="auto"/>
        <w:jc w:val="center"/>
        <w:rPr>
          <w:rFonts w:ascii="宋体"/>
          <w:b/>
          <w:bCs/>
          <w:color w:val="auto"/>
          <w:sz w:val="36"/>
          <w:szCs w:val="36"/>
          <w:highlight w:val="none"/>
        </w:rPr>
      </w:pPr>
    </w:p>
    <w:p w14:paraId="65B59E65">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25677E93">
      <w:pPr>
        <w:spacing w:line="360" w:lineRule="auto"/>
        <w:ind w:firstLine="480" w:firstLineChars="200"/>
        <w:outlineLvl w:val="1"/>
        <w:rPr>
          <w:rFonts w:ascii="宋体"/>
          <w:color w:val="auto"/>
          <w:sz w:val="24"/>
          <w:szCs w:val="24"/>
          <w:highlight w:val="none"/>
        </w:rPr>
      </w:pPr>
      <w:bookmarkStart w:id="149" w:name="_Toc22796"/>
      <w:bookmarkStart w:id="150" w:name="_Toc32507"/>
      <w:bookmarkStart w:id="151" w:name="_Toc32046"/>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bookmarkEnd w:id="149"/>
      <w:bookmarkEnd w:id="150"/>
      <w:bookmarkEnd w:id="151"/>
    </w:p>
    <w:p w14:paraId="2057006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1A24864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88EEA6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）具有履行合同所必需的产品和专业技术能力的承诺函；</w:t>
      </w:r>
    </w:p>
    <w:p w14:paraId="6406950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）投标人承诺函（格式见附件）；</w:t>
      </w:r>
    </w:p>
    <w:p w14:paraId="25F78FD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）中小企业声明函（格式见附件）；</w:t>
      </w:r>
    </w:p>
    <w:p w14:paraId="6A5FC55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（6）残疾人福利性单位声明函（如有）（格式见附件）；</w:t>
      </w:r>
    </w:p>
    <w:p w14:paraId="001C6EB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（7）监狱企业证明文件（如有）（格式见附件）。</w:t>
      </w:r>
    </w:p>
    <w:p w14:paraId="34F04119">
      <w:pPr>
        <w:pStyle w:val="11"/>
        <w:ind w:firstLine="486"/>
        <w:rPr>
          <w:rFonts w:cs="Times New Roman"/>
          <w:color w:val="auto"/>
          <w:highlight w:val="none"/>
        </w:rPr>
      </w:pPr>
    </w:p>
    <w:p w14:paraId="5BB3EA7A">
      <w:pPr>
        <w:pStyle w:val="11"/>
        <w:ind w:firstLine="486"/>
        <w:rPr>
          <w:rFonts w:cs="Times New Roman"/>
          <w:color w:val="auto"/>
          <w:highlight w:val="none"/>
        </w:rPr>
      </w:pPr>
    </w:p>
    <w:p w14:paraId="764D986C">
      <w:pPr>
        <w:rPr>
          <w:rFonts w:ascii="宋体"/>
          <w:color w:val="auto"/>
          <w:highlight w:val="none"/>
        </w:rPr>
      </w:pPr>
      <w:r>
        <w:rPr>
          <w:rFonts w:ascii="宋体"/>
          <w:color w:val="auto"/>
          <w:highlight w:val="none"/>
        </w:rPr>
        <w:br w:type="page"/>
      </w:r>
      <w:bookmarkStart w:id="152" w:name="_Toc24699"/>
    </w:p>
    <w:p w14:paraId="2E192E20">
      <w:pPr>
        <w:rPr>
          <w:b/>
          <w:bCs/>
          <w:color w:val="auto"/>
          <w:sz w:val="24"/>
          <w:szCs w:val="24"/>
          <w:highlight w:val="none"/>
        </w:rPr>
      </w:pPr>
      <w:r>
        <w:rPr>
          <w:rFonts w:hint="eastAsia" w:cs="宋体"/>
          <w:b/>
          <w:bCs/>
          <w:color w:val="auto"/>
          <w:sz w:val="24"/>
          <w:szCs w:val="24"/>
          <w:highlight w:val="none"/>
        </w:rPr>
        <w:t>附件一：</w:t>
      </w:r>
    </w:p>
    <w:p w14:paraId="1DBC783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52"/>
    </w:p>
    <w:p w14:paraId="2E120A6D">
      <w:pPr>
        <w:pStyle w:val="4"/>
        <w:spacing w:line="360" w:lineRule="auto"/>
        <w:rPr>
          <w:rFonts w:ascii="宋体"/>
          <w:color w:val="auto"/>
          <w:highlight w:val="none"/>
        </w:rPr>
      </w:pPr>
    </w:p>
    <w:p w14:paraId="79B9698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绍兴市上虞第二人民医院</w:t>
      </w:r>
      <w:r>
        <w:rPr>
          <w:rFonts w:hint="eastAsia" w:ascii="宋体" w:hAnsi="宋体" w:cs="宋体"/>
          <w:color w:val="auto"/>
          <w:sz w:val="24"/>
          <w:szCs w:val="24"/>
          <w:highlight w:val="none"/>
        </w:rPr>
        <w:t>：</w:t>
      </w:r>
    </w:p>
    <w:p w14:paraId="529DCD5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浙江天平项目咨询有限公司</w:t>
      </w:r>
      <w:r>
        <w:rPr>
          <w:rFonts w:hint="eastAsia" w:ascii="宋体" w:hAnsi="宋体" w:cs="宋体"/>
          <w:color w:val="auto"/>
          <w:sz w:val="24"/>
          <w:szCs w:val="24"/>
          <w:highlight w:val="none"/>
        </w:rPr>
        <w:t>：</w:t>
      </w:r>
    </w:p>
    <w:p w14:paraId="22C7D20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60CA8F35">
      <w:pPr>
        <w:spacing w:line="360" w:lineRule="auto"/>
        <w:ind w:firstLine="480" w:firstLineChars="200"/>
        <w:rPr>
          <w:rFonts w:ascii="宋体"/>
          <w:color w:val="auto"/>
          <w:sz w:val="24"/>
          <w:szCs w:val="24"/>
          <w:highlight w:val="none"/>
        </w:rPr>
      </w:pPr>
    </w:p>
    <w:p w14:paraId="449F945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05A3EDD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2067B0E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795EFFE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0A955BB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63E5B69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465A98C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4440067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0695B97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061BD90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16F4D38B">
      <w:pPr>
        <w:pStyle w:val="15"/>
        <w:snapToGrid w:val="0"/>
        <w:spacing w:line="360" w:lineRule="auto"/>
        <w:rPr>
          <w:rFonts w:hAnsi="宋体" w:cs="Times New Roman"/>
          <w:color w:val="auto"/>
          <w:sz w:val="24"/>
          <w:szCs w:val="24"/>
          <w:highlight w:val="none"/>
        </w:rPr>
      </w:pPr>
    </w:p>
    <w:p w14:paraId="58521E1A">
      <w:pPr>
        <w:pStyle w:val="15"/>
        <w:snapToGrid w:val="0"/>
        <w:spacing w:line="360" w:lineRule="auto"/>
        <w:rPr>
          <w:rFonts w:hAnsi="宋体" w:cs="Times New Roman"/>
          <w:color w:val="auto"/>
          <w:sz w:val="24"/>
          <w:szCs w:val="24"/>
          <w:highlight w:val="none"/>
        </w:rPr>
      </w:pPr>
    </w:p>
    <w:p w14:paraId="4CCB41D1">
      <w:pPr>
        <w:pStyle w:val="15"/>
        <w:snapToGrid w:val="0"/>
        <w:spacing w:line="360" w:lineRule="auto"/>
        <w:rPr>
          <w:rFonts w:hAnsi="宋体" w:cs="Times New Roman"/>
          <w:color w:val="auto"/>
          <w:sz w:val="24"/>
          <w:szCs w:val="24"/>
          <w:highlight w:val="none"/>
        </w:rPr>
      </w:pPr>
    </w:p>
    <w:p w14:paraId="68B46276">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002606D4">
      <w:pPr>
        <w:spacing w:line="360" w:lineRule="auto"/>
        <w:rPr>
          <w:rFonts w:ascii="宋体"/>
          <w:b/>
          <w:bCs/>
          <w:color w:val="auto"/>
          <w:sz w:val="24"/>
          <w:szCs w:val="24"/>
          <w:highlight w:val="none"/>
        </w:rPr>
      </w:pPr>
    </w:p>
    <w:p w14:paraId="09424240">
      <w:pPr>
        <w:pStyle w:val="11"/>
        <w:ind w:firstLine="486"/>
        <w:rPr>
          <w:rFonts w:cs="Times New Roman"/>
          <w:color w:val="auto"/>
          <w:highlight w:val="none"/>
        </w:rPr>
      </w:pPr>
    </w:p>
    <w:p w14:paraId="63735C2E">
      <w:pPr>
        <w:snapToGrid w:val="0"/>
        <w:spacing w:before="50" w:afterLines="50"/>
        <w:jc w:val="left"/>
        <w:rPr>
          <w:rFonts w:ascii="宋体" w:hAnsi="宋体" w:cs="宋体"/>
          <w:b/>
          <w:bCs/>
          <w:color w:val="auto"/>
          <w:sz w:val="24"/>
          <w:highlight w:val="none"/>
          <w:lang w:val="zh-CN"/>
        </w:rPr>
      </w:pPr>
      <w:r>
        <w:rPr>
          <w:rFonts w:ascii="宋体"/>
          <w:b/>
          <w:bCs/>
          <w:color w:val="auto"/>
          <w:sz w:val="24"/>
          <w:szCs w:val="24"/>
          <w:highlight w:val="none"/>
        </w:rPr>
        <w:br w:type="page"/>
      </w:r>
      <w:r>
        <w:rPr>
          <w:rFonts w:hint="eastAsia" w:ascii="宋体" w:hAnsi="宋体" w:cs="宋体"/>
          <w:b/>
          <w:bCs/>
          <w:color w:val="auto"/>
          <w:sz w:val="24"/>
          <w:highlight w:val="none"/>
          <w:lang w:val="zh-CN"/>
        </w:rPr>
        <w:t>附件二：</w:t>
      </w:r>
    </w:p>
    <w:p w14:paraId="78BFC90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人 承 诺 函</w:t>
      </w:r>
    </w:p>
    <w:p w14:paraId="62A35EA8">
      <w:pPr>
        <w:rPr>
          <w:color w:val="auto"/>
          <w:highlight w:val="none"/>
        </w:rPr>
      </w:pPr>
    </w:p>
    <w:p w14:paraId="780892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绍兴市上虞第二人民医院</w:t>
      </w:r>
      <w:r>
        <w:rPr>
          <w:rFonts w:hint="eastAsia" w:ascii="宋体" w:hAnsi="宋体" w:cs="宋体"/>
          <w:color w:val="auto"/>
          <w:sz w:val="24"/>
          <w:highlight w:val="none"/>
        </w:rPr>
        <w:t>：</w:t>
      </w:r>
    </w:p>
    <w:p w14:paraId="00479C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浙江天平项目咨询有限公司</w:t>
      </w:r>
      <w:r>
        <w:rPr>
          <w:rFonts w:hint="eastAsia" w:ascii="宋体" w:hAnsi="宋体" w:cs="宋体"/>
          <w:color w:val="auto"/>
          <w:sz w:val="24"/>
          <w:highlight w:val="none"/>
        </w:rPr>
        <w:t>：</w:t>
      </w:r>
    </w:p>
    <w:p w14:paraId="6F7446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297882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00FEC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1A9121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5F7AD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788A03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12D092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533508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4DBE55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6E757F72">
      <w:pPr>
        <w:pStyle w:val="53"/>
        <w:spacing w:before="0"/>
        <w:ind w:firstLine="480"/>
        <w:rPr>
          <w:rFonts w:ascii="宋体" w:hAnsi="宋体" w:cs="宋体"/>
          <w:color w:val="auto"/>
          <w:highlight w:val="none"/>
        </w:rPr>
      </w:pPr>
      <w:r>
        <w:rPr>
          <w:rFonts w:hint="eastAsia" w:ascii="宋体" w:hAnsi="宋体" w:cs="宋体"/>
          <w:color w:val="auto"/>
          <w:highlight w:val="none"/>
        </w:rPr>
        <w:t>8、具有良好的商业信誉和健全的财务会计制度；</w:t>
      </w:r>
    </w:p>
    <w:p w14:paraId="009371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14:paraId="0CEDE0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71EA6040">
      <w:pPr>
        <w:spacing w:line="360" w:lineRule="auto"/>
        <w:ind w:firstLine="480" w:firstLineChars="200"/>
        <w:rPr>
          <w:rFonts w:ascii="宋体" w:hAnsi="宋体" w:cs="宋体"/>
          <w:color w:val="auto"/>
          <w:sz w:val="24"/>
          <w:highlight w:val="none"/>
        </w:rPr>
      </w:pPr>
    </w:p>
    <w:p w14:paraId="54738323">
      <w:pPr>
        <w:pStyle w:val="11"/>
        <w:ind w:left="5000"/>
        <w:rPr>
          <w:color w:val="auto"/>
          <w:highlight w:val="none"/>
        </w:rPr>
      </w:pPr>
    </w:p>
    <w:p w14:paraId="2D84CD04">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3AA69208">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0E16F86F">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0FE4DAC2">
      <w:pPr>
        <w:spacing w:line="360" w:lineRule="auto"/>
        <w:rPr>
          <w:rFonts w:ascii="宋体"/>
          <w:b/>
          <w:bCs/>
          <w:color w:val="auto"/>
          <w:sz w:val="36"/>
          <w:szCs w:val="36"/>
          <w:highlight w:val="none"/>
        </w:rPr>
      </w:pPr>
    </w:p>
    <w:p w14:paraId="0DDD87FC">
      <w:pPr>
        <w:pStyle w:val="3"/>
        <w:rPr>
          <w:color w:val="auto"/>
          <w:highlight w:val="none"/>
        </w:rPr>
      </w:pPr>
    </w:p>
    <w:p w14:paraId="61AC8267">
      <w:pPr>
        <w:widowControl/>
        <w:jc w:val="left"/>
        <w:rPr>
          <w:rFonts w:ascii="宋体"/>
          <w:b/>
          <w:bCs/>
          <w:color w:val="auto"/>
          <w:sz w:val="24"/>
          <w:szCs w:val="24"/>
          <w:highlight w:val="none"/>
        </w:rPr>
      </w:pPr>
    </w:p>
    <w:p w14:paraId="79922645">
      <w:pPr>
        <w:pStyle w:val="26"/>
        <w:rPr>
          <w:color w:val="auto"/>
          <w:highlight w:val="none"/>
        </w:rPr>
      </w:pPr>
    </w:p>
    <w:p w14:paraId="1F8EE637">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附件三：</w:t>
      </w:r>
    </w:p>
    <w:p w14:paraId="4316832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76328C7C">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【不属于中小企业的无需填写、递交】</w:t>
      </w:r>
    </w:p>
    <w:p w14:paraId="56A3569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D54A9F">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物业管理</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02CCB40D">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0162B4A6">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41AE14BE">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09F15108">
      <w:pPr>
        <w:spacing w:line="288" w:lineRule="auto"/>
        <w:ind w:right="420" w:firstLine="4320" w:firstLineChars="1800"/>
        <w:rPr>
          <w:rFonts w:ascii="宋体" w:hAnsi="宋体" w:cs="宋体"/>
          <w:color w:val="auto"/>
          <w:sz w:val="24"/>
          <w:szCs w:val="24"/>
          <w:highlight w:val="none"/>
        </w:rPr>
      </w:pPr>
    </w:p>
    <w:p w14:paraId="052FEE26">
      <w:pPr>
        <w:spacing w:line="288" w:lineRule="auto"/>
        <w:ind w:right="420" w:firstLine="4320" w:firstLineChars="1800"/>
        <w:rPr>
          <w:rFonts w:ascii="宋体" w:hAnsi="宋体" w:cs="宋体"/>
          <w:color w:val="auto"/>
          <w:sz w:val="24"/>
          <w:szCs w:val="24"/>
          <w:highlight w:val="none"/>
        </w:rPr>
      </w:pPr>
    </w:p>
    <w:p w14:paraId="0CAF15D1">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0D4C11AE">
      <w:pPr>
        <w:spacing w:line="288" w:lineRule="auto"/>
        <w:ind w:left="360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2C2BC910">
      <w:pPr>
        <w:pStyle w:val="4"/>
        <w:spacing w:line="288" w:lineRule="auto"/>
        <w:rPr>
          <w:rFonts w:ascii="宋体" w:hAnsi="宋体" w:cs="宋体"/>
          <w:color w:val="auto"/>
          <w:sz w:val="24"/>
          <w:szCs w:val="24"/>
          <w:highlight w:val="none"/>
        </w:rPr>
      </w:pPr>
    </w:p>
    <w:p w14:paraId="42556F20">
      <w:pPr>
        <w:spacing w:line="288" w:lineRule="auto"/>
        <w:ind w:firstLine="480" w:firstLineChars="200"/>
        <w:jc w:val="left"/>
        <w:rPr>
          <w:rFonts w:ascii="宋体" w:hAnsi="宋体" w:cs="宋体"/>
          <w:color w:val="auto"/>
          <w:sz w:val="24"/>
          <w:szCs w:val="24"/>
          <w:highlight w:val="none"/>
        </w:rPr>
      </w:pPr>
    </w:p>
    <w:p w14:paraId="0CC6A520">
      <w:pPr>
        <w:spacing w:line="288" w:lineRule="auto"/>
        <w:ind w:firstLine="480" w:firstLineChars="200"/>
        <w:jc w:val="left"/>
        <w:rPr>
          <w:rFonts w:ascii="宋体" w:hAnsi="宋体" w:cs="宋体"/>
          <w:color w:val="auto"/>
          <w:sz w:val="24"/>
          <w:szCs w:val="24"/>
          <w:highlight w:val="none"/>
        </w:rPr>
      </w:pPr>
    </w:p>
    <w:p w14:paraId="37AA5AAA">
      <w:pPr>
        <w:spacing w:line="288" w:lineRule="auto"/>
        <w:ind w:firstLine="480" w:firstLineChars="200"/>
        <w:jc w:val="left"/>
        <w:rPr>
          <w:rFonts w:ascii="宋体" w:hAnsi="宋体" w:cs="宋体"/>
          <w:color w:val="auto"/>
          <w:sz w:val="24"/>
          <w:szCs w:val="24"/>
          <w:highlight w:val="none"/>
        </w:rPr>
      </w:pPr>
    </w:p>
    <w:p w14:paraId="0078B771">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3D5893A6">
      <w:pPr>
        <w:widowControl/>
        <w:snapToGrid w:val="0"/>
        <w:spacing w:line="324" w:lineRule="auto"/>
        <w:ind w:firstLine="480" w:firstLineChars="200"/>
        <w:jc w:val="left"/>
        <w:rPr>
          <w:rFonts w:ascii="宋体"/>
          <w:color w:val="auto"/>
          <w:sz w:val="24"/>
          <w:szCs w:val="24"/>
          <w:highlight w:val="none"/>
        </w:rPr>
      </w:pPr>
    </w:p>
    <w:p w14:paraId="24652BFE">
      <w:pPr>
        <w:pStyle w:val="3"/>
        <w:spacing w:line="360" w:lineRule="auto"/>
        <w:jc w:val="center"/>
        <w:rPr>
          <w:rFonts w:cs="Times New Roman"/>
          <w:color w:val="auto"/>
          <w:szCs w:val="24"/>
          <w:highlight w:val="none"/>
        </w:rPr>
      </w:pPr>
    </w:p>
    <w:p w14:paraId="5264D32E">
      <w:pPr>
        <w:pStyle w:val="3"/>
        <w:spacing w:line="360" w:lineRule="auto"/>
        <w:jc w:val="center"/>
        <w:rPr>
          <w:rFonts w:cs="Times New Roman"/>
          <w:color w:val="auto"/>
          <w:szCs w:val="24"/>
          <w:highlight w:val="none"/>
        </w:rPr>
      </w:pPr>
    </w:p>
    <w:p w14:paraId="50F07192">
      <w:pPr>
        <w:jc w:val="center"/>
        <w:rPr>
          <w:color w:val="auto"/>
          <w:highlight w:val="none"/>
          <w:lang w:val="zh-CN"/>
        </w:rPr>
      </w:pPr>
      <w:bookmarkStart w:id="153" w:name="_Toc2071"/>
      <w:bookmarkStart w:id="154" w:name="_Toc30916"/>
      <w:bookmarkStart w:id="155" w:name="_Toc3295"/>
      <w:r>
        <w:rPr>
          <w:rFonts w:hAnsi="宋体"/>
          <w:color w:val="auto"/>
          <w:highlight w:val="none"/>
        </w:rPr>
        <w:br w:type="page"/>
      </w:r>
      <w:bookmarkEnd w:id="153"/>
      <w:bookmarkEnd w:id="154"/>
      <w:bookmarkEnd w:id="155"/>
    </w:p>
    <w:p w14:paraId="1EB11256">
      <w:pPr>
        <w:rPr>
          <w:b/>
          <w:bCs/>
          <w:color w:val="auto"/>
          <w:sz w:val="24"/>
          <w:szCs w:val="24"/>
          <w:highlight w:val="none"/>
          <w:lang w:val="zh-CN"/>
        </w:rPr>
      </w:pPr>
      <w:bookmarkStart w:id="156" w:name="_Toc31472"/>
      <w:bookmarkStart w:id="157" w:name="_Toc9715"/>
      <w:bookmarkStart w:id="158" w:name="_Toc25017"/>
      <w:bookmarkStart w:id="159" w:name="_Toc16150"/>
      <w:r>
        <w:rPr>
          <w:rFonts w:hint="eastAsia" w:cs="宋体"/>
          <w:b/>
          <w:bCs/>
          <w:color w:val="auto"/>
          <w:sz w:val="24"/>
          <w:szCs w:val="24"/>
          <w:highlight w:val="none"/>
          <w:lang w:val="zh-CN"/>
        </w:rPr>
        <w:t>附件四</w:t>
      </w:r>
      <w:r>
        <w:rPr>
          <w:rFonts w:hint="eastAsia" w:cs="宋体"/>
          <w:b/>
          <w:bCs/>
          <w:color w:val="auto"/>
          <w:sz w:val="24"/>
          <w:szCs w:val="24"/>
          <w:highlight w:val="none"/>
        </w:rPr>
        <w:t>：</w:t>
      </w:r>
    </w:p>
    <w:p w14:paraId="51A6A7E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156"/>
      <w:bookmarkEnd w:id="157"/>
      <w:bookmarkEnd w:id="158"/>
      <w:bookmarkEnd w:id="159"/>
    </w:p>
    <w:p w14:paraId="22610DF1">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【不属于残疾人福利性单位的无需填写、递交】</w:t>
      </w:r>
    </w:p>
    <w:p w14:paraId="1DF6661D">
      <w:pPr>
        <w:spacing w:line="588" w:lineRule="exact"/>
        <w:rPr>
          <w:rFonts w:ascii="宋体"/>
          <w:b/>
          <w:bCs/>
          <w:color w:val="auto"/>
          <w:spacing w:val="6"/>
          <w:sz w:val="30"/>
          <w:szCs w:val="30"/>
          <w:highlight w:val="none"/>
        </w:rPr>
      </w:pPr>
    </w:p>
    <w:p w14:paraId="08738CF3">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4DC71E5C">
      <w:pPr>
        <w:pStyle w:val="3"/>
        <w:rPr>
          <w:rFonts w:cs="Times New Roman"/>
          <w:color w:val="auto"/>
          <w:highlight w:val="none"/>
        </w:rPr>
      </w:pPr>
    </w:p>
    <w:p w14:paraId="6B3FD498">
      <w:pPr>
        <w:pStyle w:val="4"/>
        <w:rPr>
          <w:color w:val="auto"/>
          <w:highlight w:val="none"/>
        </w:rPr>
      </w:pPr>
    </w:p>
    <w:p w14:paraId="39FEAB0E">
      <w:pPr>
        <w:spacing w:line="588" w:lineRule="exact"/>
        <w:rPr>
          <w:rFonts w:ascii="宋体"/>
          <w:color w:val="auto"/>
          <w:sz w:val="24"/>
          <w:szCs w:val="24"/>
          <w:highlight w:val="none"/>
        </w:rPr>
      </w:pPr>
    </w:p>
    <w:p w14:paraId="1237C0BA">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23F2F33">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36E105B">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F059DBD">
      <w:pPr>
        <w:rPr>
          <w:b/>
          <w:bCs/>
          <w:color w:val="auto"/>
          <w:sz w:val="24"/>
          <w:szCs w:val="24"/>
          <w:highlight w:val="none"/>
          <w:lang w:val="zh-CN"/>
        </w:rPr>
      </w:pPr>
      <w:bookmarkStart w:id="160" w:name="_Toc24"/>
      <w:bookmarkStart w:id="161" w:name="_Toc2386"/>
      <w:bookmarkStart w:id="162" w:name="_Toc15966"/>
      <w:bookmarkStart w:id="163" w:name="_Toc5441"/>
      <w:r>
        <w:rPr>
          <w:color w:val="auto"/>
          <w:sz w:val="24"/>
          <w:szCs w:val="24"/>
          <w:highlight w:val="none"/>
          <w:lang w:val="zh-CN"/>
        </w:rPr>
        <w:br w:type="page"/>
      </w:r>
      <w:r>
        <w:rPr>
          <w:rFonts w:hint="eastAsia" w:cs="宋体"/>
          <w:b/>
          <w:bCs/>
          <w:color w:val="auto"/>
          <w:sz w:val="24"/>
          <w:szCs w:val="24"/>
          <w:highlight w:val="none"/>
          <w:lang w:val="zh-CN"/>
        </w:rPr>
        <w:t>附件五</w:t>
      </w:r>
      <w:r>
        <w:rPr>
          <w:rFonts w:hint="eastAsia" w:cs="宋体"/>
          <w:b/>
          <w:bCs/>
          <w:color w:val="auto"/>
          <w:sz w:val="24"/>
          <w:szCs w:val="24"/>
          <w:highlight w:val="none"/>
        </w:rPr>
        <w:t>：</w:t>
      </w:r>
    </w:p>
    <w:p w14:paraId="658A7278">
      <w:pPr>
        <w:spacing w:line="360" w:lineRule="auto"/>
        <w:jc w:val="center"/>
        <w:rPr>
          <w:rFonts w:ascii="宋体" w:hAnsi="宋体" w:cs="宋体"/>
          <w:b/>
          <w:bCs/>
          <w:color w:val="auto"/>
          <w:sz w:val="32"/>
          <w:szCs w:val="32"/>
          <w:highlight w:val="none"/>
        </w:rPr>
      </w:pPr>
    </w:p>
    <w:p w14:paraId="67E87FAB">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60"/>
      <w:bookmarkEnd w:id="161"/>
      <w:bookmarkEnd w:id="162"/>
      <w:bookmarkEnd w:id="163"/>
    </w:p>
    <w:p w14:paraId="75085680">
      <w:pPr>
        <w:widowControl/>
        <w:snapToGri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【不属于监狱企业的无需填写、递交】</w:t>
      </w:r>
    </w:p>
    <w:p w14:paraId="51A7A139">
      <w:pPr>
        <w:widowControl/>
        <w:snapToGrid w:val="0"/>
        <w:spacing w:line="324" w:lineRule="auto"/>
        <w:jc w:val="center"/>
        <w:rPr>
          <w:rFonts w:ascii="宋体"/>
          <w:color w:val="auto"/>
          <w:sz w:val="24"/>
          <w:szCs w:val="24"/>
          <w:highlight w:val="none"/>
        </w:rPr>
      </w:pPr>
    </w:p>
    <w:p w14:paraId="472A6637">
      <w:pPr>
        <w:spacing w:line="588" w:lineRule="exact"/>
        <w:ind w:firstLine="480" w:firstLineChars="200"/>
        <w:rPr>
          <w:rFonts w:ascii="宋体"/>
          <w:color w:val="auto"/>
          <w:sz w:val="24"/>
          <w:szCs w:val="24"/>
          <w:highlight w:val="none"/>
        </w:rPr>
      </w:pPr>
    </w:p>
    <w:p w14:paraId="392C26D9">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6B127B93">
      <w:pPr>
        <w:pStyle w:val="3"/>
        <w:rPr>
          <w:rFonts w:cs="Times New Roman"/>
          <w:color w:val="auto"/>
          <w:highlight w:val="none"/>
        </w:rPr>
      </w:pPr>
    </w:p>
    <w:p w14:paraId="2A438C6E">
      <w:pPr>
        <w:pStyle w:val="4"/>
        <w:rPr>
          <w:color w:val="auto"/>
          <w:highlight w:val="none"/>
        </w:rPr>
      </w:pPr>
    </w:p>
    <w:p w14:paraId="71D93494">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1471064">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50827EC">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16026C2">
      <w:pPr>
        <w:spacing w:line="360" w:lineRule="auto"/>
        <w:jc w:val="center"/>
        <w:rPr>
          <w:rFonts w:ascii="宋体"/>
          <w:b/>
          <w:bCs/>
          <w:color w:val="auto"/>
          <w:sz w:val="24"/>
          <w:szCs w:val="24"/>
          <w:highlight w:val="none"/>
        </w:rPr>
      </w:pPr>
    </w:p>
    <w:p w14:paraId="03804B7D">
      <w:pPr>
        <w:spacing w:line="360" w:lineRule="auto"/>
        <w:rPr>
          <w:color w:val="auto"/>
          <w:sz w:val="36"/>
          <w:szCs w:val="36"/>
          <w:highlight w:val="none"/>
        </w:rPr>
      </w:pPr>
    </w:p>
    <w:p w14:paraId="3236C29C">
      <w:pPr>
        <w:rPr>
          <w:rFonts w:ascii="宋体" w:hAnsi="宋体" w:cs="宋体"/>
          <w:color w:val="auto"/>
          <w:sz w:val="24"/>
          <w:szCs w:val="24"/>
          <w:highlight w:val="none"/>
        </w:rPr>
      </w:pPr>
    </w:p>
    <w:p w14:paraId="18C84C91">
      <w:pP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5F6E8CA1">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商务技术文件</w:t>
      </w:r>
    </w:p>
    <w:p w14:paraId="3334DF80">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2077EEE2">
      <w:pPr>
        <w:pStyle w:val="11"/>
        <w:ind w:left="426"/>
        <w:rPr>
          <w:color w:val="auto"/>
          <w:highlight w:val="none"/>
        </w:rPr>
      </w:pPr>
    </w:p>
    <w:p w14:paraId="0851832F">
      <w:pPr>
        <w:pStyle w:val="53"/>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评分对应表（格式见附件，主要用于评委对应评分内容）</w:t>
      </w:r>
      <w:r>
        <w:rPr>
          <w:rFonts w:hint="eastAsia" w:ascii="宋体" w:hAnsi="宋体" w:cs="宋体"/>
          <w:color w:val="auto"/>
          <w:highlight w:val="none"/>
          <w:lang w:eastAsia="zh-CN"/>
        </w:rPr>
        <w:t>；</w:t>
      </w:r>
    </w:p>
    <w:p w14:paraId="26DB847E">
      <w:pPr>
        <w:pStyle w:val="53"/>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供应商商务技术文件中资信分自评表（格式见附件）；</w:t>
      </w:r>
    </w:p>
    <w:p w14:paraId="41AA717C">
      <w:pPr>
        <w:pStyle w:val="53"/>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磋商项目明细清单（格式见附件）；</w:t>
      </w:r>
    </w:p>
    <w:p w14:paraId="671DDE4B">
      <w:pPr>
        <w:pStyle w:val="53"/>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技术响应及建议表（格式见附件）；</w:t>
      </w:r>
    </w:p>
    <w:p w14:paraId="21BDFFD6">
      <w:pPr>
        <w:pStyle w:val="53"/>
        <w:numPr>
          <w:ilvl w:val="0"/>
          <w:numId w:val="32"/>
        </w:numPr>
        <w:spacing w:before="0"/>
        <w:ind w:firstLine="480"/>
        <w:rPr>
          <w:rFonts w:hint="eastAsia" w:ascii="宋体" w:hAnsi="宋体" w:cs="宋体"/>
          <w:color w:val="auto"/>
          <w:highlight w:val="none"/>
        </w:rPr>
      </w:pPr>
      <w:r>
        <w:rPr>
          <w:rFonts w:hint="eastAsia" w:ascii="宋体" w:hAnsi="宋体" w:cs="宋体"/>
          <w:color w:val="auto"/>
          <w:highlight w:val="none"/>
        </w:rPr>
        <w:t>商务响应表（格式见附件）；</w:t>
      </w:r>
    </w:p>
    <w:p w14:paraId="2F5F5A46">
      <w:pPr>
        <w:pStyle w:val="53"/>
        <w:numPr>
          <w:ilvl w:val="0"/>
          <w:numId w:val="32"/>
        </w:numPr>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eastAsia="zh-CN"/>
        </w:rPr>
        <w:t>重难点分析</w:t>
      </w:r>
      <w:r>
        <w:rPr>
          <w:rFonts w:hint="eastAsia" w:ascii="宋体" w:hAnsi="宋体" w:cs="宋体"/>
          <w:color w:val="auto"/>
          <w:highlight w:val="none"/>
          <w:lang w:val="en-US" w:eastAsia="zh-CN"/>
        </w:rPr>
        <w:t>；</w:t>
      </w:r>
    </w:p>
    <w:p w14:paraId="0CCA906D">
      <w:pPr>
        <w:pStyle w:val="53"/>
        <w:numPr>
          <w:ilvl w:val="0"/>
          <w:numId w:val="32"/>
        </w:numPr>
        <w:spacing w:before="0"/>
        <w:ind w:firstLine="480"/>
        <w:rPr>
          <w:rFonts w:hint="eastAsia" w:ascii="宋体" w:hAnsi="宋体" w:cs="宋体"/>
          <w:color w:val="auto"/>
          <w:highlight w:val="none"/>
          <w:lang w:eastAsia="zh-CN"/>
        </w:rPr>
      </w:pPr>
      <w:r>
        <w:rPr>
          <w:rFonts w:hint="eastAsia" w:ascii="宋体" w:hAnsi="宋体" w:cs="宋体"/>
          <w:color w:val="auto"/>
          <w:highlight w:val="none"/>
          <w:lang w:val="en-US" w:eastAsia="zh-CN"/>
        </w:rPr>
        <w:t>安保服务理念</w:t>
      </w:r>
      <w:r>
        <w:rPr>
          <w:rFonts w:hint="eastAsia" w:ascii="宋体" w:hAnsi="宋体" w:cs="宋体"/>
          <w:color w:val="auto"/>
          <w:highlight w:val="none"/>
          <w:lang w:eastAsia="zh-CN"/>
        </w:rPr>
        <w:t>；</w:t>
      </w:r>
    </w:p>
    <w:p w14:paraId="5F86B3B9">
      <w:pPr>
        <w:pStyle w:val="53"/>
        <w:numPr>
          <w:ilvl w:val="0"/>
          <w:numId w:val="32"/>
        </w:numPr>
        <w:spacing w:before="0"/>
        <w:ind w:firstLine="480"/>
        <w:rPr>
          <w:rFonts w:hint="eastAsia" w:ascii="宋体" w:hAnsi="宋体" w:cs="宋体"/>
          <w:color w:val="auto"/>
          <w:highlight w:val="none"/>
          <w:lang w:eastAsia="zh-CN"/>
        </w:rPr>
      </w:pPr>
      <w:r>
        <w:rPr>
          <w:rFonts w:hint="eastAsia" w:ascii="宋体" w:hAnsi="宋体" w:cs="宋体"/>
          <w:color w:val="auto"/>
          <w:highlight w:val="none"/>
          <w:lang w:val="en-US" w:eastAsia="zh-CN"/>
        </w:rPr>
        <w:t>安保服务方案</w:t>
      </w:r>
      <w:r>
        <w:rPr>
          <w:rFonts w:hint="eastAsia" w:ascii="宋体" w:hAnsi="宋体" w:cs="宋体"/>
          <w:color w:val="auto"/>
          <w:highlight w:val="none"/>
          <w:lang w:eastAsia="zh-CN"/>
        </w:rPr>
        <w:t>；</w:t>
      </w:r>
    </w:p>
    <w:p w14:paraId="06BEE6A7">
      <w:pPr>
        <w:pStyle w:val="53"/>
        <w:numPr>
          <w:ilvl w:val="0"/>
          <w:numId w:val="32"/>
        </w:numPr>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安保服务组织架构；</w:t>
      </w:r>
    </w:p>
    <w:p w14:paraId="14811242">
      <w:pPr>
        <w:pStyle w:val="53"/>
        <w:numPr>
          <w:ilvl w:val="0"/>
          <w:numId w:val="32"/>
        </w:numPr>
        <w:spacing w:before="0"/>
        <w:ind w:firstLine="480"/>
        <w:rPr>
          <w:rFonts w:hint="eastAsia" w:ascii="宋体" w:hAnsi="宋体" w:cs="宋体"/>
          <w:color w:val="auto"/>
          <w:highlight w:val="none"/>
          <w:lang w:eastAsia="zh-CN"/>
        </w:rPr>
      </w:pPr>
      <w:r>
        <w:rPr>
          <w:rFonts w:hint="eastAsia" w:ascii="宋体" w:hAnsi="宋体" w:cs="宋体"/>
          <w:color w:val="auto"/>
          <w:highlight w:val="none"/>
          <w:lang w:val="en-US" w:eastAsia="zh-CN"/>
        </w:rPr>
        <w:t>人员配置；</w:t>
      </w:r>
    </w:p>
    <w:p w14:paraId="20468BC8">
      <w:pPr>
        <w:pStyle w:val="53"/>
        <w:numPr>
          <w:ilvl w:val="0"/>
          <w:numId w:val="32"/>
        </w:numPr>
        <w:spacing w:before="0"/>
        <w:ind w:firstLine="480"/>
        <w:rPr>
          <w:rFonts w:hint="eastAsia" w:ascii="宋体" w:hAnsi="宋体" w:cs="宋体"/>
          <w:color w:val="auto"/>
          <w:highlight w:val="none"/>
          <w:lang w:eastAsia="zh-CN"/>
        </w:rPr>
      </w:pPr>
      <w:r>
        <w:rPr>
          <w:rFonts w:hint="eastAsia" w:ascii="宋体" w:hAnsi="宋体" w:cs="宋体"/>
          <w:color w:val="auto"/>
          <w:highlight w:val="none"/>
          <w:lang w:val="en-US" w:eastAsia="zh-CN"/>
        </w:rPr>
        <w:t>项目组人员清单（格式见附件）</w:t>
      </w:r>
      <w:r>
        <w:rPr>
          <w:rFonts w:hint="eastAsia" w:ascii="宋体" w:hAnsi="宋体" w:cs="宋体"/>
          <w:color w:val="auto"/>
          <w:highlight w:val="none"/>
          <w:lang w:eastAsia="zh-CN"/>
        </w:rPr>
        <w:t>；</w:t>
      </w:r>
    </w:p>
    <w:p w14:paraId="0B56753F">
      <w:pPr>
        <w:pStyle w:val="53"/>
        <w:numPr>
          <w:ilvl w:val="0"/>
          <w:numId w:val="32"/>
        </w:numPr>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装备配备</w:t>
      </w:r>
      <w:r>
        <w:rPr>
          <w:rFonts w:hint="eastAsia" w:ascii="宋体" w:hAnsi="宋体" w:cs="宋体"/>
          <w:color w:val="auto"/>
          <w:highlight w:val="none"/>
          <w:lang w:eastAsia="zh-CN"/>
        </w:rPr>
        <w:t>方案</w:t>
      </w:r>
      <w:r>
        <w:rPr>
          <w:rFonts w:hint="eastAsia" w:ascii="宋体" w:hAnsi="宋体" w:cs="宋体"/>
          <w:color w:val="auto"/>
          <w:highlight w:val="none"/>
          <w:lang w:val="en-US" w:eastAsia="zh-CN"/>
        </w:rPr>
        <w:t>；</w:t>
      </w:r>
    </w:p>
    <w:p w14:paraId="5F4DDBB5">
      <w:pPr>
        <w:pStyle w:val="53"/>
        <w:numPr>
          <w:ilvl w:val="0"/>
          <w:numId w:val="32"/>
        </w:numPr>
        <w:spacing w:before="0"/>
        <w:ind w:firstLine="480"/>
        <w:rPr>
          <w:rFonts w:hint="eastAsia" w:ascii="宋体" w:hAnsi="宋体" w:cs="宋体"/>
          <w:color w:val="auto"/>
          <w:highlight w:val="none"/>
          <w:lang w:eastAsia="zh-CN"/>
        </w:rPr>
      </w:pPr>
      <w:r>
        <w:rPr>
          <w:rFonts w:hint="eastAsia" w:ascii="宋体" w:hAnsi="宋体" w:cs="宋体"/>
          <w:color w:val="auto"/>
          <w:highlight w:val="none"/>
          <w:lang w:val="en-US" w:eastAsia="zh-CN"/>
        </w:rPr>
        <w:t>应急预案及措施</w:t>
      </w:r>
      <w:r>
        <w:rPr>
          <w:rFonts w:hint="eastAsia" w:ascii="宋体" w:hAnsi="宋体" w:cs="宋体"/>
          <w:color w:val="auto"/>
          <w:highlight w:val="none"/>
          <w:lang w:eastAsia="zh-CN"/>
        </w:rPr>
        <w:t>；</w:t>
      </w:r>
    </w:p>
    <w:p w14:paraId="17F79108">
      <w:pPr>
        <w:pStyle w:val="53"/>
        <w:numPr>
          <w:ilvl w:val="0"/>
          <w:numId w:val="32"/>
        </w:numPr>
        <w:spacing w:before="0"/>
        <w:ind w:firstLine="480"/>
        <w:rPr>
          <w:rFonts w:hint="eastAsia" w:ascii="宋体" w:hAnsi="宋体" w:cs="宋体"/>
          <w:color w:val="auto"/>
          <w:highlight w:val="none"/>
          <w:lang w:eastAsia="zh-CN"/>
        </w:rPr>
      </w:pPr>
      <w:r>
        <w:rPr>
          <w:rFonts w:hint="eastAsia" w:ascii="宋体" w:hAnsi="宋体" w:cs="宋体"/>
          <w:color w:val="auto"/>
          <w:highlight w:val="none"/>
          <w:lang w:val="en-US" w:eastAsia="zh-CN"/>
        </w:rPr>
        <w:t>服务响应能力</w:t>
      </w:r>
      <w:r>
        <w:rPr>
          <w:rFonts w:hint="eastAsia" w:ascii="宋体" w:hAnsi="宋体" w:cs="宋体"/>
          <w:color w:val="auto"/>
          <w:highlight w:val="none"/>
          <w:lang w:eastAsia="zh-CN"/>
        </w:rPr>
        <w:t>；</w:t>
      </w:r>
    </w:p>
    <w:p w14:paraId="65F179F5">
      <w:pPr>
        <w:pStyle w:val="53"/>
        <w:numPr>
          <w:ilvl w:val="0"/>
          <w:numId w:val="32"/>
        </w:numPr>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认证证书；</w:t>
      </w:r>
    </w:p>
    <w:p w14:paraId="4FEA3D6D">
      <w:pPr>
        <w:pStyle w:val="53"/>
        <w:numPr>
          <w:ilvl w:val="0"/>
          <w:numId w:val="32"/>
        </w:numPr>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供应商实力；</w:t>
      </w:r>
    </w:p>
    <w:p w14:paraId="63E912A9">
      <w:pPr>
        <w:pStyle w:val="53"/>
        <w:numPr>
          <w:ilvl w:val="0"/>
          <w:numId w:val="32"/>
        </w:numPr>
        <w:spacing w:before="0"/>
        <w:ind w:firstLine="480"/>
        <w:rPr>
          <w:rFonts w:ascii="宋体"/>
          <w:color w:val="auto"/>
          <w:highlight w:val="none"/>
        </w:rPr>
      </w:pPr>
      <w:r>
        <w:rPr>
          <w:rFonts w:hint="eastAsia" w:ascii="宋体" w:hAnsi="宋体" w:cs="宋体"/>
          <w:color w:val="auto"/>
          <w:highlight w:val="none"/>
        </w:rPr>
        <w:t xml:space="preserve">供应商认为需要的其他文件资料。 </w:t>
      </w:r>
      <w:r>
        <w:rPr>
          <w:rFonts w:ascii="宋体" w:hAnsi="宋体" w:cs="宋体"/>
          <w:color w:val="auto"/>
          <w:highlight w:val="none"/>
        </w:rPr>
        <w:t xml:space="preserve"> </w:t>
      </w:r>
    </w:p>
    <w:p w14:paraId="2387CCE9">
      <w:pPr>
        <w:pStyle w:val="53"/>
        <w:numPr>
          <w:ilvl w:val="0"/>
          <w:numId w:val="0"/>
        </w:numPr>
        <w:spacing w:before="0"/>
        <w:ind w:leftChars="200"/>
        <w:rPr>
          <w:rFonts w:ascii="宋体"/>
          <w:color w:val="auto"/>
          <w:highlight w:val="none"/>
        </w:rPr>
      </w:pPr>
      <w:r>
        <w:rPr>
          <w:rFonts w:ascii="宋体" w:hAnsi="宋体" w:cs="宋体"/>
          <w:color w:val="auto"/>
          <w:highlight w:val="none"/>
        </w:rPr>
        <w:t xml:space="preserve"> </w:t>
      </w:r>
    </w:p>
    <w:p w14:paraId="4849B750">
      <w:pPr>
        <w:pStyle w:val="15"/>
        <w:spacing w:line="500" w:lineRule="exact"/>
        <w:ind w:firstLine="480" w:firstLineChars="200"/>
        <w:rPr>
          <w:rFonts w:hAnsi="宋体" w:cs="Times New Roman"/>
          <w:color w:val="auto"/>
          <w:sz w:val="24"/>
          <w:szCs w:val="24"/>
          <w:highlight w:val="none"/>
        </w:rPr>
      </w:pPr>
    </w:p>
    <w:p w14:paraId="731830C6">
      <w:pPr>
        <w:rPr>
          <w:rFonts w:hAnsi="宋体"/>
          <w:color w:val="auto"/>
          <w:sz w:val="24"/>
          <w:szCs w:val="24"/>
          <w:highlight w:val="none"/>
        </w:rPr>
      </w:pPr>
    </w:p>
    <w:p w14:paraId="73634603">
      <w:pPr>
        <w:pStyle w:val="3"/>
        <w:rPr>
          <w:rFonts w:cs="Times New Roman"/>
          <w:color w:val="auto"/>
          <w:szCs w:val="24"/>
          <w:highlight w:val="none"/>
        </w:rPr>
      </w:pPr>
    </w:p>
    <w:p w14:paraId="13062F74">
      <w:pPr>
        <w:pStyle w:val="4"/>
        <w:rPr>
          <w:rFonts w:cs="Times New Roman"/>
          <w:color w:val="auto"/>
          <w:szCs w:val="24"/>
          <w:highlight w:val="none"/>
        </w:rPr>
      </w:pPr>
    </w:p>
    <w:p w14:paraId="56B4B893">
      <w:pPr>
        <w:pStyle w:val="5"/>
        <w:rPr>
          <w:rFonts w:cs="Times New Roman"/>
          <w:color w:val="auto"/>
          <w:szCs w:val="24"/>
          <w:highlight w:val="none"/>
        </w:rPr>
      </w:pPr>
    </w:p>
    <w:p w14:paraId="52589DAC">
      <w:pPr>
        <w:rPr>
          <w:rFonts w:cs="Times New Roman"/>
          <w:color w:val="auto"/>
          <w:szCs w:val="24"/>
          <w:highlight w:val="none"/>
        </w:rPr>
      </w:pPr>
    </w:p>
    <w:p w14:paraId="76A74385">
      <w:pPr>
        <w:pStyle w:val="26"/>
        <w:rPr>
          <w:rFonts w:cs="Times New Roman"/>
          <w:color w:val="auto"/>
          <w:szCs w:val="24"/>
          <w:highlight w:val="none"/>
        </w:rPr>
      </w:pPr>
    </w:p>
    <w:p w14:paraId="45438032">
      <w:pPr>
        <w:pStyle w:val="25"/>
        <w:rPr>
          <w:color w:val="auto"/>
          <w:highlight w:val="none"/>
        </w:rPr>
      </w:pPr>
    </w:p>
    <w:p w14:paraId="5AEF4125">
      <w:pPr>
        <w:rPr>
          <w:color w:val="auto"/>
          <w:highlight w:val="none"/>
        </w:rPr>
      </w:pPr>
    </w:p>
    <w:p w14:paraId="44EA017D">
      <w:pPr>
        <w:snapToGrid w:val="0"/>
        <w:spacing w:before="50" w:after="50"/>
        <w:jc w:val="left"/>
        <w:rPr>
          <w:rFonts w:ascii="宋体" w:hAnsi="宋体" w:cs="宋体"/>
          <w:b/>
          <w:bCs/>
          <w:color w:val="auto"/>
          <w:sz w:val="24"/>
          <w:highlight w:val="none"/>
          <w:lang w:val="zh-CN"/>
        </w:rPr>
      </w:pPr>
      <w:bookmarkStart w:id="164" w:name="_Toc10131"/>
    </w:p>
    <w:p w14:paraId="7A4F3050">
      <w:pPr>
        <w:snapToGrid w:val="0"/>
        <w:spacing w:before="50" w:after="5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附件三：</w:t>
      </w:r>
    </w:p>
    <w:p w14:paraId="134F8D7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14:paraId="16E052E3">
      <w:pPr>
        <w:snapToGrid w:val="0"/>
        <w:spacing w:before="50"/>
        <w:jc w:val="center"/>
        <w:rPr>
          <w:rFonts w:ascii="宋体" w:hAnsi="宋体" w:cs="宋体"/>
          <w:b/>
          <w:color w:val="auto"/>
          <w:sz w:val="32"/>
          <w:szCs w:val="32"/>
          <w:highlight w:val="none"/>
        </w:rPr>
      </w:pPr>
    </w:p>
    <w:p w14:paraId="69C7A0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34E616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7"/>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0B8D5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3372F44B">
            <w:pPr>
              <w:jc w:val="center"/>
              <w:rPr>
                <w:rFonts w:ascii="宋体" w:hAnsi="宋体" w:cs="宋体"/>
                <w:color w:val="auto"/>
                <w:sz w:val="24"/>
                <w:highlight w:val="none"/>
              </w:rPr>
            </w:pPr>
            <w:r>
              <w:rPr>
                <w:rFonts w:hint="eastAsia" w:ascii="宋体" w:hAnsi="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DC48915">
            <w:pPr>
              <w:jc w:val="center"/>
              <w:rPr>
                <w:rFonts w:ascii="宋体" w:hAnsi="宋体" w:cs="宋体"/>
                <w:color w:val="auto"/>
                <w:sz w:val="24"/>
                <w:highlight w:val="none"/>
              </w:rPr>
            </w:pPr>
            <w:r>
              <w:rPr>
                <w:rFonts w:hint="eastAsia" w:ascii="宋体" w:hAnsi="宋体" w:cs="宋体"/>
                <w:color w:val="auto"/>
                <w:sz w:val="24"/>
                <w:highlight w:val="none"/>
              </w:rPr>
              <w:t>响应文件对应资料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0E26F445">
            <w:pPr>
              <w:jc w:val="center"/>
              <w:rPr>
                <w:rFonts w:ascii="宋体" w:hAnsi="宋体" w:cs="宋体"/>
                <w:color w:val="auto"/>
                <w:sz w:val="24"/>
                <w:highlight w:val="none"/>
              </w:rPr>
            </w:pPr>
            <w:r>
              <w:rPr>
                <w:rFonts w:hint="eastAsia" w:ascii="宋体" w:hAnsi="宋体" w:cs="宋体"/>
                <w:color w:val="auto"/>
                <w:sz w:val="24"/>
                <w:highlight w:val="none"/>
              </w:rPr>
              <w:t>响应文件页码</w:t>
            </w:r>
          </w:p>
        </w:tc>
      </w:tr>
      <w:tr w14:paraId="2FE1F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AEB3547">
            <w:pPr>
              <w:jc w:val="center"/>
              <w:rPr>
                <w:rFonts w:ascii="宋体" w:hAnsi="宋体" w:cs="宋体"/>
                <w:color w:val="auto"/>
                <w:sz w:val="24"/>
                <w:highlight w:val="none"/>
              </w:rPr>
            </w:pPr>
            <w:r>
              <w:rPr>
                <w:rFonts w:hint="eastAsia" w:ascii="宋体" w:hAnsi="宋体" w:cs="宋体"/>
                <w:color w:val="auto"/>
                <w:sz w:val="24"/>
                <w:highlight w:val="none"/>
              </w:rPr>
              <w:t>对应评分办法及评分标准</w:t>
            </w:r>
          </w:p>
          <w:p w14:paraId="1EAF872D">
            <w:pPr>
              <w:jc w:val="center"/>
              <w:rPr>
                <w:rFonts w:ascii="宋体" w:hAnsi="宋体" w:cs="宋体"/>
                <w:color w:val="auto"/>
                <w:sz w:val="24"/>
                <w:highlight w:val="none"/>
              </w:rPr>
            </w:pPr>
            <w:r>
              <w:rPr>
                <w:rFonts w:hint="eastAsia" w:ascii="宋体" w:hAnsi="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5626A6F9">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2964C85D">
            <w:pPr>
              <w:jc w:val="center"/>
              <w:rPr>
                <w:rFonts w:ascii="宋体" w:hAnsi="宋体" w:cs="宋体"/>
                <w:color w:val="auto"/>
                <w:sz w:val="24"/>
                <w:highlight w:val="none"/>
              </w:rPr>
            </w:pPr>
          </w:p>
        </w:tc>
      </w:tr>
      <w:tr w14:paraId="7749D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2AA2ACC">
            <w:pPr>
              <w:jc w:val="center"/>
              <w:rPr>
                <w:rFonts w:ascii="宋体" w:hAnsi="宋体" w:cs="宋体"/>
                <w:color w:val="auto"/>
                <w:sz w:val="24"/>
                <w:highlight w:val="none"/>
              </w:rPr>
            </w:pPr>
            <w:r>
              <w:rPr>
                <w:rFonts w:hint="eastAsia" w:ascii="宋体" w:hAnsi="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22E2EC7">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070DA195">
            <w:pPr>
              <w:jc w:val="center"/>
              <w:rPr>
                <w:rFonts w:ascii="宋体" w:hAnsi="宋体" w:cs="宋体"/>
                <w:color w:val="auto"/>
                <w:sz w:val="24"/>
                <w:highlight w:val="none"/>
              </w:rPr>
            </w:pPr>
          </w:p>
        </w:tc>
      </w:tr>
      <w:tr w14:paraId="16EE7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9D7C672">
            <w:pPr>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1EACCD4">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31718B64">
            <w:pPr>
              <w:jc w:val="center"/>
              <w:rPr>
                <w:rFonts w:ascii="宋体" w:hAnsi="宋体" w:cs="宋体"/>
                <w:color w:val="auto"/>
                <w:sz w:val="24"/>
                <w:highlight w:val="none"/>
              </w:rPr>
            </w:pPr>
          </w:p>
        </w:tc>
      </w:tr>
      <w:tr w14:paraId="5645F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8A7F162">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5C3986F">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FC9CC5D">
            <w:pPr>
              <w:spacing w:line="360" w:lineRule="auto"/>
              <w:ind w:firstLine="480" w:firstLineChars="200"/>
              <w:jc w:val="center"/>
              <w:rPr>
                <w:rFonts w:ascii="宋体" w:hAnsi="宋体" w:cs="宋体"/>
                <w:color w:val="auto"/>
                <w:sz w:val="24"/>
                <w:highlight w:val="none"/>
              </w:rPr>
            </w:pPr>
          </w:p>
        </w:tc>
      </w:tr>
      <w:tr w14:paraId="4BE59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8D11AD0">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83A09FB">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B967D30">
            <w:pPr>
              <w:spacing w:line="360" w:lineRule="auto"/>
              <w:ind w:firstLine="480" w:firstLineChars="200"/>
              <w:jc w:val="center"/>
              <w:rPr>
                <w:rFonts w:ascii="宋体" w:hAnsi="宋体" w:cs="宋体"/>
                <w:color w:val="auto"/>
                <w:sz w:val="24"/>
                <w:highlight w:val="none"/>
              </w:rPr>
            </w:pPr>
          </w:p>
        </w:tc>
      </w:tr>
      <w:tr w14:paraId="7C61E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F7BEB3E">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0E68482">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276E08FE">
            <w:pPr>
              <w:spacing w:line="360" w:lineRule="auto"/>
              <w:ind w:firstLine="480" w:firstLineChars="200"/>
              <w:jc w:val="center"/>
              <w:rPr>
                <w:rFonts w:ascii="宋体" w:hAnsi="宋体" w:cs="宋体"/>
                <w:color w:val="auto"/>
                <w:sz w:val="24"/>
                <w:highlight w:val="none"/>
              </w:rPr>
            </w:pPr>
          </w:p>
        </w:tc>
      </w:tr>
      <w:tr w14:paraId="70B0A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20DDC6B">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D70FB24">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651FEA0">
            <w:pPr>
              <w:spacing w:line="360" w:lineRule="auto"/>
              <w:ind w:firstLine="480" w:firstLineChars="200"/>
              <w:jc w:val="center"/>
              <w:rPr>
                <w:rFonts w:ascii="宋体" w:hAnsi="宋体" w:cs="宋体"/>
                <w:color w:val="auto"/>
                <w:sz w:val="24"/>
                <w:highlight w:val="none"/>
              </w:rPr>
            </w:pPr>
          </w:p>
        </w:tc>
      </w:tr>
      <w:tr w14:paraId="4B1E8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C537570">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FDD8B3D">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D396D6A">
            <w:pPr>
              <w:spacing w:line="360" w:lineRule="auto"/>
              <w:ind w:firstLine="480" w:firstLineChars="200"/>
              <w:jc w:val="center"/>
              <w:rPr>
                <w:rFonts w:ascii="宋体" w:hAnsi="宋体" w:cs="宋体"/>
                <w:color w:val="auto"/>
                <w:sz w:val="24"/>
                <w:highlight w:val="none"/>
              </w:rPr>
            </w:pPr>
          </w:p>
        </w:tc>
      </w:tr>
      <w:tr w14:paraId="24D83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2FD6C207">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E341437">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64137685">
            <w:pPr>
              <w:spacing w:line="360" w:lineRule="auto"/>
              <w:ind w:firstLine="480" w:firstLineChars="200"/>
              <w:jc w:val="center"/>
              <w:rPr>
                <w:rFonts w:ascii="宋体" w:hAnsi="宋体" w:cs="宋体"/>
                <w:color w:val="auto"/>
                <w:sz w:val="24"/>
                <w:highlight w:val="none"/>
              </w:rPr>
            </w:pPr>
          </w:p>
        </w:tc>
      </w:tr>
    </w:tbl>
    <w:p w14:paraId="39850706">
      <w:pPr>
        <w:spacing w:line="360" w:lineRule="auto"/>
        <w:ind w:firstLine="480" w:firstLineChars="200"/>
        <w:rPr>
          <w:rFonts w:ascii="宋体" w:hAnsi="宋体" w:cs="宋体"/>
          <w:color w:val="auto"/>
          <w:sz w:val="24"/>
          <w:highlight w:val="none"/>
        </w:rPr>
      </w:pPr>
    </w:p>
    <w:p w14:paraId="30AD35BC">
      <w:pPr>
        <w:spacing w:line="360" w:lineRule="auto"/>
        <w:ind w:left="3600" w:leftChars="1800" w:firstLine="480" w:firstLineChars="200"/>
        <w:rPr>
          <w:rFonts w:ascii="宋体" w:hAnsi="宋体" w:cs="宋体"/>
          <w:color w:val="auto"/>
          <w:sz w:val="24"/>
          <w:highlight w:val="none"/>
        </w:rPr>
      </w:pPr>
    </w:p>
    <w:p w14:paraId="72C1D147">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11F14377">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5605FFEF">
      <w:pPr>
        <w:spacing w:line="360" w:lineRule="auto"/>
        <w:ind w:left="3600" w:leftChars="1800" w:firstLine="480" w:firstLineChars="200"/>
        <w:rPr>
          <w:color w:val="auto"/>
          <w:highlight w:val="none"/>
          <w:lang w:val="zh-CN"/>
        </w:rPr>
      </w:pPr>
      <w:r>
        <w:rPr>
          <w:rFonts w:hint="eastAsia" w:ascii="宋体" w:hAnsi="宋体" w:cs="宋体"/>
          <w:color w:val="auto"/>
          <w:sz w:val="24"/>
          <w:highlight w:val="none"/>
        </w:rPr>
        <w:t>供应商全称（公章）：</w:t>
      </w:r>
      <w:r>
        <w:rPr>
          <w:rFonts w:hint="eastAsia"/>
          <w:color w:val="auto"/>
          <w:highlight w:val="none"/>
          <w:lang w:val="zh-CN"/>
        </w:rPr>
        <w:br w:type="page"/>
      </w:r>
    </w:p>
    <w:p w14:paraId="3CBC554C">
      <w:pPr>
        <w:rPr>
          <w:b/>
          <w:bCs/>
          <w:color w:val="auto"/>
          <w:sz w:val="24"/>
          <w:szCs w:val="32"/>
          <w:highlight w:val="none"/>
          <w:lang w:val="zh-CN"/>
        </w:rPr>
      </w:pPr>
      <w:r>
        <w:rPr>
          <w:rFonts w:hint="eastAsia"/>
          <w:b/>
          <w:bCs/>
          <w:color w:val="auto"/>
          <w:sz w:val="24"/>
          <w:szCs w:val="32"/>
          <w:highlight w:val="none"/>
          <w:lang w:val="zh-CN"/>
        </w:rPr>
        <w:t>附件</w:t>
      </w:r>
      <w:r>
        <w:rPr>
          <w:rFonts w:hint="eastAsia"/>
          <w:b/>
          <w:bCs/>
          <w:color w:val="auto"/>
          <w:sz w:val="24"/>
          <w:szCs w:val="32"/>
          <w:highlight w:val="none"/>
        </w:rPr>
        <w:t>四：</w:t>
      </w:r>
    </w:p>
    <w:p w14:paraId="055F905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64"/>
    </w:p>
    <w:p w14:paraId="73112C9F">
      <w:pPr>
        <w:snapToGrid w:val="0"/>
        <w:spacing w:before="50"/>
        <w:jc w:val="center"/>
        <w:rPr>
          <w:rFonts w:ascii="宋体" w:hAnsi="宋体" w:cs="宋体"/>
          <w:b/>
          <w:color w:val="auto"/>
          <w:sz w:val="32"/>
          <w:szCs w:val="32"/>
          <w:highlight w:val="none"/>
        </w:rPr>
      </w:pPr>
    </w:p>
    <w:p w14:paraId="3FC5D1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02AF9D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7"/>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4BF93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4A1E2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7" w:type="dxa"/>
            <w:vAlign w:val="center"/>
          </w:tcPr>
          <w:p w14:paraId="0E52CF32">
            <w:pPr>
              <w:jc w:val="center"/>
              <w:rPr>
                <w:rFonts w:ascii="宋体" w:hAnsi="宋体" w:cs="宋体"/>
                <w:color w:val="auto"/>
                <w:sz w:val="24"/>
                <w:highlight w:val="none"/>
              </w:rPr>
            </w:pPr>
            <w:r>
              <w:rPr>
                <w:rFonts w:hint="eastAsia" w:ascii="宋体" w:hAnsi="宋体" w:cs="宋体"/>
                <w:color w:val="auto"/>
                <w:sz w:val="24"/>
                <w:highlight w:val="none"/>
              </w:rPr>
              <w:t>资信分内容</w:t>
            </w:r>
          </w:p>
        </w:tc>
        <w:tc>
          <w:tcPr>
            <w:tcW w:w="1462" w:type="dxa"/>
            <w:vAlign w:val="center"/>
          </w:tcPr>
          <w:p w14:paraId="4DE779F5">
            <w:pPr>
              <w:jc w:val="center"/>
              <w:rPr>
                <w:rFonts w:ascii="宋体" w:hAnsi="宋体" w:cs="宋体"/>
                <w:color w:val="auto"/>
                <w:sz w:val="24"/>
                <w:highlight w:val="none"/>
              </w:rPr>
            </w:pPr>
            <w:r>
              <w:rPr>
                <w:rFonts w:hint="eastAsia" w:ascii="宋体" w:hAnsi="宋体" w:cs="宋体"/>
                <w:color w:val="auto"/>
                <w:sz w:val="24"/>
                <w:highlight w:val="none"/>
              </w:rPr>
              <w:t>自评得分</w:t>
            </w:r>
          </w:p>
        </w:tc>
        <w:tc>
          <w:tcPr>
            <w:tcW w:w="2415" w:type="dxa"/>
            <w:tcBorders>
              <w:right w:val="single" w:color="auto" w:sz="4" w:space="0"/>
            </w:tcBorders>
            <w:vAlign w:val="center"/>
          </w:tcPr>
          <w:p w14:paraId="4909E98A">
            <w:pPr>
              <w:jc w:val="center"/>
              <w:rPr>
                <w:rFonts w:ascii="宋体" w:hAnsi="宋体" w:cs="宋体"/>
                <w:color w:val="auto"/>
                <w:sz w:val="24"/>
                <w:highlight w:val="none"/>
              </w:rPr>
            </w:pPr>
            <w:r>
              <w:rPr>
                <w:rFonts w:hint="eastAsia" w:ascii="宋体" w:hAnsi="宋体" w:cs="宋体"/>
                <w:color w:val="auto"/>
                <w:sz w:val="24"/>
                <w:highlight w:val="none"/>
              </w:rPr>
              <w:t>响应文件对应资料</w:t>
            </w:r>
          </w:p>
        </w:tc>
        <w:tc>
          <w:tcPr>
            <w:tcW w:w="1746" w:type="dxa"/>
            <w:tcBorders>
              <w:left w:val="single" w:color="auto" w:sz="4" w:space="0"/>
            </w:tcBorders>
            <w:vAlign w:val="center"/>
          </w:tcPr>
          <w:p w14:paraId="4D846BA4">
            <w:pPr>
              <w:jc w:val="center"/>
              <w:rPr>
                <w:rFonts w:ascii="宋体" w:hAnsi="宋体" w:cs="宋体"/>
                <w:color w:val="auto"/>
                <w:sz w:val="24"/>
                <w:highlight w:val="none"/>
              </w:rPr>
            </w:pPr>
            <w:r>
              <w:rPr>
                <w:rFonts w:hint="eastAsia" w:ascii="宋体" w:hAnsi="宋体" w:cs="宋体"/>
                <w:color w:val="auto"/>
                <w:sz w:val="24"/>
                <w:highlight w:val="none"/>
              </w:rPr>
              <w:t>响应文件页码</w:t>
            </w:r>
          </w:p>
        </w:tc>
      </w:tr>
      <w:tr w14:paraId="6BC10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F9AB083">
            <w:pPr>
              <w:jc w:val="center"/>
              <w:rPr>
                <w:rFonts w:ascii="宋体" w:hAnsi="宋体" w:cs="宋体"/>
                <w:color w:val="auto"/>
                <w:sz w:val="24"/>
                <w:highlight w:val="none"/>
              </w:rPr>
            </w:pPr>
            <w:r>
              <w:rPr>
                <w:rFonts w:hint="eastAsia" w:ascii="宋体" w:hAnsi="宋体" w:cs="宋体"/>
                <w:color w:val="auto"/>
                <w:sz w:val="24"/>
                <w:highlight w:val="none"/>
              </w:rPr>
              <w:t>1</w:t>
            </w:r>
          </w:p>
        </w:tc>
        <w:tc>
          <w:tcPr>
            <w:tcW w:w="2387" w:type="dxa"/>
          </w:tcPr>
          <w:p w14:paraId="599E8DC8">
            <w:pPr>
              <w:jc w:val="center"/>
              <w:rPr>
                <w:rFonts w:ascii="宋体" w:hAnsi="宋体" w:cs="宋体"/>
                <w:color w:val="auto"/>
                <w:sz w:val="24"/>
                <w:highlight w:val="none"/>
              </w:rPr>
            </w:pPr>
          </w:p>
        </w:tc>
        <w:tc>
          <w:tcPr>
            <w:tcW w:w="1462" w:type="dxa"/>
          </w:tcPr>
          <w:p w14:paraId="3C519D03">
            <w:pPr>
              <w:jc w:val="center"/>
              <w:rPr>
                <w:rFonts w:ascii="宋体" w:hAnsi="宋体" w:cs="宋体"/>
                <w:color w:val="auto"/>
                <w:sz w:val="24"/>
                <w:highlight w:val="none"/>
              </w:rPr>
            </w:pPr>
          </w:p>
        </w:tc>
        <w:tc>
          <w:tcPr>
            <w:tcW w:w="2415" w:type="dxa"/>
            <w:tcBorders>
              <w:right w:val="single" w:color="auto" w:sz="4" w:space="0"/>
            </w:tcBorders>
          </w:tcPr>
          <w:p w14:paraId="65CDD823">
            <w:pPr>
              <w:jc w:val="center"/>
              <w:rPr>
                <w:rFonts w:ascii="宋体" w:hAnsi="宋体" w:cs="宋体"/>
                <w:color w:val="auto"/>
                <w:sz w:val="24"/>
                <w:highlight w:val="none"/>
              </w:rPr>
            </w:pPr>
          </w:p>
        </w:tc>
        <w:tc>
          <w:tcPr>
            <w:tcW w:w="1746" w:type="dxa"/>
            <w:tcBorders>
              <w:left w:val="single" w:color="auto" w:sz="4" w:space="0"/>
            </w:tcBorders>
          </w:tcPr>
          <w:p w14:paraId="6E3567C4">
            <w:pPr>
              <w:jc w:val="center"/>
              <w:rPr>
                <w:rFonts w:ascii="宋体" w:hAnsi="宋体" w:cs="宋体"/>
                <w:color w:val="auto"/>
                <w:sz w:val="24"/>
                <w:highlight w:val="none"/>
              </w:rPr>
            </w:pPr>
          </w:p>
        </w:tc>
      </w:tr>
      <w:tr w14:paraId="1463A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50DBE45">
            <w:pPr>
              <w:jc w:val="center"/>
              <w:rPr>
                <w:rFonts w:ascii="宋体" w:hAnsi="宋体" w:cs="宋体"/>
                <w:color w:val="auto"/>
                <w:sz w:val="24"/>
                <w:highlight w:val="none"/>
              </w:rPr>
            </w:pPr>
            <w:r>
              <w:rPr>
                <w:rFonts w:hint="eastAsia" w:ascii="宋体" w:hAnsi="宋体" w:cs="宋体"/>
                <w:color w:val="auto"/>
                <w:sz w:val="24"/>
                <w:highlight w:val="none"/>
              </w:rPr>
              <w:t>2</w:t>
            </w:r>
          </w:p>
        </w:tc>
        <w:tc>
          <w:tcPr>
            <w:tcW w:w="2387" w:type="dxa"/>
          </w:tcPr>
          <w:p w14:paraId="717D61A4">
            <w:pPr>
              <w:jc w:val="center"/>
              <w:rPr>
                <w:rFonts w:ascii="宋体" w:hAnsi="宋体" w:cs="宋体"/>
                <w:color w:val="auto"/>
                <w:sz w:val="24"/>
                <w:highlight w:val="none"/>
              </w:rPr>
            </w:pPr>
          </w:p>
        </w:tc>
        <w:tc>
          <w:tcPr>
            <w:tcW w:w="1462" w:type="dxa"/>
          </w:tcPr>
          <w:p w14:paraId="0C893139">
            <w:pPr>
              <w:jc w:val="center"/>
              <w:rPr>
                <w:rFonts w:ascii="宋体" w:hAnsi="宋体" w:cs="宋体"/>
                <w:color w:val="auto"/>
                <w:sz w:val="24"/>
                <w:highlight w:val="none"/>
              </w:rPr>
            </w:pPr>
          </w:p>
        </w:tc>
        <w:tc>
          <w:tcPr>
            <w:tcW w:w="2415" w:type="dxa"/>
            <w:tcBorders>
              <w:right w:val="single" w:color="auto" w:sz="4" w:space="0"/>
            </w:tcBorders>
          </w:tcPr>
          <w:p w14:paraId="22BAA515">
            <w:pPr>
              <w:jc w:val="center"/>
              <w:rPr>
                <w:rFonts w:ascii="宋体" w:hAnsi="宋体" w:cs="宋体"/>
                <w:color w:val="auto"/>
                <w:sz w:val="24"/>
                <w:highlight w:val="none"/>
              </w:rPr>
            </w:pPr>
          </w:p>
        </w:tc>
        <w:tc>
          <w:tcPr>
            <w:tcW w:w="1746" w:type="dxa"/>
            <w:tcBorders>
              <w:left w:val="single" w:color="auto" w:sz="4" w:space="0"/>
            </w:tcBorders>
          </w:tcPr>
          <w:p w14:paraId="1E3EA16A">
            <w:pPr>
              <w:jc w:val="center"/>
              <w:rPr>
                <w:rFonts w:ascii="宋体" w:hAnsi="宋体" w:cs="宋体"/>
                <w:color w:val="auto"/>
                <w:sz w:val="24"/>
                <w:highlight w:val="none"/>
              </w:rPr>
            </w:pPr>
          </w:p>
        </w:tc>
      </w:tr>
      <w:tr w14:paraId="7E054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406E3CF">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87" w:type="dxa"/>
          </w:tcPr>
          <w:p w14:paraId="63A6F00F">
            <w:pPr>
              <w:jc w:val="center"/>
              <w:rPr>
                <w:rFonts w:ascii="宋体" w:hAnsi="宋体" w:cs="宋体"/>
                <w:color w:val="auto"/>
                <w:sz w:val="24"/>
                <w:highlight w:val="none"/>
              </w:rPr>
            </w:pPr>
          </w:p>
        </w:tc>
        <w:tc>
          <w:tcPr>
            <w:tcW w:w="1462" w:type="dxa"/>
          </w:tcPr>
          <w:p w14:paraId="3DBA6A75">
            <w:pPr>
              <w:jc w:val="center"/>
              <w:rPr>
                <w:rFonts w:ascii="宋体" w:hAnsi="宋体" w:cs="宋体"/>
                <w:color w:val="auto"/>
                <w:sz w:val="24"/>
                <w:highlight w:val="none"/>
              </w:rPr>
            </w:pPr>
          </w:p>
        </w:tc>
        <w:tc>
          <w:tcPr>
            <w:tcW w:w="2415" w:type="dxa"/>
            <w:tcBorders>
              <w:right w:val="single" w:color="auto" w:sz="4" w:space="0"/>
            </w:tcBorders>
          </w:tcPr>
          <w:p w14:paraId="55808410">
            <w:pPr>
              <w:jc w:val="center"/>
              <w:rPr>
                <w:rFonts w:ascii="宋体" w:hAnsi="宋体" w:cs="宋体"/>
                <w:color w:val="auto"/>
                <w:sz w:val="24"/>
                <w:highlight w:val="none"/>
              </w:rPr>
            </w:pPr>
          </w:p>
        </w:tc>
        <w:tc>
          <w:tcPr>
            <w:tcW w:w="1746" w:type="dxa"/>
            <w:tcBorders>
              <w:left w:val="single" w:color="auto" w:sz="4" w:space="0"/>
            </w:tcBorders>
          </w:tcPr>
          <w:p w14:paraId="30F16684">
            <w:pPr>
              <w:jc w:val="center"/>
              <w:rPr>
                <w:rFonts w:ascii="宋体" w:hAnsi="宋体" w:cs="宋体"/>
                <w:color w:val="auto"/>
                <w:sz w:val="24"/>
                <w:highlight w:val="none"/>
              </w:rPr>
            </w:pPr>
          </w:p>
        </w:tc>
      </w:tr>
      <w:tr w14:paraId="0CD33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73EC50B">
            <w:pPr>
              <w:jc w:val="center"/>
              <w:rPr>
                <w:rFonts w:ascii="宋体" w:hAnsi="宋体" w:cs="宋体"/>
                <w:color w:val="auto"/>
                <w:sz w:val="24"/>
                <w:highlight w:val="none"/>
              </w:rPr>
            </w:pPr>
            <w:r>
              <w:rPr>
                <w:rFonts w:hint="eastAsia" w:ascii="宋体" w:hAnsi="宋体" w:cs="宋体"/>
                <w:color w:val="auto"/>
                <w:sz w:val="24"/>
                <w:highlight w:val="none"/>
              </w:rPr>
              <w:t>4</w:t>
            </w:r>
          </w:p>
        </w:tc>
        <w:tc>
          <w:tcPr>
            <w:tcW w:w="2387" w:type="dxa"/>
          </w:tcPr>
          <w:p w14:paraId="1C2845A1">
            <w:pPr>
              <w:jc w:val="center"/>
              <w:rPr>
                <w:rFonts w:ascii="宋体" w:hAnsi="宋体" w:cs="宋体"/>
                <w:color w:val="auto"/>
                <w:sz w:val="24"/>
                <w:highlight w:val="none"/>
              </w:rPr>
            </w:pPr>
          </w:p>
        </w:tc>
        <w:tc>
          <w:tcPr>
            <w:tcW w:w="1462" w:type="dxa"/>
          </w:tcPr>
          <w:p w14:paraId="2F0D81C9">
            <w:pPr>
              <w:jc w:val="center"/>
              <w:rPr>
                <w:rFonts w:ascii="宋体" w:hAnsi="宋体" w:cs="宋体"/>
                <w:color w:val="auto"/>
                <w:sz w:val="24"/>
                <w:highlight w:val="none"/>
              </w:rPr>
            </w:pPr>
          </w:p>
        </w:tc>
        <w:tc>
          <w:tcPr>
            <w:tcW w:w="2415" w:type="dxa"/>
            <w:tcBorders>
              <w:right w:val="single" w:color="auto" w:sz="4" w:space="0"/>
            </w:tcBorders>
          </w:tcPr>
          <w:p w14:paraId="24BCE112">
            <w:pPr>
              <w:jc w:val="center"/>
              <w:rPr>
                <w:rFonts w:ascii="宋体" w:hAnsi="宋体" w:cs="宋体"/>
                <w:color w:val="auto"/>
                <w:sz w:val="24"/>
                <w:highlight w:val="none"/>
              </w:rPr>
            </w:pPr>
          </w:p>
        </w:tc>
        <w:tc>
          <w:tcPr>
            <w:tcW w:w="1746" w:type="dxa"/>
            <w:tcBorders>
              <w:left w:val="single" w:color="auto" w:sz="4" w:space="0"/>
            </w:tcBorders>
          </w:tcPr>
          <w:p w14:paraId="1A4A676F">
            <w:pPr>
              <w:jc w:val="center"/>
              <w:rPr>
                <w:rFonts w:ascii="宋体" w:hAnsi="宋体" w:cs="宋体"/>
                <w:color w:val="auto"/>
                <w:sz w:val="24"/>
                <w:highlight w:val="none"/>
              </w:rPr>
            </w:pPr>
          </w:p>
        </w:tc>
      </w:tr>
      <w:tr w14:paraId="522FB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CBD371E">
            <w:pPr>
              <w:jc w:val="center"/>
              <w:rPr>
                <w:rFonts w:ascii="宋体" w:hAnsi="宋体" w:cs="宋体"/>
                <w:color w:val="auto"/>
                <w:sz w:val="24"/>
                <w:highlight w:val="none"/>
              </w:rPr>
            </w:pPr>
            <w:r>
              <w:rPr>
                <w:rFonts w:hint="eastAsia" w:ascii="宋体" w:hAnsi="宋体" w:cs="宋体"/>
                <w:color w:val="auto"/>
                <w:sz w:val="24"/>
                <w:highlight w:val="none"/>
              </w:rPr>
              <w:t>5</w:t>
            </w:r>
          </w:p>
        </w:tc>
        <w:tc>
          <w:tcPr>
            <w:tcW w:w="2387" w:type="dxa"/>
          </w:tcPr>
          <w:p w14:paraId="74072FAA">
            <w:pPr>
              <w:jc w:val="center"/>
              <w:rPr>
                <w:rFonts w:ascii="宋体" w:hAnsi="宋体" w:cs="宋体"/>
                <w:color w:val="auto"/>
                <w:sz w:val="24"/>
                <w:highlight w:val="none"/>
              </w:rPr>
            </w:pPr>
          </w:p>
        </w:tc>
        <w:tc>
          <w:tcPr>
            <w:tcW w:w="1462" w:type="dxa"/>
          </w:tcPr>
          <w:p w14:paraId="21A77089">
            <w:pPr>
              <w:jc w:val="center"/>
              <w:rPr>
                <w:rFonts w:ascii="宋体" w:hAnsi="宋体" w:cs="宋体"/>
                <w:color w:val="auto"/>
                <w:sz w:val="24"/>
                <w:highlight w:val="none"/>
              </w:rPr>
            </w:pPr>
          </w:p>
        </w:tc>
        <w:tc>
          <w:tcPr>
            <w:tcW w:w="2415" w:type="dxa"/>
            <w:tcBorders>
              <w:right w:val="single" w:color="auto" w:sz="4" w:space="0"/>
            </w:tcBorders>
          </w:tcPr>
          <w:p w14:paraId="7070C8E8">
            <w:pPr>
              <w:jc w:val="center"/>
              <w:rPr>
                <w:rFonts w:ascii="宋体" w:hAnsi="宋体" w:cs="宋体"/>
                <w:color w:val="auto"/>
                <w:sz w:val="24"/>
                <w:highlight w:val="none"/>
              </w:rPr>
            </w:pPr>
          </w:p>
        </w:tc>
        <w:tc>
          <w:tcPr>
            <w:tcW w:w="1746" w:type="dxa"/>
            <w:tcBorders>
              <w:left w:val="single" w:color="auto" w:sz="4" w:space="0"/>
            </w:tcBorders>
          </w:tcPr>
          <w:p w14:paraId="28BF81CF">
            <w:pPr>
              <w:jc w:val="center"/>
              <w:rPr>
                <w:rFonts w:ascii="宋体" w:hAnsi="宋体" w:cs="宋体"/>
                <w:color w:val="auto"/>
                <w:sz w:val="24"/>
                <w:highlight w:val="none"/>
              </w:rPr>
            </w:pPr>
          </w:p>
        </w:tc>
      </w:tr>
      <w:tr w14:paraId="437B4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49F1907">
            <w:pPr>
              <w:jc w:val="center"/>
              <w:rPr>
                <w:rFonts w:ascii="宋体" w:hAnsi="宋体" w:cs="宋体"/>
                <w:color w:val="auto"/>
                <w:sz w:val="24"/>
                <w:highlight w:val="none"/>
              </w:rPr>
            </w:pPr>
            <w:r>
              <w:rPr>
                <w:rFonts w:hint="eastAsia" w:ascii="宋体" w:hAnsi="宋体" w:cs="宋体"/>
                <w:color w:val="auto"/>
                <w:sz w:val="24"/>
                <w:highlight w:val="none"/>
              </w:rPr>
              <w:t>6</w:t>
            </w:r>
          </w:p>
        </w:tc>
        <w:tc>
          <w:tcPr>
            <w:tcW w:w="2387" w:type="dxa"/>
          </w:tcPr>
          <w:p w14:paraId="6E43462A">
            <w:pPr>
              <w:jc w:val="center"/>
              <w:rPr>
                <w:rFonts w:ascii="宋体" w:hAnsi="宋体" w:cs="宋体"/>
                <w:color w:val="auto"/>
                <w:sz w:val="24"/>
                <w:highlight w:val="none"/>
              </w:rPr>
            </w:pPr>
          </w:p>
        </w:tc>
        <w:tc>
          <w:tcPr>
            <w:tcW w:w="1462" w:type="dxa"/>
          </w:tcPr>
          <w:p w14:paraId="089344B1">
            <w:pPr>
              <w:jc w:val="center"/>
              <w:rPr>
                <w:rFonts w:ascii="宋体" w:hAnsi="宋体" w:cs="宋体"/>
                <w:color w:val="auto"/>
                <w:sz w:val="24"/>
                <w:highlight w:val="none"/>
              </w:rPr>
            </w:pPr>
          </w:p>
        </w:tc>
        <w:tc>
          <w:tcPr>
            <w:tcW w:w="2415" w:type="dxa"/>
            <w:tcBorders>
              <w:right w:val="single" w:color="auto" w:sz="4" w:space="0"/>
            </w:tcBorders>
          </w:tcPr>
          <w:p w14:paraId="3D263608">
            <w:pPr>
              <w:jc w:val="center"/>
              <w:rPr>
                <w:rFonts w:ascii="宋体" w:hAnsi="宋体" w:cs="宋体"/>
                <w:color w:val="auto"/>
                <w:sz w:val="24"/>
                <w:highlight w:val="none"/>
              </w:rPr>
            </w:pPr>
          </w:p>
        </w:tc>
        <w:tc>
          <w:tcPr>
            <w:tcW w:w="1746" w:type="dxa"/>
            <w:tcBorders>
              <w:left w:val="single" w:color="auto" w:sz="4" w:space="0"/>
            </w:tcBorders>
          </w:tcPr>
          <w:p w14:paraId="1ACECAA7">
            <w:pPr>
              <w:jc w:val="center"/>
              <w:rPr>
                <w:rFonts w:ascii="宋体" w:hAnsi="宋体" w:cs="宋体"/>
                <w:color w:val="auto"/>
                <w:sz w:val="24"/>
                <w:highlight w:val="none"/>
              </w:rPr>
            </w:pPr>
          </w:p>
        </w:tc>
      </w:tr>
      <w:tr w14:paraId="0176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77A3AC6">
            <w:pPr>
              <w:jc w:val="center"/>
              <w:rPr>
                <w:rFonts w:ascii="宋体" w:hAnsi="宋体" w:cs="宋体"/>
                <w:color w:val="auto"/>
                <w:sz w:val="24"/>
                <w:highlight w:val="none"/>
              </w:rPr>
            </w:pPr>
            <w:r>
              <w:rPr>
                <w:rFonts w:hint="eastAsia" w:ascii="宋体" w:hAnsi="宋体" w:cs="宋体"/>
                <w:color w:val="auto"/>
                <w:sz w:val="24"/>
                <w:highlight w:val="none"/>
              </w:rPr>
              <w:t>7</w:t>
            </w:r>
          </w:p>
        </w:tc>
        <w:tc>
          <w:tcPr>
            <w:tcW w:w="2387" w:type="dxa"/>
          </w:tcPr>
          <w:p w14:paraId="6E476C6B">
            <w:pPr>
              <w:jc w:val="center"/>
              <w:rPr>
                <w:rFonts w:ascii="宋体" w:hAnsi="宋体" w:cs="宋体"/>
                <w:color w:val="auto"/>
                <w:sz w:val="24"/>
                <w:highlight w:val="none"/>
              </w:rPr>
            </w:pPr>
          </w:p>
        </w:tc>
        <w:tc>
          <w:tcPr>
            <w:tcW w:w="1462" w:type="dxa"/>
          </w:tcPr>
          <w:p w14:paraId="559F60EE">
            <w:pPr>
              <w:jc w:val="center"/>
              <w:rPr>
                <w:rFonts w:ascii="宋体" w:hAnsi="宋体" w:cs="宋体"/>
                <w:color w:val="auto"/>
                <w:sz w:val="24"/>
                <w:highlight w:val="none"/>
              </w:rPr>
            </w:pPr>
          </w:p>
        </w:tc>
        <w:tc>
          <w:tcPr>
            <w:tcW w:w="2415" w:type="dxa"/>
            <w:tcBorders>
              <w:right w:val="single" w:color="auto" w:sz="4" w:space="0"/>
            </w:tcBorders>
          </w:tcPr>
          <w:p w14:paraId="7AB1EE9C">
            <w:pPr>
              <w:jc w:val="center"/>
              <w:rPr>
                <w:rFonts w:ascii="宋体" w:hAnsi="宋体" w:cs="宋体"/>
                <w:color w:val="auto"/>
                <w:sz w:val="24"/>
                <w:highlight w:val="none"/>
              </w:rPr>
            </w:pPr>
          </w:p>
        </w:tc>
        <w:tc>
          <w:tcPr>
            <w:tcW w:w="1746" w:type="dxa"/>
            <w:tcBorders>
              <w:left w:val="single" w:color="auto" w:sz="4" w:space="0"/>
            </w:tcBorders>
          </w:tcPr>
          <w:p w14:paraId="38B5A112">
            <w:pPr>
              <w:jc w:val="center"/>
              <w:rPr>
                <w:rFonts w:ascii="宋体" w:hAnsi="宋体" w:cs="宋体"/>
                <w:color w:val="auto"/>
                <w:sz w:val="24"/>
                <w:highlight w:val="none"/>
              </w:rPr>
            </w:pPr>
          </w:p>
        </w:tc>
      </w:tr>
      <w:tr w14:paraId="6B658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CFC65AC">
            <w:pPr>
              <w:jc w:val="center"/>
              <w:rPr>
                <w:rFonts w:ascii="宋体" w:hAnsi="宋体" w:cs="宋体"/>
                <w:color w:val="auto"/>
                <w:sz w:val="24"/>
                <w:highlight w:val="none"/>
              </w:rPr>
            </w:pPr>
            <w:r>
              <w:rPr>
                <w:rFonts w:hint="eastAsia" w:ascii="宋体" w:hAnsi="宋体" w:cs="宋体"/>
                <w:color w:val="auto"/>
                <w:sz w:val="24"/>
                <w:highlight w:val="none"/>
              </w:rPr>
              <w:t>8</w:t>
            </w:r>
          </w:p>
        </w:tc>
        <w:tc>
          <w:tcPr>
            <w:tcW w:w="2387" w:type="dxa"/>
          </w:tcPr>
          <w:p w14:paraId="3A42763E">
            <w:pPr>
              <w:jc w:val="center"/>
              <w:rPr>
                <w:rFonts w:ascii="宋体" w:hAnsi="宋体" w:cs="宋体"/>
                <w:color w:val="auto"/>
                <w:sz w:val="24"/>
                <w:highlight w:val="none"/>
              </w:rPr>
            </w:pPr>
          </w:p>
        </w:tc>
        <w:tc>
          <w:tcPr>
            <w:tcW w:w="1462" w:type="dxa"/>
          </w:tcPr>
          <w:p w14:paraId="787A076C">
            <w:pPr>
              <w:jc w:val="center"/>
              <w:rPr>
                <w:rFonts w:ascii="宋体" w:hAnsi="宋体" w:cs="宋体"/>
                <w:color w:val="auto"/>
                <w:sz w:val="24"/>
                <w:highlight w:val="none"/>
              </w:rPr>
            </w:pPr>
          </w:p>
        </w:tc>
        <w:tc>
          <w:tcPr>
            <w:tcW w:w="2415" w:type="dxa"/>
            <w:tcBorders>
              <w:right w:val="single" w:color="auto" w:sz="4" w:space="0"/>
            </w:tcBorders>
          </w:tcPr>
          <w:p w14:paraId="57E39FEB">
            <w:pPr>
              <w:jc w:val="center"/>
              <w:rPr>
                <w:rFonts w:ascii="宋体" w:hAnsi="宋体" w:cs="宋体"/>
                <w:color w:val="auto"/>
                <w:sz w:val="24"/>
                <w:highlight w:val="none"/>
              </w:rPr>
            </w:pPr>
          </w:p>
        </w:tc>
        <w:tc>
          <w:tcPr>
            <w:tcW w:w="1746" w:type="dxa"/>
            <w:tcBorders>
              <w:left w:val="single" w:color="auto" w:sz="4" w:space="0"/>
            </w:tcBorders>
          </w:tcPr>
          <w:p w14:paraId="2E1C5949">
            <w:pPr>
              <w:jc w:val="center"/>
              <w:rPr>
                <w:rFonts w:ascii="宋体" w:hAnsi="宋体" w:cs="宋体"/>
                <w:color w:val="auto"/>
                <w:sz w:val="24"/>
                <w:highlight w:val="none"/>
              </w:rPr>
            </w:pPr>
          </w:p>
        </w:tc>
      </w:tr>
      <w:tr w14:paraId="5523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01C7ABE">
            <w:pPr>
              <w:jc w:val="center"/>
              <w:rPr>
                <w:rFonts w:ascii="宋体" w:hAnsi="宋体" w:cs="宋体"/>
                <w:color w:val="auto"/>
                <w:sz w:val="24"/>
                <w:highlight w:val="none"/>
              </w:rPr>
            </w:pPr>
            <w:r>
              <w:rPr>
                <w:rFonts w:hint="eastAsia" w:ascii="宋体" w:hAnsi="宋体" w:cs="宋体"/>
                <w:color w:val="auto"/>
                <w:sz w:val="24"/>
                <w:highlight w:val="none"/>
              </w:rPr>
              <w:t>合计</w:t>
            </w:r>
          </w:p>
        </w:tc>
        <w:tc>
          <w:tcPr>
            <w:tcW w:w="2387" w:type="dxa"/>
          </w:tcPr>
          <w:p w14:paraId="11922D25">
            <w:pPr>
              <w:jc w:val="center"/>
              <w:rPr>
                <w:rFonts w:ascii="宋体" w:hAnsi="宋体" w:cs="宋体"/>
                <w:color w:val="auto"/>
                <w:sz w:val="24"/>
                <w:highlight w:val="none"/>
              </w:rPr>
            </w:pPr>
          </w:p>
        </w:tc>
        <w:tc>
          <w:tcPr>
            <w:tcW w:w="1462" w:type="dxa"/>
          </w:tcPr>
          <w:p w14:paraId="035591FC">
            <w:pPr>
              <w:jc w:val="center"/>
              <w:rPr>
                <w:rFonts w:ascii="宋体" w:hAnsi="宋体" w:cs="宋体"/>
                <w:color w:val="auto"/>
                <w:sz w:val="24"/>
                <w:highlight w:val="none"/>
              </w:rPr>
            </w:pPr>
          </w:p>
        </w:tc>
        <w:tc>
          <w:tcPr>
            <w:tcW w:w="2415" w:type="dxa"/>
            <w:tcBorders>
              <w:right w:val="single" w:color="auto" w:sz="4" w:space="0"/>
            </w:tcBorders>
          </w:tcPr>
          <w:p w14:paraId="7ABACD25">
            <w:pPr>
              <w:jc w:val="center"/>
              <w:rPr>
                <w:rFonts w:ascii="宋体" w:hAnsi="宋体" w:cs="宋体"/>
                <w:color w:val="auto"/>
                <w:sz w:val="24"/>
                <w:highlight w:val="none"/>
              </w:rPr>
            </w:pPr>
          </w:p>
        </w:tc>
        <w:tc>
          <w:tcPr>
            <w:tcW w:w="1746" w:type="dxa"/>
            <w:tcBorders>
              <w:left w:val="single" w:color="auto" w:sz="4" w:space="0"/>
            </w:tcBorders>
          </w:tcPr>
          <w:p w14:paraId="76DEA73B">
            <w:pPr>
              <w:jc w:val="center"/>
              <w:rPr>
                <w:rFonts w:ascii="宋体" w:hAnsi="宋体" w:cs="宋体"/>
                <w:color w:val="auto"/>
                <w:sz w:val="24"/>
                <w:highlight w:val="none"/>
              </w:rPr>
            </w:pPr>
          </w:p>
        </w:tc>
      </w:tr>
    </w:tbl>
    <w:p w14:paraId="312B9557">
      <w:pPr>
        <w:spacing w:line="360" w:lineRule="auto"/>
        <w:ind w:firstLine="480" w:firstLineChars="200"/>
        <w:rPr>
          <w:rFonts w:ascii="宋体" w:hAnsi="宋体" w:cs="宋体"/>
          <w:color w:val="auto"/>
          <w:sz w:val="24"/>
          <w:highlight w:val="none"/>
        </w:rPr>
      </w:pPr>
    </w:p>
    <w:p w14:paraId="6939094C">
      <w:pPr>
        <w:spacing w:line="360" w:lineRule="auto"/>
        <w:ind w:left="3600" w:leftChars="1800" w:firstLine="480" w:firstLineChars="200"/>
        <w:rPr>
          <w:rFonts w:ascii="宋体" w:hAnsi="宋体" w:cs="宋体"/>
          <w:color w:val="auto"/>
          <w:sz w:val="24"/>
          <w:highlight w:val="none"/>
        </w:rPr>
      </w:pPr>
    </w:p>
    <w:p w14:paraId="1463FA90">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79CF1142">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213CD905">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1AE01F75">
      <w:pPr>
        <w:pStyle w:val="11"/>
        <w:ind w:firstLine="560"/>
        <w:rPr>
          <w:color w:val="auto"/>
          <w:sz w:val="28"/>
          <w:szCs w:val="28"/>
          <w:highlight w:val="none"/>
        </w:rPr>
      </w:pPr>
    </w:p>
    <w:p w14:paraId="1728D1C3">
      <w:pPr>
        <w:snapToGrid w:val="0"/>
        <w:spacing w:before="50" w:afterLines="50"/>
        <w:jc w:val="left"/>
        <w:rPr>
          <w:rFonts w:ascii="宋体" w:hAnsi="宋体" w:cs="宋体"/>
          <w:b/>
          <w:bCs/>
          <w:color w:val="auto"/>
          <w:sz w:val="24"/>
          <w:highlight w:val="none"/>
          <w:lang w:val="zh-CN"/>
        </w:rPr>
      </w:pPr>
      <w:r>
        <w:rPr>
          <w:rFonts w:hint="eastAsia" w:ascii="宋体" w:hAnsi="宋体" w:cs="宋体"/>
          <w:b/>
          <w:bCs/>
          <w:color w:val="auto"/>
          <w:sz w:val="30"/>
          <w:szCs w:val="30"/>
          <w:highlight w:val="none"/>
        </w:rPr>
        <w:br w:type="page"/>
      </w:r>
      <w:r>
        <w:rPr>
          <w:rFonts w:hint="eastAsia" w:ascii="宋体" w:hAnsi="宋体" w:cs="宋体"/>
          <w:b/>
          <w:bCs/>
          <w:color w:val="auto"/>
          <w:sz w:val="24"/>
          <w:highlight w:val="none"/>
          <w:lang w:val="zh-CN"/>
        </w:rPr>
        <w:t>附件五：</w:t>
      </w:r>
    </w:p>
    <w:p w14:paraId="04A13E4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投标项目明细清单</w:t>
      </w:r>
    </w:p>
    <w:p w14:paraId="542E02F3">
      <w:pPr>
        <w:spacing w:line="360" w:lineRule="auto"/>
        <w:ind w:firstLine="480" w:firstLineChars="200"/>
        <w:rPr>
          <w:rFonts w:ascii="宋体" w:hAnsi="宋体" w:cs="宋体"/>
          <w:color w:val="auto"/>
          <w:sz w:val="24"/>
          <w:highlight w:val="none"/>
        </w:rPr>
      </w:pPr>
    </w:p>
    <w:p w14:paraId="0E2DAE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6993E9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3718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C30FF8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9A844D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39365B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6991CE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工作量</w:t>
            </w:r>
          </w:p>
        </w:tc>
      </w:tr>
      <w:tr w14:paraId="0DE5B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522A6DC">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80DCE3F">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033F362">
            <w:pPr>
              <w:snapToGrid w:val="0"/>
              <w:spacing w:before="50" w:after="50"/>
              <w:ind w:left="480" w:hanging="480"/>
              <w:jc w:val="center"/>
              <w:rPr>
                <w:rFonts w:ascii="宋体" w:hAnsi="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58269655">
            <w:pPr>
              <w:snapToGrid w:val="0"/>
              <w:spacing w:before="50" w:after="50"/>
              <w:jc w:val="center"/>
              <w:rPr>
                <w:rFonts w:ascii="宋体" w:hAnsi="宋体" w:cs="宋体"/>
                <w:color w:val="auto"/>
                <w:sz w:val="24"/>
                <w:highlight w:val="none"/>
              </w:rPr>
            </w:pPr>
          </w:p>
        </w:tc>
      </w:tr>
      <w:tr w14:paraId="239B6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9C2C062">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29CAADB">
            <w:pPr>
              <w:snapToGrid w:val="0"/>
              <w:spacing w:before="50" w:after="50"/>
              <w:jc w:val="center"/>
              <w:rPr>
                <w:rFonts w:ascii="宋体" w:hAnsi="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CD75BB7">
            <w:pPr>
              <w:snapToGrid w:val="0"/>
              <w:spacing w:before="50" w:after="50"/>
              <w:ind w:left="480" w:hanging="480"/>
              <w:jc w:val="center"/>
              <w:rPr>
                <w:rFonts w:ascii="宋体" w:hAnsi="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0C249273">
            <w:pPr>
              <w:snapToGrid w:val="0"/>
              <w:spacing w:before="50" w:after="50"/>
              <w:jc w:val="center"/>
              <w:rPr>
                <w:rFonts w:ascii="宋体" w:hAnsi="宋体" w:cs="宋体"/>
                <w:color w:val="auto"/>
                <w:sz w:val="24"/>
                <w:highlight w:val="none"/>
              </w:rPr>
            </w:pPr>
          </w:p>
        </w:tc>
      </w:tr>
    </w:tbl>
    <w:p w14:paraId="0FF8B83E">
      <w:pPr>
        <w:snapToGrid w:val="0"/>
        <w:spacing w:before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注：在填写时，如上表不适合本项目的实际情况，可在确保投标明细内容完整的情况下，根据上表格式自行划表填写。</w:t>
      </w:r>
    </w:p>
    <w:p w14:paraId="68A73C82">
      <w:pPr>
        <w:pStyle w:val="11"/>
        <w:rPr>
          <w:color w:val="auto"/>
          <w:highlight w:val="none"/>
        </w:rPr>
      </w:pPr>
    </w:p>
    <w:p w14:paraId="09CBABD8">
      <w:pPr>
        <w:pStyle w:val="11"/>
        <w:rPr>
          <w:color w:val="auto"/>
          <w:highlight w:val="none"/>
        </w:rPr>
      </w:pPr>
    </w:p>
    <w:p w14:paraId="10E956E8">
      <w:pPr>
        <w:pStyle w:val="11"/>
        <w:rPr>
          <w:color w:val="auto"/>
          <w:highlight w:val="none"/>
        </w:rPr>
      </w:pPr>
    </w:p>
    <w:p w14:paraId="5F61A87D">
      <w:pPr>
        <w:snapToGrid w:val="0"/>
        <w:spacing w:beforeLines="50"/>
        <w:rPr>
          <w:rFonts w:ascii="宋体" w:hAnsi="宋体" w:cs="宋体"/>
          <w:color w:val="auto"/>
          <w:sz w:val="24"/>
          <w:highlight w:val="none"/>
        </w:rPr>
      </w:pPr>
    </w:p>
    <w:p w14:paraId="0B59EF55">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702D7AAF">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12F79786">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3E2382F6">
      <w:pPr>
        <w:snapToGrid w:val="0"/>
        <w:spacing w:before="50" w:after="50"/>
        <w:rPr>
          <w:rFonts w:ascii="宋体" w:hAnsi="宋体" w:cs="宋体"/>
          <w:color w:val="auto"/>
          <w:spacing w:val="20"/>
          <w:sz w:val="24"/>
          <w:highlight w:val="none"/>
        </w:rPr>
      </w:pPr>
    </w:p>
    <w:p w14:paraId="607E89DF">
      <w:pPr>
        <w:snapToGrid w:val="0"/>
        <w:spacing w:before="50" w:after="50"/>
        <w:rPr>
          <w:rFonts w:ascii="宋体" w:hAnsi="宋体" w:cs="宋体"/>
          <w:color w:val="auto"/>
          <w:spacing w:val="20"/>
          <w:sz w:val="30"/>
          <w:szCs w:val="30"/>
          <w:highlight w:val="none"/>
        </w:rPr>
      </w:pPr>
    </w:p>
    <w:p w14:paraId="0E41C801">
      <w:pPr>
        <w:pStyle w:val="11"/>
        <w:ind w:firstLine="680"/>
        <w:rPr>
          <w:color w:val="auto"/>
          <w:spacing w:val="20"/>
          <w:sz w:val="30"/>
          <w:szCs w:val="30"/>
          <w:highlight w:val="none"/>
        </w:rPr>
      </w:pPr>
    </w:p>
    <w:p w14:paraId="6577D493">
      <w:pPr>
        <w:pStyle w:val="11"/>
        <w:ind w:firstLine="680"/>
        <w:rPr>
          <w:color w:val="auto"/>
          <w:spacing w:val="20"/>
          <w:sz w:val="30"/>
          <w:szCs w:val="30"/>
          <w:highlight w:val="none"/>
        </w:rPr>
      </w:pPr>
    </w:p>
    <w:p w14:paraId="72D88DA1">
      <w:pPr>
        <w:pStyle w:val="11"/>
        <w:ind w:firstLine="680"/>
        <w:rPr>
          <w:color w:val="auto"/>
          <w:spacing w:val="20"/>
          <w:sz w:val="30"/>
          <w:szCs w:val="30"/>
          <w:highlight w:val="none"/>
        </w:rPr>
      </w:pPr>
    </w:p>
    <w:p w14:paraId="6FCBA0C7">
      <w:pPr>
        <w:pStyle w:val="11"/>
        <w:ind w:firstLine="680"/>
        <w:rPr>
          <w:color w:val="auto"/>
          <w:spacing w:val="20"/>
          <w:sz w:val="30"/>
          <w:szCs w:val="30"/>
          <w:highlight w:val="none"/>
        </w:rPr>
      </w:pPr>
    </w:p>
    <w:p w14:paraId="67C18270">
      <w:pPr>
        <w:rPr>
          <w:color w:val="auto"/>
          <w:sz w:val="24"/>
          <w:szCs w:val="18"/>
          <w:highlight w:val="none"/>
        </w:rPr>
      </w:pPr>
      <w:bookmarkStart w:id="165" w:name="_Toc2823"/>
      <w:r>
        <w:rPr>
          <w:rFonts w:hint="eastAsia"/>
          <w:color w:val="auto"/>
          <w:sz w:val="24"/>
          <w:szCs w:val="18"/>
          <w:highlight w:val="none"/>
        </w:rPr>
        <w:br w:type="page"/>
      </w:r>
    </w:p>
    <w:p w14:paraId="75AF9632">
      <w:pPr>
        <w:rPr>
          <w:b/>
          <w:bCs/>
          <w:color w:val="auto"/>
          <w:sz w:val="24"/>
          <w:szCs w:val="32"/>
          <w:highlight w:val="none"/>
        </w:rPr>
      </w:pPr>
      <w:r>
        <w:rPr>
          <w:rFonts w:hint="eastAsia"/>
          <w:b/>
          <w:bCs/>
          <w:color w:val="auto"/>
          <w:sz w:val="24"/>
          <w:szCs w:val="32"/>
          <w:highlight w:val="none"/>
        </w:rPr>
        <w:t>附件六：</w:t>
      </w:r>
    </w:p>
    <w:p w14:paraId="7C980B01">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技术响应及建议表</w:t>
      </w:r>
      <w:bookmarkEnd w:id="165"/>
    </w:p>
    <w:p w14:paraId="63B697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5E7A2C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7B4F15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5600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513546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14:paraId="71F2BA7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80" w:type="dxa"/>
            <w:vAlign w:val="center"/>
          </w:tcPr>
          <w:p w14:paraId="6F44CBF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2520" w:type="dxa"/>
            <w:vAlign w:val="center"/>
          </w:tcPr>
          <w:p w14:paraId="012569C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53" w:type="dxa"/>
            <w:vAlign w:val="center"/>
          </w:tcPr>
          <w:p w14:paraId="6452826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5C2D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B4EDC05">
            <w:pPr>
              <w:snapToGrid w:val="0"/>
              <w:spacing w:before="50" w:after="50"/>
              <w:jc w:val="center"/>
              <w:rPr>
                <w:rFonts w:ascii="宋体" w:hAnsi="宋体" w:cs="宋体"/>
                <w:color w:val="auto"/>
                <w:sz w:val="24"/>
                <w:highlight w:val="none"/>
              </w:rPr>
            </w:pPr>
          </w:p>
        </w:tc>
        <w:tc>
          <w:tcPr>
            <w:tcW w:w="1440" w:type="dxa"/>
            <w:vAlign w:val="center"/>
          </w:tcPr>
          <w:p w14:paraId="584AE22C">
            <w:pPr>
              <w:snapToGrid w:val="0"/>
              <w:spacing w:before="50" w:after="50"/>
              <w:jc w:val="center"/>
              <w:rPr>
                <w:rFonts w:ascii="宋体" w:hAnsi="宋体" w:cs="宋体"/>
                <w:color w:val="auto"/>
                <w:sz w:val="24"/>
                <w:highlight w:val="none"/>
              </w:rPr>
            </w:pPr>
          </w:p>
        </w:tc>
        <w:tc>
          <w:tcPr>
            <w:tcW w:w="1980" w:type="dxa"/>
            <w:vAlign w:val="center"/>
          </w:tcPr>
          <w:p w14:paraId="0F28DD9E">
            <w:pPr>
              <w:snapToGrid w:val="0"/>
              <w:spacing w:before="50" w:after="50"/>
              <w:jc w:val="center"/>
              <w:rPr>
                <w:rFonts w:ascii="宋体" w:hAnsi="宋体" w:cs="宋体"/>
                <w:color w:val="auto"/>
                <w:sz w:val="24"/>
                <w:highlight w:val="none"/>
              </w:rPr>
            </w:pPr>
          </w:p>
        </w:tc>
        <w:tc>
          <w:tcPr>
            <w:tcW w:w="2520" w:type="dxa"/>
            <w:vAlign w:val="center"/>
          </w:tcPr>
          <w:p w14:paraId="5314D28F">
            <w:pPr>
              <w:snapToGrid w:val="0"/>
              <w:spacing w:before="50" w:after="50"/>
              <w:jc w:val="center"/>
              <w:rPr>
                <w:rFonts w:ascii="宋体" w:hAnsi="宋体" w:cs="宋体"/>
                <w:color w:val="auto"/>
                <w:sz w:val="24"/>
                <w:highlight w:val="none"/>
              </w:rPr>
            </w:pPr>
          </w:p>
        </w:tc>
        <w:tc>
          <w:tcPr>
            <w:tcW w:w="1953" w:type="dxa"/>
            <w:vAlign w:val="center"/>
          </w:tcPr>
          <w:p w14:paraId="53CD3957">
            <w:pPr>
              <w:snapToGrid w:val="0"/>
              <w:spacing w:before="50" w:after="50"/>
              <w:jc w:val="center"/>
              <w:rPr>
                <w:rFonts w:ascii="宋体" w:hAnsi="宋体" w:cs="宋体"/>
                <w:color w:val="auto"/>
                <w:sz w:val="24"/>
                <w:highlight w:val="none"/>
              </w:rPr>
            </w:pPr>
          </w:p>
        </w:tc>
      </w:tr>
      <w:tr w14:paraId="369A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792E381">
            <w:pPr>
              <w:snapToGrid w:val="0"/>
              <w:spacing w:before="50" w:after="50"/>
              <w:jc w:val="center"/>
              <w:rPr>
                <w:rFonts w:ascii="宋体" w:hAnsi="宋体" w:cs="宋体"/>
                <w:color w:val="auto"/>
                <w:sz w:val="24"/>
                <w:highlight w:val="none"/>
              </w:rPr>
            </w:pPr>
          </w:p>
        </w:tc>
        <w:tc>
          <w:tcPr>
            <w:tcW w:w="1440" w:type="dxa"/>
            <w:vAlign w:val="center"/>
          </w:tcPr>
          <w:p w14:paraId="4BB3F230">
            <w:pPr>
              <w:snapToGrid w:val="0"/>
              <w:spacing w:before="50" w:after="50"/>
              <w:jc w:val="center"/>
              <w:rPr>
                <w:rFonts w:ascii="宋体" w:hAnsi="宋体" w:cs="宋体"/>
                <w:color w:val="auto"/>
                <w:sz w:val="24"/>
                <w:highlight w:val="none"/>
              </w:rPr>
            </w:pPr>
          </w:p>
        </w:tc>
        <w:tc>
          <w:tcPr>
            <w:tcW w:w="1980" w:type="dxa"/>
            <w:vAlign w:val="center"/>
          </w:tcPr>
          <w:p w14:paraId="1B6377AB">
            <w:pPr>
              <w:snapToGrid w:val="0"/>
              <w:spacing w:before="50" w:after="50"/>
              <w:jc w:val="center"/>
              <w:rPr>
                <w:rFonts w:ascii="宋体" w:hAnsi="宋体" w:cs="宋体"/>
                <w:color w:val="auto"/>
                <w:sz w:val="24"/>
                <w:highlight w:val="none"/>
              </w:rPr>
            </w:pPr>
          </w:p>
        </w:tc>
        <w:tc>
          <w:tcPr>
            <w:tcW w:w="2520" w:type="dxa"/>
            <w:vAlign w:val="center"/>
          </w:tcPr>
          <w:p w14:paraId="0AA59225">
            <w:pPr>
              <w:snapToGrid w:val="0"/>
              <w:spacing w:before="50" w:after="50"/>
              <w:jc w:val="center"/>
              <w:rPr>
                <w:rFonts w:ascii="宋体" w:hAnsi="宋体" w:cs="宋体"/>
                <w:color w:val="auto"/>
                <w:sz w:val="24"/>
                <w:highlight w:val="none"/>
              </w:rPr>
            </w:pPr>
          </w:p>
        </w:tc>
        <w:tc>
          <w:tcPr>
            <w:tcW w:w="1953" w:type="dxa"/>
            <w:vAlign w:val="center"/>
          </w:tcPr>
          <w:p w14:paraId="6ADFBA1B">
            <w:pPr>
              <w:snapToGrid w:val="0"/>
              <w:spacing w:before="50" w:after="50"/>
              <w:jc w:val="center"/>
              <w:rPr>
                <w:rFonts w:ascii="宋体" w:hAnsi="宋体" w:cs="宋体"/>
                <w:color w:val="auto"/>
                <w:sz w:val="24"/>
                <w:highlight w:val="none"/>
              </w:rPr>
            </w:pPr>
          </w:p>
        </w:tc>
      </w:tr>
      <w:tr w14:paraId="2EA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0209F1B">
            <w:pPr>
              <w:snapToGrid w:val="0"/>
              <w:spacing w:before="50" w:after="50"/>
              <w:jc w:val="center"/>
              <w:rPr>
                <w:rFonts w:ascii="宋体" w:hAnsi="宋体" w:cs="宋体"/>
                <w:color w:val="auto"/>
                <w:sz w:val="24"/>
                <w:highlight w:val="none"/>
              </w:rPr>
            </w:pPr>
          </w:p>
        </w:tc>
        <w:tc>
          <w:tcPr>
            <w:tcW w:w="1440" w:type="dxa"/>
            <w:vAlign w:val="center"/>
          </w:tcPr>
          <w:p w14:paraId="07AAC22A">
            <w:pPr>
              <w:snapToGrid w:val="0"/>
              <w:spacing w:before="50" w:after="50"/>
              <w:jc w:val="center"/>
              <w:rPr>
                <w:rFonts w:ascii="宋体" w:hAnsi="宋体" w:cs="宋体"/>
                <w:color w:val="auto"/>
                <w:sz w:val="24"/>
                <w:highlight w:val="none"/>
              </w:rPr>
            </w:pPr>
          </w:p>
        </w:tc>
        <w:tc>
          <w:tcPr>
            <w:tcW w:w="1980" w:type="dxa"/>
            <w:vAlign w:val="center"/>
          </w:tcPr>
          <w:p w14:paraId="6B54A355">
            <w:pPr>
              <w:snapToGrid w:val="0"/>
              <w:spacing w:before="50" w:after="50"/>
              <w:jc w:val="center"/>
              <w:rPr>
                <w:rFonts w:ascii="宋体" w:hAnsi="宋体" w:cs="宋体"/>
                <w:color w:val="auto"/>
                <w:sz w:val="24"/>
                <w:highlight w:val="none"/>
              </w:rPr>
            </w:pPr>
          </w:p>
        </w:tc>
        <w:tc>
          <w:tcPr>
            <w:tcW w:w="2520" w:type="dxa"/>
            <w:vAlign w:val="center"/>
          </w:tcPr>
          <w:p w14:paraId="738F1B4D">
            <w:pPr>
              <w:snapToGrid w:val="0"/>
              <w:spacing w:before="50" w:after="50"/>
              <w:jc w:val="center"/>
              <w:rPr>
                <w:rFonts w:ascii="宋体" w:hAnsi="宋体" w:cs="宋体"/>
                <w:color w:val="auto"/>
                <w:sz w:val="24"/>
                <w:highlight w:val="none"/>
              </w:rPr>
            </w:pPr>
          </w:p>
        </w:tc>
        <w:tc>
          <w:tcPr>
            <w:tcW w:w="1953" w:type="dxa"/>
            <w:vAlign w:val="center"/>
          </w:tcPr>
          <w:p w14:paraId="153E5AE0">
            <w:pPr>
              <w:snapToGrid w:val="0"/>
              <w:spacing w:before="50" w:after="50"/>
              <w:jc w:val="center"/>
              <w:rPr>
                <w:rFonts w:ascii="宋体" w:hAnsi="宋体" w:cs="宋体"/>
                <w:color w:val="auto"/>
                <w:sz w:val="24"/>
                <w:highlight w:val="none"/>
              </w:rPr>
            </w:pPr>
          </w:p>
        </w:tc>
      </w:tr>
      <w:tr w14:paraId="5D39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74AF5B7">
            <w:pPr>
              <w:snapToGrid w:val="0"/>
              <w:spacing w:before="50" w:after="50"/>
              <w:jc w:val="center"/>
              <w:rPr>
                <w:rFonts w:ascii="宋体" w:hAnsi="宋体" w:cs="宋体"/>
                <w:color w:val="auto"/>
                <w:sz w:val="24"/>
                <w:highlight w:val="none"/>
              </w:rPr>
            </w:pPr>
          </w:p>
        </w:tc>
        <w:tc>
          <w:tcPr>
            <w:tcW w:w="1440" w:type="dxa"/>
            <w:vAlign w:val="center"/>
          </w:tcPr>
          <w:p w14:paraId="2F98C24E">
            <w:pPr>
              <w:snapToGrid w:val="0"/>
              <w:spacing w:before="50" w:after="50"/>
              <w:jc w:val="center"/>
              <w:rPr>
                <w:rFonts w:ascii="宋体" w:hAnsi="宋体" w:cs="宋体"/>
                <w:color w:val="auto"/>
                <w:sz w:val="24"/>
                <w:highlight w:val="none"/>
              </w:rPr>
            </w:pPr>
          </w:p>
        </w:tc>
        <w:tc>
          <w:tcPr>
            <w:tcW w:w="1980" w:type="dxa"/>
            <w:vAlign w:val="center"/>
          </w:tcPr>
          <w:p w14:paraId="28740E19">
            <w:pPr>
              <w:snapToGrid w:val="0"/>
              <w:spacing w:before="50" w:after="50"/>
              <w:jc w:val="center"/>
              <w:rPr>
                <w:rFonts w:ascii="宋体" w:hAnsi="宋体" w:cs="宋体"/>
                <w:color w:val="auto"/>
                <w:sz w:val="24"/>
                <w:highlight w:val="none"/>
              </w:rPr>
            </w:pPr>
          </w:p>
        </w:tc>
        <w:tc>
          <w:tcPr>
            <w:tcW w:w="2520" w:type="dxa"/>
            <w:vAlign w:val="center"/>
          </w:tcPr>
          <w:p w14:paraId="76D27556">
            <w:pPr>
              <w:snapToGrid w:val="0"/>
              <w:spacing w:before="50" w:after="50"/>
              <w:jc w:val="center"/>
              <w:rPr>
                <w:rFonts w:ascii="宋体" w:hAnsi="宋体" w:cs="宋体"/>
                <w:color w:val="auto"/>
                <w:sz w:val="24"/>
                <w:highlight w:val="none"/>
              </w:rPr>
            </w:pPr>
          </w:p>
        </w:tc>
        <w:tc>
          <w:tcPr>
            <w:tcW w:w="1953" w:type="dxa"/>
            <w:vAlign w:val="center"/>
          </w:tcPr>
          <w:p w14:paraId="36D30F63">
            <w:pPr>
              <w:snapToGrid w:val="0"/>
              <w:spacing w:before="50" w:after="50"/>
              <w:jc w:val="center"/>
              <w:rPr>
                <w:rFonts w:ascii="宋体" w:hAnsi="宋体" w:cs="宋体"/>
                <w:color w:val="auto"/>
                <w:sz w:val="24"/>
                <w:highlight w:val="none"/>
              </w:rPr>
            </w:pPr>
          </w:p>
        </w:tc>
      </w:tr>
      <w:tr w14:paraId="4F0D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5547825">
            <w:pPr>
              <w:snapToGrid w:val="0"/>
              <w:spacing w:before="50" w:after="50"/>
              <w:jc w:val="center"/>
              <w:rPr>
                <w:rFonts w:ascii="宋体" w:hAnsi="宋体" w:cs="宋体"/>
                <w:color w:val="auto"/>
                <w:sz w:val="24"/>
                <w:highlight w:val="none"/>
              </w:rPr>
            </w:pPr>
          </w:p>
        </w:tc>
        <w:tc>
          <w:tcPr>
            <w:tcW w:w="1440" w:type="dxa"/>
            <w:vAlign w:val="center"/>
          </w:tcPr>
          <w:p w14:paraId="07B9D9A7">
            <w:pPr>
              <w:snapToGrid w:val="0"/>
              <w:spacing w:before="50" w:after="50"/>
              <w:jc w:val="center"/>
              <w:rPr>
                <w:rFonts w:ascii="宋体" w:hAnsi="宋体" w:cs="宋体"/>
                <w:color w:val="auto"/>
                <w:sz w:val="24"/>
                <w:highlight w:val="none"/>
              </w:rPr>
            </w:pPr>
          </w:p>
        </w:tc>
        <w:tc>
          <w:tcPr>
            <w:tcW w:w="1980" w:type="dxa"/>
            <w:vAlign w:val="center"/>
          </w:tcPr>
          <w:p w14:paraId="1A001541">
            <w:pPr>
              <w:snapToGrid w:val="0"/>
              <w:spacing w:before="50" w:after="50"/>
              <w:jc w:val="center"/>
              <w:rPr>
                <w:rFonts w:ascii="宋体" w:hAnsi="宋体" w:cs="宋体"/>
                <w:color w:val="auto"/>
                <w:sz w:val="24"/>
                <w:highlight w:val="none"/>
              </w:rPr>
            </w:pPr>
          </w:p>
        </w:tc>
        <w:tc>
          <w:tcPr>
            <w:tcW w:w="2520" w:type="dxa"/>
            <w:vAlign w:val="center"/>
          </w:tcPr>
          <w:p w14:paraId="698C9087">
            <w:pPr>
              <w:snapToGrid w:val="0"/>
              <w:spacing w:before="50" w:after="50"/>
              <w:jc w:val="center"/>
              <w:rPr>
                <w:rFonts w:ascii="宋体" w:hAnsi="宋体" w:cs="宋体"/>
                <w:color w:val="auto"/>
                <w:sz w:val="24"/>
                <w:highlight w:val="none"/>
              </w:rPr>
            </w:pPr>
          </w:p>
        </w:tc>
        <w:tc>
          <w:tcPr>
            <w:tcW w:w="1953" w:type="dxa"/>
            <w:vAlign w:val="center"/>
          </w:tcPr>
          <w:p w14:paraId="7E47638E">
            <w:pPr>
              <w:snapToGrid w:val="0"/>
              <w:spacing w:before="50" w:after="50"/>
              <w:jc w:val="center"/>
              <w:rPr>
                <w:rFonts w:ascii="宋体" w:hAnsi="宋体" w:cs="宋体"/>
                <w:color w:val="auto"/>
                <w:sz w:val="24"/>
                <w:highlight w:val="none"/>
              </w:rPr>
            </w:pPr>
          </w:p>
        </w:tc>
      </w:tr>
      <w:tr w14:paraId="43D7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5EECDB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投标建议</w:t>
            </w:r>
          </w:p>
        </w:tc>
        <w:tc>
          <w:tcPr>
            <w:tcW w:w="6453" w:type="dxa"/>
            <w:gridSpan w:val="3"/>
            <w:vAlign w:val="center"/>
          </w:tcPr>
          <w:p w14:paraId="76774C7E">
            <w:pPr>
              <w:spacing w:line="360" w:lineRule="auto"/>
              <w:jc w:val="center"/>
              <w:rPr>
                <w:rFonts w:ascii="宋体" w:hAnsi="宋体" w:cs="宋体"/>
                <w:color w:val="auto"/>
                <w:sz w:val="24"/>
                <w:highlight w:val="none"/>
              </w:rPr>
            </w:pPr>
          </w:p>
        </w:tc>
      </w:tr>
    </w:tbl>
    <w:p w14:paraId="5D994C07">
      <w:pPr>
        <w:snapToGrid w:val="0"/>
        <w:spacing w:line="360" w:lineRule="auto"/>
        <w:rPr>
          <w:rFonts w:ascii="宋体" w:hAnsi="宋体" w:cs="宋体"/>
          <w:color w:val="auto"/>
          <w:sz w:val="24"/>
          <w:highlight w:val="none"/>
        </w:rPr>
      </w:pPr>
    </w:p>
    <w:p w14:paraId="53624428">
      <w:pPr>
        <w:pStyle w:val="15"/>
        <w:spacing w:line="360" w:lineRule="auto"/>
        <w:rPr>
          <w:rFonts w:hAnsi="宋体"/>
          <w:color w:val="auto"/>
          <w:sz w:val="24"/>
          <w:highlight w:val="none"/>
        </w:rPr>
      </w:pPr>
      <w:r>
        <w:rPr>
          <w:rFonts w:hint="eastAsia" w:hAnsi="宋体"/>
          <w:color w:val="auto"/>
          <w:sz w:val="24"/>
          <w:highlight w:val="none"/>
        </w:rPr>
        <w:t>注：名称可基于项目清单根据供应商实际情况调整。</w:t>
      </w:r>
    </w:p>
    <w:p w14:paraId="782E31B5">
      <w:pPr>
        <w:rPr>
          <w:rFonts w:ascii="宋体" w:hAnsi="宋体" w:cs="宋体"/>
          <w:color w:val="auto"/>
          <w:sz w:val="24"/>
          <w:highlight w:val="none"/>
        </w:rPr>
      </w:pPr>
    </w:p>
    <w:p w14:paraId="2DABF1F3">
      <w:pPr>
        <w:pStyle w:val="11"/>
        <w:rPr>
          <w:color w:val="auto"/>
          <w:highlight w:val="none"/>
        </w:rPr>
      </w:pPr>
    </w:p>
    <w:p w14:paraId="6E997B25">
      <w:pPr>
        <w:snapToGrid w:val="0"/>
        <w:spacing w:line="360" w:lineRule="auto"/>
        <w:rPr>
          <w:rFonts w:ascii="宋体" w:hAnsi="宋体" w:cs="宋体"/>
          <w:color w:val="auto"/>
          <w:sz w:val="24"/>
          <w:highlight w:val="none"/>
        </w:rPr>
      </w:pPr>
    </w:p>
    <w:p w14:paraId="0CEF8356">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467A6399">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4833CA1F">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6354D713">
      <w:pPr>
        <w:rPr>
          <w:color w:val="auto"/>
          <w:sz w:val="24"/>
          <w:szCs w:val="18"/>
          <w:highlight w:val="none"/>
        </w:rPr>
      </w:pPr>
      <w:r>
        <w:rPr>
          <w:rFonts w:hint="eastAsia"/>
          <w:color w:val="auto"/>
          <w:sz w:val="24"/>
          <w:szCs w:val="18"/>
          <w:highlight w:val="none"/>
        </w:rPr>
        <w:br w:type="page"/>
      </w:r>
    </w:p>
    <w:p w14:paraId="1E3A310B">
      <w:pPr>
        <w:rPr>
          <w:b/>
          <w:bCs/>
          <w:color w:val="auto"/>
          <w:sz w:val="24"/>
          <w:szCs w:val="32"/>
          <w:highlight w:val="none"/>
        </w:rPr>
      </w:pPr>
      <w:r>
        <w:rPr>
          <w:rFonts w:hint="eastAsia"/>
          <w:b/>
          <w:bCs/>
          <w:color w:val="auto"/>
          <w:sz w:val="24"/>
          <w:szCs w:val="32"/>
          <w:highlight w:val="none"/>
        </w:rPr>
        <w:t>附件七：</w:t>
      </w:r>
    </w:p>
    <w:p w14:paraId="5D7E147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14:paraId="6E05A671">
      <w:pPr>
        <w:snapToGrid w:val="0"/>
        <w:spacing w:before="50"/>
        <w:jc w:val="center"/>
        <w:rPr>
          <w:rFonts w:ascii="宋体" w:hAnsi="宋体" w:cs="宋体"/>
          <w:b/>
          <w:color w:val="auto"/>
          <w:sz w:val="32"/>
          <w:szCs w:val="32"/>
          <w:highlight w:val="none"/>
        </w:rPr>
      </w:pPr>
    </w:p>
    <w:p w14:paraId="60B2FF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68BA27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7"/>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1AFC5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5249CA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14E18BC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B38773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是否</w:t>
            </w:r>
          </w:p>
          <w:p w14:paraId="33308FB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0BA6ADD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供应商的承诺或说明</w:t>
            </w:r>
          </w:p>
        </w:tc>
      </w:tr>
      <w:tr w14:paraId="6F71A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7C60B8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11780872">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E3447C">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7A89AF4E">
            <w:pPr>
              <w:snapToGrid w:val="0"/>
              <w:spacing w:before="50" w:after="50"/>
              <w:jc w:val="center"/>
              <w:rPr>
                <w:rFonts w:ascii="宋体" w:hAnsi="宋体" w:cs="宋体"/>
                <w:color w:val="auto"/>
                <w:sz w:val="24"/>
                <w:highlight w:val="none"/>
              </w:rPr>
            </w:pPr>
          </w:p>
        </w:tc>
      </w:tr>
      <w:tr w14:paraId="673F5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C490FC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4975C6D5">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2FB2B1">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5219A05">
            <w:pPr>
              <w:snapToGrid w:val="0"/>
              <w:spacing w:before="50" w:after="50"/>
              <w:jc w:val="center"/>
              <w:rPr>
                <w:rFonts w:ascii="宋体" w:hAnsi="宋体" w:cs="宋体"/>
                <w:color w:val="auto"/>
                <w:sz w:val="24"/>
                <w:highlight w:val="none"/>
              </w:rPr>
            </w:pPr>
          </w:p>
        </w:tc>
      </w:tr>
      <w:tr w14:paraId="65185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74C2102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2A01736C">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C10743">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92492F1">
            <w:pPr>
              <w:snapToGrid w:val="0"/>
              <w:spacing w:before="50" w:after="50"/>
              <w:jc w:val="center"/>
              <w:rPr>
                <w:rFonts w:ascii="宋体" w:hAnsi="宋体" w:cs="宋体"/>
                <w:color w:val="auto"/>
                <w:sz w:val="24"/>
                <w:highlight w:val="none"/>
              </w:rPr>
            </w:pPr>
          </w:p>
        </w:tc>
      </w:tr>
      <w:tr w14:paraId="7EC52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D560C9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537EB66D">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631E86">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BA5D3D7">
            <w:pPr>
              <w:snapToGrid w:val="0"/>
              <w:spacing w:before="50" w:after="50"/>
              <w:jc w:val="center"/>
              <w:rPr>
                <w:rFonts w:ascii="宋体" w:hAnsi="宋体" w:cs="宋体"/>
                <w:color w:val="auto"/>
                <w:sz w:val="24"/>
                <w:highlight w:val="none"/>
              </w:rPr>
            </w:pPr>
          </w:p>
        </w:tc>
      </w:tr>
      <w:tr w14:paraId="46C4D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0EF1B7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089239F6">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070DCA">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9D3BA0D">
            <w:pPr>
              <w:snapToGrid w:val="0"/>
              <w:spacing w:before="50" w:after="50"/>
              <w:jc w:val="center"/>
              <w:rPr>
                <w:rFonts w:ascii="宋体" w:hAnsi="宋体" w:cs="宋体"/>
                <w:color w:val="auto"/>
                <w:sz w:val="24"/>
                <w:highlight w:val="none"/>
              </w:rPr>
            </w:pPr>
          </w:p>
        </w:tc>
      </w:tr>
      <w:tr w14:paraId="7CFEA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C8F350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1C046E34">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250D5E">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881279C">
            <w:pPr>
              <w:snapToGrid w:val="0"/>
              <w:spacing w:before="50" w:after="50"/>
              <w:jc w:val="center"/>
              <w:rPr>
                <w:rFonts w:ascii="宋体" w:hAnsi="宋体" w:cs="宋体"/>
                <w:color w:val="auto"/>
                <w:sz w:val="24"/>
                <w:highlight w:val="none"/>
              </w:rPr>
            </w:pPr>
          </w:p>
        </w:tc>
      </w:tr>
      <w:tr w14:paraId="78FB6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BF7CF6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53800BE9">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C56F8A">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E0F81E5">
            <w:pPr>
              <w:snapToGrid w:val="0"/>
              <w:spacing w:before="50" w:after="50"/>
              <w:jc w:val="center"/>
              <w:rPr>
                <w:rFonts w:ascii="宋体" w:hAnsi="宋体" w:cs="宋体"/>
                <w:color w:val="auto"/>
                <w:sz w:val="24"/>
                <w:highlight w:val="none"/>
              </w:rPr>
            </w:pPr>
          </w:p>
        </w:tc>
      </w:tr>
      <w:tr w14:paraId="6B017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592E18EE">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7A3664E4">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5C2A0C">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B1F77FD">
            <w:pPr>
              <w:snapToGrid w:val="0"/>
              <w:spacing w:before="50" w:after="50"/>
              <w:jc w:val="center"/>
              <w:rPr>
                <w:rFonts w:ascii="宋体" w:hAnsi="宋体" w:cs="宋体"/>
                <w:color w:val="auto"/>
                <w:sz w:val="24"/>
                <w:highlight w:val="none"/>
              </w:rPr>
            </w:pPr>
          </w:p>
        </w:tc>
      </w:tr>
      <w:tr w14:paraId="0CA00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AAA1E46">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D84C9B3">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4D2BFB">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0A7A4229">
            <w:pPr>
              <w:snapToGrid w:val="0"/>
              <w:spacing w:before="50" w:after="50"/>
              <w:jc w:val="center"/>
              <w:rPr>
                <w:rFonts w:ascii="宋体" w:hAnsi="宋体" w:cs="宋体"/>
                <w:color w:val="auto"/>
                <w:sz w:val="24"/>
                <w:highlight w:val="none"/>
              </w:rPr>
            </w:pPr>
          </w:p>
        </w:tc>
      </w:tr>
      <w:tr w14:paraId="0B01A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624E6229">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19DF5D1">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63929C">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7BF7591">
            <w:pPr>
              <w:snapToGrid w:val="0"/>
              <w:spacing w:before="50" w:after="50"/>
              <w:jc w:val="center"/>
              <w:rPr>
                <w:rFonts w:ascii="宋体" w:hAnsi="宋体" w:cs="宋体"/>
                <w:color w:val="auto"/>
                <w:sz w:val="24"/>
                <w:highlight w:val="none"/>
              </w:rPr>
            </w:pPr>
          </w:p>
        </w:tc>
      </w:tr>
      <w:tr w14:paraId="4233B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447D358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4740DDBA">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74CF45">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28E8DB2">
            <w:pPr>
              <w:snapToGrid w:val="0"/>
              <w:spacing w:before="50" w:after="50"/>
              <w:jc w:val="center"/>
              <w:rPr>
                <w:rFonts w:ascii="宋体" w:hAnsi="宋体" w:cs="宋体"/>
                <w:color w:val="auto"/>
                <w:sz w:val="24"/>
                <w:highlight w:val="none"/>
              </w:rPr>
            </w:pPr>
          </w:p>
        </w:tc>
      </w:tr>
    </w:tbl>
    <w:p w14:paraId="4DFDF44E">
      <w:pPr>
        <w:spacing w:line="360" w:lineRule="auto"/>
        <w:ind w:left="3600" w:leftChars="1800" w:firstLine="480" w:firstLineChars="200"/>
        <w:rPr>
          <w:rFonts w:ascii="宋体" w:hAnsi="宋体" w:cs="宋体"/>
          <w:color w:val="auto"/>
          <w:sz w:val="24"/>
          <w:highlight w:val="none"/>
        </w:rPr>
      </w:pPr>
    </w:p>
    <w:p w14:paraId="3E7A4E78">
      <w:pPr>
        <w:spacing w:line="360" w:lineRule="auto"/>
        <w:ind w:left="3600" w:leftChars="1800" w:firstLine="480" w:firstLineChars="200"/>
        <w:rPr>
          <w:rFonts w:ascii="宋体" w:hAnsi="宋体" w:cs="宋体"/>
          <w:color w:val="auto"/>
          <w:sz w:val="24"/>
          <w:highlight w:val="none"/>
        </w:rPr>
      </w:pPr>
    </w:p>
    <w:p w14:paraId="07C694D7">
      <w:pPr>
        <w:spacing w:line="360" w:lineRule="auto"/>
        <w:ind w:left="3600" w:leftChars="1800" w:firstLine="480" w:firstLineChars="200"/>
        <w:rPr>
          <w:rFonts w:ascii="宋体" w:hAnsi="宋体" w:cs="宋体"/>
          <w:color w:val="auto"/>
          <w:sz w:val="24"/>
          <w:highlight w:val="none"/>
        </w:rPr>
      </w:pPr>
    </w:p>
    <w:p w14:paraId="2AFC31D4">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49FFF6AE">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0F7F107E">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2411989F">
      <w:pPr>
        <w:snapToGrid w:val="0"/>
        <w:spacing w:before="50" w:after="50"/>
        <w:rPr>
          <w:rFonts w:ascii="宋体" w:hAnsi="宋体" w:cs="宋体"/>
          <w:b/>
          <w:bCs/>
          <w:color w:val="auto"/>
          <w:sz w:val="24"/>
          <w:highlight w:val="none"/>
          <w:lang w:val="zh-CN"/>
        </w:rPr>
      </w:pPr>
      <w:r>
        <w:rPr>
          <w:rFonts w:hint="eastAsia" w:ascii="宋体" w:hAnsi="宋体" w:cs="宋体"/>
          <w:color w:val="auto"/>
          <w:sz w:val="24"/>
          <w:highlight w:val="none"/>
        </w:rPr>
        <w:br w:type="page"/>
      </w:r>
      <w:r>
        <w:rPr>
          <w:rFonts w:hint="eastAsia" w:ascii="宋体" w:hAnsi="宋体" w:cs="宋体"/>
          <w:b/>
          <w:bCs/>
          <w:color w:val="auto"/>
          <w:sz w:val="24"/>
          <w:highlight w:val="none"/>
          <w:lang w:val="zh-CN"/>
        </w:rPr>
        <w:t>附件八：</w:t>
      </w:r>
    </w:p>
    <w:p w14:paraId="0E8F6BF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项目组人员清单</w:t>
      </w:r>
    </w:p>
    <w:p w14:paraId="1A297050">
      <w:pPr>
        <w:snapToGrid w:val="0"/>
        <w:spacing w:beforeLines="50" w:after="50"/>
        <w:jc w:val="center"/>
        <w:rPr>
          <w:rFonts w:ascii="宋体" w:hAnsi="宋体" w:cs="宋体"/>
          <w:b/>
          <w:color w:val="auto"/>
          <w:sz w:val="30"/>
          <w:szCs w:val="30"/>
          <w:highlight w:val="none"/>
        </w:rPr>
      </w:pPr>
    </w:p>
    <w:p w14:paraId="2619D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3AE17A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7"/>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18535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3E808B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1B069E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11AA3C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E922AD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42F0D8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905C81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劳动合同编号</w:t>
            </w:r>
          </w:p>
        </w:tc>
      </w:tr>
      <w:tr w14:paraId="222D7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6E70C2F1">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9978586">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630382A">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21ECD8D">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E828564">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BA84E21">
            <w:pPr>
              <w:snapToGrid w:val="0"/>
              <w:spacing w:beforeLines="50" w:after="50" w:line="460" w:lineRule="exact"/>
              <w:rPr>
                <w:rFonts w:ascii="宋体" w:hAnsi="宋体" w:cs="宋体"/>
                <w:color w:val="auto"/>
                <w:sz w:val="24"/>
                <w:highlight w:val="none"/>
              </w:rPr>
            </w:pPr>
          </w:p>
        </w:tc>
      </w:tr>
      <w:tr w14:paraId="6EF39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65CEDA9D">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5439DE2">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BDD765B">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D1B39FA">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8C12E7B">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327D765">
            <w:pPr>
              <w:snapToGrid w:val="0"/>
              <w:spacing w:beforeLines="50" w:after="50" w:line="460" w:lineRule="exact"/>
              <w:rPr>
                <w:rFonts w:ascii="宋体" w:hAnsi="宋体" w:cs="宋体"/>
                <w:color w:val="auto"/>
                <w:sz w:val="24"/>
                <w:highlight w:val="none"/>
              </w:rPr>
            </w:pPr>
          </w:p>
        </w:tc>
      </w:tr>
      <w:tr w14:paraId="6B1FE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203F335D">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E61EDB0">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A1F9BA7">
            <w:pPr>
              <w:pStyle w:val="16"/>
              <w:snapToGrid w:val="0"/>
              <w:spacing w:beforeLines="50" w:after="50" w:line="460" w:lineRule="exact"/>
              <w:ind w:left="500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CBAF01E">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F6E900B">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E660CEF">
            <w:pPr>
              <w:snapToGrid w:val="0"/>
              <w:spacing w:beforeLines="50" w:after="50" w:line="460" w:lineRule="exact"/>
              <w:rPr>
                <w:rFonts w:ascii="宋体" w:hAnsi="宋体" w:cs="宋体"/>
                <w:color w:val="auto"/>
                <w:sz w:val="24"/>
                <w:highlight w:val="none"/>
              </w:rPr>
            </w:pPr>
          </w:p>
        </w:tc>
      </w:tr>
      <w:tr w14:paraId="1ABCA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1571246D">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3A19369">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48D5253">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43825A1">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E4999BA">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71434ED">
            <w:pPr>
              <w:snapToGrid w:val="0"/>
              <w:spacing w:beforeLines="50" w:after="50" w:line="460" w:lineRule="exact"/>
              <w:rPr>
                <w:rFonts w:ascii="宋体" w:hAnsi="宋体" w:cs="宋体"/>
                <w:color w:val="auto"/>
                <w:sz w:val="24"/>
                <w:highlight w:val="none"/>
              </w:rPr>
            </w:pPr>
          </w:p>
        </w:tc>
      </w:tr>
      <w:tr w14:paraId="78641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608ECCD9">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19BCEFD">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656569A">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68DD01A">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0D6398E">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84EA3A4">
            <w:pPr>
              <w:snapToGrid w:val="0"/>
              <w:spacing w:beforeLines="50" w:after="50" w:line="460" w:lineRule="exact"/>
              <w:rPr>
                <w:rFonts w:ascii="宋体" w:hAnsi="宋体" w:cs="宋体"/>
                <w:color w:val="auto"/>
                <w:sz w:val="24"/>
                <w:highlight w:val="none"/>
              </w:rPr>
            </w:pPr>
          </w:p>
        </w:tc>
      </w:tr>
      <w:tr w14:paraId="523EE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4116D17C">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3A60388">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28643EB">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BFC22E4">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0EFCFE8">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0103A26">
            <w:pPr>
              <w:snapToGrid w:val="0"/>
              <w:spacing w:beforeLines="50" w:after="50" w:line="460" w:lineRule="exact"/>
              <w:rPr>
                <w:rFonts w:ascii="宋体" w:hAnsi="宋体" w:cs="宋体"/>
                <w:color w:val="auto"/>
                <w:sz w:val="24"/>
                <w:highlight w:val="none"/>
              </w:rPr>
            </w:pPr>
          </w:p>
        </w:tc>
      </w:tr>
      <w:tr w14:paraId="42BEA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D7D1A9A">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9D1EBF3">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06FD35C">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1BEFD16">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C65D229">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0406876">
            <w:pPr>
              <w:snapToGrid w:val="0"/>
              <w:spacing w:beforeLines="50" w:after="50" w:line="460" w:lineRule="exact"/>
              <w:rPr>
                <w:rFonts w:ascii="宋体" w:hAnsi="宋体" w:cs="宋体"/>
                <w:color w:val="auto"/>
                <w:sz w:val="24"/>
                <w:highlight w:val="none"/>
              </w:rPr>
            </w:pPr>
          </w:p>
        </w:tc>
      </w:tr>
      <w:tr w14:paraId="6800A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BCBE710">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881B66B">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58CB29E">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551C425">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0FF5B83">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8DD402C">
            <w:pPr>
              <w:snapToGrid w:val="0"/>
              <w:spacing w:beforeLines="50" w:after="50" w:line="460" w:lineRule="exact"/>
              <w:rPr>
                <w:rFonts w:ascii="宋体" w:hAnsi="宋体" w:cs="宋体"/>
                <w:color w:val="auto"/>
                <w:sz w:val="24"/>
                <w:highlight w:val="none"/>
              </w:rPr>
            </w:pPr>
          </w:p>
        </w:tc>
      </w:tr>
      <w:tr w14:paraId="6410B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35A902E4">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DDA1F5B">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7771A28">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0E5CE18">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BF73E51">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443ECC">
            <w:pPr>
              <w:snapToGrid w:val="0"/>
              <w:spacing w:beforeLines="50" w:after="50" w:line="460" w:lineRule="exact"/>
              <w:rPr>
                <w:rFonts w:ascii="宋体" w:hAnsi="宋体" w:cs="宋体"/>
                <w:color w:val="auto"/>
                <w:sz w:val="24"/>
                <w:highlight w:val="none"/>
              </w:rPr>
            </w:pPr>
          </w:p>
        </w:tc>
      </w:tr>
    </w:tbl>
    <w:p w14:paraId="52797644">
      <w:pPr>
        <w:snapToGrid w:val="0"/>
        <w:spacing w:line="360" w:lineRule="auto"/>
        <w:jc w:val="left"/>
        <w:rPr>
          <w:rFonts w:ascii="宋体" w:hAnsi="宋体" w:cs="宋体"/>
          <w:color w:val="auto"/>
          <w:sz w:val="24"/>
          <w:highlight w:val="none"/>
        </w:rPr>
      </w:pPr>
    </w:p>
    <w:p w14:paraId="54B31A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注：在填写时，如本表格不适合投标单位的实际情况，可根据本表格式自行划表填写。 </w:t>
      </w:r>
    </w:p>
    <w:p w14:paraId="1C623DB0">
      <w:pPr>
        <w:snapToGrid w:val="0"/>
        <w:spacing w:before="50" w:afterLines="50" w:line="460" w:lineRule="exact"/>
        <w:jc w:val="left"/>
        <w:rPr>
          <w:rFonts w:ascii="宋体" w:hAnsi="宋体" w:cs="宋体"/>
          <w:color w:val="auto"/>
          <w:sz w:val="24"/>
          <w:highlight w:val="none"/>
        </w:rPr>
      </w:pPr>
    </w:p>
    <w:p w14:paraId="2EAB2704">
      <w:pPr>
        <w:pStyle w:val="11"/>
        <w:rPr>
          <w:color w:val="auto"/>
          <w:highlight w:val="none"/>
        </w:rPr>
      </w:pPr>
    </w:p>
    <w:p w14:paraId="049752F0">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5F5E7817">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64357912">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1DFBF0A3">
      <w:pPr>
        <w:spacing w:line="360" w:lineRule="auto"/>
        <w:jc w:val="center"/>
        <w:rPr>
          <w:rFonts w:ascii="宋体"/>
          <w:b/>
          <w:bCs/>
          <w:color w:val="auto"/>
          <w:sz w:val="36"/>
          <w:szCs w:val="36"/>
          <w:highlight w:val="none"/>
        </w:rPr>
      </w:pPr>
      <w:r>
        <w:rPr>
          <w:rFonts w:hint="eastAsia" w:ascii="宋体" w:hAnsi="宋体" w:cs="宋体"/>
          <w:color w:val="auto"/>
          <w:spacing w:val="20"/>
          <w:sz w:val="30"/>
          <w:szCs w:val="30"/>
          <w:highlight w:val="none"/>
        </w:rPr>
        <w:br w:type="page"/>
      </w:r>
      <w:r>
        <w:rPr>
          <w:rFonts w:hint="eastAsia" w:ascii="宋体" w:hAnsi="宋体" w:cs="宋体"/>
          <w:b/>
          <w:bCs/>
          <w:color w:val="auto"/>
          <w:sz w:val="36"/>
          <w:szCs w:val="36"/>
          <w:highlight w:val="none"/>
        </w:rPr>
        <w:t>报价文件</w:t>
      </w:r>
    </w:p>
    <w:p w14:paraId="09918F53">
      <w:pPr>
        <w:spacing w:line="360" w:lineRule="auto"/>
        <w:jc w:val="center"/>
        <w:rPr>
          <w:rFonts w:ascii="宋体"/>
          <w:b/>
          <w:bCs/>
          <w:color w:val="auto"/>
          <w:sz w:val="36"/>
          <w:szCs w:val="36"/>
          <w:highlight w:val="none"/>
        </w:rPr>
      </w:pPr>
    </w:p>
    <w:p w14:paraId="646265E4">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0425104D">
      <w:pPr>
        <w:pStyle w:val="11"/>
        <w:ind w:firstLine="723"/>
        <w:rPr>
          <w:rFonts w:cs="Times New Roman"/>
          <w:b/>
          <w:bCs/>
          <w:color w:val="auto"/>
          <w:sz w:val="36"/>
          <w:szCs w:val="36"/>
          <w:highlight w:val="none"/>
        </w:rPr>
      </w:pPr>
    </w:p>
    <w:p w14:paraId="3316866E">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49D56798">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384C486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4C9AC27A">
      <w:pPr>
        <w:rPr>
          <w:rFonts w:ascii="宋体"/>
          <w:color w:val="auto"/>
          <w:highlight w:val="none"/>
        </w:rPr>
      </w:pPr>
    </w:p>
    <w:p w14:paraId="3245E0A1">
      <w:pPr>
        <w:rPr>
          <w:rFonts w:ascii="宋体"/>
          <w:color w:val="auto"/>
          <w:highlight w:val="none"/>
        </w:rPr>
      </w:pPr>
      <w:r>
        <w:rPr>
          <w:rFonts w:ascii="宋体"/>
          <w:color w:val="auto"/>
          <w:highlight w:val="none"/>
        </w:rPr>
        <w:br w:type="page"/>
      </w:r>
    </w:p>
    <w:p w14:paraId="7973FF9E">
      <w:pPr>
        <w:rPr>
          <w:rFonts w:ascii="宋体" w:hAnsi="宋体" w:cs="宋体"/>
          <w:b/>
          <w:bCs/>
          <w:color w:val="auto"/>
          <w:highlight w:val="none"/>
          <w:lang w:val="zh-CN"/>
        </w:rPr>
      </w:pPr>
      <w:bookmarkStart w:id="166" w:name="_Toc3094"/>
      <w:bookmarkStart w:id="167" w:name="_Toc12011"/>
      <w:r>
        <w:rPr>
          <w:rFonts w:hint="eastAsia"/>
          <w:b/>
          <w:bCs/>
          <w:color w:val="auto"/>
          <w:sz w:val="24"/>
          <w:szCs w:val="32"/>
          <w:highlight w:val="none"/>
          <w:lang w:val="zh-CN"/>
        </w:rPr>
        <w:t>附件</w:t>
      </w:r>
      <w:bookmarkStart w:id="168" w:name="_Toc130094924"/>
      <w:bookmarkStart w:id="169" w:name="_Toc98731770"/>
      <w:r>
        <w:rPr>
          <w:rFonts w:hint="eastAsia"/>
          <w:b/>
          <w:bCs/>
          <w:color w:val="auto"/>
          <w:sz w:val="24"/>
          <w:szCs w:val="32"/>
          <w:highlight w:val="none"/>
        </w:rPr>
        <w:t>九：</w:t>
      </w:r>
    </w:p>
    <w:p w14:paraId="083B5AE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磋 商 函</w:t>
      </w:r>
      <w:bookmarkEnd w:id="166"/>
      <w:bookmarkEnd w:id="168"/>
      <w:bookmarkEnd w:id="169"/>
    </w:p>
    <w:p w14:paraId="6F8059A0">
      <w:pPr>
        <w:spacing w:line="360" w:lineRule="auto"/>
        <w:ind w:firstLine="480" w:firstLineChars="200"/>
        <w:rPr>
          <w:rFonts w:ascii="宋体" w:hAnsi="宋体" w:cs="宋体"/>
          <w:color w:val="auto"/>
          <w:sz w:val="24"/>
          <w:highlight w:val="none"/>
          <w:u w:val="single"/>
        </w:rPr>
      </w:pPr>
    </w:p>
    <w:p w14:paraId="449B27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绍兴市上虞第二人民医院</w:t>
      </w:r>
      <w:r>
        <w:rPr>
          <w:rFonts w:hint="eastAsia" w:ascii="宋体" w:hAnsi="宋体" w:cs="宋体"/>
          <w:color w:val="auto"/>
          <w:sz w:val="24"/>
          <w:highlight w:val="none"/>
        </w:rPr>
        <w:t>：</w:t>
      </w:r>
    </w:p>
    <w:p w14:paraId="77B5F0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浙江天平项目咨询有限公司</w:t>
      </w:r>
      <w:r>
        <w:rPr>
          <w:rFonts w:hint="eastAsia" w:ascii="宋体" w:hAnsi="宋体" w:cs="宋体"/>
          <w:color w:val="auto"/>
          <w:sz w:val="24"/>
          <w:highlight w:val="none"/>
        </w:rPr>
        <w:t>：</w:t>
      </w:r>
    </w:p>
    <w:p w14:paraId="61DEA9DE">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我单位认真研究了关于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4344F031">
      <w:pPr>
        <w:spacing w:line="360" w:lineRule="auto"/>
        <w:ind w:left="18" w:leftChars="9" w:firstLine="537" w:firstLineChars="224"/>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3"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k9JBrS&#10;AAAABwEAAA8AAAAAAAAAAQAgAAAAIgAAAGRycy9kb3ducmV2LnhtbFBLAQIUABQAAAAIAIdO4kAf&#10;UTwO7QEAAOIDAAAOAAAAAAAAAAEAIAAAACEBAABkcnMvZTJvRG9jLnhtbFBLBQYAAAAABgAGAFkB&#10;AACABQ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1、一旦我单位中标，我单位愿意承接报价一览表中所列的技术服务，服务期为</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天。</w:t>
      </w:r>
    </w:p>
    <w:p w14:paraId="391237D2">
      <w:pPr>
        <w:spacing w:line="360" w:lineRule="auto"/>
        <w:ind w:firstLine="398" w:firstLineChars="166"/>
        <w:rPr>
          <w:rFonts w:ascii="宋体" w:hAnsi="宋体" w:cs="宋体"/>
          <w:color w:val="auto"/>
          <w:sz w:val="24"/>
          <w:highlight w:val="none"/>
        </w:rPr>
      </w:pPr>
      <w:r>
        <w:rPr>
          <w:rFonts w:hint="eastAsia" w:ascii="宋体" w:hAnsi="宋体" w:cs="宋体"/>
          <w:color w:val="auto"/>
          <w:sz w:val="24"/>
          <w:highlight w:val="none"/>
        </w:rPr>
        <w:t>2、我单位同意提供按照</w:t>
      </w:r>
      <w:r>
        <w:rPr>
          <w:rFonts w:hint="eastAsia" w:ascii="宋体" w:hAnsi="宋体" w:cs="宋体"/>
          <w:bCs/>
          <w:color w:val="auto"/>
          <w:sz w:val="24"/>
          <w:highlight w:val="none"/>
        </w:rPr>
        <w:t>采购人的可能要求与其投标有关的一切数据和资料，完全理解采购人不一定要接受最低价者作为成交供应商</w:t>
      </w:r>
      <w:r>
        <w:rPr>
          <w:rFonts w:hint="eastAsia" w:ascii="宋体" w:hAnsi="宋体" w:cs="宋体"/>
          <w:color w:val="auto"/>
          <w:sz w:val="24"/>
          <w:highlight w:val="none"/>
        </w:rPr>
        <w:t>。</w:t>
      </w:r>
    </w:p>
    <w:p w14:paraId="131345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3、一旦我单位中标，我们保证按照磋商文件的要求，完成服务。</w:t>
      </w:r>
    </w:p>
    <w:p w14:paraId="34C7F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4、如果我单位中标，我方将按照要求严格履行合同义务。</w:t>
      </w:r>
    </w:p>
    <w:p w14:paraId="39ABA1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5、除非另行达成协议并生效，你方的成交通知书和本磋商函将构成约束你我双方的合同。</w:t>
      </w:r>
    </w:p>
    <w:p w14:paraId="617E27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6、我单位承诺，一旦发生磋商文件第二部分第11条规定情形之一的，承担该条款约定的责任。</w:t>
      </w:r>
    </w:p>
    <w:p w14:paraId="7A8A17AC">
      <w:pPr>
        <w:pStyle w:val="15"/>
        <w:snapToGrid w:val="0"/>
        <w:spacing w:line="360" w:lineRule="auto"/>
        <w:ind w:left="480"/>
        <w:jc w:val="left"/>
        <w:rPr>
          <w:rFonts w:hAnsi="宋体"/>
          <w:color w:val="auto"/>
          <w:sz w:val="24"/>
          <w:highlight w:val="none"/>
        </w:rPr>
      </w:pPr>
      <w:r>
        <w:rPr>
          <w:rFonts w:hint="eastAsia" w:hAnsi="宋体"/>
          <w:color w:val="auto"/>
          <w:sz w:val="24"/>
          <w:highlight w:val="none"/>
        </w:rPr>
        <w:t xml:space="preserve"> </w:t>
      </w:r>
    </w:p>
    <w:p w14:paraId="71B94EFF">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地址：</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邮编：</w:t>
      </w:r>
      <w:r>
        <w:rPr>
          <w:rFonts w:hint="eastAsia" w:ascii="宋体" w:hAnsi="宋体" w:cs="宋体"/>
          <w:bCs/>
          <w:color w:val="auto"/>
          <w:sz w:val="24"/>
          <w:szCs w:val="21"/>
          <w:highlight w:val="none"/>
          <w:u w:val="single"/>
        </w:rPr>
        <w:t xml:space="preserve">                 </w:t>
      </w:r>
    </w:p>
    <w:p w14:paraId="6ACDD3A0">
      <w:pPr>
        <w:spacing w:line="360" w:lineRule="auto"/>
        <w:ind w:firstLine="480" w:firstLineChars="200"/>
        <w:rPr>
          <w:rFonts w:ascii="宋体" w:hAnsi="宋体" w:cs="宋体"/>
          <w:bCs/>
          <w:color w:val="auto"/>
          <w:sz w:val="24"/>
          <w:szCs w:val="21"/>
          <w:highlight w:val="none"/>
          <w:u w:val="single"/>
        </w:rPr>
      </w:pPr>
      <w:r>
        <w:rPr>
          <w:rFonts w:hint="eastAsia" w:ascii="宋体" w:hAnsi="宋体" w:cs="宋体"/>
          <w:bCs/>
          <w:color w:val="auto"/>
          <w:sz w:val="24"/>
          <w:szCs w:val="21"/>
          <w:highlight w:val="none"/>
        </w:rPr>
        <w:t>电话：</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传真：</w:t>
      </w:r>
      <w:r>
        <w:rPr>
          <w:rFonts w:hint="eastAsia" w:ascii="宋体" w:hAnsi="宋体" w:cs="宋体"/>
          <w:bCs/>
          <w:color w:val="auto"/>
          <w:sz w:val="24"/>
          <w:szCs w:val="21"/>
          <w:highlight w:val="none"/>
          <w:u w:val="single"/>
        </w:rPr>
        <w:t xml:space="preserve">                 </w:t>
      </w:r>
    </w:p>
    <w:p w14:paraId="7D2D39AD">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供应商代表姓名：</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职务：</w:t>
      </w:r>
      <w:r>
        <w:rPr>
          <w:rFonts w:hint="eastAsia" w:ascii="宋体" w:hAnsi="宋体" w:cs="宋体"/>
          <w:bCs/>
          <w:color w:val="auto"/>
          <w:sz w:val="24"/>
          <w:szCs w:val="21"/>
          <w:highlight w:val="none"/>
          <w:u w:val="single"/>
        </w:rPr>
        <w:t xml:space="preserve">                 </w:t>
      </w:r>
    </w:p>
    <w:p w14:paraId="5FF854B9">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供应商名称</w:t>
      </w:r>
      <w:r>
        <w:rPr>
          <w:rFonts w:hint="eastAsia" w:ascii="宋体" w:hAnsi="宋体" w:cs="宋体"/>
          <w:bCs/>
          <w:color w:val="auto"/>
          <w:sz w:val="24"/>
          <w:szCs w:val="21"/>
          <w:highlight w:val="none"/>
          <w:u w:val="single"/>
        </w:rPr>
        <w:t>：                   　　　</w:t>
      </w:r>
    </w:p>
    <w:p w14:paraId="45B1F414">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（公章）：                   </w:t>
      </w:r>
    </w:p>
    <w:p w14:paraId="3C7B69DF">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4B2A65D1">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1397C1DA">
      <w:pPr>
        <w:rPr>
          <w:rFonts w:cs="宋体"/>
          <w:b/>
          <w:bCs/>
          <w:color w:val="auto"/>
          <w:sz w:val="24"/>
          <w:szCs w:val="24"/>
          <w:highlight w:val="none"/>
          <w:lang w:val="zh-CN"/>
        </w:rPr>
      </w:pPr>
    </w:p>
    <w:p w14:paraId="35CA89C2">
      <w:pPr>
        <w:rPr>
          <w:rFonts w:cs="宋体"/>
          <w:b/>
          <w:bCs/>
          <w:color w:val="auto"/>
          <w:sz w:val="24"/>
          <w:szCs w:val="24"/>
          <w:highlight w:val="none"/>
          <w:lang w:val="zh-CN"/>
        </w:rPr>
      </w:pPr>
    </w:p>
    <w:p w14:paraId="34494E95">
      <w:pPr>
        <w:rPr>
          <w:rFonts w:cs="宋体"/>
          <w:b/>
          <w:bCs/>
          <w:color w:val="auto"/>
          <w:sz w:val="24"/>
          <w:szCs w:val="24"/>
          <w:highlight w:val="none"/>
          <w:lang w:val="zh-CN"/>
        </w:rPr>
      </w:pPr>
    </w:p>
    <w:p w14:paraId="12693B2C">
      <w:pPr>
        <w:rPr>
          <w:rFonts w:cs="宋体"/>
          <w:b/>
          <w:bCs/>
          <w:color w:val="auto"/>
          <w:sz w:val="24"/>
          <w:szCs w:val="24"/>
          <w:highlight w:val="none"/>
          <w:lang w:val="zh-CN"/>
        </w:rPr>
      </w:pPr>
    </w:p>
    <w:bookmarkEnd w:id="167"/>
    <w:p w14:paraId="7D888B60">
      <w:pPr>
        <w:rPr>
          <w:b/>
          <w:bCs/>
          <w:color w:val="auto"/>
          <w:sz w:val="24"/>
          <w:szCs w:val="32"/>
          <w:highlight w:val="none"/>
          <w:lang w:val="zh-CN"/>
        </w:rPr>
      </w:pPr>
      <w:r>
        <w:rPr>
          <w:rFonts w:hint="eastAsia"/>
          <w:b/>
          <w:bCs/>
          <w:color w:val="auto"/>
          <w:sz w:val="24"/>
          <w:szCs w:val="32"/>
          <w:highlight w:val="none"/>
          <w:lang w:val="zh-CN"/>
        </w:rPr>
        <w:t>附件</w:t>
      </w:r>
      <w:bookmarkStart w:id="170" w:name="_Toc98731771"/>
      <w:bookmarkStart w:id="171" w:name="_Toc130094925"/>
      <w:r>
        <w:rPr>
          <w:rFonts w:hint="eastAsia"/>
          <w:b/>
          <w:bCs/>
          <w:color w:val="auto"/>
          <w:sz w:val="24"/>
          <w:szCs w:val="32"/>
          <w:highlight w:val="none"/>
        </w:rPr>
        <w:t>十：</w:t>
      </w:r>
    </w:p>
    <w:p w14:paraId="22A29351">
      <w:pPr>
        <w:spacing w:line="360" w:lineRule="auto"/>
        <w:jc w:val="center"/>
        <w:outlineLvl w:val="0"/>
        <w:rPr>
          <w:rFonts w:ascii="宋体" w:hAnsi="宋体" w:cs="宋体"/>
          <w:b/>
          <w:bCs/>
          <w:color w:val="auto"/>
          <w:sz w:val="32"/>
          <w:szCs w:val="32"/>
          <w:highlight w:val="none"/>
        </w:rPr>
      </w:pPr>
      <w:bookmarkStart w:id="172" w:name="_Toc3109"/>
      <w:bookmarkStart w:id="173" w:name="_Toc24380"/>
      <w:bookmarkStart w:id="174" w:name="_Toc6901"/>
      <w:r>
        <w:rPr>
          <w:rFonts w:hint="eastAsia" w:ascii="宋体" w:hAnsi="宋体" w:cs="宋体"/>
          <w:b/>
          <w:bCs/>
          <w:color w:val="auto"/>
          <w:sz w:val="32"/>
          <w:szCs w:val="32"/>
          <w:highlight w:val="none"/>
        </w:rPr>
        <w:t>报价一览表</w:t>
      </w:r>
      <w:bookmarkEnd w:id="170"/>
      <w:bookmarkEnd w:id="171"/>
      <w:bookmarkEnd w:id="172"/>
      <w:bookmarkEnd w:id="173"/>
      <w:bookmarkEnd w:id="174"/>
    </w:p>
    <w:p w14:paraId="03AB1FD8">
      <w:pPr>
        <w:pStyle w:val="15"/>
        <w:spacing w:line="360" w:lineRule="auto"/>
        <w:rPr>
          <w:rFonts w:hAnsi="宋体"/>
          <w:color w:val="auto"/>
          <w:sz w:val="24"/>
          <w:highlight w:val="none"/>
        </w:rPr>
      </w:pPr>
    </w:p>
    <w:p w14:paraId="46D14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7D94FF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采购编号：               </w:t>
      </w:r>
    </w:p>
    <w:tbl>
      <w:tblPr>
        <w:tblStyle w:val="2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2D36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D98E35A">
            <w:pPr>
              <w:pStyle w:val="15"/>
              <w:spacing w:line="360" w:lineRule="auto"/>
              <w:jc w:val="center"/>
              <w:rPr>
                <w:rFonts w:hAnsi="宋体"/>
                <w:b/>
                <w:bCs/>
                <w:color w:val="auto"/>
                <w:sz w:val="24"/>
                <w:highlight w:val="none"/>
              </w:rPr>
            </w:pPr>
            <w:r>
              <w:rPr>
                <w:rFonts w:hint="eastAsia" w:hAnsi="宋体"/>
                <w:b/>
                <w:bCs/>
                <w:color w:val="auto"/>
                <w:sz w:val="24"/>
                <w:highlight w:val="none"/>
              </w:rPr>
              <w:t>投标总价</w:t>
            </w:r>
          </w:p>
        </w:tc>
        <w:tc>
          <w:tcPr>
            <w:tcW w:w="6707" w:type="dxa"/>
            <w:vAlign w:val="center"/>
          </w:tcPr>
          <w:p w14:paraId="13D8902C">
            <w:pPr>
              <w:pStyle w:val="15"/>
              <w:spacing w:line="360" w:lineRule="auto"/>
              <w:jc w:val="center"/>
              <w:rPr>
                <w:rFonts w:hAnsi="宋体"/>
                <w:b/>
                <w:bCs/>
                <w:color w:val="auto"/>
                <w:sz w:val="24"/>
                <w:highlight w:val="none"/>
              </w:rPr>
            </w:pPr>
            <w:r>
              <w:rPr>
                <w:rFonts w:hint="eastAsia" w:hAnsi="宋体"/>
                <w:b/>
                <w:bCs/>
                <w:color w:val="auto"/>
                <w:sz w:val="24"/>
                <w:highlight w:val="none"/>
              </w:rPr>
              <w:t>大写：</w:t>
            </w:r>
            <w:r>
              <w:rPr>
                <w:rFonts w:hint="eastAsia" w:hAnsi="宋体"/>
                <w:b/>
                <w:bCs/>
                <w:color w:val="auto"/>
                <w:sz w:val="24"/>
                <w:highlight w:val="none"/>
                <w:u w:val="single"/>
              </w:rPr>
              <w:t xml:space="preserve">　　　　    </w:t>
            </w:r>
            <w:r>
              <w:rPr>
                <w:rFonts w:hint="eastAsia" w:hAnsi="宋体"/>
                <w:b/>
                <w:bCs/>
                <w:color w:val="auto"/>
                <w:sz w:val="24"/>
                <w:highlight w:val="none"/>
              </w:rPr>
              <w:t>元/年（小写：</w:t>
            </w:r>
            <w:r>
              <w:rPr>
                <w:rFonts w:hint="eastAsia" w:hAnsi="宋体"/>
                <w:b/>
                <w:bCs/>
                <w:color w:val="auto"/>
                <w:sz w:val="24"/>
                <w:highlight w:val="none"/>
                <w:u w:val="single"/>
              </w:rPr>
              <w:t>　　　　</w:t>
            </w:r>
            <w:r>
              <w:rPr>
                <w:rFonts w:hint="eastAsia" w:hAnsi="宋体"/>
                <w:b/>
                <w:bCs/>
                <w:color w:val="auto"/>
                <w:sz w:val="24"/>
                <w:highlight w:val="none"/>
              </w:rPr>
              <w:t xml:space="preserve"> 元/年）</w:t>
            </w:r>
          </w:p>
        </w:tc>
      </w:tr>
      <w:tr w14:paraId="4EDD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689198E0">
            <w:pPr>
              <w:pStyle w:val="15"/>
              <w:spacing w:line="360" w:lineRule="auto"/>
              <w:ind w:firstLine="482" w:firstLineChars="200"/>
              <w:rPr>
                <w:rFonts w:hint="eastAsia" w:hAnsi="宋体" w:eastAsia="宋体"/>
                <w:b/>
                <w:bCs/>
                <w:color w:val="auto"/>
                <w:sz w:val="24"/>
                <w:highlight w:val="none"/>
                <w:lang w:eastAsia="zh-CN"/>
              </w:rPr>
            </w:pPr>
            <w:r>
              <w:rPr>
                <w:rFonts w:hint="eastAsia" w:hAnsi="宋体" w:cs="Times New Roman"/>
                <w:b/>
                <w:bCs/>
                <w:color w:val="auto"/>
                <w:sz w:val="24"/>
                <w:szCs w:val="24"/>
                <w:highlight w:val="none"/>
              </w:rPr>
              <w:t>本次报价应包含项目所需全部服务，不得缺漏，是履行合同的最终价格，包括人员的工资福利、员工五险费(养老保险、医疗保险、失业保险、工伤保险、生育保险)、值勤所需的装备、器材、通讯设备、常用办公耗材（对讲机、橡皮棒、手电筒、雨衣雨鞋等）、</w:t>
            </w:r>
            <w:r>
              <w:rPr>
                <w:rFonts w:hint="eastAsia" w:hAnsi="宋体" w:cs="Times New Roman"/>
                <w:b/>
                <w:bCs/>
                <w:color w:val="auto"/>
                <w:sz w:val="24"/>
                <w:szCs w:val="24"/>
                <w:highlight w:val="none"/>
                <w:lang w:val="en-US" w:eastAsia="zh-CN"/>
              </w:rPr>
              <w:t>招标代理服务费、</w:t>
            </w:r>
            <w:r>
              <w:rPr>
                <w:rFonts w:hint="eastAsia" w:hAnsi="宋体" w:cs="Times New Roman"/>
                <w:b/>
                <w:bCs/>
                <w:color w:val="auto"/>
                <w:sz w:val="24"/>
                <w:szCs w:val="24"/>
                <w:highlight w:val="none"/>
              </w:rPr>
              <w:t>管理费、税费与本项目相关的其他一切费用等</w:t>
            </w:r>
            <w:r>
              <w:rPr>
                <w:rFonts w:hint="eastAsia" w:hAnsi="宋体" w:cs="Times New Roman"/>
                <w:b/>
                <w:bCs/>
                <w:color w:val="auto"/>
                <w:sz w:val="24"/>
                <w:szCs w:val="24"/>
                <w:highlight w:val="none"/>
                <w:lang w:eastAsia="zh-CN"/>
              </w:rPr>
              <w:t>。</w:t>
            </w:r>
          </w:p>
        </w:tc>
      </w:tr>
    </w:tbl>
    <w:p w14:paraId="09E9EF5E">
      <w:pPr>
        <w:pStyle w:val="15"/>
        <w:spacing w:line="360" w:lineRule="auto"/>
        <w:rPr>
          <w:rFonts w:hAnsi="宋体"/>
          <w:color w:val="auto"/>
          <w:sz w:val="24"/>
          <w:highlight w:val="none"/>
        </w:rPr>
      </w:pPr>
    </w:p>
    <w:p w14:paraId="47283DA0">
      <w:pPr>
        <w:pStyle w:val="15"/>
        <w:spacing w:line="360" w:lineRule="auto"/>
        <w:rPr>
          <w:rFonts w:hAnsi="宋体"/>
          <w:color w:val="auto"/>
          <w:sz w:val="24"/>
          <w:highlight w:val="none"/>
        </w:rPr>
      </w:pPr>
    </w:p>
    <w:p w14:paraId="7FA28AC2">
      <w:pPr>
        <w:pStyle w:val="15"/>
        <w:spacing w:line="360" w:lineRule="auto"/>
        <w:rPr>
          <w:rFonts w:hAnsi="宋体"/>
          <w:color w:val="auto"/>
          <w:sz w:val="24"/>
          <w:highlight w:val="none"/>
        </w:rPr>
      </w:pPr>
    </w:p>
    <w:p w14:paraId="5F1052F0">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31921A50">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4B14D19B">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供应商全称（公章）：</w:t>
      </w:r>
    </w:p>
    <w:p w14:paraId="0E544F13">
      <w:pPr>
        <w:snapToGrid w:val="0"/>
        <w:spacing w:line="360" w:lineRule="auto"/>
        <w:ind w:firstLine="435"/>
        <w:rPr>
          <w:rFonts w:ascii="宋体"/>
          <w:color w:val="auto"/>
          <w:highlight w:val="none"/>
        </w:rPr>
      </w:pPr>
    </w:p>
    <w:p w14:paraId="3E20F9D0">
      <w:pPr>
        <w:snapToGrid w:val="0"/>
        <w:spacing w:line="360" w:lineRule="auto"/>
        <w:ind w:firstLine="435"/>
        <w:rPr>
          <w:rFonts w:ascii="宋体"/>
          <w:color w:val="auto"/>
          <w:highlight w:val="none"/>
        </w:rPr>
      </w:pPr>
    </w:p>
    <w:p w14:paraId="5709392E">
      <w:pPr>
        <w:snapToGrid w:val="0"/>
        <w:spacing w:line="360" w:lineRule="auto"/>
        <w:ind w:firstLine="435"/>
        <w:rPr>
          <w:rFonts w:ascii="宋体"/>
          <w:color w:val="auto"/>
          <w:highlight w:val="none"/>
        </w:rPr>
      </w:pPr>
    </w:p>
    <w:p w14:paraId="3974B6AB">
      <w:pPr>
        <w:snapToGrid w:val="0"/>
        <w:spacing w:line="360" w:lineRule="auto"/>
        <w:ind w:firstLine="435"/>
        <w:rPr>
          <w:rFonts w:ascii="宋体"/>
          <w:color w:val="auto"/>
          <w:highlight w:val="none"/>
        </w:rPr>
      </w:pPr>
    </w:p>
    <w:p w14:paraId="65BB1218">
      <w:pPr>
        <w:snapToGrid w:val="0"/>
        <w:spacing w:line="360" w:lineRule="auto"/>
        <w:ind w:firstLine="435"/>
        <w:rPr>
          <w:rFonts w:ascii="宋体"/>
          <w:color w:val="auto"/>
          <w:highlight w:val="none"/>
        </w:rPr>
      </w:pPr>
    </w:p>
    <w:p w14:paraId="01B90D67">
      <w:pPr>
        <w:spacing w:line="360" w:lineRule="auto"/>
        <w:jc w:val="left"/>
        <w:rPr>
          <w:rFonts w:ascii="宋体" w:hAnsi="宋体" w:cs="宋体"/>
          <w:b/>
          <w:bCs/>
          <w:color w:val="auto"/>
          <w:sz w:val="24"/>
          <w:highlight w:val="none"/>
          <w:lang w:val="zh-CN"/>
        </w:rPr>
      </w:pPr>
      <w:r>
        <w:rPr>
          <w:rFonts w:ascii="宋体"/>
          <w:color w:val="auto"/>
          <w:highlight w:val="none"/>
        </w:rPr>
        <w:br w:type="page"/>
      </w:r>
      <w:bookmarkStart w:id="175" w:name="_Toc7196"/>
      <w:r>
        <w:rPr>
          <w:rFonts w:hint="eastAsia" w:ascii="宋体" w:hAnsi="宋体" w:cs="宋体"/>
          <w:b/>
          <w:bCs/>
          <w:color w:val="auto"/>
          <w:sz w:val="24"/>
          <w:highlight w:val="none"/>
          <w:lang w:val="zh-CN"/>
        </w:rPr>
        <w:t>附件十</w:t>
      </w:r>
      <w:r>
        <w:rPr>
          <w:rFonts w:hint="eastAsia" w:hAnsi="宋体" w:cs="宋体"/>
          <w:b/>
          <w:bCs/>
          <w:color w:val="auto"/>
          <w:sz w:val="24"/>
          <w:highlight w:val="none"/>
          <w:lang w:val="zh-CN"/>
        </w:rPr>
        <w:t>一</w:t>
      </w:r>
      <w:r>
        <w:rPr>
          <w:rFonts w:hint="eastAsia" w:ascii="宋体" w:hAnsi="宋体" w:cs="宋体"/>
          <w:b/>
          <w:bCs/>
          <w:color w:val="auto"/>
          <w:sz w:val="24"/>
          <w:highlight w:val="none"/>
          <w:lang w:val="zh-CN"/>
        </w:rPr>
        <w:t>：</w:t>
      </w:r>
    </w:p>
    <w:p w14:paraId="191BD762">
      <w:pPr>
        <w:spacing w:line="360" w:lineRule="auto"/>
        <w:jc w:val="center"/>
        <w:outlineLvl w:val="0"/>
        <w:rPr>
          <w:rFonts w:ascii="宋体" w:hAnsi="宋体" w:cs="宋体"/>
          <w:b/>
          <w:bCs/>
          <w:color w:val="auto"/>
          <w:sz w:val="32"/>
          <w:szCs w:val="32"/>
          <w:highlight w:val="none"/>
        </w:rPr>
      </w:pPr>
      <w:bookmarkStart w:id="176" w:name="_Toc31320"/>
      <w:bookmarkStart w:id="177" w:name="_Toc10713"/>
      <w:bookmarkStart w:id="178" w:name="_Toc15340"/>
      <w:r>
        <w:rPr>
          <w:rFonts w:hint="eastAsia" w:ascii="宋体" w:hAnsi="宋体" w:cs="宋体"/>
          <w:b/>
          <w:bCs/>
          <w:color w:val="auto"/>
          <w:sz w:val="32"/>
          <w:szCs w:val="32"/>
          <w:highlight w:val="none"/>
        </w:rPr>
        <w:t>磋商报价明细表</w:t>
      </w:r>
      <w:bookmarkEnd w:id="176"/>
      <w:bookmarkEnd w:id="177"/>
      <w:bookmarkEnd w:id="178"/>
    </w:p>
    <w:p w14:paraId="52E8266C">
      <w:pPr>
        <w:pStyle w:val="15"/>
        <w:spacing w:line="360" w:lineRule="auto"/>
        <w:rPr>
          <w:rFonts w:hAnsi="宋体"/>
          <w:color w:val="auto"/>
          <w:sz w:val="24"/>
          <w:highlight w:val="none"/>
        </w:rPr>
      </w:pPr>
    </w:p>
    <w:p w14:paraId="06ADD8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17467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采购编号：               </w:t>
      </w:r>
    </w:p>
    <w:tbl>
      <w:tblPr>
        <w:tblStyle w:val="2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78B3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5655AA88">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w:t>
            </w:r>
          </w:p>
          <w:p w14:paraId="7A8F1166">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号</w:t>
            </w:r>
          </w:p>
        </w:tc>
        <w:tc>
          <w:tcPr>
            <w:tcW w:w="2492" w:type="dxa"/>
            <w:vMerge w:val="restart"/>
            <w:vAlign w:val="center"/>
          </w:tcPr>
          <w:p w14:paraId="33CB2CC9">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名称</w:t>
            </w:r>
          </w:p>
        </w:tc>
        <w:tc>
          <w:tcPr>
            <w:tcW w:w="915" w:type="dxa"/>
            <w:vMerge w:val="restart"/>
            <w:vAlign w:val="center"/>
          </w:tcPr>
          <w:p w14:paraId="4F1CC9BA">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w:t>
            </w:r>
          </w:p>
        </w:tc>
        <w:tc>
          <w:tcPr>
            <w:tcW w:w="1876" w:type="dxa"/>
            <w:vMerge w:val="restart"/>
            <w:vAlign w:val="center"/>
          </w:tcPr>
          <w:p w14:paraId="2A78AD06">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w:t>
            </w:r>
          </w:p>
        </w:tc>
        <w:tc>
          <w:tcPr>
            <w:tcW w:w="495" w:type="dxa"/>
            <w:vMerge w:val="restart"/>
            <w:vAlign w:val="center"/>
          </w:tcPr>
          <w:p w14:paraId="79C7B9E9">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w:t>
            </w:r>
          </w:p>
          <w:p w14:paraId="5B007E5D">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位</w:t>
            </w:r>
          </w:p>
        </w:tc>
        <w:tc>
          <w:tcPr>
            <w:tcW w:w="498" w:type="dxa"/>
            <w:vMerge w:val="restart"/>
            <w:vAlign w:val="center"/>
          </w:tcPr>
          <w:p w14:paraId="7C4F116E">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2272" w:type="dxa"/>
            <w:gridSpan w:val="2"/>
            <w:vAlign w:val="center"/>
          </w:tcPr>
          <w:p w14:paraId="1463102A">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投标报价（元）</w:t>
            </w:r>
          </w:p>
        </w:tc>
      </w:tr>
      <w:tr w14:paraId="21F0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3BEDE0AD">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2492" w:type="dxa"/>
            <w:vMerge w:val="continue"/>
            <w:vAlign w:val="center"/>
          </w:tcPr>
          <w:p w14:paraId="1B415727">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915" w:type="dxa"/>
            <w:vMerge w:val="continue"/>
            <w:vAlign w:val="center"/>
          </w:tcPr>
          <w:p w14:paraId="4B351D7B">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1876" w:type="dxa"/>
            <w:vMerge w:val="continue"/>
            <w:vAlign w:val="center"/>
          </w:tcPr>
          <w:p w14:paraId="54827DFD">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495" w:type="dxa"/>
            <w:vMerge w:val="continue"/>
            <w:vAlign w:val="center"/>
          </w:tcPr>
          <w:p w14:paraId="5019005F">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498" w:type="dxa"/>
            <w:vMerge w:val="continue"/>
            <w:vAlign w:val="center"/>
          </w:tcPr>
          <w:p w14:paraId="337B8933">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1148" w:type="dxa"/>
            <w:vAlign w:val="center"/>
          </w:tcPr>
          <w:p w14:paraId="7721233E">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单价</w:t>
            </w:r>
          </w:p>
        </w:tc>
        <w:tc>
          <w:tcPr>
            <w:tcW w:w="1124" w:type="dxa"/>
            <w:vAlign w:val="center"/>
          </w:tcPr>
          <w:p w14:paraId="0A4328CB">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小计</w:t>
            </w:r>
          </w:p>
        </w:tc>
      </w:tr>
      <w:tr w14:paraId="4D54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405EC651">
            <w:pPr>
              <w:widowControl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2492" w:type="dxa"/>
            <w:vAlign w:val="center"/>
          </w:tcPr>
          <w:p w14:paraId="3589626A">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eastAsia="zh-CN"/>
              </w:rPr>
              <w:t>队长</w:t>
            </w:r>
          </w:p>
        </w:tc>
        <w:tc>
          <w:tcPr>
            <w:tcW w:w="915" w:type="dxa"/>
            <w:vAlign w:val="center"/>
          </w:tcPr>
          <w:p w14:paraId="6FFE58E1">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1876" w:type="dxa"/>
            <w:vAlign w:val="center"/>
          </w:tcPr>
          <w:p w14:paraId="71840AD8">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495" w:type="dxa"/>
            <w:vAlign w:val="center"/>
          </w:tcPr>
          <w:p w14:paraId="32F54E4C">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w:t>
            </w:r>
          </w:p>
        </w:tc>
        <w:tc>
          <w:tcPr>
            <w:tcW w:w="498" w:type="dxa"/>
            <w:vAlign w:val="center"/>
          </w:tcPr>
          <w:p w14:paraId="461E6C35">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1148" w:type="dxa"/>
          </w:tcPr>
          <w:p w14:paraId="28ECAFEC">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c>
          <w:tcPr>
            <w:tcW w:w="1124" w:type="dxa"/>
          </w:tcPr>
          <w:p w14:paraId="5938B424">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r>
      <w:tr w14:paraId="4FD1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E84E998">
            <w:pPr>
              <w:widowControl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2492" w:type="dxa"/>
            <w:vAlign w:val="center"/>
          </w:tcPr>
          <w:p w14:paraId="7CC06C18">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警务室</w:t>
            </w:r>
          </w:p>
        </w:tc>
        <w:tc>
          <w:tcPr>
            <w:tcW w:w="915" w:type="dxa"/>
            <w:vAlign w:val="center"/>
          </w:tcPr>
          <w:p w14:paraId="523D17EF">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1876" w:type="dxa"/>
            <w:vAlign w:val="center"/>
          </w:tcPr>
          <w:p w14:paraId="27FCC85E">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495" w:type="dxa"/>
            <w:vAlign w:val="center"/>
          </w:tcPr>
          <w:p w14:paraId="17F8781B">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w:t>
            </w:r>
          </w:p>
        </w:tc>
        <w:tc>
          <w:tcPr>
            <w:tcW w:w="498" w:type="dxa"/>
            <w:vAlign w:val="center"/>
          </w:tcPr>
          <w:p w14:paraId="30445C98">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1148" w:type="dxa"/>
          </w:tcPr>
          <w:p w14:paraId="022F5FC1">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c>
          <w:tcPr>
            <w:tcW w:w="1124" w:type="dxa"/>
          </w:tcPr>
          <w:p w14:paraId="6519967A">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r>
      <w:tr w14:paraId="4EC8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6B8045D">
            <w:pPr>
              <w:widowControl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2492" w:type="dxa"/>
            <w:vAlign w:val="center"/>
          </w:tcPr>
          <w:p w14:paraId="3531CED5">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eastAsia="zh-CN"/>
              </w:rPr>
              <w:t>急诊</w:t>
            </w:r>
          </w:p>
        </w:tc>
        <w:tc>
          <w:tcPr>
            <w:tcW w:w="915" w:type="dxa"/>
            <w:vAlign w:val="center"/>
          </w:tcPr>
          <w:p w14:paraId="67D4E023">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1876" w:type="dxa"/>
            <w:vAlign w:val="center"/>
          </w:tcPr>
          <w:p w14:paraId="73800FB4">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495" w:type="dxa"/>
            <w:vAlign w:val="center"/>
          </w:tcPr>
          <w:p w14:paraId="17625921">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w:t>
            </w:r>
          </w:p>
        </w:tc>
        <w:tc>
          <w:tcPr>
            <w:tcW w:w="498" w:type="dxa"/>
            <w:vAlign w:val="center"/>
          </w:tcPr>
          <w:p w14:paraId="53F2DBEC">
            <w:pPr>
              <w:widowControl w:val="0"/>
              <w:spacing w:line="360" w:lineRule="auto"/>
              <w:jc w:val="both"/>
              <w:rPr>
                <w:rFonts w:hint="eastAsia" w:ascii="宋体" w:hAnsi="宋体" w:eastAsia="宋体" w:cs="宋体"/>
                <w:b/>
                <w:bCs/>
                <w:color w:val="auto"/>
                <w:kern w:val="2"/>
                <w:sz w:val="24"/>
                <w:szCs w:val="24"/>
                <w:highlight w:val="none"/>
                <w:lang w:val="en-US" w:eastAsia="zh-CN" w:bidi="ar-SA"/>
              </w:rPr>
            </w:pPr>
          </w:p>
        </w:tc>
        <w:tc>
          <w:tcPr>
            <w:tcW w:w="1148" w:type="dxa"/>
          </w:tcPr>
          <w:p w14:paraId="7F9EF65D">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c>
          <w:tcPr>
            <w:tcW w:w="1124" w:type="dxa"/>
          </w:tcPr>
          <w:p w14:paraId="4F10E9BF">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r>
      <w:tr w14:paraId="3C0B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89" w:type="dxa"/>
            <w:vAlign w:val="center"/>
          </w:tcPr>
          <w:p w14:paraId="4FD2AF10">
            <w:pPr>
              <w:widowControl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2492" w:type="dxa"/>
            <w:vAlign w:val="center"/>
          </w:tcPr>
          <w:p w14:paraId="013EDBFB">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eastAsia="zh-CN"/>
              </w:rPr>
              <w:t>门诊</w:t>
            </w:r>
          </w:p>
        </w:tc>
        <w:tc>
          <w:tcPr>
            <w:tcW w:w="915" w:type="dxa"/>
            <w:vAlign w:val="center"/>
          </w:tcPr>
          <w:p w14:paraId="3F19EB67">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1876" w:type="dxa"/>
            <w:vAlign w:val="center"/>
          </w:tcPr>
          <w:p w14:paraId="3FE1325E">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495" w:type="dxa"/>
            <w:vAlign w:val="center"/>
          </w:tcPr>
          <w:p w14:paraId="1BC001AC">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w:t>
            </w:r>
          </w:p>
        </w:tc>
        <w:tc>
          <w:tcPr>
            <w:tcW w:w="498" w:type="dxa"/>
            <w:vAlign w:val="center"/>
          </w:tcPr>
          <w:p w14:paraId="687A7535">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1148" w:type="dxa"/>
          </w:tcPr>
          <w:p w14:paraId="4DDAC13F">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c>
          <w:tcPr>
            <w:tcW w:w="1124" w:type="dxa"/>
          </w:tcPr>
          <w:p w14:paraId="260AE247">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r>
      <w:tr w14:paraId="2C9A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0798DBAA">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2492" w:type="dxa"/>
            <w:vAlign w:val="center"/>
          </w:tcPr>
          <w:p w14:paraId="6CBCB32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eastAsia="zh-CN"/>
              </w:rPr>
              <w:t>外场电动自行车管理</w:t>
            </w:r>
          </w:p>
        </w:tc>
        <w:tc>
          <w:tcPr>
            <w:tcW w:w="915" w:type="dxa"/>
            <w:vAlign w:val="center"/>
          </w:tcPr>
          <w:p w14:paraId="0D0F4050">
            <w:pPr>
              <w:jc w:val="center"/>
              <w:rPr>
                <w:rFonts w:hint="eastAsia" w:ascii="宋体" w:hAnsi="宋体" w:eastAsia="宋体" w:cs="宋体"/>
                <w:b/>
                <w:bCs/>
                <w:color w:val="auto"/>
                <w:kern w:val="2"/>
                <w:sz w:val="24"/>
                <w:szCs w:val="24"/>
                <w:highlight w:val="none"/>
              </w:rPr>
            </w:pPr>
          </w:p>
        </w:tc>
        <w:tc>
          <w:tcPr>
            <w:tcW w:w="1876" w:type="dxa"/>
            <w:vAlign w:val="center"/>
          </w:tcPr>
          <w:p w14:paraId="071B002C">
            <w:pPr>
              <w:jc w:val="center"/>
              <w:rPr>
                <w:rFonts w:hint="eastAsia" w:ascii="宋体" w:hAnsi="宋体" w:eastAsia="宋体" w:cs="宋体"/>
                <w:b/>
                <w:bCs/>
                <w:color w:val="auto"/>
                <w:kern w:val="2"/>
                <w:sz w:val="24"/>
                <w:szCs w:val="24"/>
                <w:highlight w:val="none"/>
              </w:rPr>
            </w:pPr>
          </w:p>
        </w:tc>
        <w:tc>
          <w:tcPr>
            <w:tcW w:w="495" w:type="dxa"/>
            <w:vAlign w:val="center"/>
          </w:tcPr>
          <w:p w14:paraId="358BC3B7">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w:t>
            </w:r>
          </w:p>
        </w:tc>
        <w:tc>
          <w:tcPr>
            <w:tcW w:w="498" w:type="dxa"/>
            <w:vAlign w:val="center"/>
          </w:tcPr>
          <w:p w14:paraId="50A92535">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c>
          <w:tcPr>
            <w:tcW w:w="1148" w:type="dxa"/>
            <w:vAlign w:val="center"/>
          </w:tcPr>
          <w:p w14:paraId="04B7786C">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c>
          <w:tcPr>
            <w:tcW w:w="1124" w:type="dxa"/>
            <w:vAlign w:val="center"/>
          </w:tcPr>
          <w:p w14:paraId="3E812511">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r>
      <w:tr w14:paraId="3108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3C4B4F0">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2492" w:type="dxa"/>
            <w:vAlign w:val="center"/>
          </w:tcPr>
          <w:p w14:paraId="3019B298">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eastAsia="zh-CN"/>
              </w:rPr>
              <w:t>消控室</w:t>
            </w:r>
          </w:p>
        </w:tc>
        <w:tc>
          <w:tcPr>
            <w:tcW w:w="915" w:type="dxa"/>
            <w:vAlign w:val="center"/>
          </w:tcPr>
          <w:p w14:paraId="51AE7976">
            <w:pPr>
              <w:jc w:val="center"/>
              <w:rPr>
                <w:rFonts w:hint="eastAsia" w:ascii="宋体" w:hAnsi="宋体" w:eastAsia="宋体" w:cs="宋体"/>
                <w:b/>
                <w:bCs/>
                <w:color w:val="auto"/>
                <w:kern w:val="2"/>
                <w:sz w:val="24"/>
                <w:szCs w:val="24"/>
                <w:highlight w:val="none"/>
              </w:rPr>
            </w:pPr>
          </w:p>
        </w:tc>
        <w:tc>
          <w:tcPr>
            <w:tcW w:w="1876" w:type="dxa"/>
            <w:vAlign w:val="center"/>
          </w:tcPr>
          <w:p w14:paraId="61237FAC">
            <w:pPr>
              <w:jc w:val="center"/>
              <w:rPr>
                <w:rFonts w:hint="eastAsia" w:ascii="宋体" w:hAnsi="宋体" w:eastAsia="宋体" w:cs="宋体"/>
                <w:b/>
                <w:bCs/>
                <w:color w:val="auto"/>
                <w:kern w:val="2"/>
                <w:sz w:val="24"/>
                <w:szCs w:val="24"/>
                <w:highlight w:val="none"/>
              </w:rPr>
            </w:pPr>
          </w:p>
        </w:tc>
        <w:tc>
          <w:tcPr>
            <w:tcW w:w="495" w:type="dxa"/>
            <w:vAlign w:val="center"/>
          </w:tcPr>
          <w:p w14:paraId="53237EA0">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w:t>
            </w:r>
          </w:p>
        </w:tc>
        <w:tc>
          <w:tcPr>
            <w:tcW w:w="498" w:type="dxa"/>
            <w:vAlign w:val="center"/>
          </w:tcPr>
          <w:p w14:paraId="61364C7F">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c>
          <w:tcPr>
            <w:tcW w:w="1148" w:type="dxa"/>
            <w:vAlign w:val="center"/>
          </w:tcPr>
          <w:p w14:paraId="47563FCD">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c>
          <w:tcPr>
            <w:tcW w:w="1124" w:type="dxa"/>
            <w:vAlign w:val="center"/>
          </w:tcPr>
          <w:p w14:paraId="05B4ED5D">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r>
      <w:tr w14:paraId="2F9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084E3B12">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2492" w:type="dxa"/>
            <w:vAlign w:val="center"/>
          </w:tcPr>
          <w:p w14:paraId="600324D2">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eastAsia="zh-CN"/>
              </w:rPr>
              <w:t>全院防火巡查</w:t>
            </w:r>
          </w:p>
        </w:tc>
        <w:tc>
          <w:tcPr>
            <w:tcW w:w="915" w:type="dxa"/>
            <w:vAlign w:val="center"/>
          </w:tcPr>
          <w:p w14:paraId="6B80E3A9">
            <w:pPr>
              <w:jc w:val="center"/>
              <w:rPr>
                <w:rFonts w:hint="eastAsia" w:ascii="宋体" w:hAnsi="宋体" w:eastAsia="宋体" w:cs="宋体"/>
                <w:b/>
                <w:bCs/>
                <w:color w:val="auto"/>
                <w:kern w:val="2"/>
                <w:sz w:val="24"/>
                <w:szCs w:val="24"/>
                <w:highlight w:val="none"/>
              </w:rPr>
            </w:pPr>
          </w:p>
        </w:tc>
        <w:tc>
          <w:tcPr>
            <w:tcW w:w="1876" w:type="dxa"/>
            <w:vAlign w:val="center"/>
          </w:tcPr>
          <w:p w14:paraId="47F0554E">
            <w:pPr>
              <w:jc w:val="center"/>
              <w:rPr>
                <w:rFonts w:hint="eastAsia" w:ascii="宋体" w:hAnsi="宋体" w:eastAsia="宋体" w:cs="宋体"/>
                <w:b/>
                <w:bCs/>
                <w:color w:val="auto"/>
                <w:kern w:val="2"/>
                <w:sz w:val="24"/>
                <w:szCs w:val="24"/>
                <w:highlight w:val="none"/>
              </w:rPr>
            </w:pPr>
          </w:p>
        </w:tc>
        <w:tc>
          <w:tcPr>
            <w:tcW w:w="495" w:type="dxa"/>
            <w:vAlign w:val="center"/>
          </w:tcPr>
          <w:p w14:paraId="2A7D8999">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w:t>
            </w:r>
          </w:p>
        </w:tc>
        <w:tc>
          <w:tcPr>
            <w:tcW w:w="498" w:type="dxa"/>
            <w:vAlign w:val="center"/>
          </w:tcPr>
          <w:p w14:paraId="7FA4AFBE">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c>
          <w:tcPr>
            <w:tcW w:w="1148" w:type="dxa"/>
            <w:vAlign w:val="center"/>
          </w:tcPr>
          <w:p w14:paraId="74F42236">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c>
          <w:tcPr>
            <w:tcW w:w="1124" w:type="dxa"/>
            <w:vAlign w:val="center"/>
          </w:tcPr>
          <w:p w14:paraId="78BB23D9">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r>
      <w:tr w14:paraId="0A7A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0F277F17">
            <w:pPr>
              <w:widowControl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2492" w:type="dxa"/>
            <w:vAlign w:val="center"/>
          </w:tcPr>
          <w:p w14:paraId="4695B19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auto"/>
                <w:kern w:val="2"/>
                <w:sz w:val="24"/>
                <w:szCs w:val="24"/>
                <w:highlight w:val="none"/>
                <w:vertAlign w:val="baseline"/>
                <w:lang w:eastAsia="zh-CN"/>
              </w:rPr>
            </w:pPr>
            <w:r>
              <w:rPr>
                <w:rFonts w:hint="eastAsia" w:ascii="宋体" w:hAnsi="宋体" w:eastAsia="宋体" w:cs="宋体"/>
                <w:color w:val="auto"/>
                <w:kern w:val="2"/>
                <w:sz w:val="24"/>
                <w:szCs w:val="24"/>
                <w:highlight w:val="none"/>
                <w:vertAlign w:val="baseline"/>
                <w:lang w:val="en-US" w:eastAsia="zh-CN"/>
              </w:rPr>
              <w:t>安检人员</w:t>
            </w:r>
          </w:p>
        </w:tc>
        <w:tc>
          <w:tcPr>
            <w:tcW w:w="915" w:type="dxa"/>
            <w:vAlign w:val="center"/>
          </w:tcPr>
          <w:p w14:paraId="51E70127">
            <w:pPr>
              <w:jc w:val="center"/>
              <w:rPr>
                <w:rFonts w:hint="eastAsia" w:ascii="宋体" w:hAnsi="宋体" w:eastAsia="宋体" w:cs="宋体"/>
                <w:b/>
                <w:bCs/>
                <w:color w:val="auto"/>
                <w:kern w:val="2"/>
                <w:sz w:val="24"/>
                <w:szCs w:val="24"/>
                <w:highlight w:val="none"/>
              </w:rPr>
            </w:pPr>
          </w:p>
        </w:tc>
        <w:tc>
          <w:tcPr>
            <w:tcW w:w="1876" w:type="dxa"/>
            <w:vAlign w:val="center"/>
          </w:tcPr>
          <w:p w14:paraId="190BFC0A">
            <w:pPr>
              <w:jc w:val="center"/>
              <w:rPr>
                <w:rFonts w:hint="eastAsia" w:ascii="宋体" w:hAnsi="宋体" w:eastAsia="宋体" w:cs="宋体"/>
                <w:b/>
                <w:bCs/>
                <w:color w:val="auto"/>
                <w:kern w:val="2"/>
                <w:sz w:val="24"/>
                <w:szCs w:val="24"/>
                <w:highlight w:val="none"/>
              </w:rPr>
            </w:pPr>
          </w:p>
        </w:tc>
        <w:tc>
          <w:tcPr>
            <w:tcW w:w="495" w:type="dxa"/>
            <w:vAlign w:val="center"/>
          </w:tcPr>
          <w:p w14:paraId="19F40786">
            <w:pPr>
              <w:widowControl w:val="0"/>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w:t>
            </w:r>
          </w:p>
        </w:tc>
        <w:tc>
          <w:tcPr>
            <w:tcW w:w="498" w:type="dxa"/>
            <w:vAlign w:val="center"/>
          </w:tcPr>
          <w:p w14:paraId="244CA52C">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c>
          <w:tcPr>
            <w:tcW w:w="1148" w:type="dxa"/>
            <w:vAlign w:val="center"/>
          </w:tcPr>
          <w:p w14:paraId="1CCFB823">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c>
          <w:tcPr>
            <w:tcW w:w="1124" w:type="dxa"/>
            <w:vAlign w:val="center"/>
          </w:tcPr>
          <w:p w14:paraId="096C47F1">
            <w:pPr>
              <w:widowControl w:val="0"/>
              <w:spacing w:line="360" w:lineRule="auto"/>
              <w:jc w:val="center"/>
              <w:rPr>
                <w:rFonts w:hint="eastAsia" w:ascii="宋体" w:hAnsi="宋体" w:eastAsia="宋体" w:cs="宋体"/>
                <w:b/>
                <w:bCs/>
                <w:color w:val="auto"/>
                <w:kern w:val="2"/>
                <w:sz w:val="24"/>
                <w:szCs w:val="24"/>
                <w:highlight w:val="none"/>
                <w:lang w:val="en-US" w:eastAsia="zh-CN" w:bidi="ar-SA"/>
              </w:rPr>
            </w:pPr>
          </w:p>
        </w:tc>
      </w:tr>
      <w:tr w14:paraId="37FC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4565B30C">
            <w:pPr>
              <w:widowControl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2492" w:type="dxa"/>
            <w:vAlign w:val="center"/>
          </w:tcPr>
          <w:p w14:paraId="1140A1D9">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915" w:type="dxa"/>
            <w:vAlign w:val="center"/>
          </w:tcPr>
          <w:p w14:paraId="555AF6D7">
            <w:pPr>
              <w:jc w:val="center"/>
              <w:rPr>
                <w:rFonts w:hint="eastAsia" w:ascii="宋体" w:hAnsi="宋体" w:eastAsia="宋体" w:cs="宋体"/>
                <w:color w:val="auto"/>
                <w:kern w:val="2"/>
                <w:sz w:val="24"/>
                <w:szCs w:val="24"/>
                <w:highlight w:val="none"/>
              </w:rPr>
            </w:pPr>
          </w:p>
        </w:tc>
        <w:tc>
          <w:tcPr>
            <w:tcW w:w="1876" w:type="dxa"/>
            <w:vAlign w:val="center"/>
          </w:tcPr>
          <w:p w14:paraId="1BA5AAC2">
            <w:pPr>
              <w:jc w:val="center"/>
              <w:rPr>
                <w:rFonts w:hint="eastAsia" w:ascii="宋体" w:hAnsi="宋体" w:eastAsia="宋体" w:cs="宋体"/>
                <w:color w:val="auto"/>
                <w:kern w:val="2"/>
                <w:sz w:val="24"/>
                <w:szCs w:val="24"/>
                <w:highlight w:val="none"/>
              </w:rPr>
            </w:pPr>
          </w:p>
        </w:tc>
        <w:tc>
          <w:tcPr>
            <w:tcW w:w="495" w:type="dxa"/>
            <w:vAlign w:val="center"/>
          </w:tcPr>
          <w:p w14:paraId="58C895F0">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498" w:type="dxa"/>
            <w:vAlign w:val="center"/>
          </w:tcPr>
          <w:p w14:paraId="482862DC">
            <w:pPr>
              <w:widowControl w:val="0"/>
              <w:spacing w:line="360" w:lineRule="auto"/>
              <w:jc w:val="center"/>
              <w:rPr>
                <w:rFonts w:hint="eastAsia" w:ascii="宋体" w:hAnsi="宋体" w:eastAsia="宋体" w:cs="宋体"/>
                <w:color w:val="auto"/>
                <w:kern w:val="2"/>
                <w:sz w:val="24"/>
                <w:szCs w:val="24"/>
                <w:highlight w:val="none"/>
                <w:lang w:val="en-US" w:eastAsia="zh-CN" w:bidi="ar-SA"/>
              </w:rPr>
            </w:pPr>
          </w:p>
        </w:tc>
        <w:tc>
          <w:tcPr>
            <w:tcW w:w="1148" w:type="dxa"/>
          </w:tcPr>
          <w:p w14:paraId="5C9D8553">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c>
          <w:tcPr>
            <w:tcW w:w="1124" w:type="dxa"/>
          </w:tcPr>
          <w:p w14:paraId="404FF496">
            <w:pPr>
              <w:widowControl w:val="0"/>
              <w:spacing w:line="360" w:lineRule="auto"/>
              <w:jc w:val="both"/>
              <w:rPr>
                <w:rFonts w:hint="eastAsia" w:ascii="宋体" w:hAnsi="宋体" w:eastAsia="宋体" w:cs="宋体"/>
                <w:color w:val="auto"/>
                <w:kern w:val="2"/>
                <w:sz w:val="24"/>
                <w:szCs w:val="24"/>
                <w:highlight w:val="none"/>
                <w:lang w:val="en-US" w:eastAsia="zh-CN" w:bidi="ar-SA"/>
              </w:rPr>
            </w:pPr>
          </w:p>
        </w:tc>
      </w:tr>
      <w:tr w14:paraId="0FC5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5265ED9E">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磋商总价</w:t>
            </w:r>
          </w:p>
        </w:tc>
        <w:tc>
          <w:tcPr>
            <w:tcW w:w="6056" w:type="dxa"/>
            <w:gridSpan w:val="6"/>
            <w:vAlign w:val="center"/>
          </w:tcPr>
          <w:p w14:paraId="389E8B7E">
            <w:pPr>
              <w:widowControl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大写：　　　　                元（小写：　　　　　）</w:t>
            </w:r>
          </w:p>
        </w:tc>
      </w:tr>
      <w:tr w14:paraId="5265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289154B3">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报价应包含项目所需全部服务，不得缺漏，是履行合同的最终价格，包括人员的工资福利、员工五险费(养老保险、医疗保险、失业保险、工伤保险、生育保险)、值勤所需的装备、器材、通讯设备、常用办公耗材（对讲机、橡皮棒、手电筒、雨衣雨鞋等）、招标代理服务费、管理费、税费与本项目相关的其他一切费用等。</w:t>
            </w:r>
          </w:p>
        </w:tc>
      </w:tr>
    </w:tbl>
    <w:p w14:paraId="0B47B821">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7FDC5C22">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10292DCE">
      <w:pPr>
        <w:spacing w:line="360" w:lineRule="auto"/>
        <w:ind w:left="3600" w:leftChars="1800" w:firstLine="480" w:firstLineChars="200"/>
        <w:rPr>
          <w:rFonts w:ascii="宋体" w:hAnsi="宋体" w:cs="宋体"/>
          <w:b/>
          <w:bCs/>
          <w:color w:val="auto"/>
          <w:sz w:val="24"/>
          <w:szCs w:val="24"/>
          <w:highlight w:val="none"/>
          <w:lang w:val="zh-CN"/>
        </w:rPr>
      </w:pPr>
      <w:r>
        <w:rPr>
          <w:rFonts w:hint="eastAsia" w:ascii="宋体" w:hAnsi="宋体" w:cs="宋体"/>
          <w:color w:val="auto"/>
          <w:sz w:val="24"/>
          <w:highlight w:val="none"/>
        </w:rPr>
        <w:t>供应商全称（公章）：</w:t>
      </w:r>
      <w:bookmarkEnd w:id="175"/>
    </w:p>
    <w:sectPr>
      <w:pgSz w:w="11906" w:h="16838"/>
      <w:pgMar w:top="1440" w:right="13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9A7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4A38">
    <w:pPr>
      <w:pStyle w:val="18"/>
      <w:jc w:val="center"/>
    </w:pPr>
    <w:r>
      <w:fldChar w:fldCharType="begin"/>
    </w:r>
    <w:r>
      <w:instrText xml:space="preserve">PAGE   \* MERGEFORMAT</w:instrText>
    </w:r>
    <w:r>
      <w:fldChar w:fldCharType="separate"/>
    </w:r>
    <w:r>
      <w:rPr>
        <w:lang w:val="zh-CN"/>
      </w:rPr>
      <w:t>17</w:t>
    </w:r>
    <w:r>
      <w:rPr>
        <w:lang w:val="zh-CN"/>
      </w:rPr>
      <w:fldChar w:fldCharType="end"/>
    </w:r>
  </w:p>
  <w:p w14:paraId="4D052504">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EC6AF"/>
    <w:multiLevelType w:val="singleLevel"/>
    <w:tmpl w:val="A1AEC6AF"/>
    <w:lvl w:ilvl="0" w:tentative="0">
      <w:start w:val="1"/>
      <w:numFmt w:val="chineseCounting"/>
      <w:suff w:val="space"/>
      <w:lvlText w:val="%1．"/>
      <w:lvlJc w:val="left"/>
      <w:rPr>
        <w:rFonts w:hint="eastAsia"/>
      </w:rPr>
    </w:lvl>
  </w:abstractNum>
  <w:abstractNum w:abstractNumId="1">
    <w:nsid w:val="A572771F"/>
    <w:multiLevelType w:val="singleLevel"/>
    <w:tmpl w:val="A572771F"/>
    <w:lvl w:ilvl="0" w:tentative="0">
      <w:start w:val="1"/>
      <w:numFmt w:val="decimal"/>
      <w:suff w:val="space"/>
      <w:lvlText w:val="%1."/>
      <w:lvlJc w:val="left"/>
    </w:lvl>
  </w:abstractNum>
  <w:abstractNum w:abstractNumId="2">
    <w:nsid w:val="A5BD8144"/>
    <w:multiLevelType w:val="singleLevel"/>
    <w:tmpl w:val="A5BD8144"/>
    <w:lvl w:ilvl="0" w:tentative="0">
      <w:start w:val="1"/>
      <w:numFmt w:val="chineseCounting"/>
      <w:suff w:val="nothing"/>
      <w:lvlText w:val="%1、"/>
      <w:lvlJc w:val="left"/>
      <w:pPr>
        <w:ind w:left="0" w:firstLine="420"/>
      </w:pPr>
      <w:rPr>
        <w:rFonts w:hint="eastAsia"/>
      </w:rPr>
    </w:lvl>
  </w:abstractNum>
  <w:abstractNum w:abstractNumId="3">
    <w:nsid w:val="AC6D0845"/>
    <w:multiLevelType w:val="singleLevel"/>
    <w:tmpl w:val="AC6D0845"/>
    <w:lvl w:ilvl="0" w:tentative="0">
      <w:start w:val="1"/>
      <w:numFmt w:val="decimalEnclosedCircleChinese"/>
      <w:suff w:val="nothing"/>
      <w:lvlText w:val="%1　"/>
      <w:lvlJc w:val="left"/>
      <w:pPr>
        <w:ind w:left="0" w:firstLine="400"/>
      </w:pPr>
      <w:rPr>
        <w:rFonts w:hint="eastAsia"/>
      </w:rPr>
    </w:lvl>
  </w:abstractNum>
  <w:abstractNum w:abstractNumId="4">
    <w:nsid w:val="ADDCFD43"/>
    <w:multiLevelType w:val="singleLevel"/>
    <w:tmpl w:val="ADDCFD43"/>
    <w:lvl w:ilvl="0" w:tentative="0">
      <w:start w:val="1"/>
      <w:numFmt w:val="decimal"/>
      <w:lvlText w:val="%1."/>
      <w:lvlJc w:val="left"/>
      <w:pPr>
        <w:tabs>
          <w:tab w:val="left" w:pos="312"/>
        </w:tabs>
      </w:pPr>
    </w:lvl>
  </w:abstractNum>
  <w:abstractNum w:abstractNumId="5">
    <w:nsid w:val="D9BE3074"/>
    <w:multiLevelType w:val="singleLevel"/>
    <w:tmpl w:val="D9BE3074"/>
    <w:lvl w:ilvl="0" w:tentative="0">
      <w:start w:val="4"/>
      <w:numFmt w:val="chineseCounting"/>
      <w:suff w:val="nothing"/>
      <w:lvlText w:val="（%1）"/>
      <w:lvlJc w:val="left"/>
      <w:rPr>
        <w:rFonts w:hint="eastAsia"/>
      </w:rPr>
    </w:lvl>
  </w:abstractNum>
  <w:abstractNum w:abstractNumId="6">
    <w:nsid w:val="E0D90A45"/>
    <w:multiLevelType w:val="singleLevel"/>
    <w:tmpl w:val="E0D90A45"/>
    <w:lvl w:ilvl="0" w:tentative="0">
      <w:start w:val="1"/>
      <w:numFmt w:val="decimal"/>
      <w:lvlText w:val="%1."/>
      <w:lvlJc w:val="left"/>
      <w:pPr>
        <w:tabs>
          <w:tab w:val="left" w:pos="312"/>
        </w:tabs>
      </w:pPr>
    </w:lvl>
  </w:abstractNum>
  <w:abstractNum w:abstractNumId="7">
    <w:nsid w:val="E9BC0B7E"/>
    <w:multiLevelType w:val="singleLevel"/>
    <w:tmpl w:val="E9BC0B7E"/>
    <w:lvl w:ilvl="0" w:tentative="0">
      <w:start w:val="1"/>
      <w:numFmt w:val="decimal"/>
      <w:suff w:val="nothing"/>
      <w:lvlText w:val="%1．"/>
      <w:lvlJc w:val="left"/>
      <w:pPr>
        <w:ind w:left="0" w:firstLine="400"/>
      </w:pPr>
      <w:rPr>
        <w:rFonts w:hint="default"/>
      </w:rPr>
    </w:lvl>
  </w:abstractNum>
  <w:abstractNum w:abstractNumId="8">
    <w:nsid w:val="F8EFB8DC"/>
    <w:multiLevelType w:val="singleLevel"/>
    <w:tmpl w:val="F8EFB8DC"/>
    <w:lvl w:ilvl="0" w:tentative="0">
      <w:start w:val="1"/>
      <w:numFmt w:val="decimalEnclosedCircleChinese"/>
      <w:suff w:val="nothing"/>
      <w:lvlText w:val="%1　"/>
      <w:lvlJc w:val="left"/>
      <w:pPr>
        <w:ind w:left="0" w:firstLine="400"/>
      </w:pPr>
      <w:rPr>
        <w:rFonts w:hint="eastAsia"/>
      </w:rPr>
    </w:lvl>
  </w:abstractNum>
  <w:abstractNum w:abstractNumId="9">
    <w:nsid w:val="FD2F2827"/>
    <w:multiLevelType w:val="singleLevel"/>
    <w:tmpl w:val="FD2F2827"/>
    <w:lvl w:ilvl="0" w:tentative="0">
      <w:start w:val="1"/>
      <w:numFmt w:val="decimal"/>
      <w:suff w:val="nothing"/>
      <w:lvlText w:val="%1、"/>
      <w:lvlJc w:val="left"/>
    </w:lvl>
  </w:abstractNum>
  <w:abstractNum w:abstractNumId="10">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1">
    <w:nsid w:val="00000002"/>
    <w:multiLevelType w:val="singleLevel"/>
    <w:tmpl w:val="00000002"/>
    <w:lvl w:ilvl="0" w:tentative="0">
      <w:start w:val="1"/>
      <w:numFmt w:val="chineseCounting"/>
      <w:suff w:val="nothing"/>
      <w:lvlText w:val="%1、"/>
      <w:lvlJc w:val="left"/>
      <w:rPr>
        <w:rFonts w:hint="eastAsia"/>
      </w:rPr>
    </w:lvl>
  </w:abstractNum>
  <w:abstractNum w:abstractNumId="12">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13">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14">
    <w:nsid w:val="00000005"/>
    <w:multiLevelType w:val="singleLevel"/>
    <w:tmpl w:val="00000005"/>
    <w:lvl w:ilvl="0" w:tentative="0">
      <w:start w:val="1"/>
      <w:numFmt w:val="chineseCounting"/>
      <w:suff w:val="nothing"/>
      <w:lvlText w:val="%1、"/>
      <w:lvlJc w:val="left"/>
      <w:rPr>
        <w:rFonts w:hint="eastAsia"/>
      </w:rPr>
    </w:lvl>
  </w:abstractNum>
  <w:abstractNum w:abstractNumId="15">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6">
    <w:nsid w:val="00000007"/>
    <w:multiLevelType w:val="multilevel"/>
    <w:tmpl w:val="00000007"/>
    <w:lvl w:ilvl="0" w:tentative="0">
      <w:start w:val="1"/>
      <w:numFmt w:val="decimalEnclosedCircleChinese"/>
      <w:pStyle w:val="13"/>
      <w:suff w:val="nothing"/>
      <w:lvlText w:val="%1　"/>
      <w:lvlJc w:val="left"/>
      <w:pPr>
        <w:ind w:firstLine="397"/>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18">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19">
    <w:nsid w:val="0000000A"/>
    <w:multiLevelType w:val="singleLevel"/>
    <w:tmpl w:val="0000000A"/>
    <w:lvl w:ilvl="0" w:tentative="0">
      <w:start w:val="4"/>
      <w:numFmt w:val="chineseCounting"/>
      <w:suff w:val="nothing"/>
      <w:lvlText w:val="%1、"/>
      <w:lvlJc w:val="left"/>
      <w:rPr>
        <w:rFonts w:hint="eastAsia"/>
      </w:rPr>
    </w:lvl>
  </w:abstractNum>
  <w:abstractNum w:abstractNumId="20">
    <w:nsid w:val="0000000C"/>
    <w:multiLevelType w:val="multilevel"/>
    <w:tmpl w:val="0000000C"/>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1">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22">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23">
    <w:nsid w:val="0000000F"/>
    <w:multiLevelType w:val="singleLevel"/>
    <w:tmpl w:val="0000000F"/>
    <w:lvl w:ilvl="0" w:tentative="0">
      <w:start w:val="1"/>
      <w:numFmt w:val="decimal"/>
      <w:suff w:val="nothing"/>
      <w:lvlText w:val="%1．"/>
      <w:lvlJc w:val="left"/>
      <w:pPr>
        <w:ind w:left="-80" w:firstLine="397"/>
      </w:pPr>
      <w:rPr>
        <w:rFonts w:hint="default"/>
      </w:rPr>
    </w:lvl>
  </w:abstractNum>
  <w:abstractNum w:abstractNumId="24">
    <w:nsid w:val="04717A1F"/>
    <w:multiLevelType w:val="singleLevel"/>
    <w:tmpl w:val="04717A1F"/>
    <w:lvl w:ilvl="0" w:tentative="0">
      <w:start w:val="1"/>
      <w:numFmt w:val="decimal"/>
      <w:suff w:val="nothing"/>
      <w:lvlText w:val="%1．"/>
      <w:lvlJc w:val="left"/>
      <w:pPr>
        <w:ind w:left="0" w:firstLine="400"/>
      </w:pPr>
      <w:rPr>
        <w:rFonts w:hint="default"/>
      </w:rPr>
    </w:lvl>
  </w:abstractNum>
  <w:abstractNum w:abstractNumId="25">
    <w:nsid w:val="0BC81334"/>
    <w:multiLevelType w:val="singleLevel"/>
    <w:tmpl w:val="0BC81334"/>
    <w:lvl w:ilvl="0" w:tentative="0">
      <w:start w:val="1"/>
      <w:numFmt w:val="decimalEnclosedCircleChinese"/>
      <w:suff w:val="nothing"/>
      <w:lvlText w:val="%1　"/>
      <w:lvlJc w:val="left"/>
      <w:pPr>
        <w:ind w:left="0" w:firstLine="400"/>
      </w:pPr>
      <w:rPr>
        <w:rFonts w:hint="eastAsia"/>
      </w:rPr>
    </w:lvl>
  </w:abstractNum>
  <w:abstractNum w:abstractNumId="26">
    <w:nsid w:val="2523A3C7"/>
    <w:multiLevelType w:val="singleLevel"/>
    <w:tmpl w:val="2523A3C7"/>
    <w:lvl w:ilvl="0" w:tentative="0">
      <w:start w:val="1"/>
      <w:numFmt w:val="decimalEnclosedCircleChinese"/>
      <w:suff w:val="nothing"/>
      <w:lvlText w:val="%1　"/>
      <w:lvlJc w:val="left"/>
      <w:pPr>
        <w:ind w:left="0" w:firstLine="400"/>
      </w:pPr>
      <w:rPr>
        <w:rFonts w:hint="eastAsia"/>
      </w:rPr>
    </w:lvl>
  </w:abstractNum>
  <w:abstractNum w:abstractNumId="27">
    <w:nsid w:val="2E7158FA"/>
    <w:multiLevelType w:val="singleLevel"/>
    <w:tmpl w:val="2E7158FA"/>
    <w:lvl w:ilvl="0" w:tentative="0">
      <w:start w:val="1"/>
      <w:numFmt w:val="decimal"/>
      <w:suff w:val="nothing"/>
      <w:lvlText w:val="%1．"/>
      <w:lvlJc w:val="left"/>
      <w:pPr>
        <w:ind w:left="0" w:firstLine="400"/>
      </w:pPr>
      <w:rPr>
        <w:rFonts w:hint="default"/>
      </w:rPr>
    </w:lvl>
  </w:abstractNum>
  <w:abstractNum w:abstractNumId="28">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29">
    <w:nsid w:val="50537FE2"/>
    <w:multiLevelType w:val="singleLevel"/>
    <w:tmpl w:val="50537FE2"/>
    <w:lvl w:ilvl="0" w:tentative="0">
      <w:start w:val="1"/>
      <w:numFmt w:val="decimalEnclosedCircleChinese"/>
      <w:suff w:val="nothing"/>
      <w:lvlText w:val="%1　"/>
      <w:lvlJc w:val="left"/>
      <w:pPr>
        <w:ind w:left="0" w:firstLine="400"/>
      </w:pPr>
      <w:rPr>
        <w:rFonts w:hint="eastAsia"/>
      </w:rPr>
    </w:lvl>
  </w:abstractNum>
  <w:abstractNum w:abstractNumId="30">
    <w:nsid w:val="62B2F8B3"/>
    <w:multiLevelType w:val="singleLevel"/>
    <w:tmpl w:val="62B2F8B3"/>
    <w:lvl w:ilvl="0" w:tentative="0">
      <w:start w:val="1"/>
      <w:numFmt w:val="decimalEnclosedCircleChinese"/>
      <w:suff w:val="nothing"/>
      <w:lvlText w:val="%1　"/>
      <w:lvlJc w:val="left"/>
      <w:pPr>
        <w:ind w:left="0" w:firstLine="1134"/>
      </w:pPr>
      <w:rPr>
        <w:rFonts w:hint="eastAsia"/>
      </w:rPr>
    </w:lvl>
  </w:abstractNum>
  <w:abstractNum w:abstractNumId="31">
    <w:nsid w:val="6958DB03"/>
    <w:multiLevelType w:val="singleLevel"/>
    <w:tmpl w:val="6958DB03"/>
    <w:lvl w:ilvl="0" w:tentative="0">
      <w:start w:val="1"/>
      <w:numFmt w:val="decimal"/>
      <w:suff w:val="nothing"/>
      <w:lvlText w:val="%1．"/>
      <w:lvlJc w:val="left"/>
      <w:pPr>
        <w:ind w:left="0" w:firstLine="400"/>
      </w:pPr>
      <w:rPr>
        <w:rFonts w:hint="default"/>
        <w:sz w:val="24"/>
        <w:szCs w:val="24"/>
      </w:rPr>
    </w:lvl>
  </w:abstractNum>
  <w:num w:numId="1">
    <w:abstractNumId w:val="20"/>
  </w:num>
  <w:num w:numId="2">
    <w:abstractNumId w:val="16"/>
  </w:num>
  <w:num w:numId="3">
    <w:abstractNumId w:val="0"/>
  </w:num>
  <w:num w:numId="4">
    <w:abstractNumId w:val="13"/>
  </w:num>
  <w:num w:numId="5">
    <w:abstractNumId w:val="22"/>
  </w:num>
  <w:num w:numId="6">
    <w:abstractNumId w:val="23"/>
  </w:num>
  <w:num w:numId="7">
    <w:abstractNumId w:val="17"/>
  </w:num>
  <w:num w:numId="8">
    <w:abstractNumId w:val="14"/>
  </w:num>
  <w:num w:numId="9">
    <w:abstractNumId w:val="15"/>
  </w:num>
  <w:num w:numId="10">
    <w:abstractNumId w:val="21"/>
  </w:num>
  <w:num w:numId="11">
    <w:abstractNumId w:val="8"/>
  </w:num>
  <w:num w:numId="12">
    <w:abstractNumId w:val="12"/>
  </w:num>
  <w:num w:numId="13">
    <w:abstractNumId w:val="10"/>
  </w:num>
  <w:num w:numId="14">
    <w:abstractNumId w:val="18"/>
  </w:num>
  <w:num w:numId="15">
    <w:abstractNumId w:val="2"/>
  </w:num>
  <w:num w:numId="16">
    <w:abstractNumId w:val="4"/>
  </w:num>
  <w:num w:numId="17">
    <w:abstractNumId w:val="31"/>
  </w:num>
  <w:num w:numId="18">
    <w:abstractNumId w:val="3"/>
  </w:num>
  <w:num w:numId="19">
    <w:abstractNumId w:val="27"/>
  </w:num>
  <w:num w:numId="20">
    <w:abstractNumId w:val="5"/>
  </w:num>
  <w:num w:numId="21">
    <w:abstractNumId w:val="7"/>
  </w:num>
  <w:num w:numId="22">
    <w:abstractNumId w:val="24"/>
  </w:num>
  <w:num w:numId="23">
    <w:abstractNumId w:val="29"/>
  </w:num>
  <w:num w:numId="24">
    <w:abstractNumId w:val="26"/>
  </w:num>
  <w:num w:numId="25">
    <w:abstractNumId w:val="25"/>
  </w:num>
  <w:num w:numId="26">
    <w:abstractNumId w:val="28"/>
  </w:num>
  <w:num w:numId="27">
    <w:abstractNumId w:val="11"/>
  </w:num>
  <w:num w:numId="28">
    <w:abstractNumId w:val="19"/>
  </w:num>
  <w:num w:numId="29">
    <w:abstractNumId w:val="9"/>
  </w:num>
  <w:num w:numId="30">
    <w:abstractNumId w:val="6"/>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WVhZTE5NzUyOGY3OTlkNzJlZjU1NTBlMWNkYmEifQ=="/>
  </w:docVars>
  <w:rsids>
    <w:rsidRoot w:val="009238AE"/>
    <w:rsid w:val="00005CCA"/>
    <w:rsid w:val="000203FD"/>
    <w:rsid w:val="00024E8A"/>
    <w:rsid w:val="0006698C"/>
    <w:rsid w:val="0007016B"/>
    <w:rsid w:val="00085977"/>
    <w:rsid w:val="000A118A"/>
    <w:rsid w:val="000A79C7"/>
    <w:rsid w:val="000B3ED2"/>
    <w:rsid w:val="000E253D"/>
    <w:rsid w:val="00104083"/>
    <w:rsid w:val="0011189F"/>
    <w:rsid w:val="0015334C"/>
    <w:rsid w:val="00155EC9"/>
    <w:rsid w:val="00162F4F"/>
    <w:rsid w:val="001B53CA"/>
    <w:rsid w:val="001C462B"/>
    <w:rsid w:val="0020596C"/>
    <w:rsid w:val="00241844"/>
    <w:rsid w:val="0028336A"/>
    <w:rsid w:val="00284BAC"/>
    <w:rsid w:val="002C77B0"/>
    <w:rsid w:val="002D0F58"/>
    <w:rsid w:val="00300697"/>
    <w:rsid w:val="003027E9"/>
    <w:rsid w:val="00303700"/>
    <w:rsid w:val="0032770A"/>
    <w:rsid w:val="003410EC"/>
    <w:rsid w:val="00370C7E"/>
    <w:rsid w:val="003A688A"/>
    <w:rsid w:val="003B0FBD"/>
    <w:rsid w:val="003E654D"/>
    <w:rsid w:val="00421375"/>
    <w:rsid w:val="00440364"/>
    <w:rsid w:val="00444CA1"/>
    <w:rsid w:val="0044577A"/>
    <w:rsid w:val="00451447"/>
    <w:rsid w:val="004762C8"/>
    <w:rsid w:val="0047670C"/>
    <w:rsid w:val="0048177D"/>
    <w:rsid w:val="004E31A0"/>
    <w:rsid w:val="004F00E1"/>
    <w:rsid w:val="004F5BEC"/>
    <w:rsid w:val="00505860"/>
    <w:rsid w:val="00515DC6"/>
    <w:rsid w:val="00521AD2"/>
    <w:rsid w:val="005672F4"/>
    <w:rsid w:val="005A38CC"/>
    <w:rsid w:val="005B4B0B"/>
    <w:rsid w:val="005C4CFE"/>
    <w:rsid w:val="005C7898"/>
    <w:rsid w:val="005F7D83"/>
    <w:rsid w:val="00637E3F"/>
    <w:rsid w:val="00664F5E"/>
    <w:rsid w:val="00685161"/>
    <w:rsid w:val="00697B9C"/>
    <w:rsid w:val="006B2C73"/>
    <w:rsid w:val="006D79B5"/>
    <w:rsid w:val="00702E43"/>
    <w:rsid w:val="00705638"/>
    <w:rsid w:val="00715EF9"/>
    <w:rsid w:val="00716322"/>
    <w:rsid w:val="00723887"/>
    <w:rsid w:val="007455BE"/>
    <w:rsid w:val="00754D5C"/>
    <w:rsid w:val="0078092C"/>
    <w:rsid w:val="00796F9A"/>
    <w:rsid w:val="007B2EAC"/>
    <w:rsid w:val="007B3B5A"/>
    <w:rsid w:val="007D144C"/>
    <w:rsid w:val="00802745"/>
    <w:rsid w:val="00845C29"/>
    <w:rsid w:val="008578AA"/>
    <w:rsid w:val="00867CCF"/>
    <w:rsid w:val="00873316"/>
    <w:rsid w:val="0087730C"/>
    <w:rsid w:val="0088699A"/>
    <w:rsid w:val="008B3887"/>
    <w:rsid w:val="008C5044"/>
    <w:rsid w:val="008C72CC"/>
    <w:rsid w:val="008E34EF"/>
    <w:rsid w:val="009050C0"/>
    <w:rsid w:val="009238AE"/>
    <w:rsid w:val="009443F5"/>
    <w:rsid w:val="00981653"/>
    <w:rsid w:val="00994F88"/>
    <w:rsid w:val="009D13B3"/>
    <w:rsid w:val="009E2834"/>
    <w:rsid w:val="00A1456B"/>
    <w:rsid w:val="00A15D82"/>
    <w:rsid w:val="00A230E7"/>
    <w:rsid w:val="00A50683"/>
    <w:rsid w:val="00A56072"/>
    <w:rsid w:val="00A82D20"/>
    <w:rsid w:val="00A830A7"/>
    <w:rsid w:val="00A87EB2"/>
    <w:rsid w:val="00A97C7C"/>
    <w:rsid w:val="00AC29B4"/>
    <w:rsid w:val="00AE4A15"/>
    <w:rsid w:val="00B023F7"/>
    <w:rsid w:val="00B07915"/>
    <w:rsid w:val="00B248A9"/>
    <w:rsid w:val="00B2593F"/>
    <w:rsid w:val="00B264E1"/>
    <w:rsid w:val="00B7326F"/>
    <w:rsid w:val="00BD7BC2"/>
    <w:rsid w:val="00BF24EF"/>
    <w:rsid w:val="00BF782E"/>
    <w:rsid w:val="00C071E7"/>
    <w:rsid w:val="00C22D51"/>
    <w:rsid w:val="00C53929"/>
    <w:rsid w:val="00C62746"/>
    <w:rsid w:val="00C665DD"/>
    <w:rsid w:val="00C66A5A"/>
    <w:rsid w:val="00C82A9E"/>
    <w:rsid w:val="00C93B35"/>
    <w:rsid w:val="00CA05DC"/>
    <w:rsid w:val="00CA116E"/>
    <w:rsid w:val="00CB6D03"/>
    <w:rsid w:val="00CD0983"/>
    <w:rsid w:val="00D00C45"/>
    <w:rsid w:val="00D1074B"/>
    <w:rsid w:val="00D1598B"/>
    <w:rsid w:val="00D32FE0"/>
    <w:rsid w:val="00D40FE2"/>
    <w:rsid w:val="00D84DC1"/>
    <w:rsid w:val="00DA33C7"/>
    <w:rsid w:val="00DD2C96"/>
    <w:rsid w:val="00DD70BA"/>
    <w:rsid w:val="00DF7FAD"/>
    <w:rsid w:val="00E17F8F"/>
    <w:rsid w:val="00E759DE"/>
    <w:rsid w:val="00E8363E"/>
    <w:rsid w:val="00E863FE"/>
    <w:rsid w:val="00E877D2"/>
    <w:rsid w:val="00EA0CE7"/>
    <w:rsid w:val="00EF3768"/>
    <w:rsid w:val="00F031A7"/>
    <w:rsid w:val="00F11E73"/>
    <w:rsid w:val="00F37C15"/>
    <w:rsid w:val="00F40FD7"/>
    <w:rsid w:val="00F41FDC"/>
    <w:rsid w:val="00F66B7B"/>
    <w:rsid w:val="010D4F6F"/>
    <w:rsid w:val="012D1043"/>
    <w:rsid w:val="014D28C9"/>
    <w:rsid w:val="01610122"/>
    <w:rsid w:val="01780EF9"/>
    <w:rsid w:val="01F43055"/>
    <w:rsid w:val="021138F7"/>
    <w:rsid w:val="02793448"/>
    <w:rsid w:val="02A604C3"/>
    <w:rsid w:val="0321400D"/>
    <w:rsid w:val="03264B38"/>
    <w:rsid w:val="03561F09"/>
    <w:rsid w:val="038B483B"/>
    <w:rsid w:val="04002483"/>
    <w:rsid w:val="040218DF"/>
    <w:rsid w:val="04651CD8"/>
    <w:rsid w:val="050D4E83"/>
    <w:rsid w:val="056D66A4"/>
    <w:rsid w:val="058D5735"/>
    <w:rsid w:val="05A97447"/>
    <w:rsid w:val="05CA098C"/>
    <w:rsid w:val="05DB0134"/>
    <w:rsid w:val="06012177"/>
    <w:rsid w:val="060914B4"/>
    <w:rsid w:val="060A2B37"/>
    <w:rsid w:val="070E4D22"/>
    <w:rsid w:val="075052B9"/>
    <w:rsid w:val="0750564C"/>
    <w:rsid w:val="076C7F12"/>
    <w:rsid w:val="0774295E"/>
    <w:rsid w:val="077706A0"/>
    <w:rsid w:val="077C1812"/>
    <w:rsid w:val="07BE62CF"/>
    <w:rsid w:val="07D07BCF"/>
    <w:rsid w:val="08444A26"/>
    <w:rsid w:val="084D079F"/>
    <w:rsid w:val="086E55FF"/>
    <w:rsid w:val="088D6447"/>
    <w:rsid w:val="08A76D63"/>
    <w:rsid w:val="08C55BC0"/>
    <w:rsid w:val="08EC0FC2"/>
    <w:rsid w:val="08FD6362"/>
    <w:rsid w:val="091361A6"/>
    <w:rsid w:val="095C7F3B"/>
    <w:rsid w:val="09A3577C"/>
    <w:rsid w:val="09D21BBD"/>
    <w:rsid w:val="09E66FF6"/>
    <w:rsid w:val="09F204B1"/>
    <w:rsid w:val="0A051F93"/>
    <w:rsid w:val="0A785CAB"/>
    <w:rsid w:val="0B304DED"/>
    <w:rsid w:val="0B505490"/>
    <w:rsid w:val="0B602D4D"/>
    <w:rsid w:val="0BC419DA"/>
    <w:rsid w:val="0C5B5E0C"/>
    <w:rsid w:val="0C61547A"/>
    <w:rsid w:val="0C711B61"/>
    <w:rsid w:val="0C776A4C"/>
    <w:rsid w:val="0C947E70"/>
    <w:rsid w:val="0CA65374"/>
    <w:rsid w:val="0CE3106D"/>
    <w:rsid w:val="0CFB057E"/>
    <w:rsid w:val="0D2A3ABE"/>
    <w:rsid w:val="0D2C3CDA"/>
    <w:rsid w:val="0D69751F"/>
    <w:rsid w:val="0D935B07"/>
    <w:rsid w:val="0D9C2C0E"/>
    <w:rsid w:val="0E0662D9"/>
    <w:rsid w:val="0E440BB0"/>
    <w:rsid w:val="0E4F1A2E"/>
    <w:rsid w:val="0E5C30EB"/>
    <w:rsid w:val="0E82150F"/>
    <w:rsid w:val="0E8427F1"/>
    <w:rsid w:val="0EC0292C"/>
    <w:rsid w:val="0EE53289"/>
    <w:rsid w:val="0F012947"/>
    <w:rsid w:val="0F5A5782"/>
    <w:rsid w:val="0FEE34C9"/>
    <w:rsid w:val="10152804"/>
    <w:rsid w:val="103F3D25"/>
    <w:rsid w:val="10533CEF"/>
    <w:rsid w:val="105D398B"/>
    <w:rsid w:val="10A2361E"/>
    <w:rsid w:val="10BE2E9B"/>
    <w:rsid w:val="10C009C2"/>
    <w:rsid w:val="11026811"/>
    <w:rsid w:val="11050ACA"/>
    <w:rsid w:val="11082369"/>
    <w:rsid w:val="114E2471"/>
    <w:rsid w:val="11610104"/>
    <w:rsid w:val="116E6670"/>
    <w:rsid w:val="1195606A"/>
    <w:rsid w:val="11A752F3"/>
    <w:rsid w:val="11AB1584"/>
    <w:rsid w:val="11B60016"/>
    <w:rsid w:val="11C6025A"/>
    <w:rsid w:val="11FD5C45"/>
    <w:rsid w:val="121944B6"/>
    <w:rsid w:val="12614426"/>
    <w:rsid w:val="12F708E7"/>
    <w:rsid w:val="12F820F0"/>
    <w:rsid w:val="134F021D"/>
    <w:rsid w:val="13A55A1C"/>
    <w:rsid w:val="13C21665"/>
    <w:rsid w:val="14353438"/>
    <w:rsid w:val="145C6C53"/>
    <w:rsid w:val="14763B5F"/>
    <w:rsid w:val="14A979BF"/>
    <w:rsid w:val="14BE4BEE"/>
    <w:rsid w:val="15246428"/>
    <w:rsid w:val="153638BB"/>
    <w:rsid w:val="15855928"/>
    <w:rsid w:val="15CE1DD3"/>
    <w:rsid w:val="160550C9"/>
    <w:rsid w:val="163A0A31"/>
    <w:rsid w:val="1663076D"/>
    <w:rsid w:val="16861A6A"/>
    <w:rsid w:val="16A63835"/>
    <w:rsid w:val="16BE59A3"/>
    <w:rsid w:val="173C24B9"/>
    <w:rsid w:val="17614581"/>
    <w:rsid w:val="177C58D7"/>
    <w:rsid w:val="178076FA"/>
    <w:rsid w:val="18574301"/>
    <w:rsid w:val="187F440A"/>
    <w:rsid w:val="18C0261F"/>
    <w:rsid w:val="19304397"/>
    <w:rsid w:val="195E6FCA"/>
    <w:rsid w:val="19697EAD"/>
    <w:rsid w:val="19CB0028"/>
    <w:rsid w:val="19FB0881"/>
    <w:rsid w:val="1A3343E7"/>
    <w:rsid w:val="1AA0741A"/>
    <w:rsid w:val="1AE130E7"/>
    <w:rsid w:val="1B3277E5"/>
    <w:rsid w:val="1B3915CB"/>
    <w:rsid w:val="1B391A9C"/>
    <w:rsid w:val="1B3F3E41"/>
    <w:rsid w:val="1BAC4609"/>
    <w:rsid w:val="1C220782"/>
    <w:rsid w:val="1C527621"/>
    <w:rsid w:val="1C56667E"/>
    <w:rsid w:val="1C5E5533"/>
    <w:rsid w:val="1C856F63"/>
    <w:rsid w:val="1CA54AED"/>
    <w:rsid w:val="1CE77446"/>
    <w:rsid w:val="1CF2235B"/>
    <w:rsid w:val="1D2849FC"/>
    <w:rsid w:val="1D557026"/>
    <w:rsid w:val="1D9D670D"/>
    <w:rsid w:val="1DA04055"/>
    <w:rsid w:val="1E5C1674"/>
    <w:rsid w:val="1E6B472F"/>
    <w:rsid w:val="1E8C282B"/>
    <w:rsid w:val="1EAB7E95"/>
    <w:rsid w:val="1EC154C0"/>
    <w:rsid w:val="1EFA1543"/>
    <w:rsid w:val="1F59201C"/>
    <w:rsid w:val="1F8B3D41"/>
    <w:rsid w:val="20093B41"/>
    <w:rsid w:val="20144886"/>
    <w:rsid w:val="20481C2A"/>
    <w:rsid w:val="20AA294C"/>
    <w:rsid w:val="20EA1A9C"/>
    <w:rsid w:val="210E7F88"/>
    <w:rsid w:val="21B77D3E"/>
    <w:rsid w:val="21BC6F83"/>
    <w:rsid w:val="21C253D4"/>
    <w:rsid w:val="21D52DE3"/>
    <w:rsid w:val="22237002"/>
    <w:rsid w:val="22431452"/>
    <w:rsid w:val="22460F43"/>
    <w:rsid w:val="22671D2E"/>
    <w:rsid w:val="22721D38"/>
    <w:rsid w:val="22B17C1F"/>
    <w:rsid w:val="23164DB9"/>
    <w:rsid w:val="238C393C"/>
    <w:rsid w:val="23C94C90"/>
    <w:rsid w:val="23FC2684"/>
    <w:rsid w:val="242A0B1C"/>
    <w:rsid w:val="2451181A"/>
    <w:rsid w:val="247E6772"/>
    <w:rsid w:val="24B77ED6"/>
    <w:rsid w:val="25421E95"/>
    <w:rsid w:val="255045B2"/>
    <w:rsid w:val="257D3282"/>
    <w:rsid w:val="259D3570"/>
    <w:rsid w:val="25C60622"/>
    <w:rsid w:val="262707EE"/>
    <w:rsid w:val="26770E32"/>
    <w:rsid w:val="268B591C"/>
    <w:rsid w:val="26962499"/>
    <w:rsid w:val="273D56AC"/>
    <w:rsid w:val="273E0AF5"/>
    <w:rsid w:val="276E2ACE"/>
    <w:rsid w:val="27D75F18"/>
    <w:rsid w:val="2849353B"/>
    <w:rsid w:val="286E4D4F"/>
    <w:rsid w:val="28980A8C"/>
    <w:rsid w:val="28A27323"/>
    <w:rsid w:val="28B210E0"/>
    <w:rsid w:val="28D15A0A"/>
    <w:rsid w:val="28E84B02"/>
    <w:rsid w:val="28FE4325"/>
    <w:rsid w:val="291678C1"/>
    <w:rsid w:val="29284782"/>
    <w:rsid w:val="29554CC7"/>
    <w:rsid w:val="29F714A0"/>
    <w:rsid w:val="2A554419"/>
    <w:rsid w:val="2AA25646"/>
    <w:rsid w:val="2AF44D0C"/>
    <w:rsid w:val="2B230339"/>
    <w:rsid w:val="2B4E4183"/>
    <w:rsid w:val="2B8878D2"/>
    <w:rsid w:val="2BA8213A"/>
    <w:rsid w:val="2BC76869"/>
    <w:rsid w:val="2BFB4EE0"/>
    <w:rsid w:val="2C163734"/>
    <w:rsid w:val="2C444745"/>
    <w:rsid w:val="2C7801FB"/>
    <w:rsid w:val="2C7B3A89"/>
    <w:rsid w:val="2CCA4C55"/>
    <w:rsid w:val="2CFD4D78"/>
    <w:rsid w:val="2D2D342B"/>
    <w:rsid w:val="2D526871"/>
    <w:rsid w:val="2D614E83"/>
    <w:rsid w:val="2D6649A5"/>
    <w:rsid w:val="2DA3549B"/>
    <w:rsid w:val="2DD613CD"/>
    <w:rsid w:val="2DDD09AD"/>
    <w:rsid w:val="2DEF4C38"/>
    <w:rsid w:val="2EBD0E37"/>
    <w:rsid w:val="2F17377A"/>
    <w:rsid w:val="2F1E5313"/>
    <w:rsid w:val="2F285C58"/>
    <w:rsid w:val="2F5729E1"/>
    <w:rsid w:val="301306B6"/>
    <w:rsid w:val="30562C99"/>
    <w:rsid w:val="30843129"/>
    <w:rsid w:val="30BF3ADC"/>
    <w:rsid w:val="30FC4805"/>
    <w:rsid w:val="31483112"/>
    <w:rsid w:val="319F5F79"/>
    <w:rsid w:val="319F6C13"/>
    <w:rsid w:val="31F54371"/>
    <w:rsid w:val="325925CC"/>
    <w:rsid w:val="327505AE"/>
    <w:rsid w:val="32FB415D"/>
    <w:rsid w:val="33042538"/>
    <w:rsid w:val="33353039"/>
    <w:rsid w:val="33C1230E"/>
    <w:rsid w:val="347E064D"/>
    <w:rsid w:val="35B1764F"/>
    <w:rsid w:val="3606298D"/>
    <w:rsid w:val="36737BB7"/>
    <w:rsid w:val="367447AA"/>
    <w:rsid w:val="368C5575"/>
    <w:rsid w:val="368F2A60"/>
    <w:rsid w:val="36E7464B"/>
    <w:rsid w:val="37386C54"/>
    <w:rsid w:val="37826121"/>
    <w:rsid w:val="37FE3BB5"/>
    <w:rsid w:val="38012E92"/>
    <w:rsid w:val="381A4C1A"/>
    <w:rsid w:val="386A108F"/>
    <w:rsid w:val="39463128"/>
    <w:rsid w:val="394B3D5E"/>
    <w:rsid w:val="395078BE"/>
    <w:rsid w:val="397F349F"/>
    <w:rsid w:val="399A59A4"/>
    <w:rsid w:val="39BA7DF4"/>
    <w:rsid w:val="39CE7A77"/>
    <w:rsid w:val="39E80A65"/>
    <w:rsid w:val="3A371278"/>
    <w:rsid w:val="3A4257C1"/>
    <w:rsid w:val="3A7C32FC"/>
    <w:rsid w:val="3A9643BE"/>
    <w:rsid w:val="3B056CDE"/>
    <w:rsid w:val="3B55589E"/>
    <w:rsid w:val="3B5D137F"/>
    <w:rsid w:val="3B691AD2"/>
    <w:rsid w:val="3B8701AA"/>
    <w:rsid w:val="3BFC5EF5"/>
    <w:rsid w:val="3C0E3BCD"/>
    <w:rsid w:val="3C1D00E6"/>
    <w:rsid w:val="3C526A0A"/>
    <w:rsid w:val="3C926055"/>
    <w:rsid w:val="3CED228F"/>
    <w:rsid w:val="3D0C7C6A"/>
    <w:rsid w:val="3D6C3AFB"/>
    <w:rsid w:val="3DE81BA1"/>
    <w:rsid w:val="3E1262A1"/>
    <w:rsid w:val="3E481E73"/>
    <w:rsid w:val="3E5F0BC8"/>
    <w:rsid w:val="3E6413FB"/>
    <w:rsid w:val="3E6F56EF"/>
    <w:rsid w:val="3E7A5DA4"/>
    <w:rsid w:val="3ECC2AA4"/>
    <w:rsid w:val="3EED52D5"/>
    <w:rsid w:val="3EF97451"/>
    <w:rsid w:val="3F0338BD"/>
    <w:rsid w:val="3F1921C0"/>
    <w:rsid w:val="3F67457A"/>
    <w:rsid w:val="3F6D089B"/>
    <w:rsid w:val="3FA0189D"/>
    <w:rsid w:val="3FBB0422"/>
    <w:rsid w:val="3FD10F02"/>
    <w:rsid w:val="401D2662"/>
    <w:rsid w:val="40300E10"/>
    <w:rsid w:val="40D411FC"/>
    <w:rsid w:val="40ED2564"/>
    <w:rsid w:val="41083B3B"/>
    <w:rsid w:val="412677B3"/>
    <w:rsid w:val="41563BAD"/>
    <w:rsid w:val="41717932"/>
    <w:rsid w:val="41DB1250"/>
    <w:rsid w:val="41E77D4E"/>
    <w:rsid w:val="4227271E"/>
    <w:rsid w:val="42332E3A"/>
    <w:rsid w:val="42383FAC"/>
    <w:rsid w:val="4246491B"/>
    <w:rsid w:val="427C5B2B"/>
    <w:rsid w:val="42AE6605"/>
    <w:rsid w:val="42F223AD"/>
    <w:rsid w:val="43065D95"/>
    <w:rsid w:val="430D368B"/>
    <w:rsid w:val="431E13F4"/>
    <w:rsid w:val="43217136"/>
    <w:rsid w:val="432E0F3D"/>
    <w:rsid w:val="436314FD"/>
    <w:rsid w:val="43860D47"/>
    <w:rsid w:val="43A5429B"/>
    <w:rsid w:val="43AE2740"/>
    <w:rsid w:val="43C7572E"/>
    <w:rsid w:val="446C5274"/>
    <w:rsid w:val="44A818BD"/>
    <w:rsid w:val="44F54ABA"/>
    <w:rsid w:val="45050ADD"/>
    <w:rsid w:val="452A09FE"/>
    <w:rsid w:val="4691012F"/>
    <w:rsid w:val="46A04887"/>
    <w:rsid w:val="46AB2EEC"/>
    <w:rsid w:val="46DB5C5C"/>
    <w:rsid w:val="473016F6"/>
    <w:rsid w:val="47463507"/>
    <w:rsid w:val="474F5CEF"/>
    <w:rsid w:val="47B47B3D"/>
    <w:rsid w:val="47B95B8F"/>
    <w:rsid w:val="481E59F2"/>
    <w:rsid w:val="48323711"/>
    <w:rsid w:val="48871B22"/>
    <w:rsid w:val="48A00CF2"/>
    <w:rsid w:val="48A979B2"/>
    <w:rsid w:val="490E445B"/>
    <w:rsid w:val="491134DD"/>
    <w:rsid w:val="4968786D"/>
    <w:rsid w:val="496C1F64"/>
    <w:rsid w:val="497C0C22"/>
    <w:rsid w:val="49912157"/>
    <w:rsid w:val="4A4A0D21"/>
    <w:rsid w:val="4AC01E1F"/>
    <w:rsid w:val="4ACA04B8"/>
    <w:rsid w:val="4B212CAE"/>
    <w:rsid w:val="4B294DDA"/>
    <w:rsid w:val="4B306168"/>
    <w:rsid w:val="4B785BC2"/>
    <w:rsid w:val="4BC6475E"/>
    <w:rsid w:val="4C1A52C1"/>
    <w:rsid w:val="4C2702BD"/>
    <w:rsid w:val="4C2F1992"/>
    <w:rsid w:val="4C6D441A"/>
    <w:rsid w:val="4C8061AE"/>
    <w:rsid w:val="4C9D782D"/>
    <w:rsid w:val="4CBD77C6"/>
    <w:rsid w:val="4CC254E6"/>
    <w:rsid w:val="4CE70AA9"/>
    <w:rsid w:val="4CE92345"/>
    <w:rsid w:val="4D3E4FD6"/>
    <w:rsid w:val="4D444623"/>
    <w:rsid w:val="4D491ACC"/>
    <w:rsid w:val="4D8D1EE7"/>
    <w:rsid w:val="4DDA5E53"/>
    <w:rsid w:val="4E1E499E"/>
    <w:rsid w:val="4E6A5E2E"/>
    <w:rsid w:val="4EB166F3"/>
    <w:rsid w:val="4ECB2ED2"/>
    <w:rsid w:val="4ED212E5"/>
    <w:rsid w:val="4F3C190A"/>
    <w:rsid w:val="4F6E05EC"/>
    <w:rsid w:val="4F6E3703"/>
    <w:rsid w:val="4FBA4253"/>
    <w:rsid w:val="4FBF3F5F"/>
    <w:rsid w:val="505422DB"/>
    <w:rsid w:val="50611726"/>
    <w:rsid w:val="5071777D"/>
    <w:rsid w:val="512630B2"/>
    <w:rsid w:val="5139014B"/>
    <w:rsid w:val="514359C6"/>
    <w:rsid w:val="51AC406F"/>
    <w:rsid w:val="51AE7DE7"/>
    <w:rsid w:val="51C70EA9"/>
    <w:rsid w:val="51D33CF1"/>
    <w:rsid w:val="520E2829"/>
    <w:rsid w:val="521215D8"/>
    <w:rsid w:val="522442E3"/>
    <w:rsid w:val="522A34E1"/>
    <w:rsid w:val="525E7637"/>
    <w:rsid w:val="526F4A42"/>
    <w:rsid w:val="52977F96"/>
    <w:rsid w:val="53570112"/>
    <w:rsid w:val="53607807"/>
    <w:rsid w:val="539841AD"/>
    <w:rsid w:val="53BE6DFC"/>
    <w:rsid w:val="53BF0089"/>
    <w:rsid w:val="543976F9"/>
    <w:rsid w:val="547215A0"/>
    <w:rsid w:val="548B49C4"/>
    <w:rsid w:val="54A0579F"/>
    <w:rsid w:val="54EB4EAE"/>
    <w:rsid w:val="551C775D"/>
    <w:rsid w:val="555315B8"/>
    <w:rsid w:val="55531BB3"/>
    <w:rsid w:val="555D2250"/>
    <w:rsid w:val="5560764A"/>
    <w:rsid w:val="55A25EB5"/>
    <w:rsid w:val="55C37BD9"/>
    <w:rsid w:val="55E22755"/>
    <w:rsid w:val="560B7461"/>
    <w:rsid w:val="5627460C"/>
    <w:rsid w:val="57574A7D"/>
    <w:rsid w:val="57650F48"/>
    <w:rsid w:val="57A8352A"/>
    <w:rsid w:val="57ED39CE"/>
    <w:rsid w:val="5804640C"/>
    <w:rsid w:val="5839498E"/>
    <w:rsid w:val="58472D43"/>
    <w:rsid w:val="58966A77"/>
    <w:rsid w:val="58D36385"/>
    <w:rsid w:val="5906675A"/>
    <w:rsid w:val="5908019E"/>
    <w:rsid w:val="599F5267"/>
    <w:rsid w:val="59BD21C9"/>
    <w:rsid w:val="59ED47A7"/>
    <w:rsid w:val="5A5E2E5F"/>
    <w:rsid w:val="5AB21CD6"/>
    <w:rsid w:val="5AE915D3"/>
    <w:rsid w:val="5AFF7905"/>
    <w:rsid w:val="5B1A4A81"/>
    <w:rsid w:val="5B285B06"/>
    <w:rsid w:val="5B5F0829"/>
    <w:rsid w:val="5BA50C1B"/>
    <w:rsid w:val="5BC052E6"/>
    <w:rsid w:val="5BF810FD"/>
    <w:rsid w:val="5C1D6295"/>
    <w:rsid w:val="5CF35248"/>
    <w:rsid w:val="5CF56286"/>
    <w:rsid w:val="5D582069"/>
    <w:rsid w:val="5D6D4A27"/>
    <w:rsid w:val="5D9B70D9"/>
    <w:rsid w:val="5DAD189A"/>
    <w:rsid w:val="5DD37B37"/>
    <w:rsid w:val="5DF03535"/>
    <w:rsid w:val="5E1D59BE"/>
    <w:rsid w:val="5E800D5D"/>
    <w:rsid w:val="5E8F7F57"/>
    <w:rsid w:val="5F4E2554"/>
    <w:rsid w:val="5F5B78AA"/>
    <w:rsid w:val="5F5E65E2"/>
    <w:rsid w:val="5F642F67"/>
    <w:rsid w:val="5FC23025"/>
    <w:rsid w:val="5FCA7075"/>
    <w:rsid w:val="5FD252E9"/>
    <w:rsid w:val="6021123C"/>
    <w:rsid w:val="6025396A"/>
    <w:rsid w:val="603A2AAE"/>
    <w:rsid w:val="60682812"/>
    <w:rsid w:val="60934D78"/>
    <w:rsid w:val="60C76BAD"/>
    <w:rsid w:val="6129252B"/>
    <w:rsid w:val="613A6544"/>
    <w:rsid w:val="616C22EB"/>
    <w:rsid w:val="617032A7"/>
    <w:rsid w:val="62A766D6"/>
    <w:rsid w:val="62C51434"/>
    <w:rsid w:val="630B45FD"/>
    <w:rsid w:val="63212B0F"/>
    <w:rsid w:val="634B193A"/>
    <w:rsid w:val="640815D9"/>
    <w:rsid w:val="646644B8"/>
    <w:rsid w:val="646803AF"/>
    <w:rsid w:val="646D768E"/>
    <w:rsid w:val="6494763E"/>
    <w:rsid w:val="6497295D"/>
    <w:rsid w:val="64D64FF8"/>
    <w:rsid w:val="6543667F"/>
    <w:rsid w:val="655874CF"/>
    <w:rsid w:val="65921AA2"/>
    <w:rsid w:val="659375C8"/>
    <w:rsid w:val="65A17F37"/>
    <w:rsid w:val="65A25A5D"/>
    <w:rsid w:val="66106E6A"/>
    <w:rsid w:val="66402691"/>
    <w:rsid w:val="667D5043"/>
    <w:rsid w:val="66833990"/>
    <w:rsid w:val="668E35D0"/>
    <w:rsid w:val="66C13CC1"/>
    <w:rsid w:val="66EF6A80"/>
    <w:rsid w:val="670755B5"/>
    <w:rsid w:val="670D42A8"/>
    <w:rsid w:val="671B2960"/>
    <w:rsid w:val="67270AFC"/>
    <w:rsid w:val="67980EC5"/>
    <w:rsid w:val="67B53825"/>
    <w:rsid w:val="684F2AAF"/>
    <w:rsid w:val="68563D4B"/>
    <w:rsid w:val="68A614C4"/>
    <w:rsid w:val="68B034CF"/>
    <w:rsid w:val="68C006D4"/>
    <w:rsid w:val="6922414A"/>
    <w:rsid w:val="69403FFD"/>
    <w:rsid w:val="694C01BA"/>
    <w:rsid w:val="69F61ED3"/>
    <w:rsid w:val="69FC398E"/>
    <w:rsid w:val="6A5F639F"/>
    <w:rsid w:val="6A6D03E7"/>
    <w:rsid w:val="6A740BDF"/>
    <w:rsid w:val="6AC12A02"/>
    <w:rsid w:val="6ADC2A52"/>
    <w:rsid w:val="6AE43E37"/>
    <w:rsid w:val="6B0B2E5E"/>
    <w:rsid w:val="6B134305"/>
    <w:rsid w:val="6B1C3BBC"/>
    <w:rsid w:val="6B480E55"/>
    <w:rsid w:val="6B482C03"/>
    <w:rsid w:val="6B551715"/>
    <w:rsid w:val="6BF15048"/>
    <w:rsid w:val="6C054650"/>
    <w:rsid w:val="6C1B1618"/>
    <w:rsid w:val="6C357F24"/>
    <w:rsid w:val="6CBC5656"/>
    <w:rsid w:val="6CDA788A"/>
    <w:rsid w:val="6CE50136"/>
    <w:rsid w:val="6D17599C"/>
    <w:rsid w:val="6DBE53FE"/>
    <w:rsid w:val="6DFE6BFE"/>
    <w:rsid w:val="6E245261"/>
    <w:rsid w:val="6E435AAD"/>
    <w:rsid w:val="6E8403F6"/>
    <w:rsid w:val="6EB74327"/>
    <w:rsid w:val="6EBC3616"/>
    <w:rsid w:val="6EC802E2"/>
    <w:rsid w:val="6EC9762C"/>
    <w:rsid w:val="6F147191"/>
    <w:rsid w:val="6F435BBB"/>
    <w:rsid w:val="6F865A8D"/>
    <w:rsid w:val="6F877523"/>
    <w:rsid w:val="6FEC4AAF"/>
    <w:rsid w:val="70177541"/>
    <w:rsid w:val="703B2D36"/>
    <w:rsid w:val="708C3591"/>
    <w:rsid w:val="7095142B"/>
    <w:rsid w:val="70B825D8"/>
    <w:rsid w:val="70CA1DBF"/>
    <w:rsid w:val="70D70CB1"/>
    <w:rsid w:val="70F0272D"/>
    <w:rsid w:val="71B44B4E"/>
    <w:rsid w:val="71B81C2B"/>
    <w:rsid w:val="71CB1E97"/>
    <w:rsid w:val="71F80EDE"/>
    <w:rsid w:val="72031631"/>
    <w:rsid w:val="720A0C12"/>
    <w:rsid w:val="722F2426"/>
    <w:rsid w:val="72480C3E"/>
    <w:rsid w:val="725400DF"/>
    <w:rsid w:val="72C45265"/>
    <w:rsid w:val="72FF44EF"/>
    <w:rsid w:val="730C076A"/>
    <w:rsid w:val="731410BE"/>
    <w:rsid w:val="735E7467"/>
    <w:rsid w:val="737A0D30"/>
    <w:rsid w:val="739130AC"/>
    <w:rsid w:val="73942E89"/>
    <w:rsid w:val="73AD3F4B"/>
    <w:rsid w:val="73EF1E6D"/>
    <w:rsid w:val="73F676A0"/>
    <w:rsid w:val="74675EA7"/>
    <w:rsid w:val="7476002A"/>
    <w:rsid w:val="748527D2"/>
    <w:rsid w:val="74A4534E"/>
    <w:rsid w:val="75357D54"/>
    <w:rsid w:val="75B50E95"/>
    <w:rsid w:val="75F8202E"/>
    <w:rsid w:val="76B33626"/>
    <w:rsid w:val="76BB5D67"/>
    <w:rsid w:val="76C577E3"/>
    <w:rsid w:val="76D072EC"/>
    <w:rsid w:val="76DE38DC"/>
    <w:rsid w:val="772A140E"/>
    <w:rsid w:val="77B82505"/>
    <w:rsid w:val="77EB2CC5"/>
    <w:rsid w:val="7835388F"/>
    <w:rsid w:val="785726D7"/>
    <w:rsid w:val="78AF4C7D"/>
    <w:rsid w:val="78EC76B9"/>
    <w:rsid w:val="792F71B0"/>
    <w:rsid w:val="793D7B1F"/>
    <w:rsid w:val="798C3A01"/>
    <w:rsid w:val="79951709"/>
    <w:rsid w:val="79D0629D"/>
    <w:rsid w:val="79F15C6F"/>
    <w:rsid w:val="7A545120"/>
    <w:rsid w:val="7AA03EC1"/>
    <w:rsid w:val="7AE83ABA"/>
    <w:rsid w:val="7B0326A2"/>
    <w:rsid w:val="7B1339EF"/>
    <w:rsid w:val="7B1838E2"/>
    <w:rsid w:val="7B1C223C"/>
    <w:rsid w:val="7BD34156"/>
    <w:rsid w:val="7C2B5911"/>
    <w:rsid w:val="7C336FB7"/>
    <w:rsid w:val="7C5E2FB2"/>
    <w:rsid w:val="7C885721"/>
    <w:rsid w:val="7CA010C3"/>
    <w:rsid w:val="7CBA4FE2"/>
    <w:rsid w:val="7CCC6C3D"/>
    <w:rsid w:val="7D0970D9"/>
    <w:rsid w:val="7D32667E"/>
    <w:rsid w:val="7D431C3D"/>
    <w:rsid w:val="7D537911"/>
    <w:rsid w:val="7D8775BA"/>
    <w:rsid w:val="7DBF628F"/>
    <w:rsid w:val="7DE06322"/>
    <w:rsid w:val="7E0155BF"/>
    <w:rsid w:val="7E0A192A"/>
    <w:rsid w:val="7E9A50CB"/>
    <w:rsid w:val="7E9E2E0E"/>
    <w:rsid w:val="7ED20D09"/>
    <w:rsid w:val="7EFE3F33"/>
    <w:rsid w:val="7F08297D"/>
    <w:rsid w:val="7F357D50"/>
    <w:rsid w:val="7F477001"/>
    <w:rsid w:val="7F707C99"/>
    <w:rsid w:val="7FB0104A"/>
    <w:rsid w:val="7FC22B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37"/>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4"/>
    <w:link w:val="38"/>
    <w:qFormat/>
    <w:uiPriority w:val="99"/>
    <w:pPr>
      <w:keepNext/>
      <w:spacing w:line="216" w:lineRule="auto"/>
      <w:outlineLvl w:val="1"/>
    </w:pPr>
    <w:rPr>
      <w:rFonts w:ascii="宋体" w:hAnsi="宋体" w:cs="宋体"/>
      <w:b/>
      <w:bCs/>
      <w:sz w:val="24"/>
      <w:szCs w:val="28"/>
    </w:rPr>
  </w:style>
  <w:style w:type="paragraph" w:styleId="6">
    <w:name w:val="heading 3"/>
    <w:basedOn w:val="1"/>
    <w:next w:val="1"/>
    <w:link w:val="39"/>
    <w:qFormat/>
    <w:uiPriority w:val="99"/>
    <w:pPr>
      <w:keepNext/>
      <w:numPr>
        <w:ilvl w:val="0"/>
        <w:numId w:val="1"/>
      </w:numPr>
      <w:spacing w:line="216" w:lineRule="auto"/>
      <w:outlineLvl w:val="2"/>
    </w:pPr>
    <w:rPr>
      <w:rFonts w:ascii="宋体" w:hAnsi="宋体" w:cs="宋体"/>
      <w:b/>
      <w:bCs/>
      <w:sz w:val="24"/>
      <w:szCs w:val="28"/>
    </w:rPr>
  </w:style>
  <w:style w:type="paragraph" w:styleId="7">
    <w:name w:val="heading 4"/>
    <w:basedOn w:val="1"/>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toc 4"/>
    <w:basedOn w:val="1"/>
    <w:next w:val="1"/>
    <w:qFormat/>
    <w:uiPriority w:val="39"/>
    <w:pPr>
      <w:ind w:left="1260" w:leftChars="600"/>
    </w:pPr>
    <w:rPr>
      <w:szCs w:val="24"/>
    </w:rPr>
  </w:style>
  <w:style w:type="paragraph" w:styleId="8">
    <w:name w:val="annotation text"/>
    <w:basedOn w:val="1"/>
    <w:qFormat/>
    <w:uiPriority w:val="0"/>
    <w:pPr>
      <w:jc w:val="left"/>
    </w:pPr>
  </w:style>
  <w:style w:type="paragraph" w:styleId="9">
    <w:name w:val="Body Text"/>
    <w:basedOn w:val="1"/>
    <w:next w:val="10"/>
    <w:link w:val="40"/>
    <w:qFormat/>
    <w:uiPriority w:val="99"/>
  </w:style>
  <w:style w:type="paragraph" w:customStyle="1" w:styleId="10">
    <w:name w:val="正文首行缩进1"/>
    <w:basedOn w:val="9"/>
    <w:qFormat/>
    <w:uiPriority w:val="0"/>
    <w:pPr>
      <w:tabs>
        <w:tab w:val="left" w:pos="1275"/>
      </w:tabs>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11">
    <w:name w:val="Body Text Indent"/>
    <w:basedOn w:val="1"/>
    <w:next w:val="12"/>
    <w:link w:val="46"/>
    <w:qFormat/>
    <w:uiPriority w:val="99"/>
    <w:pPr>
      <w:adjustRightInd w:val="0"/>
      <w:spacing w:line="360" w:lineRule="auto"/>
      <w:ind w:firstLine="490"/>
    </w:pPr>
    <w:rPr>
      <w:rFonts w:ascii="宋体" w:hAnsi="宋体" w:cs="宋体"/>
      <w:sz w:val="24"/>
      <w:szCs w:val="24"/>
    </w:rPr>
  </w:style>
  <w:style w:type="paragraph" w:customStyle="1" w:styleId="12">
    <w:name w:val="样式 正文文本缩进 + 左  0 字符"/>
    <w:basedOn w:val="1"/>
    <w:next w:val="13"/>
    <w:qFormat/>
    <w:uiPriority w:val="0"/>
    <w:pPr>
      <w:ind w:firstLine="645"/>
    </w:pPr>
    <w:rPr>
      <w:rFonts w:ascii="楷体_GB2312" w:eastAsia="楷体_GB2312"/>
      <w:sz w:val="24"/>
      <w:szCs w:val="20"/>
    </w:rPr>
  </w:style>
  <w:style w:type="paragraph" w:customStyle="1" w:styleId="13">
    <w:name w:val="MM Topic 4"/>
    <w:basedOn w:val="7"/>
    <w:qFormat/>
    <w:uiPriority w:val="0"/>
    <w:pPr>
      <w:numPr>
        <w:ilvl w:val="0"/>
        <w:numId w:val="2"/>
      </w:numPr>
      <w:tabs>
        <w:tab w:val="left" w:pos="2100"/>
      </w:tabs>
      <w:adjustRightInd/>
    </w:pPr>
    <w:rPr>
      <w:lang w:val="en-US"/>
    </w:rPr>
  </w:style>
  <w:style w:type="paragraph" w:styleId="14">
    <w:name w:val="toc 3"/>
    <w:next w:val="1"/>
    <w:qFormat/>
    <w:uiPriority w:val="99"/>
    <w:pPr>
      <w:ind w:left="840" w:leftChars="400"/>
    </w:pPr>
    <w:rPr>
      <w:rFonts w:ascii="Times New Roman" w:hAnsi="Times New Roman" w:eastAsia="宋体" w:cs="Times New Roman"/>
      <w:lang w:val="en-US" w:eastAsia="zh-CN" w:bidi="ar-SA"/>
    </w:rPr>
  </w:style>
  <w:style w:type="paragraph" w:styleId="15">
    <w:name w:val="Plain Text"/>
    <w:basedOn w:val="1"/>
    <w:next w:val="1"/>
    <w:link w:val="47"/>
    <w:qFormat/>
    <w:uiPriority w:val="0"/>
    <w:rPr>
      <w:rFonts w:ascii="宋体" w:hAnsi="Courier New" w:cs="宋体"/>
    </w:rPr>
  </w:style>
  <w:style w:type="paragraph" w:styleId="16">
    <w:name w:val="Date"/>
    <w:basedOn w:val="1"/>
    <w:next w:val="1"/>
    <w:link w:val="48"/>
    <w:qFormat/>
    <w:uiPriority w:val="99"/>
    <w:pPr>
      <w:ind w:left="100" w:leftChars="2500"/>
    </w:pPr>
    <w:rPr>
      <w:rFonts w:ascii="宋体" w:hAnsi="宋体" w:cs="宋体"/>
      <w:color w:val="000000"/>
      <w:sz w:val="24"/>
      <w:szCs w:val="24"/>
    </w:rPr>
  </w:style>
  <w:style w:type="paragraph" w:styleId="17">
    <w:name w:val="Balloon Text"/>
    <w:link w:val="49"/>
    <w:qFormat/>
    <w:uiPriority w:val="99"/>
    <w:rPr>
      <w:rFonts w:ascii="Times New Roman" w:hAnsi="Times New Roman" w:eastAsia="宋体" w:cs="Times New Roman"/>
      <w:sz w:val="18"/>
      <w:szCs w:val="18"/>
      <w:lang w:val="en-US" w:eastAsia="zh-CN" w:bidi="ar-SA"/>
    </w:rPr>
  </w:style>
  <w:style w:type="paragraph" w:styleId="18">
    <w:name w:val="footer"/>
    <w:basedOn w:val="1"/>
    <w:link w:val="50"/>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9">
    <w:name w:val="header"/>
    <w:link w:val="5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20">
    <w:name w:val="toc 1"/>
    <w:next w:val="1"/>
    <w:qFormat/>
    <w:uiPriority w:val="99"/>
    <w:rPr>
      <w:rFonts w:ascii="Times New Roman" w:hAnsi="Times New Roman" w:eastAsia="宋体" w:cs="Times New Roman"/>
      <w:lang w:val="en-US" w:eastAsia="zh-CN" w:bidi="ar-SA"/>
    </w:rPr>
  </w:style>
  <w:style w:type="paragraph" w:styleId="21">
    <w:name w:val="Subtitle"/>
    <w:basedOn w:val="1"/>
    <w:next w:val="1"/>
    <w:link w:val="72"/>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2">
    <w:name w:val="toc 6"/>
    <w:basedOn w:val="1"/>
    <w:next w:val="1"/>
    <w:qFormat/>
    <w:uiPriority w:val="0"/>
    <w:pPr>
      <w:ind w:left="2100" w:leftChars="1000"/>
    </w:pPr>
    <w:rPr>
      <w:kern w:val="2"/>
      <w:sz w:val="21"/>
      <w:szCs w:val="24"/>
    </w:rPr>
  </w:style>
  <w:style w:type="paragraph" w:styleId="23">
    <w:name w:val="toc 2"/>
    <w:next w:val="1"/>
    <w:qFormat/>
    <w:uiPriority w:val="99"/>
    <w:pPr>
      <w:ind w:left="420" w:leftChars="200"/>
    </w:pPr>
    <w:rPr>
      <w:rFonts w:ascii="Times New Roman" w:hAnsi="Times New Roman" w:eastAsia="宋体" w:cs="Times New Roman"/>
      <w:lang w:val="en-US" w:eastAsia="zh-CN" w:bidi="ar-SA"/>
    </w:rPr>
  </w:style>
  <w:style w:type="paragraph" w:styleId="24">
    <w:name w:val="Normal (Web)"/>
    <w:qFormat/>
    <w:uiPriority w:val="99"/>
    <w:pPr>
      <w:spacing w:before="100" w:beforeAutospacing="1" w:after="100" w:afterAutospacing="1"/>
    </w:pPr>
    <w:rPr>
      <w:rFonts w:ascii="宋体" w:hAnsi="宋体" w:eastAsia="宋体" w:cs="宋体"/>
      <w:sz w:val="24"/>
      <w:szCs w:val="24"/>
      <w:lang w:val="en-US" w:eastAsia="zh-CN" w:bidi="ar-SA"/>
    </w:rPr>
  </w:style>
  <w:style w:type="paragraph" w:styleId="25">
    <w:name w:val="Body Text First Indent"/>
    <w:basedOn w:val="9"/>
    <w:link w:val="52"/>
    <w:qFormat/>
    <w:uiPriority w:val="99"/>
    <w:pPr>
      <w:ind w:firstLine="420" w:firstLineChars="100"/>
    </w:pPr>
  </w:style>
  <w:style w:type="paragraph" w:styleId="26">
    <w:name w:val="Body Text First Indent 2"/>
    <w:basedOn w:val="11"/>
    <w:next w:val="25"/>
    <w:qFormat/>
    <w:uiPriority w:val="0"/>
    <w:pPr>
      <w:ind w:firstLine="420"/>
    </w:pPr>
  </w:style>
  <w:style w:type="table" w:styleId="28">
    <w:name w:val="Table Grid"/>
    <w:basedOn w:val="27"/>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Hyperlink"/>
    <w:basedOn w:val="29"/>
    <w:qFormat/>
    <w:uiPriority w:val="99"/>
    <w:rPr>
      <w:color w:val="0000FF"/>
      <w:u w:val="single"/>
    </w:rPr>
  </w:style>
  <w:style w:type="paragraph" w:styleId="33">
    <w:name w:val="Quote"/>
    <w:basedOn w:val="1"/>
    <w:next w:val="1"/>
    <w:qFormat/>
    <w:uiPriority w:val="0"/>
    <w:pPr>
      <w:wordWrap w:val="0"/>
      <w:spacing w:before="200" w:after="160"/>
      <w:ind w:left="864" w:right="864"/>
      <w:jc w:val="center"/>
    </w:pPr>
    <w:rPr>
      <w:i/>
    </w:rPr>
  </w:style>
  <w:style w:type="paragraph" w:customStyle="1" w:styleId="34">
    <w:name w:val="Body Text First Indent1"/>
    <w:basedOn w:val="9"/>
    <w:qFormat/>
    <w:uiPriority w:val="0"/>
    <w:pPr>
      <w:tabs>
        <w:tab w:val="left" w:pos="1275"/>
      </w:tabs>
      <w:ind w:firstLine="420" w:firstLineChars="100"/>
    </w:pPr>
  </w:style>
  <w:style w:type="paragraph" w:customStyle="1" w:styleId="35">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36">
    <w:name w:val="表格文字"/>
    <w:next w:val="9"/>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37">
    <w:name w:val="标题 1 Char"/>
    <w:basedOn w:val="29"/>
    <w:link w:val="2"/>
    <w:qFormat/>
    <w:uiPriority w:val="99"/>
    <w:rPr>
      <w:b/>
      <w:bCs/>
      <w:kern w:val="44"/>
      <w:sz w:val="44"/>
      <w:szCs w:val="44"/>
    </w:rPr>
  </w:style>
  <w:style w:type="character" w:customStyle="1" w:styleId="38">
    <w:name w:val="标题 2 Char"/>
    <w:basedOn w:val="29"/>
    <w:link w:val="3"/>
    <w:qFormat/>
    <w:uiPriority w:val="99"/>
    <w:rPr>
      <w:rFonts w:ascii="宋体" w:hAnsi="宋体" w:eastAsia="宋体" w:cs="宋体"/>
      <w:b/>
      <w:bCs/>
      <w:kern w:val="2"/>
      <w:sz w:val="24"/>
      <w:szCs w:val="28"/>
    </w:rPr>
  </w:style>
  <w:style w:type="character" w:customStyle="1" w:styleId="39">
    <w:name w:val="标题 3 Char"/>
    <w:basedOn w:val="29"/>
    <w:link w:val="6"/>
    <w:qFormat/>
    <w:uiPriority w:val="99"/>
    <w:rPr>
      <w:rFonts w:ascii="宋体" w:hAnsi="宋体" w:eastAsia="宋体" w:cs="宋体"/>
      <w:b/>
      <w:bCs/>
      <w:kern w:val="2"/>
      <w:sz w:val="24"/>
      <w:szCs w:val="28"/>
    </w:rPr>
  </w:style>
  <w:style w:type="character" w:customStyle="1" w:styleId="40">
    <w:name w:val="正文文本 Char"/>
    <w:basedOn w:val="29"/>
    <w:link w:val="9"/>
    <w:qFormat/>
    <w:uiPriority w:val="99"/>
    <w:rPr>
      <w:rFonts w:ascii="Times New Roman" w:hAnsi="Times New Roman"/>
      <w:szCs w:val="21"/>
    </w:rPr>
  </w:style>
  <w:style w:type="paragraph" w:customStyle="1" w:styleId="41">
    <w:name w:val="样式 表格正文 + 两端对齐"/>
    <w:next w:val="42"/>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2">
    <w:name w:val="正文1"/>
    <w:next w:val="43"/>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3">
    <w:name w:val="自动更正"/>
    <w:next w:val="4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xl39"/>
    <w:next w:val="45"/>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5">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6">
    <w:name w:val="正文文本缩进 Char"/>
    <w:basedOn w:val="29"/>
    <w:link w:val="11"/>
    <w:qFormat/>
    <w:uiPriority w:val="99"/>
    <w:rPr>
      <w:rFonts w:ascii="Times New Roman" w:hAnsi="Times New Roman"/>
      <w:szCs w:val="21"/>
    </w:rPr>
  </w:style>
  <w:style w:type="character" w:customStyle="1" w:styleId="47">
    <w:name w:val="纯文本 Char"/>
    <w:basedOn w:val="29"/>
    <w:link w:val="15"/>
    <w:qFormat/>
    <w:uiPriority w:val="99"/>
    <w:rPr>
      <w:rFonts w:ascii="宋体" w:hAnsi="Courier New" w:cs="Courier New"/>
      <w:szCs w:val="21"/>
    </w:rPr>
  </w:style>
  <w:style w:type="character" w:customStyle="1" w:styleId="48">
    <w:name w:val="日期 Char"/>
    <w:basedOn w:val="29"/>
    <w:link w:val="16"/>
    <w:qFormat/>
    <w:uiPriority w:val="99"/>
    <w:rPr>
      <w:rFonts w:ascii="Times New Roman" w:hAnsi="Times New Roman"/>
      <w:szCs w:val="21"/>
    </w:rPr>
  </w:style>
  <w:style w:type="character" w:customStyle="1" w:styleId="49">
    <w:name w:val="批注框文本 Char"/>
    <w:basedOn w:val="29"/>
    <w:link w:val="17"/>
    <w:qFormat/>
    <w:uiPriority w:val="99"/>
    <w:rPr>
      <w:kern w:val="2"/>
      <w:sz w:val="18"/>
      <w:szCs w:val="18"/>
    </w:rPr>
  </w:style>
  <w:style w:type="character" w:customStyle="1" w:styleId="50">
    <w:name w:val="页脚 Char"/>
    <w:basedOn w:val="29"/>
    <w:link w:val="18"/>
    <w:qFormat/>
    <w:uiPriority w:val="99"/>
    <w:rPr>
      <w:rFonts w:ascii="Times New Roman" w:hAnsi="Times New Roman"/>
      <w:sz w:val="18"/>
      <w:szCs w:val="18"/>
    </w:rPr>
  </w:style>
  <w:style w:type="character" w:customStyle="1" w:styleId="51">
    <w:name w:val="页眉 Char"/>
    <w:basedOn w:val="29"/>
    <w:link w:val="19"/>
    <w:qFormat/>
    <w:uiPriority w:val="99"/>
    <w:rPr>
      <w:rFonts w:ascii="Times New Roman" w:hAnsi="Times New Roman"/>
      <w:sz w:val="18"/>
      <w:szCs w:val="18"/>
    </w:rPr>
  </w:style>
  <w:style w:type="character" w:customStyle="1" w:styleId="52">
    <w:name w:val="正文首行缩进 Char"/>
    <w:basedOn w:val="40"/>
    <w:link w:val="25"/>
    <w:qFormat/>
    <w:uiPriority w:val="99"/>
    <w:rPr>
      <w:rFonts w:ascii="Times New Roman" w:hAnsi="Times New Roman"/>
      <w:szCs w:val="21"/>
    </w:rPr>
  </w:style>
  <w:style w:type="paragraph" w:customStyle="1" w:styleId="53">
    <w:name w:val="正文2"/>
    <w:link w:val="75"/>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4">
    <w:name w:val="List Paragraph1"/>
    <w:qFormat/>
    <w:uiPriority w:val="99"/>
    <w:pPr>
      <w:ind w:firstLine="420" w:firstLineChars="200"/>
    </w:pPr>
    <w:rPr>
      <w:rFonts w:ascii="Calibri" w:hAnsi="Calibri" w:eastAsia="宋体" w:cs="Calibri"/>
      <w:lang w:val="en-US" w:eastAsia="zh-CN" w:bidi="ar-SA"/>
    </w:rPr>
  </w:style>
  <w:style w:type="character" w:customStyle="1" w:styleId="55">
    <w:name w:val="style81"/>
    <w:qFormat/>
    <w:uiPriority w:val="99"/>
    <w:rPr>
      <w:sz w:val="20"/>
      <w:szCs w:val="20"/>
    </w:rPr>
  </w:style>
  <w:style w:type="paragraph" w:customStyle="1" w:styleId="56">
    <w:name w:val="列出段落1"/>
    <w:qFormat/>
    <w:uiPriority w:val="99"/>
    <w:pPr>
      <w:ind w:firstLine="420"/>
    </w:pPr>
    <w:rPr>
      <w:rFonts w:ascii="Times New Roman" w:hAnsi="Times New Roman" w:eastAsia="宋体" w:cs="Times New Roman"/>
      <w:lang w:val="en-US" w:eastAsia="zh-CN" w:bidi="ar-SA"/>
    </w:rPr>
  </w:style>
  <w:style w:type="paragraph" w:customStyle="1" w:styleId="57">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8">
    <w:name w:val="02 Char"/>
    <w:link w:val="59"/>
    <w:qFormat/>
    <w:uiPriority w:val="99"/>
    <w:rPr>
      <w:rFonts w:ascii="宋体" w:cs="宋体"/>
      <w:b/>
      <w:bCs/>
      <w:color w:val="FF0000"/>
      <w:kern w:val="2"/>
      <w:sz w:val="28"/>
      <w:szCs w:val="28"/>
    </w:rPr>
  </w:style>
  <w:style w:type="paragraph" w:customStyle="1" w:styleId="59">
    <w:name w:val="02"/>
    <w:basedOn w:val="3"/>
    <w:link w:val="58"/>
    <w:qFormat/>
    <w:uiPriority w:val="99"/>
    <w:pPr>
      <w:jc w:val="center"/>
    </w:pPr>
    <w:rPr>
      <w:color w:val="FF0000"/>
    </w:rPr>
  </w:style>
  <w:style w:type="character" w:customStyle="1" w:styleId="60">
    <w:name w:val="03 Char"/>
    <w:link w:val="61"/>
    <w:qFormat/>
    <w:uiPriority w:val="99"/>
    <w:rPr>
      <w:rFonts w:ascii="宋体" w:cs="宋体"/>
      <w:b/>
      <w:bCs/>
      <w:kern w:val="2"/>
      <w:sz w:val="28"/>
      <w:szCs w:val="28"/>
    </w:rPr>
  </w:style>
  <w:style w:type="paragraph" w:customStyle="1" w:styleId="61">
    <w:name w:val="03"/>
    <w:basedOn w:val="6"/>
    <w:link w:val="60"/>
    <w:qFormat/>
    <w:uiPriority w:val="99"/>
    <w:pPr>
      <w:numPr>
        <w:ilvl w:val="0"/>
        <w:numId w:val="0"/>
      </w:numPr>
    </w:pPr>
  </w:style>
  <w:style w:type="character" w:customStyle="1" w:styleId="62">
    <w:name w:val="宋体小四 Char"/>
    <w:link w:val="63"/>
    <w:qFormat/>
    <w:uiPriority w:val="99"/>
    <w:rPr>
      <w:rFonts w:ascii="宋体" w:eastAsia="宋体" w:cs="宋体"/>
      <w:kern w:val="2"/>
      <w:sz w:val="24"/>
      <w:szCs w:val="24"/>
    </w:rPr>
  </w:style>
  <w:style w:type="paragraph" w:customStyle="1" w:styleId="63">
    <w:name w:val="宋体小四"/>
    <w:link w:val="62"/>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4">
    <w:name w:val="fontstyle01"/>
    <w:basedOn w:val="29"/>
    <w:qFormat/>
    <w:uiPriority w:val="99"/>
    <w:rPr>
      <w:rFonts w:ascii="宋体" w:eastAsia="宋体" w:cs="宋体"/>
      <w:color w:val="000000"/>
      <w:sz w:val="22"/>
      <w:szCs w:val="22"/>
    </w:rPr>
  </w:style>
  <w:style w:type="paragraph" w:customStyle="1" w:styleId="65">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6">
    <w:name w:val="居中表格内容标题"/>
    <w:basedOn w:val="67"/>
    <w:qFormat/>
    <w:uiPriority w:val="0"/>
    <w:pPr>
      <w:jc w:val="center"/>
    </w:pPr>
    <w:rPr>
      <w:b/>
    </w:rPr>
  </w:style>
  <w:style w:type="paragraph" w:customStyle="1" w:styleId="67">
    <w:name w:val="居中表格内容"/>
    <w:qFormat/>
    <w:uiPriority w:val="0"/>
    <w:rPr>
      <w:rFonts w:ascii="Times New Roman" w:hAnsi="Times New Roman" w:eastAsia="宋体" w:cs="Times New Roman"/>
      <w:szCs w:val="28"/>
      <w:lang w:val="en-US" w:eastAsia="zh-CN" w:bidi="ar-SA"/>
    </w:rPr>
  </w:style>
  <w:style w:type="paragraph" w:customStyle="1" w:styleId="68">
    <w:name w:val="列表段落1"/>
    <w:link w:val="69"/>
    <w:qFormat/>
    <w:uiPriority w:val="34"/>
    <w:pPr>
      <w:ind w:firstLine="420" w:firstLineChars="200"/>
    </w:pPr>
    <w:rPr>
      <w:rFonts w:ascii="Times New Roman" w:hAnsi="Times New Roman" w:eastAsia="宋体" w:cs="Times New Roman"/>
      <w:lang w:val="en-US" w:eastAsia="zh-CN" w:bidi="ar-SA"/>
    </w:rPr>
  </w:style>
  <w:style w:type="character" w:customStyle="1" w:styleId="69">
    <w:name w:val="列表段落 字符"/>
    <w:basedOn w:val="29"/>
    <w:link w:val="68"/>
    <w:qFormat/>
    <w:uiPriority w:val="34"/>
  </w:style>
  <w:style w:type="table" w:customStyle="1" w:styleId="70">
    <w:name w:val="网格型浅色1"/>
    <w:basedOn w:val="27"/>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customStyle="1" w:styleId="71">
    <w:name w:val="正文（首行缩进2字符）"/>
    <w:basedOn w:val="1"/>
    <w:qFormat/>
    <w:uiPriority w:val="0"/>
    <w:pPr>
      <w:spacing w:line="360" w:lineRule="auto"/>
      <w:ind w:firstLine="480" w:firstLineChars="200"/>
    </w:pPr>
    <w:rPr>
      <w:kern w:val="2"/>
      <w:sz w:val="24"/>
    </w:rPr>
  </w:style>
  <w:style w:type="character" w:customStyle="1" w:styleId="72">
    <w:name w:val="副标题 Char"/>
    <w:basedOn w:val="29"/>
    <w:link w:val="21"/>
    <w:qFormat/>
    <w:uiPriority w:val="0"/>
    <w:rPr>
      <w:rFonts w:ascii="等线 Light" w:hAnsi="等线 Light"/>
      <w:b/>
      <w:bCs/>
      <w:snapToGrid w:val="0"/>
      <w:kern w:val="28"/>
      <w:sz w:val="32"/>
      <w:szCs w:val="32"/>
    </w:rPr>
  </w:style>
  <w:style w:type="paragraph" w:customStyle="1" w:styleId="73">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4">
    <w:name w:val="样式x"/>
    <w:basedOn w:val="6"/>
    <w:qFormat/>
    <w:uiPriority w:val="0"/>
    <w:pPr>
      <w:numPr>
        <w:numId w:val="0"/>
      </w:numPr>
      <w:ind w:left="1275" w:hanging="720"/>
    </w:pPr>
    <w:rPr>
      <w:rFonts w:hAnsi="Times New Roman" w:eastAsia="仿宋" w:cs="Times New Roman"/>
      <w:bCs w:val="0"/>
      <w:snapToGrid w:val="0"/>
      <w:kern w:val="2"/>
      <w:szCs w:val="20"/>
    </w:rPr>
  </w:style>
  <w:style w:type="character" w:customStyle="1" w:styleId="75">
    <w:name w:val="正文2 Char Char"/>
    <w:link w:val="53"/>
    <w:qFormat/>
    <w:uiPriority w:val="0"/>
    <w:rPr>
      <w:sz w:val="24"/>
      <w:szCs w:val="24"/>
    </w:rPr>
  </w:style>
  <w:style w:type="paragraph" w:styleId="76">
    <w:name w:val="List Paragraph"/>
    <w:basedOn w:val="1"/>
    <w:qFormat/>
    <w:uiPriority w:val="99"/>
    <w:pPr>
      <w:ind w:firstLine="420" w:firstLineChars="200"/>
    </w:p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9">
    <w:name w:val="NormalCharacter"/>
    <w:qFormat/>
    <w:uiPriority w:val="0"/>
    <w:rPr>
      <w:rFonts w:ascii="Tahoma" w:hAnsi="Tahoma"/>
      <w:sz w:val="24"/>
      <w:szCs w:val="20"/>
    </w:rPr>
  </w:style>
  <w:style w:type="paragraph" w:customStyle="1" w:styleId="80">
    <w:name w:val="表格正文"/>
    <w:basedOn w:val="1"/>
    <w:qFormat/>
    <w:uiPriority w:val="0"/>
    <w:pPr>
      <w:jc w:val="center"/>
    </w:pPr>
    <w:rPr>
      <w:sz w:val="21"/>
      <w:szCs w:val="24"/>
    </w:rPr>
  </w:style>
  <w:style w:type="paragraph" w:customStyle="1" w:styleId="81">
    <w:name w:val="纯文本1"/>
    <w:basedOn w:val="1"/>
    <w:qFormat/>
    <w:uiPriority w:val="0"/>
    <w:pPr>
      <w:ind w:firstLine="280" w:firstLineChars="100"/>
    </w:pPr>
    <w:rPr>
      <w:rFonts w:hAnsi="宋体" w:cs="Courier New"/>
    </w:rPr>
  </w:style>
  <w:style w:type="paragraph" w:customStyle="1" w:styleId="82">
    <w:name w:val="Body Text First Indent 21"/>
    <w:basedOn w:val="83"/>
    <w:qFormat/>
    <w:uiPriority w:val="0"/>
    <w:pPr>
      <w:spacing w:after="120" w:line="240" w:lineRule="auto"/>
      <w:ind w:left="420" w:leftChars="200" w:firstLine="420" w:firstLineChars="200"/>
    </w:pPr>
    <w:rPr>
      <w:sz w:val="21"/>
    </w:rPr>
  </w:style>
  <w:style w:type="paragraph" w:customStyle="1" w:styleId="83">
    <w:name w:val="Body Text Indent1"/>
    <w:basedOn w:val="1"/>
    <w:next w:val="1"/>
    <w:qFormat/>
    <w:uiPriority w:val="0"/>
    <w:pPr>
      <w:spacing w:line="200" w:lineRule="exact"/>
      <w:ind w:firstLine="301"/>
    </w:pPr>
    <w:rPr>
      <w:rFonts w:ascii="宋体" w:hAnsi="Courier New"/>
      <w:spacing w:val="-4"/>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71</Pages>
  <Words>14175</Words>
  <Characters>15182</Characters>
  <Lines>48</Lines>
  <Paragraphs>78</Paragraphs>
  <TotalTime>26</TotalTime>
  <ScaleCrop>false</ScaleCrop>
  <LinksUpToDate>false</LinksUpToDate>
  <CharactersWithSpaces>15521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2021-11-22T08:07:00Z</dcterms:created>
  <dc:creator>陈圣楠</dc:creator>
  <cp:lastModifiedBy>Administrator</cp:lastModifiedBy>
  <cp:lastPrinted>2025-03-31T07:19:00Z</cp:lastPrinted>
  <dcterms:modified xsi:type="dcterms:W3CDTF">2025-07-17T02:58:36Z</dcterms:modified>
  <dc:title>浙江绍兴上虞人民调解服务标准化</dc:title>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9E8BEEEA16B04F8898F810E09A1B5FEB_13</vt:lpwstr>
  </property>
  <property fmtid="{D5CDD505-2E9C-101B-9397-08002B2CF9AE}" pid="4" name="KSOTemplateDocerSaveRecord">
    <vt:lpwstr>eyJoZGlkIjoiZGYzNGI1NTgzM2MzNWFkMDFkMmEwZGY4MmM3NjU3MGUiLCJ1c2VySWQiOiIyNTkxMTc2NjcifQ==</vt:lpwstr>
  </property>
</Properties>
</file>