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52199">
      <w:pPr>
        <w:pStyle w:val="5"/>
        <w:rPr>
          <w:rFonts w:cs="Times New Roman"/>
          <w:color w:val="auto"/>
          <w:highlight w:val="none"/>
        </w:rPr>
      </w:pPr>
    </w:p>
    <w:p w14:paraId="270F7C2B">
      <w:pPr>
        <w:jc w:val="center"/>
        <w:rPr>
          <w:rFonts w:hint="eastAsia" w:ascii="宋体" w:eastAsia="宋体"/>
          <w:b/>
          <w:bCs/>
          <w:color w:val="auto"/>
          <w:sz w:val="48"/>
          <w:szCs w:val="48"/>
          <w:highlight w:val="none"/>
          <w:lang w:eastAsia="zh-CN"/>
        </w:rPr>
      </w:pPr>
      <w:r>
        <w:rPr>
          <w:rFonts w:hint="eastAsia" w:ascii="宋体" w:hAnsi="宋体" w:cs="宋体"/>
          <w:b/>
          <w:bCs/>
          <w:color w:val="auto"/>
          <w:sz w:val="48"/>
          <w:szCs w:val="48"/>
          <w:highlight w:val="none"/>
          <w:lang w:eastAsia="zh-CN"/>
        </w:rPr>
        <w:t xml:space="preserve"> 曹娥街道小环境精细化管控服务及微型空气质量监测站建设项目</w:t>
      </w:r>
    </w:p>
    <w:p w14:paraId="67239B78">
      <w:pPr>
        <w:pStyle w:val="6"/>
        <w:rPr>
          <w:rFonts w:ascii="宋体"/>
          <w:b/>
          <w:bCs/>
          <w:color w:val="auto"/>
          <w:sz w:val="44"/>
          <w:szCs w:val="44"/>
          <w:highlight w:val="none"/>
        </w:rPr>
      </w:pPr>
    </w:p>
    <w:p w14:paraId="57C8575E">
      <w:pPr>
        <w:pStyle w:val="6"/>
        <w:rPr>
          <w:rFonts w:ascii="宋体"/>
          <w:b/>
          <w:bCs/>
          <w:color w:val="auto"/>
          <w:sz w:val="44"/>
          <w:szCs w:val="44"/>
          <w:highlight w:val="none"/>
        </w:rPr>
      </w:pPr>
    </w:p>
    <w:p w14:paraId="048048AD">
      <w:pPr>
        <w:rPr>
          <w:rFonts w:ascii="宋体"/>
          <w:b/>
          <w:bCs/>
          <w:color w:val="auto"/>
          <w:sz w:val="44"/>
          <w:szCs w:val="44"/>
          <w:highlight w:val="none"/>
        </w:rPr>
      </w:pPr>
    </w:p>
    <w:p w14:paraId="4B631285">
      <w:pPr>
        <w:pStyle w:val="3"/>
        <w:rPr>
          <w:color w:val="auto"/>
        </w:rPr>
      </w:pPr>
    </w:p>
    <w:p w14:paraId="1F7C0746">
      <w:pPr>
        <w:pStyle w:val="6"/>
        <w:rPr>
          <w:rFonts w:ascii="宋体"/>
          <w:b/>
          <w:bCs/>
          <w:color w:val="auto"/>
          <w:sz w:val="44"/>
          <w:szCs w:val="44"/>
          <w:highlight w:val="none"/>
        </w:rPr>
      </w:pPr>
    </w:p>
    <w:p w14:paraId="0CE66904">
      <w:pPr>
        <w:pStyle w:val="6"/>
        <w:rPr>
          <w:rFonts w:ascii="宋体"/>
          <w:b/>
          <w:bCs/>
          <w:color w:val="auto"/>
          <w:sz w:val="44"/>
          <w:szCs w:val="44"/>
          <w:highlight w:val="none"/>
        </w:rPr>
      </w:pPr>
    </w:p>
    <w:p w14:paraId="2874A575">
      <w:pPr>
        <w:pStyle w:val="6"/>
        <w:rPr>
          <w:color w:val="auto"/>
          <w:highlight w:val="none"/>
        </w:rPr>
      </w:pPr>
    </w:p>
    <w:p w14:paraId="0C789CB8">
      <w:pPr>
        <w:spacing w:line="360" w:lineRule="auto"/>
        <w:jc w:val="center"/>
        <w:rPr>
          <w:rFonts w:ascii="宋体"/>
          <w:b/>
          <w:bCs/>
          <w:color w:val="auto"/>
          <w:sz w:val="24"/>
          <w:szCs w:val="24"/>
          <w:highlight w:val="none"/>
        </w:rPr>
      </w:pPr>
      <w:r>
        <w:rPr>
          <w:rFonts w:hint="eastAsia" w:ascii="宋体" w:hAnsi="宋体" w:cs="宋体"/>
          <w:b/>
          <w:bCs/>
          <w:color w:val="auto"/>
          <w:sz w:val="72"/>
          <w:szCs w:val="72"/>
          <w:highlight w:val="none"/>
        </w:rPr>
        <w:t>竞争性磋商文件</w:t>
      </w:r>
    </w:p>
    <w:p w14:paraId="7417BB59">
      <w:pPr>
        <w:spacing w:line="360" w:lineRule="auto"/>
        <w:jc w:val="center"/>
        <w:rPr>
          <w:rFonts w:ascii="宋体"/>
          <w:b/>
          <w:bCs/>
          <w:color w:val="auto"/>
          <w:sz w:val="24"/>
          <w:szCs w:val="24"/>
          <w:highlight w:val="none"/>
        </w:rPr>
      </w:pPr>
    </w:p>
    <w:p w14:paraId="17F903A5">
      <w:pPr>
        <w:snapToGrid w:val="0"/>
        <w:spacing w:line="360" w:lineRule="auto"/>
        <w:ind w:firstLine="2301" w:firstLineChars="767"/>
        <w:jc w:val="left"/>
        <w:rPr>
          <w:rFonts w:hint="eastAsia" w:ascii="宋体" w:eastAsia="宋体"/>
          <w:color w:val="auto"/>
          <w:sz w:val="30"/>
          <w:szCs w:val="30"/>
          <w:highlight w:val="none"/>
          <w:u w:val="single"/>
          <w:lang w:eastAsia="zh-CN"/>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u w:val="single"/>
          <w:lang w:eastAsia="zh-CN"/>
        </w:rPr>
        <w:t>FSJZCS2025020</w:t>
      </w:r>
    </w:p>
    <w:p w14:paraId="19ACFF13">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ascii="宋体"/>
          <w:color w:val="auto"/>
          <w:sz w:val="30"/>
          <w:szCs w:val="30"/>
          <w:highlight w:val="none"/>
        </w:rPr>
      </w:pPr>
    </w:p>
    <w:p w14:paraId="36FCE013">
      <w:pPr>
        <w:spacing w:line="360" w:lineRule="auto"/>
        <w:rPr>
          <w:rFonts w:ascii="宋体"/>
          <w:color w:val="auto"/>
          <w:sz w:val="28"/>
          <w:szCs w:val="28"/>
          <w:highlight w:val="none"/>
        </w:rPr>
      </w:pPr>
    </w:p>
    <w:p w14:paraId="48742B9F">
      <w:pPr>
        <w:spacing w:line="360" w:lineRule="auto"/>
        <w:jc w:val="center"/>
        <w:rPr>
          <w:rFonts w:ascii="宋体"/>
          <w:color w:val="auto"/>
          <w:sz w:val="24"/>
          <w:szCs w:val="24"/>
          <w:highlight w:val="none"/>
        </w:rPr>
      </w:pPr>
    </w:p>
    <w:p w14:paraId="7B864612">
      <w:pPr>
        <w:spacing w:line="360" w:lineRule="auto"/>
        <w:jc w:val="both"/>
        <w:rPr>
          <w:rFonts w:ascii="宋体"/>
          <w:color w:val="auto"/>
          <w:sz w:val="24"/>
          <w:szCs w:val="24"/>
          <w:highlight w:val="none"/>
        </w:rPr>
      </w:pPr>
    </w:p>
    <w:p w14:paraId="0877B1E5">
      <w:pPr>
        <w:spacing w:line="360" w:lineRule="auto"/>
        <w:jc w:val="center"/>
        <w:rPr>
          <w:rFonts w:ascii="宋体"/>
          <w:color w:val="auto"/>
          <w:sz w:val="24"/>
          <w:szCs w:val="24"/>
          <w:highlight w:val="none"/>
        </w:rPr>
      </w:pPr>
    </w:p>
    <w:p w14:paraId="1E0F8C23">
      <w:pPr>
        <w:spacing w:line="360" w:lineRule="auto"/>
        <w:jc w:val="center"/>
        <w:rPr>
          <w:rFonts w:ascii="宋体"/>
          <w:color w:val="auto"/>
          <w:sz w:val="24"/>
          <w:szCs w:val="24"/>
          <w:highlight w:val="none"/>
        </w:rPr>
      </w:pPr>
    </w:p>
    <w:p w14:paraId="359970EA">
      <w:pPr>
        <w:snapToGrid w:val="0"/>
        <w:spacing w:line="360" w:lineRule="auto"/>
        <w:ind w:firstLine="1500" w:firstLineChars="500"/>
        <w:rPr>
          <w:rFonts w:hint="eastAsia" w:ascii="宋体" w:eastAsia="宋体"/>
          <w:color w:val="auto"/>
          <w:highlight w:val="none"/>
          <w:u w:val="single"/>
          <w:lang w:eastAsia="zh-CN"/>
        </w:rPr>
      </w:pPr>
      <w:r>
        <w:rPr>
          <w:rFonts w:hint="eastAsia" w:ascii="宋体" w:hAnsi="宋体" w:cs="宋体"/>
          <w:color w:val="auto"/>
          <w:sz w:val="30"/>
          <w:szCs w:val="30"/>
          <w:highlight w:val="none"/>
        </w:rPr>
        <w:t>采</w:t>
      </w:r>
      <w:r>
        <w:rPr>
          <w:rFonts w:ascii="宋体" w:hAnsi="宋体" w:cs="宋体"/>
          <w:color w:val="auto"/>
          <w:sz w:val="30"/>
          <w:szCs w:val="30"/>
          <w:highlight w:val="none"/>
        </w:rPr>
        <w:t xml:space="preserve"> </w:t>
      </w:r>
      <w:r>
        <w:rPr>
          <w:rFonts w:hint="eastAsia" w:ascii="宋体" w:hAnsi="宋体" w:cs="宋体"/>
          <w:color w:val="auto"/>
          <w:sz w:val="30"/>
          <w:szCs w:val="30"/>
          <w:highlight w:val="none"/>
          <w:lang w:val="en-US" w:eastAsia="zh-CN"/>
        </w:rPr>
        <w:t xml:space="preserve">  </w:t>
      </w:r>
      <w:r>
        <w:rPr>
          <w:rFonts w:hint="eastAsia" w:ascii="宋体" w:hAnsi="宋体" w:cs="宋体"/>
          <w:color w:val="auto"/>
          <w:sz w:val="30"/>
          <w:szCs w:val="30"/>
          <w:highlight w:val="none"/>
        </w:rPr>
        <w:t>购</w:t>
      </w:r>
      <w:r>
        <w:rPr>
          <w:rFonts w:hint="eastAsia" w:ascii="宋体" w:hAnsi="宋体" w:cs="宋体"/>
          <w:color w:val="auto"/>
          <w:sz w:val="30"/>
          <w:szCs w:val="30"/>
          <w:highlight w:val="none"/>
          <w:lang w:val="en-US" w:eastAsia="zh-CN"/>
        </w:rPr>
        <w:t xml:space="preserve"> </w:t>
      </w:r>
      <w:r>
        <w:rPr>
          <w:rFonts w:ascii="宋体" w:hAnsi="宋体" w:cs="宋体"/>
          <w:color w:val="auto"/>
          <w:sz w:val="30"/>
          <w:szCs w:val="30"/>
          <w:highlight w:val="none"/>
        </w:rPr>
        <w:t xml:space="preserve"> </w:t>
      </w:r>
      <w:r>
        <w:rPr>
          <w:rFonts w:hint="eastAsia" w:ascii="宋体" w:hAnsi="宋体" w:cs="宋体"/>
          <w:color w:val="auto"/>
          <w:sz w:val="30"/>
          <w:szCs w:val="30"/>
          <w:highlight w:val="none"/>
          <w:lang w:val="en-US" w:eastAsia="zh-CN"/>
        </w:rPr>
        <w:t xml:space="preserve"> </w:t>
      </w:r>
      <w:r>
        <w:rPr>
          <w:rFonts w:hint="eastAsia" w:ascii="宋体" w:hAnsi="宋体" w:cs="宋体"/>
          <w:color w:val="auto"/>
          <w:sz w:val="30"/>
          <w:szCs w:val="30"/>
          <w:highlight w:val="none"/>
        </w:rPr>
        <w:t>人：</w:t>
      </w:r>
      <w:r>
        <w:rPr>
          <w:rFonts w:hint="eastAsia" w:ascii="宋体" w:hAnsi="宋体" w:cs="宋体"/>
          <w:color w:val="auto"/>
          <w:sz w:val="30"/>
          <w:szCs w:val="30"/>
          <w:highlight w:val="none"/>
          <w:lang w:eastAsia="zh-CN"/>
        </w:rPr>
        <w:t>绍兴市上虞区曹娥街道办事处</w:t>
      </w:r>
    </w:p>
    <w:p w14:paraId="35DC8D88">
      <w:pPr>
        <w:snapToGrid w:val="0"/>
        <w:spacing w:line="360" w:lineRule="auto"/>
        <w:ind w:firstLine="1500" w:firstLineChars="500"/>
        <w:rPr>
          <w:rFonts w:hint="eastAsia" w:ascii="宋体" w:eastAsia="宋体"/>
          <w:color w:val="auto"/>
          <w:sz w:val="30"/>
          <w:szCs w:val="30"/>
          <w:highlight w:val="none"/>
          <w:lang w:eastAsia="zh-CN"/>
        </w:rPr>
      </w:pPr>
      <w:r>
        <w:rPr>
          <w:rFonts w:hint="eastAsia" w:ascii="宋体" w:hAnsi="宋体" w:cs="宋体"/>
          <w:color w:val="auto"/>
          <w:sz w:val="30"/>
          <w:szCs w:val="30"/>
          <w:highlight w:val="none"/>
        </w:rPr>
        <w:t>采购代理机构：</w:t>
      </w:r>
      <w:r>
        <w:rPr>
          <w:rFonts w:hint="eastAsia" w:ascii="宋体" w:hAnsi="宋体" w:cs="宋体"/>
          <w:color w:val="auto"/>
          <w:sz w:val="30"/>
          <w:szCs w:val="30"/>
          <w:highlight w:val="none"/>
          <w:lang w:eastAsia="zh-CN"/>
        </w:rPr>
        <w:t>浙江天平项目咨询有限公司</w:t>
      </w:r>
    </w:p>
    <w:p w14:paraId="0487B260">
      <w:pPr>
        <w:jc w:val="center"/>
        <w:rPr>
          <w:rFonts w:ascii="宋体"/>
          <w:color w:val="auto"/>
          <w:sz w:val="30"/>
          <w:szCs w:val="30"/>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color w:val="auto"/>
          <w:sz w:val="30"/>
          <w:szCs w:val="30"/>
          <w:highlight w:val="none"/>
        </w:rPr>
        <w:t>二〇二</w:t>
      </w:r>
      <w:r>
        <w:rPr>
          <w:rFonts w:hint="eastAsia" w:ascii="宋体" w:hAnsi="宋体" w:cs="宋体"/>
          <w:color w:val="auto"/>
          <w:sz w:val="30"/>
          <w:szCs w:val="30"/>
          <w:highlight w:val="none"/>
          <w:lang w:val="en-US" w:eastAsia="zh-CN"/>
        </w:rPr>
        <w:t>五</w:t>
      </w:r>
      <w:r>
        <w:rPr>
          <w:rFonts w:hint="eastAsia" w:ascii="宋体" w:hAnsi="宋体" w:cs="宋体"/>
          <w:color w:val="auto"/>
          <w:sz w:val="30"/>
          <w:szCs w:val="30"/>
          <w:highlight w:val="none"/>
        </w:rPr>
        <w:t>年</w:t>
      </w:r>
      <w:r>
        <w:rPr>
          <w:rFonts w:hint="eastAsia" w:ascii="宋体" w:hAnsi="宋体" w:cs="宋体"/>
          <w:color w:val="auto"/>
          <w:sz w:val="30"/>
          <w:szCs w:val="30"/>
          <w:highlight w:val="none"/>
          <w:lang w:val="en-US" w:eastAsia="zh-CN"/>
        </w:rPr>
        <w:t>六</w:t>
      </w:r>
      <w:r>
        <w:rPr>
          <w:rFonts w:hint="eastAsia" w:ascii="宋体" w:hAnsi="宋体" w:cs="宋体"/>
          <w:color w:val="auto"/>
          <w:sz w:val="30"/>
          <w:szCs w:val="30"/>
          <w:highlight w:val="none"/>
        </w:rPr>
        <w:t>月</w:t>
      </w:r>
    </w:p>
    <w:p w14:paraId="7C65CF24">
      <w:pPr>
        <w:spacing w:line="36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w:t>
      </w:r>
      <w:r>
        <w:rPr>
          <w:rFonts w:hint="eastAsia" w:ascii="宋体" w:hAnsi="宋体" w:cs="宋体"/>
          <w:b/>
          <w:bCs/>
          <w:color w:val="auto"/>
          <w:sz w:val="36"/>
          <w:szCs w:val="36"/>
          <w:highlight w:val="none"/>
          <w:lang w:val="en-US" w:eastAsia="zh-CN"/>
        </w:rPr>
        <w:t xml:space="preserve"> </w:t>
      </w:r>
      <w:r>
        <w:rPr>
          <w:rFonts w:hint="eastAsia" w:ascii="宋体" w:hAnsi="宋体" w:cs="宋体"/>
          <w:b/>
          <w:bCs/>
          <w:color w:val="auto"/>
          <w:sz w:val="36"/>
          <w:szCs w:val="36"/>
          <w:highlight w:val="none"/>
        </w:rPr>
        <w:t>录</w:t>
      </w:r>
    </w:p>
    <w:p w14:paraId="6EB9279E">
      <w:pPr>
        <w:pStyle w:val="20"/>
        <w:tabs>
          <w:tab w:val="right" w:leader="dot" w:pos="8306"/>
        </w:tabs>
        <w:spacing w:line="360" w:lineRule="auto"/>
        <w:rPr>
          <w:color w:val="auto"/>
          <w:sz w:val="24"/>
          <w:szCs w:val="24"/>
        </w:rPr>
      </w:pPr>
      <w:r>
        <w:rPr>
          <w:rFonts w:hint="eastAsia" w:ascii="宋体" w:hAnsi="宋体" w:cs="宋体"/>
          <w:color w:val="auto"/>
          <w:sz w:val="52"/>
          <w:szCs w:val="52"/>
          <w:highlight w:val="none"/>
        </w:rPr>
        <w:fldChar w:fldCharType="begin"/>
      </w:r>
      <w:r>
        <w:rPr>
          <w:rFonts w:hint="eastAsia" w:ascii="宋体" w:hAnsi="宋体" w:cs="宋体"/>
          <w:color w:val="auto"/>
          <w:sz w:val="52"/>
          <w:szCs w:val="52"/>
          <w:highlight w:val="none"/>
        </w:rPr>
        <w:instrText xml:space="preserve">TOC \o "1-3" \h \u </w:instrText>
      </w:r>
      <w:r>
        <w:rPr>
          <w:rFonts w:hint="eastAsia" w:ascii="宋体" w:hAnsi="宋体" w:cs="宋体"/>
          <w:color w:val="auto"/>
          <w:sz w:val="52"/>
          <w:szCs w:val="52"/>
          <w:highlight w:val="none"/>
        </w:rPr>
        <w:fldChar w:fldCharType="separate"/>
      </w:r>
      <w:r>
        <w:rPr>
          <w:rFonts w:hint="eastAsia" w:ascii="宋体" w:hAnsi="宋体" w:cs="宋体"/>
          <w:color w:val="auto"/>
          <w:sz w:val="24"/>
          <w:szCs w:val="52"/>
          <w:highlight w:val="none"/>
        </w:rPr>
        <w:fldChar w:fldCharType="begin"/>
      </w:r>
      <w:r>
        <w:rPr>
          <w:rFonts w:hint="eastAsia" w:ascii="宋体" w:hAnsi="宋体" w:cs="宋体"/>
          <w:color w:val="auto"/>
          <w:sz w:val="24"/>
          <w:szCs w:val="52"/>
          <w:highlight w:val="none"/>
        </w:rPr>
        <w:instrText xml:space="preserve"> HYPERLINK \l _Toc8252 </w:instrText>
      </w:r>
      <w:r>
        <w:rPr>
          <w:rFonts w:hint="eastAsia" w:ascii="宋体" w:hAnsi="宋体" w:cs="宋体"/>
          <w:color w:val="auto"/>
          <w:sz w:val="24"/>
          <w:szCs w:val="52"/>
          <w:highlight w:val="none"/>
        </w:rPr>
        <w:fldChar w:fldCharType="separate"/>
      </w:r>
      <w:r>
        <w:rPr>
          <w:rFonts w:hint="eastAsia" w:cs="宋体"/>
          <w:color w:val="auto"/>
          <w:sz w:val="24"/>
          <w:szCs w:val="44"/>
          <w:highlight w:val="none"/>
        </w:rPr>
        <w:t>第一部分</w:t>
      </w:r>
      <w:r>
        <w:rPr>
          <w:color w:val="auto"/>
          <w:sz w:val="24"/>
          <w:szCs w:val="44"/>
          <w:highlight w:val="none"/>
        </w:rPr>
        <w:t xml:space="preserve"> </w:t>
      </w:r>
      <w:r>
        <w:rPr>
          <w:rFonts w:hint="eastAsia" w:cs="宋体"/>
          <w:color w:val="auto"/>
          <w:sz w:val="24"/>
          <w:szCs w:val="44"/>
          <w:highlight w:val="none"/>
        </w:rPr>
        <w:t>磋商公告</w:t>
      </w:r>
      <w:r>
        <w:rPr>
          <w:color w:val="auto"/>
          <w:sz w:val="24"/>
          <w:szCs w:val="24"/>
        </w:rPr>
        <w:tab/>
      </w:r>
      <w:r>
        <w:rPr>
          <w:color w:val="auto"/>
          <w:sz w:val="24"/>
          <w:szCs w:val="24"/>
        </w:rPr>
        <w:fldChar w:fldCharType="begin"/>
      </w:r>
      <w:r>
        <w:rPr>
          <w:color w:val="auto"/>
          <w:sz w:val="24"/>
          <w:szCs w:val="24"/>
        </w:rPr>
        <w:instrText xml:space="preserve"> PAGEREF _Toc8252 \h </w:instrText>
      </w:r>
      <w:r>
        <w:rPr>
          <w:color w:val="auto"/>
          <w:sz w:val="24"/>
          <w:szCs w:val="24"/>
        </w:rPr>
        <w:fldChar w:fldCharType="separate"/>
      </w:r>
      <w:r>
        <w:rPr>
          <w:color w:val="auto"/>
          <w:sz w:val="24"/>
          <w:szCs w:val="24"/>
        </w:rPr>
        <w:t>1</w:t>
      </w:r>
      <w:r>
        <w:rPr>
          <w:color w:val="auto"/>
          <w:sz w:val="24"/>
          <w:szCs w:val="24"/>
        </w:rPr>
        <w:fldChar w:fldCharType="end"/>
      </w:r>
      <w:r>
        <w:rPr>
          <w:rFonts w:hint="eastAsia" w:ascii="宋体" w:hAnsi="宋体" w:cs="宋体"/>
          <w:color w:val="auto"/>
          <w:sz w:val="24"/>
          <w:szCs w:val="52"/>
          <w:highlight w:val="none"/>
        </w:rPr>
        <w:fldChar w:fldCharType="end"/>
      </w:r>
    </w:p>
    <w:p w14:paraId="146C6534">
      <w:pPr>
        <w:pStyle w:val="20"/>
        <w:tabs>
          <w:tab w:val="right" w:leader="dot" w:pos="8306"/>
        </w:tabs>
        <w:spacing w:line="360" w:lineRule="auto"/>
        <w:rPr>
          <w:color w:val="auto"/>
          <w:sz w:val="24"/>
          <w:szCs w:val="24"/>
        </w:rPr>
      </w:pPr>
      <w:r>
        <w:rPr>
          <w:rFonts w:hint="eastAsia" w:hAnsi="宋体"/>
          <w:color w:val="auto"/>
          <w:sz w:val="24"/>
          <w:szCs w:val="52"/>
          <w:highlight w:val="none"/>
        </w:rPr>
        <w:fldChar w:fldCharType="begin"/>
      </w:r>
      <w:r>
        <w:rPr>
          <w:rFonts w:hint="eastAsia" w:hAnsi="宋体"/>
          <w:color w:val="auto"/>
          <w:sz w:val="24"/>
          <w:szCs w:val="52"/>
          <w:highlight w:val="none"/>
        </w:rPr>
        <w:instrText xml:space="preserve"> HYPERLINK \l _Toc11776 </w:instrText>
      </w:r>
      <w:r>
        <w:rPr>
          <w:rFonts w:hint="eastAsia" w:hAnsi="宋体"/>
          <w:color w:val="auto"/>
          <w:sz w:val="24"/>
          <w:szCs w:val="52"/>
          <w:highlight w:val="none"/>
        </w:rPr>
        <w:fldChar w:fldCharType="separate"/>
      </w:r>
      <w:r>
        <w:rPr>
          <w:rFonts w:hint="eastAsia" w:cs="宋体"/>
          <w:color w:val="auto"/>
          <w:sz w:val="24"/>
          <w:szCs w:val="44"/>
          <w:highlight w:val="none"/>
        </w:rPr>
        <w:t>第二部分</w:t>
      </w:r>
      <w:r>
        <w:rPr>
          <w:color w:val="auto"/>
          <w:sz w:val="24"/>
          <w:szCs w:val="44"/>
          <w:highlight w:val="none"/>
        </w:rPr>
        <w:t xml:space="preserve"> </w:t>
      </w:r>
      <w:r>
        <w:rPr>
          <w:rFonts w:hint="eastAsia" w:cs="宋体"/>
          <w:color w:val="auto"/>
          <w:sz w:val="24"/>
          <w:szCs w:val="44"/>
          <w:highlight w:val="none"/>
        </w:rPr>
        <w:t>供应商须知</w:t>
      </w:r>
      <w:r>
        <w:rPr>
          <w:color w:val="auto"/>
          <w:sz w:val="24"/>
          <w:szCs w:val="24"/>
        </w:rPr>
        <w:tab/>
      </w:r>
      <w:r>
        <w:rPr>
          <w:color w:val="auto"/>
          <w:sz w:val="24"/>
          <w:szCs w:val="24"/>
        </w:rPr>
        <w:fldChar w:fldCharType="begin"/>
      </w:r>
      <w:r>
        <w:rPr>
          <w:color w:val="auto"/>
          <w:sz w:val="24"/>
          <w:szCs w:val="24"/>
        </w:rPr>
        <w:instrText xml:space="preserve"> PAGEREF _Toc11776 \h </w:instrText>
      </w:r>
      <w:r>
        <w:rPr>
          <w:color w:val="auto"/>
          <w:sz w:val="24"/>
          <w:szCs w:val="24"/>
        </w:rPr>
        <w:fldChar w:fldCharType="separate"/>
      </w:r>
      <w:r>
        <w:rPr>
          <w:color w:val="auto"/>
          <w:sz w:val="24"/>
          <w:szCs w:val="24"/>
        </w:rPr>
        <w:t>5</w:t>
      </w:r>
      <w:r>
        <w:rPr>
          <w:color w:val="auto"/>
          <w:sz w:val="24"/>
          <w:szCs w:val="24"/>
        </w:rPr>
        <w:fldChar w:fldCharType="end"/>
      </w:r>
      <w:r>
        <w:rPr>
          <w:rFonts w:hint="eastAsia" w:hAnsi="宋体"/>
          <w:color w:val="auto"/>
          <w:sz w:val="24"/>
          <w:szCs w:val="52"/>
          <w:highlight w:val="none"/>
        </w:rPr>
        <w:fldChar w:fldCharType="end"/>
      </w:r>
    </w:p>
    <w:p w14:paraId="75F5926A">
      <w:pPr>
        <w:pStyle w:val="23"/>
        <w:tabs>
          <w:tab w:val="right" w:leader="dot" w:pos="8306"/>
        </w:tabs>
        <w:spacing w:line="360" w:lineRule="auto"/>
        <w:rPr>
          <w:color w:val="auto"/>
          <w:sz w:val="24"/>
          <w:szCs w:val="24"/>
        </w:rPr>
      </w:pPr>
      <w:r>
        <w:rPr>
          <w:rFonts w:hint="eastAsia" w:hAnsi="宋体"/>
          <w:color w:val="auto"/>
          <w:sz w:val="24"/>
          <w:szCs w:val="52"/>
          <w:highlight w:val="none"/>
        </w:rPr>
        <w:fldChar w:fldCharType="begin"/>
      </w:r>
      <w:r>
        <w:rPr>
          <w:rFonts w:hint="eastAsia" w:hAnsi="宋体"/>
          <w:color w:val="auto"/>
          <w:sz w:val="24"/>
          <w:szCs w:val="52"/>
          <w:highlight w:val="none"/>
        </w:rPr>
        <w:instrText xml:space="preserve"> HYPERLINK \l _Toc1114 </w:instrText>
      </w:r>
      <w:r>
        <w:rPr>
          <w:rFonts w:hint="eastAsia" w:hAnsi="宋体"/>
          <w:color w:val="auto"/>
          <w:sz w:val="24"/>
          <w:szCs w:val="52"/>
          <w:highlight w:val="none"/>
        </w:rPr>
        <w:fldChar w:fldCharType="separate"/>
      </w:r>
      <w:r>
        <w:rPr>
          <w:rFonts w:hint="eastAsia" w:hAnsi="宋体" w:cs="Times New Roman"/>
          <w:color w:val="auto"/>
          <w:sz w:val="24"/>
          <w:szCs w:val="24"/>
        </w:rPr>
        <w:t xml:space="preserve">一、 </w:t>
      </w:r>
      <w:r>
        <w:rPr>
          <w:rFonts w:hint="eastAsia" w:hAnsi="宋体"/>
          <w:color w:val="auto"/>
          <w:sz w:val="24"/>
          <w:szCs w:val="24"/>
          <w:highlight w:val="none"/>
        </w:rPr>
        <w:t>总则</w:t>
      </w:r>
      <w:r>
        <w:rPr>
          <w:color w:val="auto"/>
          <w:sz w:val="24"/>
          <w:szCs w:val="24"/>
        </w:rPr>
        <w:tab/>
      </w:r>
      <w:r>
        <w:rPr>
          <w:color w:val="auto"/>
          <w:sz w:val="24"/>
          <w:szCs w:val="24"/>
        </w:rPr>
        <w:fldChar w:fldCharType="begin"/>
      </w:r>
      <w:r>
        <w:rPr>
          <w:color w:val="auto"/>
          <w:sz w:val="24"/>
          <w:szCs w:val="24"/>
        </w:rPr>
        <w:instrText xml:space="preserve"> PAGEREF _Toc1114 \h </w:instrText>
      </w:r>
      <w:r>
        <w:rPr>
          <w:color w:val="auto"/>
          <w:sz w:val="24"/>
          <w:szCs w:val="24"/>
        </w:rPr>
        <w:fldChar w:fldCharType="separate"/>
      </w:r>
      <w:r>
        <w:rPr>
          <w:color w:val="auto"/>
          <w:sz w:val="24"/>
          <w:szCs w:val="24"/>
        </w:rPr>
        <w:t>9</w:t>
      </w:r>
      <w:r>
        <w:rPr>
          <w:color w:val="auto"/>
          <w:sz w:val="24"/>
          <w:szCs w:val="24"/>
        </w:rPr>
        <w:fldChar w:fldCharType="end"/>
      </w:r>
      <w:r>
        <w:rPr>
          <w:rFonts w:hint="eastAsia" w:hAnsi="宋体"/>
          <w:color w:val="auto"/>
          <w:sz w:val="24"/>
          <w:szCs w:val="52"/>
          <w:highlight w:val="none"/>
        </w:rPr>
        <w:fldChar w:fldCharType="end"/>
      </w:r>
    </w:p>
    <w:p w14:paraId="5AE731BC">
      <w:pPr>
        <w:pStyle w:val="23"/>
        <w:tabs>
          <w:tab w:val="right" w:leader="dot" w:pos="8306"/>
        </w:tabs>
        <w:spacing w:line="360" w:lineRule="auto"/>
        <w:rPr>
          <w:color w:val="auto"/>
          <w:sz w:val="24"/>
          <w:szCs w:val="24"/>
        </w:rPr>
      </w:pPr>
      <w:r>
        <w:rPr>
          <w:rFonts w:hint="eastAsia" w:hAnsi="宋体"/>
          <w:color w:val="auto"/>
          <w:sz w:val="24"/>
          <w:szCs w:val="52"/>
          <w:highlight w:val="none"/>
        </w:rPr>
        <w:fldChar w:fldCharType="begin"/>
      </w:r>
      <w:r>
        <w:rPr>
          <w:rFonts w:hint="eastAsia" w:hAnsi="宋体"/>
          <w:color w:val="auto"/>
          <w:sz w:val="24"/>
          <w:szCs w:val="52"/>
          <w:highlight w:val="none"/>
        </w:rPr>
        <w:instrText xml:space="preserve"> HYPERLINK \l _Toc16079 </w:instrText>
      </w:r>
      <w:r>
        <w:rPr>
          <w:rFonts w:hint="eastAsia" w:hAnsi="宋体"/>
          <w:color w:val="auto"/>
          <w:sz w:val="24"/>
          <w:szCs w:val="52"/>
          <w:highlight w:val="none"/>
        </w:rPr>
        <w:fldChar w:fldCharType="separate"/>
      </w:r>
      <w:r>
        <w:rPr>
          <w:rFonts w:hint="eastAsia" w:cs="Times New Roman"/>
          <w:color w:val="auto"/>
          <w:sz w:val="24"/>
          <w:szCs w:val="24"/>
        </w:rPr>
        <w:t xml:space="preserve">二、 </w:t>
      </w:r>
      <w:r>
        <w:rPr>
          <w:rFonts w:hint="eastAsia"/>
          <w:color w:val="auto"/>
          <w:sz w:val="24"/>
          <w:szCs w:val="24"/>
          <w:highlight w:val="none"/>
        </w:rPr>
        <w:t>竞争性磋商文件</w:t>
      </w:r>
      <w:r>
        <w:rPr>
          <w:color w:val="auto"/>
          <w:sz w:val="24"/>
          <w:szCs w:val="24"/>
        </w:rPr>
        <w:tab/>
      </w:r>
      <w:r>
        <w:rPr>
          <w:color w:val="auto"/>
          <w:sz w:val="24"/>
          <w:szCs w:val="24"/>
        </w:rPr>
        <w:fldChar w:fldCharType="begin"/>
      </w:r>
      <w:r>
        <w:rPr>
          <w:color w:val="auto"/>
          <w:sz w:val="24"/>
          <w:szCs w:val="24"/>
        </w:rPr>
        <w:instrText xml:space="preserve"> PAGEREF _Toc16079 \h </w:instrText>
      </w:r>
      <w:r>
        <w:rPr>
          <w:color w:val="auto"/>
          <w:sz w:val="24"/>
          <w:szCs w:val="24"/>
        </w:rPr>
        <w:fldChar w:fldCharType="separate"/>
      </w:r>
      <w:r>
        <w:rPr>
          <w:color w:val="auto"/>
          <w:sz w:val="24"/>
          <w:szCs w:val="24"/>
        </w:rPr>
        <w:t>9</w:t>
      </w:r>
      <w:r>
        <w:rPr>
          <w:color w:val="auto"/>
          <w:sz w:val="24"/>
          <w:szCs w:val="24"/>
        </w:rPr>
        <w:fldChar w:fldCharType="end"/>
      </w:r>
      <w:r>
        <w:rPr>
          <w:rFonts w:hint="eastAsia" w:hAnsi="宋体"/>
          <w:color w:val="auto"/>
          <w:sz w:val="24"/>
          <w:szCs w:val="52"/>
          <w:highlight w:val="none"/>
        </w:rPr>
        <w:fldChar w:fldCharType="end"/>
      </w:r>
    </w:p>
    <w:p w14:paraId="36D7A5BD">
      <w:pPr>
        <w:pStyle w:val="23"/>
        <w:tabs>
          <w:tab w:val="right" w:leader="dot" w:pos="8306"/>
        </w:tabs>
        <w:spacing w:line="360" w:lineRule="auto"/>
        <w:rPr>
          <w:color w:val="auto"/>
          <w:sz w:val="24"/>
          <w:szCs w:val="24"/>
        </w:rPr>
      </w:pPr>
      <w:r>
        <w:rPr>
          <w:rFonts w:hint="eastAsia" w:hAnsi="宋体"/>
          <w:color w:val="auto"/>
          <w:sz w:val="24"/>
          <w:szCs w:val="52"/>
          <w:highlight w:val="none"/>
        </w:rPr>
        <w:fldChar w:fldCharType="begin"/>
      </w:r>
      <w:r>
        <w:rPr>
          <w:rFonts w:hint="eastAsia" w:hAnsi="宋体"/>
          <w:color w:val="auto"/>
          <w:sz w:val="24"/>
          <w:szCs w:val="52"/>
          <w:highlight w:val="none"/>
        </w:rPr>
        <w:instrText xml:space="preserve"> HYPERLINK \l _Toc24982 </w:instrText>
      </w:r>
      <w:r>
        <w:rPr>
          <w:rFonts w:hint="eastAsia" w:hAnsi="宋体"/>
          <w:color w:val="auto"/>
          <w:sz w:val="24"/>
          <w:szCs w:val="52"/>
          <w:highlight w:val="none"/>
        </w:rPr>
        <w:fldChar w:fldCharType="separate"/>
      </w:r>
      <w:r>
        <w:rPr>
          <w:rFonts w:hint="eastAsia" w:cs="Times New Roman"/>
          <w:color w:val="auto"/>
          <w:sz w:val="24"/>
          <w:szCs w:val="24"/>
        </w:rPr>
        <w:t xml:space="preserve">三、 </w:t>
      </w:r>
      <w:r>
        <w:rPr>
          <w:rFonts w:hint="eastAsia"/>
          <w:color w:val="auto"/>
          <w:sz w:val="24"/>
          <w:szCs w:val="24"/>
          <w:highlight w:val="none"/>
        </w:rPr>
        <w:t>竞争性磋商响应文件的编写</w:t>
      </w:r>
      <w:r>
        <w:rPr>
          <w:color w:val="auto"/>
          <w:sz w:val="24"/>
          <w:szCs w:val="24"/>
        </w:rPr>
        <w:tab/>
      </w:r>
      <w:r>
        <w:rPr>
          <w:color w:val="auto"/>
          <w:sz w:val="24"/>
          <w:szCs w:val="24"/>
        </w:rPr>
        <w:fldChar w:fldCharType="begin"/>
      </w:r>
      <w:r>
        <w:rPr>
          <w:color w:val="auto"/>
          <w:sz w:val="24"/>
          <w:szCs w:val="24"/>
        </w:rPr>
        <w:instrText xml:space="preserve"> PAGEREF _Toc24982 \h </w:instrText>
      </w:r>
      <w:r>
        <w:rPr>
          <w:color w:val="auto"/>
          <w:sz w:val="24"/>
          <w:szCs w:val="24"/>
        </w:rPr>
        <w:fldChar w:fldCharType="separate"/>
      </w:r>
      <w:r>
        <w:rPr>
          <w:color w:val="auto"/>
          <w:sz w:val="24"/>
          <w:szCs w:val="24"/>
        </w:rPr>
        <w:t>10</w:t>
      </w:r>
      <w:r>
        <w:rPr>
          <w:color w:val="auto"/>
          <w:sz w:val="24"/>
          <w:szCs w:val="24"/>
        </w:rPr>
        <w:fldChar w:fldCharType="end"/>
      </w:r>
      <w:r>
        <w:rPr>
          <w:rFonts w:hint="eastAsia" w:hAnsi="宋体"/>
          <w:color w:val="auto"/>
          <w:sz w:val="24"/>
          <w:szCs w:val="52"/>
          <w:highlight w:val="none"/>
        </w:rPr>
        <w:fldChar w:fldCharType="end"/>
      </w:r>
    </w:p>
    <w:p w14:paraId="1028C41A">
      <w:pPr>
        <w:pStyle w:val="23"/>
        <w:tabs>
          <w:tab w:val="right" w:leader="dot" w:pos="8306"/>
        </w:tabs>
        <w:spacing w:line="360" w:lineRule="auto"/>
        <w:rPr>
          <w:color w:val="auto"/>
          <w:sz w:val="24"/>
          <w:szCs w:val="24"/>
        </w:rPr>
      </w:pPr>
      <w:r>
        <w:rPr>
          <w:rFonts w:hint="eastAsia" w:hAnsi="宋体"/>
          <w:color w:val="auto"/>
          <w:sz w:val="24"/>
          <w:szCs w:val="52"/>
          <w:highlight w:val="none"/>
        </w:rPr>
        <w:fldChar w:fldCharType="begin"/>
      </w:r>
      <w:r>
        <w:rPr>
          <w:rFonts w:hint="eastAsia" w:hAnsi="宋体"/>
          <w:color w:val="auto"/>
          <w:sz w:val="24"/>
          <w:szCs w:val="52"/>
          <w:highlight w:val="none"/>
        </w:rPr>
        <w:instrText xml:space="preserve"> HYPERLINK \l _Toc8892 </w:instrText>
      </w:r>
      <w:r>
        <w:rPr>
          <w:rFonts w:hint="eastAsia" w:hAnsi="宋体"/>
          <w:color w:val="auto"/>
          <w:sz w:val="24"/>
          <w:szCs w:val="52"/>
          <w:highlight w:val="none"/>
        </w:rPr>
        <w:fldChar w:fldCharType="separate"/>
      </w:r>
      <w:r>
        <w:rPr>
          <w:rFonts w:hint="eastAsia" w:cs="Times New Roman"/>
          <w:color w:val="auto"/>
          <w:sz w:val="24"/>
          <w:szCs w:val="24"/>
        </w:rPr>
        <w:t xml:space="preserve">四、 </w:t>
      </w:r>
      <w:r>
        <w:rPr>
          <w:rFonts w:hint="eastAsia"/>
          <w:color w:val="auto"/>
          <w:sz w:val="24"/>
          <w:szCs w:val="24"/>
          <w:highlight w:val="none"/>
        </w:rPr>
        <w:t>响应文件的递交</w:t>
      </w:r>
      <w:r>
        <w:rPr>
          <w:color w:val="auto"/>
          <w:sz w:val="24"/>
          <w:szCs w:val="24"/>
        </w:rPr>
        <w:tab/>
      </w:r>
      <w:r>
        <w:rPr>
          <w:color w:val="auto"/>
          <w:sz w:val="24"/>
          <w:szCs w:val="24"/>
        </w:rPr>
        <w:fldChar w:fldCharType="begin"/>
      </w:r>
      <w:r>
        <w:rPr>
          <w:color w:val="auto"/>
          <w:sz w:val="24"/>
          <w:szCs w:val="24"/>
        </w:rPr>
        <w:instrText xml:space="preserve"> PAGEREF _Toc8892 \h </w:instrText>
      </w:r>
      <w:r>
        <w:rPr>
          <w:color w:val="auto"/>
          <w:sz w:val="24"/>
          <w:szCs w:val="24"/>
        </w:rPr>
        <w:fldChar w:fldCharType="separate"/>
      </w:r>
      <w:r>
        <w:rPr>
          <w:color w:val="auto"/>
          <w:sz w:val="24"/>
          <w:szCs w:val="24"/>
        </w:rPr>
        <w:t>13</w:t>
      </w:r>
      <w:r>
        <w:rPr>
          <w:color w:val="auto"/>
          <w:sz w:val="24"/>
          <w:szCs w:val="24"/>
        </w:rPr>
        <w:fldChar w:fldCharType="end"/>
      </w:r>
      <w:r>
        <w:rPr>
          <w:rFonts w:hint="eastAsia" w:hAnsi="宋体"/>
          <w:color w:val="auto"/>
          <w:sz w:val="24"/>
          <w:szCs w:val="52"/>
          <w:highlight w:val="none"/>
        </w:rPr>
        <w:fldChar w:fldCharType="end"/>
      </w:r>
    </w:p>
    <w:p w14:paraId="07CDC995">
      <w:pPr>
        <w:pStyle w:val="23"/>
        <w:tabs>
          <w:tab w:val="right" w:leader="dot" w:pos="8306"/>
        </w:tabs>
        <w:spacing w:line="360" w:lineRule="auto"/>
        <w:rPr>
          <w:color w:val="auto"/>
          <w:sz w:val="24"/>
          <w:szCs w:val="24"/>
        </w:rPr>
      </w:pPr>
      <w:r>
        <w:rPr>
          <w:rFonts w:hint="eastAsia" w:hAnsi="宋体"/>
          <w:color w:val="auto"/>
          <w:sz w:val="24"/>
          <w:szCs w:val="52"/>
          <w:highlight w:val="none"/>
        </w:rPr>
        <w:fldChar w:fldCharType="begin"/>
      </w:r>
      <w:r>
        <w:rPr>
          <w:rFonts w:hint="eastAsia" w:hAnsi="宋体"/>
          <w:color w:val="auto"/>
          <w:sz w:val="24"/>
          <w:szCs w:val="52"/>
          <w:highlight w:val="none"/>
        </w:rPr>
        <w:instrText xml:space="preserve"> HYPERLINK \l _Toc17162 </w:instrText>
      </w:r>
      <w:r>
        <w:rPr>
          <w:rFonts w:hint="eastAsia" w:hAnsi="宋体"/>
          <w:color w:val="auto"/>
          <w:sz w:val="24"/>
          <w:szCs w:val="52"/>
          <w:highlight w:val="none"/>
        </w:rPr>
        <w:fldChar w:fldCharType="separate"/>
      </w:r>
      <w:r>
        <w:rPr>
          <w:rFonts w:hint="eastAsia" w:hAnsi="宋体" w:cs="Times New Roman"/>
          <w:color w:val="auto"/>
          <w:sz w:val="24"/>
          <w:szCs w:val="24"/>
        </w:rPr>
        <w:t xml:space="preserve">五、 </w:t>
      </w:r>
      <w:r>
        <w:rPr>
          <w:rFonts w:hint="eastAsia"/>
          <w:color w:val="auto"/>
          <w:sz w:val="24"/>
          <w:szCs w:val="24"/>
          <w:highlight w:val="none"/>
        </w:rPr>
        <w:t>磋商无效的情形</w:t>
      </w:r>
      <w:r>
        <w:rPr>
          <w:color w:val="auto"/>
          <w:sz w:val="24"/>
          <w:szCs w:val="24"/>
        </w:rPr>
        <w:tab/>
      </w:r>
      <w:r>
        <w:rPr>
          <w:color w:val="auto"/>
          <w:sz w:val="24"/>
          <w:szCs w:val="24"/>
        </w:rPr>
        <w:fldChar w:fldCharType="begin"/>
      </w:r>
      <w:r>
        <w:rPr>
          <w:color w:val="auto"/>
          <w:sz w:val="24"/>
          <w:szCs w:val="24"/>
        </w:rPr>
        <w:instrText xml:space="preserve"> PAGEREF _Toc17162 \h </w:instrText>
      </w:r>
      <w:r>
        <w:rPr>
          <w:color w:val="auto"/>
          <w:sz w:val="24"/>
          <w:szCs w:val="24"/>
        </w:rPr>
        <w:fldChar w:fldCharType="separate"/>
      </w:r>
      <w:r>
        <w:rPr>
          <w:color w:val="auto"/>
          <w:sz w:val="24"/>
          <w:szCs w:val="24"/>
        </w:rPr>
        <w:t>14</w:t>
      </w:r>
      <w:r>
        <w:rPr>
          <w:color w:val="auto"/>
          <w:sz w:val="24"/>
          <w:szCs w:val="24"/>
        </w:rPr>
        <w:fldChar w:fldCharType="end"/>
      </w:r>
      <w:r>
        <w:rPr>
          <w:rFonts w:hint="eastAsia" w:hAnsi="宋体"/>
          <w:color w:val="auto"/>
          <w:sz w:val="24"/>
          <w:szCs w:val="52"/>
          <w:highlight w:val="none"/>
        </w:rPr>
        <w:fldChar w:fldCharType="end"/>
      </w:r>
    </w:p>
    <w:p w14:paraId="17C9DA14">
      <w:pPr>
        <w:pStyle w:val="23"/>
        <w:tabs>
          <w:tab w:val="right" w:leader="dot" w:pos="8306"/>
        </w:tabs>
        <w:spacing w:line="360" w:lineRule="auto"/>
        <w:rPr>
          <w:color w:val="auto"/>
          <w:sz w:val="24"/>
          <w:szCs w:val="24"/>
        </w:rPr>
      </w:pPr>
      <w:r>
        <w:rPr>
          <w:rFonts w:hint="eastAsia" w:hAnsi="宋体"/>
          <w:color w:val="auto"/>
          <w:sz w:val="24"/>
          <w:szCs w:val="52"/>
          <w:highlight w:val="none"/>
        </w:rPr>
        <w:fldChar w:fldCharType="begin"/>
      </w:r>
      <w:r>
        <w:rPr>
          <w:rFonts w:hint="eastAsia" w:hAnsi="宋体"/>
          <w:color w:val="auto"/>
          <w:sz w:val="24"/>
          <w:szCs w:val="52"/>
          <w:highlight w:val="none"/>
        </w:rPr>
        <w:instrText xml:space="preserve"> HYPERLINK \l _Toc22093 </w:instrText>
      </w:r>
      <w:r>
        <w:rPr>
          <w:rFonts w:hint="eastAsia" w:hAnsi="宋体"/>
          <w:color w:val="auto"/>
          <w:sz w:val="24"/>
          <w:szCs w:val="52"/>
          <w:highlight w:val="none"/>
        </w:rPr>
        <w:fldChar w:fldCharType="separate"/>
      </w:r>
      <w:r>
        <w:rPr>
          <w:rFonts w:hint="eastAsia" w:cs="Times New Roman"/>
          <w:color w:val="auto"/>
          <w:sz w:val="24"/>
          <w:szCs w:val="24"/>
        </w:rPr>
        <w:t xml:space="preserve">六、 </w:t>
      </w:r>
      <w:r>
        <w:rPr>
          <w:rFonts w:hint="eastAsia"/>
          <w:color w:val="auto"/>
          <w:sz w:val="24"/>
          <w:szCs w:val="24"/>
          <w:highlight w:val="none"/>
        </w:rPr>
        <w:t>采购中止的情形</w:t>
      </w:r>
      <w:r>
        <w:rPr>
          <w:color w:val="auto"/>
          <w:sz w:val="24"/>
          <w:szCs w:val="24"/>
        </w:rPr>
        <w:tab/>
      </w:r>
      <w:r>
        <w:rPr>
          <w:color w:val="auto"/>
          <w:sz w:val="24"/>
          <w:szCs w:val="24"/>
        </w:rPr>
        <w:fldChar w:fldCharType="begin"/>
      </w:r>
      <w:r>
        <w:rPr>
          <w:color w:val="auto"/>
          <w:sz w:val="24"/>
          <w:szCs w:val="24"/>
        </w:rPr>
        <w:instrText xml:space="preserve"> PAGEREF _Toc22093 \h </w:instrText>
      </w:r>
      <w:r>
        <w:rPr>
          <w:color w:val="auto"/>
          <w:sz w:val="24"/>
          <w:szCs w:val="24"/>
        </w:rPr>
        <w:fldChar w:fldCharType="separate"/>
      </w:r>
      <w:r>
        <w:rPr>
          <w:color w:val="auto"/>
          <w:sz w:val="24"/>
          <w:szCs w:val="24"/>
        </w:rPr>
        <w:t>15</w:t>
      </w:r>
      <w:r>
        <w:rPr>
          <w:color w:val="auto"/>
          <w:sz w:val="24"/>
          <w:szCs w:val="24"/>
        </w:rPr>
        <w:fldChar w:fldCharType="end"/>
      </w:r>
      <w:r>
        <w:rPr>
          <w:rFonts w:hint="eastAsia" w:hAnsi="宋体"/>
          <w:color w:val="auto"/>
          <w:sz w:val="24"/>
          <w:szCs w:val="52"/>
          <w:highlight w:val="none"/>
        </w:rPr>
        <w:fldChar w:fldCharType="end"/>
      </w:r>
    </w:p>
    <w:p w14:paraId="4CF97083">
      <w:pPr>
        <w:pStyle w:val="23"/>
        <w:tabs>
          <w:tab w:val="right" w:leader="dot" w:pos="8306"/>
        </w:tabs>
        <w:spacing w:line="360" w:lineRule="auto"/>
        <w:rPr>
          <w:color w:val="auto"/>
          <w:sz w:val="24"/>
          <w:szCs w:val="24"/>
        </w:rPr>
      </w:pPr>
      <w:r>
        <w:rPr>
          <w:rFonts w:hint="eastAsia" w:hAnsi="宋体"/>
          <w:color w:val="auto"/>
          <w:sz w:val="24"/>
          <w:szCs w:val="52"/>
          <w:highlight w:val="none"/>
        </w:rPr>
        <w:fldChar w:fldCharType="begin"/>
      </w:r>
      <w:r>
        <w:rPr>
          <w:rFonts w:hint="eastAsia" w:hAnsi="宋体"/>
          <w:color w:val="auto"/>
          <w:sz w:val="24"/>
          <w:szCs w:val="52"/>
          <w:highlight w:val="none"/>
        </w:rPr>
        <w:instrText xml:space="preserve"> HYPERLINK \l _Toc8622 </w:instrText>
      </w:r>
      <w:r>
        <w:rPr>
          <w:rFonts w:hint="eastAsia" w:hAnsi="宋体"/>
          <w:color w:val="auto"/>
          <w:sz w:val="24"/>
          <w:szCs w:val="52"/>
          <w:highlight w:val="none"/>
        </w:rPr>
        <w:fldChar w:fldCharType="separate"/>
      </w:r>
      <w:r>
        <w:rPr>
          <w:rFonts w:hint="eastAsia" w:cs="Times New Roman"/>
          <w:color w:val="auto"/>
          <w:sz w:val="24"/>
          <w:szCs w:val="24"/>
        </w:rPr>
        <w:t xml:space="preserve">七、 </w:t>
      </w:r>
      <w:r>
        <w:rPr>
          <w:rFonts w:hint="eastAsia"/>
          <w:color w:val="auto"/>
          <w:sz w:val="24"/>
          <w:szCs w:val="24"/>
          <w:highlight w:val="none"/>
        </w:rPr>
        <w:t>确定成交供应商与签订合同</w:t>
      </w:r>
      <w:r>
        <w:rPr>
          <w:color w:val="auto"/>
          <w:sz w:val="24"/>
          <w:szCs w:val="24"/>
        </w:rPr>
        <w:tab/>
      </w:r>
      <w:r>
        <w:rPr>
          <w:color w:val="auto"/>
          <w:sz w:val="24"/>
          <w:szCs w:val="24"/>
        </w:rPr>
        <w:fldChar w:fldCharType="begin"/>
      </w:r>
      <w:r>
        <w:rPr>
          <w:color w:val="auto"/>
          <w:sz w:val="24"/>
          <w:szCs w:val="24"/>
        </w:rPr>
        <w:instrText xml:space="preserve"> PAGEREF _Toc8622 \h </w:instrText>
      </w:r>
      <w:r>
        <w:rPr>
          <w:color w:val="auto"/>
          <w:sz w:val="24"/>
          <w:szCs w:val="24"/>
        </w:rPr>
        <w:fldChar w:fldCharType="separate"/>
      </w:r>
      <w:r>
        <w:rPr>
          <w:color w:val="auto"/>
          <w:sz w:val="24"/>
          <w:szCs w:val="24"/>
        </w:rPr>
        <w:t>15</w:t>
      </w:r>
      <w:r>
        <w:rPr>
          <w:color w:val="auto"/>
          <w:sz w:val="24"/>
          <w:szCs w:val="24"/>
        </w:rPr>
        <w:fldChar w:fldCharType="end"/>
      </w:r>
      <w:r>
        <w:rPr>
          <w:rFonts w:hint="eastAsia" w:hAnsi="宋体"/>
          <w:color w:val="auto"/>
          <w:sz w:val="24"/>
          <w:szCs w:val="52"/>
          <w:highlight w:val="none"/>
        </w:rPr>
        <w:fldChar w:fldCharType="end"/>
      </w:r>
    </w:p>
    <w:p w14:paraId="762D8328">
      <w:pPr>
        <w:pStyle w:val="20"/>
        <w:tabs>
          <w:tab w:val="right" w:leader="dot" w:pos="8306"/>
        </w:tabs>
        <w:spacing w:line="360" w:lineRule="auto"/>
        <w:rPr>
          <w:color w:val="auto"/>
          <w:sz w:val="24"/>
          <w:szCs w:val="24"/>
        </w:rPr>
      </w:pPr>
      <w:r>
        <w:rPr>
          <w:rFonts w:hint="eastAsia" w:hAnsi="宋体"/>
          <w:color w:val="auto"/>
          <w:sz w:val="24"/>
          <w:szCs w:val="52"/>
          <w:highlight w:val="none"/>
        </w:rPr>
        <w:fldChar w:fldCharType="begin"/>
      </w:r>
      <w:r>
        <w:rPr>
          <w:rFonts w:hint="eastAsia" w:hAnsi="宋体"/>
          <w:color w:val="auto"/>
          <w:sz w:val="24"/>
          <w:szCs w:val="52"/>
          <w:highlight w:val="none"/>
        </w:rPr>
        <w:instrText xml:space="preserve"> HYPERLINK \l _Toc19197 </w:instrText>
      </w:r>
      <w:r>
        <w:rPr>
          <w:rFonts w:hint="eastAsia" w:hAnsi="宋体"/>
          <w:color w:val="auto"/>
          <w:sz w:val="24"/>
          <w:szCs w:val="52"/>
          <w:highlight w:val="none"/>
        </w:rPr>
        <w:fldChar w:fldCharType="separate"/>
      </w:r>
      <w:r>
        <w:rPr>
          <w:rFonts w:hint="eastAsia"/>
          <w:color w:val="auto"/>
          <w:sz w:val="24"/>
          <w:szCs w:val="44"/>
          <w:highlight w:val="none"/>
        </w:rPr>
        <w:t xml:space="preserve">第三部分 </w:t>
      </w:r>
      <w:r>
        <w:rPr>
          <w:rFonts w:hint="eastAsia" w:cs="宋体"/>
          <w:color w:val="auto"/>
          <w:sz w:val="24"/>
          <w:szCs w:val="44"/>
          <w:highlight w:val="none"/>
        </w:rPr>
        <w:t>采购内容及要求</w:t>
      </w:r>
      <w:r>
        <w:rPr>
          <w:color w:val="auto"/>
          <w:sz w:val="24"/>
          <w:szCs w:val="24"/>
        </w:rPr>
        <w:tab/>
      </w:r>
      <w:r>
        <w:rPr>
          <w:color w:val="auto"/>
          <w:sz w:val="24"/>
          <w:szCs w:val="24"/>
        </w:rPr>
        <w:fldChar w:fldCharType="begin"/>
      </w:r>
      <w:r>
        <w:rPr>
          <w:color w:val="auto"/>
          <w:sz w:val="24"/>
          <w:szCs w:val="24"/>
        </w:rPr>
        <w:instrText xml:space="preserve"> PAGEREF _Toc19197 \h </w:instrText>
      </w:r>
      <w:r>
        <w:rPr>
          <w:color w:val="auto"/>
          <w:sz w:val="24"/>
          <w:szCs w:val="24"/>
        </w:rPr>
        <w:fldChar w:fldCharType="separate"/>
      </w:r>
      <w:r>
        <w:rPr>
          <w:color w:val="auto"/>
          <w:sz w:val="24"/>
          <w:szCs w:val="24"/>
        </w:rPr>
        <w:t>17</w:t>
      </w:r>
      <w:r>
        <w:rPr>
          <w:color w:val="auto"/>
          <w:sz w:val="24"/>
          <w:szCs w:val="24"/>
        </w:rPr>
        <w:fldChar w:fldCharType="end"/>
      </w:r>
      <w:r>
        <w:rPr>
          <w:rFonts w:hint="eastAsia" w:hAnsi="宋体"/>
          <w:color w:val="auto"/>
          <w:sz w:val="24"/>
          <w:szCs w:val="52"/>
          <w:highlight w:val="none"/>
        </w:rPr>
        <w:fldChar w:fldCharType="end"/>
      </w:r>
    </w:p>
    <w:p w14:paraId="6BB6E562">
      <w:pPr>
        <w:pStyle w:val="23"/>
        <w:tabs>
          <w:tab w:val="right" w:leader="dot" w:pos="8306"/>
        </w:tabs>
        <w:spacing w:line="360" w:lineRule="auto"/>
        <w:rPr>
          <w:color w:val="auto"/>
          <w:sz w:val="24"/>
          <w:szCs w:val="24"/>
        </w:rPr>
      </w:pPr>
      <w:r>
        <w:rPr>
          <w:rFonts w:hint="eastAsia" w:hAnsi="宋体"/>
          <w:color w:val="auto"/>
          <w:sz w:val="24"/>
          <w:szCs w:val="52"/>
          <w:highlight w:val="none"/>
        </w:rPr>
        <w:fldChar w:fldCharType="begin"/>
      </w:r>
      <w:r>
        <w:rPr>
          <w:rFonts w:hint="eastAsia" w:hAnsi="宋体"/>
          <w:color w:val="auto"/>
          <w:sz w:val="24"/>
          <w:szCs w:val="52"/>
          <w:highlight w:val="none"/>
        </w:rPr>
        <w:instrText xml:space="preserve"> HYPERLINK \l _Toc7147 </w:instrText>
      </w:r>
      <w:r>
        <w:rPr>
          <w:rFonts w:hint="eastAsia" w:hAnsi="宋体"/>
          <w:color w:val="auto"/>
          <w:sz w:val="24"/>
          <w:szCs w:val="52"/>
          <w:highlight w:val="none"/>
        </w:rPr>
        <w:fldChar w:fldCharType="separate"/>
      </w:r>
      <w:r>
        <w:rPr>
          <w:rFonts w:hint="eastAsia"/>
          <w:color w:val="auto"/>
          <w:sz w:val="24"/>
          <w:szCs w:val="24"/>
          <w:highlight w:val="none"/>
        </w:rPr>
        <w:t>第一章 采购内容及要求</w:t>
      </w:r>
      <w:r>
        <w:rPr>
          <w:color w:val="auto"/>
          <w:sz w:val="24"/>
          <w:szCs w:val="24"/>
        </w:rPr>
        <w:tab/>
      </w:r>
      <w:r>
        <w:rPr>
          <w:color w:val="auto"/>
          <w:sz w:val="24"/>
          <w:szCs w:val="24"/>
        </w:rPr>
        <w:fldChar w:fldCharType="begin"/>
      </w:r>
      <w:r>
        <w:rPr>
          <w:color w:val="auto"/>
          <w:sz w:val="24"/>
          <w:szCs w:val="24"/>
        </w:rPr>
        <w:instrText xml:space="preserve"> PAGEREF _Toc7147 \h </w:instrText>
      </w:r>
      <w:r>
        <w:rPr>
          <w:color w:val="auto"/>
          <w:sz w:val="24"/>
          <w:szCs w:val="24"/>
        </w:rPr>
        <w:fldChar w:fldCharType="separate"/>
      </w:r>
      <w:r>
        <w:rPr>
          <w:color w:val="auto"/>
          <w:sz w:val="24"/>
          <w:szCs w:val="24"/>
        </w:rPr>
        <w:t>17</w:t>
      </w:r>
      <w:r>
        <w:rPr>
          <w:color w:val="auto"/>
          <w:sz w:val="24"/>
          <w:szCs w:val="24"/>
        </w:rPr>
        <w:fldChar w:fldCharType="end"/>
      </w:r>
      <w:r>
        <w:rPr>
          <w:rFonts w:hint="eastAsia" w:hAnsi="宋体"/>
          <w:color w:val="auto"/>
          <w:sz w:val="24"/>
          <w:szCs w:val="52"/>
          <w:highlight w:val="none"/>
        </w:rPr>
        <w:fldChar w:fldCharType="end"/>
      </w:r>
    </w:p>
    <w:p w14:paraId="7BFB9F36">
      <w:pPr>
        <w:pStyle w:val="23"/>
        <w:tabs>
          <w:tab w:val="right" w:leader="dot" w:pos="8306"/>
        </w:tabs>
        <w:spacing w:line="360" w:lineRule="auto"/>
        <w:rPr>
          <w:color w:val="auto"/>
          <w:sz w:val="24"/>
          <w:szCs w:val="24"/>
        </w:rPr>
      </w:pPr>
      <w:r>
        <w:rPr>
          <w:rFonts w:hint="eastAsia" w:hAnsi="宋体"/>
          <w:color w:val="auto"/>
          <w:sz w:val="24"/>
          <w:szCs w:val="52"/>
          <w:highlight w:val="none"/>
        </w:rPr>
        <w:fldChar w:fldCharType="begin"/>
      </w:r>
      <w:r>
        <w:rPr>
          <w:rFonts w:hint="eastAsia" w:hAnsi="宋体"/>
          <w:color w:val="auto"/>
          <w:sz w:val="24"/>
          <w:szCs w:val="52"/>
          <w:highlight w:val="none"/>
        </w:rPr>
        <w:instrText xml:space="preserve"> HYPERLINK \l _Toc13569 </w:instrText>
      </w:r>
      <w:r>
        <w:rPr>
          <w:rFonts w:hint="eastAsia" w:hAnsi="宋体"/>
          <w:color w:val="auto"/>
          <w:sz w:val="24"/>
          <w:szCs w:val="52"/>
          <w:highlight w:val="none"/>
        </w:rPr>
        <w:fldChar w:fldCharType="separate"/>
      </w:r>
      <w:r>
        <w:rPr>
          <w:rFonts w:hint="eastAsia"/>
          <w:color w:val="auto"/>
          <w:sz w:val="24"/>
          <w:szCs w:val="24"/>
          <w:lang w:val="en-US" w:eastAsia="zh-CN"/>
        </w:rPr>
        <w:t xml:space="preserve">第二章 </w:t>
      </w:r>
      <w:r>
        <w:rPr>
          <w:rFonts w:hint="eastAsia"/>
          <w:color w:val="auto"/>
          <w:sz w:val="24"/>
          <w:szCs w:val="24"/>
        </w:rPr>
        <w:t>付款方式及要求</w:t>
      </w:r>
      <w:r>
        <w:rPr>
          <w:color w:val="auto"/>
          <w:sz w:val="24"/>
          <w:szCs w:val="24"/>
        </w:rPr>
        <w:tab/>
      </w:r>
      <w:r>
        <w:rPr>
          <w:color w:val="auto"/>
          <w:sz w:val="24"/>
          <w:szCs w:val="24"/>
        </w:rPr>
        <w:fldChar w:fldCharType="begin"/>
      </w:r>
      <w:r>
        <w:rPr>
          <w:color w:val="auto"/>
          <w:sz w:val="24"/>
          <w:szCs w:val="24"/>
        </w:rPr>
        <w:instrText xml:space="preserve"> PAGEREF _Toc13569 \h </w:instrText>
      </w:r>
      <w:r>
        <w:rPr>
          <w:color w:val="auto"/>
          <w:sz w:val="24"/>
          <w:szCs w:val="24"/>
        </w:rPr>
        <w:fldChar w:fldCharType="separate"/>
      </w:r>
      <w:r>
        <w:rPr>
          <w:color w:val="auto"/>
          <w:sz w:val="24"/>
          <w:szCs w:val="24"/>
        </w:rPr>
        <w:t>21</w:t>
      </w:r>
      <w:r>
        <w:rPr>
          <w:color w:val="auto"/>
          <w:sz w:val="24"/>
          <w:szCs w:val="24"/>
        </w:rPr>
        <w:fldChar w:fldCharType="end"/>
      </w:r>
      <w:r>
        <w:rPr>
          <w:rFonts w:hint="eastAsia" w:hAnsi="宋体"/>
          <w:color w:val="auto"/>
          <w:sz w:val="24"/>
          <w:szCs w:val="52"/>
          <w:highlight w:val="none"/>
        </w:rPr>
        <w:fldChar w:fldCharType="end"/>
      </w:r>
    </w:p>
    <w:p w14:paraId="5181872E">
      <w:pPr>
        <w:pStyle w:val="20"/>
        <w:tabs>
          <w:tab w:val="right" w:leader="dot" w:pos="8306"/>
        </w:tabs>
        <w:spacing w:line="360" w:lineRule="auto"/>
        <w:rPr>
          <w:color w:val="auto"/>
          <w:sz w:val="24"/>
          <w:szCs w:val="24"/>
        </w:rPr>
      </w:pPr>
      <w:r>
        <w:rPr>
          <w:rFonts w:hint="eastAsia" w:hAnsi="宋体"/>
          <w:color w:val="auto"/>
          <w:sz w:val="24"/>
          <w:szCs w:val="52"/>
          <w:highlight w:val="none"/>
        </w:rPr>
        <w:fldChar w:fldCharType="begin"/>
      </w:r>
      <w:r>
        <w:rPr>
          <w:rFonts w:hint="eastAsia" w:hAnsi="宋体"/>
          <w:color w:val="auto"/>
          <w:sz w:val="24"/>
          <w:szCs w:val="52"/>
          <w:highlight w:val="none"/>
        </w:rPr>
        <w:instrText xml:space="preserve"> HYPERLINK \l _Toc11977 </w:instrText>
      </w:r>
      <w:r>
        <w:rPr>
          <w:rFonts w:hint="eastAsia" w:hAnsi="宋体"/>
          <w:color w:val="auto"/>
          <w:sz w:val="24"/>
          <w:szCs w:val="52"/>
          <w:highlight w:val="none"/>
        </w:rPr>
        <w:fldChar w:fldCharType="separate"/>
      </w:r>
      <w:r>
        <w:rPr>
          <w:rFonts w:hint="eastAsia" w:cs="宋体"/>
          <w:color w:val="auto"/>
          <w:sz w:val="24"/>
          <w:szCs w:val="44"/>
          <w:highlight w:val="none"/>
        </w:rPr>
        <w:t>第四部分 磋商原则及磋商方法</w:t>
      </w:r>
      <w:r>
        <w:rPr>
          <w:color w:val="auto"/>
          <w:sz w:val="24"/>
          <w:szCs w:val="24"/>
        </w:rPr>
        <w:tab/>
      </w:r>
      <w:r>
        <w:rPr>
          <w:color w:val="auto"/>
          <w:sz w:val="24"/>
          <w:szCs w:val="24"/>
        </w:rPr>
        <w:fldChar w:fldCharType="begin"/>
      </w:r>
      <w:r>
        <w:rPr>
          <w:color w:val="auto"/>
          <w:sz w:val="24"/>
          <w:szCs w:val="24"/>
        </w:rPr>
        <w:instrText xml:space="preserve"> PAGEREF _Toc11977 \h </w:instrText>
      </w:r>
      <w:r>
        <w:rPr>
          <w:color w:val="auto"/>
          <w:sz w:val="24"/>
          <w:szCs w:val="24"/>
        </w:rPr>
        <w:fldChar w:fldCharType="separate"/>
      </w:r>
      <w:r>
        <w:rPr>
          <w:color w:val="auto"/>
          <w:sz w:val="24"/>
          <w:szCs w:val="24"/>
        </w:rPr>
        <w:t>22</w:t>
      </w:r>
      <w:r>
        <w:rPr>
          <w:color w:val="auto"/>
          <w:sz w:val="24"/>
          <w:szCs w:val="24"/>
        </w:rPr>
        <w:fldChar w:fldCharType="end"/>
      </w:r>
      <w:r>
        <w:rPr>
          <w:rFonts w:hint="eastAsia" w:hAnsi="宋体"/>
          <w:color w:val="auto"/>
          <w:sz w:val="24"/>
          <w:szCs w:val="52"/>
          <w:highlight w:val="none"/>
        </w:rPr>
        <w:fldChar w:fldCharType="end"/>
      </w:r>
    </w:p>
    <w:p w14:paraId="6B585828">
      <w:pPr>
        <w:pStyle w:val="23"/>
        <w:tabs>
          <w:tab w:val="right" w:leader="dot" w:pos="8306"/>
        </w:tabs>
        <w:spacing w:line="360" w:lineRule="auto"/>
        <w:rPr>
          <w:color w:val="auto"/>
          <w:sz w:val="24"/>
          <w:szCs w:val="24"/>
        </w:rPr>
      </w:pPr>
      <w:r>
        <w:rPr>
          <w:rFonts w:hint="eastAsia" w:hAnsi="宋体"/>
          <w:color w:val="auto"/>
          <w:sz w:val="24"/>
          <w:szCs w:val="52"/>
          <w:highlight w:val="none"/>
        </w:rPr>
        <w:fldChar w:fldCharType="begin"/>
      </w:r>
      <w:r>
        <w:rPr>
          <w:rFonts w:hint="eastAsia" w:hAnsi="宋体"/>
          <w:color w:val="auto"/>
          <w:sz w:val="24"/>
          <w:szCs w:val="52"/>
          <w:highlight w:val="none"/>
        </w:rPr>
        <w:instrText xml:space="preserve"> HYPERLINK \l _Toc30793 </w:instrText>
      </w:r>
      <w:r>
        <w:rPr>
          <w:rFonts w:hint="eastAsia" w:hAnsi="宋体"/>
          <w:color w:val="auto"/>
          <w:sz w:val="24"/>
          <w:szCs w:val="52"/>
          <w:highlight w:val="none"/>
        </w:rPr>
        <w:fldChar w:fldCharType="separate"/>
      </w:r>
      <w:r>
        <w:rPr>
          <w:rFonts w:hint="eastAsia" w:cs="Times New Roman"/>
          <w:color w:val="auto"/>
          <w:sz w:val="24"/>
          <w:szCs w:val="24"/>
        </w:rPr>
        <w:t xml:space="preserve">一、 </w:t>
      </w:r>
      <w:r>
        <w:rPr>
          <w:rFonts w:hint="eastAsia"/>
          <w:color w:val="auto"/>
          <w:sz w:val="24"/>
          <w:szCs w:val="24"/>
          <w:highlight w:val="none"/>
        </w:rPr>
        <w:t>磋商原则</w:t>
      </w:r>
      <w:r>
        <w:rPr>
          <w:color w:val="auto"/>
          <w:sz w:val="24"/>
          <w:szCs w:val="24"/>
        </w:rPr>
        <w:tab/>
      </w:r>
      <w:r>
        <w:rPr>
          <w:color w:val="auto"/>
          <w:sz w:val="24"/>
          <w:szCs w:val="24"/>
        </w:rPr>
        <w:fldChar w:fldCharType="begin"/>
      </w:r>
      <w:r>
        <w:rPr>
          <w:color w:val="auto"/>
          <w:sz w:val="24"/>
          <w:szCs w:val="24"/>
        </w:rPr>
        <w:instrText xml:space="preserve"> PAGEREF _Toc30793 \h </w:instrText>
      </w:r>
      <w:r>
        <w:rPr>
          <w:color w:val="auto"/>
          <w:sz w:val="24"/>
          <w:szCs w:val="24"/>
        </w:rPr>
        <w:fldChar w:fldCharType="separate"/>
      </w:r>
      <w:r>
        <w:rPr>
          <w:color w:val="auto"/>
          <w:sz w:val="24"/>
          <w:szCs w:val="24"/>
        </w:rPr>
        <w:t>22</w:t>
      </w:r>
      <w:r>
        <w:rPr>
          <w:color w:val="auto"/>
          <w:sz w:val="24"/>
          <w:szCs w:val="24"/>
        </w:rPr>
        <w:fldChar w:fldCharType="end"/>
      </w:r>
      <w:r>
        <w:rPr>
          <w:rFonts w:hint="eastAsia" w:hAnsi="宋体"/>
          <w:color w:val="auto"/>
          <w:sz w:val="24"/>
          <w:szCs w:val="52"/>
          <w:highlight w:val="none"/>
        </w:rPr>
        <w:fldChar w:fldCharType="end"/>
      </w:r>
    </w:p>
    <w:p w14:paraId="614E82B9">
      <w:pPr>
        <w:pStyle w:val="23"/>
        <w:tabs>
          <w:tab w:val="right" w:leader="dot" w:pos="8306"/>
        </w:tabs>
        <w:spacing w:line="360" w:lineRule="auto"/>
        <w:rPr>
          <w:color w:val="auto"/>
          <w:sz w:val="24"/>
          <w:szCs w:val="24"/>
        </w:rPr>
      </w:pPr>
      <w:r>
        <w:rPr>
          <w:rFonts w:hint="eastAsia" w:hAnsi="宋体"/>
          <w:color w:val="auto"/>
          <w:sz w:val="24"/>
          <w:szCs w:val="52"/>
          <w:highlight w:val="none"/>
        </w:rPr>
        <w:fldChar w:fldCharType="begin"/>
      </w:r>
      <w:r>
        <w:rPr>
          <w:rFonts w:hint="eastAsia" w:hAnsi="宋体"/>
          <w:color w:val="auto"/>
          <w:sz w:val="24"/>
          <w:szCs w:val="52"/>
          <w:highlight w:val="none"/>
        </w:rPr>
        <w:instrText xml:space="preserve"> HYPERLINK \l _Toc9591 </w:instrText>
      </w:r>
      <w:r>
        <w:rPr>
          <w:rFonts w:hint="eastAsia" w:hAnsi="宋体"/>
          <w:color w:val="auto"/>
          <w:sz w:val="24"/>
          <w:szCs w:val="52"/>
          <w:highlight w:val="none"/>
        </w:rPr>
        <w:fldChar w:fldCharType="separate"/>
      </w:r>
      <w:r>
        <w:rPr>
          <w:rFonts w:hint="eastAsia" w:cs="Times New Roman"/>
          <w:color w:val="auto"/>
          <w:sz w:val="24"/>
          <w:szCs w:val="24"/>
        </w:rPr>
        <w:t xml:space="preserve">二、 </w:t>
      </w:r>
      <w:r>
        <w:rPr>
          <w:rFonts w:hint="eastAsia"/>
          <w:color w:val="auto"/>
          <w:sz w:val="24"/>
          <w:szCs w:val="24"/>
          <w:highlight w:val="none"/>
        </w:rPr>
        <w:t>磋商程序</w:t>
      </w:r>
      <w:r>
        <w:rPr>
          <w:color w:val="auto"/>
          <w:sz w:val="24"/>
          <w:szCs w:val="24"/>
        </w:rPr>
        <w:tab/>
      </w:r>
      <w:r>
        <w:rPr>
          <w:color w:val="auto"/>
          <w:sz w:val="24"/>
          <w:szCs w:val="24"/>
        </w:rPr>
        <w:fldChar w:fldCharType="begin"/>
      </w:r>
      <w:r>
        <w:rPr>
          <w:color w:val="auto"/>
          <w:sz w:val="24"/>
          <w:szCs w:val="24"/>
        </w:rPr>
        <w:instrText xml:space="preserve"> PAGEREF _Toc9591 \h </w:instrText>
      </w:r>
      <w:r>
        <w:rPr>
          <w:color w:val="auto"/>
          <w:sz w:val="24"/>
          <w:szCs w:val="24"/>
        </w:rPr>
        <w:fldChar w:fldCharType="separate"/>
      </w:r>
      <w:r>
        <w:rPr>
          <w:color w:val="auto"/>
          <w:sz w:val="24"/>
          <w:szCs w:val="24"/>
        </w:rPr>
        <w:t>23</w:t>
      </w:r>
      <w:r>
        <w:rPr>
          <w:color w:val="auto"/>
          <w:sz w:val="24"/>
          <w:szCs w:val="24"/>
        </w:rPr>
        <w:fldChar w:fldCharType="end"/>
      </w:r>
      <w:r>
        <w:rPr>
          <w:rFonts w:hint="eastAsia" w:hAnsi="宋体"/>
          <w:color w:val="auto"/>
          <w:sz w:val="24"/>
          <w:szCs w:val="52"/>
          <w:highlight w:val="none"/>
        </w:rPr>
        <w:fldChar w:fldCharType="end"/>
      </w:r>
    </w:p>
    <w:p w14:paraId="3CEA04E2">
      <w:pPr>
        <w:pStyle w:val="23"/>
        <w:tabs>
          <w:tab w:val="right" w:leader="dot" w:pos="8306"/>
        </w:tabs>
        <w:spacing w:line="360" w:lineRule="auto"/>
        <w:rPr>
          <w:color w:val="auto"/>
          <w:sz w:val="24"/>
          <w:szCs w:val="24"/>
        </w:rPr>
      </w:pPr>
      <w:r>
        <w:rPr>
          <w:rFonts w:hint="eastAsia" w:hAnsi="宋体"/>
          <w:color w:val="auto"/>
          <w:sz w:val="24"/>
          <w:szCs w:val="52"/>
          <w:highlight w:val="none"/>
        </w:rPr>
        <w:fldChar w:fldCharType="begin"/>
      </w:r>
      <w:r>
        <w:rPr>
          <w:rFonts w:hint="eastAsia" w:hAnsi="宋体"/>
          <w:color w:val="auto"/>
          <w:sz w:val="24"/>
          <w:szCs w:val="52"/>
          <w:highlight w:val="none"/>
        </w:rPr>
        <w:instrText xml:space="preserve"> HYPERLINK \l _Toc13904 </w:instrText>
      </w:r>
      <w:r>
        <w:rPr>
          <w:rFonts w:hint="eastAsia" w:hAnsi="宋体"/>
          <w:color w:val="auto"/>
          <w:sz w:val="24"/>
          <w:szCs w:val="52"/>
          <w:highlight w:val="none"/>
        </w:rPr>
        <w:fldChar w:fldCharType="separate"/>
      </w:r>
      <w:r>
        <w:rPr>
          <w:rFonts w:hint="eastAsia" w:cs="Times New Roman"/>
          <w:color w:val="auto"/>
          <w:sz w:val="24"/>
          <w:szCs w:val="24"/>
        </w:rPr>
        <w:t xml:space="preserve">三、 </w:t>
      </w:r>
      <w:r>
        <w:rPr>
          <w:rFonts w:hint="eastAsia"/>
          <w:color w:val="auto"/>
          <w:sz w:val="24"/>
          <w:szCs w:val="24"/>
          <w:highlight w:val="none"/>
        </w:rPr>
        <w:t>注意事项</w:t>
      </w:r>
      <w:r>
        <w:rPr>
          <w:color w:val="auto"/>
          <w:sz w:val="24"/>
          <w:szCs w:val="24"/>
        </w:rPr>
        <w:tab/>
      </w:r>
      <w:r>
        <w:rPr>
          <w:color w:val="auto"/>
          <w:sz w:val="24"/>
          <w:szCs w:val="24"/>
        </w:rPr>
        <w:fldChar w:fldCharType="begin"/>
      </w:r>
      <w:r>
        <w:rPr>
          <w:color w:val="auto"/>
          <w:sz w:val="24"/>
          <w:szCs w:val="24"/>
        </w:rPr>
        <w:instrText xml:space="preserve"> PAGEREF _Toc13904 \h </w:instrText>
      </w:r>
      <w:r>
        <w:rPr>
          <w:color w:val="auto"/>
          <w:sz w:val="24"/>
          <w:szCs w:val="24"/>
        </w:rPr>
        <w:fldChar w:fldCharType="separate"/>
      </w:r>
      <w:r>
        <w:rPr>
          <w:color w:val="auto"/>
          <w:sz w:val="24"/>
          <w:szCs w:val="24"/>
        </w:rPr>
        <w:t>26</w:t>
      </w:r>
      <w:r>
        <w:rPr>
          <w:color w:val="auto"/>
          <w:sz w:val="24"/>
          <w:szCs w:val="24"/>
        </w:rPr>
        <w:fldChar w:fldCharType="end"/>
      </w:r>
      <w:r>
        <w:rPr>
          <w:rFonts w:hint="eastAsia" w:hAnsi="宋体"/>
          <w:color w:val="auto"/>
          <w:sz w:val="24"/>
          <w:szCs w:val="52"/>
          <w:highlight w:val="none"/>
        </w:rPr>
        <w:fldChar w:fldCharType="end"/>
      </w:r>
    </w:p>
    <w:p w14:paraId="285C7FD2">
      <w:pPr>
        <w:pStyle w:val="23"/>
        <w:tabs>
          <w:tab w:val="right" w:leader="dot" w:pos="8306"/>
        </w:tabs>
        <w:spacing w:line="360" w:lineRule="auto"/>
        <w:rPr>
          <w:color w:val="auto"/>
          <w:sz w:val="24"/>
          <w:szCs w:val="24"/>
        </w:rPr>
      </w:pPr>
      <w:r>
        <w:rPr>
          <w:rFonts w:hint="eastAsia" w:hAnsi="宋体"/>
          <w:color w:val="auto"/>
          <w:sz w:val="24"/>
          <w:szCs w:val="52"/>
          <w:highlight w:val="none"/>
        </w:rPr>
        <w:fldChar w:fldCharType="begin"/>
      </w:r>
      <w:r>
        <w:rPr>
          <w:rFonts w:hint="eastAsia" w:hAnsi="宋体"/>
          <w:color w:val="auto"/>
          <w:sz w:val="24"/>
          <w:szCs w:val="52"/>
          <w:highlight w:val="none"/>
        </w:rPr>
        <w:instrText xml:space="preserve"> HYPERLINK \l _Toc23114 </w:instrText>
      </w:r>
      <w:r>
        <w:rPr>
          <w:rFonts w:hint="eastAsia" w:hAnsi="宋体"/>
          <w:color w:val="auto"/>
          <w:sz w:val="24"/>
          <w:szCs w:val="52"/>
          <w:highlight w:val="none"/>
        </w:rPr>
        <w:fldChar w:fldCharType="separate"/>
      </w:r>
      <w:r>
        <w:rPr>
          <w:rFonts w:hint="eastAsia" w:cs="Times New Roman"/>
          <w:color w:val="auto"/>
          <w:sz w:val="24"/>
          <w:szCs w:val="24"/>
        </w:rPr>
        <w:t xml:space="preserve">四、 </w:t>
      </w:r>
      <w:r>
        <w:rPr>
          <w:rFonts w:hint="eastAsia"/>
          <w:color w:val="auto"/>
          <w:sz w:val="24"/>
          <w:szCs w:val="24"/>
          <w:highlight w:val="none"/>
        </w:rPr>
        <w:t>评分细则</w:t>
      </w:r>
      <w:r>
        <w:rPr>
          <w:color w:val="auto"/>
          <w:sz w:val="24"/>
          <w:szCs w:val="24"/>
        </w:rPr>
        <w:tab/>
      </w:r>
      <w:r>
        <w:rPr>
          <w:color w:val="auto"/>
          <w:sz w:val="24"/>
          <w:szCs w:val="24"/>
        </w:rPr>
        <w:fldChar w:fldCharType="begin"/>
      </w:r>
      <w:r>
        <w:rPr>
          <w:color w:val="auto"/>
          <w:sz w:val="24"/>
          <w:szCs w:val="24"/>
        </w:rPr>
        <w:instrText xml:space="preserve"> PAGEREF _Toc23114 \h </w:instrText>
      </w:r>
      <w:r>
        <w:rPr>
          <w:color w:val="auto"/>
          <w:sz w:val="24"/>
          <w:szCs w:val="24"/>
        </w:rPr>
        <w:fldChar w:fldCharType="separate"/>
      </w:r>
      <w:r>
        <w:rPr>
          <w:color w:val="auto"/>
          <w:sz w:val="24"/>
          <w:szCs w:val="24"/>
        </w:rPr>
        <w:t>27</w:t>
      </w:r>
      <w:r>
        <w:rPr>
          <w:color w:val="auto"/>
          <w:sz w:val="24"/>
          <w:szCs w:val="24"/>
        </w:rPr>
        <w:fldChar w:fldCharType="end"/>
      </w:r>
      <w:r>
        <w:rPr>
          <w:rFonts w:hint="eastAsia" w:hAnsi="宋体"/>
          <w:color w:val="auto"/>
          <w:sz w:val="24"/>
          <w:szCs w:val="52"/>
          <w:highlight w:val="none"/>
        </w:rPr>
        <w:fldChar w:fldCharType="end"/>
      </w:r>
    </w:p>
    <w:p w14:paraId="36E00235">
      <w:pPr>
        <w:pStyle w:val="20"/>
        <w:tabs>
          <w:tab w:val="right" w:leader="dot" w:pos="8306"/>
        </w:tabs>
        <w:spacing w:line="360" w:lineRule="auto"/>
        <w:rPr>
          <w:color w:val="auto"/>
          <w:sz w:val="24"/>
          <w:szCs w:val="24"/>
        </w:rPr>
      </w:pPr>
      <w:r>
        <w:rPr>
          <w:rFonts w:hint="eastAsia" w:hAnsi="宋体"/>
          <w:color w:val="auto"/>
          <w:sz w:val="24"/>
          <w:szCs w:val="52"/>
          <w:highlight w:val="none"/>
        </w:rPr>
        <w:fldChar w:fldCharType="begin"/>
      </w:r>
      <w:r>
        <w:rPr>
          <w:rFonts w:hint="eastAsia" w:hAnsi="宋体"/>
          <w:color w:val="auto"/>
          <w:sz w:val="24"/>
          <w:szCs w:val="52"/>
          <w:highlight w:val="none"/>
        </w:rPr>
        <w:instrText xml:space="preserve"> HYPERLINK \l _Toc19393 </w:instrText>
      </w:r>
      <w:r>
        <w:rPr>
          <w:rFonts w:hint="eastAsia" w:hAnsi="宋体"/>
          <w:color w:val="auto"/>
          <w:sz w:val="24"/>
          <w:szCs w:val="52"/>
          <w:highlight w:val="none"/>
        </w:rPr>
        <w:fldChar w:fldCharType="separate"/>
      </w:r>
      <w:r>
        <w:rPr>
          <w:rFonts w:hint="eastAsia" w:cs="宋体"/>
          <w:color w:val="auto"/>
          <w:sz w:val="24"/>
          <w:szCs w:val="44"/>
          <w:highlight w:val="none"/>
        </w:rPr>
        <w:t>第五部分</w:t>
      </w:r>
      <w:r>
        <w:rPr>
          <w:color w:val="auto"/>
          <w:sz w:val="24"/>
          <w:szCs w:val="44"/>
          <w:highlight w:val="none"/>
        </w:rPr>
        <w:t xml:space="preserve"> </w:t>
      </w:r>
      <w:r>
        <w:rPr>
          <w:rFonts w:hint="eastAsia" w:cs="宋体"/>
          <w:color w:val="auto"/>
          <w:sz w:val="24"/>
          <w:szCs w:val="44"/>
          <w:highlight w:val="none"/>
        </w:rPr>
        <w:t>采购合同</w:t>
      </w:r>
      <w:r>
        <w:rPr>
          <w:color w:val="auto"/>
          <w:sz w:val="24"/>
          <w:szCs w:val="24"/>
        </w:rPr>
        <w:tab/>
      </w:r>
      <w:r>
        <w:rPr>
          <w:color w:val="auto"/>
          <w:sz w:val="24"/>
          <w:szCs w:val="24"/>
        </w:rPr>
        <w:fldChar w:fldCharType="begin"/>
      </w:r>
      <w:r>
        <w:rPr>
          <w:color w:val="auto"/>
          <w:sz w:val="24"/>
          <w:szCs w:val="24"/>
        </w:rPr>
        <w:instrText xml:space="preserve"> PAGEREF _Toc19393 \h </w:instrText>
      </w:r>
      <w:r>
        <w:rPr>
          <w:color w:val="auto"/>
          <w:sz w:val="24"/>
          <w:szCs w:val="24"/>
        </w:rPr>
        <w:fldChar w:fldCharType="separate"/>
      </w:r>
      <w:r>
        <w:rPr>
          <w:color w:val="auto"/>
          <w:sz w:val="24"/>
          <w:szCs w:val="24"/>
        </w:rPr>
        <w:t>31</w:t>
      </w:r>
      <w:r>
        <w:rPr>
          <w:color w:val="auto"/>
          <w:sz w:val="24"/>
          <w:szCs w:val="24"/>
        </w:rPr>
        <w:fldChar w:fldCharType="end"/>
      </w:r>
      <w:r>
        <w:rPr>
          <w:rFonts w:hint="eastAsia" w:hAnsi="宋体"/>
          <w:color w:val="auto"/>
          <w:sz w:val="24"/>
          <w:szCs w:val="52"/>
          <w:highlight w:val="none"/>
        </w:rPr>
        <w:fldChar w:fldCharType="end"/>
      </w:r>
    </w:p>
    <w:p w14:paraId="518BCD5C">
      <w:pPr>
        <w:pStyle w:val="20"/>
        <w:tabs>
          <w:tab w:val="right" w:leader="dot" w:pos="8306"/>
        </w:tabs>
        <w:spacing w:line="360" w:lineRule="auto"/>
        <w:rPr>
          <w:color w:val="auto"/>
          <w:sz w:val="24"/>
          <w:szCs w:val="24"/>
        </w:rPr>
      </w:pPr>
      <w:r>
        <w:rPr>
          <w:rFonts w:hint="eastAsia" w:hAnsi="宋体"/>
          <w:color w:val="auto"/>
          <w:sz w:val="24"/>
          <w:szCs w:val="52"/>
          <w:highlight w:val="none"/>
        </w:rPr>
        <w:fldChar w:fldCharType="begin"/>
      </w:r>
      <w:r>
        <w:rPr>
          <w:rFonts w:hint="eastAsia" w:hAnsi="宋体"/>
          <w:color w:val="auto"/>
          <w:sz w:val="24"/>
          <w:szCs w:val="52"/>
          <w:highlight w:val="none"/>
        </w:rPr>
        <w:instrText xml:space="preserve"> HYPERLINK \l _Toc31835 </w:instrText>
      </w:r>
      <w:r>
        <w:rPr>
          <w:rFonts w:hint="eastAsia" w:hAnsi="宋体"/>
          <w:color w:val="auto"/>
          <w:sz w:val="24"/>
          <w:szCs w:val="52"/>
          <w:highlight w:val="none"/>
        </w:rPr>
        <w:fldChar w:fldCharType="separate"/>
      </w:r>
      <w:r>
        <w:rPr>
          <w:rFonts w:hint="eastAsia" w:cs="宋体"/>
          <w:color w:val="auto"/>
          <w:sz w:val="24"/>
          <w:szCs w:val="44"/>
          <w:highlight w:val="none"/>
        </w:rPr>
        <w:t>第六部分</w:t>
      </w:r>
      <w:r>
        <w:rPr>
          <w:color w:val="auto"/>
          <w:sz w:val="24"/>
          <w:szCs w:val="44"/>
          <w:highlight w:val="none"/>
        </w:rPr>
        <w:t xml:space="preserve"> </w:t>
      </w:r>
      <w:r>
        <w:rPr>
          <w:rFonts w:hint="eastAsia" w:cs="宋体"/>
          <w:color w:val="auto"/>
          <w:sz w:val="24"/>
          <w:szCs w:val="44"/>
          <w:highlight w:val="none"/>
        </w:rPr>
        <w:t>应提交的有关格式范例</w:t>
      </w:r>
      <w:r>
        <w:rPr>
          <w:color w:val="auto"/>
          <w:sz w:val="24"/>
          <w:szCs w:val="24"/>
        </w:rPr>
        <w:tab/>
      </w:r>
      <w:r>
        <w:rPr>
          <w:color w:val="auto"/>
          <w:sz w:val="24"/>
          <w:szCs w:val="24"/>
        </w:rPr>
        <w:fldChar w:fldCharType="begin"/>
      </w:r>
      <w:r>
        <w:rPr>
          <w:color w:val="auto"/>
          <w:sz w:val="24"/>
          <w:szCs w:val="24"/>
        </w:rPr>
        <w:instrText xml:space="preserve"> PAGEREF _Toc31835 \h </w:instrText>
      </w:r>
      <w:r>
        <w:rPr>
          <w:color w:val="auto"/>
          <w:sz w:val="24"/>
          <w:szCs w:val="24"/>
        </w:rPr>
        <w:fldChar w:fldCharType="separate"/>
      </w:r>
      <w:r>
        <w:rPr>
          <w:color w:val="auto"/>
          <w:sz w:val="24"/>
          <w:szCs w:val="24"/>
        </w:rPr>
        <w:t>38</w:t>
      </w:r>
      <w:r>
        <w:rPr>
          <w:color w:val="auto"/>
          <w:sz w:val="24"/>
          <w:szCs w:val="24"/>
        </w:rPr>
        <w:fldChar w:fldCharType="end"/>
      </w:r>
      <w:r>
        <w:rPr>
          <w:rFonts w:hint="eastAsia" w:hAnsi="宋体"/>
          <w:color w:val="auto"/>
          <w:sz w:val="24"/>
          <w:szCs w:val="52"/>
          <w:highlight w:val="none"/>
        </w:rPr>
        <w:fldChar w:fldCharType="end"/>
      </w:r>
    </w:p>
    <w:p w14:paraId="2F3E0C99">
      <w:pPr>
        <w:pStyle w:val="5"/>
        <w:spacing w:line="360" w:lineRule="auto"/>
        <w:rPr>
          <w:rFonts w:cs="Times New Roman"/>
          <w:color w:val="auto"/>
          <w:sz w:val="32"/>
          <w:szCs w:val="32"/>
          <w:highlight w:val="none"/>
        </w:rPr>
      </w:pPr>
      <w:r>
        <w:rPr>
          <w:rFonts w:hint="eastAsia" w:hAnsi="宋体"/>
          <w:color w:val="auto"/>
          <w:sz w:val="36"/>
          <w:szCs w:val="52"/>
          <w:highlight w:val="none"/>
        </w:rPr>
        <w:fldChar w:fldCharType="end"/>
      </w:r>
    </w:p>
    <w:p w14:paraId="7B0C90B1">
      <w:pPr>
        <w:rPr>
          <w:color w:val="auto"/>
          <w:highlight w:val="none"/>
        </w:rPr>
      </w:pPr>
    </w:p>
    <w:p w14:paraId="60A65FAA">
      <w:pPr>
        <w:rPr>
          <w:color w:val="auto"/>
          <w:highlight w:val="none"/>
        </w:rPr>
      </w:pPr>
    </w:p>
    <w:p w14:paraId="35C9DB83">
      <w:pPr>
        <w:rPr>
          <w:color w:val="auto"/>
          <w:highlight w:val="none"/>
        </w:rPr>
      </w:pPr>
    </w:p>
    <w:p w14:paraId="0FC1B501">
      <w:pPr>
        <w:rPr>
          <w:color w:val="auto"/>
          <w:highlight w:val="none"/>
        </w:rPr>
      </w:pPr>
    </w:p>
    <w:p w14:paraId="2FC93B29">
      <w:pPr>
        <w:tabs>
          <w:tab w:val="left" w:pos="3148"/>
        </w:tabs>
        <w:jc w:val="left"/>
        <w:rPr>
          <w:color w:val="auto"/>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color w:val="auto"/>
          <w:highlight w:val="none"/>
        </w:rPr>
        <w:tab/>
      </w:r>
    </w:p>
    <w:p w14:paraId="1B7BE0FF">
      <w:pPr>
        <w:pStyle w:val="4"/>
        <w:jc w:val="center"/>
        <w:rPr>
          <w:rFonts w:ascii="宋体" w:cs="Times New Roman"/>
          <w:color w:val="auto"/>
          <w:highlight w:val="none"/>
        </w:rPr>
      </w:pPr>
      <w:bookmarkStart w:id="0" w:name="_Toc8252"/>
      <w:bookmarkStart w:id="1" w:name="_Toc32199"/>
      <w:bookmarkStart w:id="2" w:name="_Toc31034"/>
      <w:bookmarkStart w:id="3" w:name="第二部分"/>
      <w:bookmarkStart w:id="4" w:name="_Toc91899870"/>
      <w:r>
        <w:rPr>
          <w:rFonts w:hint="eastAsia" w:cs="宋体"/>
          <w:color w:val="auto"/>
          <w:sz w:val="36"/>
          <w:szCs w:val="36"/>
          <w:highlight w:val="none"/>
        </w:rPr>
        <w:t>第一部分</w:t>
      </w:r>
      <w:r>
        <w:rPr>
          <w:color w:val="auto"/>
          <w:sz w:val="36"/>
          <w:szCs w:val="36"/>
          <w:highlight w:val="none"/>
        </w:rPr>
        <w:t xml:space="preserve"> </w:t>
      </w:r>
      <w:r>
        <w:rPr>
          <w:rFonts w:hint="eastAsia" w:cs="宋体"/>
          <w:color w:val="auto"/>
          <w:sz w:val="36"/>
          <w:szCs w:val="36"/>
          <w:highlight w:val="none"/>
        </w:rPr>
        <w:t>磋商公告</w:t>
      </w:r>
      <w:bookmarkEnd w:id="0"/>
      <w:bookmarkEnd w:id="1"/>
      <w:bookmarkEnd w:id="2"/>
    </w:p>
    <w:p w14:paraId="65DD897F">
      <w:pPr>
        <w:adjustRightInd w:val="0"/>
        <w:spacing w:line="360" w:lineRule="auto"/>
        <w:ind w:right="-313" w:rightChars="-149"/>
        <w:jc w:val="center"/>
        <w:rPr>
          <w:rFonts w:ascii="宋体"/>
          <w:color w:val="auto"/>
          <w:sz w:val="24"/>
          <w:szCs w:val="24"/>
          <w:highlight w:val="none"/>
        </w:rPr>
      </w:pPr>
      <w:r>
        <w:rPr>
          <w:rFonts w:hint="eastAsia" w:ascii="宋体" w:hAnsi="宋体" w:cs="宋体"/>
          <w:color w:val="auto"/>
          <w:sz w:val="24"/>
          <w:szCs w:val="24"/>
          <w:highlight w:val="none"/>
          <w:lang w:eastAsia="zh-CN"/>
        </w:rPr>
        <w:t>浙江天平项目咨询有限公司</w:t>
      </w:r>
      <w:r>
        <w:rPr>
          <w:rFonts w:hint="eastAsia" w:ascii="宋体" w:hAnsi="宋体" w:cs="宋体"/>
          <w:color w:val="auto"/>
          <w:sz w:val="24"/>
          <w:szCs w:val="24"/>
          <w:highlight w:val="none"/>
        </w:rPr>
        <w:t>关于</w:t>
      </w:r>
      <w:r>
        <w:rPr>
          <w:rFonts w:hint="eastAsia" w:ascii="宋体" w:hAnsi="宋体" w:cs="宋体"/>
          <w:color w:val="auto"/>
          <w:sz w:val="24"/>
          <w:szCs w:val="24"/>
          <w:highlight w:val="none"/>
          <w:lang w:eastAsia="zh-CN"/>
        </w:rPr>
        <w:t>绍兴市上虞区曹娥街道办事处曹娥街道小环境精细化管控服务及微型空气质量监测站建设项目</w:t>
      </w:r>
      <w:r>
        <w:rPr>
          <w:rFonts w:hint="eastAsia" w:ascii="宋体" w:hAnsi="宋体" w:cs="宋体"/>
          <w:color w:val="auto"/>
          <w:sz w:val="24"/>
          <w:szCs w:val="24"/>
          <w:highlight w:val="none"/>
        </w:rPr>
        <w:t>的竞争性磋商公告</w:t>
      </w:r>
    </w:p>
    <w:p w14:paraId="2DA9515A">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公告日期：</w:t>
      </w:r>
      <w:r>
        <w:rPr>
          <w:rFonts w:ascii="宋体" w:hAnsi="宋体" w:cs="宋体"/>
          <w:color w:val="auto"/>
          <w:sz w:val="24"/>
          <w:szCs w:val="24"/>
          <w:highlight w:val="none"/>
        </w:rPr>
        <w:t>20</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23</w:t>
      </w:r>
      <w:r>
        <w:rPr>
          <w:rFonts w:hint="eastAsia" w:ascii="宋体" w:hAnsi="宋体" w:cs="宋体"/>
          <w:color w:val="auto"/>
          <w:sz w:val="24"/>
          <w:szCs w:val="24"/>
          <w:highlight w:val="none"/>
        </w:rPr>
        <w:t>日</w:t>
      </w:r>
    </w:p>
    <w:p w14:paraId="438B1E78">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根据《中华人民共和国政府采购法》等有关规定，</w:t>
      </w:r>
      <w:r>
        <w:rPr>
          <w:rFonts w:hint="eastAsia" w:ascii="宋体" w:hAnsi="宋体" w:cs="宋体"/>
          <w:color w:val="auto"/>
          <w:sz w:val="24"/>
          <w:szCs w:val="24"/>
          <w:highlight w:val="none"/>
          <w:u w:val="single"/>
          <w:lang w:eastAsia="zh-CN"/>
        </w:rPr>
        <w:t>浙江天平项目咨询有限公司</w:t>
      </w:r>
      <w:r>
        <w:rPr>
          <w:rFonts w:hint="eastAsia" w:ascii="宋体" w:hAnsi="宋体" w:cs="宋体"/>
          <w:color w:val="auto"/>
          <w:sz w:val="24"/>
          <w:szCs w:val="24"/>
          <w:highlight w:val="none"/>
        </w:rPr>
        <w:t>受</w:t>
      </w:r>
      <w:r>
        <w:rPr>
          <w:rFonts w:hint="eastAsia" w:ascii="宋体" w:hAnsi="宋体" w:cs="宋体"/>
          <w:color w:val="auto"/>
          <w:sz w:val="24"/>
          <w:szCs w:val="24"/>
          <w:highlight w:val="none"/>
          <w:u w:val="single"/>
          <w:lang w:eastAsia="zh-CN"/>
        </w:rPr>
        <w:t>绍兴市上虞区曹娥街道办事处</w:t>
      </w:r>
      <w:r>
        <w:rPr>
          <w:rFonts w:hint="eastAsia" w:ascii="宋体" w:hAnsi="宋体" w:cs="宋体"/>
          <w:color w:val="auto"/>
          <w:sz w:val="24"/>
          <w:szCs w:val="24"/>
          <w:highlight w:val="none"/>
        </w:rPr>
        <w:t>委托，现就</w:t>
      </w:r>
      <w:r>
        <w:rPr>
          <w:rFonts w:hint="eastAsia" w:ascii="宋体" w:hAnsi="宋体" w:cs="宋体"/>
          <w:color w:val="auto"/>
          <w:sz w:val="24"/>
          <w:szCs w:val="24"/>
          <w:highlight w:val="none"/>
          <w:u w:val="single"/>
          <w:lang w:eastAsia="zh-CN"/>
        </w:rPr>
        <w:t xml:space="preserve"> 曹娥街道小环境精细化管控服务及微型空气质量监测站建设项目</w:t>
      </w:r>
      <w:r>
        <w:rPr>
          <w:rFonts w:hint="eastAsia" w:ascii="宋体" w:hAnsi="宋体" w:cs="宋体"/>
          <w:color w:val="auto"/>
          <w:sz w:val="24"/>
          <w:szCs w:val="24"/>
          <w:highlight w:val="none"/>
          <w:u w:val="single"/>
        </w:rPr>
        <w:t>的</w:t>
      </w:r>
      <w:r>
        <w:rPr>
          <w:rFonts w:hint="eastAsia" w:ascii="宋体" w:hAnsi="宋体" w:cs="宋体"/>
          <w:color w:val="auto"/>
          <w:sz w:val="24"/>
          <w:szCs w:val="24"/>
          <w:highlight w:val="none"/>
        </w:rPr>
        <w:t>竞争性磋商采购进行</w:t>
      </w:r>
      <w:r>
        <w:rPr>
          <w:rFonts w:hint="eastAsia" w:ascii="宋体" w:hAnsi="宋体" w:cs="宋体"/>
          <w:color w:val="auto"/>
          <w:sz w:val="24"/>
          <w:szCs w:val="24"/>
          <w:highlight w:val="none"/>
          <w:u w:val="single"/>
        </w:rPr>
        <w:t>竞争性磋商</w:t>
      </w:r>
      <w:r>
        <w:rPr>
          <w:rFonts w:hint="eastAsia" w:ascii="宋体" w:hAnsi="宋体" w:cs="宋体"/>
          <w:color w:val="auto"/>
          <w:sz w:val="24"/>
          <w:szCs w:val="24"/>
          <w:highlight w:val="none"/>
        </w:rPr>
        <w:t>，欢迎国内合格的供应商参加本次采购活动。</w:t>
      </w:r>
    </w:p>
    <w:p w14:paraId="4841FC09">
      <w:pPr>
        <w:adjustRightInd w:val="0"/>
        <w:spacing w:line="360" w:lineRule="auto"/>
        <w:ind w:firstLine="480" w:firstLineChars="200"/>
        <w:rPr>
          <w:rFonts w:hint="eastAsia" w:ascii="宋体" w:eastAsia="宋体"/>
          <w:color w:val="auto"/>
          <w:sz w:val="24"/>
          <w:szCs w:val="24"/>
          <w:highlight w:val="none"/>
          <w:u w:val="single"/>
          <w:lang w:eastAsia="zh-CN"/>
        </w:rPr>
      </w:pPr>
      <w:r>
        <w:rPr>
          <w:rFonts w:hint="eastAsia" w:ascii="宋体" w:hAnsi="宋体" w:cs="宋体"/>
          <w:color w:val="auto"/>
          <w:sz w:val="24"/>
          <w:szCs w:val="24"/>
          <w:highlight w:val="none"/>
          <w:lang w:eastAsia="zh-CN"/>
        </w:rPr>
        <w:t>一、</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磋商项目编号：</w:t>
      </w:r>
      <w:r>
        <w:rPr>
          <w:rFonts w:hint="eastAsia" w:ascii="宋体" w:hAnsi="宋体" w:cs="宋体"/>
          <w:color w:val="auto"/>
          <w:sz w:val="24"/>
          <w:szCs w:val="24"/>
          <w:highlight w:val="none"/>
          <w:u w:val="single"/>
          <w:lang w:eastAsia="zh-CN"/>
        </w:rPr>
        <w:t>FSJZCS2025020</w:t>
      </w:r>
    </w:p>
    <w:p w14:paraId="456C41D5">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采购组织类型：</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分散采购（中介代理）</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 xml:space="preserve"> </w:t>
      </w:r>
    </w:p>
    <w:p w14:paraId="3E931E0F">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三、</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磋商项目概况</w:t>
      </w:r>
      <w:r>
        <w:rPr>
          <w:rFonts w:hint="eastAsia" w:ascii="宋体" w:hAnsi="宋体" w:cs="宋体"/>
          <w:color w:val="auto"/>
          <w:sz w:val="24"/>
          <w:szCs w:val="24"/>
          <w:highlight w:val="none"/>
          <w:lang w:eastAsia="zh-CN"/>
        </w:rPr>
        <w:t>：</w:t>
      </w:r>
    </w:p>
    <w:tbl>
      <w:tblPr>
        <w:tblStyle w:val="26"/>
        <w:tblW w:w="9921"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970"/>
        <w:gridCol w:w="1950"/>
        <w:gridCol w:w="654"/>
        <w:gridCol w:w="641"/>
        <w:gridCol w:w="1159"/>
        <w:gridCol w:w="2400"/>
        <w:gridCol w:w="1162"/>
        <w:gridCol w:w="985"/>
      </w:tblGrid>
      <w:tr w14:paraId="7EF5A16F">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831" w:hRule="atLeast"/>
          <w:jc w:val="center"/>
        </w:trPr>
        <w:tc>
          <w:tcPr>
            <w:tcW w:w="970" w:type="dxa"/>
            <w:tcBorders>
              <w:top w:val="single" w:color="000000" w:sz="4" w:space="0"/>
            </w:tcBorders>
            <w:vAlign w:val="center"/>
          </w:tcPr>
          <w:p w14:paraId="11956251">
            <w:pPr>
              <w:keepNext w:val="0"/>
              <w:keepLines w:val="0"/>
              <w:pageBreakBefore w:val="0"/>
              <w:kinsoku/>
              <w:wordWrap/>
              <w:overflowPunct/>
              <w:topLinePunct w:val="0"/>
              <w:autoSpaceDE/>
              <w:autoSpaceDN/>
              <w:bidi w:val="0"/>
              <w:adjustRightInd w:val="0"/>
              <w:spacing w:line="240" w:lineRule="auto"/>
              <w:jc w:val="center"/>
              <w:textAlignment w:val="auto"/>
              <w:rPr>
                <w:rFonts w:ascii="宋体"/>
                <w:color w:val="auto"/>
                <w:sz w:val="24"/>
                <w:szCs w:val="24"/>
                <w:highlight w:val="none"/>
              </w:rPr>
            </w:pPr>
            <w:r>
              <w:rPr>
                <w:rFonts w:hint="eastAsia" w:ascii="宋体" w:hAnsi="宋体" w:cs="宋体"/>
                <w:color w:val="auto"/>
                <w:sz w:val="24"/>
                <w:szCs w:val="24"/>
                <w:highlight w:val="none"/>
              </w:rPr>
              <w:t>序号</w:t>
            </w:r>
          </w:p>
        </w:tc>
        <w:tc>
          <w:tcPr>
            <w:tcW w:w="1950" w:type="dxa"/>
            <w:tcBorders>
              <w:top w:val="single" w:color="000000" w:sz="4" w:space="0"/>
            </w:tcBorders>
            <w:vAlign w:val="center"/>
          </w:tcPr>
          <w:p w14:paraId="187197B2">
            <w:pPr>
              <w:keepNext w:val="0"/>
              <w:keepLines w:val="0"/>
              <w:pageBreakBefore w:val="0"/>
              <w:kinsoku/>
              <w:wordWrap/>
              <w:overflowPunct/>
              <w:topLinePunct w:val="0"/>
              <w:autoSpaceDE/>
              <w:autoSpaceDN/>
              <w:bidi w:val="0"/>
              <w:adjustRightInd w:val="0"/>
              <w:spacing w:line="240" w:lineRule="auto"/>
              <w:jc w:val="center"/>
              <w:textAlignment w:val="auto"/>
              <w:rPr>
                <w:rFonts w:ascii="宋体"/>
                <w:color w:val="auto"/>
                <w:sz w:val="24"/>
                <w:szCs w:val="24"/>
                <w:highlight w:val="none"/>
              </w:rPr>
            </w:pPr>
            <w:r>
              <w:rPr>
                <w:rFonts w:hint="eastAsia" w:ascii="宋体" w:hAnsi="宋体" w:cs="宋体"/>
                <w:color w:val="auto"/>
                <w:sz w:val="24"/>
                <w:szCs w:val="24"/>
                <w:highlight w:val="none"/>
              </w:rPr>
              <w:t>项目名称</w:t>
            </w:r>
          </w:p>
        </w:tc>
        <w:tc>
          <w:tcPr>
            <w:tcW w:w="654" w:type="dxa"/>
            <w:tcBorders>
              <w:top w:val="single" w:color="000000" w:sz="4" w:space="0"/>
            </w:tcBorders>
            <w:vAlign w:val="center"/>
          </w:tcPr>
          <w:p w14:paraId="6B72D598">
            <w:pPr>
              <w:keepNext w:val="0"/>
              <w:keepLines w:val="0"/>
              <w:pageBreakBefore w:val="0"/>
              <w:kinsoku/>
              <w:wordWrap/>
              <w:overflowPunct/>
              <w:topLinePunct w:val="0"/>
              <w:autoSpaceDE/>
              <w:autoSpaceDN/>
              <w:bidi w:val="0"/>
              <w:adjustRightInd w:val="0"/>
              <w:spacing w:line="240" w:lineRule="auto"/>
              <w:jc w:val="center"/>
              <w:textAlignment w:val="auto"/>
              <w:rPr>
                <w:rFonts w:ascii="宋体"/>
                <w:color w:val="auto"/>
                <w:sz w:val="24"/>
                <w:szCs w:val="24"/>
                <w:highlight w:val="none"/>
              </w:rPr>
            </w:pPr>
            <w:r>
              <w:rPr>
                <w:rFonts w:hint="eastAsia" w:ascii="宋体" w:hAnsi="宋体" w:cs="宋体"/>
                <w:color w:val="auto"/>
                <w:sz w:val="24"/>
                <w:szCs w:val="24"/>
                <w:highlight w:val="none"/>
              </w:rPr>
              <w:t>数量</w:t>
            </w:r>
          </w:p>
        </w:tc>
        <w:tc>
          <w:tcPr>
            <w:tcW w:w="641" w:type="dxa"/>
            <w:tcBorders>
              <w:top w:val="single" w:color="000000" w:sz="4" w:space="0"/>
            </w:tcBorders>
            <w:vAlign w:val="center"/>
          </w:tcPr>
          <w:p w14:paraId="59D602BC">
            <w:pPr>
              <w:keepNext w:val="0"/>
              <w:keepLines w:val="0"/>
              <w:pageBreakBefore w:val="0"/>
              <w:kinsoku/>
              <w:wordWrap/>
              <w:overflowPunct/>
              <w:topLinePunct w:val="0"/>
              <w:autoSpaceDE/>
              <w:autoSpaceDN/>
              <w:bidi w:val="0"/>
              <w:adjustRightInd w:val="0"/>
              <w:spacing w:line="240" w:lineRule="auto"/>
              <w:jc w:val="center"/>
              <w:textAlignment w:val="auto"/>
              <w:rPr>
                <w:rFonts w:ascii="宋体"/>
                <w:color w:val="auto"/>
                <w:sz w:val="24"/>
                <w:szCs w:val="24"/>
                <w:highlight w:val="none"/>
              </w:rPr>
            </w:pPr>
            <w:r>
              <w:rPr>
                <w:rFonts w:hint="eastAsia" w:ascii="宋体" w:hAnsi="宋体" w:cs="宋体"/>
                <w:color w:val="auto"/>
                <w:sz w:val="24"/>
                <w:szCs w:val="24"/>
                <w:highlight w:val="none"/>
              </w:rPr>
              <w:t>单位</w:t>
            </w:r>
          </w:p>
        </w:tc>
        <w:tc>
          <w:tcPr>
            <w:tcW w:w="1159" w:type="dxa"/>
            <w:tcBorders>
              <w:top w:val="single" w:color="000000" w:sz="4" w:space="0"/>
            </w:tcBorders>
            <w:vAlign w:val="center"/>
          </w:tcPr>
          <w:p w14:paraId="2931526F">
            <w:pPr>
              <w:keepNext w:val="0"/>
              <w:keepLines w:val="0"/>
              <w:pageBreakBefore w:val="0"/>
              <w:kinsoku/>
              <w:wordWrap/>
              <w:overflowPunct/>
              <w:topLinePunct w:val="0"/>
              <w:autoSpaceDE/>
              <w:autoSpaceDN/>
              <w:bidi w:val="0"/>
              <w:adjustRightInd w:val="0"/>
              <w:spacing w:line="240" w:lineRule="auto"/>
              <w:jc w:val="center"/>
              <w:textAlignment w:val="auto"/>
              <w:rPr>
                <w:rFonts w:ascii="宋体"/>
                <w:color w:val="auto"/>
                <w:sz w:val="24"/>
                <w:szCs w:val="24"/>
                <w:highlight w:val="none"/>
              </w:rPr>
            </w:pPr>
            <w:r>
              <w:rPr>
                <w:rFonts w:hint="eastAsia" w:ascii="宋体" w:hAnsi="宋体" w:cs="宋体"/>
                <w:color w:val="auto"/>
                <w:sz w:val="24"/>
                <w:szCs w:val="24"/>
                <w:highlight w:val="none"/>
              </w:rPr>
              <w:t>预算金额</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元</w:t>
            </w:r>
            <w:r>
              <w:rPr>
                <w:rFonts w:hint="eastAsia" w:ascii="宋体" w:hAnsi="宋体" w:cs="宋体"/>
                <w:color w:val="auto"/>
                <w:sz w:val="24"/>
                <w:szCs w:val="24"/>
                <w:highlight w:val="none"/>
                <w:lang w:eastAsia="zh-CN"/>
              </w:rPr>
              <w:t>）</w:t>
            </w:r>
          </w:p>
        </w:tc>
        <w:tc>
          <w:tcPr>
            <w:tcW w:w="2400" w:type="dxa"/>
            <w:tcBorders>
              <w:top w:val="single" w:color="000000" w:sz="4" w:space="0"/>
            </w:tcBorders>
            <w:vAlign w:val="center"/>
          </w:tcPr>
          <w:p w14:paraId="03DF6F17">
            <w:pPr>
              <w:keepNext w:val="0"/>
              <w:keepLines w:val="0"/>
              <w:pageBreakBefore w:val="0"/>
              <w:kinsoku/>
              <w:wordWrap/>
              <w:overflowPunct/>
              <w:topLinePunct w:val="0"/>
              <w:autoSpaceDE/>
              <w:autoSpaceDN/>
              <w:bidi w:val="0"/>
              <w:adjustRightInd w:val="0"/>
              <w:spacing w:line="240" w:lineRule="auto"/>
              <w:jc w:val="center"/>
              <w:textAlignment w:val="auto"/>
              <w:rPr>
                <w:rFonts w:ascii="宋体"/>
                <w:color w:val="auto"/>
                <w:sz w:val="24"/>
                <w:szCs w:val="24"/>
                <w:highlight w:val="none"/>
              </w:rPr>
            </w:pPr>
            <w:r>
              <w:rPr>
                <w:rFonts w:hint="eastAsia" w:ascii="宋体" w:hAnsi="宋体" w:cs="宋体"/>
                <w:color w:val="auto"/>
                <w:sz w:val="24"/>
                <w:szCs w:val="24"/>
                <w:highlight w:val="none"/>
              </w:rPr>
              <w:t>简要规格描述或标项基本概况介绍</w:t>
            </w:r>
          </w:p>
        </w:tc>
        <w:tc>
          <w:tcPr>
            <w:tcW w:w="1162" w:type="dxa"/>
            <w:tcBorders>
              <w:top w:val="single" w:color="000000" w:sz="4" w:space="0"/>
            </w:tcBorders>
            <w:vAlign w:val="center"/>
          </w:tcPr>
          <w:p w14:paraId="494886AC">
            <w:pPr>
              <w:keepNext w:val="0"/>
              <w:keepLines w:val="0"/>
              <w:pageBreakBefore w:val="0"/>
              <w:kinsoku/>
              <w:wordWrap/>
              <w:overflowPunct/>
              <w:topLinePunct w:val="0"/>
              <w:autoSpaceDE/>
              <w:autoSpaceDN/>
              <w:bidi w:val="0"/>
              <w:adjustRightInd w:val="0"/>
              <w:spacing w:line="240" w:lineRule="auto"/>
              <w:jc w:val="center"/>
              <w:textAlignment w:val="auto"/>
              <w:rPr>
                <w:rFonts w:ascii="宋体"/>
                <w:color w:val="auto"/>
                <w:sz w:val="24"/>
                <w:szCs w:val="24"/>
                <w:highlight w:val="none"/>
              </w:rPr>
            </w:pPr>
            <w:r>
              <w:rPr>
                <w:rFonts w:hint="eastAsia" w:ascii="宋体" w:hAnsi="宋体" w:cs="宋体"/>
                <w:color w:val="auto"/>
                <w:sz w:val="24"/>
                <w:szCs w:val="24"/>
                <w:highlight w:val="none"/>
              </w:rPr>
              <w:t>最高限价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元</w:t>
            </w:r>
            <w:r>
              <w:rPr>
                <w:rFonts w:hint="eastAsia" w:ascii="宋体" w:hAnsi="宋体" w:cs="宋体"/>
                <w:color w:val="auto"/>
                <w:sz w:val="24"/>
                <w:szCs w:val="24"/>
                <w:highlight w:val="none"/>
                <w:lang w:eastAsia="zh-CN"/>
              </w:rPr>
              <w:t>）</w:t>
            </w:r>
          </w:p>
        </w:tc>
        <w:tc>
          <w:tcPr>
            <w:tcW w:w="985" w:type="dxa"/>
            <w:tcBorders>
              <w:top w:val="single" w:color="000000" w:sz="4" w:space="0"/>
            </w:tcBorders>
            <w:vAlign w:val="center"/>
          </w:tcPr>
          <w:p w14:paraId="4D88F58B">
            <w:pPr>
              <w:keepNext w:val="0"/>
              <w:keepLines w:val="0"/>
              <w:pageBreakBefore w:val="0"/>
              <w:kinsoku/>
              <w:wordWrap/>
              <w:overflowPunct/>
              <w:topLinePunct w:val="0"/>
              <w:autoSpaceDE/>
              <w:autoSpaceDN/>
              <w:bidi w:val="0"/>
              <w:adjustRightInd w:val="0"/>
              <w:spacing w:line="240" w:lineRule="auto"/>
              <w:jc w:val="center"/>
              <w:textAlignment w:val="auto"/>
              <w:rPr>
                <w:rFonts w:ascii="宋体"/>
                <w:color w:val="auto"/>
                <w:sz w:val="24"/>
                <w:szCs w:val="24"/>
                <w:highlight w:val="none"/>
              </w:rPr>
            </w:pPr>
            <w:r>
              <w:rPr>
                <w:rFonts w:hint="eastAsia" w:ascii="宋体"/>
                <w:color w:val="auto"/>
                <w:sz w:val="24"/>
                <w:szCs w:val="24"/>
                <w:highlight w:val="none"/>
              </w:rPr>
              <w:t>备注</w:t>
            </w:r>
          </w:p>
        </w:tc>
      </w:tr>
      <w:tr w14:paraId="77921591">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1938" w:hRule="atLeast"/>
          <w:jc w:val="center"/>
        </w:trPr>
        <w:tc>
          <w:tcPr>
            <w:tcW w:w="970" w:type="dxa"/>
            <w:vAlign w:val="center"/>
          </w:tcPr>
          <w:p w14:paraId="04041AB1">
            <w:pPr>
              <w:keepNext w:val="0"/>
              <w:keepLines w:val="0"/>
              <w:pageBreakBefore w:val="0"/>
              <w:kinsoku/>
              <w:wordWrap/>
              <w:overflowPunct/>
              <w:topLinePunct w:val="0"/>
              <w:autoSpaceDE/>
              <w:autoSpaceDN/>
              <w:bidi w:val="0"/>
              <w:adjustRightInd w:val="0"/>
              <w:spacing w:line="240" w:lineRule="auto"/>
              <w:jc w:val="center"/>
              <w:textAlignment w:val="auto"/>
              <w:rPr>
                <w:rFonts w:hint="default" w:ascii="宋体" w:eastAsia="宋体"/>
                <w:color w:val="auto"/>
                <w:sz w:val="24"/>
                <w:szCs w:val="24"/>
                <w:highlight w:val="none"/>
                <w:lang w:val="en-US" w:eastAsia="zh-CN"/>
              </w:rPr>
            </w:pPr>
            <w:r>
              <w:rPr>
                <w:rFonts w:hint="eastAsia" w:ascii="宋体"/>
                <w:color w:val="auto"/>
                <w:sz w:val="24"/>
                <w:szCs w:val="24"/>
                <w:highlight w:val="none"/>
                <w:lang w:val="en-US" w:eastAsia="zh-CN"/>
              </w:rPr>
              <w:t>1</w:t>
            </w:r>
          </w:p>
        </w:tc>
        <w:tc>
          <w:tcPr>
            <w:tcW w:w="1950" w:type="dxa"/>
            <w:vAlign w:val="center"/>
          </w:tcPr>
          <w:p w14:paraId="598C7EE8">
            <w:pPr>
              <w:pStyle w:val="15"/>
              <w:keepNext w:val="0"/>
              <w:keepLines w:val="0"/>
              <w:pageBreakBefore w:val="0"/>
              <w:kinsoku/>
              <w:wordWrap/>
              <w:overflowPunct/>
              <w:topLinePunct w:val="0"/>
              <w:autoSpaceDE/>
              <w:autoSpaceDN/>
              <w:bidi w:val="0"/>
              <w:snapToGrid w:val="0"/>
              <w:spacing w:before="120" w:after="120" w:line="240" w:lineRule="auto"/>
              <w:jc w:val="center"/>
              <w:textAlignment w:val="auto"/>
              <w:rPr>
                <w:rFonts w:hint="default" w:hAnsi="宋体" w:cs="Times New Roman"/>
                <w:color w:val="auto"/>
                <w:sz w:val="24"/>
                <w:szCs w:val="24"/>
                <w:highlight w:val="none"/>
                <w:lang w:val="en-US" w:eastAsia="zh-CN"/>
              </w:rPr>
            </w:pPr>
            <w:r>
              <w:rPr>
                <w:rFonts w:hint="eastAsia" w:hAnsi="宋体" w:cs="Times New Roman"/>
                <w:color w:val="auto"/>
                <w:sz w:val="24"/>
                <w:szCs w:val="24"/>
                <w:highlight w:val="none"/>
                <w:lang w:val="en-US" w:eastAsia="zh-CN"/>
              </w:rPr>
              <w:t>曹娥街道小环境精细化管控服务及微型空气质量监测站建设项目</w:t>
            </w:r>
          </w:p>
        </w:tc>
        <w:tc>
          <w:tcPr>
            <w:tcW w:w="654" w:type="dxa"/>
            <w:vAlign w:val="center"/>
          </w:tcPr>
          <w:p w14:paraId="422E741A">
            <w:pPr>
              <w:keepNext w:val="0"/>
              <w:keepLines w:val="0"/>
              <w:pageBreakBefore w:val="0"/>
              <w:kinsoku/>
              <w:wordWrap/>
              <w:overflowPunct/>
              <w:topLinePunct w:val="0"/>
              <w:autoSpaceDE/>
              <w:autoSpaceDN/>
              <w:bidi w:val="0"/>
              <w:adjustRightInd w:val="0"/>
              <w:spacing w:line="240" w:lineRule="auto"/>
              <w:jc w:val="center"/>
              <w:textAlignment w:val="auto"/>
              <w:rPr>
                <w:rFonts w:ascii="宋体"/>
                <w:color w:val="auto"/>
                <w:sz w:val="24"/>
                <w:szCs w:val="24"/>
                <w:highlight w:val="none"/>
              </w:rPr>
            </w:pPr>
            <w:r>
              <w:rPr>
                <w:rFonts w:ascii="宋体" w:hAnsi="宋体" w:cs="宋体"/>
                <w:color w:val="auto"/>
                <w:sz w:val="24"/>
                <w:szCs w:val="24"/>
                <w:highlight w:val="none"/>
              </w:rPr>
              <w:t>1</w:t>
            </w:r>
          </w:p>
        </w:tc>
        <w:tc>
          <w:tcPr>
            <w:tcW w:w="641" w:type="dxa"/>
            <w:vAlign w:val="center"/>
          </w:tcPr>
          <w:p w14:paraId="0FEDE0CB">
            <w:pPr>
              <w:keepNext w:val="0"/>
              <w:keepLines w:val="0"/>
              <w:pageBreakBefore w:val="0"/>
              <w:kinsoku/>
              <w:wordWrap/>
              <w:overflowPunct/>
              <w:topLinePunct w:val="0"/>
              <w:autoSpaceDE/>
              <w:autoSpaceDN/>
              <w:bidi w:val="0"/>
              <w:adjustRightInd w:val="0"/>
              <w:spacing w:line="240" w:lineRule="auto"/>
              <w:jc w:val="center"/>
              <w:textAlignment w:val="auto"/>
              <w:rPr>
                <w:rFonts w:ascii="宋体"/>
                <w:color w:val="auto"/>
                <w:sz w:val="24"/>
                <w:szCs w:val="24"/>
                <w:highlight w:val="none"/>
              </w:rPr>
            </w:pPr>
            <w:r>
              <w:rPr>
                <w:rFonts w:hint="eastAsia" w:ascii="宋体" w:hAnsi="宋体" w:cs="宋体"/>
                <w:color w:val="auto"/>
                <w:sz w:val="24"/>
                <w:szCs w:val="24"/>
                <w:highlight w:val="none"/>
              </w:rPr>
              <w:t>项</w:t>
            </w:r>
          </w:p>
        </w:tc>
        <w:tc>
          <w:tcPr>
            <w:tcW w:w="1159" w:type="dxa"/>
            <w:vAlign w:val="center"/>
          </w:tcPr>
          <w:p w14:paraId="62D182BB">
            <w:pPr>
              <w:keepNext w:val="0"/>
              <w:keepLines w:val="0"/>
              <w:pageBreakBefore w:val="0"/>
              <w:widowControl/>
              <w:kinsoku/>
              <w:wordWrap/>
              <w:overflowPunct/>
              <w:topLinePunct w:val="0"/>
              <w:autoSpaceDE/>
              <w:autoSpaceDN/>
              <w:bidi w:val="0"/>
              <w:spacing w:before="100" w:after="100" w:line="240" w:lineRule="auto"/>
              <w:jc w:val="center"/>
              <w:textAlignment w:val="auto"/>
              <w:rPr>
                <w:rFonts w:hint="default" w:ascii="宋体" w:hAnsi="Times New Roman" w:eastAsia="宋体" w:cs="Times New Roman"/>
                <w:color w:val="auto"/>
                <w:kern w:val="2"/>
                <w:sz w:val="24"/>
                <w:szCs w:val="24"/>
                <w:highlight w:val="none"/>
                <w:lang w:val="en-US" w:eastAsia="zh-CN" w:bidi="ar-SA"/>
              </w:rPr>
            </w:pPr>
            <w:r>
              <w:rPr>
                <w:rFonts w:hint="eastAsia" w:ascii="宋体"/>
                <w:color w:val="auto"/>
                <w:sz w:val="24"/>
                <w:szCs w:val="24"/>
                <w:highlight w:val="none"/>
                <w:lang w:val="en-US" w:eastAsia="zh-CN"/>
              </w:rPr>
              <w:t>2495000</w:t>
            </w:r>
          </w:p>
        </w:tc>
        <w:tc>
          <w:tcPr>
            <w:tcW w:w="2400" w:type="dxa"/>
            <w:vAlign w:val="center"/>
          </w:tcPr>
          <w:p w14:paraId="29DC1C36">
            <w:pPr>
              <w:pStyle w:val="15"/>
              <w:keepNext w:val="0"/>
              <w:keepLines w:val="0"/>
              <w:pageBreakBefore w:val="0"/>
              <w:kinsoku/>
              <w:wordWrap/>
              <w:overflowPunct/>
              <w:topLinePunct w:val="0"/>
              <w:autoSpaceDE/>
              <w:autoSpaceDN/>
              <w:bidi w:val="0"/>
              <w:snapToGrid w:val="0"/>
              <w:spacing w:before="120" w:after="120" w:line="240" w:lineRule="auto"/>
              <w:jc w:val="center"/>
              <w:textAlignment w:val="auto"/>
              <w:rPr>
                <w:rFonts w:hint="eastAsia" w:hAnsi="宋体" w:eastAsia="宋体" w:cs="Times New Roman"/>
                <w:color w:val="auto"/>
                <w:sz w:val="24"/>
                <w:szCs w:val="24"/>
                <w:highlight w:val="none"/>
                <w:lang w:val="en-US" w:eastAsia="zh-CN"/>
              </w:rPr>
            </w:pPr>
            <w:r>
              <w:rPr>
                <w:rFonts w:hint="eastAsia" w:hAnsi="宋体" w:cs="Times New Roman"/>
                <w:color w:val="auto"/>
                <w:sz w:val="24"/>
                <w:szCs w:val="24"/>
                <w:highlight w:val="none"/>
              </w:rPr>
              <w:t>通过第三方驻场服务、大数据平台应用和环境智能监测硬件等手段，协助建立大气污染防治运行机制</w:t>
            </w:r>
          </w:p>
        </w:tc>
        <w:tc>
          <w:tcPr>
            <w:tcW w:w="1162" w:type="dxa"/>
            <w:vAlign w:val="center"/>
          </w:tcPr>
          <w:p w14:paraId="137788D2">
            <w:pPr>
              <w:keepNext w:val="0"/>
              <w:keepLines w:val="0"/>
              <w:pageBreakBefore w:val="0"/>
              <w:kinsoku/>
              <w:wordWrap/>
              <w:overflowPunct/>
              <w:topLinePunct w:val="0"/>
              <w:autoSpaceDE/>
              <w:autoSpaceDN/>
              <w:bidi w:val="0"/>
              <w:adjustRightInd w:val="0"/>
              <w:spacing w:line="240" w:lineRule="auto"/>
              <w:jc w:val="center"/>
              <w:textAlignment w:val="auto"/>
              <w:rPr>
                <w:rFonts w:hint="default" w:ascii="宋体" w:hAnsi="Times New Roman" w:eastAsia="宋体" w:cs="Times New Roman"/>
                <w:color w:val="auto"/>
                <w:kern w:val="2"/>
                <w:sz w:val="24"/>
                <w:szCs w:val="24"/>
                <w:highlight w:val="none"/>
                <w:lang w:val="en-US" w:eastAsia="zh-CN" w:bidi="ar-SA"/>
              </w:rPr>
            </w:pPr>
            <w:r>
              <w:rPr>
                <w:rFonts w:hint="eastAsia" w:ascii="宋体"/>
                <w:color w:val="auto"/>
                <w:sz w:val="24"/>
                <w:szCs w:val="24"/>
                <w:highlight w:val="none"/>
                <w:lang w:val="en-US" w:eastAsia="zh-CN"/>
              </w:rPr>
              <w:t>2495000</w:t>
            </w:r>
          </w:p>
        </w:tc>
        <w:tc>
          <w:tcPr>
            <w:tcW w:w="985" w:type="dxa"/>
            <w:vAlign w:val="center"/>
          </w:tcPr>
          <w:p w14:paraId="1EB32614">
            <w:pPr>
              <w:keepNext w:val="0"/>
              <w:keepLines w:val="0"/>
              <w:pageBreakBefore w:val="0"/>
              <w:kinsoku/>
              <w:wordWrap/>
              <w:overflowPunct/>
              <w:topLinePunct w:val="0"/>
              <w:autoSpaceDE/>
              <w:autoSpaceDN/>
              <w:bidi w:val="0"/>
              <w:adjustRightInd w:val="0"/>
              <w:spacing w:line="240" w:lineRule="auto"/>
              <w:jc w:val="center"/>
              <w:textAlignment w:val="auto"/>
              <w:rPr>
                <w:rFonts w:ascii="宋体"/>
                <w:color w:val="auto"/>
                <w:sz w:val="24"/>
                <w:szCs w:val="24"/>
                <w:highlight w:val="none"/>
              </w:rPr>
            </w:pPr>
            <w:r>
              <w:rPr>
                <w:rFonts w:hint="eastAsia" w:ascii="宋体"/>
                <w:color w:val="auto"/>
                <w:sz w:val="24"/>
                <w:szCs w:val="24"/>
                <w:highlight w:val="none"/>
              </w:rPr>
              <w:t>/</w:t>
            </w:r>
          </w:p>
        </w:tc>
      </w:tr>
    </w:tbl>
    <w:p w14:paraId="709F8BBA">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四、</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合格供应商资格要求</w:t>
      </w:r>
      <w:r>
        <w:rPr>
          <w:rFonts w:hint="eastAsia" w:ascii="宋体" w:hAnsi="宋体" w:cs="宋体"/>
          <w:color w:val="auto"/>
          <w:sz w:val="24"/>
          <w:szCs w:val="24"/>
          <w:highlight w:val="none"/>
          <w:lang w:eastAsia="zh-CN"/>
        </w:rPr>
        <w:t>：</w:t>
      </w:r>
    </w:p>
    <w:p w14:paraId="0FAEBF5B">
      <w:pPr>
        <w:numPr>
          <w:ilvl w:val="0"/>
          <w:numId w:val="2"/>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符合政府采购法第二十二条，且未被“信用中国”（</w:t>
      </w:r>
      <w:r>
        <w:rPr>
          <w:rFonts w:ascii="宋体" w:hAnsi="宋体" w:cs="宋体"/>
          <w:color w:val="auto"/>
          <w:sz w:val="24"/>
          <w:szCs w:val="24"/>
          <w:highlight w:val="none"/>
        </w:rPr>
        <w:t>www.creditchina.gov.cn</w:t>
      </w:r>
      <w:r>
        <w:rPr>
          <w:rFonts w:hint="eastAsia" w:ascii="宋体" w:hAnsi="宋体" w:cs="宋体"/>
          <w:color w:val="auto"/>
          <w:sz w:val="24"/>
          <w:szCs w:val="24"/>
          <w:highlight w:val="none"/>
        </w:rPr>
        <w:t>）、中国政府采购网（</w:t>
      </w:r>
      <w:r>
        <w:rPr>
          <w:rFonts w:ascii="宋体" w:hAnsi="宋体" w:cs="宋体"/>
          <w:color w:val="auto"/>
          <w:sz w:val="24"/>
          <w:szCs w:val="24"/>
          <w:highlight w:val="none"/>
        </w:rPr>
        <w:t>www.ccgp.gov.cn</w:t>
      </w:r>
      <w:r>
        <w:rPr>
          <w:rFonts w:hint="eastAsia" w:ascii="宋体" w:hAnsi="宋体" w:cs="宋体"/>
          <w:color w:val="auto"/>
          <w:sz w:val="24"/>
          <w:szCs w:val="24"/>
          <w:highlight w:val="none"/>
        </w:rPr>
        <w:t>）列入失信被执行人、</w:t>
      </w:r>
      <w:r>
        <w:rPr>
          <w:rFonts w:hint="eastAsia" w:ascii="宋体" w:hAnsi="宋体" w:cs="宋体"/>
          <w:color w:val="auto"/>
          <w:sz w:val="24"/>
          <w:szCs w:val="24"/>
          <w:highlight w:val="none"/>
          <w:lang w:eastAsia="zh-CN"/>
        </w:rPr>
        <w:t>重大税收违法失信主体</w:t>
      </w:r>
      <w:r>
        <w:rPr>
          <w:rFonts w:hint="eastAsia" w:ascii="宋体" w:hAnsi="宋体" w:cs="宋体"/>
          <w:color w:val="auto"/>
          <w:sz w:val="24"/>
          <w:szCs w:val="24"/>
          <w:highlight w:val="none"/>
        </w:rPr>
        <w:t>、政府采购严重违法失信行为记录名单。</w:t>
      </w:r>
      <w:r>
        <w:rPr>
          <w:rFonts w:ascii="宋体"/>
          <w:color w:val="auto"/>
          <w:sz w:val="24"/>
          <w:szCs w:val="24"/>
          <w:highlight w:val="none"/>
        </w:rPr>
        <w:t> </w:t>
      </w:r>
    </w:p>
    <w:p w14:paraId="017765AF">
      <w:pPr>
        <w:numPr>
          <w:ilvl w:val="0"/>
          <w:numId w:val="2"/>
        </w:numPr>
        <w:adjustRightIn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落实政府采购政策需满足的资格要求：供应商为中小企业/小微企业</w:t>
      </w:r>
      <w:r>
        <w:rPr>
          <w:rFonts w:hint="eastAsia" w:ascii="宋体"/>
          <w:color w:val="auto"/>
          <w:sz w:val="24"/>
          <w:szCs w:val="24"/>
          <w:highlight w:val="none"/>
          <w:lang w:eastAsia="zh-CN"/>
        </w:rPr>
        <w:t>。</w:t>
      </w:r>
    </w:p>
    <w:p w14:paraId="71BA2A4B">
      <w:pPr>
        <w:numPr>
          <w:ilvl w:val="0"/>
          <w:numId w:val="2"/>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本项目</w:t>
      </w:r>
      <w:r>
        <w:rPr>
          <w:rFonts w:hint="eastAsia" w:ascii="宋体" w:hAnsi="宋体" w:cs="宋体"/>
          <w:color w:val="auto"/>
          <w:sz w:val="24"/>
          <w:szCs w:val="24"/>
          <w:highlight w:val="none"/>
          <w:u w:val="single"/>
        </w:rPr>
        <w:t>不接受</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联合体参加磋商。</w:t>
      </w:r>
    </w:p>
    <w:p w14:paraId="3BD705E4">
      <w:pPr>
        <w:numPr>
          <w:ilvl w:val="0"/>
          <w:numId w:val="2"/>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本项目采用资格后审的审查方式，由磋商小组负责审查。</w:t>
      </w:r>
    </w:p>
    <w:p w14:paraId="0E897254">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五、</w:t>
      </w:r>
      <w:r>
        <w:rPr>
          <w:rFonts w:hint="eastAsia" w:ascii="宋体" w:hAnsi="宋体" w:cs="宋体"/>
          <w:color w:val="auto"/>
          <w:sz w:val="24"/>
          <w:szCs w:val="24"/>
          <w:highlight w:val="none"/>
        </w:rPr>
        <w:t>获取磋商文件</w:t>
      </w:r>
    </w:p>
    <w:p w14:paraId="1BC21FF6">
      <w:pPr>
        <w:numPr>
          <w:ilvl w:val="0"/>
          <w:numId w:val="3"/>
        </w:numPr>
        <w:adjustRightInd w:val="0"/>
        <w:spacing w:line="360" w:lineRule="auto"/>
        <w:ind w:firstLine="480" w:firstLineChars="200"/>
        <w:rPr>
          <w:rFonts w:ascii="宋体"/>
          <w:color w:val="auto"/>
          <w:sz w:val="24"/>
          <w:szCs w:val="24"/>
          <w:highlight w:val="none"/>
        </w:rPr>
      </w:pPr>
      <w:bookmarkStart w:id="5" w:name="报名开始时间1"/>
      <w:r>
        <w:rPr>
          <w:rFonts w:hint="eastAsia" w:ascii="宋体" w:hAnsi="宋体" w:cs="宋体"/>
          <w:color w:val="auto"/>
          <w:sz w:val="24"/>
          <w:szCs w:val="24"/>
          <w:highlight w:val="none"/>
        </w:rPr>
        <w:t>获取磋商文件时间</w:t>
      </w:r>
      <w:r>
        <w:rPr>
          <w:rFonts w:hint="eastAsia" w:ascii="宋体" w:hAnsi="宋体" w:cs="宋体"/>
          <w:color w:val="auto"/>
          <w:sz w:val="24"/>
          <w:szCs w:val="24"/>
          <w:highlight w:val="none"/>
          <w:lang w:eastAsia="zh-CN"/>
        </w:rPr>
        <w:t>：</w:t>
      </w:r>
      <w:bookmarkEnd w:id="5"/>
      <w:r>
        <w:rPr>
          <w:rFonts w:ascii="宋体" w:hAnsi="宋体" w:cs="宋体"/>
          <w:color w:val="auto"/>
          <w:sz w:val="24"/>
          <w:szCs w:val="24"/>
          <w:highlight w:val="none"/>
          <w:u w:val="single"/>
        </w:rPr>
        <w:t>20</w:t>
      </w:r>
      <w:r>
        <w:rPr>
          <w:rFonts w:hint="eastAsia" w:ascii="宋体" w:hAnsi="宋体" w:cs="宋体"/>
          <w:color w:val="auto"/>
          <w:sz w:val="24"/>
          <w:szCs w:val="24"/>
          <w:highlight w:val="none"/>
          <w:u w:val="single"/>
        </w:rPr>
        <w:t>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7</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 xml:space="preserve"> 9</w:t>
      </w:r>
      <w:r>
        <w:rPr>
          <w:rFonts w:ascii="宋体" w:hAnsi="宋体" w:cs="宋体"/>
          <w:color w:val="auto"/>
          <w:sz w:val="24"/>
          <w:szCs w:val="24"/>
          <w:highlight w:val="none"/>
          <w:u w:val="single"/>
        </w:rPr>
        <w:t>:</w:t>
      </w:r>
      <w:r>
        <w:rPr>
          <w:rFonts w:hint="eastAsia" w:ascii="宋体" w:hAnsi="宋体" w:cs="宋体"/>
          <w:color w:val="auto"/>
          <w:sz w:val="24"/>
          <w:szCs w:val="24"/>
          <w:highlight w:val="none"/>
          <w:u w:val="single"/>
        </w:rPr>
        <w:t>3</w:t>
      </w:r>
      <w:r>
        <w:rPr>
          <w:rFonts w:ascii="宋体" w:hAnsi="宋体" w:cs="宋体"/>
          <w:color w:val="auto"/>
          <w:sz w:val="24"/>
          <w:szCs w:val="24"/>
          <w:highlight w:val="none"/>
          <w:u w:val="single"/>
        </w:rPr>
        <w:t>0</w:t>
      </w:r>
      <w:r>
        <w:rPr>
          <w:rFonts w:hint="eastAsia" w:ascii="宋体" w:hAnsi="宋体" w:cs="宋体"/>
          <w:color w:val="auto"/>
          <w:sz w:val="24"/>
          <w:szCs w:val="24"/>
          <w:highlight w:val="none"/>
        </w:rPr>
        <w:t>之前获取。</w:t>
      </w:r>
    </w:p>
    <w:p w14:paraId="5F241849">
      <w:pPr>
        <w:numPr>
          <w:ilvl w:val="0"/>
          <w:numId w:val="3"/>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获取磋商文件方式：供应商</w:t>
      </w:r>
      <w:r>
        <w:rPr>
          <w:rFonts w:hint="eastAsia" w:ascii="宋体" w:hAnsi="宋体" w:cs="宋体"/>
          <w:color w:val="auto"/>
          <w:sz w:val="24"/>
          <w:szCs w:val="24"/>
          <w:highlight w:val="none"/>
          <w:lang w:eastAsia="zh-CN"/>
        </w:rPr>
        <w:t>登录</w:t>
      </w:r>
      <w:r>
        <w:rPr>
          <w:rFonts w:hint="eastAsia" w:ascii="宋体" w:hAnsi="宋体" w:cs="宋体"/>
          <w:color w:val="auto"/>
          <w:sz w:val="24"/>
          <w:szCs w:val="24"/>
          <w:highlight w:val="none"/>
        </w:rPr>
        <w:t>政采云平台</w:t>
      </w:r>
      <w:r>
        <w:rPr>
          <w:rFonts w:ascii="宋体" w:hAnsi="宋体" w:cs="宋体"/>
          <w:color w:val="auto"/>
          <w:sz w:val="24"/>
          <w:szCs w:val="24"/>
          <w:highlight w:val="none"/>
        </w:rPr>
        <w:t>http://www.zcygov.cn/</w:t>
      </w:r>
      <w:r>
        <w:rPr>
          <w:rFonts w:hint="eastAsia" w:ascii="宋体" w:hAnsi="宋体" w:cs="宋体"/>
          <w:color w:val="auto"/>
          <w:sz w:val="24"/>
          <w:szCs w:val="24"/>
          <w:highlight w:val="none"/>
        </w:rPr>
        <w:t>，在线申请获取磋商文件（进入“项目采购”应用，在获取采购文件菜单中选择项目，申请获取采购文件）。</w:t>
      </w:r>
    </w:p>
    <w:p w14:paraId="227CE6F3">
      <w:pPr>
        <w:numPr>
          <w:ilvl w:val="0"/>
          <w:numId w:val="3"/>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提示：</w:t>
      </w:r>
    </w:p>
    <w:p w14:paraId="446D14A0">
      <w:pPr>
        <w:numPr>
          <w:ilvl w:val="0"/>
          <w:numId w:val="4"/>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将拒绝接受未获取磋商文件供应商的响应文件。</w:t>
      </w:r>
    </w:p>
    <w:p w14:paraId="322E3743">
      <w:pPr>
        <w:numPr>
          <w:ilvl w:val="0"/>
          <w:numId w:val="4"/>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磋商文件及更正补充公告请自行登录浙江政府采购网或绍兴市上虞区公共资源交易中心网站，在采购公告页面中下载。</w:t>
      </w:r>
    </w:p>
    <w:p w14:paraId="3F157F0E">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eastAsia="zh-CN"/>
        </w:rPr>
        <w:t>六、</w:t>
      </w:r>
      <w:r>
        <w:rPr>
          <w:rFonts w:hint="eastAsia" w:ascii="宋体" w:hAnsi="宋体" w:cs="宋体"/>
          <w:color w:val="auto"/>
          <w:sz w:val="24"/>
          <w:szCs w:val="24"/>
          <w:highlight w:val="none"/>
        </w:rPr>
        <w:t>投标与开标注意事项：</w:t>
      </w:r>
    </w:p>
    <w:p w14:paraId="28875C40">
      <w:pPr>
        <w:numPr>
          <w:ilvl w:val="0"/>
          <w:numId w:val="5"/>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本项目实行</w:t>
      </w:r>
      <w:r>
        <w:rPr>
          <w:rFonts w:hint="eastAsia" w:ascii="宋体" w:hAnsi="宋体" w:cs="宋体"/>
          <w:b/>
          <w:bCs/>
          <w:color w:val="auto"/>
          <w:sz w:val="24"/>
          <w:szCs w:val="24"/>
          <w:highlight w:val="none"/>
        </w:rPr>
        <w:t>网上投标</w:t>
      </w:r>
      <w:r>
        <w:rPr>
          <w:rFonts w:hint="eastAsia" w:ascii="宋体" w:hAnsi="宋体" w:cs="宋体"/>
          <w:color w:val="auto"/>
          <w:sz w:val="24"/>
          <w:szCs w:val="24"/>
          <w:highlight w:val="none"/>
        </w:rPr>
        <w:t>，采用电子投标文件，若供应商参与投标，自行承担投标一切费用。</w:t>
      </w:r>
    </w:p>
    <w:p w14:paraId="347DF649">
      <w:pPr>
        <w:numPr>
          <w:ilvl w:val="0"/>
          <w:numId w:val="5"/>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标前准备：各供应商应在开标前应确保成为浙江省政府采购网正式注册入库供应商，并完成CA数字证书办理。因未注册入库、未办理CA数字证书等原因造成无法投标或投标失败等后果由供应商自行承担。</w:t>
      </w:r>
    </w:p>
    <w:p w14:paraId="3BD1FF19">
      <w:pPr>
        <w:autoSpaceDE w:val="0"/>
        <w:autoSpaceDN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供应商将政采云电子交易客户端下载、安装完成后，可通过账号密码或CA登录客户端进行投标文件制作。在使用政采云投标客户端时，建议使用WIN7及以上操作系统。</w:t>
      </w:r>
    </w:p>
    <w:p w14:paraId="0A07E0DC">
      <w:pPr>
        <w:autoSpaceDE w:val="0"/>
        <w:autoSpaceDN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注：供应商先要申领CA，取得CA后需要在政采云平台进行绑定，CA相关操作可参考《CA管理学习专题》。完成CA数字证书办理在资料齐全的情况下预计7个工作日左右，建议供应商获取招标文件后立即办理。</w:t>
      </w:r>
    </w:p>
    <w:p w14:paraId="0E35A87C">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《CA管理学习专题》：</w:t>
      </w:r>
    </w:p>
    <w:p w14:paraId="520D2A8F">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https://edu.zcygov.cn/luban/ca?utm=web-government-front.380aac0a.0.0.fc2b6aa0b6e211ebbdb0dd007730dd44</w:t>
      </w:r>
    </w:p>
    <w:p w14:paraId="1C1DB53C">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《CA驱动和申领流程》:</w:t>
      </w:r>
    </w:p>
    <w:p w14:paraId="40E90162">
      <w:pPr>
        <w:adjustRightInd w:val="0"/>
        <w:spacing w:line="360" w:lineRule="auto"/>
        <w:ind w:left="420" w:leftChars="20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"http://zfcg.czt.zj.gov.cn/bidClientTemplate/2019-05-27/12945.html" </w:instrText>
      </w:r>
      <w:r>
        <w:rPr>
          <w:color w:val="auto"/>
          <w:highlight w:val="none"/>
        </w:rPr>
        <w:fldChar w:fldCharType="separate"/>
      </w:r>
      <w:r>
        <w:rPr>
          <w:rFonts w:hint="eastAsia" w:ascii="宋体" w:hAnsi="宋体" w:cs="宋体"/>
          <w:color w:val="auto"/>
          <w:sz w:val="24"/>
          <w:highlight w:val="none"/>
        </w:rPr>
        <w:t>http://zfcg.czt.zj.gov.cn/bidClientTemplate/2019-05-27/12945.html</w:t>
      </w:r>
      <w:r>
        <w:rPr>
          <w:rFonts w:hint="eastAsia" w:ascii="宋体" w:hAnsi="宋体" w:cs="宋体"/>
          <w:color w:val="auto"/>
          <w:sz w:val="24"/>
          <w:highlight w:val="none"/>
        </w:rPr>
        <w:fldChar w:fldCharType="end"/>
      </w:r>
    </w:p>
    <w:p w14:paraId="33EC1807">
      <w:pPr>
        <w:numPr>
          <w:ilvl w:val="0"/>
          <w:numId w:val="5"/>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投标文件制作：</w:t>
      </w:r>
    </w:p>
    <w:p w14:paraId="4D611149">
      <w:pPr>
        <w:numPr>
          <w:ilvl w:val="0"/>
          <w:numId w:val="6"/>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应按照本项目招标文件和政采云平台的要求编制、加密并递交投标文件。供应商在使用系统进行投标的过程中遇到涉及平台使用的任何问题，可致电政采云平台技术支持热线咨询，联系方式：</w:t>
      </w:r>
      <w:r>
        <w:rPr>
          <w:rFonts w:hint="eastAsia" w:ascii="宋体" w:hAnsi="宋体" w:cs="宋体"/>
          <w:color w:val="auto"/>
          <w:sz w:val="24"/>
          <w:szCs w:val="24"/>
          <w:highlight w:val="none"/>
          <w:lang w:val="en-US" w:eastAsia="zh-CN"/>
        </w:rPr>
        <w:t>95763</w:t>
      </w:r>
      <w:r>
        <w:rPr>
          <w:rFonts w:hint="eastAsia" w:ascii="宋体" w:hAnsi="宋体" w:cs="宋体"/>
          <w:color w:val="auto"/>
          <w:sz w:val="24"/>
          <w:szCs w:val="24"/>
          <w:highlight w:val="none"/>
        </w:rPr>
        <w:t>。</w:t>
      </w:r>
    </w:p>
    <w:p w14:paraId="33FFA703">
      <w:pPr>
        <w:numPr>
          <w:ilvl w:val="0"/>
          <w:numId w:val="6"/>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投标人通过“政采云”平台电子投标工具制作投标文件。</w:t>
      </w:r>
    </w:p>
    <w:p w14:paraId="79C133D0">
      <w:pPr>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《电子投标工具》：</w:t>
      </w:r>
    </w:p>
    <w:p w14:paraId="0A0AB295">
      <w:pPr>
        <w:adjustRightInd w:val="0"/>
        <w:spacing w:line="360" w:lineRule="auto"/>
        <w:ind w:firstLine="420" w:firstLineChars="200"/>
        <w:jc w:val="left"/>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"http://zfcg.czt.zj.gov.cn/bidClientTemplate/2019-09-24/12975.html" </w:instrText>
      </w:r>
      <w:r>
        <w:rPr>
          <w:color w:val="auto"/>
          <w:highlight w:val="none"/>
        </w:rPr>
        <w:fldChar w:fldCharType="separate"/>
      </w:r>
      <w:r>
        <w:rPr>
          <w:rFonts w:hint="eastAsia" w:ascii="宋体" w:hAnsi="宋体" w:cs="宋体"/>
          <w:color w:val="auto"/>
          <w:sz w:val="24"/>
          <w:szCs w:val="24"/>
          <w:highlight w:val="none"/>
        </w:rPr>
        <w:t>http://zfcg.czt.zj.gov.cn/bidClientTemplate/2019-09-24/12975.html</w:t>
      </w:r>
      <w:r>
        <w:rPr>
          <w:rFonts w:hint="eastAsia" w:ascii="宋体" w:hAnsi="宋体" w:cs="宋体"/>
          <w:color w:val="auto"/>
          <w:sz w:val="24"/>
          <w:szCs w:val="24"/>
          <w:highlight w:val="none"/>
        </w:rPr>
        <w:fldChar w:fldCharType="end"/>
      </w:r>
    </w:p>
    <w:p w14:paraId="0E75FE35">
      <w:pPr>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《供应商-政府采购项目电子交易操作指南》：(需登录账号后查看)</w:t>
      </w:r>
    </w:p>
    <w:p w14:paraId="633D1F3C">
      <w:pPr>
        <w:adjustRightInd w:val="0"/>
        <w:spacing w:line="360" w:lineRule="auto"/>
        <w:ind w:firstLine="420" w:firstLineChars="200"/>
        <w:jc w:val="left"/>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"https://service.zcygov.cn/" \l "/knowledges/tree?tag=AG1DtGwBFdiHxlNdhY0r" </w:instrText>
      </w:r>
      <w:r>
        <w:rPr>
          <w:color w:val="auto"/>
          <w:highlight w:val="none"/>
        </w:rPr>
        <w:fldChar w:fldCharType="separate"/>
      </w:r>
      <w:r>
        <w:rPr>
          <w:rFonts w:hint="eastAsia" w:ascii="宋体" w:hAnsi="宋体" w:cs="宋体"/>
          <w:color w:val="auto"/>
          <w:sz w:val="24"/>
          <w:szCs w:val="24"/>
          <w:highlight w:val="none"/>
        </w:rPr>
        <w:t>https://service.zcygov.cn/#/knowledges/tree?tag=AG1DtGwBFdiHxlNdhY0r</w:t>
      </w:r>
      <w:r>
        <w:rPr>
          <w:rFonts w:hint="eastAsia" w:ascii="宋体" w:hAnsi="宋体" w:cs="宋体"/>
          <w:color w:val="auto"/>
          <w:sz w:val="24"/>
          <w:szCs w:val="24"/>
          <w:highlight w:val="none"/>
        </w:rPr>
        <w:fldChar w:fldCharType="end"/>
      </w:r>
    </w:p>
    <w:p w14:paraId="30902379">
      <w:pPr>
        <w:numPr>
          <w:ilvl w:val="0"/>
          <w:numId w:val="5"/>
        </w:numPr>
        <w:adjustRightInd w:val="0"/>
        <w:spacing w:line="360" w:lineRule="auto"/>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供应商在法定质疑期内应一次性提出针对同一采购程序环节的质疑。</w:t>
      </w:r>
    </w:p>
    <w:p w14:paraId="053DE169">
      <w:pPr>
        <w:numPr>
          <w:ilvl w:val="0"/>
          <w:numId w:val="5"/>
        </w:numPr>
        <w:adjustRightInd w:val="0"/>
        <w:spacing w:line="360" w:lineRule="auto"/>
        <w:ind w:left="0" w:lef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投标人可指派授权代表递交备份文件，授权代表递交备份文件需携带法定代表人授权书原件，于投标截止时间前到达开标地点递交。</w:t>
      </w:r>
    </w:p>
    <w:p w14:paraId="5091018A">
      <w:pPr>
        <w:adjustRightInd w:val="0"/>
        <w:spacing w:line="360" w:lineRule="auto"/>
        <w:ind w:left="420" w:leftChars="200"/>
        <w:rPr>
          <w:rFonts w:ascii="宋体" w:hAnsi="宋体" w:cs="宋体"/>
          <w:color w:val="auto"/>
          <w:sz w:val="24"/>
          <w:szCs w:val="24"/>
          <w:highlight w:val="none"/>
        </w:rPr>
      </w:pPr>
      <w:r>
        <w:rPr>
          <w:rFonts w:hint="eastAsia" w:ascii="宋体" w:hAnsi="宋体" w:cs="宋体"/>
          <w:color w:val="auto"/>
          <w:sz w:val="24"/>
          <w:szCs w:val="24"/>
          <w:highlight w:val="none"/>
        </w:rPr>
        <w:t>6.特别提醒</w:t>
      </w:r>
    </w:p>
    <w:p w14:paraId="34094FEF">
      <w:pPr>
        <w:numPr>
          <w:ilvl w:val="0"/>
          <w:numId w:val="7"/>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单位负责人为同一人或者存在直接控股、管理关系的不同供应商，不得参加同一合同项下的政府采购活动。</w:t>
      </w:r>
    </w:p>
    <w:p w14:paraId="21EFE835">
      <w:pPr>
        <w:numPr>
          <w:ilvl w:val="0"/>
          <w:numId w:val="7"/>
        </w:numPr>
        <w:wordWrap w:val="0"/>
        <w:adjustRightInd w:val="0"/>
        <w:spacing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除单一来源采购项目外，为采购项目提供整体设计、规范编制或者项目管理、监理、检测等服务的供应商，不得再参加该采购项目的其他采购活动。</w:t>
      </w:r>
    </w:p>
    <w:p w14:paraId="797F6345">
      <w:pPr>
        <w:adjustRightInd w:val="0"/>
        <w:spacing w:line="360" w:lineRule="auto"/>
        <w:ind w:firstLine="482" w:firstLineChars="200"/>
        <w:jc w:val="left"/>
        <w:rPr>
          <w:rFonts w:ascii="宋体"/>
          <w:color w:val="auto"/>
          <w:sz w:val="24"/>
          <w:szCs w:val="24"/>
          <w:highlight w:val="none"/>
        </w:rPr>
      </w:pPr>
      <w:r>
        <w:rPr>
          <w:rFonts w:hint="eastAsia" w:ascii="宋体" w:hAnsi="宋体" w:cs="宋体"/>
          <w:b/>
          <w:bCs/>
          <w:color w:val="auto"/>
          <w:sz w:val="24"/>
          <w:szCs w:val="24"/>
          <w:highlight w:val="none"/>
          <w:lang w:eastAsia="zh-CN"/>
        </w:rPr>
        <w:t>七、</w:t>
      </w:r>
      <w:r>
        <w:rPr>
          <w:rFonts w:hint="eastAsia" w:ascii="宋体" w:hAnsi="宋体" w:cs="宋体"/>
          <w:b/>
          <w:bCs/>
          <w:color w:val="auto"/>
          <w:sz w:val="24"/>
          <w:szCs w:val="24"/>
          <w:highlight w:val="none"/>
        </w:rPr>
        <w:t>磋商响应截止时间及要求：</w:t>
      </w:r>
      <w:r>
        <w:rPr>
          <w:rFonts w:ascii="宋体" w:hAnsi="宋体" w:cs="宋体"/>
          <w:color w:val="auto"/>
          <w:sz w:val="24"/>
          <w:szCs w:val="24"/>
          <w:highlight w:val="none"/>
          <w:u w:val="single"/>
        </w:rPr>
        <w:t xml:space="preserve"> 202</w:t>
      </w:r>
      <w:r>
        <w:rPr>
          <w:rFonts w:hint="eastAsia" w:ascii="宋体" w:hAnsi="宋体" w:cs="宋体"/>
          <w:color w:val="auto"/>
          <w:sz w:val="24"/>
          <w:szCs w:val="24"/>
          <w:highlight w:val="none"/>
          <w:u w:val="single"/>
          <w:lang w:val="en-US" w:eastAsia="zh-CN"/>
        </w:rPr>
        <w:t>5</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7</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9</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3</w:t>
      </w:r>
      <w:r>
        <w:rPr>
          <w:rFonts w:ascii="宋体" w:hAnsi="宋体" w:cs="宋体"/>
          <w:color w:val="auto"/>
          <w:sz w:val="24"/>
          <w:szCs w:val="24"/>
          <w:highlight w:val="none"/>
          <w:u w:val="single"/>
        </w:rPr>
        <w:t xml:space="preserve">0 </w:t>
      </w:r>
      <w:r>
        <w:rPr>
          <w:rFonts w:hint="eastAsia" w:ascii="宋体" w:hAnsi="宋体" w:cs="宋体"/>
          <w:color w:val="auto"/>
          <w:sz w:val="24"/>
          <w:szCs w:val="24"/>
          <w:highlight w:val="none"/>
        </w:rPr>
        <w:t>分整</w:t>
      </w:r>
      <w:r>
        <w:rPr>
          <w:rFonts w:hint="eastAsia" w:ascii="宋体" w:hAnsi="宋体" w:cs="宋体"/>
          <w:color w:val="auto"/>
          <w:kern w:val="0"/>
          <w:sz w:val="24"/>
          <w:szCs w:val="24"/>
          <w:highlight w:val="none"/>
        </w:rPr>
        <w:t>之前将电子磋商响应文件上传到“政采云”平台。</w:t>
      </w:r>
    </w:p>
    <w:p w14:paraId="5F1CABD2">
      <w:pPr>
        <w:adjustRightInd w:val="0"/>
        <w:spacing w:line="360" w:lineRule="auto"/>
        <w:ind w:firstLine="482" w:firstLineChars="200"/>
        <w:jc w:val="left"/>
        <w:rPr>
          <w:rFonts w:ascii="宋体"/>
          <w:color w:val="auto"/>
          <w:sz w:val="24"/>
          <w:szCs w:val="24"/>
          <w:highlight w:val="none"/>
        </w:rPr>
      </w:pPr>
      <w:r>
        <w:rPr>
          <w:rFonts w:hint="eastAsia" w:ascii="宋体" w:hAnsi="宋体" w:cs="宋体"/>
          <w:b/>
          <w:bCs/>
          <w:color w:val="auto"/>
          <w:sz w:val="24"/>
          <w:szCs w:val="24"/>
          <w:highlight w:val="none"/>
          <w:lang w:eastAsia="zh-CN"/>
        </w:rPr>
        <w:t>八、</w:t>
      </w:r>
      <w:r>
        <w:rPr>
          <w:rFonts w:hint="eastAsia" w:ascii="宋体" w:hAnsi="宋体" w:cs="宋体"/>
          <w:b/>
          <w:bCs/>
          <w:color w:val="auto"/>
          <w:sz w:val="24"/>
          <w:szCs w:val="24"/>
          <w:highlight w:val="none"/>
        </w:rPr>
        <w:t>递交首次响应文件时间及地点：</w:t>
      </w:r>
      <w:r>
        <w:rPr>
          <w:rFonts w:ascii="宋体" w:hAnsi="宋体" w:cs="宋体"/>
          <w:color w:val="auto"/>
          <w:sz w:val="24"/>
          <w:szCs w:val="24"/>
          <w:highlight w:val="none"/>
          <w:u w:val="single"/>
        </w:rPr>
        <w:t xml:space="preserve"> 202</w:t>
      </w:r>
      <w:r>
        <w:rPr>
          <w:rFonts w:hint="eastAsia" w:ascii="宋体" w:hAnsi="宋体" w:cs="宋体"/>
          <w:color w:val="auto"/>
          <w:sz w:val="24"/>
          <w:szCs w:val="24"/>
          <w:highlight w:val="none"/>
          <w:u w:val="single"/>
          <w:lang w:val="en-US" w:eastAsia="zh-CN"/>
        </w:rPr>
        <w:t>5</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7</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9</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3</w:t>
      </w:r>
      <w:r>
        <w:rPr>
          <w:rFonts w:ascii="宋体" w:hAnsi="宋体" w:cs="宋体"/>
          <w:color w:val="auto"/>
          <w:sz w:val="24"/>
          <w:szCs w:val="24"/>
          <w:highlight w:val="none"/>
          <w:u w:val="single"/>
        </w:rPr>
        <w:t>0</w:t>
      </w:r>
      <w:bookmarkStart w:id="114" w:name="_GoBack"/>
      <w:bookmarkEnd w:id="114"/>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分</w:t>
      </w:r>
      <w:bookmarkStart w:id="6" w:name="B30_开标地点"/>
      <w:r>
        <w:rPr>
          <w:rFonts w:hint="eastAsia" w:ascii="宋体" w:hAnsi="宋体" w:cs="宋体"/>
          <w:color w:val="auto"/>
          <w:sz w:val="24"/>
          <w:szCs w:val="24"/>
          <w:highlight w:val="none"/>
        </w:rPr>
        <w:t>整在</w:t>
      </w:r>
      <w:r>
        <w:rPr>
          <w:rFonts w:hint="eastAsia" w:ascii="宋体" w:hAnsi="宋体" w:cs="宋体"/>
          <w:color w:val="auto"/>
          <w:sz w:val="24"/>
          <w:szCs w:val="24"/>
          <w:highlight w:val="none"/>
          <w:lang w:val="en-US" w:eastAsia="zh-CN"/>
        </w:rPr>
        <w:t>绍兴市上虞区公共资源交易中心三楼</w:t>
      </w:r>
      <w:r>
        <w:rPr>
          <w:rFonts w:hint="eastAsia" w:ascii="宋体" w:hAnsi="宋体" w:cs="宋体"/>
          <w:color w:val="auto"/>
          <w:sz w:val="24"/>
          <w:szCs w:val="24"/>
          <w:highlight w:val="none"/>
          <w:u w:val="single"/>
          <w:lang w:val="en-US" w:eastAsia="zh-CN"/>
        </w:rPr>
        <w:t xml:space="preserve"> 363 </w:t>
      </w:r>
      <w:r>
        <w:rPr>
          <w:rFonts w:hint="eastAsia" w:ascii="宋体" w:hAnsi="宋体" w:cs="宋体"/>
          <w:color w:val="auto"/>
          <w:sz w:val="24"/>
          <w:szCs w:val="24"/>
          <w:highlight w:val="none"/>
        </w:rPr>
        <w:t>开标室开标。</w:t>
      </w:r>
      <w:bookmarkEnd w:id="6"/>
    </w:p>
    <w:p w14:paraId="11403E42">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开标时间后</w:t>
      </w:r>
      <w:r>
        <w:rPr>
          <w:rFonts w:ascii="宋体" w:hAnsi="宋体" w:cs="宋体"/>
          <w:color w:val="auto"/>
          <w:sz w:val="24"/>
          <w:szCs w:val="24"/>
          <w:highlight w:val="none"/>
        </w:rPr>
        <w:t>30</w:t>
      </w:r>
      <w:r>
        <w:rPr>
          <w:rFonts w:hint="eastAsia" w:ascii="宋体" w:hAnsi="宋体" w:cs="宋体"/>
          <w:color w:val="auto"/>
          <w:sz w:val="24"/>
          <w:szCs w:val="24"/>
          <w:highlight w:val="none"/>
        </w:rPr>
        <w:t>分钟内</w:t>
      </w:r>
      <w:r>
        <w:rPr>
          <w:rFonts w:hint="eastAsia" w:ascii="宋体" w:hAnsi="宋体" w:cs="宋体"/>
          <w:color w:val="auto"/>
          <w:sz w:val="24"/>
          <w:szCs w:val="24"/>
          <w:highlight w:val="none"/>
        </w:rPr>
        <w:t>（</w:t>
      </w:r>
      <w:r>
        <w:rPr>
          <w:rFonts w:ascii="宋体" w:hAnsi="宋体" w:cs="宋体"/>
          <w:color w:val="auto"/>
          <w:sz w:val="24"/>
          <w:szCs w:val="24"/>
          <w:highlight w:val="none"/>
          <w:u w:val="single"/>
        </w:rPr>
        <w:t xml:space="preserve"> 202</w:t>
      </w:r>
      <w:r>
        <w:rPr>
          <w:rFonts w:hint="eastAsia" w:ascii="宋体" w:hAnsi="宋体" w:cs="宋体"/>
          <w:color w:val="auto"/>
          <w:sz w:val="24"/>
          <w:szCs w:val="24"/>
          <w:highlight w:val="none"/>
          <w:u w:val="single"/>
          <w:lang w:val="en-US" w:eastAsia="zh-CN"/>
        </w:rPr>
        <w:t>5</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7</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0</w:t>
      </w:r>
      <w:r>
        <w:rPr>
          <w:rFonts w:ascii="宋体" w:hAnsi="宋体" w:cs="宋体"/>
          <w:color w:val="auto"/>
          <w:sz w:val="24"/>
          <w:szCs w:val="24"/>
          <w:highlight w:val="none"/>
        </w:rPr>
        <w:t xml:space="preserve"> : </w:t>
      </w:r>
      <w:r>
        <w:rPr>
          <w:rFonts w:hint="eastAsia" w:ascii="宋体" w:hAnsi="宋体" w:cs="宋体"/>
          <w:color w:val="auto"/>
          <w:sz w:val="24"/>
          <w:szCs w:val="24"/>
          <w:highlight w:val="none"/>
        </w:rPr>
        <w:t>0</w:t>
      </w:r>
      <w:r>
        <w:rPr>
          <w:rFonts w:ascii="宋体" w:hAnsi="宋体" w:cs="宋体"/>
          <w:color w:val="auto"/>
          <w:sz w:val="24"/>
          <w:szCs w:val="24"/>
          <w:highlight w:val="none"/>
        </w:rPr>
        <w:t xml:space="preserve">0 </w:t>
      </w:r>
      <w:r>
        <w:rPr>
          <w:rFonts w:hint="eastAsia" w:ascii="宋体" w:hAnsi="宋体" w:cs="宋体"/>
          <w:color w:val="auto"/>
          <w:sz w:val="24"/>
          <w:szCs w:val="24"/>
          <w:highlight w:val="none"/>
        </w:rPr>
        <w:t>前）</w:t>
      </w:r>
      <w:r>
        <w:rPr>
          <w:rFonts w:hint="eastAsia" w:ascii="宋体" w:hAnsi="宋体" w:cs="宋体"/>
          <w:color w:val="auto"/>
          <w:sz w:val="24"/>
          <w:szCs w:val="24"/>
          <w:highlight w:val="none"/>
        </w:rPr>
        <w:t>供应商可以登录“政采云”平台，用“项目采购</w:t>
      </w:r>
      <w:r>
        <w:rPr>
          <w:rFonts w:ascii="宋体" w:cs="宋体"/>
          <w:color w:val="auto"/>
          <w:sz w:val="24"/>
          <w:szCs w:val="24"/>
          <w:highlight w:val="none"/>
        </w:rPr>
        <w:t>-</w:t>
      </w:r>
      <w:r>
        <w:rPr>
          <w:rFonts w:hint="eastAsia" w:ascii="宋体" w:hAnsi="宋体" w:cs="宋体"/>
          <w:color w:val="auto"/>
          <w:sz w:val="24"/>
          <w:szCs w:val="24"/>
          <w:highlight w:val="none"/>
        </w:rPr>
        <w:t>开标评标”功能进行解密响应文件。若供应商在规定时间内（</w:t>
      </w:r>
      <w:r>
        <w:rPr>
          <w:rFonts w:ascii="宋体" w:hAnsi="宋体" w:cs="宋体"/>
          <w:color w:val="auto"/>
          <w:sz w:val="24"/>
          <w:szCs w:val="24"/>
          <w:highlight w:val="none"/>
          <w:u w:val="single"/>
        </w:rPr>
        <w:t xml:space="preserve"> 202</w:t>
      </w:r>
      <w:r>
        <w:rPr>
          <w:rFonts w:hint="eastAsia" w:ascii="宋体" w:hAnsi="宋体" w:cs="宋体"/>
          <w:color w:val="auto"/>
          <w:sz w:val="24"/>
          <w:szCs w:val="24"/>
          <w:highlight w:val="none"/>
          <w:u w:val="single"/>
          <w:lang w:val="en-US" w:eastAsia="zh-CN"/>
        </w:rPr>
        <w:t>5</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7</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0</w:t>
      </w:r>
      <w:r>
        <w:rPr>
          <w:rFonts w:ascii="宋体" w:hAnsi="宋体" w:cs="宋体"/>
          <w:color w:val="auto"/>
          <w:sz w:val="24"/>
          <w:szCs w:val="24"/>
          <w:highlight w:val="none"/>
        </w:rPr>
        <w:t xml:space="preserve"> : </w:t>
      </w:r>
      <w:r>
        <w:rPr>
          <w:rFonts w:hint="eastAsia" w:ascii="宋体" w:hAnsi="宋体" w:cs="宋体"/>
          <w:color w:val="auto"/>
          <w:sz w:val="24"/>
          <w:szCs w:val="24"/>
          <w:highlight w:val="none"/>
        </w:rPr>
        <w:t>0</w:t>
      </w:r>
      <w:r>
        <w:rPr>
          <w:rFonts w:ascii="宋体" w:hAnsi="宋体" w:cs="宋体"/>
          <w:color w:val="auto"/>
          <w:sz w:val="24"/>
          <w:szCs w:val="24"/>
          <w:highlight w:val="none"/>
        </w:rPr>
        <w:t xml:space="preserve">0 </w:t>
      </w:r>
      <w:r>
        <w:rPr>
          <w:rFonts w:hint="eastAsia" w:ascii="宋体" w:hAnsi="宋体" w:cs="宋体"/>
          <w:color w:val="auto"/>
          <w:sz w:val="24"/>
          <w:szCs w:val="24"/>
          <w:highlight w:val="none"/>
        </w:rPr>
        <w:t>前）</w:t>
      </w:r>
      <w:r>
        <w:rPr>
          <w:rFonts w:hint="eastAsia" w:ascii="宋体" w:hAnsi="宋体" w:cs="宋体"/>
          <w:color w:val="auto"/>
          <w:sz w:val="24"/>
          <w:szCs w:val="24"/>
          <w:highlight w:val="none"/>
        </w:rPr>
        <w:t>解密失败，则由采购代理机构工作人员上传供应商提供的备份文件。备份文件（后缀名为</w:t>
      </w:r>
      <w:r>
        <w:rPr>
          <w:rFonts w:ascii="宋体" w:hAnsi="宋体" w:cs="宋体"/>
          <w:color w:val="auto"/>
          <w:sz w:val="24"/>
          <w:szCs w:val="24"/>
          <w:highlight w:val="none"/>
        </w:rPr>
        <w:t>.bfbs</w:t>
      </w:r>
      <w:r>
        <w:rPr>
          <w:rFonts w:hint="eastAsia" w:ascii="宋体" w:hAnsi="宋体" w:cs="宋体"/>
          <w:color w:val="auto"/>
          <w:sz w:val="24"/>
          <w:szCs w:val="24"/>
          <w:highlight w:val="none"/>
        </w:rPr>
        <w:t>）须存储在</w:t>
      </w:r>
      <w:r>
        <w:rPr>
          <w:rFonts w:ascii="宋体" w:hAnsi="宋体" w:cs="宋体"/>
          <w:color w:val="auto"/>
          <w:sz w:val="24"/>
          <w:szCs w:val="24"/>
          <w:highlight w:val="none"/>
        </w:rPr>
        <w:t>U</w:t>
      </w:r>
      <w:r>
        <w:rPr>
          <w:rFonts w:hint="eastAsia" w:ascii="宋体" w:hAnsi="宋体" w:cs="宋体"/>
          <w:color w:val="auto"/>
          <w:sz w:val="24"/>
          <w:szCs w:val="24"/>
          <w:highlight w:val="none"/>
        </w:rPr>
        <w:t>盘中，与上传的电子磋商响应文件一致，用信封进行密封并盖章</w:t>
      </w:r>
      <w:r>
        <w:rPr>
          <w:rFonts w:hint="eastAsia" w:ascii="宋体" w:hAnsi="宋体" w:cs="宋体"/>
          <w:b/>
          <w:bCs/>
          <w:color w:val="auto"/>
          <w:sz w:val="24"/>
          <w:szCs w:val="24"/>
          <w:highlight w:val="none"/>
        </w:rPr>
        <w:t>（信封内仅需放入存储备份文件的</w:t>
      </w:r>
      <w:r>
        <w:rPr>
          <w:rFonts w:ascii="宋体" w:hAnsi="宋体" w:cs="宋体"/>
          <w:b/>
          <w:bCs/>
          <w:color w:val="auto"/>
          <w:sz w:val="24"/>
          <w:szCs w:val="24"/>
          <w:highlight w:val="none"/>
        </w:rPr>
        <w:t>U</w:t>
      </w:r>
      <w:r>
        <w:rPr>
          <w:rFonts w:hint="eastAsia" w:ascii="宋体" w:hAnsi="宋体" w:cs="宋体"/>
          <w:b/>
          <w:bCs/>
          <w:color w:val="auto"/>
          <w:sz w:val="24"/>
          <w:szCs w:val="24"/>
          <w:highlight w:val="none"/>
        </w:rPr>
        <w:t>盘）</w:t>
      </w:r>
      <w:r>
        <w:rPr>
          <w:rFonts w:hint="eastAsia" w:ascii="宋体" w:hAnsi="宋体" w:cs="宋体"/>
          <w:color w:val="auto"/>
          <w:sz w:val="24"/>
          <w:szCs w:val="24"/>
          <w:highlight w:val="none"/>
        </w:rPr>
        <w:t>，由授权代表在磋商响应截止时间前递交至开标地点。若电子磋商响应文件正常解锁，则</w:t>
      </w:r>
      <w:r>
        <w:rPr>
          <w:rFonts w:ascii="宋体" w:hAnsi="宋体" w:cs="宋体"/>
          <w:color w:val="auto"/>
          <w:sz w:val="24"/>
          <w:szCs w:val="24"/>
          <w:highlight w:val="none"/>
        </w:rPr>
        <w:t>U</w:t>
      </w:r>
      <w:r>
        <w:rPr>
          <w:rFonts w:hint="eastAsia" w:ascii="宋体" w:hAnsi="宋体" w:cs="宋体"/>
          <w:color w:val="auto"/>
          <w:sz w:val="24"/>
          <w:szCs w:val="24"/>
          <w:highlight w:val="none"/>
        </w:rPr>
        <w:t>盘退还给供应商；若解锁失败，则由采购代理机构将</w:t>
      </w:r>
      <w:r>
        <w:rPr>
          <w:rFonts w:ascii="宋体" w:hAnsi="宋体" w:cs="宋体"/>
          <w:color w:val="auto"/>
          <w:sz w:val="24"/>
          <w:szCs w:val="24"/>
          <w:highlight w:val="none"/>
        </w:rPr>
        <w:t>U</w:t>
      </w:r>
      <w:r>
        <w:rPr>
          <w:rFonts w:hint="eastAsia" w:ascii="宋体" w:hAnsi="宋体" w:cs="宋体"/>
          <w:color w:val="auto"/>
          <w:sz w:val="24"/>
          <w:szCs w:val="24"/>
          <w:highlight w:val="none"/>
        </w:rPr>
        <w:t>盘中的备份文件上传，该</w:t>
      </w:r>
      <w:r>
        <w:rPr>
          <w:rFonts w:ascii="宋体" w:hAnsi="宋体" w:cs="宋体"/>
          <w:color w:val="auto"/>
          <w:sz w:val="24"/>
          <w:szCs w:val="24"/>
          <w:highlight w:val="none"/>
        </w:rPr>
        <w:t>U</w:t>
      </w:r>
      <w:r>
        <w:rPr>
          <w:rFonts w:hint="eastAsia" w:ascii="宋体" w:hAnsi="宋体" w:cs="宋体"/>
          <w:color w:val="auto"/>
          <w:sz w:val="24"/>
          <w:szCs w:val="24"/>
          <w:highlight w:val="none"/>
        </w:rPr>
        <w:t>盘将由采购代理机构保存。</w:t>
      </w:r>
    </w:p>
    <w:p w14:paraId="13DB2EBC">
      <w:pPr>
        <w:adjustRightInd w:val="0"/>
        <w:spacing w:line="360" w:lineRule="auto"/>
        <w:ind w:firstLine="480" w:firstLineChars="200"/>
        <w:rPr>
          <w:rFonts w:ascii="宋体"/>
          <w:color w:val="auto"/>
          <w:kern w:val="0"/>
          <w:sz w:val="24"/>
          <w:szCs w:val="24"/>
          <w:highlight w:val="none"/>
        </w:rPr>
      </w:pPr>
      <w:r>
        <w:rPr>
          <w:rFonts w:hint="eastAsia" w:ascii="宋体" w:hAnsi="宋体" w:cs="宋体"/>
          <w:color w:val="auto"/>
          <w:sz w:val="24"/>
          <w:szCs w:val="24"/>
          <w:highlight w:val="none"/>
        </w:rPr>
        <w:t>本次开标不提供现场视频。</w:t>
      </w:r>
    </w:p>
    <w:p w14:paraId="3C016AA5">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九、</w:t>
      </w:r>
      <w:r>
        <w:rPr>
          <w:rFonts w:hint="eastAsia" w:ascii="宋体" w:hAnsi="宋体" w:cs="宋体"/>
          <w:color w:val="auto"/>
          <w:sz w:val="24"/>
          <w:szCs w:val="24"/>
          <w:highlight w:val="none"/>
        </w:rPr>
        <w:t>磋商保证金：无</w:t>
      </w:r>
    </w:p>
    <w:p w14:paraId="74BDCC04">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十、</w:t>
      </w:r>
      <w:r>
        <w:rPr>
          <w:rFonts w:hint="eastAsia" w:ascii="宋体" w:hAnsi="宋体" w:cs="宋体"/>
          <w:color w:val="auto"/>
          <w:sz w:val="24"/>
          <w:szCs w:val="24"/>
          <w:highlight w:val="none"/>
        </w:rPr>
        <w:t>公告期限：3个工作日</w:t>
      </w:r>
    </w:p>
    <w:p w14:paraId="53A372F6">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十一．联系方式：</w:t>
      </w:r>
    </w:p>
    <w:p w14:paraId="3470721C">
      <w:pPr>
        <w:adjustRightInd w:val="0"/>
        <w:spacing w:line="360" w:lineRule="auto"/>
        <w:ind w:firstLine="480" w:firstLineChars="200"/>
        <w:rPr>
          <w:rFonts w:hint="eastAsia" w:ascii="宋体" w:eastAsia="宋体"/>
          <w:color w:val="auto"/>
          <w:sz w:val="24"/>
          <w:szCs w:val="24"/>
          <w:highlight w:val="none"/>
          <w:lang w:eastAsia="zh-CN"/>
        </w:rPr>
      </w:pPr>
      <w:r>
        <w:rPr>
          <w:rFonts w:ascii="宋体" w:hAnsi="宋体" w:cs="宋体"/>
          <w:color w:val="auto"/>
          <w:sz w:val="24"/>
          <w:szCs w:val="24"/>
          <w:highlight w:val="none"/>
        </w:rPr>
        <w:t>1</w:t>
      </w:r>
      <w:r>
        <w:rPr>
          <w:rFonts w:hint="eastAsia" w:ascii="宋体" w:hAnsi="宋体" w:cs="宋体"/>
          <w:color w:val="auto"/>
          <w:sz w:val="24"/>
          <w:szCs w:val="24"/>
          <w:highlight w:val="none"/>
        </w:rPr>
        <w:t>．采购代理机构名称：</w:t>
      </w:r>
      <w:r>
        <w:rPr>
          <w:rFonts w:hint="eastAsia" w:ascii="宋体" w:hAnsi="宋体" w:cs="宋体"/>
          <w:color w:val="auto"/>
          <w:sz w:val="24"/>
          <w:szCs w:val="24"/>
          <w:highlight w:val="none"/>
          <w:lang w:eastAsia="zh-CN"/>
        </w:rPr>
        <w:t>浙江天平项目咨询有限公司</w:t>
      </w:r>
    </w:p>
    <w:p w14:paraId="0101A9EF">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项目联系人（询问）：</w:t>
      </w:r>
      <w:r>
        <w:rPr>
          <w:rFonts w:hint="eastAsia" w:ascii="宋体" w:hAnsi="宋体" w:cs="宋体"/>
          <w:color w:val="auto"/>
          <w:sz w:val="24"/>
          <w:szCs w:val="24"/>
          <w:highlight w:val="none"/>
          <w:lang w:val="en-US" w:eastAsia="zh-CN"/>
        </w:rPr>
        <w:t>张于飞</w:t>
      </w:r>
      <w:r>
        <w:rPr>
          <w:rFonts w:hint="eastAsia" w:ascii="宋体" w:hAnsi="宋体" w:cs="宋体"/>
          <w:color w:val="auto"/>
          <w:sz w:val="24"/>
          <w:szCs w:val="24"/>
          <w:highlight w:val="none"/>
        </w:rPr>
        <w:t xml:space="preserve">               </w:t>
      </w:r>
    </w:p>
    <w:p w14:paraId="5149B17F">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项目联系方式（询问）：</w:t>
      </w:r>
      <w:r>
        <w:rPr>
          <w:rFonts w:hint="eastAsia" w:ascii="宋体" w:hAnsi="宋体" w:cs="宋体"/>
          <w:color w:val="auto"/>
          <w:sz w:val="24"/>
          <w:szCs w:val="24"/>
          <w:highlight w:val="none"/>
          <w:lang w:eastAsia="zh-CN"/>
        </w:rPr>
        <w:t>15067435785</w:t>
      </w:r>
      <w:r>
        <w:rPr>
          <w:rFonts w:hint="eastAsia" w:ascii="宋体" w:hAnsi="宋体" w:cs="宋体"/>
          <w:color w:val="auto"/>
          <w:sz w:val="24"/>
          <w:szCs w:val="24"/>
          <w:highlight w:val="none"/>
        </w:rPr>
        <w:t xml:space="preserve">          </w:t>
      </w:r>
    </w:p>
    <w:p w14:paraId="7611C862">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质疑联系人：</w:t>
      </w:r>
      <w:r>
        <w:rPr>
          <w:rFonts w:hint="eastAsia" w:ascii="宋体" w:hAnsi="宋体" w:cs="宋体"/>
          <w:color w:val="auto"/>
          <w:sz w:val="24"/>
          <w:szCs w:val="24"/>
          <w:highlight w:val="none"/>
          <w:lang w:val="en-US" w:eastAsia="zh-CN"/>
        </w:rPr>
        <w:t>陈锦钟</w:t>
      </w:r>
      <w:r>
        <w:rPr>
          <w:rFonts w:hint="eastAsia" w:ascii="宋体" w:hAnsi="宋体" w:cs="宋体"/>
          <w:color w:val="auto"/>
          <w:sz w:val="24"/>
          <w:szCs w:val="24"/>
          <w:highlight w:val="none"/>
        </w:rPr>
        <w:t xml:space="preserve">             </w:t>
      </w:r>
    </w:p>
    <w:p w14:paraId="0E52719B">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质疑联系方式：</w:t>
      </w:r>
      <w:r>
        <w:rPr>
          <w:rFonts w:hint="eastAsia" w:ascii="宋体" w:hAnsi="宋体" w:cs="宋体"/>
          <w:color w:val="auto"/>
          <w:sz w:val="24"/>
          <w:szCs w:val="24"/>
          <w:highlight w:val="none"/>
          <w:lang w:eastAsia="zh-CN"/>
        </w:rPr>
        <w:t>13587399711</w:t>
      </w:r>
      <w:r>
        <w:rPr>
          <w:rFonts w:hint="eastAsia" w:ascii="宋体" w:hAnsi="宋体" w:cs="宋体"/>
          <w:color w:val="auto"/>
          <w:sz w:val="24"/>
          <w:szCs w:val="24"/>
          <w:highlight w:val="none"/>
        </w:rPr>
        <w:t xml:space="preserve">       </w:t>
      </w:r>
    </w:p>
    <w:p w14:paraId="699FDFD6">
      <w:pPr>
        <w:widowControl/>
        <w:spacing w:line="360" w:lineRule="auto"/>
        <w:ind w:firstLine="480" w:firstLineChars="200"/>
        <w:jc w:val="left"/>
        <w:rPr>
          <w:rFonts w:ascii="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lang w:eastAsia="zh-CN"/>
        </w:rPr>
        <w:t>绍兴市上虞区百官街道江东北路588号百官广场11楼</w:t>
      </w:r>
      <w:r>
        <w:rPr>
          <w:rFonts w:hint="eastAsia" w:ascii="宋体" w:hAnsi="宋体" w:cs="宋体"/>
          <w:color w:val="auto"/>
          <w:sz w:val="24"/>
          <w:szCs w:val="24"/>
          <w:highlight w:val="none"/>
        </w:rPr>
        <w:t xml:space="preserve">  </w:t>
      </w:r>
    </w:p>
    <w:p w14:paraId="3C82A1A9">
      <w:pPr>
        <w:adjustRightIn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．采购人名称：</w:t>
      </w:r>
      <w:r>
        <w:rPr>
          <w:rFonts w:hint="eastAsia" w:ascii="宋体" w:hAnsi="宋体" w:cs="宋体"/>
          <w:color w:val="auto"/>
          <w:sz w:val="24"/>
          <w:szCs w:val="24"/>
          <w:highlight w:val="none"/>
          <w:lang w:eastAsia="zh-CN"/>
        </w:rPr>
        <w:t>绍兴市上虞区曹娥街道办事处</w:t>
      </w:r>
    </w:p>
    <w:p w14:paraId="1BE2B631">
      <w:pPr>
        <w:adjustRightIn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项目联系人（询问）：</w:t>
      </w:r>
      <w:r>
        <w:rPr>
          <w:rFonts w:hint="eastAsia" w:ascii="宋体" w:hAnsi="宋体" w:cs="宋体"/>
          <w:color w:val="auto"/>
          <w:sz w:val="24"/>
          <w:szCs w:val="24"/>
          <w:highlight w:val="none"/>
          <w:lang w:val="en-US" w:eastAsia="zh-CN"/>
        </w:rPr>
        <w:t>陈先生</w:t>
      </w:r>
    </w:p>
    <w:p w14:paraId="04D9F818">
      <w:pPr>
        <w:adjustRightInd w:val="0"/>
        <w:spacing w:line="360" w:lineRule="auto"/>
        <w:ind w:firstLine="480" w:firstLineChars="200"/>
        <w:rPr>
          <w:rFonts w:hint="default"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项目联系方式（询问）：13735260103</w:t>
      </w:r>
    </w:p>
    <w:p w14:paraId="4D6A9A07">
      <w:pPr>
        <w:adjustRightInd w:val="0"/>
        <w:spacing w:line="360" w:lineRule="auto"/>
        <w:ind w:firstLine="480" w:firstLineChars="200"/>
        <w:rPr>
          <w:rFonts w:hint="default" w:ascii="宋体" w:hAnsi="宋体" w:eastAsia="宋体" w:cs="宋体"/>
          <w:color w:val="auto"/>
          <w:sz w:val="24"/>
          <w:szCs w:val="24"/>
          <w:highlight w:val="none"/>
          <w:lang w:eastAsia="zh-CN"/>
        </w:rPr>
      </w:pPr>
      <w:r>
        <w:rPr>
          <w:rFonts w:hint="eastAsia" w:ascii="宋体" w:hAnsi="宋体" w:cs="宋体"/>
          <w:color w:val="auto"/>
          <w:sz w:val="24"/>
          <w:szCs w:val="24"/>
          <w:highlight w:val="none"/>
        </w:rPr>
        <w:t>质疑联系人：王女士</w:t>
      </w:r>
    </w:p>
    <w:p w14:paraId="67DE6C6A">
      <w:pPr>
        <w:adjustRightInd w:val="0"/>
        <w:spacing w:line="360" w:lineRule="auto"/>
        <w:ind w:firstLine="480" w:firstLineChars="200"/>
        <w:rPr>
          <w:rFonts w:hint="default" w:ascii="宋体" w:hAnsi="宋体" w:eastAsia="宋体" w:cs="宋体"/>
          <w:color w:val="auto"/>
          <w:sz w:val="24"/>
          <w:szCs w:val="24"/>
          <w:highlight w:val="none"/>
          <w:lang w:eastAsia="zh-CN"/>
        </w:rPr>
      </w:pPr>
      <w:r>
        <w:rPr>
          <w:rFonts w:hint="eastAsia" w:ascii="宋体" w:hAnsi="宋体" w:cs="宋体"/>
          <w:color w:val="auto"/>
          <w:sz w:val="24"/>
          <w:szCs w:val="24"/>
          <w:highlight w:val="none"/>
        </w:rPr>
        <w:t>质疑联系方式：13616852965</w:t>
      </w:r>
    </w:p>
    <w:p w14:paraId="10D41D70">
      <w:pPr>
        <w:adjustRightIn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地址：</w:t>
      </w:r>
      <w:r>
        <w:rPr>
          <w:rFonts w:hint="eastAsia" w:ascii="宋体" w:hAnsi="宋体" w:cs="宋体"/>
          <w:color w:val="auto"/>
          <w:sz w:val="24"/>
          <w:highlight w:val="none"/>
        </w:rPr>
        <w:t>绍兴市</w:t>
      </w:r>
      <w:r>
        <w:rPr>
          <w:rFonts w:hint="eastAsia" w:ascii="宋体" w:hAnsi="宋体" w:cs="宋体"/>
          <w:color w:val="auto"/>
          <w:sz w:val="24"/>
          <w:highlight w:val="none"/>
          <w:lang w:eastAsia="zh-CN"/>
        </w:rPr>
        <w:t>上虞区江西路999号</w:t>
      </w:r>
    </w:p>
    <w:p w14:paraId="174C8D97">
      <w:pPr>
        <w:adjustRightIn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．同级政府采购监督管理部门名称：上虞区财政局政府采购监管科</w:t>
      </w:r>
    </w:p>
    <w:p w14:paraId="70C7BAB0">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联系人：谷先生</w:t>
      </w:r>
    </w:p>
    <w:p w14:paraId="3637458D">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监督投诉电话：</w:t>
      </w:r>
      <w:r>
        <w:rPr>
          <w:rFonts w:ascii="宋体" w:hAnsi="宋体" w:cs="宋体"/>
          <w:color w:val="auto"/>
          <w:sz w:val="24"/>
          <w:szCs w:val="24"/>
          <w:highlight w:val="none"/>
        </w:rPr>
        <w:t>0575-82130212</w:t>
      </w:r>
    </w:p>
    <w:p w14:paraId="616190C9">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传真：</w:t>
      </w:r>
      <w:r>
        <w:rPr>
          <w:rFonts w:ascii="宋体" w:hAnsi="宋体" w:cs="宋体"/>
          <w:color w:val="auto"/>
          <w:sz w:val="24"/>
          <w:szCs w:val="24"/>
        </w:rPr>
        <w:t>0575-821</w:t>
      </w:r>
      <w:r>
        <w:rPr>
          <w:rFonts w:hint="eastAsia" w:ascii="宋体" w:hAnsi="宋体" w:cs="宋体"/>
          <w:color w:val="auto"/>
          <w:sz w:val="24"/>
          <w:szCs w:val="24"/>
          <w:lang w:val="en-US" w:eastAsia="zh-CN"/>
        </w:rPr>
        <w:t>54859</w:t>
      </w:r>
    </w:p>
    <w:p w14:paraId="6310E1C1">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地址：绍兴市上虞区体育场路</w:t>
      </w:r>
      <w:r>
        <w:rPr>
          <w:rFonts w:ascii="宋体" w:hAnsi="宋体" w:cs="宋体"/>
          <w:color w:val="auto"/>
          <w:sz w:val="24"/>
          <w:szCs w:val="24"/>
          <w:highlight w:val="none"/>
        </w:rPr>
        <w:t>18</w:t>
      </w:r>
      <w:r>
        <w:rPr>
          <w:rFonts w:hint="eastAsia" w:ascii="宋体" w:hAnsi="宋体" w:cs="宋体"/>
          <w:color w:val="auto"/>
          <w:sz w:val="24"/>
          <w:szCs w:val="24"/>
          <w:highlight w:val="none"/>
        </w:rPr>
        <w:t>号</w:t>
      </w:r>
    </w:p>
    <w:p w14:paraId="07575526">
      <w:pPr>
        <w:spacing w:line="360" w:lineRule="auto"/>
        <w:jc w:val="center"/>
        <w:outlineLvl w:val="0"/>
        <w:rPr>
          <w:rFonts w:ascii="宋体"/>
          <w:b/>
          <w:bCs/>
          <w:color w:val="auto"/>
          <w:sz w:val="36"/>
          <w:szCs w:val="36"/>
          <w:highlight w:val="none"/>
        </w:rPr>
      </w:pPr>
      <w:r>
        <w:rPr>
          <w:rFonts w:ascii="宋体"/>
          <w:b/>
          <w:bCs/>
          <w:color w:val="auto"/>
          <w:sz w:val="36"/>
          <w:szCs w:val="36"/>
          <w:highlight w:val="none"/>
        </w:rPr>
        <w:br w:type="page"/>
      </w:r>
      <w:bookmarkStart w:id="7" w:name="_Toc546"/>
      <w:bookmarkStart w:id="8" w:name="_Toc29834"/>
      <w:bookmarkStart w:id="9" w:name="_Toc11776"/>
      <w:r>
        <w:rPr>
          <w:rStyle w:val="41"/>
          <w:rFonts w:hint="eastAsia" w:cs="宋体"/>
          <w:color w:val="auto"/>
          <w:sz w:val="36"/>
          <w:szCs w:val="36"/>
          <w:highlight w:val="none"/>
        </w:rPr>
        <w:t>第二部分</w:t>
      </w:r>
      <w:bookmarkEnd w:id="3"/>
      <w:r>
        <w:rPr>
          <w:rStyle w:val="41"/>
          <w:color w:val="auto"/>
          <w:sz w:val="36"/>
          <w:szCs w:val="36"/>
          <w:highlight w:val="none"/>
        </w:rPr>
        <w:t xml:space="preserve"> </w:t>
      </w:r>
      <w:bookmarkEnd w:id="4"/>
      <w:r>
        <w:rPr>
          <w:rStyle w:val="41"/>
          <w:rFonts w:hint="eastAsia" w:cs="宋体"/>
          <w:color w:val="auto"/>
          <w:sz w:val="36"/>
          <w:szCs w:val="36"/>
          <w:highlight w:val="none"/>
        </w:rPr>
        <w:t>供应商须知</w:t>
      </w:r>
      <w:bookmarkEnd w:id="7"/>
      <w:bookmarkEnd w:id="8"/>
      <w:bookmarkEnd w:id="9"/>
    </w:p>
    <w:p w14:paraId="5C430F4F">
      <w:pPr>
        <w:widowControl/>
        <w:adjustRightInd w:val="0"/>
        <w:snapToGrid w:val="0"/>
        <w:spacing w:line="360" w:lineRule="auto"/>
        <w:jc w:val="center"/>
        <w:rPr>
          <w:rFonts w:ascii="宋体"/>
          <w:b/>
          <w:bCs/>
          <w:snapToGrid w:val="0"/>
          <w:color w:val="auto"/>
          <w:kern w:val="0"/>
          <w:sz w:val="32"/>
          <w:szCs w:val="32"/>
          <w:highlight w:val="none"/>
        </w:rPr>
      </w:pPr>
      <w:r>
        <w:rPr>
          <w:rFonts w:hint="eastAsia" w:ascii="宋体" w:hAnsi="宋体" w:cs="宋体"/>
          <w:b/>
          <w:bCs/>
          <w:snapToGrid w:val="0"/>
          <w:color w:val="auto"/>
          <w:kern w:val="0"/>
          <w:sz w:val="30"/>
          <w:szCs w:val="30"/>
          <w:highlight w:val="none"/>
        </w:rPr>
        <w:t>前附表</w:t>
      </w:r>
    </w:p>
    <w:tbl>
      <w:tblPr>
        <w:tblStyle w:val="26"/>
        <w:tblW w:w="920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56"/>
        <w:gridCol w:w="6700"/>
      </w:tblGrid>
      <w:tr w14:paraId="5A4D23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tcBorders>
              <w:top w:val="double" w:color="auto" w:sz="4" w:space="0"/>
            </w:tcBorders>
            <w:vAlign w:val="center"/>
          </w:tcPr>
          <w:p w14:paraId="1448FFC7">
            <w:pPr>
              <w:snapToGrid w:val="0"/>
              <w:jc w:val="center"/>
              <w:rPr>
                <w:rFonts w:ascii="宋体"/>
                <w:b/>
                <w:bCs/>
                <w:snapToGrid w:val="0"/>
                <w:color w:val="auto"/>
                <w:kern w:val="0"/>
                <w:highlight w:val="none"/>
              </w:rPr>
            </w:pPr>
            <w:r>
              <w:rPr>
                <w:rFonts w:hint="eastAsia" w:ascii="宋体" w:hAnsi="宋体" w:cs="宋体"/>
                <w:b/>
                <w:bCs/>
                <w:snapToGrid w:val="0"/>
                <w:color w:val="auto"/>
                <w:kern w:val="0"/>
                <w:highlight w:val="none"/>
              </w:rPr>
              <w:t>序号</w:t>
            </w:r>
          </w:p>
        </w:tc>
        <w:tc>
          <w:tcPr>
            <w:tcW w:w="1856" w:type="dxa"/>
            <w:tcBorders>
              <w:top w:val="double" w:color="auto" w:sz="4" w:space="0"/>
            </w:tcBorders>
            <w:vAlign w:val="center"/>
          </w:tcPr>
          <w:p w14:paraId="63FE8B92">
            <w:pPr>
              <w:snapToGrid w:val="0"/>
              <w:jc w:val="center"/>
              <w:rPr>
                <w:rFonts w:ascii="宋体"/>
                <w:b/>
                <w:bCs/>
                <w:snapToGrid w:val="0"/>
                <w:color w:val="auto"/>
                <w:kern w:val="0"/>
                <w:highlight w:val="none"/>
              </w:rPr>
            </w:pPr>
            <w:r>
              <w:rPr>
                <w:rFonts w:hint="eastAsia" w:ascii="宋体" w:hAnsi="宋体" w:cs="宋体"/>
                <w:b/>
                <w:bCs/>
                <w:snapToGrid w:val="0"/>
                <w:color w:val="auto"/>
                <w:kern w:val="0"/>
                <w:highlight w:val="none"/>
              </w:rPr>
              <w:t>项目</w:t>
            </w:r>
          </w:p>
        </w:tc>
        <w:tc>
          <w:tcPr>
            <w:tcW w:w="6700" w:type="dxa"/>
            <w:tcBorders>
              <w:top w:val="double" w:color="auto" w:sz="4" w:space="0"/>
            </w:tcBorders>
            <w:vAlign w:val="center"/>
          </w:tcPr>
          <w:p w14:paraId="1C4819F7">
            <w:pPr>
              <w:snapToGrid w:val="0"/>
              <w:jc w:val="center"/>
              <w:rPr>
                <w:rFonts w:ascii="宋体"/>
                <w:b/>
                <w:bCs/>
                <w:snapToGrid w:val="0"/>
                <w:color w:val="auto"/>
                <w:kern w:val="0"/>
                <w:highlight w:val="none"/>
              </w:rPr>
            </w:pPr>
            <w:r>
              <w:rPr>
                <w:rFonts w:hint="eastAsia" w:ascii="宋体" w:hAnsi="宋体" w:cs="宋体"/>
                <w:b/>
                <w:bCs/>
                <w:snapToGrid w:val="0"/>
                <w:color w:val="auto"/>
                <w:kern w:val="0"/>
                <w:highlight w:val="none"/>
              </w:rPr>
              <w:t>内容</w:t>
            </w:r>
          </w:p>
        </w:tc>
      </w:tr>
      <w:tr w14:paraId="3CBB90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648" w:type="dxa"/>
            <w:vAlign w:val="center"/>
          </w:tcPr>
          <w:p w14:paraId="3C0F3796">
            <w:pPr>
              <w:snapToGrid w:val="0"/>
              <w:jc w:val="center"/>
              <w:rPr>
                <w:rFonts w:ascii="宋体"/>
                <w:snapToGrid w:val="0"/>
                <w:color w:val="auto"/>
                <w:kern w:val="0"/>
                <w:highlight w:val="none"/>
              </w:rPr>
            </w:pPr>
            <w:r>
              <w:rPr>
                <w:rFonts w:ascii="宋体" w:hAnsi="宋体" w:cs="宋体"/>
                <w:snapToGrid w:val="0"/>
                <w:color w:val="auto"/>
                <w:kern w:val="0"/>
                <w:highlight w:val="none"/>
              </w:rPr>
              <w:t>1</w:t>
            </w:r>
          </w:p>
        </w:tc>
        <w:tc>
          <w:tcPr>
            <w:tcW w:w="1856" w:type="dxa"/>
            <w:vAlign w:val="center"/>
          </w:tcPr>
          <w:p w14:paraId="2631004C">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项目名称</w:t>
            </w:r>
          </w:p>
        </w:tc>
        <w:tc>
          <w:tcPr>
            <w:tcW w:w="6700" w:type="dxa"/>
            <w:vAlign w:val="center"/>
          </w:tcPr>
          <w:p w14:paraId="1997F02A">
            <w:pPr>
              <w:snapToGrid w:val="0"/>
              <w:jc w:val="center"/>
              <w:rPr>
                <w:rFonts w:hint="eastAsia" w:ascii="宋体" w:eastAsia="宋体"/>
                <w:snapToGrid w:val="0"/>
                <w:color w:val="auto"/>
                <w:kern w:val="0"/>
                <w:highlight w:val="none"/>
                <w:lang w:eastAsia="zh-CN"/>
              </w:rPr>
            </w:pPr>
            <w:r>
              <w:rPr>
                <w:rFonts w:hint="eastAsia" w:ascii="宋体" w:hAnsi="宋体" w:cs="宋体"/>
                <w:snapToGrid w:val="0"/>
                <w:color w:val="auto"/>
                <w:kern w:val="0"/>
                <w:highlight w:val="none"/>
                <w:lang w:eastAsia="zh-CN"/>
              </w:rPr>
              <w:t>曹娥街道小环境精细化管控服务及微型空气质量监测站建设项目</w:t>
            </w:r>
          </w:p>
        </w:tc>
      </w:tr>
      <w:tr w14:paraId="05CCD4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648" w:type="dxa"/>
            <w:vAlign w:val="center"/>
          </w:tcPr>
          <w:p w14:paraId="7FB8373F">
            <w:pPr>
              <w:snapToGrid w:val="0"/>
              <w:jc w:val="center"/>
              <w:rPr>
                <w:rFonts w:ascii="宋体"/>
                <w:snapToGrid w:val="0"/>
                <w:color w:val="auto"/>
                <w:kern w:val="0"/>
                <w:highlight w:val="none"/>
              </w:rPr>
            </w:pPr>
            <w:r>
              <w:rPr>
                <w:rFonts w:ascii="宋体" w:hAnsi="宋体" w:cs="宋体"/>
                <w:snapToGrid w:val="0"/>
                <w:color w:val="auto"/>
                <w:kern w:val="0"/>
                <w:highlight w:val="none"/>
              </w:rPr>
              <w:t>2</w:t>
            </w:r>
          </w:p>
        </w:tc>
        <w:tc>
          <w:tcPr>
            <w:tcW w:w="1856" w:type="dxa"/>
            <w:vAlign w:val="center"/>
          </w:tcPr>
          <w:p w14:paraId="518FBAA1">
            <w:pPr>
              <w:snapToGrid w:val="0"/>
              <w:jc w:val="center"/>
              <w:rPr>
                <w:rFonts w:ascii="宋体"/>
                <w:b w:val="0"/>
                <w:bCs w:val="0"/>
                <w:snapToGrid w:val="0"/>
                <w:color w:val="auto"/>
                <w:kern w:val="0"/>
                <w:highlight w:val="none"/>
              </w:rPr>
            </w:pPr>
            <w:r>
              <w:rPr>
                <w:rFonts w:hint="eastAsia" w:ascii="宋体" w:hAnsi="宋体" w:cs="宋体"/>
                <w:b w:val="0"/>
                <w:bCs w:val="0"/>
                <w:snapToGrid w:val="0"/>
                <w:color w:val="auto"/>
                <w:kern w:val="0"/>
                <w:highlight w:val="none"/>
              </w:rPr>
              <w:t>服务周期</w:t>
            </w:r>
          </w:p>
        </w:tc>
        <w:tc>
          <w:tcPr>
            <w:tcW w:w="6700" w:type="dxa"/>
            <w:vAlign w:val="center"/>
          </w:tcPr>
          <w:p w14:paraId="3B5D7DB7">
            <w:pPr>
              <w:ind w:firstLine="420" w:firstLineChars="200"/>
              <w:rPr>
                <w:rFonts w:ascii="宋体"/>
                <w:b w:val="0"/>
                <w:bCs w:val="0"/>
                <w:color w:val="auto"/>
                <w:highlight w:val="none"/>
              </w:rPr>
            </w:pPr>
            <w:r>
              <w:rPr>
                <w:rFonts w:hint="eastAsia" w:ascii="宋体" w:hAnsi="宋体" w:cs="宋体"/>
                <w:b w:val="0"/>
                <w:bCs w:val="0"/>
                <w:snapToGrid w:val="0"/>
                <w:color w:val="auto"/>
                <w:kern w:val="0"/>
                <w:highlight w:val="none"/>
              </w:rPr>
              <w:t>自合同签订之日起至合同履行完毕</w:t>
            </w:r>
          </w:p>
        </w:tc>
      </w:tr>
      <w:tr w14:paraId="5BBACA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48" w:type="dxa"/>
            <w:vAlign w:val="center"/>
          </w:tcPr>
          <w:p w14:paraId="71088B69">
            <w:pPr>
              <w:snapToGrid w:val="0"/>
              <w:jc w:val="center"/>
              <w:rPr>
                <w:rFonts w:ascii="宋体"/>
                <w:snapToGrid w:val="0"/>
                <w:color w:val="auto"/>
                <w:kern w:val="0"/>
                <w:highlight w:val="none"/>
              </w:rPr>
            </w:pPr>
            <w:r>
              <w:rPr>
                <w:rFonts w:ascii="宋体" w:hAnsi="宋体" w:cs="宋体"/>
                <w:snapToGrid w:val="0"/>
                <w:color w:val="auto"/>
                <w:kern w:val="0"/>
                <w:highlight w:val="none"/>
              </w:rPr>
              <w:t>3</w:t>
            </w:r>
          </w:p>
        </w:tc>
        <w:tc>
          <w:tcPr>
            <w:tcW w:w="1856" w:type="dxa"/>
            <w:vAlign w:val="center"/>
          </w:tcPr>
          <w:p w14:paraId="18698E16">
            <w:pPr>
              <w:snapToGrid w:val="0"/>
              <w:spacing w:line="240" w:lineRule="auto"/>
              <w:jc w:val="center"/>
              <w:rPr>
                <w:rFonts w:hint="eastAsia" w:ascii="宋体" w:eastAsia="宋体"/>
                <w:b w:val="0"/>
                <w:bCs w:val="0"/>
                <w:snapToGrid w:val="0"/>
                <w:color w:val="auto"/>
                <w:kern w:val="0"/>
                <w:highlight w:val="none"/>
                <w:lang w:eastAsia="zh-CN"/>
              </w:rPr>
            </w:pPr>
            <w:r>
              <w:rPr>
                <w:rFonts w:hint="eastAsia" w:ascii="宋体" w:hAnsi="宋体" w:cs="宋体"/>
                <w:b w:val="0"/>
                <w:bCs w:val="0"/>
                <w:snapToGrid w:val="0"/>
                <w:color w:val="auto"/>
                <w:kern w:val="0"/>
                <w:highlight w:val="none"/>
              </w:rPr>
              <w:t>最高限价</w:t>
            </w:r>
          </w:p>
        </w:tc>
        <w:tc>
          <w:tcPr>
            <w:tcW w:w="6700" w:type="dxa"/>
            <w:vAlign w:val="center"/>
          </w:tcPr>
          <w:p w14:paraId="54C11537">
            <w:pPr>
              <w:snapToGrid w:val="0"/>
              <w:spacing w:line="240" w:lineRule="auto"/>
              <w:ind w:firstLine="420" w:firstLineChars="200"/>
              <w:rPr>
                <w:rFonts w:hint="eastAsia"/>
                <w:b w:val="0"/>
                <w:bCs w:val="0"/>
                <w:color w:val="auto"/>
                <w:highlight w:val="none"/>
                <w:lang w:eastAsia="zh-CN"/>
              </w:rPr>
            </w:pPr>
            <w:r>
              <w:rPr>
                <w:rFonts w:hint="eastAsia"/>
                <w:b w:val="0"/>
                <w:bCs w:val="0"/>
                <w:color w:val="auto"/>
              </w:rPr>
              <w:t>本项目最高限价人</w:t>
            </w:r>
            <w:r>
              <w:rPr>
                <w:rFonts w:hint="eastAsia" w:ascii="宋体" w:hAnsi="宋体" w:eastAsia="宋体" w:cs="宋体"/>
                <w:b w:val="0"/>
                <w:bCs w:val="0"/>
                <w:color w:val="auto"/>
              </w:rPr>
              <w:t>民币</w:t>
            </w:r>
            <w:r>
              <w:rPr>
                <w:rFonts w:hint="eastAsia" w:ascii="宋体" w:hAnsi="宋体" w:eastAsia="宋体" w:cs="宋体"/>
                <w:b w:val="0"/>
                <w:bCs w:val="0"/>
                <w:color w:val="auto"/>
                <w:u w:val="single"/>
              </w:rPr>
              <w:t xml:space="preserve"> </w:t>
            </w:r>
            <w:r>
              <w:rPr>
                <w:rFonts w:hint="eastAsia" w:ascii="宋体" w:hAnsi="宋体" w:cs="宋体"/>
                <w:b w:val="0"/>
                <w:bCs w:val="0"/>
                <w:color w:val="auto"/>
                <w:u w:val="single"/>
                <w:lang w:val="en-US" w:eastAsia="zh-CN"/>
              </w:rPr>
              <w:t>2495000</w:t>
            </w:r>
            <w:r>
              <w:rPr>
                <w:rFonts w:hint="eastAsia" w:ascii="宋体" w:hAnsi="宋体" w:eastAsia="宋体" w:cs="宋体"/>
                <w:b w:val="0"/>
                <w:bCs w:val="0"/>
                <w:color w:val="auto"/>
                <w:u w:val="single"/>
              </w:rPr>
              <w:t xml:space="preserve"> </w:t>
            </w:r>
            <w:r>
              <w:rPr>
                <w:rFonts w:hint="eastAsia" w:ascii="宋体" w:hAnsi="宋体" w:eastAsia="宋体" w:cs="宋体"/>
                <w:b w:val="0"/>
                <w:bCs w:val="0"/>
                <w:color w:val="auto"/>
              </w:rPr>
              <w:t>元。</w:t>
            </w:r>
          </w:p>
        </w:tc>
      </w:tr>
      <w:tr w14:paraId="662B55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60D7795">
            <w:pPr>
              <w:snapToGrid w:val="0"/>
              <w:jc w:val="center"/>
              <w:rPr>
                <w:rFonts w:ascii="宋体"/>
                <w:snapToGrid w:val="0"/>
                <w:color w:val="auto"/>
                <w:kern w:val="0"/>
                <w:highlight w:val="none"/>
              </w:rPr>
            </w:pPr>
            <w:r>
              <w:rPr>
                <w:rFonts w:ascii="宋体" w:hAnsi="宋体" w:cs="宋体"/>
                <w:snapToGrid w:val="0"/>
                <w:color w:val="auto"/>
                <w:kern w:val="0"/>
                <w:highlight w:val="none"/>
              </w:rPr>
              <w:t xml:space="preserve">                                                                                                   4</w:t>
            </w:r>
          </w:p>
        </w:tc>
        <w:tc>
          <w:tcPr>
            <w:tcW w:w="1856" w:type="dxa"/>
            <w:vAlign w:val="center"/>
          </w:tcPr>
          <w:p w14:paraId="24647021">
            <w:pPr>
              <w:snapToGrid w:val="0"/>
              <w:jc w:val="center"/>
              <w:rPr>
                <w:rFonts w:ascii="宋体"/>
                <w:b w:val="0"/>
                <w:bCs w:val="0"/>
                <w:snapToGrid w:val="0"/>
                <w:color w:val="auto"/>
                <w:kern w:val="0"/>
                <w:highlight w:val="none"/>
              </w:rPr>
            </w:pPr>
            <w:r>
              <w:rPr>
                <w:rFonts w:hint="eastAsia" w:ascii="宋体" w:hAnsi="宋体" w:cs="宋体"/>
                <w:b w:val="0"/>
                <w:bCs w:val="0"/>
                <w:snapToGrid w:val="0"/>
                <w:color w:val="auto"/>
                <w:kern w:val="0"/>
                <w:highlight w:val="none"/>
              </w:rPr>
              <w:t>资格审查方式</w:t>
            </w:r>
          </w:p>
        </w:tc>
        <w:tc>
          <w:tcPr>
            <w:tcW w:w="6700" w:type="dxa"/>
            <w:vAlign w:val="center"/>
          </w:tcPr>
          <w:p w14:paraId="7E16AA7B">
            <w:pPr>
              <w:snapToGrid w:val="0"/>
              <w:ind w:firstLine="420" w:firstLineChars="200"/>
              <w:rPr>
                <w:rFonts w:ascii="宋体"/>
                <w:b w:val="0"/>
                <w:bCs w:val="0"/>
                <w:snapToGrid w:val="0"/>
                <w:color w:val="auto"/>
                <w:kern w:val="0"/>
                <w:highlight w:val="none"/>
              </w:rPr>
            </w:pPr>
            <w:r>
              <w:rPr>
                <w:rFonts w:hint="eastAsia" w:ascii="宋体" w:hAnsi="宋体" w:cs="宋体"/>
                <w:b w:val="0"/>
                <w:bCs w:val="0"/>
                <w:snapToGrid w:val="0"/>
                <w:color w:val="auto"/>
                <w:kern w:val="0"/>
                <w:highlight w:val="none"/>
              </w:rPr>
              <w:t>资格审查是指开标后，磋商小组将依据法律法规和磋商文件的规定对供应商的资格进行审查。</w:t>
            </w:r>
          </w:p>
        </w:tc>
      </w:tr>
      <w:tr w14:paraId="2A4020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648" w:type="dxa"/>
            <w:vAlign w:val="center"/>
          </w:tcPr>
          <w:p w14:paraId="4F7F412A">
            <w:pPr>
              <w:snapToGrid w:val="0"/>
              <w:jc w:val="center"/>
              <w:rPr>
                <w:rFonts w:ascii="宋体"/>
                <w:snapToGrid w:val="0"/>
                <w:color w:val="auto"/>
                <w:kern w:val="0"/>
                <w:highlight w:val="none"/>
              </w:rPr>
            </w:pPr>
            <w:r>
              <w:rPr>
                <w:rFonts w:ascii="宋体" w:hAnsi="宋体" w:cs="宋体"/>
                <w:snapToGrid w:val="0"/>
                <w:color w:val="auto"/>
                <w:kern w:val="0"/>
                <w:highlight w:val="none"/>
              </w:rPr>
              <w:t>5</w:t>
            </w:r>
          </w:p>
        </w:tc>
        <w:tc>
          <w:tcPr>
            <w:tcW w:w="1856" w:type="dxa"/>
            <w:vAlign w:val="center"/>
          </w:tcPr>
          <w:p w14:paraId="50181768">
            <w:pPr>
              <w:snapToGrid w:val="0"/>
              <w:jc w:val="center"/>
              <w:rPr>
                <w:rFonts w:ascii="宋体"/>
                <w:b w:val="0"/>
                <w:bCs w:val="0"/>
                <w:snapToGrid w:val="0"/>
                <w:color w:val="auto"/>
                <w:kern w:val="0"/>
                <w:highlight w:val="none"/>
              </w:rPr>
            </w:pPr>
            <w:r>
              <w:rPr>
                <w:rFonts w:hint="eastAsia" w:ascii="宋体" w:hAnsi="宋体" w:cs="宋体"/>
                <w:b w:val="0"/>
                <w:bCs w:val="0"/>
                <w:snapToGrid w:val="0"/>
                <w:color w:val="auto"/>
                <w:kern w:val="0"/>
                <w:highlight w:val="none"/>
              </w:rPr>
              <w:t>踏勘现场</w:t>
            </w:r>
          </w:p>
        </w:tc>
        <w:tc>
          <w:tcPr>
            <w:tcW w:w="6700" w:type="dxa"/>
            <w:vAlign w:val="center"/>
          </w:tcPr>
          <w:p w14:paraId="058E641F">
            <w:pPr>
              <w:snapToGrid w:val="0"/>
              <w:ind w:firstLine="420" w:firstLineChars="200"/>
              <w:rPr>
                <w:rFonts w:ascii="宋体"/>
                <w:b w:val="0"/>
                <w:bCs w:val="0"/>
                <w:snapToGrid w:val="0"/>
                <w:color w:val="auto"/>
                <w:kern w:val="0"/>
                <w:highlight w:val="none"/>
              </w:rPr>
            </w:pPr>
            <w:r>
              <w:rPr>
                <w:rFonts w:hint="eastAsia" w:ascii="宋体" w:hAnsi="宋体" w:cs="宋体"/>
                <w:b w:val="0"/>
                <w:bCs w:val="0"/>
                <w:snapToGrid w:val="0"/>
                <w:color w:val="auto"/>
                <w:kern w:val="0"/>
                <w:highlight w:val="none"/>
              </w:rPr>
              <w:t>本项目不组织现场踏勘</w:t>
            </w:r>
          </w:p>
        </w:tc>
      </w:tr>
      <w:tr w14:paraId="2621CA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E43A7A5">
            <w:pPr>
              <w:snapToGrid w:val="0"/>
              <w:jc w:val="center"/>
              <w:rPr>
                <w:rFonts w:ascii="宋体"/>
                <w:snapToGrid w:val="0"/>
                <w:color w:val="auto"/>
                <w:kern w:val="0"/>
                <w:highlight w:val="none"/>
              </w:rPr>
            </w:pPr>
            <w:r>
              <w:rPr>
                <w:rFonts w:ascii="宋体" w:hAnsi="宋体" w:cs="宋体"/>
                <w:snapToGrid w:val="0"/>
                <w:color w:val="auto"/>
                <w:kern w:val="0"/>
                <w:highlight w:val="none"/>
              </w:rPr>
              <w:t>6</w:t>
            </w:r>
          </w:p>
        </w:tc>
        <w:tc>
          <w:tcPr>
            <w:tcW w:w="1856" w:type="dxa"/>
            <w:vAlign w:val="center"/>
          </w:tcPr>
          <w:p w14:paraId="44DB1F5D">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询问</w:t>
            </w:r>
          </w:p>
        </w:tc>
        <w:tc>
          <w:tcPr>
            <w:tcW w:w="6700" w:type="dxa"/>
            <w:vAlign w:val="center"/>
          </w:tcPr>
          <w:p w14:paraId="1A8EE829">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供应商对政府采购活动事项有疑问的，可以向采购机构提出询问，采购人或者招标代理机构应当在</w:t>
            </w:r>
            <w:r>
              <w:rPr>
                <w:rFonts w:ascii="宋体" w:hAnsi="宋体" w:cs="宋体"/>
                <w:snapToGrid w:val="0"/>
                <w:color w:val="auto"/>
                <w:kern w:val="0"/>
                <w:highlight w:val="none"/>
              </w:rPr>
              <w:t>3</w:t>
            </w:r>
            <w:r>
              <w:rPr>
                <w:rFonts w:hint="eastAsia" w:ascii="宋体" w:hAnsi="宋体" w:cs="宋体"/>
                <w:snapToGrid w:val="0"/>
                <w:color w:val="auto"/>
                <w:kern w:val="0"/>
                <w:highlight w:val="none"/>
              </w:rPr>
              <w:t>个工作日内对供应商依法提出的询问作出答复，但答复的内容不得涉及商业秘密。</w:t>
            </w:r>
          </w:p>
        </w:tc>
      </w:tr>
      <w:tr w14:paraId="6ADE86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CDC0487">
            <w:pPr>
              <w:snapToGrid w:val="0"/>
              <w:jc w:val="center"/>
              <w:rPr>
                <w:rFonts w:ascii="宋体"/>
                <w:snapToGrid w:val="0"/>
                <w:color w:val="auto"/>
                <w:kern w:val="0"/>
                <w:highlight w:val="none"/>
              </w:rPr>
            </w:pPr>
            <w:r>
              <w:rPr>
                <w:rFonts w:ascii="宋体" w:hAnsi="宋体" w:cs="宋体"/>
                <w:snapToGrid w:val="0"/>
                <w:color w:val="auto"/>
                <w:kern w:val="0"/>
                <w:highlight w:val="none"/>
              </w:rPr>
              <w:t>7</w:t>
            </w:r>
          </w:p>
        </w:tc>
        <w:tc>
          <w:tcPr>
            <w:tcW w:w="1856" w:type="dxa"/>
            <w:vAlign w:val="center"/>
          </w:tcPr>
          <w:p w14:paraId="1848D67D">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磋商文件的澄清与修改</w:t>
            </w:r>
          </w:p>
        </w:tc>
        <w:tc>
          <w:tcPr>
            <w:tcW w:w="6700" w:type="dxa"/>
            <w:vAlign w:val="center"/>
          </w:tcPr>
          <w:p w14:paraId="58A63260">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采购单位可以对已发出的磋商文件进行必要澄清或者修改，澄清或者修改的内容可能影响响应文件编制的，应当在提交首次响应文件截</w:t>
            </w:r>
            <w:r>
              <w:rPr>
                <w:rFonts w:hint="eastAsia" w:ascii="宋体" w:hAnsi="宋体" w:cs="宋体"/>
                <w:snapToGrid w:val="0"/>
                <w:color w:val="auto"/>
                <w:kern w:val="0"/>
                <w:highlight w:val="none"/>
                <w:lang w:val="en-US" w:eastAsia="zh-CN"/>
              </w:rPr>
              <w:t>止</w:t>
            </w:r>
            <w:r>
              <w:rPr>
                <w:rFonts w:hint="eastAsia" w:ascii="宋体" w:hAnsi="宋体" w:cs="宋体"/>
                <w:snapToGrid w:val="0"/>
                <w:color w:val="auto"/>
                <w:kern w:val="0"/>
                <w:highlight w:val="none"/>
              </w:rPr>
              <w:t>时间至少</w:t>
            </w:r>
            <w:r>
              <w:rPr>
                <w:rFonts w:ascii="宋体" w:hAnsi="宋体" w:cs="宋体"/>
                <w:snapToGrid w:val="0"/>
                <w:color w:val="auto"/>
                <w:kern w:val="0"/>
                <w:highlight w:val="none"/>
              </w:rPr>
              <w:t>5</w:t>
            </w:r>
            <w:r>
              <w:rPr>
                <w:rFonts w:hint="eastAsia" w:ascii="宋体" w:hAnsi="宋体" w:cs="宋体"/>
                <w:snapToGrid w:val="0"/>
                <w:color w:val="auto"/>
                <w:kern w:val="0"/>
                <w:highlight w:val="none"/>
              </w:rPr>
              <w:t>日前，在磋商公告发布的媒体上发布更正公告。本项目磋商文件和补充（答疑、澄清）、修改文件等请自行登录浙江政府采购网或绍兴市上虞区公共资源交易中心网站查看。</w:t>
            </w:r>
          </w:p>
        </w:tc>
      </w:tr>
      <w:tr w14:paraId="58F3CD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CAA8C09">
            <w:pPr>
              <w:snapToGrid w:val="0"/>
              <w:jc w:val="center"/>
              <w:rPr>
                <w:rFonts w:ascii="宋体"/>
                <w:snapToGrid w:val="0"/>
                <w:color w:val="auto"/>
                <w:kern w:val="0"/>
                <w:highlight w:val="none"/>
              </w:rPr>
            </w:pPr>
            <w:r>
              <w:rPr>
                <w:rFonts w:ascii="宋体" w:hAnsi="宋体" w:cs="宋体"/>
                <w:snapToGrid w:val="0"/>
                <w:color w:val="auto"/>
                <w:kern w:val="0"/>
                <w:highlight w:val="none"/>
              </w:rPr>
              <w:t>8</w:t>
            </w:r>
          </w:p>
        </w:tc>
        <w:tc>
          <w:tcPr>
            <w:tcW w:w="1856" w:type="dxa"/>
            <w:vAlign w:val="center"/>
          </w:tcPr>
          <w:p w14:paraId="29F2FDB1">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磋商响应文件组成</w:t>
            </w:r>
          </w:p>
        </w:tc>
        <w:tc>
          <w:tcPr>
            <w:tcW w:w="6700" w:type="dxa"/>
            <w:vAlign w:val="center"/>
          </w:tcPr>
          <w:p w14:paraId="3C99311C">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供应商向采购人递交的响应文件由资格文件、商务技术文件、报价文件三部分组成。</w:t>
            </w:r>
          </w:p>
        </w:tc>
      </w:tr>
      <w:tr w14:paraId="7E2FB5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648" w:type="dxa"/>
            <w:vAlign w:val="center"/>
          </w:tcPr>
          <w:p w14:paraId="5603674C">
            <w:pPr>
              <w:snapToGrid w:val="0"/>
              <w:jc w:val="center"/>
              <w:rPr>
                <w:rFonts w:ascii="宋体"/>
                <w:snapToGrid w:val="0"/>
                <w:color w:val="auto"/>
                <w:kern w:val="0"/>
                <w:highlight w:val="none"/>
              </w:rPr>
            </w:pPr>
            <w:r>
              <w:rPr>
                <w:rFonts w:ascii="宋体" w:hAnsi="宋体" w:cs="宋体"/>
                <w:snapToGrid w:val="0"/>
                <w:color w:val="auto"/>
                <w:kern w:val="0"/>
                <w:highlight w:val="none"/>
              </w:rPr>
              <w:t>9</w:t>
            </w:r>
          </w:p>
        </w:tc>
        <w:tc>
          <w:tcPr>
            <w:tcW w:w="1856" w:type="dxa"/>
            <w:vAlign w:val="center"/>
          </w:tcPr>
          <w:p w14:paraId="72EEFFC4">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评标办法</w:t>
            </w:r>
          </w:p>
        </w:tc>
        <w:tc>
          <w:tcPr>
            <w:tcW w:w="6700" w:type="dxa"/>
            <w:vAlign w:val="center"/>
          </w:tcPr>
          <w:p w14:paraId="1242B2BB">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综合评分法</w:t>
            </w:r>
          </w:p>
        </w:tc>
      </w:tr>
      <w:tr w14:paraId="1DE955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60FE030">
            <w:pPr>
              <w:snapToGrid w:val="0"/>
              <w:jc w:val="center"/>
              <w:rPr>
                <w:rFonts w:ascii="宋体"/>
                <w:snapToGrid w:val="0"/>
                <w:color w:val="auto"/>
                <w:kern w:val="0"/>
                <w:highlight w:val="none"/>
              </w:rPr>
            </w:pPr>
            <w:r>
              <w:rPr>
                <w:rFonts w:ascii="宋体" w:hAnsi="宋体" w:cs="宋体"/>
                <w:snapToGrid w:val="0"/>
                <w:color w:val="auto"/>
                <w:kern w:val="0"/>
                <w:highlight w:val="none"/>
              </w:rPr>
              <w:t>10</w:t>
            </w:r>
          </w:p>
        </w:tc>
        <w:tc>
          <w:tcPr>
            <w:tcW w:w="1856" w:type="dxa"/>
            <w:vAlign w:val="center"/>
          </w:tcPr>
          <w:p w14:paraId="6489384E">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磋商响应文件递交地址及截止时间</w:t>
            </w:r>
          </w:p>
        </w:tc>
        <w:tc>
          <w:tcPr>
            <w:tcW w:w="6700" w:type="dxa"/>
            <w:vAlign w:val="center"/>
          </w:tcPr>
          <w:p w14:paraId="28249BCD">
            <w:pPr>
              <w:snapToGrid w:val="0"/>
              <w:ind w:firstLine="420" w:firstLineChars="200"/>
              <w:rPr>
                <w:rFonts w:ascii="宋体"/>
                <w:color w:val="auto"/>
                <w:kern w:val="0"/>
                <w:highlight w:val="none"/>
              </w:rPr>
            </w:pPr>
            <w:r>
              <w:rPr>
                <w:rFonts w:hint="eastAsia" w:ascii="宋体" w:hAnsi="宋体" w:cs="宋体"/>
                <w:snapToGrid w:val="0"/>
                <w:color w:val="auto"/>
                <w:kern w:val="0"/>
                <w:highlight w:val="none"/>
              </w:rPr>
              <w:t>详见磋商公告</w:t>
            </w:r>
          </w:p>
        </w:tc>
      </w:tr>
      <w:tr w14:paraId="5D1407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A816A04">
            <w:pPr>
              <w:snapToGrid w:val="0"/>
              <w:jc w:val="center"/>
              <w:rPr>
                <w:rFonts w:ascii="宋体"/>
                <w:snapToGrid w:val="0"/>
                <w:color w:val="auto"/>
                <w:kern w:val="0"/>
                <w:highlight w:val="none"/>
              </w:rPr>
            </w:pPr>
            <w:r>
              <w:rPr>
                <w:rFonts w:ascii="宋体" w:hAnsi="宋体" w:cs="宋体"/>
                <w:snapToGrid w:val="0"/>
                <w:color w:val="auto"/>
                <w:kern w:val="0"/>
                <w:highlight w:val="none"/>
              </w:rPr>
              <w:t>11</w:t>
            </w:r>
          </w:p>
        </w:tc>
        <w:tc>
          <w:tcPr>
            <w:tcW w:w="1856" w:type="dxa"/>
            <w:vAlign w:val="center"/>
          </w:tcPr>
          <w:p w14:paraId="3319BA53">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开标时间、地点</w:t>
            </w:r>
          </w:p>
        </w:tc>
        <w:tc>
          <w:tcPr>
            <w:tcW w:w="6700" w:type="dxa"/>
            <w:vAlign w:val="center"/>
          </w:tcPr>
          <w:p w14:paraId="6E0E80C9">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开标时间：</w:t>
            </w:r>
            <w:r>
              <w:rPr>
                <w:rFonts w:hint="eastAsia" w:ascii="宋体" w:hAnsi="宋体" w:cs="宋体"/>
                <w:color w:val="auto"/>
                <w:kern w:val="0"/>
                <w:highlight w:val="none"/>
              </w:rPr>
              <w:t>详见磋商公告</w:t>
            </w:r>
          </w:p>
          <w:p w14:paraId="7586807D">
            <w:pPr>
              <w:snapToGrid w:val="0"/>
              <w:ind w:firstLine="420" w:firstLineChars="200"/>
              <w:rPr>
                <w:rFonts w:ascii="宋体"/>
                <w:color w:val="auto"/>
                <w:kern w:val="0"/>
                <w:highlight w:val="none"/>
              </w:rPr>
            </w:pPr>
            <w:r>
              <w:rPr>
                <w:rFonts w:hint="eastAsia" w:ascii="宋体" w:hAnsi="宋体" w:cs="宋体"/>
                <w:snapToGrid w:val="0"/>
                <w:color w:val="auto"/>
                <w:kern w:val="0"/>
                <w:highlight w:val="none"/>
              </w:rPr>
              <w:t>开标地点：</w:t>
            </w:r>
            <w:r>
              <w:rPr>
                <w:rFonts w:hint="eastAsia" w:ascii="宋体" w:hAnsi="宋体" w:cs="宋体"/>
                <w:color w:val="auto"/>
                <w:kern w:val="0"/>
                <w:highlight w:val="none"/>
              </w:rPr>
              <w:t>详见磋商公告</w:t>
            </w:r>
          </w:p>
        </w:tc>
      </w:tr>
      <w:tr w14:paraId="0C2B39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45A9949">
            <w:pPr>
              <w:snapToGrid w:val="0"/>
              <w:jc w:val="center"/>
              <w:rPr>
                <w:rFonts w:ascii="宋体"/>
                <w:snapToGrid w:val="0"/>
                <w:color w:val="auto"/>
                <w:kern w:val="0"/>
                <w:highlight w:val="none"/>
              </w:rPr>
            </w:pPr>
            <w:r>
              <w:rPr>
                <w:rFonts w:ascii="宋体" w:hAnsi="宋体" w:cs="宋体"/>
                <w:snapToGrid w:val="0"/>
                <w:color w:val="auto"/>
                <w:kern w:val="0"/>
                <w:highlight w:val="none"/>
              </w:rPr>
              <w:t>12</w:t>
            </w:r>
          </w:p>
        </w:tc>
        <w:tc>
          <w:tcPr>
            <w:tcW w:w="1856" w:type="dxa"/>
            <w:vAlign w:val="center"/>
          </w:tcPr>
          <w:p w14:paraId="22A3FFDB">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磋商响应文件有效期</w:t>
            </w:r>
          </w:p>
        </w:tc>
        <w:tc>
          <w:tcPr>
            <w:tcW w:w="6700" w:type="dxa"/>
            <w:vAlign w:val="center"/>
          </w:tcPr>
          <w:p w14:paraId="50ABA8F4">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响应文件有效期为从提交响应文件的截止之日起</w:t>
            </w:r>
            <w:r>
              <w:rPr>
                <w:rFonts w:ascii="宋体" w:hAnsi="宋体" w:cs="宋体"/>
                <w:snapToGrid w:val="0"/>
                <w:color w:val="auto"/>
                <w:kern w:val="0"/>
                <w:highlight w:val="none"/>
              </w:rPr>
              <w:t>90</w:t>
            </w:r>
            <w:r>
              <w:rPr>
                <w:rFonts w:hint="eastAsia" w:ascii="宋体" w:hAnsi="宋体" w:cs="宋体"/>
                <w:snapToGrid w:val="0"/>
                <w:color w:val="auto"/>
                <w:kern w:val="0"/>
                <w:highlight w:val="none"/>
              </w:rPr>
              <w:t>天。供应商的响应文件中承诺的响应文件有效期少于磋商文件中载明的响应文件有效期的，磋商无效。</w:t>
            </w:r>
          </w:p>
        </w:tc>
      </w:tr>
      <w:tr w14:paraId="727170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648" w:type="dxa"/>
            <w:vAlign w:val="center"/>
          </w:tcPr>
          <w:p w14:paraId="4233DD6D">
            <w:pPr>
              <w:snapToGrid w:val="0"/>
              <w:jc w:val="center"/>
              <w:rPr>
                <w:rFonts w:ascii="宋体"/>
                <w:snapToGrid w:val="0"/>
                <w:color w:val="auto"/>
                <w:kern w:val="0"/>
                <w:highlight w:val="none"/>
              </w:rPr>
            </w:pPr>
            <w:r>
              <w:rPr>
                <w:rFonts w:ascii="宋体" w:hAnsi="宋体" w:cs="宋体"/>
                <w:snapToGrid w:val="0"/>
                <w:color w:val="auto"/>
                <w:kern w:val="0"/>
                <w:highlight w:val="none"/>
              </w:rPr>
              <w:t>13</w:t>
            </w:r>
          </w:p>
        </w:tc>
        <w:tc>
          <w:tcPr>
            <w:tcW w:w="1856" w:type="dxa"/>
            <w:vAlign w:val="center"/>
          </w:tcPr>
          <w:p w14:paraId="221B972E">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履约保证金</w:t>
            </w:r>
          </w:p>
        </w:tc>
        <w:tc>
          <w:tcPr>
            <w:tcW w:w="6700" w:type="dxa"/>
            <w:vAlign w:val="center"/>
          </w:tcPr>
          <w:p w14:paraId="44441619">
            <w:pPr>
              <w:widowControl/>
              <w:ind w:firstLine="420" w:firstLineChars="200"/>
              <w:jc w:val="left"/>
              <w:rPr>
                <w:rFonts w:hint="eastAsia" w:ascii="宋体" w:hAnsi="宋体"/>
                <w:color w:val="auto"/>
                <w:szCs w:val="21"/>
                <w:lang w:val="en-US" w:eastAsia="zh-CN"/>
              </w:rPr>
            </w:pPr>
            <w:r>
              <w:rPr>
                <w:rFonts w:hint="eastAsia" w:ascii="宋体" w:hAnsi="宋体"/>
                <w:color w:val="auto"/>
                <w:szCs w:val="21"/>
                <w:lang w:val="en-US" w:eastAsia="zh-CN"/>
              </w:rPr>
              <w:t>成交供应商在收到中标通知书后，需向采购人提供合同总价</w:t>
            </w:r>
            <w:r>
              <w:rPr>
                <w:rFonts w:hint="eastAsia" w:ascii="宋体" w:hAnsi="宋体"/>
                <w:color w:val="auto"/>
                <w:szCs w:val="21"/>
                <w:highlight w:val="none"/>
                <w:u w:val="single"/>
                <w:lang w:val="en-US" w:eastAsia="zh-CN"/>
              </w:rPr>
              <w:t>　 1　</w:t>
            </w:r>
            <w:r>
              <w:rPr>
                <w:rFonts w:hint="eastAsia" w:ascii="宋体" w:hAnsi="宋体"/>
                <w:color w:val="auto"/>
                <w:szCs w:val="21"/>
                <w:highlight w:val="none"/>
                <w:lang w:val="en-US" w:eastAsia="zh-CN"/>
              </w:rPr>
              <w:t>%的履约保证金，在供应商与采购人签订合同前递交。（供应</w:t>
            </w:r>
            <w:r>
              <w:rPr>
                <w:rFonts w:hint="eastAsia" w:ascii="宋体" w:hAnsi="宋体"/>
                <w:color w:val="auto"/>
                <w:szCs w:val="21"/>
                <w:lang w:val="en-US" w:eastAsia="zh-CN"/>
              </w:rPr>
              <w:t>商应当以支票、汇票、本票或者金融机构、保险公司、担保机构出具的保函等非现金形式提交）</w:t>
            </w:r>
          </w:p>
          <w:p w14:paraId="4441DB15">
            <w:pPr>
              <w:widowControl/>
              <w:ind w:firstLine="420" w:firstLineChars="200"/>
              <w:jc w:val="left"/>
              <w:rPr>
                <w:rFonts w:hint="default" w:hAnsi="宋体" w:eastAsia="宋体" w:cs="Times New Roman"/>
                <w:color w:val="auto"/>
                <w:kern w:val="0"/>
                <w:highlight w:val="none"/>
                <w:lang w:val="en-US" w:eastAsia="zh-CN"/>
              </w:rPr>
            </w:pPr>
            <w:r>
              <w:rPr>
                <w:rFonts w:hint="eastAsia" w:ascii="宋体" w:hAnsi="宋体"/>
                <w:color w:val="auto"/>
                <w:szCs w:val="21"/>
                <w:lang w:val="en-US" w:eastAsia="zh-CN"/>
              </w:rPr>
              <w:t>合同期满后或提前终止合同后一个月内向供应商退还履约保证金。</w:t>
            </w:r>
          </w:p>
        </w:tc>
      </w:tr>
      <w:tr w14:paraId="324FAD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15C9208">
            <w:pPr>
              <w:snapToGrid w:val="0"/>
              <w:jc w:val="center"/>
              <w:rPr>
                <w:rFonts w:ascii="宋体"/>
                <w:snapToGrid w:val="0"/>
                <w:color w:val="auto"/>
                <w:kern w:val="0"/>
                <w:highlight w:val="none"/>
              </w:rPr>
            </w:pPr>
            <w:r>
              <w:rPr>
                <w:rFonts w:ascii="宋体" w:hAnsi="宋体" w:cs="宋体"/>
                <w:snapToGrid w:val="0"/>
                <w:color w:val="auto"/>
                <w:kern w:val="0"/>
                <w:highlight w:val="none"/>
              </w:rPr>
              <w:t>14</w:t>
            </w:r>
          </w:p>
        </w:tc>
        <w:tc>
          <w:tcPr>
            <w:tcW w:w="1856" w:type="dxa"/>
            <w:vAlign w:val="center"/>
          </w:tcPr>
          <w:p w14:paraId="7B34D173">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磋商公告及成交结果公告发布媒体</w:t>
            </w:r>
          </w:p>
        </w:tc>
        <w:tc>
          <w:tcPr>
            <w:tcW w:w="6700" w:type="dxa"/>
            <w:vAlign w:val="center"/>
          </w:tcPr>
          <w:p w14:paraId="3DCEB62D">
            <w:pPr>
              <w:pStyle w:val="15"/>
              <w:snapToGrid w:val="0"/>
              <w:ind w:firstLine="420" w:firstLineChars="200"/>
              <w:jc w:val="left"/>
              <w:rPr>
                <w:rFonts w:hAnsi="宋体" w:cs="Times New Roman"/>
                <w:color w:val="auto"/>
                <w:kern w:val="0"/>
                <w:highlight w:val="none"/>
              </w:rPr>
            </w:pPr>
            <w:r>
              <w:rPr>
                <w:rFonts w:hint="eastAsia" w:hAnsi="宋体"/>
                <w:color w:val="auto"/>
                <w:kern w:val="0"/>
                <w:highlight w:val="none"/>
              </w:rPr>
              <w:t>浙江省政府采购网、</w:t>
            </w:r>
            <w:r>
              <w:rPr>
                <w:rFonts w:hAnsi="宋体"/>
                <w:color w:val="auto"/>
                <w:kern w:val="0"/>
                <w:highlight w:val="none"/>
              </w:rPr>
              <w:t xml:space="preserve"> </w:t>
            </w:r>
            <w:r>
              <w:rPr>
                <w:rFonts w:hint="eastAsia" w:hAnsi="宋体"/>
                <w:color w:val="auto"/>
                <w:kern w:val="0"/>
                <w:highlight w:val="none"/>
              </w:rPr>
              <w:t>绍兴市上虞区公共资源交易中心网站</w:t>
            </w:r>
          </w:p>
        </w:tc>
      </w:tr>
      <w:tr w14:paraId="7FFC69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ECACE0D">
            <w:pPr>
              <w:snapToGrid w:val="0"/>
              <w:jc w:val="center"/>
              <w:rPr>
                <w:rFonts w:ascii="宋体"/>
                <w:color w:val="auto"/>
                <w:highlight w:val="none"/>
              </w:rPr>
            </w:pPr>
            <w:r>
              <w:rPr>
                <w:rFonts w:ascii="宋体" w:hAnsi="宋体" w:cs="宋体"/>
                <w:color w:val="auto"/>
                <w:highlight w:val="none"/>
              </w:rPr>
              <w:t>15</w:t>
            </w:r>
          </w:p>
        </w:tc>
        <w:tc>
          <w:tcPr>
            <w:tcW w:w="1856" w:type="dxa"/>
            <w:vAlign w:val="center"/>
          </w:tcPr>
          <w:p w14:paraId="3991295A">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质疑</w:t>
            </w:r>
          </w:p>
        </w:tc>
        <w:tc>
          <w:tcPr>
            <w:tcW w:w="6700" w:type="dxa"/>
            <w:vAlign w:val="center"/>
          </w:tcPr>
          <w:p w14:paraId="477CCC53">
            <w:pPr>
              <w:snapToGrid w:val="0"/>
              <w:ind w:firstLine="420" w:firstLineChars="200"/>
              <w:rPr>
                <w:rFonts w:ascii="宋体"/>
                <w:color w:val="auto"/>
                <w:highlight w:val="none"/>
              </w:rPr>
            </w:pPr>
            <w:r>
              <w:rPr>
                <w:rFonts w:hint="eastAsia" w:ascii="宋体" w:hAnsi="宋体" w:cs="宋体"/>
                <w:color w:val="auto"/>
                <w:highlight w:val="none"/>
              </w:rPr>
              <w:t>根据《中华人民共和国政府采购法》第五十二条、《中华人民共和国政府采购法实施条例》第五十三条、《浙江省政府采购供应商质疑处理办法》的规定：</w:t>
            </w:r>
          </w:p>
          <w:p w14:paraId="63BF54BF">
            <w:pPr>
              <w:snapToGrid w:val="0"/>
              <w:ind w:firstLine="420" w:firstLineChars="200"/>
              <w:rPr>
                <w:rFonts w:ascii="宋体"/>
                <w:color w:val="auto"/>
                <w:highlight w:val="none"/>
              </w:rPr>
            </w:pPr>
            <w:r>
              <w:rPr>
                <w:rFonts w:hint="eastAsia" w:ascii="宋体" w:hAnsi="宋体" w:cs="宋体"/>
                <w:color w:val="auto"/>
                <w:highlight w:val="none"/>
              </w:rPr>
              <w:t>供应商认为磋商文件使自己的权益受到损害的，可以在磋商文件公告期限届满之日起</w:t>
            </w:r>
            <w:r>
              <w:rPr>
                <w:rFonts w:ascii="宋体" w:hAnsi="宋体" w:cs="宋体"/>
                <w:color w:val="auto"/>
                <w:highlight w:val="none"/>
              </w:rPr>
              <w:t>7</w:t>
            </w:r>
            <w:r>
              <w:rPr>
                <w:rFonts w:hint="eastAsia" w:ascii="宋体" w:hAnsi="宋体" w:cs="宋体"/>
                <w:color w:val="auto"/>
                <w:highlight w:val="none"/>
              </w:rPr>
              <w:t>个工作日内，以书面形式向采购人和采购代理机构提出质疑。供应商在法定质疑期内应一次性提出针对同一采购程序环节的质疑。</w:t>
            </w:r>
          </w:p>
          <w:p w14:paraId="7BCA9679">
            <w:pPr>
              <w:ind w:firstLine="420" w:firstLineChars="200"/>
              <w:jc w:val="left"/>
              <w:rPr>
                <w:rFonts w:ascii="宋体"/>
                <w:color w:val="auto"/>
                <w:highlight w:val="none"/>
              </w:rPr>
            </w:pPr>
            <w:r>
              <w:rPr>
                <w:rFonts w:hint="eastAsia" w:ascii="宋体" w:hAnsi="宋体" w:cs="宋体"/>
                <w:color w:val="auto"/>
                <w:highlight w:val="none"/>
              </w:rPr>
              <w:t>供应商如认为采购过程使自身的合法权益受到损害的，应于各采购程序环节结束之日起七个工作日内以书面形式向采购机构提出质疑；</w:t>
            </w:r>
          </w:p>
          <w:p w14:paraId="0299F93D">
            <w:pPr>
              <w:snapToGrid w:val="0"/>
              <w:ind w:firstLine="420" w:firstLineChars="200"/>
              <w:jc w:val="left"/>
              <w:rPr>
                <w:rFonts w:ascii="宋体"/>
                <w:snapToGrid w:val="0"/>
                <w:color w:val="auto"/>
                <w:kern w:val="0"/>
                <w:highlight w:val="none"/>
              </w:rPr>
            </w:pPr>
            <w:r>
              <w:rPr>
                <w:rFonts w:hint="eastAsia" w:ascii="宋体" w:hAnsi="宋体" w:cs="宋体"/>
                <w:color w:val="auto"/>
                <w:highlight w:val="none"/>
              </w:rPr>
              <w:t>供应商如认为中标结果使自身的合法权益受到损害的，应于中标或者成交结果公告期限届满之日起七个工作日内以书面形式向采购机构提出质疑</w:t>
            </w:r>
            <w:r>
              <w:rPr>
                <w:rFonts w:hint="eastAsia" w:ascii="宋体" w:hAnsi="宋体" w:cs="宋体"/>
                <w:snapToGrid w:val="0"/>
                <w:color w:val="auto"/>
                <w:kern w:val="0"/>
                <w:highlight w:val="none"/>
              </w:rPr>
              <w:t>。</w:t>
            </w:r>
          </w:p>
        </w:tc>
      </w:tr>
      <w:tr w14:paraId="1AFBAF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4069977">
            <w:pPr>
              <w:snapToGrid w:val="0"/>
              <w:jc w:val="center"/>
              <w:rPr>
                <w:rFonts w:ascii="宋体"/>
                <w:snapToGrid w:val="0"/>
                <w:color w:val="auto"/>
                <w:kern w:val="0"/>
                <w:highlight w:val="none"/>
              </w:rPr>
            </w:pPr>
            <w:r>
              <w:rPr>
                <w:rFonts w:ascii="宋体" w:hAnsi="宋体" w:cs="宋体"/>
                <w:snapToGrid w:val="0"/>
                <w:color w:val="auto"/>
                <w:kern w:val="0"/>
                <w:highlight w:val="none"/>
              </w:rPr>
              <w:t>16</w:t>
            </w:r>
          </w:p>
        </w:tc>
        <w:tc>
          <w:tcPr>
            <w:tcW w:w="1856" w:type="dxa"/>
            <w:vAlign w:val="center"/>
          </w:tcPr>
          <w:p w14:paraId="29AD17CD">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投诉</w:t>
            </w:r>
          </w:p>
        </w:tc>
        <w:tc>
          <w:tcPr>
            <w:tcW w:w="6700" w:type="dxa"/>
            <w:vAlign w:val="center"/>
          </w:tcPr>
          <w:p w14:paraId="54FD12BC">
            <w:pPr>
              <w:snapToGrid w:val="0"/>
              <w:ind w:firstLine="420" w:firstLineChars="200"/>
              <w:jc w:val="left"/>
              <w:rPr>
                <w:rFonts w:ascii="宋体"/>
                <w:snapToGrid w:val="0"/>
                <w:color w:val="auto"/>
                <w:kern w:val="0"/>
                <w:highlight w:val="none"/>
              </w:rPr>
            </w:pPr>
            <w:r>
              <w:rPr>
                <w:rFonts w:hint="eastAsia" w:ascii="宋体" w:hAnsi="宋体" w:cs="宋体"/>
                <w:snapToGrid w:val="0"/>
                <w:color w:val="auto"/>
                <w:kern w:val="0"/>
                <w:highlight w:val="none"/>
              </w:rPr>
              <w:t>根据《中华人民共和国政府采购法》第五十五条的规定，质疑供应商对采购人、招标代理机构的答复不满意或者采购人、招标代理机构未在规定的时间内作出答复的，可以在答复期满后十五个工作日内向同级政府采购监督管理部门投诉。</w:t>
            </w:r>
          </w:p>
        </w:tc>
      </w:tr>
      <w:tr w14:paraId="63D434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A4EF421">
            <w:pPr>
              <w:snapToGrid w:val="0"/>
              <w:jc w:val="center"/>
              <w:rPr>
                <w:rFonts w:ascii="宋体"/>
                <w:snapToGrid w:val="0"/>
                <w:color w:val="auto"/>
                <w:kern w:val="0"/>
                <w:highlight w:val="none"/>
              </w:rPr>
            </w:pPr>
            <w:r>
              <w:rPr>
                <w:rFonts w:ascii="宋体" w:hAnsi="宋体" w:cs="宋体"/>
                <w:snapToGrid w:val="0"/>
                <w:color w:val="auto"/>
                <w:kern w:val="0"/>
                <w:highlight w:val="none"/>
              </w:rPr>
              <w:t>17</w:t>
            </w:r>
          </w:p>
        </w:tc>
        <w:tc>
          <w:tcPr>
            <w:tcW w:w="1856" w:type="dxa"/>
            <w:vAlign w:val="center"/>
          </w:tcPr>
          <w:p w14:paraId="3A66B440">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特别说明</w:t>
            </w:r>
          </w:p>
        </w:tc>
        <w:tc>
          <w:tcPr>
            <w:tcW w:w="6700" w:type="dxa"/>
            <w:vAlign w:val="center"/>
          </w:tcPr>
          <w:p w14:paraId="6F154ECA">
            <w:pPr>
              <w:pStyle w:val="15"/>
              <w:snapToGrid w:val="0"/>
              <w:ind w:firstLine="420" w:firstLineChars="200"/>
              <w:jc w:val="left"/>
              <w:rPr>
                <w:rFonts w:hAnsi="宋体" w:cs="Times New Roman"/>
                <w:color w:val="auto"/>
                <w:kern w:val="0"/>
                <w:highlight w:val="none"/>
              </w:rPr>
            </w:pPr>
            <w:r>
              <w:rPr>
                <w:rFonts w:hint="eastAsia" w:hAnsi="宋体"/>
                <w:color w:val="auto"/>
                <w:kern w:val="0"/>
                <w:highlight w:val="none"/>
              </w:rPr>
              <w:t>供应商应无条件的、认真仔细的阅读本磋商文件及其澄清答疑、修改答复的补充文件，严格按照磋商文件及补充文件的规定和要求编制响应文件。在编制响应文件过程中，应严格遵循实事求是、诚信投标的原则，针对磋商文件中的采购需求、合同条款等各项内容进行确认，如有偏离，应如实填写响应偏离表。</w:t>
            </w:r>
          </w:p>
          <w:p w14:paraId="05F52118">
            <w:pPr>
              <w:pStyle w:val="15"/>
              <w:snapToGrid w:val="0"/>
              <w:ind w:firstLine="420" w:firstLineChars="200"/>
              <w:jc w:val="left"/>
              <w:rPr>
                <w:rFonts w:hAnsi="宋体" w:cs="Times New Roman"/>
                <w:color w:val="auto"/>
                <w:kern w:val="0"/>
                <w:highlight w:val="none"/>
              </w:rPr>
            </w:pPr>
            <w:r>
              <w:rPr>
                <w:rFonts w:hint="eastAsia" w:hAnsi="宋体"/>
                <w:color w:val="auto"/>
                <w:kern w:val="0"/>
                <w:highlight w:val="none"/>
              </w:rPr>
              <w:t>该项目结果公告期间，供应商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14:paraId="4D3FEB73">
            <w:pPr>
              <w:pStyle w:val="15"/>
              <w:snapToGrid w:val="0"/>
              <w:ind w:firstLine="420" w:firstLineChars="200"/>
              <w:jc w:val="left"/>
              <w:rPr>
                <w:rFonts w:hAnsi="宋体" w:cs="Times New Roman"/>
                <w:color w:val="auto"/>
                <w:kern w:val="0"/>
                <w:highlight w:val="none"/>
              </w:rPr>
            </w:pPr>
            <w:r>
              <w:rPr>
                <w:rFonts w:hint="eastAsia" w:hAnsi="宋体"/>
                <w:color w:val="auto"/>
                <w:kern w:val="0"/>
                <w:highlight w:val="none"/>
              </w:rPr>
              <w:t>质疑、投诉人未按前列进行质疑、投诉（申诉），均属于扰乱政府采购市场不良行为。</w:t>
            </w:r>
          </w:p>
          <w:p w14:paraId="48CE2581">
            <w:pPr>
              <w:pStyle w:val="15"/>
              <w:snapToGrid w:val="0"/>
              <w:ind w:firstLine="420" w:firstLineChars="200"/>
              <w:jc w:val="left"/>
              <w:rPr>
                <w:rFonts w:hAnsi="宋体" w:cs="Times New Roman"/>
                <w:b/>
                <w:bCs/>
                <w:color w:val="auto"/>
                <w:kern w:val="0"/>
                <w:highlight w:val="none"/>
              </w:rPr>
            </w:pPr>
            <w:r>
              <w:rPr>
                <w:rFonts w:hint="eastAsia" w:hAnsi="宋体"/>
                <w:color w:val="auto"/>
                <w:kern w:val="0"/>
                <w:highlight w:val="none"/>
              </w:rPr>
              <w:t>磋商文件中凡标注“</w:t>
            </w:r>
            <w:r>
              <w:rPr>
                <w:rFonts w:hint="eastAsia" w:hAnsi="宋体"/>
                <w:color w:val="auto"/>
                <w:highlight w:val="none"/>
              </w:rPr>
              <w:t>★</w:t>
            </w:r>
            <w:r>
              <w:rPr>
                <w:rFonts w:hint="eastAsia" w:hAnsi="宋体"/>
                <w:color w:val="auto"/>
                <w:kern w:val="0"/>
                <w:highlight w:val="none"/>
              </w:rPr>
              <w:t>”的条款均为实质性要求，不响应的响应文件将作无效标处理。</w:t>
            </w:r>
          </w:p>
        </w:tc>
      </w:tr>
      <w:tr w14:paraId="3F8402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648" w:type="dxa"/>
            <w:vAlign w:val="center"/>
          </w:tcPr>
          <w:p w14:paraId="2CE363FC">
            <w:pPr>
              <w:snapToGrid w:val="0"/>
              <w:jc w:val="center"/>
              <w:rPr>
                <w:rFonts w:ascii="宋体"/>
                <w:snapToGrid w:val="0"/>
                <w:color w:val="auto"/>
                <w:kern w:val="0"/>
                <w:highlight w:val="none"/>
              </w:rPr>
            </w:pPr>
            <w:r>
              <w:rPr>
                <w:rFonts w:ascii="宋体" w:hAnsi="宋体" w:cs="宋体"/>
                <w:snapToGrid w:val="0"/>
                <w:color w:val="auto"/>
                <w:kern w:val="0"/>
                <w:highlight w:val="none"/>
              </w:rPr>
              <w:t>1</w:t>
            </w:r>
            <w:r>
              <w:rPr>
                <w:rFonts w:hint="eastAsia" w:ascii="宋体" w:hAnsi="宋体" w:cs="宋体"/>
                <w:snapToGrid w:val="0"/>
                <w:color w:val="auto"/>
                <w:kern w:val="0"/>
                <w:highlight w:val="none"/>
              </w:rPr>
              <w:t>8</w:t>
            </w:r>
          </w:p>
        </w:tc>
        <w:tc>
          <w:tcPr>
            <w:tcW w:w="1856" w:type="dxa"/>
            <w:vAlign w:val="center"/>
          </w:tcPr>
          <w:p w14:paraId="6022CA3B">
            <w:pPr>
              <w:snapToGrid w:val="0"/>
              <w:jc w:val="center"/>
              <w:rPr>
                <w:rFonts w:ascii="宋体"/>
                <w:color w:val="auto"/>
                <w:highlight w:val="none"/>
              </w:rPr>
            </w:pPr>
            <w:r>
              <w:rPr>
                <w:rFonts w:hint="eastAsia" w:ascii="宋体" w:hAnsi="宋体" w:cs="宋体"/>
                <w:color w:val="auto"/>
                <w:highlight w:val="none"/>
              </w:rPr>
              <w:t>支</w:t>
            </w:r>
          </w:p>
          <w:p w14:paraId="25D379DF">
            <w:pPr>
              <w:snapToGrid w:val="0"/>
              <w:jc w:val="center"/>
              <w:rPr>
                <w:rFonts w:ascii="宋体"/>
                <w:color w:val="auto"/>
                <w:highlight w:val="none"/>
              </w:rPr>
            </w:pPr>
            <w:r>
              <w:rPr>
                <w:rFonts w:hint="eastAsia" w:ascii="宋体" w:hAnsi="宋体" w:cs="宋体"/>
                <w:color w:val="auto"/>
                <w:highlight w:val="none"/>
              </w:rPr>
              <w:t>持</w:t>
            </w:r>
          </w:p>
          <w:p w14:paraId="69F49499">
            <w:pPr>
              <w:snapToGrid w:val="0"/>
              <w:jc w:val="center"/>
              <w:rPr>
                <w:rFonts w:ascii="宋体"/>
                <w:color w:val="auto"/>
                <w:highlight w:val="none"/>
              </w:rPr>
            </w:pPr>
            <w:r>
              <w:rPr>
                <w:rFonts w:hint="eastAsia" w:ascii="宋体" w:hAnsi="宋体" w:cs="宋体"/>
                <w:color w:val="auto"/>
                <w:highlight w:val="none"/>
              </w:rPr>
              <w:t>中</w:t>
            </w:r>
          </w:p>
          <w:p w14:paraId="0521002B">
            <w:pPr>
              <w:snapToGrid w:val="0"/>
              <w:jc w:val="center"/>
              <w:rPr>
                <w:rFonts w:ascii="宋体"/>
                <w:color w:val="auto"/>
                <w:highlight w:val="none"/>
              </w:rPr>
            </w:pPr>
            <w:r>
              <w:rPr>
                <w:rFonts w:hint="eastAsia" w:ascii="宋体" w:hAnsi="宋体" w:cs="宋体"/>
                <w:color w:val="auto"/>
                <w:highlight w:val="none"/>
              </w:rPr>
              <w:t>小</w:t>
            </w:r>
          </w:p>
          <w:p w14:paraId="20A8BDA8">
            <w:pPr>
              <w:snapToGrid w:val="0"/>
              <w:jc w:val="center"/>
              <w:rPr>
                <w:rFonts w:ascii="宋体"/>
                <w:color w:val="auto"/>
                <w:highlight w:val="none"/>
              </w:rPr>
            </w:pPr>
            <w:r>
              <w:rPr>
                <w:rFonts w:hint="eastAsia" w:ascii="宋体" w:hAnsi="宋体" w:cs="宋体"/>
                <w:color w:val="auto"/>
                <w:highlight w:val="none"/>
              </w:rPr>
              <w:t>企</w:t>
            </w:r>
          </w:p>
          <w:p w14:paraId="0DD78869">
            <w:pPr>
              <w:snapToGrid w:val="0"/>
              <w:jc w:val="center"/>
              <w:rPr>
                <w:rFonts w:ascii="宋体"/>
                <w:color w:val="auto"/>
                <w:highlight w:val="none"/>
              </w:rPr>
            </w:pPr>
            <w:r>
              <w:rPr>
                <w:rFonts w:hint="eastAsia" w:ascii="宋体" w:hAnsi="宋体" w:cs="宋体"/>
                <w:color w:val="auto"/>
                <w:highlight w:val="none"/>
              </w:rPr>
              <w:t>业</w:t>
            </w:r>
          </w:p>
          <w:p w14:paraId="3DDEC513">
            <w:pPr>
              <w:snapToGrid w:val="0"/>
              <w:jc w:val="center"/>
              <w:rPr>
                <w:rFonts w:ascii="宋体"/>
                <w:color w:val="auto"/>
                <w:highlight w:val="none"/>
              </w:rPr>
            </w:pPr>
          </w:p>
        </w:tc>
        <w:tc>
          <w:tcPr>
            <w:tcW w:w="6700" w:type="dxa"/>
            <w:vAlign w:val="center"/>
          </w:tcPr>
          <w:p w14:paraId="004EF109">
            <w:pPr>
              <w:snapToGrid w:val="0"/>
              <w:ind w:firstLine="420" w:firstLineChars="200"/>
              <w:rPr>
                <w:rFonts w:ascii="宋体" w:hAnsi="宋体" w:cs="宋体"/>
                <w:color w:val="auto"/>
                <w:highlight w:val="none"/>
              </w:rPr>
            </w:pPr>
            <w:r>
              <w:rPr>
                <w:rFonts w:hint="eastAsia" w:ascii="宋体" w:hAnsi="宋体" w:cs="宋体"/>
                <w:color w:val="auto"/>
                <w:highlight w:val="none"/>
              </w:rPr>
              <w:t>小微企业是指在中华人民共和国境内依法设立，依据国务院批准的中小企业划分标准确定的小型企业和微型企业，但与大企业的负责人为同一人，或者与大企业存在直接控股、管理关系的除外。</w:t>
            </w:r>
          </w:p>
          <w:p w14:paraId="67C8F58A">
            <w:pPr>
              <w:ind w:firstLine="420" w:firstLineChars="200"/>
              <w:rPr>
                <w:rFonts w:ascii="宋体" w:hAnsi="宋体" w:cs="宋体"/>
                <w:color w:val="auto"/>
                <w:highlight w:val="none"/>
              </w:rPr>
            </w:pPr>
            <w:r>
              <w:rPr>
                <w:rFonts w:hint="eastAsia" w:ascii="宋体" w:hAnsi="宋体" w:cs="宋体"/>
                <w:color w:val="auto"/>
                <w:highlight w:val="none"/>
              </w:rPr>
              <w:t>符合中小企业划分标准的个体工商户，在政府采购活动中视同中小企业。</w:t>
            </w:r>
          </w:p>
          <w:p w14:paraId="42689769">
            <w:pPr>
              <w:snapToGrid w:val="0"/>
              <w:ind w:firstLine="420" w:firstLineChars="200"/>
              <w:rPr>
                <w:color w:val="auto"/>
              </w:rPr>
            </w:pPr>
            <w:r>
              <w:rPr>
                <w:rFonts w:hint="eastAsia"/>
                <w:color w:val="auto"/>
              </w:rPr>
              <w:t>在货物采购项目中，货物由小微企业制造，即货物由小微企业生产且使用该小微企业商号或者注册商标。供应商提供的货物既有中小企业制造货物，也有大型企业制造货物的，不享受中小企业扶持政策。</w:t>
            </w:r>
          </w:p>
          <w:p w14:paraId="4F66FF82">
            <w:pPr>
              <w:snapToGrid w:val="0"/>
              <w:ind w:firstLine="420" w:firstLineChars="200"/>
              <w:rPr>
                <w:color w:val="auto"/>
              </w:rPr>
            </w:pPr>
            <w:r>
              <w:rPr>
                <w:color w:val="auto"/>
              </w:rPr>
              <w:t>在服务采购项目中，服务由小微企业承接，即提供服务的人员为小微企业依照《中华人民共和国劳动合同法》订立劳动合同的从业人员。</w:t>
            </w:r>
          </w:p>
          <w:p w14:paraId="0BFE321B">
            <w:pPr>
              <w:bidi w:val="0"/>
              <w:ind w:firstLine="420" w:firstLineChars="200"/>
              <w:rPr>
                <w:color w:val="auto"/>
              </w:rPr>
            </w:pPr>
            <w:bookmarkStart w:id="10" w:name="_Toc16526"/>
            <w:r>
              <w:rPr>
                <w:rFonts w:hint="eastAsia"/>
                <w:color w:val="auto"/>
              </w:rPr>
              <w:t>联合体各方均为小型、微型企业的，联合体视同为小型、微型企业。</w:t>
            </w:r>
            <w:bookmarkEnd w:id="10"/>
          </w:p>
          <w:p w14:paraId="5F02D60C">
            <w:pPr>
              <w:snapToGrid w:val="0"/>
              <w:ind w:firstLine="420" w:firstLineChars="200"/>
              <w:rPr>
                <w:rFonts w:ascii="宋体" w:hAnsi="宋体" w:cs="宋体"/>
                <w:color w:val="auto"/>
                <w:highlight w:val="none"/>
              </w:rPr>
            </w:pPr>
            <w:r>
              <w:rPr>
                <w:rFonts w:hint="eastAsia" w:ascii="宋体" w:hAnsi="宋体" w:cs="宋体"/>
                <w:color w:val="auto"/>
                <w:highlight w:val="none"/>
              </w:rPr>
              <w:t>符合上述条件的中小微型企业应按照招标文件附件的格式要求提供《中小企业声明函》。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w:t>
            </w:r>
            <w:r>
              <w:rPr>
                <w:rFonts w:hint="eastAsia" w:ascii="宋体" w:hAnsi="宋体" w:eastAsia="宋体" w:cs="宋体"/>
                <w:snapToGrid w:val="0"/>
                <w:color w:val="auto"/>
                <w:kern w:val="0"/>
                <w:highlight w:val="none"/>
              </w:rPr>
              <w:t>省级</w:t>
            </w:r>
            <w:r>
              <w:rPr>
                <w:rFonts w:hint="eastAsia" w:ascii="宋体" w:hAnsi="宋体" w:cs="宋体"/>
                <w:color w:val="auto"/>
                <w:highlight w:val="none"/>
              </w:rPr>
              <w:t>以上监狱管理局、戒毒管理局（含新疆生产建设兵团）出具的属于监狱企业证明文件的，视同为小型和微型企业。</w:t>
            </w:r>
          </w:p>
          <w:p w14:paraId="7C9D7A33">
            <w:pPr>
              <w:snapToGrid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财政部</w:t>
            </w:r>
            <w:r>
              <w:rPr>
                <w:rFonts w:hint="eastAsia" w:ascii="宋体" w:hAnsi="宋体" w:eastAsia="宋体" w:cs="宋体"/>
                <w:color w:val="auto"/>
                <w:sz w:val="21"/>
                <w:szCs w:val="21"/>
                <w:highlight w:val="none"/>
              </w:rPr>
              <w:t>的《关于进一步加大政府采购支持中小企业力度的通知》（</w:t>
            </w:r>
            <w:r>
              <w:rPr>
                <w:rFonts w:hint="eastAsia" w:ascii="宋体" w:hAnsi="宋体" w:eastAsia="宋体" w:cs="宋体"/>
                <w:color w:val="auto"/>
                <w:sz w:val="21"/>
                <w:szCs w:val="21"/>
                <w:highlight w:val="none"/>
                <w:lang w:val="en-US" w:eastAsia="zh-CN"/>
              </w:rPr>
              <w:t>财库</w:t>
            </w:r>
            <w:r>
              <w:rPr>
                <w:rFonts w:hint="eastAsia" w:ascii="宋体" w:hAnsi="宋体" w:eastAsia="宋体" w:cs="宋体"/>
                <w:color w:val="auto"/>
                <w:sz w:val="21"/>
                <w:szCs w:val="21"/>
                <w:highlight w:val="none"/>
              </w:rPr>
              <w:t>〔2022〕</w:t>
            </w:r>
            <w:r>
              <w:rPr>
                <w:rFonts w:hint="eastAsia" w:ascii="宋体" w:hAnsi="宋体" w:eastAsia="宋体" w:cs="宋体"/>
                <w:snapToGrid w:val="0"/>
                <w:color w:val="auto"/>
                <w:kern w:val="0"/>
                <w:highlight w:val="none"/>
                <w:lang w:val="en-US" w:eastAsia="zh-CN"/>
              </w:rPr>
              <w:t>19</w:t>
            </w:r>
            <w:r>
              <w:rPr>
                <w:rFonts w:hint="eastAsia" w:ascii="宋体" w:hAnsi="宋体" w:eastAsia="宋体" w:cs="宋体"/>
                <w:color w:val="auto"/>
                <w:sz w:val="21"/>
                <w:szCs w:val="21"/>
                <w:highlight w:val="none"/>
              </w:rPr>
              <w:t>号）规定，货物和服务项目中未预留份额专门面向中小企业采购的，以及预留份额项目中的非预留部分采购包，采购单位、采购代理机构应结合项目实际，对符合规定的小微企业报价按</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给予扣除，用扣除后的价格参加评审；对于联合协议或者分包意向协议约定小微企业的合同份额占到合同总金额30%以上的，采购单位、采购代理机构应结合项目实际，对联合体或者大中型企业的报价按</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给予扣除，用扣除后的价格参加评审。</w:t>
            </w:r>
          </w:p>
          <w:p w14:paraId="7A4CA9B3">
            <w:pPr>
              <w:snapToGrid w:val="0"/>
              <w:ind w:firstLine="420" w:firstLineChars="200"/>
              <w:rPr>
                <w:rFonts w:ascii="宋体"/>
                <w:color w:val="auto"/>
                <w:highlight w:val="none"/>
              </w:rPr>
            </w:pPr>
            <w:r>
              <w:rPr>
                <w:rFonts w:hint="eastAsia" w:ascii="宋体" w:hAnsi="宋体" w:eastAsia="宋体" w:cs="宋体"/>
                <w:color w:val="auto"/>
                <w:sz w:val="21"/>
                <w:szCs w:val="21"/>
                <w:highlight w:val="none"/>
              </w:rPr>
              <w:t>组成联合体或者接受分包的小微企业与联合体内其他企业、分包企业之间存在直接控股、管理关系的，不享受价格扣除优惠政策。</w:t>
            </w:r>
          </w:p>
        </w:tc>
      </w:tr>
      <w:tr w14:paraId="095DF0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5812D2B9">
            <w:pPr>
              <w:snapToGrid w:val="0"/>
              <w:jc w:val="center"/>
              <w:rPr>
                <w:rFonts w:hint="default" w:ascii="宋体" w:hAnsi="宋体" w:eastAsia="宋体" w:cs="宋体"/>
                <w:snapToGrid w:val="0"/>
                <w:color w:val="auto"/>
                <w:kern w:val="0"/>
                <w:highlight w:val="none"/>
                <w:lang w:val="en-US" w:eastAsia="zh-CN"/>
              </w:rPr>
            </w:pPr>
            <w:r>
              <w:rPr>
                <w:rFonts w:hint="eastAsia" w:ascii="宋体" w:hAnsi="宋体" w:cs="宋体"/>
                <w:snapToGrid w:val="0"/>
                <w:color w:val="auto"/>
                <w:kern w:val="0"/>
                <w:highlight w:val="none"/>
                <w:lang w:val="en-US" w:eastAsia="zh-CN"/>
              </w:rPr>
              <w:t>19</w:t>
            </w:r>
          </w:p>
        </w:tc>
        <w:tc>
          <w:tcPr>
            <w:tcW w:w="1856" w:type="dxa"/>
            <w:vAlign w:val="center"/>
          </w:tcPr>
          <w:p w14:paraId="6BA410AD">
            <w:pPr>
              <w:snapToGrid w:val="0"/>
              <w:jc w:val="center"/>
              <w:rPr>
                <w:rFonts w:ascii="宋体"/>
                <w:color w:val="auto"/>
                <w:highlight w:val="none"/>
              </w:rPr>
            </w:pPr>
            <w:r>
              <w:rPr>
                <w:rFonts w:hint="eastAsia" w:ascii="宋体" w:hAnsi="宋体" w:cs="宋体"/>
                <w:color w:val="auto"/>
                <w:highlight w:val="none"/>
              </w:rPr>
              <w:t>是否允许分包</w:t>
            </w:r>
          </w:p>
        </w:tc>
        <w:tc>
          <w:tcPr>
            <w:tcW w:w="6700" w:type="dxa"/>
            <w:vAlign w:val="center"/>
          </w:tcPr>
          <w:p w14:paraId="55BCB035">
            <w:pPr>
              <w:ind w:firstLine="420" w:firstLineChars="200"/>
              <w:rPr>
                <w:rFonts w:ascii="宋体"/>
                <w:color w:val="auto"/>
                <w:highlight w:val="none"/>
              </w:rPr>
            </w:pPr>
            <w:r>
              <w:rPr>
                <w:rFonts w:hint="eastAsia" w:ascii="宋体" w:hAnsi="宋体" w:cs="宋体"/>
                <w:color w:val="auto"/>
                <w:highlight w:val="none"/>
              </w:rPr>
              <w:t>本项目</w:t>
            </w:r>
            <w:r>
              <w:rPr>
                <w:rFonts w:hint="eastAsia" w:ascii="宋体" w:hAnsi="宋体" w:cs="宋体"/>
                <w:color w:val="auto"/>
                <w:highlight w:val="none"/>
                <w:u w:val="single"/>
              </w:rPr>
              <w:t>不允许</w:t>
            </w:r>
            <w:r>
              <w:rPr>
                <w:rFonts w:hint="eastAsia" w:ascii="宋体" w:hAnsi="宋体" w:cs="宋体"/>
                <w:color w:val="auto"/>
                <w:highlight w:val="none"/>
              </w:rPr>
              <w:t>分包</w:t>
            </w:r>
          </w:p>
        </w:tc>
      </w:tr>
      <w:tr w14:paraId="109B56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Align w:val="center"/>
          </w:tcPr>
          <w:p w14:paraId="3B2C5670">
            <w:pPr>
              <w:snapToGrid w:val="0"/>
              <w:jc w:val="center"/>
              <w:rPr>
                <w:rFonts w:hint="eastAsia" w:ascii="宋体" w:eastAsia="宋体"/>
                <w:snapToGrid w:val="0"/>
                <w:color w:val="auto"/>
                <w:kern w:val="0"/>
                <w:highlight w:val="none"/>
                <w:lang w:eastAsia="zh-CN"/>
              </w:rPr>
            </w:pPr>
            <w:r>
              <w:rPr>
                <w:rFonts w:hint="eastAsia" w:ascii="宋体" w:hAnsi="宋体" w:cs="宋体"/>
                <w:snapToGrid w:val="0"/>
                <w:color w:val="auto"/>
                <w:kern w:val="0"/>
                <w:highlight w:val="none"/>
              </w:rPr>
              <w:t>2</w:t>
            </w:r>
            <w:r>
              <w:rPr>
                <w:rFonts w:hint="eastAsia" w:ascii="宋体" w:hAnsi="宋体" w:cs="宋体"/>
                <w:snapToGrid w:val="0"/>
                <w:color w:val="auto"/>
                <w:kern w:val="0"/>
                <w:highlight w:val="none"/>
                <w:lang w:val="en-US" w:eastAsia="zh-CN"/>
              </w:rPr>
              <w:t>0</w:t>
            </w:r>
          </w:p>
        </w:tc>
        <w:tc>
          <w:tcPr>
            <w:tcW w:w="1856" w:type="dxa"/>
            <w:tcBorders>
              <w:top w:val="single" w:color="auto" w:sz="4" w:space="0"/>
            </w:tcBorders>
            <w:vAlign w:val="center"/>
          </w:tcPr>
          <w:p w14:paraId="7EC30633">
            <w:pPr>
              <w:snapToGrid w:val="0"/>
              <w:jc w:val="center"/>
              <w:rPr>
                <w:rFonts w:ascii="宋体"/>
                <w:color w:val="auto"/>
                <w:highlight w:val="none"/>
              </w:rPr>
            </w:pPr>
            <w:r>
              <w:rPr>
                <w:rFonts w:hint="eastAsia" w:ascii="宋体" w:hAnsi="宋体" w:cs="宋体"/>
                <w:color w:val="auto"/>
                <w:highlight w:val="none"/>
              </w:rPr>
              <w:t>是否提供演示</w:t>
            </w:r>
          </w:p>
        </w:tc>
        <w:tc>
          <w:tcPr>
            <w:tcW w:w="6700" w:type="dxa"/>
            <w:tcBorders>
              <w:top w:val="single" w:color="auto" w:sz="4" w:space="0"/>
            </w:tcBorders>
            <w:vAlign w:val="center"/>
          </w:tcPr>
          <w:p w14:paraId="28630C04">
            <w:pPr>
              <w:ind w:firstLine="420" w:firstLineChars="200"/>
              <w:rPr>
                <w:color w:val="auto"/>
              </w:rPr>
            </w:pPr>
            <w:r>
              <w:rPr>
                <w:rFonts w:hint="eastAsia" w:ascii="宋体" w:hAnsi="宋体" w:cs="宋体"/>
                <w:color w:val="auto"/>
                <w:highlight w:val="none"/>
              </w:rPr>
              <w:t>本项目</w:t>
            </w:r>
            <w:r>
              <w:rPr>
                <w:rFonts w:hint="eastAsia" w:ascii="宋体" w:hAnsi="宋体" w:cs="宋体"/>
                <w:color w:val="auto"/>
                <w:highlight w:val="none"/>
                <w:u w:val="single"/>
                <w:lang w:val="en-US" w:eastAsia="zh-CN"/>
              </w:rPr>
              <w:t>不</w:t>
            </w:r>
            <w:r>
              <w:rPr>
                <w:rFonts w:hint="eastAsia" w:ascii="宋体" w:hAnsi="宋体" w:cs="宋体"/>
                <w:color w:val="auto"/>
                <w:highlight w:val="none"/>
                <w:u w:val="single"/>
              </w:rPr>
              <w:t>需要</w:t>
            </w:r>
            <w:r>
              <w:rPr>
                <w:rFonts w:hint="eastAsia" w:ascii="宋体" w:hAnsi="宋体" w:cs="宋体"/>
                <w:color w:val="auto"/>
                <w:highlight w:val="none"/>
              </w:rPr>
              <w:t>提供演示。</w:t>
            </w:r>
          </w:p>
        </w:tc>
      </w:tr>
      <w:tr w14:paraId="2049B9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Merge w:val="restart"/>
            <w:vAlign w:val="center"/>
          </w:tcPr>
          <w:p w14:paraId="33E326C8">
            <w:pPr>
              <w:snapToGrid w:val="0"/>
              <w:jc w:val="center"/>
              <w:rPr>
                <w:rFonts w:hint="default" w:ascii="宋体" w:hAnsi="宋体" w:eastAsia="宋体" w:cs="宋体"/>
                <w:snapToGrid w:val="0"/>
                <w:color w:val="auto"/>
                <w:kern w:val="0"/>
                <w:highlight w:val="none"/>
                <w:lang w:val="en-US" w:eastAsia="zh-CN"/>
              </w:rPr>
            </w:pPr>
            <w:r>
              <w:rPr>
                <w:rFonts w:hint="eastAsia" w:ascii="宋体" w:hAnsi="宋体" w:cs="宋体"/>
                <w:snapToGrid w:val="0"/>
                <w:color w:val="auto"/>
                <w:kern w:val="0"/>
                <w:highlight w:val="none"/>
                <w:lang w:val="en-US" w:eastAsia="zh-CN"/>
              </w:rPr>
              <w:t>21</w:t>
            </w:r>
          </w:p>
        </w:tc>
        <w:tc>
          <w:tcPr>
            <w:tcW w:w="1856" w:type="dxa"/>
            <w:vMerge w:val="restart"/>
            <w:tcBorders>
              <w:top w:val="single" w:color="auto" w:sz="4" w:space="0"/>
            </w:tcBorders>
            <w:vAlign w:val="center"/>
          </w:tcPr>
          <w:p w14:paraId="7AD91A85">
            <w:pPr>
              <w:snapToGrid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lang w:val="en-US" w:eastAsia="zh-CN"/>
              </w:rPr>
              <w:t>预付款</w:t>
            </w:r>
          </w:p>
          <w:p w14:paraId="46F7F1DE">
            <w:pPr>
              <w:snapToGrid w:val="0"/>
              <w:jc w:val="center"/>
              <w:rPr>
                <w:rFonts w:hint="eastAsia" w:ascii="宋体" w:hAnsi="宋体" w:cs="宋体"/>
                <w:color w:val="auto"/>
                <w:highlight w:val="none"/>
              </w:rPr>
            </w:pPr>
          </w:p>
        </w:tc>
        <w:tc>
          <w:tcPr>
            <w:tcW w:w="6700" w:type="dxa"/>
            <w:tcBorders>
              <w:top w:val="single" w:color="auto" w:sz="4" w:space="0"/>
            </w:tcBorders>
            <w:vAlign w:val="center"/>
          </w:tcPr>
          <w:p w14:paraId="4EC6C92B">
            <w:pPr>
              <w:tabs>
                <w:tab w:val="left" w:pos="256"/>
              </w:tabs>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Cs w:val="21"/>
                <w:highlight w:val="none"/>
              </w:rPr>
              <w:t>本项目涉及预付款</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预付款比例为</w:t>
            </w:r>
            <w:r>
              <w:rPr>
                <w:rFonts w:hint="eastAsia" w:ascii="宋体" w:hAnsi="宋体" w:cs="宋体"/>
                <w:color w:val="auto"/>
                <w:szCs w:val="21"/>
                <w:highlight w:val="none"/>
                <w:u w:val="single"/>
                <w:lang w:val="en-US" w:eastAsia="zh-CN"/>
              </w:rPr>
              <w:t>20%</w:t>
            </w:r>
            <w:r>
              <w:rPr>
                <w:rFonts w:hint="eastAsia" w:ascii="宋体" w:hAnsi="宋体" w:cs="宋体"/>
                <w:color w:val="auto"/>
                <w:szCs w:val="21"/>
                <w:highlight w:val="none"/>
              </w:rPr>
              <w:t>。</w:t>
            </w:r>
          </w:p>
        </w:tc>
      </w:tr>
      <w:tr w14:paraId="3BEA40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Merge w:val="continue"/>
            <w:vAlign w:val="center"/>
          </w:tcPr>
          <w:p w14:paraId="7BF3D24F">
            <w:pPr>
              <w:snapToGrid w:val="0"/>
              <w:jc w:val="center"/>
              <w:rPr>
                <w:rFonts w:hint="eastAsia" w:ascii="宋体" w:hAnsi="宋体" w:cs="宋体"/>
                <w:snapToGrid w:val="0"/>
                <w:color w:val="auto"/>
                <w:kern w:val="0"/>
                <w:highlight w:val="none"/>
              </w:rPr>
            </w:pPr>
          </w:p>
        </w:tc>
        <w:tc>
          <w:tcPr>
            <w:tcW w:w="1856" w:type="dxa"/>
            <w:vMerge w:val="continue"/>
            <w:vAlign w:val="center"/>
          </w:tcPr>
          <w:p w14:paraId="58ECFA01">
            <w:pPr>
              <w:snapToGrid w:val="0"/>
              <w:jc w:val="center"/>
              <w:rPr>
                <w:rFonts w:hint="eastAsia" w:ascii="宋体" w:hAnsi="宋体" w:cs="宋体"/>
                <w:color w:val="auto"/>
                <w:highlight w:val="none"/>
              </w:rPr>
            </w:pPr>
          </w:p>
        </w:tc>
        <w:tc>
          <w:tcPr>
            <w:tcW w:w="6700" w:type="dxa"/>
            <w:tcBorders>
              <w:top w:val="single" w:color="auto" w:sz="4" w:space="0"/>
            </w:tcBorders>
            <w:vAlign w:val="center"/>
          </w:tcPr>
          <w:p w14:paraId="4346EFDF">
            <w:pPr>
              <w:snapToGrid w:val="0"/>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根据《浙江省财政厅关于进一步发挥政府采购政策功能全力推动经济稳进提质的通知》[浙财采监〔2022）3号]文件第二条第五点关于“进一步提高政府采购预付款比例”的规定：</w:t>
            </w:r>
          </w:p>
          <w:p w14:paraId="12E15EA9">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1、采购单位应当在政府采购合同中约定预付款；</w:t>
            </w:r>
          </w:p>
          <w:p w14:paraId="4C5151FC">
            <w:pPr>
              <w:snapToGrid w:val="0"/>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项目涉及中小企业合同预付款的，合同签订后，采购人可以根据项目特点、供应商诚信等因素要求中标人提交银行、保险公司等金融机构出具的预付款保函或其他担保措施，采购人在合同生效以及具备实施条件后7个工作日内向中标人支付40%-70%的合同款作为预付款（项目为分年安排预算的，预付款按年度计划支付资金额的上述比例执行）；项目如以人工投入为主，采购人在合同生效以及具备实施条件后7个工作日内向中标人支付20%-70%的合同款作为预付款。</w:t>
            </w:r>
          </w:p>
          <w:p w14:paraId="7D52DC87">
            <w:pPr>
              <w:snapToGrid w:val="0"/>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3、本项目涉及投标人为大型企业，或者以人工投入为主且实行按月定期结算支付款项的，预付款可低于上述比例或者不约定预付款（相应字样应在合同中体现）。</w:t>
            </w:r>
          </w:p>
          <w:p w14:paraId="5CA95B98">
            <w:pPr>
              <w:snapToGrid w:val="0"/>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highlight w:val="none"/>
                <w:lang w:val="en-US" w:eastAsia="zh-CN"/>
              </w:rPr>
              <w:t>4、在签订合同时，中标人明确表示无需预付款或者主动要求降低预付款比例的，应提交相应申请函经采购人确认后，可不适用前述规定。</w:t>
            </w:r>
          </w:p>
        </w:tc>
      </w:tr>
      <w:tr w14:paraId="15A74F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Align w:val="center"/>
          </w:tcPr>
          <w:p w14:paraId="06A96761">
            <w:pPr>
              <w:snapToGrid w:val="0"/>
              <w:jc w:val="center"/>
              <w:rPr>
                <w:rFonts w:hint="default" w:ascii="宋体" w:hAnsi="宋体" w:eastAsia="宋体" w:cs="宋体"/>
                <w:snapToGrid w:val="0"/>
                <w:color w:val="auto"/>
                <w:kern w:val="0"/>
                <w:highlight w:val="none"/>
                <w:lang w:val="en-US" w:eastAsia="zh-CN"/>
              </w:rPr>
            </w:pPr>
            <w:r>
              <w:rPr>
                <w:rFonts w:hint="eastAsia" w:ascii="宋体" w:hAnsi="宋体" w:cs="宋体"/>
                <w:snapToGrid w:val="0"/>
                <w:color w:val="auto"/>
                <w:kern w:val="0"/>
                <w:highlight w:val="none"/>
                <w:lang w:val="en-US" w:eastAsia="zh-CN"/>
              </w:rPr>
              <w:t>22</w:t>
            </w:r>
          </w:p>
        </w:tc>
        <w:tc>
          <w:tcPr>
            <w:tcW w:w="1856" w:type="dxa"/>
            <w:vAlign w:val="center"/>
          </w:tcPr>
          <w:p w14:paraId="2460035A">
            <w:pPr>
              <w:snapToGrid w:val="0"/>
              <w:jc w:val="center"/>
              <w:rPr>
                <w:rFonts w:hint="eastAsia" w:ascii="宋体" w:hAnsi="宋体" w:cs="宋体"/>
                <w:color w:val="auto"/>
                <w:highlight w:val="none"/>
              </w:rPr>
            </w:pPr>
            <w:r>
              <w:rPr>
                <w:rFonts w:hint="eastAsia" w:ascii="宋体" w:hAnsi="宋体" w:cs="宋体"/>
                <w:color w:val="auto"/>
                <w:highlight w:val="none"/>
              </w:rPr>
              <w:t>招标代理服务费</w:t>
            </w:r>
          </w:p>
        </w:tc>
        <w:tc>
          <w:tcPr>
            <w:tcW w:w="6700" w:type="dxa"/>
            <w:tcBorders>
              <w:top w:val="single" w:color="auto" w:sz="4" w:space="0"/>
            </w:tcBorders>
            <w:vAlign w:val="center"/>
          </w:tcPr>
          <w:p w14:paraId="2B0DFFEB">
            <w:pPr>
              <w:autoSpaceDN w:val="0"/>
              <w:spacing w:line="34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招标代理服务费由成交供应商支付，按下列服务招标差额定率累进法计算方式计取。</w:t>
            </w:r>
          </w:p>
          <w:tbl>
            <w:tblPr>
              <w:tblStyle w:val="26"/>
              <w:tblW w:w="6105"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109"/>
              <w:gridCol w:w="1009"/>
              <w:gridCol w:w="1009"/>
              <w:gridCol w:w="978"/>
            </w:tblGrid>
            <w:tr w14:paraId="01FF879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3109" w:type="dxa"/>
                  <w:tcBorders>
                    <w:top w:val="outset" w:color="auto" w:sz="6" w:space="0"/>
                    <w:left w:val="outset" w:color="auto" w:sz="6" w:space="0"/>
                    <w:bottom w:val="outset" w:color="auto" w:sz="6" w:space="0"/>
                    <w:right w:val="outset" w:color="auto" w:sz="6" w:space="0"/>
                  </w:tcBorders>
                  <w:vAlign w:val="center"/>
                </w:tcPr>
                <w:p w14:paraId="43B9E4D0">
                  <w:pPr>
                    <w:jc w:val="center"/>
                    <w:rPr>
                      <w:rFonts w:ascii="宋体" w:hAnsi="宋体" w:cs="宋体"/>
                      <w:color w:val="auto"/>
                      <w:highlight w:val="none"/>
                    </w:rPr>
                  </w:pPr>
                  <w:r>
                    <w:rPr>
                      <w:rFonts w:hint="eastAsia" w:ascii="宋体" w:hAnsi="宋体" w:cs="宋体"/>
                      <w:color w:val="auto"/>
                      <w:highlight w:val="none"/>
                    </w:rPr>
                    <w:t>服务类型 中标金额（万元）</w:t>
                  </w:r>
                </w:p>
              </w:tc>
              <w:tc>
                <w:tcPr>
                  <w:tcW w:w="1009" w:type="dxa"/>
                  <w:tcBorders>
                    <w:top w:val="outset" w:color="auto" w:sz="6" w:space="0"/>
                    <w:left w:val="outset" w:color="auto" w:sz="6" w:space="0"/>
                    <w:bottom w:val="outset" w:color="auto" w:sz="6" w:space="0"/>
                    <w:right w:val="outset" w:color="auto" w:sz="6" w:space="0"/>
                  </w:tcBorders>
                  <w:vAlign w:val="center"/>
                </w:tcPr>
                <w:p w14:paraId="5E500A13">
                  <w:pPr>
                    <w:pStyle w:val="25"/>
                    <w:jc w:val="center"/>
                    <w:rPr>
                      <w:color w:val="auto"/>
                      <w:sz w:val="21"/>
                      <w:szCs w:val="21"/>
                      <w:highlight w:val="none"/>
                    </w:rPr>
                  </w:pPr>
                  <w:r>
                    <w:rPr>
                      <w:rFonts w:hint="eastAsia"/>
                      <w:color w:val="auto"/>
                      <w:sz w:val="21"/>
                      <w:szCs w:val="21"/>
                      <w:highlight w:val="none"/>
                    </w:rPr>
                    <w:t>货物招标</w:t>
                  </w:r>
                </w:p>
              </w:tc>
              <w:tc>
                <w:tcPr>
                  <w:tcW w:w="1009" w:type="dxa"/>
                  <w:tcBorders>
                    <w:top w:val="outset" w:color="auto" w:sz="6" w:space="0"/>
                    <w:left w:val="outset" w:color="auto" w:sz="6" w:space="0"/>
                    <w:bottom w:val="outset" w:color="auto" w:sz="6" w:space="0"/>
                    <w:right w:val="outset" w:color="auto" w:sz="6" w:space="0"/>
                  </w:tcBorders>
                  <w:vAlign w:val="center"/>
                </w:tcPr>
                <w:p w14:paraId="23630DFF">
                  <w:pPr>
                    <w:jc w:val="center"/>
                    <w:rPr>
                      <w:rFonts w:ascii="宋体" w:hAnsi="宋体" w:cs="宋体"/>
                      <w:color w:val="auto"/>
                      <w:highlight w:val="none"/>
                    </w:rPr>
                  </w:pPr>
                  <w:r>
                    <w:rPr>
                      <w:rFonts w:hint="eastAsia" w:ascii="宋体" w:hAnsi="宋体" w:cs="宋体"/>
                      <w:color w:val="auto"/>
                      <w:highlight w:val="none"/>
                    </w:rPr>
                    <w:t>服务招标</w:t>
                  </w:r>
                </w:p>
              </w:tc>
              <w:tc>
                <w:tcPr>
                  <w:tcW w:w="978" w:type="dxa"/>
                  <w:tcBorders>
                    <w:top w:val="outset" w:color="auto" w:sz="6" w:space="0"/>
                    <w:left w:val="outset" w:color="auto" w:sz="6" w:space="0"/>
                    <w:bottom w:val="outset" w:color="auto" w:sz="6" w:space="0"/>
                    <w:right w:val="outset" w:color="auto" w:sz="6" w:space="0"/>
                  </w:tcBorders>
                  <w:vAlign w:val="center"/>
                </w:tcPr>
                <w:p w14:paraId="3C3FD0B1">
                  <w:pPr>
                    <w:jc w:val="center"/>
                    <w:rPr>
                      <w:rFonts w:ascii="宋体" w:hAnsi="宋体" w:cs="宋体"/>
                      <w:color w:val="auto"/>
                      <w:highlight w:val="none"/>
                    </w:rPr>
                  </w:pPr>
                  <w:r>
                    <w:rPr>
                      <w:rFonts w:hint="eastAsia" w:ascii="宋体" w:hAnsi="宋体" w:cs="宋体"/>
                      <w:color w:val="auto"/>
                      <w:highlight w:val="none"/>
                    </w:rPr>
                    <w:t>工程招标</w:t>
                  </w:r>
                </w:p>
              </w:tc>
            </w:tr>
            <w:tr w14:paraId="376497C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09" w:type="dxa"/>
                  <w:tcBorders>
                    <w:top w:val="outset" w:color="auto" w:sz="6" w:space="0"/>
                    <w:left w:val="outset" w:color="auto" w:sz="6" w:space="0"/>
                    <w:bottom w:val="outset" w:color="auto" w:sz="6" w:space="0"/>
                    <w:right w:val="outset" w:color="auto" w:sz="6" w:space="0"/>
                  </w:tcBorders>
                  <w:vAlign w:val="center"/>
                </w:tcPr>
                <w:p w14:paraId="43FBD6F9">
                  <w:pPr>
                    <w:jc w:val="center"/>
                    <w:rPr>
                      <w:rFonts w:ascii="宋体" w:hAnsi="宋体" w:cs="宋体"/>
                      <w:color w:val="auto"/>
                      <w:highlight w:val="none"/>
                    </w:rPr>
                  </w:pPr>
                  <w:r>
                    <w:rPr>
                      <w:rFonts w:hint="eastAsia" w:ascii="宋体" w:hAnsi="宋体" w:cs="宋体"/>
                      <w:color w:val="auto"/>
                      <w:highlight w:val="none"/>
                    </w:rPr>
                    <w:t>100以下</w:t>
                  </w:r>
                </w:p>
              </w:tc>
              <w:tc>
                <w:tcPr>
                  <w:tcW w:w="1009" w:type="dxa"/>
                  <w:tcBorders>
                    <w:top w:val="outset" w:color="auto" w:sz="6" w:space="0"/>
                    <w:left w:val="outset" w:color="auto" w:sz="6" w:space="0"/>
                    <w:bottom w:val="outset" w:color="auto" w:sz="6" w:space="0"/>
                    <w:right w:val="outset" w:color="auto" w:sz="6" w:space="0"/>
                  </w:tcBorders>
                  <w:vAlign w:val="center"/>
                </w:tcPr>
                <w:p w14:paraId="759C65D4">
                  <w:pPr>
                    <w:jc w:val="center"/>
                    <w:rPr>
                      <w:rFonts w:ascii="宋体" w:hAnsi="宋体" w:cs="宋体"/>
                      <w:color w:val="auto"/>
                      <w:highlight w:val="none"/>
                    </w:rPr>
                  </w:pPr>
                  <w:r>
                    <w:rPr>
                      <w:rFonts w:hint="eastAsia" w:ascii="宋体" w:hAnsi="宋体" w:cs="宋体"/>
                      <w:color w:val="auto"/>
                      <w:highlight w:val="none"/>
                    </w:rPr>
                    <w:t>1.5％</w:t>
                  </w:r>
                </w:p>
              </w:tc>
              <w:tc>
                <w:tcPr>
                  <w:tcW w:w="1009" w:type="dxa"/>
                  <w:tcBorders>
                    <w:top w:val="outset" w:color="auto" w:sz="6" w:space="0"/>
                    <w:left w:val="outset" w:color="auto" w:sz="6" w:space="0"/>
                    <w:bottom w:val="outset" w:color="auto" w:sz="6" w:space="0"/>
                    <w:right w:val="outset" w:color="auto" w:sz="6" w:space="0"/>
                  </w:tcBorders>
                  <w:vAlign w:val="center"/>
                </w:tcPr>
                <w:p w14:paraId="6844AB24">
                  <w:pPr>
                    <w:jc w:val="center"/>
                    <w:rPr>
                      <w:rFonts w:ascii="宋体" w:hAnsi="宋体" w:cs="宋体"/>
                      <w:color w:val="auto"/>
                      <w:highlight w:val="none"/>
                    </w:rPr>
                  </w:pPr>
                  <w:r>
                    <w:rPr>
                      <w:rFonts w:hint="eastAsia" w:ascii="宋体" w:hAnsi="宋体" w:cs="宋体"/>
                      <w:color w:val="auto"/>
                      <w:highlight w:val="none"/>
                    </w:rPr>
                    <w:t>1.5％</w:t>
                  </w:r>
                </w:p>
              </w:tc>
              <w:tc>
                <w:tcPr>
                  <w:tcW w:w="978" w:type="dxa"/>
                  <w:tcBorders>
                    <w:top w:val="outset" w:color="auto" w:sz="6" w:space="0"/>
                    <w:left w:val="outset" w:color="auto" w:sz="6" w:space="0"/>
                    <w:bottom w:val="outset" w:color="auto" w:sz="6" w:space="0"/>
                    <w:right w:val="outset" w:color="auto" w:sz="6" w:space="0"/>
                  </w:tcBorders>
                  <w:vAlign w:val="center"/>
                </w:tcPr>
                <w:p w14:paraId="0F5532D3">
                  <w:pPr>
                    <w:jc w:val="center"/>
                    <w:rPr>
                      <w:rFonts w:ascii="宋体" w:hAnsi="宋体" w:cs="宋体"/>
                      <w:color w:val="auto"/>
                      <w:highlight w:val="none"/>
                    </w:rPr>
                  </w:pPr>
                  <w:r>
                    <w:rPr>
                      <w:rFonts w:hint="eastAsia" w:ascii="宋体" w:hAnsi="宋体" w:cs="宋体"/>
                      <w:color w:val="auto"/>
                      <w:highlight w:val="none"/>
                    </w:rPr>
                    <w:t>1.0％</w:t>
                  </w:r>
                </w:p>
              </w:tc>
            </w:tr>
            <w:tr w14:paraId="5590711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09" w:type="dxa"/>
                  <w:tcBorders>
                    <w:top w:val="outset" w:color="auto" w:sz="6" w:space="0"/>
                    <w:left w:val="outset" w:color="auto" w:sz="6" w:space="0"/>
                    <w:bottom w:val="outset" w:color="auto" w:sz="6" w:space="0"/>
                    <w:right w:val="outset" w:color="auto" w:sz="6" w:space="0"/>
                  </w:tcBorders>
                  <w:vAlign w:val="center"/>
                </w:tcPr>
                <w:p w14:paraId="00C2722F">
                  <w:pPr>
                    <w:jc w:val="center"/>
                    <w:rPr>
                      <w:rFonts w:ascii="宋体" w:hAnsi="宋体" w:cs="宋体"/>
                      <w:color w:val="auto"/>
                      <w:highlight w:val="none"/>
                    </w:rPr>
                  </w:pPr>
                  <w:r>
                    <w:rPr>
                      <w:rFonts w:hint="eastAsia" w:ascii="宋体" w:hAnsi="宋体" w:cs="宋体"/>
                      <w:color w:val="auto"/>
                      <w:highlight w:val="none"/>
                    </w:rPr>
                    <w:t>100—500</w:t>
                  </w:r>
                </w:p>
              </w:tc>
              <w:tc>
                <w:tcPr>
                  <w:tcW w:w="1009" w:type="dxa"/>
                  <w:tcBorders>
                    <w:top w:val="outset" w:color="auto" w:sz="6" w:space="0"/>
                    <w:left w:val="outset" w:color="auto" w:sz="6" w:space="0"/>
                    <w:bottom w:val="outset" w:color="auto" w:sz="6" w:space="0"/>
                    <w:right w:val="outset" w:color="auto" w:sz="6" w:space="0"/>
                  </w:tcBorders>
                  <w:vAlign w:val="center"/>
                </w:tcPr>
                <w:p w14:paraId="0333AE04">
                  <w:pPr>
                    <w:jc w:val="center"/>
                    <w:rPr>
                      <w:rFonts w:ascii="宋体" w:hAnsi="宋体" w:cs="宋体"/>
                      <w:color w:val="auto"/>
                      <w:highlight w:val="none"/>
                    </w:rPr>
                  </w:pPr>
                  <w:r>
                    <w:rPr>
                      <w:rFonts w:hint="eastAsia" w:ascii="宋体" w:hAnsi="宋体" w:cs="宋体"/>
                      <w:color w:val="auto"/>
                      <w:highlight w:val="none"/>
                    </w:rPr>
                    <w:t>1.1％</w:t>
                  </w:r>
                </w:p>
              </w:tc>
              <w:tc>
                <w:tcPr>
                  <w:tcW w:w="1009" w:type="dxa"/>
                  <w:tcBorders>
                    <w:top w:val="outset" w:color="auto" w:sz="6" w:space="0"/>
                    <w:left w:val="outset" w:color="auto" w:sz="6" w:space="0"/>
                    <w:bottom w:val="outset" w:color="auto" w:sz="6" w:space="0"/>
                    <w:right w:val="outset" w:color="auto" w:sz="6" w:space="0"/>
                  </w:tcBorders>
                  <w:vAlign w:val="center"/>
                </w:tcPr>
                <w:p w14:paraId="2CE81BAC">
                  <w:pPr>
                    <w:jc w:val="center"/>
                    <w:rPr>
                      <w:rFonts w:ascii="宋体" w:hAnsi="宋体" w:cs="宋体"/>
                      <w:color w:val="auto"/>
                      <w:highlight w:val="none"/>
                    </w:rPr>
                  </w:pPr>
                  <w:r>
                    <w:rPr>
                      <w:rFonts w:hint="eastAsia" w:ascii="宋体" w:hAnsi="宋体" w:cs="宋体"/>
                      <w:color w:val="auto"/>
                      <w:highlight w:val="none"/>
                    </w:rPr>
                    <w:t>0.8％</w:t>
                  </w:r>
                </w:p>
              </w:tc>
              <w:tc>
                <w:tcPr>
                  <w:tcW w:w="978" w:type="dxa"/>
                  <w:tcBorders>
                    <w:top w:val="outset" w:color="auto" w:sz="6" w:space="0"/>
                    <w:left w:val="outset" w:color="auto" w:sz="6" w:space="0"/>
                    <w:bottom w:val="outset" w:color="auto" w:sz="6" w:space="0"/>
                    <w:right w:val="outset" w:color="auto" w:sz="6" w:space="0"/>
                  </w:tcBorders>
                  <w:vAlign w:val="center"/>
                </w:tcPr>
                <w:p w14:paraId="6180ACC1">
                  <w:pPr>
                    <w:jc w:val="center"/>
                    <w:rPr>
                      <w:rFonts w:ascii="宋体" w:hAnsi="宋体" w:cs="宋体"/>
                      <w:color w:val="auto"/>
                      <w:highlight w:val="none"/>
                    </w:rPr>
                  </w:pPr>
                  <w:r>
                    <w:rPr>
                      <w:rFonts w:hint="eastAsia" w:ascii="宋体" w:hAnsi="宋体" w:cs="宋体"/>
                      <w:color w:val="auto"/>
                      <w:highlight w:val="none"/>
                    </w:rPr>
                    <w:t>0.7％</w:t>
                  </w:r>
                </w:p>
              </w:tc>
            </w:tr>
            <w:tr w14:paraId="1FEBE76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09" w:type="dxa"/>
                  <w:tcBorders>
                    <w:top w:val="outset" w:color="auto" w:sz="6" w:space="0"/>
                    <w:left w:val="outset" w:color="auto" w:sz="6" w:space="0"/>
                    <w:bottom w:val="outset" w:color="auto" w:sz="6" w:space="0"/>
                    <w:right w:val="outset" w:color="auto" w:sz="6" w:space="0"/>
                  </w:tcBorders>
                  <w:vAlign w:val="center"/>
                </w:tcPr>
                <w:p w14:paraId="50875B59">
                  <w:pPr>
                    <w:jc w:val="center"/>
                    <w:rPr>
                      <w:rFonts w:ascii="宋体" w:hAnsi="宋体" w:cs="宋体"/>
                      <w:color w:val="auto"/>
                      <w:highlight w:val="none"/>
                    </w:rPr>
                  </w:pPr>
                  <w:r>
                    <w:rPr>
                      <w:rFonts w:hint="eastAsia" w:ascii="宋体" w:hAnsi="宋体" w:cs="宋体"/>
                      <w:color w:val="auto"/>
                      <w:highlight w:val="none"/>
                    </w:rPr>
                    <w:t>500—1000</w:t>
                  </w:r>
                </w:p>
              </w:tc>
              <w:tc>
                <w:tcPr>
                  <w:tcW w:w="1009" w:type="dxa"/>
                  <w:tcBorders>
                    <w:top w:val="outset" w:color="auto" w:sz="6" w:space="0"/>
                    <w:left w:val="outset" w:color="auto" w:sz="6" w:space="0"/>
                    <w:bottom w:val="outset" w:color="auto" w:sz="6" w:space="0"/>
                    <w:right w:val="outset" w:color="auto" w:sz="6" w:space="0"/>
                  </w:tcBorders>
                  <w:vAlign w:val="center"/>
                </w:tcPr>
                <w:p w14:paraId="41DB7D2E">
                  <w:pPr>
                    <w:jc w:val="center"/>
                    <w:rPr>
                      <w:rFonts w:ascii="宋体" w:hAnsi="宋体" w:cs="宋体"/>
                      <w:color w:val="auto"/>
                      <w:highlight w:val="none"/>
                    </w:rPr>
                  </w:pPr>
                  <w:r>
                    <w:rPr>
                      <w:rFonts w:hint="eastAsia" w:ascii="宋体" w:hAnsi="宋体" w:cs="宋体"/>
                      <w:color w:val="auto"/>
                      <w:highlight w:val="none"/>
                    </w:rPr>
                    <w:t>0.8％</w:t>
                  </w:r>
                </w:p>
              </w:tc>
              <w:tc>
                <w:tcPr>
                  <w:tcW w:w="1009" w:type="dxa"/>
                  <w:tcBorders>
                    <w:top w:val="outset" w:color="auto" w:sz="6" w:space="0"/>
                    <w:left w:val="outset" w:color="auto" w:sz="6" w:space="0"/>
                    <w:bottom w:val="outset" w:color="auto" w:sz="6" w:space="0"/>
                    <w:right w:val="outset" w:color="auto" w:sz="6" w:space="0"/>
                  </w:tcBorders>
                  <w:vAlign w:val="center"/>
                </w:tcPr>
                <w:p w14:paraId="2A363C2D">
                  <w:pPr>
                    <w:jc w:val="center"/>
                    <w:rPr>
                      <w:rFonts w:ascii="宋体" w:hAnsi="宋体" w:cs="宋体"/>
                      <w:color w:val="auto"/>
                      <w:highlight w:val="none"/>
                    </w:rPr>
                  </w:pPr>
                  <w:r>
                    <w:rPr>
                      <w:rFonts w:hint="eastAsia" w:ascii="宋体" w:hAnsi="宋体" w:cs="宋体"/>
                      <w:color w:val="auto"/>
                      <w:highlight w:val="none"/>
                    </w:rPr>
                    <w:t>0.45％</w:t>
                  </w:r>
                </w:p>
              </w:tc>
              <w:tc>
                <w:tcPr>
                  <w:tcW w:w="978" w:type="dxa"/>
                  <w:tcBorders>
                    <w:top w:val="outset" w:color="auto" w:sz="6" w:space="0"/>
                    <w:left w:val="outset" w:color="auto" w:sz="6" w:space="0"/>
                    <w:bottom w:val="outset" w:color="auto" w:sz="6" w:space="0"/>
                    <w:right w:val="outset" w:color="auto" w:sz="6" w:space="0"/>
                  </w:tcBorders>
                  <w:vAlign w:val="center"/>
                </w:tcPr>
                <w:p w14:paraId="04D5F513">
                  <w:pPr>
                    <w:jc w:val="center"/>
                    <w:rPr>
                      <w:rFonts w:ascii="宋体" w:hAnsi="宋体" w:cs="宋体"/>
                      <w:color w:val="auto"/>
                      <w:highlight w:val="none"/>
                    </w:rPr>
                  </w:pPr>
                  <w:r>
                    <w:rPr>
                      <w:rFonts w:hint="eastAsia" w:ascii="宋体" w:hAnsi="宋体" w:cs="宋体"/>
                      <w:color w:val="auto"/>
                      <w:highlight w:val="none"/>
                    </w:rPr>
                    <w:t>0.55％</w:t>
                  </w:r>
                </w:p>
              </w:tc>
            </w:tr>
          </w:tbl>
          <w:p w14:paraId="73B0798E">
            <w:pPr>
              <w:snapToGrid w:val="0"/>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snapToGrid w:val="0"/>
                <w:color w:val="auto"/>
                <w:kern w:val="0"/>
                <w:highlight w:val="none"/>
              </w:rPr>
              <w:t>结算方式及时间为：在领取中标通知书前由成交供应商一次性向采购代理机构付清。</w:t>
            </w:r>
          </w:p>
        </w:tc>
      </w:tr>
      <w:tr w14:paraId="03FF6A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322611A">
            <w:pPr>
              <w:snapToGrid w:val="0"/>
              <w:jc w:val="center"/>
              <w:rPr>
                <w:rFonts w:hint="eastAsia" w:ascii="宋体" w:eastAsia="宋体"/>
                <w:snapToGrid w:val="0"/>
                <w:color w:val="auto"/>
                <w:kern w:val="0"/>
                <w:highlight w:val="none"/>
                <w:lang w:eastAsia="zh-CN"/>
              </w:rPr>
            </w:pPr>
            <w:r>
              <w:rPr>
                <w:rFonts w:hint="eastAsia" w:ascii="宋体" w:hAnsi="宋体" w:cs="宋体"/>
                <w:snapToGrid w:val="0"/>
                <w:color w:val="auto"/>
                <w:kern w:val="0"/>
                <w:highlight w:val="none"/>
              </w:rPr>
              <w:t>2</w:t>
            </w:r>
            <w:r>
              <w:rPr>
                <w:rFonts w:hint="eastAsia" w:ascii="宋体" w:hAnsi="宋体" w:cs="宋体"/>
                <w:snapToGrid w:val="0"/>
                <w:color w:val="auto"/>
                <w:kern w:val="0"/>
                <w:highlight w:val="none"/>
                <w:lang w:val="en-US" w:eastAsia="zh-CN"/>
              </w:rPr>
              <w:t>3</w:t>
            </w:r>
          </w:p>
        </w:tc>
        <w:tc>
          <w:tcPr>
            <w:tcW w:w="1856" w:type="dxa"/>
            <w:vAlign w:val="center"/>
          </w:tcPr>
          <w:p w14:paraId="11135738">
            <w:pPr>
              <w:snapToGrid w:val="0"/>
              <w:jc w:val="center"/>
              <w:rPr>
                <w:rFonts w:ascii="宋体"/>
                <w:color w:val="auto"/>
                <w:highlight w:val="none"/>
              </w:rPr>
            </w:pPr>
            <w:r>
              <w:rPr>
                <w:rFonts w:hint="eastAsia" w:ascii="宋体" w:hAnsi="宋体" w:cs="宋体"/>
                <w:color w:val="auto"/>
                <w:highlight w:val="none"/>
              </w:rPr>
              <w:t>供应商信用信息查询渠道及截止时点、信用信息查询记录和证据留存的具体方式、信用信息的使用规则</w:t>
            </w:r>
          </w:p>
        </w:tc>
        <w:tc>
          <w:tcPr>
            <w:tcW w:w="6700" w:type="dxa"/>
            <w:vAlign w:val="center"/>
          </w:tcPr>
          <w:p w14:paraId="623F845B">
            <w:pPr>
              <w:snapToGrid w:val="0"/>
              <w:ind w:firstLine="420" w:firstLineChars="20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、查询渠道：信用中国（网址：</w:t>
            </w:r>
            <w:r>
              <w:rPr>
                <w:rFonts w:ascii="宋体" w:hAnsi="宋体" w:cs="宋体"/>
                <w:color w:val="auto"/>
                <w:highlight w:val="none"/>
              </w:rPr>
              <w:t>http://www.creditchina.gov.cn</w:t>
            </w:r>
            <w:r>
              <w:rPr>
                <w:rFonts w:hint="eastAsia" w:ascii="宋体" w:hAnsi="宋体" w:cs="宋体"/>
                <w:color w:val="auto"/>
                <w:highlight w:val="none"/>
              </w:rPr>
              <w:t>）、中国政府采购网</w:t>
            </w:r>
            <w:r>
              <w:rPr>
                <w:rFonts w:ascii="宋体" w:hAnsi="宋体" w:cs="宋体"/>
                <w:color w:val="auto"/>
                <w:highlight w:val="none"/>
              </w:rPr>
              <w:t>(</w:t>
            </w:r>
            <w:r>
              <w:rPr>
                <w:rFonts w:hint="eastAsia" w:ascii="宋体" w:hAnsi="宋体" w:cs="宋体"/>
                <w:color w:val="auto"/>
                <w:highlight w:val="none"/>
              </w:rPr>
              <w:t>网址：</w:t>
            </w:r>
            <w:r>
              <w:rPr>
                <w:rFonts w:ascii="宋体" w:hAnsi="宋体" w:cs="宋体"/>
                <w:color w:val="auto"/>
                <w:highlight w:val="none"/>
              </w:rPr>
              <w:t>http://www.ccgp.gov.cn</w:t>
            </w:r>
            <w:r>
              <w:rPr>
                <w:rFonts w:hint="eastAsia" w:ascii="宋体" w:hAnsi="宋体" w:cs="宋体"/>
                <w:color w:val="auto"/>
                <w:highlight w:val="none"/>
              </w:rPr>
              <w:t>）。</w:t>
            </w:r>
          </w:p>
          <w:p w14:paraId="09AB5A27">
            <w:pPr>
              <w:snapToGrid w:val="0"/>
              <w:ind w:firstLine="420" w:firstLineChars="20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、截止时点：开标后评标前。</w:t>
            </w:r>
          </w:p>
          <w:p w14:paraId="44E4AEB7">
            <w:pPr>
              <w:snapToGrid w:val="0"/>
              <w:ind w:firstLine="420" w:firstLineChars="200"/>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、信用信息查询记录和证据留存的具体方式：由采购组织机构在规定查询时间内打印信用信息查询记录并归入项目档案。</w:t>
            </w:r>
          </w:p>
          <w:p w14:paraId="1862B7DF">
            <w:pPr>
              <w:snapToGrid w:val="0"/>
              <w:ind w:firstLine="420" w:firstLineChars="200"/>
              <w:rPr>
                <w:rFonts w:ascii="宋体"/>
                <w:color w:val="auto"/>
                <w:highlight w:val="none"/>
              </w:rPr>
            </w:pPr>
            <w:r>
              <w:rPr>
                <w:rFonts w:ascii="宋体" w:hAnsi="宋体" w:cs="宋体"/>
                <w:color w:val="auto"/>
                <w:highlight w:val="none"/>
              </w:rPr>
              <w:t>4</w:t>
            </w:r>
            <w:r>
              <w:rPr>
                <w:rFonts w:hint="eastAsia" w:ascii="宋体" w:hAnsi="宋体" w:cs="宋体"/>
                <w:color w:val="auto"/>
                <w:highlight w:val="none"/>
              </w:rPr>
              <w:t>、使用规则：对列入失信被执行人、</w:t>
            </w:r>
            <w:r>
              <w:rPr>
                <w:rFonts w:hint="eastAsia" w:ascii="宋体" w:hAnsi="宋体" w:cs="宋体"/>
                <w:color w:val="auto"/>
                <w:highlight w:val="none"/>
                <w:lang w:eastAsia="zh-CN"/>
              </w:rPr>
              <w:t>重大税收违法失信主体</w:t>
            </w:r>
            <w:r>
              <w:rPr>
                <w:rFonts w:hint="eastAsia" w:ascii="宋体" w:hAnsi="宋体" w:cs="宋体"/>
                <w:color w:val="auto"/>
                <w:highlight w:val="none"/>
              </w:rPr>
              <w:t>、政府采购严重违法</w:t>
            </w:r>
            <w:r>
              <w:rPr>
                <w:rFonts w:hint="eastAsia" w:ascii="宋体" w:hAnsi="宋体" w:eastAsia="宋体" w:cs="宋体"/>
                <w:snapToGrid w:val="0"/>
                <w:color w:val="auto"/>
                <w:kern w:val="0"/>
                <w:highlight w:val="none"/>
              </w:rPr>
              <w:t>失信</w:t>
            </w:r>
            <w:r>
              <w:rPr>
                <w:rFonts w:hint="eastAsia" w:ascii="宋体" w:hAnsi="宋体" w:cs="宋体"/>
                <w:color w:val="auto"/>
                <w:highlight w:val="none"/>
              </w:rPr>
              <w:t>行为记录名单及其他不符合《中华人民共和国政府采购法》第二十二条规定条件的供应商，将被拒绝其参与政府采购活动。</w:t>
            </w:r>
          </w:p>
        </w:tc>
      </w:tr>
      <w:tr w14:paraId="6DE214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9D766A3">
            <w:pPr>
              <w:snapToGrid w:val="0"/>
              <w:jc w:val="center"/>
              <w:rPr>
                <w:rFonts w:hint="eastAsia" w:ascii="宋体" w:eastAsia="宋体"/>
                <w:snapToGrid w:val="0"/>
                <w:color w:val="auto"/>
                <w:kern w:val="0"/>
                <w:highlight w:val="none"/>
                <w:lang w:eastAsia="zh-CN"/>
              </w:rPr>
            </w:pPr>
            <w:r>
              <w:rPr>
                <w:rFonts w:hint="eastAsia" w:ascii="宋体" w:hAnsi="宋体" w:cs="宋体"/>
                <w:snapToGrid w:val="0"/>
                <w:color w:val="auto"/>
                <w:kern w:val="0"/>
                <w:highlight w:val="none"/>
              </w:rPr>
              <w:t>2</w:t>
            </w:r>
            <w:r>
              <w:rPr>
                <w:rFonts w:hint="eastAsia" w:ascii="宋体" w:hAnsi="宋体" w:cs="宋体"/>
                <w:snapToGrid w:val="0"/>
                <w:color w:val="auto"/>
                <w:kern w:val="0"/>
                <w:highlight w:val="none"/>
                <w:lang w:val="en-US" w:eastAsia="zh-CN"/>
              </w:rPr>
              <w:t>4</w:t>
            </w:r>
          </w:p>
        </w:tc>
        <w:tc>
          <w:tcPr>
            <w:tcW w:w="1856" w:type="dxa"/>
            <w:vAlign w:val="center"/>
          </w:tcPr>
          <w:p w14:paraId="233FED9B">
            <w:pPr>
              <w:snapToGrid w:val="0"/>
              <w:jc w:val="center"/>
              <w:rPr>
                <w:rFonts w:ascii="宋体"/>
                <w:color w:val="auto"/>
                <w:highlight w:val="none"/>
              </w:rPr>
            </w:pPr>
            <w:r>
              <w:rPr>
                <w:rFonts w:hint="eastAsia" w:ascii="宋体" w:hAnsi="宋体" w:cs="宋体"/>
                <w:color w:val="auto"/>
                <w:highlight w:val="none"/>
              </w:rPr>
              <w:t>金融支持</w:t>
            </w:r>
          </w:p>
        </w:tc>
        <w:tc>
          <w:tcPr>
            <w:tcW w:w="6700" w:type="dxa"/>
            <w:vAlign w:val="center"/>
          </w:tcPr>
          <w:p w14:paraId="36B1E6E2">
            <w:pPr>
              <w:snapToGrid w:val="0"/>
              <w:ind w:firstLine="420" w:firstLineChars="200"/>
              <w:rPr>
                <w:rFonts w:ascii="宋体"/>
                <w:color w:val="auto"/>
                <w:highlight w:val="none"/>
              </w:rPr>
            </w:pPr>
            <w:r>
              <w:rPr>
                <w:rFonts w:hint="eastAsia" w:ascii="宋体" w:hAnsi="宋体" w:cs="宋体"/>
                <w:color w:val="auto"/>
                <w:highlight w:val="none"/>
              </w:rPr>
              <w:t>为支持和促进中小企业发展，进一步发挥政府采购政策功能，企业若有融资意向，可</w:t>
            </w:r>
            <w:r>
              <w:rPr>
                <w:rFonts w:hint="eastAsia" w:ascii="宋体" w:hAnsi="宋体" w:cs="宋体"/>
                <w:color w:val="auto"/>
                <w:highlight w:val="none"/>
                <w:lang w:eastAsia="zh-CN"/>
              </w:rPr>
              <w:t>登录</w:t>
            </w:r>
            <w:r>
              <w:rPr>
                <w:rFonts w:hint="eastAsia" w:ascii="宋体" w:hAnsi="宋体" w:cs="宋体"/>
                <w:color w:val="auto"/>
                <w:highlight w:val="none"/>
              </w:rPr>
              <w:t>政采云平台融资</w:t>
            </w:r>
            <w:r>
              <w:rPr>
                <w:rFonts w:hint="eastAsia" w:ascii="宋体" w:hAnsi="宋体" w:eastAsia="宋体" w:cs="宋体"/>
                <w:snapToGrid w:val="0"/>
                <w:color w:val="auto"/>
                <w:kern w:val="0"/>
                <w:highlight w:val="none"/>
              </w:rPr>
              <w:t>服务</w:t>
            </w:r>
            <w:r>
              <w:rPr>
                <w:rFonts w:hint="eastAsia" w:ascii="宋体" w:hAnsi="宋体" w:cs="宋体"/>
                <w:color w:val="auto"/>
                <w:highlight w:val="none"/>
              </w:rPr>
              <w:t>（</w:t>
            </w:r>
            <w:r>
              <w:rPr>
                <w:rFonts w:ascii="宋体" w:hAnsi="宋体" w:cs="宋体"/>
                <w:color w:val="auto"/>
                <w:highlight w:val="none"/>
              </w:rPr>
              <w:t>https://jinrong.zcygov.cn/</w:t>
            </w:r>
            <w:r>
              <w:rPr>
                <w:rFonts w:hint="eastAsia" w:ascii="宋体" w:hAnsi="宋体" w:cs="宋体"/>
                <w:color w:val="auto"/>
                <w:highlight w:val="none"/>
              </w:rPr>
              <w:t>），查看相应融资政策文件及各相关银行服务方案。</w:t>
            </w:r>
          </w:p>
        </w:tc>
      </w:tr>
      <w:tr w14:paraId="0CCDE1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85" w:hRule="atLeast"/>
          <w:jc w:val="center"/>
        </w:trPr>
        <w:tc>
          <w:tcPr>
            <w:tcW w:w="648" w:type="dxa"/>
            <w:tcBorders>
              <w:bottom w:val="double" w:color="auto" w:sz="4" w:space="0"/>
            </w:tcBorders>
            <w:vAlign w:val="center"/>
          </w:tcPr>
          <w:p w14:paraId="2CC61CE7">
            <w:pPr>
              <w:snapToGrid w:val="0"/>
              <w:jc w:val="center"/>
              <w:rPr>
                <w:rFonts w:hint="eastAsia" w:ascii="宋体" w:eastAsia="宋体"/>
                <w:snapToGrid w:val="0"/>
                <w:color w:val="auto"/>
                <w:kern w:val="0"/>
                <w:highlight w:val="none"/>
                <w:lang w:eastAsia="zh-CN"/>
              </w:rPr>
            </w:pPr>
            <w:r>
              <w:rPr>
                <w:rFonts w:hint="eastAsia" w:ascii="宋体" w:hAnsi="宋体" w:cs="宋体"/>
                <w:snapToGrid w:val="0"/>
                <w:color w:val="auto"/>
                <w:kern w:val="0"/>
                <w:highlight w:val="none"/>
              </w:rPr>
              <w:t>2</w:t>
            </w:r>
            <w:r>
              <w:rPr>
                <w:rFonts w:hint="eastAsia" w:ascii="宋体" w:hAnsi="宋体" w:cs="宋体"/>
                <w:snapToGrid w:val="0"/>
                <w:color w:val="auto"/>
                <w:kern w:val="0"/>
                <w:highlight w:val="none"/>
                <w:lang w:val="en-US" w:eastAsia="zh-CN"/>
              </w:rPr>
              <w:t>5</w:t>
            </w:r>
          </w:p>
        </w:tc>
        <w:tc>
          <w:tcPr>
            <w:tcW w:w="1856" w:type="dxa"/>
            <w:tcBorders>
              <w:bottom w:val="double" w:color="auto" w:sz="4" w:space="0"/>
            </w:tcBorders>
            <w:vAlign w:val="center"/>
          </w:tcPr>
          <w:p w14:paraId="2F6F5973">
            <w:pPr>
              <w:snapToGrid w:val="0"/>
              <w:jc w:val="center"/>
              <w:rPr>
                <w:rFonts w:ascii="宋体"/>
                <w:color w:val="auto"/>
                <w:highlight w:val="none"/>
              </w:rPr>
            </w:pPr>
            <w:r>
              <w:rPr>
                <w:rFonts w:hint="eastAsia" w:ascii="宋体" w:hAnsi="宋体" w:cs="宋体"/>
                <w:color w:val="auto"/>
                <w:highlight w:val="none"/>
              </w:rPr>
              <w:t>其他</w:t>
            </w:r>
          </w:p>
        </w:tc>
        <w:tc>
          <w:tcPr>
            <w:tcW w:w="6700" w:type="dxa"/>
            <w:tcBorders>
              <w:bottom w:val="double" w:color="auto" w:sz="4" w:space="0"/>
            </w:tcBorders>
            <w:vAlign w:val="center"/>
          </w:tcPr>
          <w:p w14:paraId="1FB610A4">
            <w:pPr>
              <w:snapToGrid w:val="0"/>
              <w:ind w:firstLine="422" w:firstLineChars="200"/>
              <w:rPr>
                <w:rFonts w:hint="eastAsia"/>
                <w:b/>
                <w:bCs/>
                <w:color w:val="auto"/>
              </w:rPr>
            </w:pPr>
            <w:r>
              <w:rPr>
                <w:rFonts w:hint="eastAsia"/>
                <w:b/>
                <w:bCs/>
                <w:color w:val="auto"/>
                <w:lang w:val="en-US" w:eastAsia="zh-CN"/>
              </w:rPr>
              <w:t>1、</w:t>
            </w:r>
            <w:r>
              <w:rPr>
                <w:rFonts w:hint="eastAsia"/>
                <w:b/>
                <w:bCs/>
                <w:color w:val="auto"/>
              </w:rPr>
              <w:t>本磋商文件要求提供的身份证</w:t>
            </w:r>
            <w:r>
              <w:rPr>
                <w:rFonts w:hint="eastAsia"/>
                <w:b/>
                <w:bCs/>
                <w:color w:val="auto"/>
                <w:lang w:eastAsia="zh-CN"/>
              </w:rPr>
              <w:t>扫描件</w:t>
            </w:r>
            <w:r>
              <w:rPr>
                <w:rFonts w:hint="eastAsia"/>
                <w:b/>
                <w:bCs/>
                <w:color w:val="auto"/>
              </w:rPr>
              <w:t>皆需提供正反面，否则按不提供处理。</w:t>
            </w:r>
          </w:p>
          <w:p w14:paraId="3AEF0756">
            <w:pPr>
              <w:snapToGrid w:val="0"/>
              <w:ind w:firstLine="422" w:firstLineChars="200"/>
              <w:rPr>
                <w:rFonts w:ascii="宋体"/>
                <w:b/>
                <w:bCs/>
                <w:color w:val="auto"/>
                <w:highlight w:val="none"/>
              </w:rPr>
            </w:pPr>
            <w:r>
              <w:rPr>
                <w:rFonts w:hint="eastAsia"/>
                <w:b/>
                <w:bCs/>
                <w:color w:val="auto"/>
                <w:lang w:val="en-US" w:eastAsia="zh-CN"/>
              </w:rPr>
              <w:t>2、本项目货物如涉及柴油动力移动源，柴油动力移动源应当符合低排放要求。</w:t>
            </w:r>
          </w:p>
        </w:tc>
      </w:tr>
    </w:tbl>
    <w:p w14:paraId="638F91B7">
      <w:pPr>
        <w:pStyle w:val="6"/>
        <w:spacing w:line="240" w:lineRule="auto"/>
        <w:ind w:left="0" w:leftChars="0" w:firstLine="0" w:firstLineChars="0"/>
        <w:rPr>
          <w:rFonts w:ascii="宋体"/>
          <w:color w:val="auto"/>
          <w:sz w:val="18"/>
          <w:szCs w:val="18"/>
          <w:highlight w:val="none"/>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eastAsia" w:ascii="宋体" w:hAnsi="宋体" w:cs="宋体"/>
          <w:color w:val="auto"/>
          <w:sz w:val="21"/>
          <w:szCs w:val="21"/>
          <w:highlight w:val="none"/>
        </w:rPr>
        <w:t>注：以上内容如有变化将另行通知。如通知其中某一内容发生变化，其余未提及的将不作变动。</w:t>
      </w:r>
    </w:p>
    <w:p w14:paraId="7C019447">
      <w:pPr>
        <w:pStyle w:val="5"/>
        <w:numPr>
          <w:ilvl w:val="0"/>
          <w:numId w:val="8"/>
        </w:numPr>
        <w:spacing w:line="336" w:lineRule="auto"/>
        <w:jc w:val="center"/>
        <w:rPr>
          <w:rFonts w:hAnsi="宋体" w:cs="Times New Roman"/>
          <w:color w:val="auto"/>
          <w:highlight w:val="none"/>
        </w:rPr>
      </w:pPr>
      <w:r>
        <w:rPr>
          <w:rFonts w:hAnsi="宋体"/>
          <w:color w:val="auto"/>
          <w:highlight w:val="none"/>
        </w:rPr>
        <w:t xml:space="preserve"> </w:t>
      </w:r>
      <w:bookmarkStart w:id="11" w:name="_Toc1114"/>
      <w:bookmarkStart w:id="12" w:name="_Toc25187"/>
      <w:r>
        <w:rPr>
          <w:rFonts w:hint="eastAsia" w:hAnsi="宋体"/>
          <w:color w:val="auto"/>
          <w:highlight w:val="none"/>
        </w:rPr>
        <w:t>总则</w:t>
      </w:r>
      <w:bookmarkEnd w:id="11"/>
      <w:bookmarkEnd w:id="12"/>
    </w:p>
    <w:p w14:paraId="69106C54">
      <w:pPr>
        <w:spacing w:line="336" w:lineRule="auto"/>
        <w:ind w:firstLine="480" w:firstLineChars="200"/>
        <w:rPr>
          <w:color w:val="auto"/>
          <w:highlight w:val="none"/>
        </w:rPr>
      </w:pPr>
      <w:r>
        <w:rPr>
          <w:rFonts w:hint="eastAsia" w:cs="宋体"/>
          <w:color w:val="auto"/>
          <w:sz w:val="24"/>
          <w:szCs w:val="24"/>
          <w:highlight w:val="none"/>
        </w:rPr>
        <w:t>本次招标工作是按照《中华人民共和国政府采购法》《中华人民共和国政府采购法实施条例》《政府采购竞争性磋商采购方式管理暂行办法》等相关法律、组织和实施，并由政府采购管理部门指导和监督。</w:t>
      </w:r>
    </w:p>
    <w:p w14:paraId="254B831F">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、适用范围</w:t>
      </w:r>
    </w:p>
    <w:p w14:paraId="58643599">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本次磋商工作仅适用于</w:t>
      </w:r>
      <w:r>
        <w:rPr>
          <w:rFonts w:hint="eastAsia" w:ascii="宋体" w:hAnsi="宋体" w:cs="宋体"/>
          <w:color w:val="auto"/>
          <w:sz w:val="24"/>
          <w:szCs w:val="24"/>
          <w:highlight w:val="none"/>
          <w:u w:val="single"/>
          <w:lang w:eastAsia="zh-CN"/>
        </w:rPr>
        <w:t xml:space="preserve"> 曹娥街道小环境精细化管控服务及微型空气质量监测站建设项目</w:t>
      </w:r>
      <w:r>
        <w:rPr>
          <w:rFonts w:hint="eastAsia" w:ascii="宋体" w:hAnsi="宋体" w:cs="宋体"/>
          <w:color w:val="auto"/>
          <w:sz w:val="24"/>
          <w:szCs w:val="24"/>
          <w:highlight w:val="none"/>
        </w:rPr>
        <w:t>。</w:t>
      </w:r>
    </w:p>
    <w:p w14:paraId="5AD5D251">
      <w:pPr>
        <w:pStyle w:val="12"/>
        <w:spacing w:line="336" w:lineRule="auto"/>
        <w:ind w:firstLine="480" w:firstLineChars="200"/>
        <w:rPr>
          <w:color w:val="auto"/>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rPr>
        <w:t>本项目采购方式采用竞争性磋商方式。</w:t>
      </w:r>
    </w:p>
    <w:p w14:paraId="12922C24">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、定义</w:t>
      </w:r>
    </w:p>
    <w:p w14:paraId="50A5972E">
      <w:pPr>
        <w:spacing w:line="336" w:lineRule="auto"/>
        <w:ind w:firstLine="480" w:firstLineChars="200"/>
        <w:rPr>
          <w:rFonts w:ascii="宋体"/>
          <w:color w:val="auto"/>
          <w:sz w:val="24"/>
          <w:szCs w:val="24"/>
          <w:highlight w:val="none"/>
          <w:u w:val="single"/>
        </w:rPr>
      </w:pPr>
      <w:r>
        <w:rPr>
          <w:rFonts w:ascii="宋体" w:hAnsi="宋体" w:cs="宋体"/>
          <w:color w:val="auto"/>
          <w:sz w:val="24"/>
          <w:szCs w:val="24"/>
          <w:highlight w:val="none"/>
        </w:rPr>
        <w:t>2.1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采购人”系指</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绍兴市上虞区曹娥街道办事处</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。采购人委托</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浙江天平项目咨询有限公司</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为本项目采购代理机构。</w:t>
      </w:r>
    </w:p>
    <w:p w14:paraId="40B4F144">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2.2</w:t>
      </w:r>
      <w:r>
        <w:rPr>
          <w:rFonts w:hint="eastAsia" w:ascii="宋体" w:hAnsi="宋体" w:cs="宋体"/>
          <w:color w:val="auto"/>
          <w:sz w:val="24"/>
          <w:szCs w:val="24"/>
          <w:highlight w:val="none"/>
        </w:rPr>
        <w:t>“磋商供应商”系指响应本次采购，参加本次竞争性磋商的供应商。</w:t>
      </w:r>
    </w:p>
    <w:p w14:paraId="7457D1D4">
      <w:pPr>
        <w:spacing w:line="336" w:lineRule="auto"/>
        <w:ind w:firstLine="480" w:firstLineChars="200"/>
        <w:rPr>
          <w:rFonts w:ascii="宋体"/>
          <w:color w:val="auto"/>
          <w:sz w:val="24"/>
          <w:szCs w:val="24"/>
          <w:highlight w:val="none"/>
          <w:lang w:val="zh-CN"/>
        </w:rPr>
      </w:pPr>
      <w:r>
        <w:rPr>
          <w:rFonts w:ascii="宋体" w:hAnsi="宋体" w:cs="宋体"/>
          <w:color w:val="auto"/>
          <w:sz w:val="24"/>
          <w:szCs w:val="24"/>
          <w:highlight w:val="none"/>
        </w:rPr>
        <w:t>2.3</w:t>
      </w:r>
      <w:r>
        <w:rPr>
          <w:rFonts w:hint="eastAsia" w:ascii="宋体" w:hAnsi="宋体" w:cs="宋体"/>
          <w:color w:val="auto"/>
          <w:sz w:val="24"/>
          <w:szCs w:val="24"/>
          <w:highlight w:val="none"/>
          <w:lang w:val="zh-CN"/>
        </w:rPr>
        <w:t>“服务”系指</w:t>
      </w:r>
      <w:r>
        <w:rPr>
          <w:rFonts w:hint="eastAsia" w:ascii="宋体" w:hAnsi="宋体" w:cs="宋体"/>
          <w:color w:val="auto"/>
          <w:sz w:val="24"/>
          <w:szCs w:val="24"/>
          <w:highlight w:val="none"/>
        </w:rPr>
        <w:t>磋商供应商按合同规定，须承担的服务的义务</w:t>
      </w:r>
      <w:r>
        <w:rPr>
          <w:rFonts w:hint="eastAsia" w:ascii="宋体" w:hAnsi="宋体" w:cs="宋体"/>
          <w:color w:val="auto"/>
          <w:sz w:val="24"/>
          <w:szCs w:val="24"/>
          <w:highlight w:val="none"/>
          <w:lang w:val="zh-CN"/>
        </w:rPr>
        <w:t>。</w:t>
      </w:r>
    </w:p>
    <w:p w14:paraId="6970F6AC">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rPr>
        <w:t>、采购项目概况</w:t>
      </w:r>
      <w:r>
        <w:rPr>
          <w:rFonts w:ascii="宋体"/>
          <w:b/>
          <w:bCs/>
          <w:color w:val="auto"/>
          <w:sz w:val="24"/>
          <w:szCs w:val="24"/>
          <w:highlight w:val="none"/>
        </w:rPr>
        <w:tab/>
      </w:r>
      <w:r>
        <w:rPr>
          <w:rFonts w:ascii="宋体"/>
          <w:b/>
          <w:bCs/>
          <w:color w:val="auto"/>
          <w:sz w:val="24"/>
          <w:szCs w:val="24"/>
          <w:highlight w:val="none"/>
        </w:rPr>
        <w:tab/>
      </w:r>
    </w:p>
    <w:p w14:paraId="2FF176A8">
      <w:pP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详见竞争性磋商公告相关内容，主要要求参见本文件第</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三</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部分。</w:t>
      </w:r>
    </w:p>
    <w:p w14:paraId="1F31409A">
      <w:pP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、合格的磋商供应商</w:t>
      </w:r>
    </w:p>
    <w:p w14:paraId="5C6ED0A8">
      <w:pPr>
        <w:spacing w:line="336" w:lineRule="auto"/>
        <w:ind w:firstLine="480" w:firstLineChars="200"/>
        <w:rPr>
          <w:rFonts w:ascii="宋体"/>
          <w:color w:val="auto"/>
          <w:sz w:val="24"/>
          <w:szCs w:val="24"/>
          <w:highlight w:val="none"/>
        </w:rPr>
      </w:pPr>
      <w:bookmarkStart w:id="13" w:name="_Toc209435242"/>
      <w:bookmarkStart w:id="14" w:name="_Toc193523219"/>
      <w:bookmarkStart w:id="15" w:name="_Toc207946571"/>
      <w:bookmarkStart w:id="16" w:name="_Toc197156227"/>
      <w:bookmarkStart w:id="17" w:name="_Toc208287611"/>
      <w:bookmarkStart w:id="18" w:name="_Toc204683265"/>
      <w:bookmarkStart w:id="19" w:name="_Toc211412066"/>
      <w:bookmarkStart w:id="20" w:name="_Toc208913145"/>
      <w:bookmarkStart w:id="21" w:name="_Toc193538208"/>
      <w:bookmarkStart w:id="22" w:name="_Toc209504018"/>
      <w:bookmarkStart w:id="23" w:name="_Toc197053926"/>
      <w:bookmarkStart w:id="24" w:name="_Toc209520993"/>
      <w:bookmarkStart w:id="25" w:name="_Toc197163261"/>
      <w:bookmarkStart w:id="26" w:name="_Toc197657950"/>
      <w:r>
        <w:rPr>
          <w:rFonts w:hint="eastAsia" w:ascii="宋体" w:hAnsi="宋体" w:cs="宋体"/>
          <w:color w:val="auto"/>
          <w:sz w:val="24"/>
          <w:szCs w:val="24"/>
          <w:highlight w:val="none"/>
        </w:rPr>
        <w:t>详见竞争性磋商采购公告磋商供应商的资格要求规定。</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1271E677">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5</w:t>
      </w:r>
      <w:r>
        <w:rPr>
          <w:rFonts w:hint="eastAsia" w:ascii="宋体" w:hAnsi="宋体" w:cs="宋体"/>
          <w:b/>
          <w:bCs/>
          <w:color w:val="auto"/>
          <w:sz w:val="24"/>
          <w:szCs w:val="24"/>
          <w:highlight w:val="none"/>
        </w:rPr>
        <w:t>、磋商费用</w:t>
      </w:r>
    </w:p>
    <w:p w14:paraId="3ED75170">
      <w:pP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磋商供应商应承担其参加磋商所涉及的一切费用，不管结果如何，采购人对上述费用不负任何责任。</w:t>
      </w:r>
    </w:p>
    <w:p w14:paraId="0DD12BD6">
      <w:pPr>
        <w:pStyle w:val="5"/>
        <w:numPr>
          <w:ilvl w:val="0"/>
          <w:numId w:val="8"/>
        </w:numPr>
        <w:spacing w:line="336" w:lineRule="auto"/>
        <w:jc w:val="center"/>
        <w:rPr>
          <w:rFonts w:cs="Times New Roman"/>
          <w:color w:val="auto"/>
          <w:highlight w:val="none"/>
        </w:rPr>
      </w:pPr>
      <w:bookmarkStart w:id="27" w:name="_Toc32689"/>
      <w:bookmarkStart w:id="28" w:name="_Toc416992151"/>
      <w:bookmarkStart w:id="29" w:name="_Toc25923"/>
      <w:r>
        <w:rPr>
          <w:color w:val="auto"/>
          <w:highlight w:val="none"/>
        </w:rPr>
        <w:t xml:space="preserve"> </w:t>
      </w:r>
      <w:bookmarkStart w:id="30" w:name="_Toc11814"/>
      <w:bookmarkStart w:id="31" w:name="_Toc16079"/>
      <w:r>
        <w:rPr>
          <w:rFonts w:hint="eastAsia"/>
          <w:color w:val="auto"/>
          <w:highlight w:val="none"/>
        </w:rPr>
        <w:t>竞争性磋商文件</w:t>
      </w:r>
      <w:bookmarkEnd w:id="27"/>
      <w:bookmarkEnd w:id="28"/>
      <w:bookmarkEnd w:id="29"/>
      <w:bookmarkEnd w:id="30"/>
      <w:bookmarkEnd w:id="31"/>
    </w:p>
    <w:p w14:paraId="696C45BE">
      <w:pP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6</w:t>
      </w:r>
      <w:r>
        <w:rPr>
          <w:rFonts w:hint="eastAsia" w:ascii="宋体" w:hAnsi="宋体" w:cs="宋体"/>
          <w:b/>
          <w:bCs/>
          <w:color w:val="auto"/>
          <w:sz w:val="24"/>
          <w:szCs w:val="24"/>
          <w:highlight w:val="none"/>
        </w:rPr>
        <w:t>、磋商文件的组成</w:t>
      </w:r>
    </w:p>
    <w:p w14:paraId="394DADDC">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6.1</w:t>
      </w:r>
      <w:r>
        <w:rPr>
          <w:rFonts w:hint="eastAsia" w:ascii="宋体" w:hAnsi="宋体" w:cs="宋体"/>
          <w:color w:val="auto"/>
          <w:sz w:val="24"/>
          <w:szCs w:val="24"/>
          <w:highlight w:val="none"/>
        </w:rPr>
        <w:t>本磋商文件包括目录所示内容及所有按本须知发出的补充资料（如果有）。</w:t>
      </w:r>
    </w:p>
    <w:p w14:paraId="27EB6CA7">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6.2</w:t>
      </w:r>
      <w:r>
        <w:rPr>
          <w:rFonts w:hint="eastAsia" w:ascii="宋体" w:hAnsi="宋体" w:cs="宋体"/>
          <w:color w:val="auto"/>
          <w:sz w:val="24"/>
          <w:szCs w:val="24"/>
          <w:highlight w:val="none"/>
        </w:rPr>
        <w:t>除上述所列内容外，采购人及采购代理机构的任何工作人员对磋商供应商所作的任何口头解释、介绍、答复，只能供磋商供应商参考，对采购人和磋商供应商无任何约束力。</w:t>
      </w:r>
    </w:p>
    <w:p w14:paraId="3AEA0473">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6.3</w:t>
      </w:r>
      <w:r>
        <w:rPr>
          <w:rFonts w:hint="eastAsia" w:ascii="宋体" w:hAnsi="宋体" w:cs="宋体"/>
          <w:color w:val="auto"/>
          <w:sz w:val="24"/>
          <w:szCs w:val="24"/>
          <w:highlight w:val="none"/>
        </w:rPr>
        <w:t>磋商供应商应仔细阅读磋商文件的所有内容，按照文件要求提交响应文件，并保证所提交的全部资料的真实性。不按磋商文件的要求提供的响应文件和资料，可能导致磋商被拒绝。</w:t>
      </w:r>
    </w:p>
    <w:p w14:paraId="4DBBD637">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6.4</w:t>
      </w:r>
      <w:r>
        <w:rPr>
          <w:rFonts w:hint="eastAsia" w:ascii="宋体" w:hAnsi="宋体" w:cs="宋体"/>
          <w:color w:val="auto"/>
          <w:sz w:val="24"/>
          <w:szCs w:val="24"/>
          <w:highlight w:val="none"/>
        </w:rPr>
        <w:t>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14:paraId="5109AB9A">
      <w:pPr>
        <w:adjustRightInd w:val="0"/>
        <w:spacing w:line="336" w:lineRule="auto"/>
        <w:ind w:firstLine="472" w:firstLineChars="196"/>
        <w:rPr>
          <w:rFonts w:ascii="宋体"/>
          <w:b/>
          <w:bCs/>
          <w:color w:val="auto"/>
          <w:sz w:val="24"/>
          <w:szCs w:val="24"/>
          <w:highlight w:val="none"/>
        </w:rPr>
      </w:pPr>
      <w:r>
        <w:rPr>
          <w:rFonts w:ascii="宋体" w:hAnsi="宋体" w:cs="宋体"/>
          <w:b/>
          <w:bCs/>
          <w:color w:val="auto"/>
          <w:sz w:val="24"/>
          <w:szCs w:val="24"/>
          <w:highlight w:val="none"/>
        </w:rPr>
        <w:t>7</w:t>
      </w:r>
      <w:r>
        <w:rPr>
          <w:rFonts w:hint="eastAsia" w:ascii="宋体" w:hAnsi="宋体" w:cs="宋体"/>
          <w:b/>
          <w:bCs/>
          <w:color w:val="auto"/>
          <w:sz w:val="24"/>
          <w:szCs w:val="24"/>
          <w:highlight w:val="none"/>
        </w:rPr>
        <w:t>、磋商文件的澄清与修改</w:t>
      </w:r>
    </w:p>
    <w:p w14:paraId="115B2C2A">
      <w:pPr>
        <w:pStyle w:val="3"/>
        <w:spacing w:line="336" w:lineRule="auto"/>
        <w:ind w:firstLine="480" w:firstLineChars="200"/>
        <w:rPr>
          <w:rFonts w:cs="Times New Roman"/>
          <w:color w:val="auto"/>
          <w:highlight w:val="none"/>
        </w:rPr>
      </w:pPr>
      <w:r>
        <w:rPr>
          <w:color w:val="auto"/>
          <w:highlight w:val="none"/>
        </w:rPr>
        <w:t>7.1</w:t>
      </w:r>
      <w:r>
        <w:rPr>
          <w:rFonts w:hint="eastAsia"/>
          <w:color w:val="auto"/>
          <w:highlight w:val="none"/>
        </w:rPr>
        <w:t>磋商供应商在收到竞争性磋商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14:paraId="0151BFDB">
      <w:pPr>
        <w:pStyle w:val="3"/>
        <w:spacing w:line="336" w:lineRule="auto"/>
        <w:ind w:right="-252" w:rightChars="-120" w:firstLine="480" w:firstLineChars="200"/>
        <w:rPr>
          <w:rFonts w:cs="Times New Roman"/>
          <w:color w:val="auto"/>
          <w:highlight w:val="none"/>
        </w:rPr>
      </w:pPr>
      <w:r>
        <w:rPr>
          <w:color w:val="auto"/>
          <w:highlight w:val="none"/>
        </w:rPr>
        <w:t>7.2</w:t>
      </w:r>
      <w:r>
        <w:rPr>
          <w:rFonts w:hint="eastAsia"/>
          <w:color w:val="auto"/>
          <w:highlight w:val="none"/>
        </w:rPr>
        <w:t>磋商供应商要求解释或澄清的问题应以书面形式，并加盖公章、写明日期。</w:t>
      </w:r>
    </w:p>
    <w:p w14:paraId="40C2FA99">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7.3</w:t>
      </w:r>
      <w:r>
        <w:rPr>
          <w:rFonts w:hint="eastAsia" w:ascii="宋体" w:hAnsi="宋体" w:cs="宋体"/>
          <w:color w:val="auto"/>
          <w:sz w:val="24"/>
          <w:szCs w:val="24"/>
          <w:highlight w:val="none"/>
        </w:rPr>
        <w:t>提交响应文件截止之日前，采购人、采购代理机构或者磋商小组可以对已发出的磋商文件进行必要的澄清或者修改，澄清或者修改的内容作为磋商文件的组成部分。</w:t>
      </w:r>
    </w:p>
    <w:p w14:paraId="4008CD67">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7.4</w:t>
      </w:r>
      <w:r>
        <w:rPr>
          <w:rFonts w:hint="eastAsia" w:ascii="宋体" w:hAnsi="宋体" w:cs="宋体"/>
          <w:color w:val="auto"/>
          <w:sz w:val="24"/>
          <w:szCs w:val="24"/>
          <w:highlight w:val="none"/>
        </w:rPr>
        <w:t>竞争性磋商文件的澄清修改文件及更正补充公告，请自行登录浙江政府采购网或绍兴市上虞区公共资源交易中心网站，在采购公告页面中下载。</w:t>
      </w:r>
    </w:p>
    <w:p w14:paraId="4CA88956">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7.5</w:t>
      </w:r>
      <w:r>
        <w:rPr>
          <w:rFonts w:hint="eastAsia" w:ascii="宋体" w:hAnsi="宋体" w:cs="宋体"/>
          <w:color w:val="auto"/>
          <w:sz w:val="24"/>
          <w:szCs w:val="24"/>
          <w:highlight w:val="none"/>
        </w:rPr>
        <w:t>澄清或者修改的内容可能影响响应文件编制的，采购人、采购代理机构将在提交响应文件截止时间至少</w:t>
      </w:r>
      <w:r>
        <w:rPr>
          <w:rFonts w:ascii="宋体" w:hAnsi="宋体" w:cs="宋体"/>
          <w:color w:val="auto"/>
          <w:sz w:val="24"/>
          <w:szCs w:val="24"/>
          <w:highlight w:val="none"/>
        </w:rPr>
        <w:t>5</w:t>
      </w:r>
      <w:r>
        <w:rPr>
          <w:rFonts w:hint="eastAsia" w:ascii="宋体" w:hAnsi="宋体" w:cs="宋体"/>
          <w:color w:val="auto"/>
          <w:sz w:val="24"/>
          <w:szCs w:val="24"/>
          <w:highlight w:val="none"/>
        </w:rPr>
        <w:t>日前，以公告形式通知所有获取磋商文件的供应商；不足</w:t>
      </w:r>
      <w:r>
        <w:rPr>
          <w:rFonts w:ascii="宋体" w:hAnsi="宋体" w:cs="宋体"/>
          <w:color w:val="auto"/>
          <w:sz w:val="24"/>
          <w:szCs w:val="24"/>
          <w:highlight w:val="none"/>
        </w:rPr>
        <w:t>5</w:t>
      </w:r>
      <w:r>
        <w:rPr>
          <w:rFonts w:hint="eastAsia" w:ascii="宋体" w:hAnsi="宋体" w:cs="宋体"/>
          <w:color w:val="auto"/>
          <w:sz w:val="24"/>
          <w:szCs w:val="24"/>
          <w:highlight w:val="none"/>
        </w:rPr>
        <w:t>日的，采购人、采购代理机构可能会顺延提交首次响应文件截止时间。澄清或者修改的内容未对原磋商文件作出重大修改或不会影响响应文件编制的，递交首次响应文件截止时间不变。</w:t>
      </w:r>
    </w:p>
    <w:p w14:paraId="5852022A">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7.6</w:t>
      </w:r>
      <w:r>
        <w:rPr>
          <w:rFonts w:hint="eastAsia" w:ascii="宋体" w:hAnsi="宋体" w:cs="宋体"/>
          <w:color w:val="auto"/>
          <w:sz w:val="24"/>
          <w:szCs w:val="24"/>
          <w:highlight w:val="none"/>
        </w:rPr>
        <w:t>竞争性磋商文件澄清、答复、修改、补充的内容为竞争性磋商文件的组成部分。</w:t>
      </w:r>
    </w:p>
    <w:p w14:paraId="1DC22185">
      <w:pPr>
        <w:pStyle w:val="6"/>
        <w:spacing w:line="336" w:lineRule="auto"/>
        <w:rPr>
          <w:rFonts w:ascii="宋体"/>
          <w:color w:val="auto"/>
          <w:sz w:val="24"/>
          <w:szCs w:val="24"/>
          <w:highlight w:val="none"/>
        </w:rPr>
      </w:pPr>
      <w:r>
        <w:rPr>
          <w:rFonts w:ascii="宋体" w:hAnsi="宋体" w:cs="宋体"/>
          <w:color w:val="auto"/>
          <w:sz w:val="24"/>
          <w:szCs w:val="24"/>
          <w:highlight w:val="none"/>
        </w:rPr>
        <w:t>7.7</w:t>
      </w:r>
      <w:r>
        <w:rPr>
          <w:rFonts w:hint="eastAsia" w:ascii="宋体" w:hAnsi="宋体" w:cs="宋体"/>
          <w:color w:val="auto"/>
          <w:sz w:val="24"/>
          <w:szCs w:val="24"/>
          <w:highlight w:val="none"/>
        </w:rPr>
        <w:t>磋商文件发售截止日后，经采购人同意后购买磋商文件的磋商供应商不得对磋商文件和补充文件提出答疑或质疑。</w:t>
      </w:r>
    </w:p>
    <w:p w14:paraId="3657EF0E">
      <w:pPr>
        <w:pStyle w:val="5"/>
        <w:numPr>
          <w:ilvl w:val="0"/>
          <w:numId w:val="8"/>
        </w:numPr>
        <w:spacing w:line="336" w:lineRule="auto"/>
        <w:jc w:val="center"/>
        <w:rPr>
          <w:rFonts w:cs="Times New Roman"/>
          <w:color w:val="auto"/>
          <w:highlight w:val="none"/>
        </w:rPr>
      </w:pPr>
      <w:bookmarkStart w:id="32" w:name="_Toc26027"/>
      <w:bookmarkStart w:id="33" w:name="_Toc11093"/>
      <w:bookmarkStart w:id="34" w:name="_Toc1828"/>
      <w:bookmarkStart w:id="35" w:name="_Toc1202"/>
      <w:bookmarkStart w:id="36" w:name="_Toc23135"/>
      <w:bookmarkStart w:id="37" w:name="_Toc7126"/>
      <w:bookmarkStart w:id="38" w:name="_Toc1729"/>
      <w:bookmarkStart w:id="39" w:name="_Toc10810"/>
      <w:bookmarkStart w:id="40" w:name="_Toc26603"/>
      <w:bookmarkStart w:id="41" w:name="_Toc10669"/>
      <w:bookmarkStart w:id="42" w:name="_Toc6079"/>
      <w:bookmarkStart w:id="43" w:name="_Toc11669"/>
      <w:bookmarkStart w:id="44" w:name="_Toc391298957"/>
      <w:bookmarkStart w:id="45" w:name="_Toc24622"/>
      <w:bookmarkStart w:id="46" w:name="_Toc11692"/>
      <w:bookmarkStart w:id="47" w:name="_Toc31748"/>
      <w:bookmarkStart w:id="48" w:name="_Toc23975"/>
      <w:bookmarkStart w:id="49" w:name="_Toc18702"/>
      <w:bookmarkStart w:id="50" w:name="_Toc8860"/>
      <w:bookmarkStart w:id="51" w:name="_Toc6273"/>
      <w:bookmarkStart w:id="52" w:name="_Toc6457"/>
      <w:bookmarkStart w:id="53" w:name="_Toc14650"/>
      <w:r>
        <w:rPr>
          <w:color w:val="auto"/>
          <w:highlight w:val="none"/>
        </w:rPr>
        <w:t xml:space="preserve"> </w:t>
      </w:r>
      <w:bookmarkStart w:id="54" w:name="_Toc24982"/>
      <w:bookmarkStart w:id="55" w:name="_Toc11515"/>
      <w:r>
        <w:rPr>
          <w:rFonts w:hint="eastAsia"/>
          <w:color w:val="auto"/>
          <w:highlight w:val="none"/>
        </w:rPr>
        <w:t>竞争性磋商响应文件的编写</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4060645D">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、要求</w:t>
      </w:r>
    </w:p>
    <w:p w14:paraId="019EF728">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8.1</w:t>
      </w:r>
      <w:r>
        <w:rPr>
          <w:rFonts w:hint="eastAsia" w:ascii="宋体" w:hAnsi="宋体" w:cs="宋体"/>
          <w:color w:val="auto"/>
          <w:sz w:val="24"/>
          <w:szCs w:val="24"/>
          <w:highlight w:val="none"/>
        </w:rPr>
        <w:t>供应商应仔细阅读竞争性磋商文件的所有内容，按照竞争性磋商文件的要求提交竞争性磋商响应文件。竞争性磋商响应文件应对竞争性磋商文件的要求做出实质性响应，并保证所提供的全部资料的真实性，否则视其为虚假响应，其响应将被否决。</w:t>
      </w:r>
    </w:p>
    <w:p w14:paraId="554695CC">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8.2</w:t>
      </w:r>
      <w:r>
        <w:rPr>
          <w:rFonts w:hint="eastAsia" w:ascii="宋体" w:hAnsi="宋体" w:cs="宋体"/>
          <w:color w:val="auto"/>
          <w:sz w:val="24"/>
          <w:szCs w:val="24"/>
          <w:highlight w:val="none"/>
        </w:rPr>
        <w:t>报价</w:t>
      </w:r>
    </w:p>
    <w:p w14:paraId="2064EB3E">
      <w:pPr>
        <w:spacing w:line="336" w:lineRule="auto"/>
        <w:ind w:firstLine="480" w:firstLineChars="200"/>
        <w:rPr>
          <w:rFonts w:ascii="宋体"/>
          <w:b/>
          <w:bCs/>
          <w:color w:val="auto"/>
          <w:sz w:val="24"/>
          <w:szCs w:val="24"/>
          <w:highlight w:val="none"/>
          <w:shd w:val="clear" w:color="FFFFFF" w:fill="D9D9D9"/>
        </w:rPr>
      </w:pPr>
      <w:r>
        <w:rPr>
          <w:rFonts w:ascii="宋体" w:hAnsi="宋体" w:cs="宋体"/>
          <w:color w:val="auto"/>
          <w:sz w:val="24"/>
          <w:szCs w:val="24"/>
          <w:highlight w:val="none"/>
        </w:rPr>
        <w:t>8.2.1</w:t>
      </w:r>
      <w:r>
        <w:rPr>
          <w:rFonts w:hint="eastAsia" w:ascii="宋体" w:hAnsi="宋体" w:cs="宋体"/>
          <w:color w:val="auto"/>
          <w:sz w:val="24"/>
          <w:szCs w:val="24"/>
          <w:highlight w:val="none"/>
        </w:rPr>
        <w:t>本次报价非一次性报价，报价币种为人民币。在磋商后根据磋商情况（包括细化采购方案和要求，增补部分采购内容等），供应商须二次报价（最终报价），</w:t>
      </w:r>
      <w:r>
        <w:rPr>
          <w:rFonts w:hint="eastAsia" w:ascii="宋体" w:hAnsi="宋体" w:cs="宋体"/>
          <w:b/>
          <w:bCs/>
          <w:color w:val="auto"/>
          <w:sz w:val="24"/>
          <w:szCs w:val="24"/>
          <w:highlight w:val="none"/>
        </w:rPr>
        <w:t>如果供应商在规定时间</w:t>
      </w:r>
      <w:r>
        <w:rPr>
          <w:rFonts w:ascii="宋体" w:hAnsi="宋体" w:cs="宋体"/>
          <w:b/>
          <w:bCs/>
          <w:color w:val="auto"/>
          <w:sz w:val="24"/>
          <w:szCs w:val="24"/>
          <w:highlight w:val="none"/>
        </w:rPr>
        <w:t>30</w:t>
      </w:r>
      <w:r>
        <w:rPr>
          <w:rFonts w:hint="eastAsia" w:ascii="宋体" w:hAnsi="宋体" w:cs="宋体"/>
          <w:b/>
          <w:bCs/>
          <w:color w:val="auto"/>
          <w:sz w:val="24"/>
          <w:szCs w:val="24"/>
          <w:highlight w:val="none"/>
        </w:rPr>
        <w:t>分钟内未提交第二次报价，视该供应商放弃本次投标，作无效标处理</w:t>
      </w:r>
      <w:r>
        <w:rPr>
          <w:rFonts w:hint="eastAsia" w:ascii="宋体" w:hAnsi="宋体" w:cs="宋体"/>
          <w:color w:val="auto"/>
          <w:sz w:val="24"/>
          <w:szCs w:val="24"/>
          <w:highlight w:val="none"/>
        </w:rPr>
        <w:t>。</w:t>
      </w:r>
    </w:p>
    <w:p w14:paraId="26496768">
      <w:pPr>
        <w:pStyle w:val="57"/>
        <w:tabs>
          <w:tab w:val="left" w:pos="0"/>
        </w:tabs>
        <w:spacing w:line="336" w:lineRule="auto"/>
        <w:ind w:firstLine="480"/>
        <w:rPr>
          <w:rFonts w:ascii="宋体"/>
          <w:color w:val="auto"/>
          <w:highlight w:val="none"/>
          <w:u w:val="single"/>
        </w:rPr>
      </w:pPr>
      <w:r>
        <w:rPr>
          <w:rFonts w:ascii="宋体" w:hAnsi="宋体" w:cs="宋体"/>
          <w:color w:val="auto"/>
          <w:highlight w:val="none"/>
          <w:u w:val="none"/>
        </w:rPr>
        <w:t>8.2.2</w:t>
      </w:r>
      <w:r>
        <w:rPr>
          <w:rFonts w:hint="eastAsia" w:ascii="宋体" w:hAnsi="宋体" w:cs="宋体"/>
          <w:color w:val="auto"/>
          <w:highlight w:val="none"/>
          <w:u w:val="single"/>
        </w:rPr>
        <w:t>投标报价应包含项目所需全部服务，不得缺漏，是履行合同的最终价格（包括人员的工资、福利、保险费、工具、设备、检测费、交通费、食宿费、管理费、招标代理费、税费等一切费用）。</w:t>
      </w:r>
      <w:r>
        <w:rPr>
          <w:rFonts w:hint="eastAsia" w:cs="宋体"/>
          <w:color w:val="auto"/>
          <w:highlight w:val="none"/>
        </w:rPr>
        <w:t>供应商在编写方案时应充分考虑各种风险因素，凡供应商漏项、漏报均认为已包含在报价中，结算时不再增加。</w:t>
      </w:r>
    </w:p>
    <w:p w14:paraId="25A98D4C">
      <w:pP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投标报价固定是指供应商所填写的投标报价在合同实施期间不因市场因素而变动，供应商在计算报价时可考虑一定的风险系数（由供应商自行考虑）。</w:t>
      </w:r>
    </w:p>
    <w:p w14:paraId="222C1795">
      <w:pPr>
        <w:spacing w:line="336" w:lineRule="auto"/>
        <w:ind w:firstLine="480" w:firstLineChars="200"/>
        <w:rPr>
          <w:rFonts w:ascii="宋体"/>
          <w:color w:val="auto"/>
          <w:highlight w:val="none"/>
        </w:rPr>
      </w:pPr>
      <w:r>
        <w:rPr>
          <w:rFonts w:ascii="宋体" w:hAnsi="宋体" w:cs="宋体"/>
          <w:color w:val="auto"/>
          <w:sz w:val="24"/>
          <w:szCs w:val="24"/>
          <w:highlight w:val="none"/>
        </w:rPr>
        <w:t>8.2.3</w:t>
      </w:r>
      <w:r>
        <w:rPr>
          <w:rFonts w:hint="eastAsia" w:ascii="宋体" w:hAnsi="宋体" w:cs="宋体"/>
          <w:color w:val="auto"/>
          <w:sz w:val="24"/>
          <w:szCs w:val="24"/>
          <w:highlight w:val="none"/>
        </w:rPr>
        <w:t>供应商的报价作为供应商计算单价或总价的依据，应是完成技术文件中的所有要求，不得以任何理由予以重复，供应商对报价若有说明应在报价一览表备注处注明。任何有选择的报价方案及价格将不予接受。</w:t>
      </w:r>
    </w:p>
    <w:p w14:paraId="458EEBE6">
      <w:pPr>
        <w:pStyle w:val="15"/>
        <w:spacing w:line="336" w:lineRule="auto"/>
        <w:ind w:firstLine="482" w:firstLineChars="200"/>
        <w:rPr>
          <w:rFonts w:hAnsi="宋体" w:cs="Times New Roman"/>
          <w:b/>
          <w:bCs/>
          <w:color w:val="auto"/>
          <w:sz w:val="24"/>
          <w:szCs w:val="24"/>
          <w:highlight w:val="none"/>
          <w:u w:val="single"/>
        </w:rPr>
      </w:pPr>
      <w:r>
        <w:rPr>
          <w:rFonts w:hAnsi="宋体"/>
          <w:b/>
          <w:bCs/>
          <w:color w:val="auto"/>
          <w:sz w:val="24"/>
          <w:szCs w:val="24"/>
          <w:highlight w:val="none"/>
        </w:rPr>
        <w:t>9</w:t>
      </w:r>
      <w:r>
        <w:rPr>
          <w:rFonts w:hint="eastAsia" w:hAnsi="宋体"/>
          <w:b/>
          <w:bCs/>
          <w:color w:val="auto"/>
          <w:sz w:val="24"/>
          <w:szCs w:val="24"/>
          <w:highlight w:val="none"/>
        </w:rPr>
        <w:t>、响应文件的组成</w:t>
      </w:r>
      <w:r>
        <w:rPr>
          <w:rFonts w:hint="eastAsia" w:hAnsi="宋体"/>
          <w:b/>
          <w:bCs/>
          <w:color w:val="auto"/>
          <w:sz w:val="24"/>
          <w:szCs w:val="24"/>
          <w:highlight w:val="none"/>
          <w:u w:val="single"/>
        </w:rPr>
        <w:t>（供应商应根据采购文件的要求提供相应的内容且设置关联定位，供应商可查看《供应商</w:t>
      </w:r>
      <w:r>
        <w:rPr>
          <w:rFonts w:hAnsi="宋体"/>
          <w:b/>
          <w:bCs/>
          <w:color w:val="auto"/>
          <w:sz w:val="24"/>
          <w:szCs w:val="24"/>
          <w:highlight w:val="none"/>
          <w:u w:val="single"/>
        </w:rPr>
        <w:t>-</w:t>
      </w:r>
      <w:r>
        <w:rPr>
          <w:rFonts w:hint="eastAsia" w:hAnsi="宋体"/>
          <w:b/>
          <w:bCs/>
          <w:color w:val="auto"/>
          <w:sz w:val="24"/>
          <w:szCs w:val="24"/>
          <w:highlight w:val="none"/>
          <w:u w:val="single"/>
        </w:rPr>
        <w:t>政府采购项目电子交易操作指南》进行操作：</w:t>
      </w:r>
      <w:r>
        <w:rPr>
          <w:rFonts w:hAnsi="宋体"/>
          <w:b/>
          <w:bCs/>
          <w:color w:val="auto"/>
          <w:sz w:val="24"/>
          <w:szCs w:val="24"/>
          <w:highlight w:val="none"/>
          <w:u w:val="single"/>
        </w:rPr>
        <w:t>https://help.zcygov.cn/web/site_2/2018/12-28/2573.html</w:t>
      </w:r>
      <w:r>
        <w:rPr>
          <w:rFonts w:hint="eastAsia" w:hAnsi="宋体"/>
          <w:b/>
          <w:bCs/>
          <w:color w:val="auto"/>
          <w:sz w:val="24"/>
          <w:szCs w:val="24"/>
          <w:highlight w:val="none"/>
          <w:u w:val="single"/>
        </w:rPr>
        <w:t>）</w:t>
      </w:r>
    </w:p>
    <w:p w14:paraId="3C3236B7">
      <w:pPr>
        <w:pStyle w:val="57"/>
        <w:tabs>
          <w:tab w:val="left" w:pos="0"/>
        </w:tabs>
        <w:spacing w:before="0" w:line="336" w:lineRule="auto"/>
        <w:ind w:firstLine="480"/>
        <w:rPr>
          <w:rFonts w:ascii="宋体"/>
          <w:color w:val="auto"/>
          <w:highlight w:val="none"/>
        </w:rPr>
      </w:pPr>
      <w:r>
        <w:rPr>
          <w:rFonts w:hint="eastAsia" w:ascii="宋体" w:hAnsi="宋体" w:cs="宋体"/>
          <w:color w:val="auto"/>
          <w:highlight w:val="none"/>
        </w:rPr>
        <w:t>响应文件应当包括以下主要内容：资格文件、商务技术文件、报价文件。</w:t>
      </w:r>
    </w:p>
    <w:p w14:paraId="4EE42FDA">
      <w:pPr>
        <w:pStyle w:val="57"/>
        <w:numPr>
          <w:ilvl w:val="0"/>
          <w:numId w:val="9"/>
        </w:numPr>
        <w:spacing w:before="0" w:line="336" w:lineRule="auto"/>
        <w:ind w:firstLine="480"/>
        <w:rPr>
          <w:rFonts w:ascii="宋体"/>
          <w:color w:val="auto"/>
          <w:highlight w:val="none"/>
        </w:rPr>
      </w:pPr>
      <w:r>
        <w:rPr>
          <w:rFonts w:hint="eastAsia" w:ascii="宋体" w:hAnsi="宋体" w:cs="宋体"/>
          <w:color w:val="auto"/>
          <w:highlight w:val="none"/>
        </w:rPr>
        <w:t>资格文件包括以下内容：</w:t>
      </w:r>
    </w:p>
    <w:p w14:paraId="314745AF">
      <w:pPr>
        <w:pStyle w:val="57"/>
        <w:numPr>
          <w:ilvl w:val="0"/>
          <w:numId w:val="10"/>
        </w:numPr>
        <w:spacing w:before="0" w:line="336" w:lineRule="auto"/>
        <w:ind w:firstLine="480"/>
        <w:rPr>
          <w:rFonts w:ascii="宋体"/>
          <w:color w:val="auto"/>
          <w:highlight w:val="none"/>
        </w:rPr>
      </w:pPr>
      <w:r>
        <w:rPr>
          <w:rFonts w:hint="eastAsia" w:ascii="宋体" w:hAnsi="宋体" w:cs="宋体"/>
          <w:color w:val="auto"/>
          <w:highlight w:val="none"/>
        </w:rPr>
        <w:t>法定代表人授权书（格式见附件）；如法定代表人直接参加投标并对相应文件签字的（签字是指线下签字扫描后上传或者线上进行电子签章），只需提供其身份证</w:t>
      </w:r>
      <w:r>
        <w:rPr>
          <w:rFonts w:hint="eastAsia" w:ascii="宋体" w:hAnsi="宋体" w:cs="宋体"/>
          <w:color w:val="auto"/>
          <w:highlight w:val="none"/>
          <w:lang w:eastAsia="zh-CN"/>
        </w:rPr>
        <w:t>扫描件</w:t>
      </w:r>
      <w:r>
        <w:rPr>
          <w:rFonts w:hint="eastAsia" w:ascii="宋体" w:hAnsi="宋体" w:cs="宋体"/>
          <w:color w:val="auto"/>
          <w:highlight w:val="none"/>
        </w:rPr>
        <w:t>，否则则应提供授权代表身份证</w:t>
      </w:r>
      <w:r>
        <w:rPr>
          <w:rFonts w:hint="eastAsia" w:ascii="宋体" w:hAnsi="宋体" w:cs="宋体"/>
          <w:color w:val="auto"/>
          <w:highlight w:val="none"/>
          <w:lang w:eastAsia="zh-CN"/>
        </w:rPr>
        <w:t>扫描件</w:t>
      </w:r>
      <w:r>
        <w:rPr>
          <w:rFonts w:hint="eastAsia" w:ascii="宋体" w:hAnsi="宋体" w:cs="宋体"/>
          <w:color w:val="auto"/>
          <w:highlight w:val="none"/>
        </w:rPr>
        <w:t>；</w:t>
      </w:r>
    </w:p>
    <w:p w14:paraId="24E1B1BE">
      <w:pPr>
        <w:pStyle w:val="57"/>
        <w:numPr>
          <w:ilvl w:val="0"/>
          <w:numId w:val="10"/>
        </w:numPr>
        <w:spacing w:before="0" w:line="336" w:lineRule="auto"/>
        <w:ind w:firstLine="480"/>
        <w:rPr>
          <w:rFonts w:ascii="宋体"/>
          <w:color w:val="auto"/>
          <w:highlight w:val="none"/>
        </w:rPr>
      </w:pPr>
      <w:r>
        <w:rPr>
          <w:rFonts w:hint="eastAsia" w:ascii="宋体" w:hAnsi="宋体" w:cs="宋体"/>
          <w:color w:val="auto"/>
          <w:highlight w:val="none"/>
        </w:rPr>
        <w:t>营业执照</w:t>
      </w:r>
      <w:r>
        <w:rPr>
          <w:rFonts w:ascii="宋体" w:hAnsi="宋体" w:cs="宋体"/>
          <w:color w:val="auto"/>
          <w:highlight w:val="none"/>
        </w:rPr>
        <w:t>(</w:t>
      </w:r>
      <w:r>
        <w:rPr>
          <w:rFonts w:hint="eastAsia" w:ascii="宋体" w:hAnsi="宋体" w:cs="宋体"/>
          <w:color w:val="auto"/>
          <w:highlight w:val="none"/>
        </w:rPr>
        <w:t>或事业法人登记证或其他工商等登记证明材料</w:t>
      </w:r>
      <w:r>
        <w:rPr>
          <w:rFonts w:ascii="宋体" w:hAnsi="宋体" w:cs="宋体"/>
          <w:color w:val="auto"/>
          <w:highlight w:val="none"/>
        </w:rPr>
        <w:t>)</w:t>
      </w:r>
      <w:r>
        <w:rPr>
          <w:rFonts w:hint="eastAsia" w:ascii="宋体" w:hAnsi="宋体" w:cs="宋体"/>
          <w:color w:val="auto"/>
          <w:highlight w:val="none"/>
          <w:lang w:eastAsia="zh-CN"/>
        </w:rPr>
        <w:t>扫描件</w:t>
      </w:r>
      <w:r>
        <w:rPr>
          <w:rFonts w:hint="eastAsia" w:ascii="宋体" w:hAnsi="宋体" w:cs="宋体"/>
          <w:color w:val="auto"/>
          <w:highlight w:val="none"/>
        </w:rPr>
        <w:t>、税务登记证</w:t>
      </w:r>
      <w:r>
        <w:rPr>
          <w:rFonts w:ascii="宋体" w:hAnsi="宋体" w:cs="宋体"/>
          <w:color w:val="auto"/>
          <w:highlight w:val="none"/>
        </w:rPr>
        <w:t>(</w:t>
      </w:r>
      <w:r>
        <w:rPr>
          <w:rFonts w:hint="eastAsia" w:ascii="宋体" w:hAnsi="宋体" w:cs="宋体"/>
          <w:color w:val="auto"/>
          <w:highlight w:val="none"/>
        </w:rPr>
        <w:t>或其它缴纳证明材料</w:t>
      </w:r>
      <w:r>
        <w:rPr>
          <w:rFonts w:ascii="宋体" w:hAnsi="宋体" w:cs="宋体"/>
          <w:color w:val="auto"/>
          <w:highlight w:val="none"/>
        </w:rPr>
        <w:t>)</w:t>
      </w:r>
      <w:r>
        <w:rPr>
          <w:rFonts w:hint="eastAsia" w:ascii="宋体" w:hAnsi="宋体" w:cs="宋体"/>
          <w:color w:val="auto"/>
          <w:highlight w:val="none"/>
          <w:lang w:eastAsia="zh-CN"/>
        </w:rPr>
        <w:t>扫描件</w:t>
      </w:r>
      <w:r>
        <w:rPr>
          <w:rFonts w:hint="eastAsia" w:ascii="宋体" w:hAnsi="宋体" w:cs="宋体"/>
          <w:color w:val="auto"/>
          <w:highlight w:val="none"/>
        </w:rPr>
        <w:t>、社保登记证（或其它缴纳证明材料）</w:t>
      </w:r>
      <w:r>
        <w:rPr>
          <w:rFonts w:hint="eastAsia" w:ascii="宋体" w:hAnsi="宋体" w:cs="宋体"/>
          <w:color w:val="auto"/>
          <w:highlight w:val="none"/>
          <w:lang w:eastAsia="zh-CN"/>
        </w:rPr>
        <w:t>扫描件</w:t>
      </w:r>
      <w:r>
        <w:rPr>
          <w:rFonts w:hint="eastAsia" w:ascii="宋体" w:hAnsi="宋体" w:cs="宋体"/>
          <w:color w:val="auto"/>
          <w:highlight w:val="none"/>
        </w:rPr>
        <w:t>；实施“五证合一、一照一码”登记制度改革的，只需提供改革后取得的营业执照</w:t>
      </w:r>
      <w:r>
        <w:rPr>
          <w:rFonts w:hint="eastAsia" w:ascii="宋体" w:hAnsi="宋体" w:cs="宋体"/>
          <w:color w:val="auto"/>
          <w:highlight w:val="none"/>
          <w:lang w:eastAsia="zh-CN"/>
        </w:rPr>
        <w:t>扫描件</w:t>
      </w:r>
      <w:r>
        <w:rPr>
          <w:rFonts w:hint="eastAsia" w:ascii="宋体" w:hAnsi="宋体" w:cs="宋体"/>
          <w:color w:val="auto"/>
          <w:highlight w:val="none"/>
        </w:rPr>
        <w:t>；事业单位的，则提供有效的《事业单位法人证书》副本</w:t>
      </w:r>
      <w:r>
        <w:rPr>
          <w:rFonts w:hint="eastAsia" w:ascii="宋体" w:hAnsi="宋体" w:cs="宋体"/>
          <w:color w:val="auto"/>
          <w:highlight w:val="none"/>
          <w:lang w:eastAsia="zh-CN"/>
        </w:rPr>
        <w:t>扫描件</w:t>
      </w:r>
      <w:r>
        <w:rPr>
          <w:rFonts w:hint="eastAsia" w:ascii="宋体" w:hAnsi="宋体" w:cs="宋体"/>
          <w:color w:val="auto"/>
          <w:highlight w:val="none"/>
        </w:rPr>
        <w:t>并加盖单位公章；</w:t>
      </w:r>
    </w:p>
    <w:p w14:paraId="468DF605">
      <w:pPr>
        <w:pStyle w:val="57"/>
        <w:spacing w:before="0" w:line="336" w:lineRule="auto"/>
        <w:ind w:firstLine="480"/>
        <w:rPr>
          <w:rFonts w:ascii="宋体"/>
          <w:color w:val="auto"/>
          <w:highlight w:val="none"/>
        </w:rPr>
      </w:pPr>
      <w:r>
        <w:rPr>
          <w:rFonts w:hint="eastAsia" w:ascii="宋体" w:hAnsi="宋体" w:cs="宋体"/>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7B01B437">
      <w:pPr>
        <w:pStyle w:val="57"/>
        <w:numPr>
          <w:ilvl w:val="0"/>
          <w:numId w:val="10"/>
        </w:numPr>
        <w:spacing w:before="0" w:line="336" w:lineRule="auto"/>
        <w:ind w:firstLine="480"/>
        <w:rPr>
          <w:rFonts w:hint="eastAsia" w:ascii="宋体" w:hAnsi="宋体" w:cs="宋体"/>
          <w:color w:val="auto"/>
          <w:highlight w:val="none"/>
        </w:rPr>
      </w:pPr>
      <w:r>
        <w:rPr>
          <w:rFonts w:hint="eastAsia" w:ascii="宋体" w:hAnsi="宋体" w:cs="宋体"/>
          <w:color w:val="auto"/>
          <w:highlight w:val="none"/>
        </w:rPr>
        <w:t>具有履行合同所必需的产品和专业技术能力的承诺函；</w:t>
      </w:r>
    </w:p>
    <w:p w14:paraId="4E8096C3">
      <w:pPr>
        <w:pStyle w:val="57"/>
        <w:numPr>
          <w:ilvl w:val="0"/>
          <w:numId w:val="10"/>
        </w:numPr>
        <w:spacing w:before="0" w:line="336" w:lineRule="auto"/>
        <w:ind w:firstLine="480"/>
        <w:rPr>
          <w:rFonts w:ascii="宋体"/>
          <w:color w:val="auto"/>
          <w:highlight w:val="none"/>
        </w:rPr>
      </w:pPr>
      <w:r>
        <w:rPr>
          <w:rFonts w:hint="eastAsia" w:ascii="宋体" w:hAnsi="宋体" w:cs="宋体"/>
          <w:color w:val="auto"/>
          <w:highlight w:val="none"/>
        </w:rPr>
        <w:t>投标人承诺函（格式见附件）</w:t>
      </w:r>
      <w:r>
        <w:rPr>
          <w:rFonts w:hint="eastAsia" w:ascii="宋体" w:hAnsi="宋体" w:cs="宋体"/>
          <w:color w:val="auto"/>
          <w:highlight w:val="none"/>
          <w:lang w:eastAsia="zh-CN"/>
        </w:rPr>
        <w:t>；</w:t>
      </w:r>
    </w:p>
    <w:p w14:paraId="4812DD23">
      <w:pPr>
        <w:pStyle w:val="57"/>
        <w:numPr>
          <w:ilvl w:val="0"/>
          <w:numId w:val="10"/>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中小企业声明函（格式见附件）；</w:t>
      </w:r>
    </w:p>
    <w:p w14:paraId="4509523A">
      <w:pPr>
        <w:pStyle w:val="57"/>
        <w:numPr>
          <w:ilvl w:val="0"/>
          <w:numId w:val="10"/>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残疾人福利性单位声明函(如有)（格式见附件）；</w:t>
      </w:r>
    </w:p>
    <w:p w14:paraId="36309A17">
      <w:pPr>
        <w:pStyle w:val="57"/>
        <w:numPr>
          <w:ilvl w:val="0"/>
          <w:numId w:val="10"/>
        </w:numPr>
        <w:spacing w:before="0" w:line="336" w:lineRule="auto"/>
        <w:ind w:firstLine="480"/>
        <w:rPr>
          <w:rFonts w:ascii="宋体"/>
          <w:color w:val="auto"/>
          <w:highlight w:val="none"/>
        </w:rPr>
      </w:pPr>
      <w:r>
        <w:rPr>
          <w:rFonts w:hint="eastAsia" w:ascii="宋体" w:hAnsi="宋体" w:cs="宋体"/>
          <w:color w:val="auto"/>
          <w:highlight w:val="none"/>
          <w:lang w:val="en-US" w:eastAsia="zh-CN"/>
        </w:rPr>
        <w:t>监狱企业证明文件(如有)（格式见附件）。</w:t>
      </w:r>
    </w:p>
    <w:p w14:paraId="212C800F">
      <w:pPr>
        <w:pStyle w:val="57"/>
        <w:numPr>
          <w:ilvl w:val="0"/>
          <w:numId w:val="9"/>
        </w:numPr>
        <w:spacing w:before="0" w:line="336" w:lineRule="auto"/>
        <w:ind w:firstLine="480"/>
        <w:rPr>
          <w:rFonts w:ascii="宋体"/>
          <w:color w:val="auto"/>
          <w:highlight w:val="none"/>
        </w:rPr>
      </w:pPr>
      <w:r>
        <w:rPr>
          <w:rFonts w:hint="eastAsia" w:ascii="宋体" w:hAnsi="宋体" w:cs="宋体"/>
          <w:color w:val="auto"/>
          <w:highlight w:val="none"/>
        </w:rPr>
        <w:t>商务技术文件，本次磋商需要供应商提供以下项所列的技术文件：</w:t>
      </w:r>
    </w:p>
    <w:p w14:paraId="6292F722">
      <w:pPr>
        <w:pStyle w:val="57"/>
        <w:numPr>
          <w:ilvl w:val="0"/>
          <w:numId w:val="11"/>
        </w:numPr>
        <w:spacing w:before="0" w:line="336" w:lineRule="auto"/>
        <w:ind w:firstLine="480"/>
        <w:rPr>
          <w:rFonts w:ascii="宋体"/>
          <w:color w:val="auto"/>
          <w:highlight w:val="none"/>
        </w:rPr>
      </w:pPr>
      <w:r>
        <w:rPr>
          <w:rFonts w:hint="eastAsia" w:ascii="宋体" w:hAnsi="宋体" w:cs="宋体"/>
          <w:color w:val="auto"/>
          <w:highlight w:val="none"/>
        </w:rPr>
        <w:t>评分对应表（格式见附件</w:t>
      </w:r>
      <w:r>
        <w:rPr>
          <w:rFonts w:hint="eastAsia" w:ascii="宋体" w:hAnsi="宋体" w:cs="宋体"/>
          <w:color w:val="auto"/>
          <w:highlight w:val="none"/>
          <w:lang w:eastAsia="zh-CN"/>
        </w:rPr>
        <w:t>，主要用于评委对应评分内容</w:t>
      </w:r>
      <w:r>
        <w:rPr>
          <w:rFonts w:hint="eastAsia" w:ascii="宋体" w:hAnsi="宋体" w:cs="宋体"/>
          <w:color w:val="auto"/>
          <w:highlight w:val="none"/>
        </w:rPr>
        <w:t>）</w:t>
      </w:r>
      <w:r>
        <w:rPr>
          <w:rFonts w:hint="eastAsia" w:ascii="宋体" w:hAnsi="宋体" w:cs="宋体"/>
          <w:color w:val="auto"/>
          <w:highlight w:val="none"/>
          <w:lang w:eastAsia="zh-CN"/>
        </w:rPr>
        <w:t>；</w:t>
      </w:r>
    </w:p>
    <w:p w14:paraId="2F1D9A8A">
      <w:pPr>
        <w:pStyle w:val="57"/>
        <w:numPr>
          <w:ilvl w:val="0"/>
          <w:numId w:val="11"/>
        </w:numPr>
        <w:spacing w:before="0" w:line="336" w:lineRule="auto"/>
        <w:ind w:firstLine="480"/>
        <w:rPr>
          <w:rFonts w:ascii="宋体"/>
          <w:color w:val="auto"/>
          <w:highlight w:val="none"/>
        </w:rPr>
      </w:pPr>
      <w:r>
        <w:rPr>
          <w:rFonts w:hint="eastAsia" w:ascii="宋体" w:hAnsi="宋体" w:cs="宋体"/>
          <w:color w:val="auto"/>
          <w:highlight w:val="none"/>
        </w:rPr>
        <w:t>供应商商务技术文件中资信分自评表（格式见附件）；</w:t>
      </w:r>
    </w:p>
    <w:p w14:paraId="61D1F044">
      <w:pPr>
        <w:pStyle w:val="57"/>
        <w:numPr>
          <w:ilvl w:val="0"/>
          <w:numId w:val="11"/>
        </w:numPr>
        <w:spacing w:before="0" w:line="336" w:lineRule="auto"/>
        <w:ind w:firstLine="480"/>
        <w:rPr>
          <w:rFonts w:ascii="宋体"/>
          <w:color w:val="auto"/>
          <w:highlight w:val="none"/>
        </w:rPr>
      </w:pPr>
      <w:r>
        <w:rPr>
          <w:rFonts w:hint="eastAsia" w:ascii="宋体" w:hAnsi="宋体" w:cs="宋体"/>
          <w:color w:val="auto"/>
          <w:highlight w:val="none"/>
        </w:rPr>
        <w:t>磋商项目明细清单（格式见附件）；</w:t>
      </w:r>
    </w:p>
    <w:p w14:paraId="58B63647">
      <w:pPr>
        <w:pStyle w:val="57"/>
        <w:numPr>
          <w:ilvl w:val="0"/>
          <w:numId w:val="11"/>
        </w:numPr>
        <w:spacing w:before="0" w:line="336" w:lineRule="auto"/>
        <w:ind w:firstLine="480"/>
        <w:rPr>
          <w:rFonts w:ascii="宋体"/>
          <w:color w:val="auto"/>
          <w:highlight w:val="none"/>
        </w:rPr>
      </w:pPr>
      <w:r>
        <w:rPr>
          <w:rFonts w:hint="eastAsia" w:ascii="宋体" w:hAnsi="宋体" w:cs="宋体"/>
          <w:color w:val="auto"/>
          <w:highlight w:val="none"/>
        </w:rPr>
        <w:t>技术响应及建议表（格式见附件）；</w:t>
      </w:r>
    </w:p>
    <w:p w14:paraId="37F66102">
      <w:pPr>
        <w:pStyle w:val="57"/>
        <w:numPr>
          <w:ilvl w:val="0"/>
          <w:numId w:val="11"/>
        </w:numPr>
        <w:spacing w:before="0" w:line="336" w:lineRule="auto"/>
        <w:ind w:firstLine="480"/>
        <w:rPr>
          <w:rFonts w:ascii="宋体" w:hAnsi="宋体" w:cs="宋体"/>
          <w:color w:val="auto"/>
          <w:highlight w:val="none"/>
        </w:rPr>
      </w:pPr>
      <w:r>
        <w:rPr>
          <w:rFonts w:hint="eastAsia" w:ascii="宋体" w:hAnsi="宋体" w:cs="宋体"/>
          <w:color w:val="auto"/>
          <w:highlight w:val="none"/>
        </w:rPr>
        <w:t>商务响应表（格式见附件）；</w:t>
      </w:r>
    </w:p>
    <w:p w14:paraId="0215E2C4">
      <w:pPr>
        <w:pStyle w:val="57"/>
        <w:numPr>
          <w:ilvl w:val="0"/>
          <w:numId w:val="11"/>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项目理解；</w:t>
      </w:r>
    </w:p>
    <w:p w14:paraId="31A121A3">
      <w:pPr>
        <w:pStyle w:val="57"/>
        <w:numPr>
          <w:ilvl w:val="0"/>
          <w:numId w:val="11"/>
        </w:numPr>
        <w:spacing w:before="0" w:line="336" w:lineRule="auto"/>
        <w:ind w:firstLine="480"/>
        <w:rPr>
          <w:rFonts w:hint="eastAsia" w:ascii="宋体" w:hAnsi="宋体" w:cs="宋体"/>
          <w:color w:val="auto"/>
          <w:highlight w:val="none"/>
          <w:lang w:eastAsia="zh-CN"/>
        </w:rPr>
      </w:pPr>
      <w:r>
        <w:rPr>
          <w:rFonts w:hint="eastAsia" w:ascii="宋体" w:hAnsi="宋体" w:cs="宋体"/>
          <w:color w:val="auto"/>
          <w:highlight w:val="none"/>
          <w:lang w:eastAsia="zh-CN"/>
        </w:rPr>
        <w:t>重难点分析</w:t>
      </w:r>
      <w:r>
        <w:rPr>
          <w:rFonts w:hint="eastAsia" w:ascii="宋体" w:hAnsi="宋体" w:cs="宋体"/>
          <w:color w:val="auto"/>
          <w:highlight w:val="none"/>
          <w:lang w:val="en-US" w:eastAsia="zh-CN"/>
        </w:rPr>
        <w:t>及解决措施</w:t>
      </w:r>
      <w:r>
        <w:rPr>
          <w:rFonts w:hint="eastAsia" w:ascii="宋体" w:hAnsi="宋体" w:cs="宋体"/>
          <w:color w:val="auto"/>
          <w:highlight w:val="none"/>
          <w:lang w:eastAsia="zh-CN"/>
        </w:rPr>
        <w:t>；</w:t>
      </w:r>
    </w:p>
    <w:p w14:paraId="7BD1B7F0">
      <w:pPr>
        <w:pStyle w:val="57"/>
        <w:numPr>
          <w:ilvl w:val="0"/>
          <w:numId w:val="11"/>
        </w:numPr>
        <w:spacing w:before="0" w:line="336" w:lineRule="auto"/>
        <w:ind w:firstLine="480"/>
        <w:rPr>
          <w:rFonts w:hint="eastAsia" w:ascii="宋体" w:hAnsi="宋体" w:cs="宋体"/>
          <w:color w:val="auto"/>
          <w:highlight w:val="none"/>
          <w:lang w:val="en-US" w:eastAsia="zh-CN"/>
        </w:rPr>
      </w:pPr>
      <w:r>
        <w:rPr>
          <w:rFonts w:hint="eastAsia" w:ascii="宋体" w:hAnsi="宋体" w:eastAsia="宋体" w:cs="宋体"/>
          <w:b w:val="0"/>
          <w:bCs w:val="0"/>
          <w:color w:val="auto"/>
          <w:sz w:val="24"/>
          <w:szCs w:val="24"/>
          <w:lang w:val="en-US" w:eastAsia="zh-CN"/>
        </w:rPr>
        <w:t>技术服务方案</w:t>
      </w:r>
      <w:r>
        <w:rPr>
          <w:rFonts w:hint="eastAsia" w:ascii="宋体" w:hAnsi="宋体" w:cs="宋体"/>
          <w:color w:val="auto"/>
          <w:highlight w:val="none"/>
          <w:lang w:eastAsia="zh-CN"/>
        </w:rPr>
        <w:t>；</w:t>
      </w:r>
    </w:p>
    <w:p w14:paraId="7B430A7E">
      <w:pPr>
        <w:pStyle w:val="57"/>
        <w:numPr>
          <w:ilvl w:val="0"/>
          <w:numId w:val="11"/>
        </w:numPr>
        <w:spacing w:before="0" w:line="336" w:lineRule="auto"/>
        <w:ind w:firstLine="480"/>
        <w:rPr>
          <w:rFonts w:hint="eastAsia" w:ascii="宋体" w:hAnsi="宋体" w:cs="宋体"/>
          <w:color w:val="auto"/>
          <w:highlight w:val="none"/>
          <w:lang w:val="en-US" w:eastAsia="zh-CN"/>
        </w:rPr>
      </w:pPr>
      <w:r>
        <w:rPr>
          <w:rFonts w:hint="eastAsia" w:ascii="宋体" w:hAnsi="宋体" w:cs="宋体"/>
          <w:b w:val="0"/>
          <w:bCs w:val="0"/>
          <w:iCs/>
          <w:color w:val="auto"/>
          <w:sz w:val="24"/>
          <w:szCs w:val="24"/>
          <w:highlight w:val="none"/>
          <w:lang w:val="en-US" w:eastAsia="zh-CN"/>
        </w:rPr>
        <w:t>人员</w:t>
      </w:r>
      <w:r>
        <w:rPr>
          <w:rFonts w:hint="eastAsia" w:ascii="宋体" w:hAnsi="宋体" w:eastAsia="宋体" w:cs="宋体"/>
          <w:b w:val="0"/>
          <w:bCs w:val="0"/>
          <w:iCs/>
          <w:color w:val="auto"/>
          <w:sz w:val="24"/>
          <w:szCs w:val="24"/>
          <w:highlight w:val="none"/>
          <w:lang w:val="en-US" w:eastAsia="zh-CN"/>
        </w:rPr>
        <w:t>配置</w:t>
      </w:r>
      <w:r>
        <w:rPr>
          <w:rFonts w:hint="eastAsia" w:ascii="宋体" w:hAnsi="宋体" w:cs="宋体"/>
          <w:color w:val="auto"/>
          <w:highlight w:val="none"/>
          <w:lang w:val="en-US" w:eastAsia="zh-CN"/>
        </w:rPr>
        <w:t>；</w:t>
      </w:r>
    </w:p>
    <w:p w14:paraId="4B675B4E">
      <w:pPr>
        <w:pStyle w:val="57"/>
        <w:numPr>
          <w:ilvl w:val="0"/>
          <w:numId w:val="11"/>
        </w:numPr>
        <w:spacing w:before="0" w:line="336" w:lineRule="auto"/>
        <w:ind w:firstLine="480"/>
        <w:rPr>
          <w:rFonts w:hint="eastAsia" w:ascii="宋体" w:hAnsi="宋体" w:cs="宋体"/>
          <w:color w:val="auto"/>
          <w:highlight w:val="none"/>
          <w:lang w:eastAsia="zh-CN"/>
        </w:rPr>
      </w:pPr>
      <w:r>
        <w:rPr>
          <w:rFonts w:hint="eastAsia" w:ascii="宋体" w:hAnsi="宋体" w:eastAsia="宋体" w:cs="宋体"/>
          <w:b w:val="0"/>
          <w:bCs w:val="0"/>
          <w:iCs/>
          <w:color w:val="auto"/>
          <w:sz w:val="24"/>
          <w:szCs w:val="24"/>
          <w:highlight w:val="none"/>
          <w:lang w:val="en-US" w:eastAsia="zh-CN"/>
        </w:rPr>
        <w:t>设备投入</w:t>
      </w:r>
      <w:r>
        <w:rPr>
          <w:rFonts w:hint="eastAsia" w:ascii="宋体" w:hAnsi="宋体" w:cs="宋体"/>
          <w:color w:val="auto"/>
          <w:highlight w:val="none"/>
          <w:lang w:eastAsia="zh-CN"/>
        </w:rPr>
        <w:t>；</w:t>
      </w:r>
    </w:p>
    <w:p w14:paraId="3B4B3B47">
      <w:pPr>
        <w:pStyle w:val="57"/>
        <w:numPr>
          <w:ilvl w:val="0"/>
          <w:numId w:val="11"/>
        </w:numPr>
        <w:spacing w:before="0" w:line="336" w:lineRule="auto"/>
        <w:ind w:firstLine="480"/>
        <w:rPr>
          <w:rFonts w:hint="eastAsia" w:ascii="宋体" w:hAnsi="宋体" w:cs="宋体"/>
          <w:color w:val="auto"/>
          <w:highlight w:val="none"/>
          <w:lang w:eastAsia="zh-CN"/>
        </w:rPr>
      </w:pPr>
      <w:r>
        <w:rPr>
          <w:rFonts w:hint="eastAsia" w:ascii="宋体" w:hAnsi="宋体" w:eastAsia="宋体" w:cs="宋体"/>
          <w:b w:val="0"/>
          <w:bCs w:val="0"/>
          <w:iCs/>
          <w:color w:val="auto"/>
          <w:sz w:val="24"/>
          <w:szCs w:val="24"/>
          <w:lang w:val="en-US" w:eastAsia="zh-CN"/>
        </w:rPr>
        <w:t>售后服务</w:t>
      </w:r>
      <w:r>
        <w:rPr>
          <w:rFonts w:hint="eastAsia" w:ascii="宋体" w:hAnsi="宋体" w:cs="宋体"/>
          <w:color w:val="auto"/>
          <w:highlight w:val="none"/>
          <w:lang w:eastAsia="zh-CN"/>
        </w:rPr>
        <w:t>；</w:t>
      </w:r>
    </w:p>
    <w:p w14:paraId="2BB55653">
      <w:pPr>
        <w:pStyle w:val="57"/>
        <w:numPr>
          <w:ilvl w:val="0"/>
          <w:numId w:val="11"/>
        </w:numPr>
        <w:spacing w:before="0" w:line="336" w:lineRule="auto"/>
        <w:ind w:firstLine="480"/>
        <w:rPr>
          <w:rFonts w:hint="eastAsia" w:ascii="宋体" w:hAnsi="宋体" w:cs="宋体"/>
          <w:color w:val="auto"/>
          <w:highlight w:val="none"/>
          <w:lang w:eastAsia="zh-CN"/>
        </w:rPr>
      </w:pPr>
      <w:r>
        <w:rPr>
          <w:rFonts w:hint="eastAsia" w:ascii="宋体" w:hAnsi="宋体" w:cs="宋体"/>
          <w:b w:val="0"/>
          <w:bCs w:val="0"/>
          <w:iCs/>
          <w:color w:val="auto"/>
          <w:sz w:val="24"/>
          <w:szCs w:val="24"/>
          <w:lang w:val="en-US" w:eastAsia="zh-CN"/>
        </w:rPr>
        <w:t>合理化建议</w:t>
      </w:r>
      <w:r>
        <w:rPr>
          <w:rFonts w:hint="eastAsia" w:ascii="宋体" w:hAnsi="宋体" w:cs="宋体"/>
          <w:color w:val="auto"/>
          <w:highlight w:val="none"/>
          <w:lang w:eastAsia="zh-CN"/>
        </w:rPr>
        <w:t>；</w:t>
      </w:r>
    </w:p>
    <w:p w14:paraId="1F33F393">
      <w:pPr>
        <w:pStyle w:val="57"/>
        <w:numPr>
          <w:ilvl w:val="0"/>
          <w:numId w:val="11"/>
        </w:numPr>
        <w:spacing w:before="0" w:line="336" w:lineRule="auto"/>
        <w:ind w:firstLine="480"/>
        <w:rPr>
          <w:rFonts w:hint="eastAsia" w:ascii="宋体" w:hAnsi="宋体" w:cs="宋体"/>
          <w:color w:val="auto"/>
          <w:highlight w:val="none"/>
          <w:lang w:eastAsia="zh-CN"/>
        </w:rPr>
      </w:pPr>
      <w:r>
        <w:rPr>
          <w:rFonts w:hint="eastAsia" w:ascii="宋体" w:hAnsi="宋体" w:eastAsia="宋体" w:cs="宋体"/>
          <w:b w:val="0"/>
          <w:bCs w:val="0"/>
          <w:color w:val="auto"/>
          <w:sz w:val="24"/>
          <w:szCs w:val="24"/>
          <w:highlight w:val="none"/>
          <w:lang w:val="en-US" w:eastAsia="zh-CN"/>
        </w:rPr>
        <w:t>业绩</w:t>
      </w:r>
      <w:r>
        <w:rPr>
          <w:rFonts w:hint="eastAsia" w:ascii="宋体" w:hAnsi="宋体" w:cs="宋体"/>
          <w:color w:val="auto"/>
          <w:highlight w:val="none"/>
          <w:lang w:eastAsia="zh-CN"/>
        </w:rPr>
        <w:t>；</w:t>
      </w:r>
    </w:p>
    <w:p w14:paraId="72249A87">
      <w:pPr>
        <w:pStyle w:val="57"/>
        <w:numPr>
          <w:ilvl w:val="0"/>
          <w:numId w:val="11"/>
        </w:numPr>
        <w:spacing w:before="0" w:line="336" w:lineRule="auto"/>
        <w:ind w:firstLine="480"/>
        <w:rPr>
          <w:rFonts w:hint="eastAsia" w:ascii="宋体" w:hAnsi="宋体" w:cs="宋体"/>
          <w:color w:val="auto"/>
          <w:highlight w:val="none"/>
          <w:lang w:eastAsia="zh-CN"/>
        </w:rPr>
      </w:pPr>
      <w:r>
        <w:rPr>
          <w:rFonts w:hint="eastAsia" w:ascii="宋体" w:hAnsi="宋体" w:eastAsia="宋体" w:cs="宋体"/>
          <w:b w:val="0"/>
          <w:bCs/>
          <w:color w:val="auto"/>
          <w:sz w:val="24"/>
          <w:szCs w:val="24"/>
          <w:highlight w:val="none"/>
          <w:lang w:val="en-US" w:eastAsia="zh-CN"/>
        </w:rPr>
        <w:t>荣誉</w:t>
      </w:r>
      <w:r>
        <w:rPr>
          <w:rFonts w:hint="eastAsia" w:ascii="宋体" w:hAnsi="宋体" w:cs="宋体"/>
          <w:color w:val="auto"/>
          <w:highlight w:val="none"/>
          <w:lang w:eastAsia="zh-CN"/>
        </w:rPr>
        <w:t>；</w:t>
      </w:r>
    </w:p>
    <w:p w14:paraId="16138517">
      <w:pPr>
        <w:pStyle w:val="57"/>
        <w:numPr>
          <w:ilvl w:val="0"/>
          <w:numId w:val="11"/>
        </w:numPr>
        <w:spacing w:before="0" w:line="336" w:lineRule="auto"/>
        <w:ind w:firstLine="480"/>
        <w:rPr>
          <w:rFonts w:hint="eastAsia" w:ascii="宋体" w:hAnsi="宋体" w:cs="宋体"/>
          <w:color w:val="auto"/>
          <w:highlight w:val="none"/>
          <w:lang w:eastAsia="zh-CN"/>
        </w:rPr>
      </w:pPr>
      <w:r>
        <w:rPr>
          <w:rFonts w:hint="eastAsia" w:ascii="宋体" w:hAnsi="宋体" w:cs="宋体"/>
          <w:b w:val="0"/>
          <w:bCs w:val="0"/>
          <w:color w:val="auto"/>
          <w:sz w:val="24"/>
          <w:szCs w:val="24"/>
          <w:highlight w:val="none"/>
          <w:lang w:val="en-US" w:eastAsia="zh-CN"/>
        </w:rPr>
        <w:t>专利</w:t>
      </w:r>
      <w:r>
        <w:rPr>
          <w:rFonts w:hint="eastAsia" w:ascii="宋体" w:hAnsi="宋体" w:cs="宋体"/>
          <w:color w:val="auto"/>
          <w:highlight w:val="none"/>
          <w:lang w:eastAsia="zh-CN"/>
        </w:rPr>
        <w:t>；</w:t>
      </w:r>
    </w:p>
    <w:p w14:paraId="4504F376">
      <w:pPr>
        <w:pStyle w:val="57"/>
        <w:numPr>
          <w:ilvl w:val="0"/>
          <w:numId w:val="11"/>
        </w:numPr>
        <w:spacing w:before="0" w:line="336" w:lineRule="auto"/>
        <w:ind w:firstLine="480"/>
        <w:rPr>
          <w:rFonts w:ascii="宋体" w:hAnsi="宋体" w:cs="宋体"/>
          <w:color w:val="auto"/>
          <w:highlight w:val="none"/>
        </w:rPr>
      </w:pPr>
      <w:r>
        <w:rPr>
          <w:rFonts w:hint="eastAsia" w:ascii="宋体" w:hAnsi="宋体" w:cs="宋体"/>
          <w:color w:val="auto"/>
          <w:highlight w:val="none"/>
        </w:rPr>
        <w:t>供应商认为需要的其他文件资料。</w:t>
      </w:r>
      <w:r>
        <w:rPr>
          <w:rFonts w:ascii="宋体" w:hAnsi="宋体" w:cs="宋体"/>
          <w:color w:val="auto"/>
          <w:highlight w:val="none"/>
        </w:rPr>
        <w:t xml:space="preserve"> </w:t>
      </w:r>
    </w:p>
    <w:p w14:paraId="41E6FD1B">
      <w:pPr>
        <w:pStyle w:val="57"/>
        <w:tabs>
          <w:tab w:val="left" w:pos="0"/>
        </w:tabs>
        <w:spacing w:before="0" w:line="336" w:lineRule="auto"/>
        <w:ind w:firstLine="480"/>
        <w:rPr>
          <w:rFonts w:ascii="宋体"/>
          <w:color w:val="auto"/>
          <w:highlight w:val="none"/>
        </w:rPr>
      </w:pPr>
      <w:r>
        <w:rPr>
          <w:rFonts w:hint="eastAsia" w:ascii="宋体" w:hAnsi="宋体" w:cs="宋体"/>
          <w:color w:val="auto"/>
          <w:highlight w:val="none"/>
        </w:rPr>
        <w:t>如果本项目涉及软件采购，还需提供相关完整配置方案（软件名称、品牌、规格型号、数量、主要技术参数等），提供主要磋商产品的技术参数证明材料（如官网截图、产品彩页、技术说明等），明确表示该项指标所涉及的软件是标准配置还是选择配置。</w:t>
      </w:r>
    </w:p>
    <w:p w14:paraId="49F79502">
      <w:pPr>
        <w:pStyle w:val="57"/>
        <w:tabs>
          <w:tab w:val="left" w:pos="0"/>
        </w:tabs>
        <w:spacing w:before="0" w:line="336" w:lineRule="auto"/>
        <w:ind w:firstLine="480"/>
        <w:rPr>
          <w:rFonts w:ascii="宋体"/>
          <w:color w:val="auto"/>
          <w:highlight w:val="none"/>
        </w:rPr>
      </w:pPr>
      <w:r>
        <w:rPr>
          <w:rFonts w:hint="eastAsia" w:ascii="宋体" w:hAnsi="宋体" w:cs="宋体"/>
          <w:color w:val="auto"/>
          <w:highlight w:val="none"/>
        </w:rPr>
        <w:t>供应商在响应文件中应对项目技术规范和服务要求中所提出各项要求进行答复、说明和解释。如果供应商在技术偏离表中注明无偏离，评标结束后、签订采购合同前又认为其实际产品与响应技术需求不一致的，视为供应商在磋商响应文件有效期内对其响应文件进行了实质性修改，其磋商将被追认为无效磋商。</w:t>
      </w:r>
      <w:r>
        <w:rPr>
          <w:rFonts w:hint="eastAsia" w:ascii="宋体" w:hAnsi="宋体" w:cs="宋体"/>
          <w:b/>
          <w:bCs/>
          <w:color w:val="auto"/>
          <w:highlight w:val="none"/>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14:paraId="1A7B7653">
      <w:pPr>
        <w:pStyle w:val="57"/>
        <w:numPr>
          <w:ilvl w:val="0"/>
          <w:numId w:val="9"/>
        </w:numPr>
        <w:spacing w:before="0" w:line="336" w:lineRule="auto"/>
        <w:ind w:firstLine="480"/>
        <w:rPr>
          <w:rFonts w:ascii="宋体"/>
          <w:color w:val="auto"/>
          <w:highlight w:val="none"/>
        </w:rPr>
      </w:pPr>
      <w:r>
        <w:rPr>
          <w:rFonts w:hint="eastAsia" w:ascii="宋体" w:hAnsi="宋体" w:cs="宋体"/>
          <w:color w:val="auto"/>
          <w:highlight w:val="none"/>
        </w:rPr>
        <w:t>报价文件包括以下内容：</w:t>
      </w:r>
    </w:p>
    <w:p w14:paraId="42DFAE82">
      <w:pPr>
        <w:pStyle w:val="57"/>
        <w:numPr>
          <w:ilvl w:val="0"/>
          <w:numId w:val="12"/>
        </w:numPr>
        <w:spacing w:before="0" w:line="336" w:lineRule="auto"/>
        <w:ind w:firstLine="480"/>
        <w:rPr>
          <w:rFonts w:ascii="宋体"/>
          <w:color w:val="auto"/>
          <w:highlight w:val="none"/>
        </w:rPr>
      </w:pPr>
      <w:r>
        <w:rPr>
          <w:rFonts w:hint="eastAsia" w:ascii="宋体" w:hAnsi="宋体" w:cs="宋体"/>
          <w:color w:val="auto"/>
          <w:highlight w:val="none"/>
        </w:rPr>
        <w:t>磋商函（格式见附件）；</w:t>
      </w:r>
    </w:p>
    <w:p w14:paraId="6DF26990">
      <w:pPr>
        <w:pStyle w:val="57"/>
        <w:numPr>
          <w:ilvl w:val="0"/>
          <w:numId w:val="12"/>
        </w:numPr>
        <w:spacing w:before="0" w:line="336" w:lineRule="auto"/>
        <w:ind w:firstLine="480"/>
        <w:rPr>
          <w:rFonts w:ascii="宋体"/>
          <w:color w:val="auto"/>
          <w:highlight w:val="none"/>
        </w:rPr>
      </w:pPr>
      <w:r>
        <w:rPr>
          <w:rFonts w:hint="eastAsia" w:ascii="宋体" w:hAnsi="宋体" w:cs="宋体"/>
          <w:color w:val="auto"/>
          <w:highlight w:val="none"/>
        </w:rPr>
        <w:t>报价一览表（格式见附件）；</w:t>
      </w:r>
    </w:p>
    <w:p w14:paraId="6B9B49B1">
      <w:pPr>
        <w:pStyle w:val="57"/>
        <w:numPr>
          <w:ilvl w:val="0"/>
          <w:numId w:val="12"/>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rPr>
        <w:t>磋商报价明细表（格式见附件）</w:t>
      </w:r>
      <w:r>
        <w:rPr>
          <w:rFonts w:hint="eastAsia" w:ascii="宋体" w:hAnsi="宋体" w:cs="宋体"/>
          <w:color w:val="auto"/>
          <w:highlight w:val="none"/>
          <w:lang w:eastAsia="zh-CN"/>
        </w:rPr>
        <w:t>。</w:t>
      </w:r>
    </w:p>
    <w:p w14:paraId="592613F3">
      <w:pPr>
        <w:pStyle w:val="57"/>
        <w:spacing w:before="0" w:line="336" w:lineRule="auto"/>
        <w:ind w:firstLine="241" w:firstLineChars="100"/>
        <w:rPr>
          <w:rFonts w:ascii="宋体"/>
          <w:b/>
          <w:bCs/>
          <w:color w:val="auto"/>
          <w:highlight w:val="none"/>
          <w:u w:val="single"/>
        </w:rPr>
      </w:pPr>
      <w:r>
        <w:rPr>
          <w:rFonts w:hint="eastAsia" w:ascii="宋体" w:hAnsi="宋体" w:cs="宋体"/>
          <w:b/>
          <w:bCs/>
          <w:color w:val="auto"/>
          <w:highlight w:val="none"/>
          <w:u w:val="single"/>
        </w:rPr>
        <w:t>注：“资格文件”、“商务技术文件”、“报价文件”须分</w:t>
      </w:r>
      <w:r>
        <w:rPr>
          <w:rFonts w:ascii="宋体" w:hAnsi="宋体" w:cs="宋体"/>
          <w:b/>
          <w:bCs/>
          <w:color w:val="auto"/>
          <w:highlight w:val="none"/>
          <w:u w:val="single"/>
        </w:rPr>
        <w:t>3</w:t>
      </w:r>
      <w:r>
        <w:rPr>
          <w:rFonts w:hint="eastAsia" w:ascii="宋体" w:hAnsi="宋体" w:cs="宋体"/>
          <w:b/>
          <w:bCs/>
          <w:color w:val="auto"/>
          <w:highlight w:val="none"/>
          <w:u w:val="single"/>
        </w:rPr>
        <w:t>个</w:t>
      </w:r>
      <w:r>
        <w:rPr>
          <w:rFonts w:ascii="宋体" w:hAnsi="宋体" w:cs="宋体"/>
          <w:b/>
          <w:bCs/>
          <w:color w:val="auto"/>
          <w:highlight w:val="none"/>
          <w:u w:val="single"/>
        </w:rPr>
        <w:t>PDF</w:t>
      </w:r>
      <w:r>
        <w:rPr>
          <w:rFonts w:hint="eastAsia" w:ascii="宋体" w:hAnsi="宋体" w:cs="宋体"/>
          <w:b/>
          <w:bCs/>
          <w:color w:val="auto"/>
          <w:highlight w:val="none"/>
          <w:u w:val="single"/>
        </w:rPr>
        <w:t>格式分别导入。</w:t>
      </w:r>
    </w:p>
    <w:p w14:paraId="1B9C523D">
      <w:pPr>
        <w:pStyle w:val="57"/>
        <w:spacing w:before="0" w:line="336" w:lineRule="auto"/>
        <w:ind w:left="420" w:leftChars="200" w:firstLine="0" w:firstLineChars="0"/>
        <w:rPr>
          <w:rFonts w:ascii="宋体"/>
          <w:b/>
          <w:bCs/>
          <w:color w:val="auto"/>
          <w:highlight w:val="none"/>
        </w:rPr>
      </w:pPr>
      <w:r>
        <w:rPr>
          <w:rFonts w:ascii="宋体" w:hAnsi="宋体" w:cs="宋体"/>
          <w:b/>
          <w:bCs/>
          <w:color w:val="auto"/>
          <w:highlight w:val="none"/>
        </w:rPr>
        <w:t>10</w:t>
      </w:r>
      <w:r>
        <w:rPr>
          <w:rFonts w:hint="eastAsia" w:ascii="宋体" w:hAnsi="宋体" w:cs="宋体"/>
          <w:b/>
          <w:bCs/>
          <w:color w:val="auto"/>
          <w:highlight w:val="none"/>
        </w:rPr>
        <w:t>、响应文件有效期</w:t>
      </w:r>
    </w:p>
    <w:p w14:paraId="55350649">
      <w:pPr>
        <w:pStyle w:val="57"/>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10.1 </w:t>
      </w:r>
      <w:r>
        <w:rPr>
          <w:rFonts w:hint="eastAsia" w:ascii="宋体" w:hAnsi="宋体" w:cs="宋体"/>
          <w:color w:val="auto"/>
          <w:highlight w:val="none"/>
        </w:rPr>
        <w:t>响应文件未在磋商响应截止时间前完成传输的或者未按时解密的，视为放弃磋商；响应文件解密失败后未提供备份文件或者备份文件也出现异常情况无法进行评审的，亦视为放弃磋商。</w:t>
      </w:r>
    </w:p>
    <w:p w14:paraId="0EFDD819">
      <w:pPr>
        <w:pStyle w:val="57"/>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10.2 </w:t>
      </w:r>
      <w:r>
        <w:rPr>
          <w:rFonts w:hint="eastAsia" w:ascii="宋体" w:hAnsi="宋体" w:cs="宋体"/>
          <w:color w:val="auto"/>
          <w:highlight w:val="none"/>
        </w:rPr>
        <w:t>响应文件上传后，自磋商响应截止日期起，在前附表所列的磋商响应文件有效期内有效。</w:t>
      </w:r>
    </w:p>
    <w:p w14:paraId="32B25875">
      <w:pPr>
        <w:pStyle w:val="57"/>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10.3 </w:t>
      </w:r>
      <w:r>
        <w:rPr>
          <w:rFonts w:hint="eastAsia" w:ascii="宋体" w:hAnsi="宋体" w:cs="宋体"/>
          <w:color w:val="auto"/>
          <w:highlight w:val="none"/>
        </w:rPr>
        <w:t>在原定有效期满之前，如果出现特殊情况，采购代理机构可以以书面形式向磋商供应商提出延长磋商有效期的要求，磋商供应商对此须以书面形式予以答复。</w:t>
      </w:r>
    </w:p>
    <w:p w14:paraId="0740EE37">
      <w:pPr>
        <w:pStyle w:val="57"/>
        <w:spacing w:before="0" w:line="336" w:lineRule="auto"/>
        <w:ind w:left="420" w:leftChars="200" w:firstLine="0" w:firstLineChars="0"/>
        <w:rPr>
          <w:rFonts w:ascii="宋体"/>
          <w:b/>
          <w:bCs/>
          <w:color w:val="auto"/>
          <w:highlight w:val="none"/>
        </w:rPr>
      </w:pPr>
      <w:r>
        <w:rPr>
          <w:rFonts w:ascii="宋体" w:hAnsi="宋体" w:cs="宋体"/>
          <w:b/>
          <w:bCs/>
          <w:color w:val="auto"/>
          <w:highlight w:val="none"/>
        </w:rPr>
        <w:t>11</w:t>
      </w:r>
      <w:r>
        <w:rPr>
          <w:rFonts w:hint="eastAsia" w:ascii="宋体" w:hAnsi="宋体" w:cs="宋体"/>
          <w:b/>
          <w:bCs/>
          <w:color w:val="auto"/>
          <w:highlight w:val="none"/>
        </w:rPr>
        <w:t>、供应商如有下列情况之一者列入不良行为记录：</w:t>
      </w:r>
    </w:p>
    <w:p w14:paraId="30876538">
      <w:pPr>
        <w:pStyle w:val="57"/>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11.1 </w:t>
      </w:r>
      <w:r>
        <w:rPr>
          <w:rFonts w:hint="eastAsia" w:ascii="宋体" w:hAnsi="宋体" w:cs="宋体"/>
          <w:color w:val="auto"/>
          <w:highlight w:val="none"/>
        </w:rPr>
        <w:t>供应商在磋商响应文件有效期内撤回投标的；</w:t>
      </w:r>
    </w:p>
    <w:p w14:paraId="1AFF4E0F">
      <w:pPr>
        <w:pStyle w:val="57"/>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11.2 </w:t>
      </w:r>
      <w:r>
        <w:rPr>
          <w:rFonts w:hint="eastAsia" w:ascii="宋体" w:hAnsi="宋体" w:cs="宋体"/>
          <w:color w:val="auto"/>
          <w:highlight w:val="none"/>
        </w:rPr>
        <w:t>供应商或中标候选人放弃中标或中标候选人资格的；</w:t>
      </w:r>
    </w:p>
    <w:p w14:paraId="65C13AE6">
      <w:pPr>
        <w:pStyle w:val="57"/>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11.3 </w:t>
      </w:r>
      <w:r>
        <w:rPr>
          <w:rFonts w:hint="eastAsia" w:ascii="宋体" w:hAnsi="宋体" w:cs="宋体"/>
          <w:color w:val="auto"/>
          <w:highlight w:val="none"/>
        </w:rPr>
        <w:t>擅自修改或拒绝接受已经确认的条款；</w:t>
      </w:r>
    </w:p>
    <w:p w14:paraId="17F3AC24">
      <w:pPr>
        <w:pStyle w:val="57"/>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11.4 </w:t>
      </w:r>
      <w:r>
        <w:rPr>
          <w:rFonts w:hint="eastAsia" w:ascii="宋体" w:hAnsi="宋体" w:cs="宋体"/>
          <w:color w:val="auto"/>
          <w:highlight w:val="none"/>
        </w:rPr>
        <w:t>成交供应商未按规定与采购人签订合同；</w:t>
      </w:r>
    </w:p>
    <w:p w14:paraId="5F044768">
      <w:pPr>
        <w:pStyle w:val="57"/>
        <w:spacing w:before="0" w:line="336" w:lineRule="auto"/>
        <w:ind w:left="420" w:leftChars="200" w:firstLine="0" w:firstLineChars="0"/>
        <w:rPr>
          <w:rFonts w:ascii="宋体"/>
          <w:color w:val="auto"/>
          <w:highlight w:val="none"/>
        </w:rPr>
      </w:pPr>
      <w:r>
        <w:rPr>
          <w:rFonts w:ascii="宋体" w:hAnsi="宋体" w:cs="宋体"/>
          <w:color w:val="auto"/>
          <w:highlight w:val="none"/>
        </w:rPr>
        <w:t>11.</w:t>
      </w:r>
      <w:r>
        <w:rPr>
          <w:rFonts w:hint="eastAsia" w:ascii="宋体" w:hAnsi="宋体" w:cs="宋体"/>
          <w:color w:val="auto"/>
          <w:highlight w:val="none"/>
        </w:rPr>
        <w:t>5</w:t>
      </w:r>
      <w:r>
        <w:rPr>
          <w:rFonts w:ascii="宋体" w:hAnsi="宋体" w:cs="宋体"/>
          <w:color w:val="auto"/>
          <w:highlight w:val="none"/>
        </w:rPr>
        <w:t xml:space="preserve"> </w:t>
      </w:r>
      <w:r>
        <w:rPr>
          <w:rFonts w:hint="eastAsia" w:ascii="宋体" w:hAnsi="宋体" w:cs="宋体"/>
          <w:color w:val="auto"/>
          <w:highlight w:val="none"/>
        </w:rPr>
        <w:t>供应商采取提供虚假资料等不正当手段的；</w:t>
      </w:r>
    </w:p>
    <w:p w14:paraId="674053BA">
      <w:pPr>
        <w:pStyle w:val="57"/>
        <w:spacing w:before="0" w:line="336" w:lineRule="auto"/>
        <w:ind w:left="420" w:leftChars="200" w:firstLine="0" w:firstLineChars="0"/>
        <w:rPr>
          <w:rFonts w:ascii="宋体"/>
          <w:color w:val="auto"/>
          <w:highlight w:val="none"/>
        </w:rPr>
      </w:pPr>
      <w:r>
        <w:rPr>
          <w:rFonts w:ascii="宋体" w:hAnsi="宋体" w:cs="宋体"/>
          <w:color w:val="auto"/>
          <w:highlight w:val="none"/>
        </w:rPr>
        <w:t>11.</w:t>
      </w:r>
      <w:r>
        <w:rPr>
          <w:rFonts w:hint="eastAsia" w:ascii="宋体" w:hAnsi="宋体" w:cs="宋体"/>
          <w:color w:val="auto"/>
          <w:highlight w:val="none"/>
        </w:rPr>
        <w:t>6</w:t>
      </w:r>
      <w:r>
        <w:rPr>
          <w:rFonts w:ascii="宋体" w:hAnsi="宋体" w:cs="宋体"/>
          <w:color w:val="auto"/>
          <w:highlight w:val="none"/>
        </w:rPr>
        <w:t xml:space="preserve"> </w:t>
      </w:r>
      <w:r>
        <w:rPr>
          <w:rFonts w:hint="eastAsia" w:ascii="宋体" w:hAnsi="宋体" w:cs="宋体"/>
          <w:color w:val="auto"/>
          <w:highlight w:val="none"/>
        </w:rPr>
        <w:t>供应商在投标过程中串通投标的。</w:t>
      </w:r>
    </w:p>
    <w:p w14:paraId="72255F0A">
      <w:pPr>
        <w:pStyle w:val="57"/>
        <w:spacing w:before="0" w:line="336" w:lineRule="auto"/>
        <w:ind w:left="420" w:leftChars="200" w:firstLine="0" w:firstLineChars="0"/>
        <w:rPr>
          <w:rFonts w:ascii="宋体"/>
          <w:b/>
          <w:bCs/>
          <w:color w:val="auto"/>
          <w:highlight w:val="none"/>
        </w:rPr>
      </w:pPr>
      <w:r>
        <w:rPr>
          <w:rFonts w:ascii="宋体" w:hAnsi="宋体" w:cs="宋体"/>
          <w:b/>
          <w:bCs/>
          <w:color w:val="auto"/>
          <w:highlight w:val="none"/>
        </w:rPr>
        <w:t>12</w:t>
      </w:r>
      <w:r>
        <w:rPr>
          <w:rFonts w:hint="eastAsia" w:ascii="宋体" w:hAnsi="宋体" w:cs="宋体"/>
          <w:b/>
          <w:bCs/>
          <w:color w:val="auto"/>
          <w:highlight w:val="none"/>
        </w:rPr>
        <w:t>、响应文件的编制和签署</w:t>
      </w:r>
    </w:p>
    <w:p w14:paraId="57DB32D0">
      <w:pPr>
        <w:pStyle w:val="57"/>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12.1 </w:t>
      </w:r>
      <w:r>
        <w:rPr>
          <w:rFonts w:hint="eastAsia" w:ascii="宋体" w:hAnsi="宋体" w:cs="宋体"/>
          <w:color w:val="auto"/>
          <w:highlight w:val="none"/>
        </w:rPr>
        <w:t>按磋商文件</w:t>
      </w:r>
      <w:r>
        <w:rPr>
          <w:rFonts w:ascii="宋体" w:hAnsi="宋体" w:cs="宋体"/>
          <w:color w:val="auto"/>
          <w:highlight w:val="none"/>
        </w:rPr>
        <w:t>9.1</w:t>
      </w:r>
      <w:r>
        <w:rPr>
          <w:rFonts w:hint="eastAsia" w:ascii="宋体" w:hAnsi="宋体" w:cs="宋体"/>
          <w:color w:val="auto"/>
          <w:highlight w:val="none"/>
        </w:rPr>
        <w:t>条、</w:t>
      </w:r>
      <w:r>
        <w:rPr>
          <w:rFonts w:ascii="宋体" w:hAnsi="宋体" w:cs="宋体"/>
          <w:color w:val="auto"/>
          <w:highlight w:val="none"/>
        </w:rPr>
        <w:t>9.2</w:t>
      </w:r>
      <w:r>
        <w:rPr>
          <w:rFonts w:hint="eastAsia" w:ascii="宋体" w:hAnsi="宋体" w:cs="宋体"/>
          <w:color w:val="auto"/>
          <w:highlight w:val="none"/>
        </w:rPr>
        <w:t>条、</w:t>
      </w:r>
      <w:r>
        <w:rPr>
          <w:rFonts w:ascii="宋体" w:hAnsi="宋体" w:cs="宋体"/>
          <w:color w:val="auto"/>
          <w:highlight w:val="none"/>
        </w:rPr>
        <w:t>9.3</w:t>
      </w:r>
      <w:r>
        <w:rPr>
          <w:rFonts w:hint="eastAsia" w:ascii="宋体" w:hAnsi="宋体" w:cs="宋体"/>
          <w:color w:val="auto"/>
          <w:highlight w:val="none"/>
        </w:rPr>
        <w:t>条要求提供的各种文件，响应文件分为资格文件、商务技术文件和报价文件三部分。</w:t>
      </w:r>
    </w:p>
    <w:p w14:paraId="5DAF4311">
      <w:pPr>
        <w:pStyle w:val="57"/>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12.2 </w:t>
      </w:r>
      <w:r>
        <w:rPr>
          <w:rFonts w:hint="eastAsia" w:ascii="宋体" w:hAnsi="宋体" w:cs="宋体"/>
          <w:color w:val="auto"/>
          <w:highlight w:val="none"/>
        </w:rPr>
        <w:t>响应文件须按附件格式要求进行电子签章，供应商应写全称。（电子磋商响应文件中所须加盖公章部分均应采用电子签章）</w:t>
      </w:r>
    </w:p>
    <w:p w14:paraId="271747BB">
      <w:pPr>
        <w:pStyle w:val="57"/>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12.3 </w:t>
      </w:r>
      <w:r>
        <w:rPr>
          <w:rFonts w:hint="eastAsia" w:ascii="宋体" w:hAnsi="宋体" w:cs="宋体"/>
          <w:color w:val="auto"/>
          <w:highlight w:val="none"/>
        </w:rPr>
        <w:t>全套响应文件应无涂改和行间插字，除非这些删改是根据采购代理机构要求进行，或者是供应商造成的必须修改的错误。所修改处应由法定代表人或其授权代表签字盖章予以确认。</w:t>
      </w:r>
    </w:p>
    <w:p w14:paraId="66A057BD">
      <w:pPr>
        <w:pStyle w:val="57"/>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12.4 </w:t>
      </w:r>
      <w:r>
        <w:rPr>
          <w:rFonts w:hint="eastAsia" w:ascii="宋体" w:hAnsi="宋体" w:cs="宋体"/>
          <w:color w:val="auto"/>
          <w:highlight w:val="none"/>
        </w:rPr>
        <w:t>由于字迹模糊或表达不清引起的后果由供应商负责。</w:t>
      </w:r>
    </w:p>
    <w:p w14:paraId="7A369C64">
      <w:pPr>
        <w:pStyle w:val="57"/>
        <w:spacing w:before="0" w:line="336" w:lineRule="auto"/>
        <w:ind w:left="420" w:leftChars="200" w:firstLine="0" w:firstLineChars="0"/>
        <w:rPr>
          <w:rFonts w:ascii="宋体"/>
          <w:b/>
          <w:bCs/>
          <w:color w:val="auto"/>
          <w:highlight w:val="none"/>
        </w:rPr>
      </w:pPr>
      <w:r>
        <w:rPr>
          <w:rFonts w:ascii="宋体" w:hAnsi="宋体" w:cs="宋体"/>
          <w:b/>
          <w:bCs/>
          <w:color w:val="auto"/>
          <w:highlight w:val="none"/>
        </w:rPr>
        <w:t>13</w:t>
      </w:r>
      <w:r>
        <w:rPr>
          <w:rFonts w:hint="eastAsia" w:ascii="宋体" w:hAnsi="宋体" w:cs="宋体"/>
          <w:b/>
          <w:bCs/>
          <w:color w:val="auto"/>
          <w:highlight w:val="none"/>
        </w:rPr>
        <w:t>、响应文件的形式</w:t>
      </w:r>
    </w:p>
    <w:p w14:paraId="55F78BA3">
      <w:pPr>
        <w:pStyle w:val="57"/>
        <w:spacing w:before="0" w:line="336" w:lineRule="auto"/>
        <w:ind w:left="420" w:leftChars="200" w:firstLine="0" w:firstLineChars="0"/>
        <w:rPr>
          <w:rFonts w:ascii="宋体"/>
          <w:color w:val="auto"/>
          <w:highlight w:val="none"/>
        </w:rPr>
      </w:pPr>
      <w:r>
        <w:rPr>
          <w:rFonts w:hint="eastAsia" w:ascii="宋体" w:hAnsi="宋体" w:cs="宋体"/>
          <w:color w:val="auto"/>
          <w:highlight w:val="none"/>
        </w:rPr>
        <w:t>响应文件为电子磋商响应文件，电子磋商响应文件按“政采云供应商项目采购</w:t>
      </w:r>
      <w:r>
        <w:rPr>
          <w:rFonts w:ascii="宋体" w:cs="宋体"/>
          <w:color w:val="auto"/>
          <w:highlight w:val="none"/>
        </w:rPr>
        <w:t>-</w:t>
      </w:r>
      <w:r>
        <w:rPr>
          <w:rFonts w:hint="eastAsia" w:ascii="宋体" w:hAnsi="宋体" w:cs="宋体"/>
          <w:color w:val="auto"/>
          <w:highlight w:val="none"/>
        </w:rPr>
        <w:t>电子招投标操作指南”及本磋商文件要求制作、加密传输。</w:t>
      </w:r>
    </w:p>
    <w:p w14:paraId="6B03C5D3">
      <w:pPr>
        <w:pStyle w:val="5"/>
        <w:numPr>
          <w:ilvl w:val="0"/>
          <w:numId w:val="8"/>
        </w:numPr>
        <w:spacing w:line="336" w:lineRule="auto"/>
        <w:jc w:val="center"/>
        <w:rPr>
          <w:rFonts w:cs="Times New Roman"/>
          <w:color w:val="auto"/>
          <w:highlight w:val="none"/>
        </w:rPr>
      </w:pPr>
      <w:bookmarkStart w:id="56" w:name="_Toc1420"/>
      <w:r>
        <w:rPr>
          <w:color w:val="auto"/>
          <w:highlight w:val="none"/>
        </w:rPr>
        <w:t xml:space="preserve"> </w:t>
      </w:r>
      <w:bookmarkStart w:id="57" w:name="_Toc21266"/>
      <w:bookmarkStart w:id="58" w:name="_Toc8892"/>
      <w:r>
        <w:rPr>
          <w:rFonts w:hint="eastAsia"/>
          <w:color w:val="auto"/>
          <w:highlight w:val="none"/>
        </w:rPr>
        <w:t>响应文件的递交</w:t>
      </w:r>
      <w:bookmarkEnd w:id="56"/>
      <w:bookmarkEnd w:id="57"/>
      <w:bookmarkEnd w:id="58"/>
    </w:p>
    <w:p w14:paraId="40875D82">
      <w:pPr>
        <w:pStyle w:val="15"/>
        <w:spacing w:line="336" w:lineRule="auto"/>
        <w:ind w:left="420" w:leftChars="200"/>
        <w:rPr>
          <w:rFonts w:hAnsi="宋体" w:cs="Times New Roman"/>
          <w:b/>
          <w:bCs/>
          <w:color w:val="auto"/>
          <w:sz w:val="24"/>
          <w:szCs w:val="24"/>
          <w:highlight w:val="none"/>
        </w:rPr>
      </w:pPr>
      <w:r>
        <w:rPr>
          <w:rFonts w:hAnsi="宋体"/>
          <w:b/>
          <w:bCs/>
          <w:color w:val="auto"/>
          <w:sz w:val="24"/>
          <w:szCs w:val="24"/>
          <w:highlight w:val="none"/>
        </w:rPr>
        <w:t>14</w:t>
      </w:r>
      <w:r>
        <w:rPr>
          <w:rFonts w:hint="eastAsia" w:hAnsi="宋体"/>
          <w:b/>
          <w:bCs/>
          <w:color w:val="auto"/>
          <w:sz w:val="24"/>
          <w:szCs w:val="24"/>
          <w:highlight w:val="none"/>
        </w:rPr>
        <w:t>、磋商响应截止期</w:t>
      </w:r>
    </w:p>
    <w:p w14:paraId="26E0B70D">
      <w:pPr>
        <w:pStyle w:val="57"/>
        <w:numPr>
          <w:ilvl w:val="0"/>
          <w:numId w:val="13"/>
        </w:numPr>
        <w:spacing w:before="0" w:line="336" w:lineRule="auto"/>
        <w:ind w:firstLine="480"/>
        <w:rPr>
          <w:rFonts w:ascii="宋体"/>
          <w:color w:val="auto"/>
          <w:highlight w:val="none"/>
        </w:rPr>
      </w:pPr>
      <w:r>
        <w:rPr>
          <w:rFonts w:hint="eastAsia" w:ascii="宋体" w:hAnsi="宋体" w:cs="宋体"/>
          <w:color w:val="auto"/>
          <w:highlight w:val="none"/>
        </w:rPr>
        <w:t>响应文件必须在规定的磋商响应截止时间前在政采云系统内完成传输，以纸质、电报、电话、传真形式的投标概不接受。为应对响应文件解密失败等异常情况，供应商可指派授权代表在磋商响应截止时间之前到达开标地点提交备份文件。</w:t>
      </w:r>
    </w:p>
    <w:p w14:paraId="2CB5D839">
      <w:pPr>
        <w:pStyle w:val="57"/>
        <w:numPr>
          <w:ilvl w:val="0"/>
          <w:numId w:val="13"/>
        </w:numPr>
        <w:spacing w:before="0" w:line="336" w:lineRule="auto"/>
        <w:ind w:firstLine="480"/>
        <w:rPr>
          <w:rFonts w:ascii="宋体"/>
          <w:color w:val="auto"/>
          <w:highlight w:val="none"/>
        </w:rPr>
      </w:pPr>
      <w:r>
        <w:rPr>
          <w:rFonts w:hint="eastAsia" w:ascii="宋体" w:hAnsi="宋体" w:cs="宋体"/>
          <w:color w:val="auto"/>
          <w:highlight w:val="none"/>
        </w:rPr>
        <w:t>采购人因故推迟磋商响应截止时间，将以公告形式通知。在这种情况下，采购人和供应商的权利和义务将受到新的截止时间的约束。</w:t>
      </w:r>
    </w:p>
    <w:p w14:paraId="54703644">
      <w:pPr>
        <w:pStyle w:val="15"/>
        <w:spacing w:line="336" w:lineRule="auto"/>
        <w:ind w:left="420" w:leftChars="200"/>
        <w:rPr>
          <w:rFonts w:hAnsi="宋体" w:cs="Times New Roman"/>
          <w:b/>
          <w:bCs/>
          <w:color w:val="auto"/>
          <w:sz w:val="24"/>
          <w:szCs w:val="24"/>
          <w:highlight w:val="none"/>
        </w:rPr>
      </w:pPr>
      <w:r>
        <w:rPr>
          <w:rFonts w:hAnsi="宋体"/>
          <w:b/>
          <w:bCs/>
          <w:color w:val="auto"/>
          <w:sz w:val="24"/>
          <w:szCs w:val="24"/>
          <w:highlight w:val="none"/>
        </w:rPr>
        <w:t>15</w:t>
      </w:r>
      <w:r>
        <w:rPr>
          <w:rFonts w:hint="eastAsia" w:hAnsi="宋体"/>
          <w:b/>
          <w:bCs/>
          <w:color w:val="auto"/>
          <w:sz w:val="24"/>
          <w:szCs w:val="24"/>
          <w:highlight w:val="none"/>
        </w:rPr>
        <w:t>、响应文件的修改、撤销</w:t>
      </w:r>
    </w:p>
    <w:p w14:paraId="65B24FA4">
      <w:pPr>
        <w:pStyle w:val="15"/>
        <w:spacing w:line="336" w:lineRule="auto"/>
        <w:ind w:firstLine="480" w:firstLineChars="200"/>
        <w:rPr>
          <w:rFonts w:hAnsi="宋体" w:cs="Times New Roman"/>
          <w:color w:val="auto"/>
          <w:sz w:val="24"/>
          <w:szCs w:val="24"/>
          <w:highlight w:val="none"/>
        </w:rPr>
      </w:pPr>
      <w:r>
        <w:rPr>
          <w:rFonts w:hint="eastAsia" w:hAnsi="宋体"/>
          <w:color w:val="auto"/>
          <w:sz w:val="24"/>
          <w:szCs w:val="24"/>
          <w:highlight w:val="none"/>
        </w:rPr>
        <w:t>供应商应当在磋商响应截止时间前完成电子交易文件的传输递交，磋商响应截止时间前可以补充、修改或者撤回电子交易文件。补充或者修改电子交易文件的，应当先行撤回原文件，补充、修改后重新传输递交。磋商响应截止时间前未完成传输的，视为响应文件撤回。</w:t>
      </w:r>
    </w:p>
    <w:p w14:paraId="530E1824">
      <w:pPr>
        <w:pStyle w:val="5"/>
        <w:numPr>
          <w:ilvl w:val="0"/>
          <w:numId w:val="8"/>
        </w:numPr>
        <w:spacing w:line="336" w:lineRule="auto"/>
        <w:jc w:val="center"/>
        <w:rPr>
          <w:rFonts w:hAnsi="宋体" w:cs="Times New Roman"/>
          <w:color w:val="auto"/>
          <w:highlight w:val="none"/>
        </w:rPr>
      </w:pPr>
      <w:r>
        <w:rPr>
          <w:color w:val="auto"/>
          <w:highlight w:val="none"/>
        </w:rPr>
        <w:t xml:space="preserve"> </w:t>
      </w:r>
      <w:bookmarkStart w:id="59" w:name="_Toc17162"/>
      <w:bookmarkStart w:id="60" w:name="_Toc24120"/>
      <w:r>
        <w:rPr>
          <w:rFonts w:hint="eastAsia"/>
          <w:color w:val="auto"/>
          <w:highlight w:val="none"/>
        </w:rPr>
        <w:t>磋商无效的情形</w:t>
      </w:r>
      <w:bookmarkEnd w:id="59"/>
      <w:bookmarkEnd w:id="60"/>
    </w:p>
    <w:p w14:paraId="2001AA44">
      <w:pPr>
        <w:pStyle w:val="15"/>
        <w:snapToGrid w:val="0"/>
        <w:spacing w:line="336" w:lineRule="auto"/>
        <w:ind w:firstLine="482" w:firstLineChars="200"/>
        <w:rPr>
          <w:rFonts w:hAnsi="宋体" w:cs="Times New Roman"/>
          <w:b/>
          <w:bCs/>
          <w:color w:val="auto"/>
          <w:sz w:val="24"/>
          <w:szCs w:val="24"/>
          <w:highlight w:val="none"/>
        </w:rPr>
      </w:pPr>
      <w:r>
        <w:rPr>
          <w:rFonts w:hAnsi="宋体"/>
          <w:b/>
          <w:bCs/>
          <w:color w:val="auto"/>
          <w:sz w:val="24"/>
          <w:szCs w:val="24"/>
          <w:highlight w:val="none"/>
        </w:rPr>
        <w:t>16</w:t>
      </w:r>
      <w:r>
        <w:rPr>
          <w:rFonts w:hint="eastAsia" w:hAnsi="宋体"/>
          <w:b/>
          <w:bCs/>
          <w:color w:val="auto"/>
          <w:sz w:val="24"/>
          <w:szCs w:val="24"/>
          <w:highlight w:val="none"/>
        </w:rPr>
        <w:t>、无效响应</w:t>
      </w:r>
    </w:p>
    <w:p w14:paraId="0AF5174B">
      <w:pPr>
        <w:pStyle w:val="15"/>
        <w:snapToGrid w:val="0"/>
        <w:spacing w:line="336" w:lineRule="auto"/>
        <w:ind w:firstLine="480" w:firstLineChars="200"/>
        <w:rPr>
          <w:rFonts w:hAnsi="宋体" w:cs="Times New Roman"/>
          <w:color w:val="auto"/>
          <w:sz w:val="24"/>
          <w:szCs w:val="24"/>
          <w:highlight w:val="none"/>
        </w:rPr>
      </w:pPr>
      <w:r>
        <w:rPr>
          <w:rFonts w:hint="eastAsia" w:hAnsi="宋体"/>
          <w:color w:val="auto"/>
          <w:sz w:val="24"/>
          <w:szCs w:val="24"/>
          <w:highlight w:val="none"/>
        </w:rPr>
        <w:t>经过审查，凡不符合有关规定，不响应磋商文件的实质性条款，存在以下重大偏离之一的，经磋商小组认定，并由采购人报采购办、监督办备案，将因未通过资格性或符合性审查而被作为无效响应处理：</w:t>
      </w:r>
    </w:p>
    <w:p w14:paraId="28FDC9C8">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w:t>
      </w:r>
      <w:r>
        <w:rPr>
          <w:rFonts w:hint="eastAsia" w:ascii="宋体" w:hAnsi="宋体" w:cs="宋体"/>
          <w:b/>
          <w:bCs/>
          <w:color w:val="auto"/>
          <w:sz w:val="24"/>
          <w:szCs w:val="24"/>
          <w:highlight w:val="none"/>
        </w:rPr>
        <w:t>未按照磋商文件规定要求签署、盖章的；</w:t>
      </w:r>
    </w:p>
    <w:p w14:paraId="6E10EECD">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16.2</w:t>
      </w:r>
      <w:r>
        <w:rPr>
          <w:rFonts w:hint="eastAsia" w:ascii="宋体" w:hAnsi="宋体" w:cs="宋体"/>
          <w:b/>
          <w:bCs/>
          <w:color w:val="auto"/>
          <w:sz w:val="24"/>
          <w:szCs w:val="24"/>
          <w:highlight w:val="none"/>
        </w:rPr>
        <w:t>《法定代表人授权书》填写不全、错误、未加盖供应商公章（公章和签字或盖章缺一不可）；</w:t>
      </w:r>
      <w:r>
        <w:rPr>
          <w:rFonts w:ascii="宋体" w:hAnsi="宋体" w:cs="宋体"/>
          <w:b/>
          <w:bCs/>
          <w:color w:val="auto"/>
          <w:sz w:val="24"/>
          <w:szCs w:val="24"/>
          <w:highlight w:val="none"/>
        </w:rPr>
        <w:t xml:space="preserve"> </w:t>
      </w:r>
    </w:p>
    <w:p w14:paraId="0BF132B4">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16.3</w:t>
      </w:r>
      <w:r>
        <w:rPr>
          <w:rFonts w:hint="eastAsia" w:ascii="宋体" w:hAnsi="宋体" w:cs="宋体"/>
          <w:b/>
          <w:bCs/>
          <w:color w:val="auto"/>
          <w:sz w:val="24"/>
          <w:szCs w:val="24"/>
          <w:highlight w:val="none"/>
        </w:rPr>
        <w:t>个体工商户的身份证明与营业执照不一致的；</w:t>
      </w:r>
    </w:p>
    <w:p w14:paraId="64C3BFE5">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16.4</w:t>
      </w:r>
      <w:r>
        <w:rPr>
          <w:rFonts w:hint="eastAsia" w:ascii="宋体" w:hAnsi="宋体" w:cs="宋体"/>
          <w:b/>
          <w:bCs/>
          <w:color w:val="auto"/>
          <w:sz w:val="24"/>
          <w:szCs w:val="24"/>
          <w:highlight w:val="none"/>
        </w:rPr>
        <w:t>响应文件中的磋商函未加盖供应商的企业公章或填写不全的；</w:t>
      </w:r>
    </w:p>
    <w:p w14:paraId="39A37035">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16.5</w:t>
      </w:r>
      <w:r>
        <w:rPr>
          <w:rFonts w:hint="eastAsia" w:ascii="宋体" w:hAnsi="宋体" w:cs="宋体"/>
          <w:b/>
          <w:bCs/>
          <w:color w:val="auto"/>
          <w:sz w:val="24"/>
          <w:szCs w:val="24"/>
          <w:highlight w:val="none"/>
        </w:rPr>
        <w:t>报价一经涂改，未在涂改处加盖投标单位公章或者未经法定代表人或其授权代表签字或盖章的；</w:t>
      </w:r>
    </w:p>
    <w:p w14:paraId="69DD9D47">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16.6</w:t>
      </w:r>
      <w:r>
        <w:rPr>
          <w:rFonts w:hint="eastAsia" w:ascii="宋体" w:hAnsi="宋体" w:cs="宋体"/>
          <w:b/>
          <w:bCs/>
          <w:color w:val="auto"/>
          <w:sz w:val="24"/>
          <w:szCs w:val="24"/>
          <w:highlight w:val="none"/>
        </w:rPr>
        <w:t>因未按规定的格式填写，内容不全或主要实质性内容字迹模糊辨认不清</w:t>
      </w:r>
      <w:r>
        <w:rPr>
          <w:rFonts w:ascii="宋体" w:cs="宋体"/>
          <w:b/>
          <w:bCs/>
          <w:color w:val="auto"/>
          <w:sz w:val="24"/>
          <w:szCs w:val="24"/>
          <w:highlight w:val="none"/>
        </w:rPr>
        <w:t>,</w:t>
      </w:r>
      <w:r>
        <w:rPr>
          <w:rFonts w:hint="eastAsia" w:ascii="宋体" w:hAnsi="宋体" w:cs="宋体"/>
          <w:b/>
          <w:bCs/>
          <w:color w:val="auto"/>
          <w:sz w:val="24"/>
          <w:szCs w:val="24"/>
          <w:highlight w:val="none"/>
        </w:rPr>
        <w:t>经评标委员会认定为无法评审的；</w:t>
      </w:r>
    </w:p>
    <w:p w14:paraId="14210BF0">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16.7</w:t>
      </w:r>
      <w:r>
        <w:rPr>
          <w:rFonts w:hint="eastAsia" w:ascii="宋体" w:hAnsi="宋体" w:cs="宋体"/>
          <w:b/>
          <w:bCs/>
          <w:color w:val="auto"/>
          <w:sz w:val="24"/>
          <w:szCs w:val="24"/>
          <w:highlight w:val="none"/>
        </w:rPr>
        <w:t>出现同一标的物或本次采购产品</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服务</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内的主要产品</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重要组成部分</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出现技术、商务描述不一致或前后描述不一致，经评标委员会认定后为无法评审的；</w:t>
      </w:r>
    </w:p>
    <w:p w14:paraId="42F41E66">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16.8</w:t>
      </w:r>
      <w:r>
        <w:rPr>
          <w:rFonts w:hint="eastAsia" w:ascii="宋体" w:hAnsi="宋体" w:cs="宋体"/>
          <w:b/>
          <w:bCs/>
          <w:color w:val="auto"/>
          <w:sz w:val="24"/>
          <w:szCs w:val="24"/>
          <w:highlight w:val="none"/>
        </w:rPr>
        <w:t>响应详细配置清单响应表不真实填写或弄虚作假的；改变磋商文件提供的清单中的计量单位、工程数量；</w:t>
      </w:r>
    </w:p>
    <w:p w14:paraId="23DA1522">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16.9</w:t>
      </w:r>
      <w:r>
        <w:rPr>
          <w:rFonts w:hint="eastAsia" w:ascii="宋体" w:hAnsi="宋体" w:cs="宋体"/>
          <w:b/>
          <w:bCs/>
          <w:color w:val="auto"/>
          <w:sz w:val="24"/>
          <w:szCs w:val="24"/>
          <w:highlight w:val="none"/>
        </w:rPr>
        <w:t>对采购产品技术规格未详细应答，致使其技术文件无法评审的；</w:t>
      </w:r>
    </w:p>
    <w:p w14:paraId="0EFB270A">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16.10</w:t>
      </w:r>
      <w:r>
        <w:rPr>
          <w:rFonts w:hint="eastAsia" w:ascii="宋体" w:hAnsi="宋体" w:cs="宋体"/>
          <w:b/>
          <w:bCs/>
          <w:color w:val="auto"/>
          <w:sz w:val="24"/>
          <w:szCs w:val="24"/>
          <w:highlight w:val="none"/>
        </w:rPr>
        <w:t>响应文件有采购方不能接受的条件；</w:t>
      </w:r>
    </w:p>
    <w:p w14:paraId="631C15A3">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16.11</w:t>
      </w:r>
      <w:r>
        <w:rPr>
          <w:rFonts w:hint="eastAsia" w:ascii="宋体" w:hAnsi="宋体" w:cs="宋体"/>
          <w:b/>
          <w:bCs/>
          <w:color w:val="auto"/>
          <w:sz w:val="24"/>
          <w:szCs w:val="24"/>
          <w:highlight w:val="none"/>
        </w:rPr>
        <w:t>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14:paraId="103157C5">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16.12</w:t>
      </w:r>
      <w:r>
        <w:rPr>
          <w:rFonts w:hint="eastAsia" w:ascii="宋体" w:hAnsi="宋体" w:cs="宋体"/>
          <w:b/>
          <w:bCs/>
          <w:color w:val="auto"/>
          <w:sz w:val="24"/>
          <w:szCs w:val="24"/>
          <w:highlight w:val="none"/>
        </w:rPr>
        <w:t>磋商报价超过预算金额或最高限价的；</w:t>
      </w:r>
    </w:p>
    <w:p w14:paraId="2CAF9790">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16.13</w:t>
      </w:r>
      <w:r>
        <w:rPr>
          <w:rFonts w:hint="eastAsia" w:ascii="宋体" w:hAnsi="宋体" w:cs="宋体"/>
          <w:b/>
          <w:bCs/>
          <w:color w:val="auto"/>
          <w:sz w:val="24"/>
          <w:szCs w:val="24"/>
          <w:highlight w:val="none"/>
        </w:rPr>
        <w:t>响应文件“商务技术文件资料”部分中出现《报价一览表》或《磋商报价明细表》相关内容的；</w:t>
      </w:r>
    </w:p>
    <w:p w14:paraId="4EAF41EE">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16.14</w:t>
      </w:r>
      <w:r>
        <w:rPr>
          <w:rFonts w:hint="eastAsia" w:ascii="宋体" w:hAnsi="宋体" w:cs="宋体"/>
          <w:b/>
          <w:bCs/>
          <w:color w:val="auto"/>
          <w:sz w:val="24"/>
          <w:szCs w:val="24"/>
          <w:highlight w:val="none"/>
        </w:rPr>
        <w:t>评标委员会认定有重大偏差或实质性不响应磋商文件要求的，即“★”的关键性指标及技术参数要求负偏离或缺漏；</w:t>
      </w:r>
    </w:p>
    <w:p w14:paraId="3476B58D">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16.15</w:t>
      </w:r>
      <w:r>
        <w:rPr>
          <w:rFonts w:hint="eastAsia" w:ascii="宋体" w:hAnsi="宋体" w:cs="宋体"/>
          <w:b/>
          <w:bCs/>
          <w:color w:val="auto"/>
          <w:sz w:val="24"/>
          <w:szCs w:val="24"/>
          <w:highlight w:val="none"/>
        </w:rPr>
        <w:t>供应商拒绝按磋商文件规定的修正原则对响应文件进行修改的；</w:t>
      </w:r>
    </w:p>
    <w:p w14:paraId="26C15939">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w:t>
      </w:r>
      <w:r>
        <w:rPr>
          <w:rFonts w:hint="eastAsia" w:ascii="宋体" w:hAnsi="宋体" w:cs="宋体"/>
          <w:b/>
          <w:bCs/>
          <w:color w:val="auto"/>
          <w:sz w:val="24"/>
          <w:szCs w:val="24"/>
          <w:highlight w:val="none"/>
        </w:rPr>
        <w:t>有下列情形之一的，视为供应商串通投标，其投标无效：</w:t>
      </w:r>
    </w:p>
    <w:p w14:paraId="094082B3">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16.16.1</w:t>
      </w:r>
      <w:r>
        <w:rPr>
          <w:rFonts w:hint="eastAsia" w:ascii="宋体" w:hAnsi="宋体" w:cs="宋体"/>
          <w:b/>
          <w:bCs/>
          <w:color w:val="auto"/>
          <w:sz w:val="24"/>
          <w:szCs w:val="24"/>
          <w:highlight w:val="none"/>
        </w:rPr>
        <w:t>不同供应商的响应文件由同一单位或者个人编制；</w:t>
      </w:r>
    </w:p>
    <w:p w14:paraId="0334FFC5">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16.16.2</w:t>
      </w:r>
      <w:r>
        <w:rPr>
          <w:rFonts w:hint="eastAsia" w:ascii="宋体" w:hAnsi="宋体" w:cs="宋体"/>
          <w:b/>
          <w:bCs/>
          <w:color w:val="auto"/>
          <w:sz w:val="24"/>
          <w:szCs w:val="24"/>
          <w:highlight w:val="none"/>
        </w:rPr>
        <w:t>不同供应商委托同一单位或者个人办理投标事宜；</w:t>
      </w:r>
    </w:p>
    <w:p w14:paraId="10F15F36">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16.16.3</w:t>
      </w:r>
      <w:r>
        <w:rPr>
          <w:rFonts w:hint="eastAsia" w:ascii="宋体" w:hAnsi="宋体" w:cs="宋体"/>
          <w:b/>
          <w:bCs/>
          <w:color w:val="auto"/>
          <w:sz w:val="24"/>
          <w:szCs w:val="24"/>
          <w:highlight w:val="none"/>
        </w:rPr>
        <w:t>不同供应商的响应文件载明的项目管理成员或者联系人员为同一人；</w:t>
      </w:r>
    </w:p>
    <w:p w14:paraId="74B681CE">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16.16.4</w:t>
      </w:r>
      <w:r>
        <w:rPr>
          <w:rFonts w:hint="eastAsia" w:ascii="宋体" w:hAnsi="宋体" w:cs="宋体"/>
          <w:b/>
          <w:bCs/>
          <w:color w:val="auto"/>
          <w:sz w:val="24"/>
          <w:szCs w:val="24"/>
          <w:highlight w:val="none"/>
        </w:rPr>
        <w:t>不同供应商的响应文件异常一致或者投标报价呈规律性差异；</w:t>
      </w:r>
    </w:p>
    <w:p w14:paraId="3BF5DFC2">
      <w:pPr>
        <w:spacing w:line="336" w:lineRule="auto"/>
        <w:ind w:firstLine="482" w:firstLineChars="200"/>
        <w:rPr>
          <w:rFonts w:ascii="宋体" w:hAnsi="宋体" w:cs="宋体"/>
          <w:b/>
          <w:bCs/>
          <w:color w:val="auto"/>
          <w:sz w:val="24"/>
          <w:szCs w:val="24"/>
          <w:highlight w:val="none"/>
        </w:rPr>
      </w:pPr>
      <w:r>
        <w:rPr>
          <w:rFonts w:ascii="宋体" w:hAnsi="宋体" w:cs="宋体"/>
          <w:b/>
          <w:bCs/>
          <w:color w:val="auto"/>
          <w:sz w:val="24"/>
          <w:szCs w:val="24"/>
          <w:highlight w:val="none"/>
        </w:rPr>
        <w:t>16.16.5</w:t>
      </w:r>
      <w:r>
        <w:rPr>
          <w:rFonts w:hint="eastAsia" w:ascii="宋体" w:hAnsi="宋体" w:cs="宋体"/>
          <w:b/>
          <w:bCs/>
          <w:color w:val="auto"/>
          <w:sz w:val="24"/>
          <w:szCs w:val="24"/>
          <w:highlight w:val="none"/>
        </w:rPr>
        <w:t>不同供应商提供的响应文件出自同一终端设备的，或在相同</w:t>
      </w:r>
      <w:r>
        <w:rPr>
          <w:rFonts w:ascii="宋体" w:hAnsi="宋体" w:cs="宋体"/>
          <w:b/>
          <w:bCs/>
          <w:color w:val="auto"/>
          <w:sz w:val="24"/>
          <w:szCs w:val="24"/>
          <w:highlight w:val="none"/>
        </w:rPr>
        <w:t>Internet</w:t>
      </w:r>
      <w:r>
        <w:rPr>
          <w:rFonts w:hint="eastAsia" w:ascii="宋体" w:hAnsi="宋体" w:cs="宋体"/>
          <w:b/>
          <w:bCs/>
          <w:color w:val="auto"/>
          <w:sz w:val="24"/>
          <w:szCs w:val="24"/>
          <w:highlight w:val="none"/>
        </w:rPr>
        <w:t>主机分配地址（相同</w:t>
      </w:r>
      <w:r>
        <w:rPr>
          <w:rFonts w:ascii="宋体" w:hAnsi="宋体" w:cs="宋体"/>
          <w:b/>
          <w:bCs/>
          <w:color w:val="auto"/>
          <w:sz w:val="24"/>
          <w:szCs w:val="24"/>
          <w:highlight w:val="none"/>
        </w:rPr>
        <w:t>IP</w:t>
      </w:r>
      <w:r>
        <w:rPr>
          <w:rFonts w:hint="eastAsia" w:ascii="宋体" w:hAnsi="宋体" w:cs="宋体"/>
          <w:b/>
          <w:bCs/>
          <w:color w:val="auto"/>
          <w:sz w:val="24"/>
          <w:szCs w:val="24"/>
          <w:highlight w:val="none"/>
        </w:rPr>
        <w:t>地址）报名或网上投标的，且经询标澄清供应商无令人信服的理由和可靠证据证明其合理性的，经评标委员会半数以上成员确认有串通投标嫌疑的。</w:t>
      </w:r>
    </w:p>
    <w:p w14:paraId="7270712A">
      <w:pPr>
        <w:tabs>
          <w:tab w:val="left" w:pos="3870"/>
          <w:tab w:val="left" w:pos="4085"/>
        </w:tabs>
        <w:snapToGrid w:val="0"/>
        <w:spacing w:line="336"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16.1</w:t>
      </w:r>
      <w:r>
        <w:rPr>
          <w:rFonts w:hint="eastAsia" w:ascii="宋体" w:hAnsi="宋体" w:cs="宋体"/>
          <w:b/>
          <w:bCs/>
          <w:color w:val="auto"/>
          <w:sz w:val="24"/>
          <w:szCs w:val="24"/>
          <w:highlight w:val="none"/>
          <w:lang w:val="en-US" w:eastAsia="zh-CN"/>
        </w:rPr>
        <w:t>7</w:t>
      </w:r>
      <w:r>
        <w:rPr>
          <w:rFonts w:hint="eastAsia" w:ascii="宋体" w:hAnsi="宋体" w:cs="宋体"/>
          <w:b/>
          <w:bCs/>
          <w:color w:val="auto"/>
          <w:sz w:val="24"/>
          <w:szCs w:val="24"/>
          <w:highlight w:val="none"/>
        </w:rPr>
        <w:t xml:space="preserve"> 其他违反法律、法规的情形。</w:t>
      </w:r>
    </w:p>
    <w:p w14:paraId="50DA09E0">
      <w:pPr>
        <w:pStyle w:val="5"/>
        <w:numPr>
          <w:ilvl w:val="0"/>
          <w:numId w:val="8"/>
        </w:numPr>
        <w:spacing w:line="336" w:lineRule="auto"/>
        <w:jc w:val="center"/>
        <w:rPr>
          <w:rFonts w:cs="Times New Roman"/>
          <w:color w:val="auto"/>
          <w:highlight w:val="none"/>
        </w:rPr>
      </w:pPr>
      <w:r>
        <w:rPr>
          <w:color w:val="auto"/>
          <w:highlight w:val="none"/>
        </w:rPr>
        <w:t xml:space="preserve"> </w:t>
      </w:r>
      <w:bookmarkStart w:id="61" w:name="_Toc22093"/>
      <w:bookmarkStart w:id="62" w:name="_Toc21752"/>
      <w:r>
        <w:rPr>
          <w:rFonts w:hint="eastAsia"/>
          <w:color w:val="auto"/>
          <w:highlight w:val="none"/>
        </w:rPr>
        <w:t>采购中止的情形</w:t>
      </w:r>
      <w:bookmarkEnd w:id="61"/>
      <w:bookmarkEnd w:id="62"/>
    </w:p>
    <w:p w14:paraId="2F978005">
      <w:pPr>
        <w:pStyle w:val="15"/>
        <w:spacing w:line="336" w:lineRule="auto"/>
        <w:ind w:left="420" w:leftChars="200"/>
        <w:rPr>
          <w:rFonts w:hAnsi="宋体" w:cs="Times New Roman"/>
          <w:b/>
          <w:bCs/>
          <w:color w:val="auto"/>
          <w:sz w:val="24"/>
          <w:szCs w:val="24"/>
          <w:highlight w:val="none"/>
        </w:rPr>
      </w:pPr>
      <w:r>
        <w:rPr>
          <w:rFonts w:hAnsi="宋体"/>
          <w:b/>
          <w:bCs/>
          <w:color w:val="auto"/>
          <w:sz w:val="24"/>
          <w:szCs w:val="24"/>
          <w:highlight w:val="none"/>
        </w:rPr>
        <w:t>17</w:t>
      </w:r>
      <w:r>
        <w:rPr>
          <w:rFonts w:hint="eastAsia" w:hAnsi="宋体"/>
          <w:b/>
          <w:bCs/>
          <w:color w:val="auto"/>
          <w:sz w:val="24"/>
          <w:szCs w:val="24"/>
          <w:highlight w:val="none"/>
        </w:rPr>
        <w:t>、</w:t>
      </w:r>
      <w:r>
        <w:rPr>
          <w:rFonts w:hint="eastAsia" w:hAnsi="宋体"/>
          <w:b/>
          <w:bCs/>
          <w:color w:val="auto"/>
          <w:sz w:val="24"/>
          <w:szCs w:val="24"/>
          <w:highlight w:val="none"/>
          <w:lang w:val="zh-CN"/>
        </w:rPr>
        <w:t>中止电子交易活动和</w:t>
      </w:r>
      <w:r>
        <w:rPr>
          <w:rFonts w:hint="eastAsia" w:hAnsi="宋体"/>
          <w:b/>
          <w:bCs/>
          <w:color w:val="auto"/>
          <w:sz w:val="24"/>
          <w:szCs w:val="24"/>
          <w:highlight w:val="none"/>
        </w:rPr>
        <w:t>重新组织采购</w:t>
      </w:r>
    </w:p>
    <w:p w14:paraId="7BA45B89">
      <w:pPr>
        <w:pStyle w:val="57"/>
        <w:tabs>
          <w:tab w:val="left" w:pos="0"/>
        </w:tabs>
        <w:spacing w:before="0" w:line="336" w:lineRule="auto"/>
        <w:ind w:left="420" w:leftChars="200" w:firstLine="0" w:firstLineChars="0"/>
        <w:rPr>
          <w:rFonts w:ascii="宋体"/>
          <w:color w:val="auto"/>
          <w:highlight w:val="none"/>
          <w:lang w:val="zh-CN"/>
        </w:rPr>
      </w:pPr>
      <w:r>
        <w:rPr>
          <w:rFonts w:ascii="宋体" w:hAnsi="宋体" w:cs="宋体"/>
          <w:color w:val="auto"/>
          <w:highlight w:val="none"/>
        </w:rPr>
        <w:t>17.1</w:t>
      </w:r>
      <w:r>
        <w:rPr>
          <w:rFonts w:hint="eastAsia" w:ascii="宋体" w:hAnsi="宋体" w:cs="宋体"/>
          <w:color w:val="auto"/>
          <w:highlight w:val="none"/>
          <w:lang w:val="zh-CN"/>
        </w:rPr>
        <w:t>采购过程中出现以下情形，导致电子交易平台无法正常运行，或者无法保证电子交易的公平、公正和安全时，采购组织机构可中止电子交易活动：</w:t>
      </w:r>
    </w:p>
    <w:p w14:paraId="5A889BCB">
      <w:pPr>
        <w:numPr>
          <w:ilvl w:val="0"/>
          <w:numId w:val="14"/>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电子交易平台发生故障而无法登录访问的；</w:t>
      </w:r>
      <w:r>
        <w:rPr>
          <w:rFonts w:ascii="宋体" w:hAnsi="宋体" w:cs="宋体"/>
          <w:color w:val="auto"/>
          <w:sz w:val="24"/>
          <w:szCs w:val="24"/>
          <w:highlight w:val="none"/>
        </w:rPr>
        <w:t xml:space="preserve"> </w:t>
      </w:r>
    </w:p>
    <w:p w14:paraId="26A2D0B5">
      <w:pPr>
        <w:numPr>
          <w:ilvl w:val="0"/>
          <w:numId w:val="14"/>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电子交易平台应用或数据库出现错误，不能进行正常操作的；</w:t>
      </w:r>
    </w:p>
    <w:p w14:paraId="4E087453">
      <w:pPr>
        <w:numPr>
          <w:ilvl w:val="0"/>
          <w:numId w:val="14"/>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电子交易平台发现严重安全漏洞，有潜在泄密危险的；</w:t>
      </w:r>
    </w:p>
    <w:p w14:paraId="13D2222E">
      <w:pPr>
        <w:numPr>
          <w:ilvl w:val="0"/>
          <w:numId w:val="14"/>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病毒发作导致不能进行正常操作的；</w:t>
      </w:r>
      <w:r>
        <w:rPr>
          <w:rFonts w:ascii="宋体" w:hAnsi="宋体" w:cs="宋体"/>
          <w:color w:val="auto"/>
          <w:sz w:val="24"/>
          <w:szCs w:val="24"/>
          <w:highlight w:val="none"/>
        </w:rPr>
        <w:t xml:space="preserve"> </w:t>
      </w:r>
    </w:p>
    <w:p w14:paraId="436CD5A7">
      <w:pPr>
        <w:numPr>
          <w:ilvl w:val="0"/>
          <w:numId w:val="14"/>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其他无法保证电子交易的公平、公正和安全的情况。</w:t>
      </w:r>
    </w:p>
    <w:p w14:paraId="0B3CADF3">
      <w:pPr>
        <w:pStyle w:val="57"/>
        <w:tabs>
          <w:tab w:val="left" w:pos="0"/>
        </w:tabs>
        <w:spacing w:before="0" w:line="336" w:lineRule="auto"/>
        <w:ind w:firstLine="480"/>
        <w:rPr>
          <w:rFonts w:ascii="宋体"/>
          <w:color w:val="auto"/>
          <w:highlight w:val="none"/>
        </w:rPr>
      </w:pPr>
      <w:r>
        <w:rPr>
          <w:rFonts w:ascii="宋体" w:hAnsi="宋体" w:cs="宋体"/>
          <w:color w:val="auto"/>
          <w:highlight w:val="none"/>
        </w:rPr>
        <w:t>17.2</w:t>
      </w:r>
      <w:r>
        <w:rPr>
          <w:rFonts w:hint="eastAsia" w:ascii="宋体" w:hAnsi="宋体" w:cs="宋体"/>
          <w:color w:val="auto"/>
          <w:highlight w:val="none"/>
        </w:rPr>
        <w:t>磋商小组发现磋商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14:paraId="2E630413">
      <w:pPr>
        <w:pStyle w:val="5"/>
        <w:numPr>
          <w:ilvl w:val="0"/>
          <w:numId w:val="8"/>
        </w:numPr>
        <w:spacing w:line="336" w:lineRule="auto"/>
        <w:jc w:val="center"/>
        <w:rPr>
          <w:rFonts w:cs="Times New Roman"/>
          <w:color w:val="auto"/>
          <w:highlight w:val="none"/>
        </w:rPr>
      </w:pPr>
      <w:r>
        <w:rPr>
          <w:color w:val="auto"/>
          <w:highlight w:val="none"/>
        </w:rPr>
        <w:t xml:space="preserve"> </w:t>
      </w:r>
      <w:bookmarkStart w:id="63" w:name="_Toc14029"/>
      <w:bookmarkStart w:id="64" w:name="_Toc8622"/>
      <w:r>
        <w:rPr>
          <w:rFonts w:hint="eastAsia"/>
          <w:color w:val="auto"/>
          <w:highlight w:val="none"/>
        </w:rPr>
        <w:t>确定成交供应商与签订合同</w:t>
      </w:r>
      <w:bookmarkEnd w:id="63"/>
      <w:bookmarkEnd w:id="64"/>
    </w:p>
    <w:p w14:paraId="0E28C239">
      <w:pPr>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18</w:t>
      </w:r>
      <w:r>
        <w:rPr>
          <w:rFonts w:hint="eastAsia" w:ascii="宋体" w:hAnsi="宋体" w:cs="宋体"/>
          <w:b/>
          <w:bCs/>
          <w:color w:val="auto"/>
          <w:sz w:val="24"/>
          <w:szCs w:val="24"/>
          <w:highlight w:val="none"/>
        </w:rPr>
        <w:t>、推荐成交候选供应商</w:t>
      </w:r>
    </w:p>
    <w:p w14:paraId="2111FC75">
      <w:pPr>
        <w:snapToGri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18.1 </w:t>
      </w:r>
      <w:r>
        <w:rPr>
          <w:rFonts w:hint="eastAsia" w:ascii="宋体" w:hAnsi="宋体" w:cs="宋体"/>
          <w:color w:val="auto"/>
          <w:sz w:val="24"/>
          <w:szCs w:val="24"/>
          <w:highlight w:val="none"/>
        </w:rPr>
        <w:t>磋商小组应当根据综合评分情况，按照评审得分由高到低顺序推荐</w:t>
      </w:r>
      <w:r>
        <w:rPr>
          <w:rFonts w:ascii="宋体" w:hAnsi="宋体" w:cs="宋体"/>
          <w:color w:val="auto"/>
          <w:sz w:val="24"/>
          <w:szCs w:val="24"/>
          <w:highlight w:val="none"/>
        </w:rPr>
        <w:t>1</w:t>
      </w:r>
      <w:r>
        <w:rPr>
          <w:rFonts w:hint="eastAsia" w:ascii="宋体" w:hAnsi="宋体" w:cs="宋体"/>
          <w:color w:val="auto"/>
          <w:sz w:val="24"/>
          <w:szCs w:val="24"/>
          <w:highlight w:val="none"/>
        </w:rPr>
        <w:t>名或以上成交候选供应商，并编写评审报告。评审得分相同的，按照最后报价由低到高的顺序推荐。评审得分且最后报价相同的，按照技术指标优劣顺序推荐。</w:t>
      </w:r>
    </w:p>
    <w:p w14:paraId="7E45BC4B">
      <w:pPr>
        <w:snapToGri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18.2 </w:t>
      </w:r>
      <w:r>
        <w:rPr>
          <w:rFonts w:hint="eastAsia" w:ascii="宋体" w:hAnsi="宋体" w:cs="宋体"/>
          <w:color w:val="auto"/>
          <w:sz w:val="24"/>
          <w:szCs w:val="24"/>
          <w:highlight w:val="none"/>
        </w:rPr>
        <w:t>采购代理机构应当在评审结束后</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个工作日内将评审报告送采购人确认。</w:t>
      </w:r>
    </w:p>
    <w:p w14:paraId="5EF9889E">
      <w:pPr>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19</w:t>
      </w:r>
      <w:r>
        <w:rPr>
          <w:rFonts w:hint="eastAsia" w:ascii="宋体" w:hAnsi="宋体" w:cs="宋体"/>
          <w:b/>
          <w:bCs/>
          <w:color w:val="auto"/>
          <w:sz w:val="24"/>
          <w:szCs w:val="24"/>
          <w:highlight w:val="none"/>
        </w:rPr>
        <w:t>、确定成交供应商</w:t>
      </w:r>
    </w:p>
    <w:p w14:paraId="22941CB2">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19.1</w:t>
      </w:r>
      <w:r>
        <w:rPr>
          <w:rFonts w:hint="eastAsia" w:ascii="宋体" w:hAnsi="宋体" w:cs="宋体"/>
          <w:color w:val="auto"/>
          <w:sz w:val="24"/>
          <w:szCs w:val="24"/>
          <w:highlight w:val="none"/>
        </w:rPr>
        <w:t>采购人应当在收到评审报告后</w:t>
      </w:r>
      <w:r>
        <w:rPr>
          <w:rFonts w:ascii="宋体" w:hAnsi="宋体" w:cs="宋体"/>
          <w:color w:val="auto"/>
          <w:sz w:val="24"/>
          <w:szCs w:val="24"/>
          <w:highlight w:val="none"/>
        </w:rPr>
        <w:t>5</w:t>
      </w:r>
      <w:r>
        <w:rPr>
          <w:rFonts w:hint="eastAsia" w:ascii="宋体" w:hAnsi="宋体" w:cs="宋体"/>
          <w:color w:val="auto"/>
          <w:sz w:val="24"/>
          <w:szCs w:val="24"/>
          <w:highlight w:val="none"/>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87AF984">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19.2</w:t>
      </w:r>
      <w:r>
        <w:rPr>
          <w:rFonts w:hint="eastAsia" w:ascii="宋体" w:hAnsi="宋体" w:cs="宋体"/>
          <w:color w:val="auto"/>
          <w:sz w:val="24"/>
          <w:szCs w:val="24"/>
          <w:highlight w:val="none"/>
        </w:rPr>
        <w:t>采购人或者采购代理机构应当在成交供应商确定后</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个工作日内，在省级以上财政部门指定的政府采购信息发布媒体上公告成交结果，同时向成交供应商发出成交通知书。</w:t>
      </w:r>
    </w:p>
    <w:p w14:paraId="275671F3">
      <w:pP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20</w:t>
      </w:r>
      <w:r>
        <w:rPr>
          <w:rFonts w:hint="eastAsia" w:ascii="宋体" w:hAnsi="宋体" w:cs="宋体"/>
          <w:b/>
          <w:bCs/>
          <w:color w:val="auto"/>
          <w:sz w:val="24"/>
          <w:szCs w:val="24"/>
          <w:highlight w:val="none"/>
        </w:rPr>
        <w:t>、签订合同</w:t>
      </w:r>
    </w:p>
    <w:p w14:paraId="6F4A6C90">
      <w:pPr>
        <w:pStyle w:val="57"/>
        <w:snapToGrid w:val="0"/>
        <w:spacing w:before="0" w:line="336" w:lineRule="auto"/>
        <w:ind w:firstLine="480"/>
        <w:rPr>
          <w:rFonts w:ascii="宋体"/>
          <w:color w:val="auto"/>
          <w:highlight w:val="none"/>
        </w:rPr>
      </w:pPr>
      <w:r>
        <w:rPr>
          <w:rFonts w:ascii="宋体" w:hAnsi="宋体" w:cs="宋体"/>
          <w:color w:val="auto"/>
          <w:highlight w:val="none"/>
        </w:rPr>
        <w:t xml:space="preserve">20.1. </w:t>
      </w:r>
      <w:r>
        <w:rPr>
          <w:rFonts w:hint="eastAsia" w:ascii="宋体" w:hAnsi="宋体" w:cs="宋体"/>
          <w:color w:val="auto"/>
          <w:highlight w:val="none"/>
        </w:rPr>
        <w:t>采购人与成交供应商应当在成交通知书发出之日起</w:t>
      </w:r>
      <w:r>
        <w:rPr>
          <w:rFonts w:ascii="宋体" w:hAnsi="宋体" w:cs="宋体"/>
          <w:color w:val="auto"/>
          <w:highlight w:val="none"/>
        </w:rPr>
        <w:t>30</w:t>
      </w:r>
      <w:r>
        <w:rPr>
          <w:rFonts w:hint="eastAsia" w:ascii="宋体" w:hAnsi="宋体" w:cs="宋体"/>
          <w:color w:val="auto"/>
          <w:highlight w:val="none"/>
        </w:rPr>
        <w:t>日内，按照磋商文件确定的合同文本以及采购标的、规格型号、采购金额、采购数量、技术和服务要求等事项签订政府采购合同。</w:t>
      </w:r>
    </w:p>
    <w:p w14:paraId="77EDDEAE">
      <w:pPr>
        <w:pStyle w:val="57"/>
        <w:snapToGrid w:val="0"/>
        <w:spacing w:before="0" w:line="336" w:lineRule="auto"/>
        <w:ind w:firstLine="480"/>
        <w:rPr>
          <w:rFonts w:ascii="宋体"/>
          <w:color w:val="auto"/>
          <w:highlight w:val="none"/>
        </w:rPr>
      </w:pPr>
      <w:r>
        <w:rPr>
          <w:rFonts w:ascii="宋体" w:hAnsi="宋体" w:cs="宋体"/>
          <w:color w:val="auto"/>
          <w:highlight w:val="none"/>
        </w:rPr>
        <w:t xml:space="preserve">20.2. </w:t>
      </w:r>
      <w:r>
        <w:rPr>
          <w:rFonts w:hint="eastAsia" w:ascii="宋体" w:hAnsi="宋体" w:cs="宋体"/>
          <w:color w:val="auto"/>
          <w:highlight w:val="none"/>
        </w:rPr>
        <w:t>成交供应商拒绝签订政府采购合同的，采购人可以按照《政府采购竞争性磋商采购方式管理暂行办法》（财库〔</w:t>
      </w:r>
      <w:r>
        <w:rPr>
          <w:rFonts w:ascii="宋体" w:hAnsi="宋体" w:cs="宋体"/>
          <w:color w:val="auto"/>
          <w:highlight w:val="none"/>
        </w:rPr>
        <w:t>2014</w:t>
      </w:r>
      <w:r>
        <w:rPr>
          <w:rFonts w:hint="eastAsia" w:ascii="宋体" w:hAnsi="宋体" w:cs="宋体"/>
          <w:color w:val="auto"/>
          <w:highlight w:val="none"/>
        </w:rPr>
        <w:t>〕</w:t>
      </w:r>
      <w:r>
        <w:rPr>
          <w:rFonts w:ascii="宋体" w:hAnsi="宋体" w:cs="宋体"/>
          <w:color w:val="auto"/>
          <w:highlight w:val="none"/>
        </w:rPr>
        <w:t>214</w:t>
      </w:r>
      <w:r>
        <w:rPr>
          <w:rFonts w:hint="eastAsia" w:ascii="宋体" w:hAnsi="宋体" w:cs="宋体"/>
          <w:color w:val="auto"/>
          <w:highlight w:val="none"/>
        </w:rPr>
        <w:t>号）第二十八条第二款规定的原则确定其他供应商作为成交供应商并签订政府采购合同，也可以重新开展采购活动。拒绝签订政府采购合同的成交供应商不得参加对该项目重新开展的采购活动。</w:t>
      </w:r>
    </w:p>
    <w:p w14:paraId="574493E1">
      <w:pPr>
        <w:adjustRightInd w:val="0"/>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21</w:t>
      </w:r>
      <w:r>
        <w:rPr>
          <w:rFonts w:hint="eastAsia" w:ascii="宋体" w:hAnsi="宋体" w:cs="宋体"/>
          <w:b/>
          <w:bCs/>
          <w:color w:val="auto"/>
          <w:sz w:val="24"/>
          <w:szCs w:val="24"/>
          <w:highlight w:val="none"/>
        </w:rPr>
        <w:t>、解释权</w:t>
      </w:r>
    </w:p>
    <w:p w14:paraId="1A2FFD94">
      <w:pPr>
        <w:adjustRightInd w:val="0"/>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磋商文件的解释权均属于</w:t>
      </w:r>
      <w:r>
        <w:rPr>
          <w:rFonts w:hint="eastAsia" w:ascii="宋体" w:hAnsi="宋体" w:cs="宋体"/>
          <w:color w:val="auto"/>
          <w:sz w:val="24"/>
          <w:szCs w:val="24"/>
          <w:highlight w:val="none"/>
          <w:u w:val="single"/>
          <w:lang w:eastAsia="zh-CN"/>
        </w:rPr>
        <w:t>绍兴市上虞区曹娥街道办事处</w:t>
      </w:r>
      <w:r>
        <w:rPr>
          <w:rFonts w:hint="eastAsia" w:ascii="宋体" w:hAnsi="宋体" w:cs="宋体"/>
          <w:color w:val="auto"/>
          <w:sz w:val="24"/>
          <w:szCs w:val="24"/>
          <w:highlight w:val="none"/>
        </w:rPr>
        <w:t>和</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浙江天平项目咨询有限公司</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503836B1">
      <w:pPr>
        <w:pStyle w:val="4"/>
        <w:jc w:val="center"/>
        <w:rPr>
          <w:rFonts w:cs="Times New Roman"/>
          <w:color w:val="auto"/>
          <w:sz w:val="36"/>
          <w:szCs w:val="36"/>
          <w:highlight w:val="none"/>
        </w:rPr>
      </w:pPr>
      <w:r>
        <w:rPr>
          <w:color w:val="auto"/>
          <w:sz w:val="36"/>
          <w:szCs w:val="36"/>
          <w:highlight w:val="none"/>
        </w:rPr>
        <w:br w:type="page"/>
      </w:r>
      <w:bookmarkStart w:id="65" w:name="_Toc21248"/>
      <w:bookmarkStart w:id="66" w:name="_Toc19197"/>
      <w:r>
        <w:rPr>
          <w:rFonts w:hint="eastAsia"/>
          <w:color w:val="auto"/>
          <w:sz w:val="36"/>
          <w:szCs w:val="36"/>
          <w:highlight w:val="none"/>
        </w:rPr>
        <w:t xml:space="preserve">第三部分 </w:t>
      </w:r>
      <w:r>
        <w:rPr>
          <w:rFonts w:hint="eastAsia" w:cs="宋体"/>
          <w:color w:val="auto"/>
          <w:sz w:val="36"/>
          <w:szCs w:val="36"/>
          <w:highlight w:val="none"/>
        </w:rPr>
        <w:t>采购内容及要求</w:t>
      </w:r>
      <w:bookmarkEnd w:id="65"/>
      <w:bookmarkEnd w:id="66"/>
    </w:p>
    <w:p w14:paraId="38F4A0D8">
      <w:pPr>
        <w:pStyle w:val="5"/>
        <w:jc w:val="center"/>
        <w:rPr>
          <w:color w:val="auto"/>
          <w:highlight w:val="none"/>
        </w:rPr>
      </w:pPr>
      <w:bookmarkStart w:id="67" w:name="_Toc7147"/>
      <w:bookmarkStart w:id="68" w:name="_Toc25073"/>
      <w:bookmarkStart w:id="69" w:name="_Toc15284"/>
      <w:r>
        <w:rPr>
          <w:rFonts w:hint="eastAsia"/>
          <w:color w:val="auto"/>
          <w:highlight w:val="none"/>
        </w:rPr>
        <w:t xml:space="preserve">第一章 </w:t>
      </w:r>
      <w:bookmarkStart w:id="70" w:name="_Toc506107120"/>
      <w:r>
        <w:rPr>
          <w:rFonts w:hint="eastAsia"/>
          <w:color w:val="auto"/>
          <w:highlight w:val="none"/>
        </w:rPr>
        <w:t>采购内容及要求</w:t>
      </w:r>
      <w:bookmarkEnd w:id="67"/>
      <w:bookmarkEnd w:id="68"/>
      <w:bookmarkEnd w:id="70"/>
    </w:p>
    <w:p w14:paraId="61AD318E">
      <w:pPr>
        <w:pStyle w:val="7"/>
        <w:numPr>
          <w:ilvl w:val="2"/>
          <w:numId w:val="0"/>
        </w:numPr>
        <w:rPr>
          <w:rFonts w:hint="eastAsia" w:ascii="宋体" w:hAnsi="宋体" w:eastAsia="宋体" w:cs="宋体"/>
          <w:b/>
          <w:bCs w:val="0"/>
          <w:color w:val="auto"/>
          <w:sz w:val="24"/>
          <w:szCs w:val="24"/>
        </w:rPr>
      </w:pPr>
      <w:bookmarkStart w:id="71" w:name="_Hlk104197889"/>
      <w:r>
        <w:rPr>
          <w:rFonts w:hint="eastAsia" w:ascii="宋体" w:hAnsi="宋体" w:eastAsia="宋体" w:cs="宋体"/>
          <w:b/>
          <w:bCs w:val="0"/>
          <w:color w:val="auto"/>
          <w:sz w:val="24"/>
          <w:szCs w:val="24"/>
        </w:rPr>
        <w:t>一、项目概况</w:t>
      </w:r>
    </w:p>
    <w:p w14:paraId="2706D46B">
      <w:pPr>
        <w:spacing w:line="360" w:lineRule="auto"/>
        <w:ind w:firstLine="420"/>
        <w:rPr>
          <w:rFonts w:hint="eastAsia" w:ascii="宋体" w:hAnsi="宋体" w:eastAsia="宋体" w:cs="宋体"/>
          <w:b w:val="0"/>
          <w:color w:val="auto"/>
          <w:sz w:val="24"/>
          <w:szCs w:val="24"/>
          <w:shd w:val="clear" w:color="auto" w:fill="FFFFFF"/>
        </w:rPr>
      </w:pPr>
      <w:r>
        <w:rPr>
          <w:rFonts w:hint="eastAsia" w:ascii="宋体" w:hAnsi="宋体" w:eastAsia="宋体" w:cs="宋体"/>
          <w:b w:val="0"/>
          <w:color w:val="auto"/>
          <w:sz w:val="24"/>
          <w:szCs w:val="24"/>
          <w:shd w:val="clear" w:color="auto" w:fill="FFFFFF"/>
        </w:rPr>
        <w:t>大气污染防治第三方本地化技术服务通过第三方驻场服务、大数据平台应用和环境智能监测硬件等手段，协助建立大气污染防治运行机制。综合利用各种监测技术手段，排查获取大气污染源的分布，动态评估大气污染特征和空气质量变化趋势，为开展大气污染防治工作</w:t>
      </w:r>
      <w:r>
        <w:rPr>
          <w:rFonts w:hint="eastAsia" w:ascii="宋体" w:hAnsi="宋体" w:eastAsia="宋体" w:cs="宋体"/>
          <w:b w:val="0"/>
          <w:color w:val="auto"/>
          <w:sz w:val="24"/>
          <w:szCs w:val="24"/>
          <w:shd w:val="clear" w:color="auto" w:fill="FFFFFF"/>
          <w:lang w:eastAsia="zh-CN"/>
        </w:rPr>
        <w:t>提供</w:t>
      </w:r>
      <w:r>
        <w:rPr>
          <w:rFonts w:hint="eastAsia" w:ascii="宋体" w:hAnsi="宋体" w:eastAsia="宋体" w:cs="宋体"/>
          <w:b w:val="0"/>
          <w:color w:val="auto"/>
          <w:sz w:val="24"/>
          <w:szCs w:val="24"/>
          <w:shd w:val="clear" w:color="auto" w:fill="FFFFFF"/>
        </w:rPr>
        <w:t>重要依据和前提，提高大气污染防治工作的针对性、科学性和合理性，最终实现空气质量的长效改善。</w:t>
      </w:r>
    </w:p>
    <w:p w14:paraId="148F8A9E">
      <w:pPr>
        <w:spacing w:line="360" w:lineRule="auto"/>
        <w:rPr>
          <w:rFonts w:hint="eastAsia" w:ascii="宋体" w:hAnsi="宋体" w:eastAsia="宋体" w:cs="宋体"/>
          <w:b/>
          <w:bCs/>
          <w:iCs w:val="0"/>
          <w:color w:val="auto"/>
          <w:kern w:val="2"/>
          <w:sz w:val="24"/>
          <w:szCs w:val="24"/>
          <w:lang w:val="en-US"/>
        </w:rPr>
      </w:pPr>
      <w:r>
        <w:rPr>
          <w:rFonts w:hint="eastAsia" w:ascii="宋体" w:hAnsi="宋体" w:eastAsia="宋体" w:cs="宋体"/>
          <w:b/>
          <w:bCs/>
          <w:iCs w:val="0"/>
          <w:color w:val="auto"/>
          <w:kern w:val="2"/>
          <w:sz w:val="24"/>
          <w:szCs w:val="24"/>
        </w:rPr>
        <w:t>二、</w:t>
      </w:r>
      <w:r>
        <w:rPr>
          <w:rFonts w:hint="eastAsia" w:ascii="宋体" w:hAnsi="宋体" w:eastAsia="宋体" w:cs="宋体"/>
          <w:b/>
          <w:bCs/>
          <w:color w:val="auto"/>
          <w:kern w:val="0"/>
          <w:sz w:val="24"/>
          <w:szCs w:val="24"/>
          <w:lang w:val="en-US" w:eastAsia="zh-CN" w:bidi="ar-SA"/>
        </w:rPr>
        <w:t>小环境精细化管控服务方案</w:t>
      </w:r>
    </w:p>
    <w:p w14:paraId="42690BCC">
      <w:pPr>
        <w:keepNext w:val="0"/>
        <w:keepLines w:val="0"/>
        <w:widowControl/>
        <w:suppressLineNumbers w:val="0"/>
        <w:jc w:val="left"/>
        <w:rPr>
          <w:rFonts w:hint="eastAsia" w:ascii="宋体" w:hAnsi="宋体" w:eastAsia="宋体" w:cs="宋体"/>
          <w:b w:val="0"/>
          <w:color w:val="auto"/>
          <w:sz w:val="24"/>
          <w:szCs w:val="24"/>
          <w:shd w:val="clear" w:color="auto" w:fill="FFFFFF"/>
          <w:lang w:val="en-US" w:eastAsia="zh-CN"/>
        </w:rPr>
      </w:pPr>
      <w:r>
        <w:rPr>
          <w:rFonts w:hint="eastAsia" w:ascii="宋体" w:hAnsi="宋体" w:eastAsia="宋体" w:cs="宋体"/>
          <w:b w:val="0"/>
          <w:color w:val="auto"/>
          <w:sz w:val="24"/>
          <w:szCs w:val="24"/>
          <w:shd w:val="clear" w:color="auto" w:fill="FFFFFF"/>
          <w:lang w:val="en-US" w:eastAsia="zh-CN"/>
        </w:rPr>
        <w:t>1.</w:t>
      </w:r>
      <w:r>
        <w:rPr>
          <w:rFonts w:hint="eastAsia" w:ascii="宋体" w:hAnsi="宋体" w:eastAsia="宋体" w:cs="宋体"/>
          <w:b/>
          <w:bCs/>
          <w:color w:val="auto"/>
          <w:kern w:val="0"/>
          <w:sz w:val="24"/>
          <w:szCs w:val="24"/>
          <w:lang w:val="en-US" w:eastAsia="zh-CN"/>
        </w:rPr>
        <w:t>监测站周边小环境保障服务</w:t>
      </w:r>
    </w:p>
    <w:p w14:paraId="12A4007E">
      <w:pPr>
        <w:spacing w:line="360" w:lineRule="auto"/>
        <w:ind w:firstLine="420"/>
        <w:rPr>
          <w:rFonts w:hint="eastAsia" w:ascii="宋体" w:hAnsi="宋体" w:eastAsia="宋体" w:cs="宋体"/>
          <w:b w:val="0"/>
          <w:color w:val="auto"/>
          <w:sz w:val="24"/>
          <w:szCs w:val="24"/>
          <w:shd w:val="clear" w:color="auto" w:fill="FFFFFF"/>
        </w:rPr>
      </w:pPr>
      <w:r>
        <w:rPr>
          <w:rFonts w:hint="eastAsia" w:ascii="宋体" w:hAnsi="宋体" w:eastAsia="宋体" w:cs="宋体"/>
          <w:b w:val="0"/>
          <w:color w:val="auto"/>
          <w:sz w:val="24"/>
          <w:szCs w:val="24"/>
          <w:shd w:val="clear" w:color="auto" w:fill="FFFFFF"/>
          <w:lang w:val="en-US" w:eastAsia="zh-CN"/>
        </w:rPr>
        <w:t xml:space="preserve">1.1 项目组配置 </w:t>
      </w:r>
    </w:p>
    <w:p w14:paraId="2291A770">
      <w:pPr>
        <w:spacing w:line="360" w:lineRule="auto"/>
        <w:ind w:firstLine="420"/>
        <w:rPr>
          <w:rFonts w:hint="eastAsia" w:ascii="宋体" w:hAnsi="宋体" w:eastAsia="宋体" w:cs="宋体"/>
          <w:b w:val="0"/>
          <w:color w:val="auto"/>
          <w:sz w:val="24"/>
          <w:szCs w:val="24"/>
          <w:shd w:val="clear" w:color="auto" w:fill="FFFFFF"/>
        </w:rPr>
      </w:pPr>
      <w:r>
        <w:rPr>
          <w:rFonts w:hint="eastAsia" w:ascii="宋体" w:hAnsi="宋体" w:eastAsia="宋体" w:cs="宋体"/>
          <w:b w:val="0"/>
          <w:color w:val="auto"/>
          <w:sz w:val="24"/>
          <w:szCs w:val="24"/>
          <w:shd w:val="clear" w:color="auto" w:fill="FFFFFF"/>
          <w:lang w:val="en-US" w:eastAsia="zh-CN"/>
        </w:rPr>
        <w:t xml:space="preserve">项目负责人：项目管理与日常工作安排，指挥调度，与站领导对接沟通等； </w:t>
      </w:r>
    </w:p>
    <w:p w14:paraId="1A68CFEB">
      <w:pPr>
        <w:spacing w:line="360" w:lineRule="auto"/>
        <w:ind w:firstLine="420"/>
        <w:rPr>
          <w:rFonts w:hint="eastAsia" w:ascii="宋体" w:hAnsi="宋体" w:eastAsia="宋体" w:cs="宋体"/>
          <w:b w:val="0"/>
          <w:color w:val="auto"/>
          <w:sz w:val="24"/>
          <w:szCs w:val="24"/>
          <w:shd w:val="clear" w:color="auto" w:fill="FFFFFF"/>
        </w:rPr>
      </w:pPr>
      <w:r>
        <w:rPr>
          <w:rFonts w:hint="eastAsia" w:ascii="宋体" w:hAnsi="宋体" w:eastAsia="宋体" w:cs="宋体"/>
          <w:b w:val="0"/>
          <w:color w:val="auto"/>
          <w:sz w:val="24"/>
          <w:szCs w:val="24"/>
          <w:shd w:val="clear" w:color="auto" w:fill="FFFFFF"/>
          <w:lang w:val="en-US" w:eastAsia="zh-CN"/>
        </w:rPr>
        <w:t>数据分析组：及时跟踪站点最新小时数据，发现异常第一时间汇报街道及现场溯源组。</w:t>
      </w:r>
      <w:bookmarkStart w:id="72" w:name="OLE_LINK1"/>
      <w:r>
        <w:rPr>
          <w:rFonts w:hint="eastAsia" w:ascii="宋体" w:hAnsi="宋体" w:eastAsia="宋体" w:cs="宋体"/>
          <w:b w:val="0"/>
          <w:color w:val="auto"/>
          <w:sz w:val="24"/>
          <w:szCs w:val="24"/>
          <w:shd w:val="clear" w:color="auto" w:fill="FFFFFF"/>
          <w:lang w:val="en-US" w:eastAsia="zh-CN"/>
        </w:rPr>
        <w:t>巡查发现问题汇总及交办，问题台账整理及更新，日报编写，数据实时监控及数据通报</w:t>
      </w:r>
      <w:bookmarkEnd w:id="72"/>
      <w:r>
        <w:rPr>
          <w:rFonts w:hint="eastAsia" w:ascii="宋体" w:hAnsi="宋体" w:eastAsia="宋体" w:cs="宋体"/>
          <w:b w:val="0"/>
          <w:color w:val="auto"/>
          <w:sz w:val="24"/>
          <w:szCs w:val="24"/>
          <w:shd w:val="clear" w:color="auto" w:fill="FFFFFF"/>
          <w:lang w:val="en-US" w:eastAsia="zh-CN"/>
        </w:rPr>
        <w:t xml:space="preserve">； </w:t>
      </w:r>
    </w:p>
    <w:p w14:paraId="3E96CD8F">
      <w:pPr>
        <w:spacing w:line="360" w:lineRule="auto"/>
        <w:ind w:firstLine="420"/>
        <w:rPr>
          <w:rFonts w:hint="eastAsia" w:ascii="宋体" w:hAnsi="宋体" w:eastAsia="宋体" w:cs="宋体"/>
          <w:b w:val="0"/>
          <w:color w:val="auto"/>
          <w:sz w:val="24"/>
          <w:szCs w:val="24"/>
          <w:shd w:val="clear" w:color="auto" w:fill="FFFFFF"/>
        </w:rPr>
      </w:pPr>
      <w:r>
        <w:rPr>
          <w:rFonts w:hint="eastAsia" w:ascii="宋体" w:hAnsi="宋体" w:eastAsia="宋体" w:cs="宋体"/>
          <w:b w:val="0"/>
          <w:color w:val="auto"/>
          <w:sz w:val="24"/>
          <w:szCs w:val="24"/>
          <w:shd w:val="clear" w:color="auto" w:fill="FFFFFF"/>
          <w:lang w:val="en-US" w:eastAsia="zh-CN"/>
        </w:rPr>
        <w:t xml:space="preserve">现场溯源组：利用无人机立体检测、现场人员巡查手段，进行站点周边小环境污染源巡查及溯源取证； </w:t>
      </w:r>
    </w:p>
    <w:p w14:paraId="73024B6C">
      <w:pPr>
        <w:spacing w:line="360" w:lineRule="auto"/>
        <w:ind w:firstLine="420"/>
        <w:rPr>
          <w:rFonts w:hint="eastAsia" w:ascii="宋体" w:hAnsi="宋体" w:eastAsia="宋体" w:cs="宋体"/>
          <w:b w:val="0"/>
          <w:color w:val="auto"/>
          <w:sz w:val="24"/>
          <w:szCs w:val="24"/>
          <w:shd w:val="clear" w:color="auto" w:fill="FFFFFF"/>
        </w:rPr>
      </w:pPr>
      <w:r>
        <w:rPr>
          <w:rFonts w:hint="eastAsia" w:ascii="宋体" w:hAnsi="宋体" w:eastAsia="宋体" w:cs="宋体"/>
          <w:b w:val="0"/>
          <w:color w:val="auto"/>
          <w:sz w:val="24"/>
          <w:szCs w:val="24"/>
          <w:shd w:val="clear" w:color="auto" w:fill="FFFFFF"/>
          <w:lang w:val="en-US" w:eastAsia="zh-CN"/>
        </w:rPr>
        <w:t>运维保障组：定期巡查站点周边小环境，及时对栅栏外部进行卫生清洁，每日巡查站点外部供电、外部网络设施。</w:t>
      </w:r>
    </w:p>
    <w:p w14:paraId="666F23C5">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lang w:val="en-US" w:eastAsia="zh-CN"/>
        </w:rPr>
        <w:t>2.</w:t>
      </w:r>
      <w:r>
        <w:rPr>
          <w:rFonts w:hint="eastAsia" w:ascii="宋体" w:hAnsi="宋体" w:eastAsia="宋体" w:cs="宋体"/>
          <w:b/>
          <w:bCs/>
          <w:color w:val="auto"/>
          <w:kern w:val="0"/>
          <w:sz w:val="24"/>
          <w:szCs w:val="24"/>
          <w:lang w:val="en-US" w:eastAsia="zh-CN"/>
        </w:rPr>
        <w:t>空气监测站数据分析服务</w:t>
      </w:r>
    </w:p>
    <w:p w14:paraId="50FB3E8A">
      <w:pPr>
        <w:spacing w:line="360" w:lineRule="auto"/>
        <w:ind w:firstLine="420"/>
        <w:rPr>
          <w:rFonts w:hint="eastAsia" w:ascii="宋体" w:hAnsi="宋体" w:eastAsia="宋体" w:cs="宋体"/>
          <w:b w:val="0"/>
          <w:color w:val="auto"/>
          <w:sz w:val="24"/>
          <w:szCs w:val="24"/>
          <w:shd w:val="clear" w:color="auto" w:fill="FFFFFF"/>
          <w:lang w:val="en-US" w:eastAsia="zh-CN"/>
        </w:rPr>
      </w:pPr>
      <w:r>
        <w:rPr>
          <w:rFonts w:hint="eastAsia" w:ascii="宋体" w:hAnsi="宋体" w:eastAsia="宋体" w:cs="宋体"/>
          <w:b w:val="0"/>
          <w:color w:val="auto"/>
          <w:sz w:val="24"/>
          <w:szCs w:val="24"/>
          <w:shd w:val="clear" w:color="auto" w:fill="FFFFFF"/>
          <w:lang w:val="en-US" w:eastAsia="zh-CN"/>
        </w:rPr>
        <w:t xml:space="preserve">2.1 服务目的 </w:t>
      </w:r>
    </w:p>
    <w:p w14:paraId="19B46AFD">
      <w:pPr>
        <w:spacing w:line="360" w:lineRule="auto"/>
        <w:ind w:firstLine="420"/>
        <w:rPr>
          <w:rFonts w:hint="eastAsia" w:ascii="宋体" w:hAnsi="宋体" w:eastAsia="宋体" w:cs="宋体"/>
          <w:b w:val="0"/>
          <w:color w:val="auto"/>
          <w:sz w:val="24"/>
          <w:szCs w:val="24"/>
          <w:shd w:val="clear" w:color="auto" w:fill="FFFFFF"/>
          <w:lang w:val="en-US" w:eastAsia="zh-CN"/>
        </w:rPr>
      </w:pPr>
      <w:r>
        <w:rPr>
          <w:rFonts w:hint="eastAsia" w:ascii="宋体" w:hAnsi="宋体" w:eastAsia="宋体" w:cs="宋体"/>
          <w:b w:val="0"/>
          <w:color w:val="auto"/>
          <w:sz w:val="24"/>
          <w:szCs w:val="24"/>
          <w:shd w:val="clear" w:color="auto" w:fill="FFFFFF"/>
          <w:lang w:val="en-US" w:eastAsia="zh-CN"/>
        </w:rPr>
        <w:t xml:space="preserve">基于重点管控监测站常规监测数据进行日常数据监控，深度分析管控区及其相关周边影响区域的空气质量变化。预警天、污染天实时提供最新小时数据、5分钟数据，为快速溯源做有力支撑。 </w:t>
      </w:r>
    </w:p>
    <w:p w14:paraId="603ED48D">
      <w:pPr>
        <w:spacing w:line="360" w:lineRule="auto"/>
        <w:ind w:firstLine="420"/>
        <w:rPr>
          <w:rFonts w:hint="eastAsia" w:ascii="宋体" w:hAnsi="宋体" w:eastAsia="宋体" w:cs="宋体"/>
          <w:b w:val="0"/>
          <w:color w:val="auto"/>
          <w:sz w:val="24"/>
          <w:szCs w:val="24"/>
          <w:shd w:val="clear" w:color="auto" w:fill="FFFFFF"/>
          <w:lang w:val="en-US" w:eastAsia="zh-CN"/>
        </w:rPr>
      </w:pPr>
      <w:r>
        <w:rPr>
          <w:rFonts w:hint="eastAsia" w:ascii="宋体" w:hAnsi="宋体" w:eastAsia="宋体" w:cs="宋体"/>
          <w:b w:val="0"/>
          <w:color w:val="auto"/>
          <w:sz w:val="24"/>
          <w:szCs w:val="24"/>
          <w:shd w:val="clear" w:color="auto" w:fill="FFFFFF"/>
          <w:lang w:val="en-US" w:eastAsia="zh-CN"/>
        </w:rPr>
        <w:t xml:space="preserve">2.2 服务内容 </w:t>
      </w:r>
    </w:p>
    <w:p w14:paraId="3EE20207">
      <w:pPr>
        <w:spacing w:line="360" w:lineRule="auto"/>
        <w:ind w:firstLine="420"/>
        <w:rPr>
          <w:rFonts w:hint="eastAsia" w:ascii="宋体" w:hAnsi="宋体" w:eastAsia="宋体" w:cs="宋体"/>
          <w:b w:val="0"/>
          <w:color w:val="auto"/>
          <w:sz w:val="24"/>
          <w:szCs w:val="24"/>
          <w:shd w:val="clear" w:color="auto" w:fill="FFFFFF"/>
          <w:lang w:val="en-US" w:eastAsia="zh-CN"/>
        </w:rPr>
      </w:pPr>
      <w:r>
        <w:rPr>
          <w:rFonts w:hint="eastAsia" w:ascii="宋体" w:hAnsi="宋体" w:eastAsia="宋体" w:cs="宋体"/>
          <w:b w:val="0"/>
          <w:color w:val="auto"/>
          <w:sz w:val="24"/>
          <w:szCs w:val="24"/>
          <w:shd w:val="clear" w:color="auto" w:fill="FFFFFF"/>
          <w:lang w:val="en-US" w:eastAsia="zh-CN"/>
        </w:rPr>
        <w:t>（1）日常数据监控。为了保证实现“时保日，日保月，月保年”的管控要求，工作时间对站点的空气质量小时数据、</w:t>
      </w:r>
      <w:r>
        <w:rPr>
          <w:rFonts w:hint="eastAsia" w:ascii="宋体" w:hAnsi="宋体" w:eastAsia="宋体" w:cs="宋体"/>
          <w:b w:val="0"/>
          <w:color w:val="auto"/>
          <w:sz w:val="24"/>
          <w:szCs w:val="24"/>
          <w:highlight w:val="none"/>
          <w:shd w:val="clear" w:color="auto" w:fill="FFFFFF"/>
          <w:lang w:val="en-US" w:eastAsia="zh-CN"/>
        </w:rPr>
        <w:t>最新5分钟数据进行实</w:t>
      </w:r>
      <w:r>
        <w:rPr>
          <w:rFonts w:hint="eastAsia" w:ascii="宋体" w:hAnsi="宋体" w:eastAsia="宋体" w:cs="宋体"/>
          <w:b w:val="0"/>
          <w:color w:val="auto"/>
          <w:sz w:val="24"/>
          <w:szCs w:val="24"/>
          <w:shd w:val="clear" w:color="auto" w:fill="FFFFFF"/>
          <w:lang w:val="en-US" w:eastAsia="zh-CN"/>
        </w:rPr>
        <w:t xml:space="preserve">时监控。根据5分钟数据情况，实时提醒站点高值、实时分析数据变化趋势。调度现场组对周边小环境进行污染源的排查，并将排查结果报街道处理，采取相应管控措施。 </w:t>
      </w:r>
    </w:p>
    <w:p w14:paraId="0010274F">
      <w:pPr>
        <w:spacing w:line="360" w:lineRule="auto"/>
        <w:ind w:firstLine="420"/>
        <w:rPr>
          <w:rFonts w:hint="eastAsia" w:ascii="宋体" w:hAnsi="宋体" w:eastAsia="宋体" w:cs="宋体"/>
          <w:b w:val="0"/>
          <w:color w:val="auto"/>
          <w:sz w:val="24"/>
          <w:szCs w:val="24"/>
          <w:shd w:val="clear" w:color="auto" w:fill="FFFFFF"/>
          <w:lang w:val="en-US" w:eastAsia="zh-CN"/>
        </w:rPr>
      </w:pPr>
      <w:r>
        <w:rPr>
          <w:rFonts w:hint="eastAsia" w:ascii="宋体" w:hAnsi="宋体" w:eastAsia="宋体" w:cs="宋体"/>
          <w:b w:val="0"/>
          <w:color w:val="auto"/>
          <w:sz w:val="24"/>
          <w:szCs w:val="24"/>
          <w:shd w:val="clear" w:color="auto" w:fill="FFFFFF"/>
          <w:lang w:val="en-US" w:eastAsia="zh-CN"/>
        </w:rPr>
        <w:t xml:space="preserve">（2）日常分析报告。针对污染天气，开展日常空气质量分析，包括昨日站点空气质量，站点污染物变化趋势，无人机监测和现场核查分析日报，提供管控建议，通过模型预测下一天的空气情况。 </w:t>
      </w:r>
    </w:p>
    <w:p w14:paraId="59DD285B">
      <w:pPr>
        <w:spacing w:line="360" w:lineRule="auto"/>
        <w:ind w:firstLine="420"/>
        <w:rPr>
          <w:rFonts w:hint="eastAsia" w:ascii="宋体" w:hAnsi="宋体" w:eastAsia="宋体" w:cs="宋体"/>
          <w:b w:val="0"/>
          <w:color w:val="auto"/>
          <w:sz w:val="24"/>
          <w:szCs w:val="24"/>
          <w:shd w:val="clear" w:color="auto" w:fill="FFFFFF"/>
          <w:lang w:val="en-US" w:eastAsia="zh-CN"/>
        </w:rPr>
      </w:pPr>
      <w:r>
        <w:rPr>
          <w:rFonts w:hint="eastAsia" w:ascii="宋体" w:hAnsi="宋体" w:eastAsia="宋体" w:cs="宋体"/>
          <w:b w:val="0"/>
          <w:color w:val="auto"/>
          <w:sz w:val="24"/>
          <w:szCs w:val="24"/>
          <w:shd w:val="clear" w:color="auto" w:fill="FFFFFF"/>
          <w:lang w:val="en-US" w:eastAsia="zh-CN"/>
        </w:rPr>
        <w:t xml:space="preserve">（3）站点数据分析。针对空气站点，分析污染物的变化情况，同比、环比、达标率及主要污染浓度与政府目标的差距、排名情况、空气质量变化趋势、阶段性污染物浓度对比、污染时段分析、污染来源分析、污染相关性分析。 </w:t>
      </w:r>
    </w:p>
    <w:p w14:paraId="27C5326A">
      <w:pPr>
        <w:spacing w:line="360" w:lineRule="auto"/>
        <w:ind w:firstLine="420"/>
        <w:rPr>
          <w:rFonts w:hint="eastAsia" w:ascii="宋体" w:hAnsi="宋体" w:eastAsia="宋体" w:cs="宋体"/>
          <w:b w:val="0"/>
          <w:color w:val="auto"/>
          <w:sz w:val="24"/>
          <w:szCs w:val="24"/>
          <w:shd w:val="clear" w:color="auto" w:fill="FFFFFF"/>
          <w:lang w:val="en-US" w:eastAsia="zh-CN"/>
        </w:rPr>
      </w:pPr>
      <w:r>
        <w:rPr>
          <w:rFonts w:hint="eastAsia" w:ascii="宋体" w:hAnsi="宋体" w:eastAsia="宋体" w:cs="宋体"/>
          <w:b w:val="0"/>
          <w:color w:val="auto"/>
          <w:sz w:val="24"/>
          <w:szCs w:val="24"/>
          <w:shd w:val="clear" w:color="auto" w:fill="FFFFFF"/>
          <w:lang w:val="en-US" w:eastAsia="zh-CN"/>
        </w:rPr>
        <w:t>（4）专项分析报告。针对重点时段、重点区域、重点污染物进行专项分析，找出原因，提供对策，跟踪评估。遇重大污染过程或重大事件可根据要求进行专项解析，形成专业报告，及时提交。</w:t>
      </w:r>
    </w:p>
    <w:p w14:paraId="42D281CA">
      <w:pPr>
        <w:spacing w:line="360" w:lineRule="auto"/>
        <w:ind w:firstLine="420"/>
        <w:rPr>
          <w:rFonts w:hint="eastAsia" w:ascii="宋体" w:hAnsi="宋体" w:eastAsia="宋体" w:cs="宋体"/>
          <w:b w:val="0"/>
          <w:color w:val="auto"/>
          <w:sz w:val="24"/>
          <w:szCs w:val="24"/>
          <w:shd w:val="clear" w:color="auto" w:fill="FFFFFF"/>
          <w:lang w:val="en-US" w:eastAsia="zh-CN"/>
        </w:rPr>
      </w:pPr>
      <w:r>
        <w:rPr>
          <w:rFonts w:hint="eastAsia" w:ascii="宋体" w:hAnsi="宋体" w:eastAsia="宋体" w:cs="宋体"/>
          <w:b/>
          <w:bCs/>
          <w:color w:val="auto"/>
          <w:sz w:val="24"/>
          <w:szCs w:val="24"/>
          <w:shd w:val="clear" w:color="auto" w:fill="FFFFFF"/>
          <w:lang w:val="en-US" w:eastAsia="zh-CN"/>
        </w:rPr>
        <w:t>3.无人机立体化监测服务</w:t>
      </w:r>
      <w:r>
        <w:rPr>
          <w:rFonts w:hint="eastAsia" w:ascii="宋体" w:hAnsi="宋体" w:eastAsia="宋体" w:cs="宋体"/>
          <w:b w:val="0"/>
          <w:color w:val="auto"/>
          <w:sz w:val="24"/>
          <w:szCs w:val="24"/>
          <w:shd w:val="clear" w:color="auto" w:fill="FFFFFF"/>
          <w:lang w:val="en-US" w:eastAsia="zh-CN"/>
        </w:rPr>
        <w:t xml:space="preserve"> </w:t>
      </w:r>
    </w:p>
    <w:p w14:paraId="43152D73">
      <w:pPr>
        <w:spacing w:line="360" w:lineRule="auto"/>
        <w:ind w:firstLine="420"/>
        <w:rPr>
          <w:rFonts w:hint="eastAsia" w:ascii="宋体" w:hAnsi="宋体" w:eastAsia="宋体" w:cs="宋体"/>
          <w:b w:val="0"/>
          <w:bCs w:val="0"/>
          <w:color w:val="auto"/>
          <w:sz w:val="24"/>
          <w:szCs w:val="24"/>
          <w:shd w:val="clear" w:color="auto" w:fill="FFFFFF"/>
          <w:lang w:val="en-US" w:eastAsia="zh-CN"/>
        </w:rPr>
      </w:pPr>
      <w:r>
        <w:rPr>
          <w:rFonts w:hint="eastAsia" w:ascii="宋体" w:hAnsi="宋体" w:eastAsia="宋体" w:cs="宋体"/>
          <w:b w:val="0"/>
          <w:bCs w:val="0"/>
          <w:color w:val="auto"/>
          <w:sz w:val="24"/>
          <w:szCs w:val="24"/>
          <w:shd w:val="clear" w:color="auto" w:fill="FFFFFF"/>
          <w:lang w:val="en-US" w:eastAsia="zh-CN"/>
        </w:rPr>
        <w:t xml:space="preserve">3.1 服务目的 </w:t>
      </w:r>
    </w:p>
    <w:p w14:paraId="3EC382F7">
      <w:pPr>
        <w:spacing w:line="360" w:lineRule="auto"/>
        <w:ind w:firstLine="420"/>
        <w:rPr>
          <w:rFonts w:hint="eastAsia" w:ascii="宋体" w:hAnsi="宋体" w:eastAsia="宋体" w:cs="宋体"/>
          <w:b w:val="0"/>
          <w:color w:val="auto"/>
          <w:sz w:val="24"/>
          <w:szCs w:val="24"/>
          <w:shd w:val="clear" w:color="auto" w:fill="FFFFFF"/>
          <w:lang w:val="en-US" w:eastAsia="zh-CN"/>
        </w:rPr>
      </w:pPr>
      <w:r>
        <w:rPr>
          <w:rFonts w:hint="eastAsia" w:ascii="宋体" w:hAnsi="宋体" w:eastAsia="宋体" w:cs="宋体"/>
          <w:b w:val="0"/>
          <w:color w:val="auto"/>
          <w:sz w:val="24"/>
          <w:szCs w:val="24"/>
          <w:shd w:val="clear" w:color="auto" w:fill="FFFFFF"/>
          <w:lang w:val="en-US" w:eastAsia="zh-CN"/>
        </w:rPr>
        <w:t xml:space="preserve">无人机具有高效省事、行动灵活等特点，监测排查效率高，不受地理因素的限制。利用无人机监测，执行一次任务，可以精确采集最多9项空气污染物浓度分布数据，同步查看多种污染物的三维浓度分布情况，快速锁定污染源位置与传输方向。同时无人机搭载了高分辨成像设备，短时间内扫描大面积区域，可实现精准快速溯源。无人机不仅可以实现快速溯源监测以及污染源查找，而且可以在重污染天进行不同时段、不同高度追踪监测污染扩散趋势的立体监测分析，从而进一步明确污染扩散机理。 </w:t>
      </w:r>
    </w:p>
    <w:p w14:paraId="11BB3D49">
      <w:pPr>
        <w:spacing w:line="360" w:lineRule="auto"/>
        <w:ind w:firstLine="420"/>
        <w:rPr>
          <w:rFonts w:hint="eastAsia" w:ascii="宋体" w:hAnsi="宋体" w:eastAsia="宋体" w:cs="宋体"/>
          <w:b w:val="0"/>
          <w:color w:val="auto"/>
          <w:sz w:val="24"/>
          <w:szCs w:val="24"/>
          <w:shd w:val="clear" w:color="auto" w:fill="FFFFFF"/>
          <w:lang w:val="en-US" w:eastAsia="zh-CN"/>
        </w:rPr>
      </w:pPr>
      <w:r>
        <w:rPr>
          <w:rFonts w:hint="eastAsia" w:ascii="宋体" w:hAnsi="宋体" w:eastAsia="宋体" w:cs="宋体"/>
          <w:b w:val="0"/>
          <w:color w:val="auto"/>
          <w:sz w:val="24"/>
          <w:szCs w:val="24"/>
          <w:shd w:val="clear" w:color="auto" w:fill="FFFFFF"/>
          <w:lang w:val="en-US" w:eastAsia="zh-CN"/>
        </w:rPr>
        <w:t xml:space="preserve">3.2 服务内容 </w:t>
      </w:r>
    </w:p>
    <w:p w14:paraId="0F343923">
      <w:pPr>
        <w:spacing w:line="360" w:lineRule="auto"/>
        <w:ind w:firstLine="420"/>
        <w:rPr>
          <w:rFonts w:hint="eastAsia" w:ascii="宋体" w:hAnsi="宋体" w:eastAsia="宋体" w:cs="宋体"/>
          <w:b w:val="0"/>
          <w:color w:val="auto"/>
          <w:sz w:val="24"/>
          <w:szCs w:val="24"/>
          <w:shd w:val="clear" w:color="auto" w:fill="FFFFFF"/>
          <w:lang w:val="en-US" w:eastAsia="zh-CN"/>
        </w:rPr>
      </w:pPr>
      <w:r>
        <w:rPr>
          <w:rFonts w:hint="eastAsia" w:ascii="宋体" w:hAnsi="宋体" w:eastAsia="宋体" w:cs="宋体"/>
          <w:b w:val="0"/>
          <w:color w:val="auto"/>
          <w:sz w:val="24"/>
          <w:szCs w:val="24"/>
          <w:shd w:val="clear" w:color="auto" w:fill="FFFFFF"/>
          <w:lang w:val="en-US" w:eastAsia="zh-CN"/>
        </w:rPr>
        <w:t xml:space="preserve">利用走航以及无人机监测，在监测站周边对重点道路及重点区域进行走航及立体监测，获取监测区域污染参数情况和路线图谱。 </w:t>
      </w:r>
    </w:p>
    <w:p w14:paraId="4578E0D3">
      <w:pPr>
        <w:spacing w:line="360" w:lineRule="auto"/>
        <w:ind w:firstLine="420"/>
        <w:rPr>
          <w:rFonts w:hint="eastAsia" w:ascii="宋体" w:hAnsi="宋体" w:eastAsia="宋体" w:cs="宋体"/>
          <w:b w:val="0"/>
          <w:color w:val="auto"/>
          <w:sz w:val="24"/>
          <w:szCs w:val="24"/>
          <w:shd w:val="clear" w:color="auto" w:fill="FFFFFF"/>
          <w:lang w:val="en-US" w:eastAsia="zh-CN"/>
        </w:rPr>
      </w:pPr>
      <w:r>
        <w:rPr>
          <w:rFonts w:hint="eastAsia" w:ascii="宋体" w:hAnsi="宋体" w:eastAsia="宋体" w:cs="宋体"/>
          <w:b w:val="0"/>
          <w:color w:val="auto"/>
          <w:sz w:val="24"/>
          <w:szCs w:val="24"/>
          <w:shd w:val="clear" w:color="auto" w:fill="FFFFFF"/>
          <w:lang w:val="en-US" w:eastAsia="zh-CN"/>
        </w:rPr>
        <w:t xml:space="preserve">走航过程中筛查监测高值点，及时安排现场人员排查，精准快速溯源，并对现场情况进行及时反馈。 </w:t>
      </w:r>
    </w:p>
    <w:p w14:paraId="126DDCA3">
      <w:pPr>
        <w:spacing w:line="360" w:lineRule="auto"/>
        <w:ind w:firstLine="420"/>
        <w:rPr>
          <w:rFonts w:hint="eastAsia" w:ascii="宋体" w:hAnsi="宋体" w:eastAsia="宋体" w:cs="宋体"/>
          <w:b w:val="0"/>
          <w:color w:val="auto"/>
          <w:sz w:val="24"/>
          <w:szCs w:val="24"/>
          <w:shd w:val="clear" w:color="auto" w:fill="FFFFFF"/>
          <w:lang w:val="en-US" w:eastAsia="zh-CN"/>
        </w:rPr>
      </w:pPr>
      <w:r>
        <w:rPr>
          <w:rFonts w:hint="eastAsia" w:ascii="宋体" w:hAnsi="宋体" w:eastAsia="宋体" w:cs="宋体"/>
          <w:b w:val="0"/>
          <w:color w:val="auto"/>
          <w:sz w:val="24"/>
          <w:szCs w:val="24"/>
          <w:shd w:val="clear" w:color="auto" w:fill="FFFFFF"/>
          <w:lang w:val="en-US" w:eastAsia="zh-CN"/>
        </w:rPr>
        <w:t xml:space="preserve">走航过程中现场巡查，调查监测站周边存在的污染源，对污染源进行调查取证，针对不同情况提出合理建议。 </w:t>
      </w:r>
    </w:p>
    <w:p w14:paraId="0723F34D">
      <w:pPr>
        <w:spacing w:line="360" w:lineRule="auto"/>
        <w:ind w:firstLine="420"/>
        <w:rPr>
          <w:rFonts w:hint="eastAsia" w:ascii="宋体" w:hAnsi="宋体" w:eastAsia="宋体" w:cs="宋体"/>
          <w:iCs w:val="0"/>
          <w:color w:val="auto"/>
          <w:kern w:val="2"/>
          <w:sz w:val="24"/>
          <w:szCs w:val="24"/>
          <w:lang w:val="en-US" w:eastAsia="zh-CN"/>
        </w:rPr>
      </w:pPr>
      <w:r>
        <w:rPr>
          <w:rFonts w:hint="eastAsia" w:ascii="宋体" w:hAnsi="宋体" w:eastAsia="宋体" w:cs="宋体"/>
          <w:b w:val="0"/>
          <w:color w:val="auto"/>
          <w:sz w:val="24"/>
          <w:szCs w:val="24"/>
          <w:shd w:val="clear" w:color="auto" w:fill="FFFFFF"/>
          <w:lang w:val="en-US" w:eastAsia="zh-CN"/>
        </w:rPr>
        <w:t>数据分析人员通过大数据平台分析汇总现场组发现的问题，编制污染源台账，监测期间结束出具简报一份。</w:t>
      </w:r>
    </w:p>
    <w:p w14:paraId="2FC54DBA">
      <w:pPr>
        <w:pStyle w:val="5"/>
        <w:numPr>
          <w:ilvl w:val="1"/>
          <w:numId w:val="0"/>
        </w:numPr>
        <w:rPr>
          <w:rFonts w:hint="eastAsia" w:ascii="宋体" w:hAnsi="宋体" w:eastAsia="宋体" w:cs="宋体"/>
          <w:bCs/>
          <w:color w:val="auto"/>
          <w:sz w:val="24"/>
          <w:szCs w:val="24"/>
          <w:lang w:val="en-US" w:eastAsia="zh-CN"/>
        </w:rPr>
      </w:pPr>
      <w:r>
        <w:rPr>
          <w:rFonts w:hint="eastAsia" w:ascii="宋体" w:hAnsi="宋体" w:eastAsia="宋体" w:cs="宋体"/>
          <w:iCs w:val="0"/>
          <w:color w:val="auto"/>
          <w:kern w:val="2"/>
          <w:sz w:val="24"/>
          <w:szCs w:val="24"/>
          <w:lang w:val="en-US" w:eastAsia="zh-CN"/>
        </w:rPr>
        <w:t>4.</w:t>
      </w:r>
      <w:r>
        <w:rPr>
          <w:rFonts w:hint="eastAsia" w:ascii="宋体" w:hAnsi="宋体" w:eastAsia="宋体" w:cs="宋体"/>
          <w:bCs/>
          <w:color w:val="auto"/>
          <w:sz w:val="24"/>
          <w:szCs w:val="24"/>
        </w:rPr>
        <w:t xml:space="preserve"> </w:t>
      </w:r>
      <w:r>
        <w:rPr>
          <w:rFonts w:hint="eastAsia" w:ascii="宋体" w:hAnsi="宋体" w:eastAsia="宋体" w:cs="宋体"/>
          <w:bCs/>
          <w:color w:val="auto"/>
          <w:sz w:val="24"/>
          <w:szCs w:val="24"/>
          <w:lang w:val="en-US" w:eastAsia="zh-CN"/>
        </w:rPr>
        <w:t>微型空气质量监测站建设</w:t>
      </w:r>
    </w:p>
    <w:p w14:paraId="7DA7CC7E">
      <w:pPr>
        <w:pStyle w:val="2"/>
        <w:ind w:left="0" w:leftChars="0" w:firstLine="0" w:firstLineChars="0"/>
        <w:rPr>
          <w:rFonts w:hint="eastAsia" w:ascii="宋体" w:hAnsi="宋体" w:eastAsia="宋体" w:cs="宋体"/>
          <w:color w:val="auto"/>
          <w:sz w:val="24"/>
          <w:szCs w:val="24"/>
        </w:rPr>
      </w:pPr>
      <w:r>
        <w:rPr>
          <w:rFonts w:hint="eastAsia" w:ascii="宋体" w:hAnsi="宋体" w:eastAsia="宋体" w:cs="宋体"/>
          <w:b w:val="0"/>
          <w:color w:val="auto"/>
          <w:kern w:val="2"/>
          <w:sz w:val="24"/>
          <w:szCs w:val="24"/>
          <w:lang w:val="en-US" w:eastAsia="zh-CN" w:bidi="ar-SA"/>
        </w:rPr>
        <w:t>4.1</w:t>
      </w:r>
      <w:r>
        <w:rPr>
          <w:rFonts w:hint="eastAsia" w:ascii="宋体" w:hAnsi="宋体" w:eastAsia="宋体" w:cs="宋体"/>
          <w:color w:val="auto"/>
          <w:sz w:val="24"/>
          <w:szCs w:val="24"/>
        </w:rPr>
        <w:t>近一年绍兴市空气质量情况（以总站发布数据为准）</w:t>
      </w:r>
    </w:p>
    <w:p w14:paraId="0C95F582">
      <w:pPr>
        <w:jc w:val="center"/>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0" distR="0">
            <wp:extent cx="5479415" cy="2371090"/>
            <wp:effectExtent l="0" t="0" r="6985" b="10160"/>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8" cstate="print"/>
                    <a:srcRect/>
                    <a:stretch>
                      <a:fillRect/>
                    </a:stretch>
                  </pic:blipFill>
                  <pic:spPr>
                    <a:xfrm>
                      <a:off x="0" y="0"/>
                      <a:ext cx="5479415" cy="2371090"/>
                    </a:xfrm>
                    <a:prstGeom prst="rect">
                      <a:avLst/>
                    </a:prstGeom>
                    <a:ln>
                      <a:noFill/>
                    </a:ln>
                  </pic:spPr>
                </pic:pic>
              </a:graphicData>
            </a:graphic>
          </wp:inline>
        </w:drawing>
      </w:r>
    </w:p>
    <w:p w14:paraId="4356B852">
      <w:pPr>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图</w:t>
      </w:r>
      <w:r>
        <w:rPr>
          <w:rFonts w:hint="eastAsia" w:ascii="宋体" w:hAnsi="宋体" w:cs="宋体"/>
          <w:b w:val="0"/>
          <w:color w:val="auto"/>
          <w:kern w:val="2"/>
          <w:sz w:val="24"/>
          <w:szCs w:val="24"/>
          <w:lang w:val="en-US" w:eastAsia="zh-CN" w:bidi="ar-SA"/>
        </w:rPr>
        <w:t>1</w:t>
      </w:r>
      <w:r>
        <w:rPr>
          <w:rFonts w:hint="eastAsia" w:ascii="宋体" w:hAnsi="宋体" w:eastAsia="宋体" w:cs="宋体"/>
          <w:b w:val="0"/>
          <w:color w:val="auto"/>
          <w:kern w:val="2"/>
          <w:sz w:val="24"/>
          <w:szCs w:val="24"/>
          <w:lang w:val="en-US" w:eastAsia="zh-CN" w:bidi="ar-SA"/>
        </w:rPr>
        <w:t xml:space="preserve">  近12个月空气质量情况</w:t>
      </w:r>
    </w:p>
    <w:p w14:paraId="253126E9">
      <w:pPr>
        <w:jc w:val="center"/>
        <w:rPr>
          <w:rFonts w:hint="eastAsia" w:ascii="宋体" w:hAnsi="宋体" w:eastAsia="宋体" w:cs="宋体"/>
          <w:b w:val="0"/>
          <w:color w:val="auto"/>
          <w:kern w:val="2"/>
          <w:sz w:val="24"/>
          <w:szCs w:val="24"/>
          <w:lang w:val="en-US" w:eastAsia="zh-CN" w:bidi="ar-SA"/>
        </w:rPr>
      </w:pPr>
    </w:p>
    <w:p w14:paraId="74B77695">
      <w:pPr>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表</w:t>
      </w:r>
      <w:r>
        <w:rPr>
          <w:rFonts w:hint="eastAsia" w:ascii="宋体" w:hAnsi="宋体" w:cs="宋体"/>
          <w:b w:val="0"/>
          <w:color w:val="auto"/>
          <w:kern w:val="2"/>
          <w:sz w:val="24"/>
          <w:szCs w:val="24"/>
          <w:lang w:val="en-US" w:eastAsia="zh-CN" w:bidi="ar-SA"/>
        </w:rPr>
        <w:t>1</w:t>
      </w:r>
      <w:r>
        <w:rPr>
          <w:rFonts w:hint="eastAsia" w:ascii="宋体" w:hAnsi="宋体" w:eastAsia="宋体" w:cs="宋体"/>
          <w:b w:val="0"/>
          <w:color w:val="auto"/>
          <w:kern w:val="2"/>
          <w:sz w:val="24"/>
          <w:szCs w:val="24"/>
          <w:lang w:val="en-US" w:eastAsia="zh-CN" w:bidi="ar-SA"/>
        </w:rPr>
        <w:t xml:space="preserve">  2024年上虞区月度PM2.5浓度情况</w:t>
      </w:r>
    </w:p>
    <w:tbl>
      <w:tblPr>
        <w:tblStyle w:val="27"/>
        <w:tblW w:w="10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1455"/>
        <w:gridCol w:w="1040"/>
        <w:gridCol w:w="1463"/>
        <w:gridCol w:w="1022"/>
        <w:gridCol w:w="1496"/>
        <w:gridCol w:w="1034"/>
        <w:gridCol w:w="1485"/>
      </w:tblGrid>
      <w:tr w14:paraId="2D715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24343889">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时间</w:t>
            </w:r>
          </w:p>
        </w:tc>
        <w:tc>
          <w:tcPr>
            <w:tcW w:w="1455" w:type="dxa"/>
          </w:tcPr>
          <w:p w14:paraId="463ECF98">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PM2.5浓度（μg/m³）</w:t>
            </w:r>
          </w:p>
        </w:tc>
        <w:tc>
          <w:tcPr>
            <w:tcW w:w="1040" w:type="dxa"/>
          </w:tcPr>
          <w:p w14:paraId="62CBA84B">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时间</w:t>
            </w:r>
          </w:p>
        </w:tc>
        <w:tc>
          <w:tcPr>
            <w:tcW w:w="1463" w:type="dxa"/>
          </w:tcPr>
          <w:p w14:paraId="215E2327">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PM2.5浓度（μg/m³）</w:t>
            </w:r>
          </w:p>
        </w:tc>
        <w:tc>
          <w:tcPr>
            <w:tcW w:w="1022" w:type="dxa"/>
          </w:tcPr>
          <w:p w14:paraId="559FE689">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时间</w:t>
            </w:r>
          </w:p>
        </w:tc>
        <w:tc>
          <w:tcPr>
            <w:tcW w:w="1496" w:type="dxa"/>
          </w:tcPr>
          <w:p w14:paraId="4B59FB01">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PM2.5浓度（μg/m³）</w:t>
            </w:r>
          </w:p>
        </w:tc>
        <w:tc>
          <w:tcPr>
            <w:tcW w:w="1034" w:type="dxa"/>
          </w:tcPr>
          <w:p w14:paraId="5D1CDDC7">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时间</w:t>
            </w:r>
          </w:p>
        </w:tc>
        <w:tc>
          <w:tcPr>
            <w:tcW w:w="1485" w:type="dxa"/>
          </w:tcPr>
          <w:p w14:paraId="4E48EBA1">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PM2.5浓度（μg/m³）</w:t>
            </w:r>
          </w:p>
        </w:tc>
      </w:tr>
      <w:tr w14:paraId="70561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4843B72B">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1月</w:t>
            </w:r>
          </w:p>
        </w:tc>
        <w:tc>
          <w:tcPr>
            <w:tcW w:w="1455" w:type="dxa"/>
          </w:tcPr>
          <w:p w14:paraId="2D11BD71">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58</w:t>
            </w:r>
          </w:p>
        </w:tc>
        <w:tc>
          <w:tcPr>
            <w:tcW w:w="1040" w:type="dxa"/>
          </w:tcPr>
          <w:p w14:paraId="57C0B2FE">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4月</w:t>
            </w:r>
          </w:p>
        </w:tc>
        <w:tc>
          <w:tcPr>
            <w:tcW w:w="1463" w:type="dxa"/>
          </w:tcPr>
          <w:p w14:paraId="56ED14EE">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29</w:t>
            </w:r>
          </w:p>
        </w:tc>
        <w:tc>
          <w:tcPr>
            <w:tcW w:w="1022" w:type="dxa"/>
          </w:tcPr>
          <w:p w14:paraId="5D92FAB9">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7月</w:t>
            </w:r>
          </w:p>
        </w:tc>
        <w:tc>
          <w:tcPr>
            <w:tcW w:w="1496" w:type="dxa"/>
          </w:tcPr>
          <w:p w14:paraId="1915E348">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15</w:t>
            </w:r>
          </w:p>
        </w:tc>
        <w:tc>
          <w:tcPr>
            <w:tcW w:w="1034" w:type="dxa"/>
          </w:tcPr>
          <w:p w14:paraId="7BF79606">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10月</w:t>
            </w:r>
          </w:p>
        </w:tc>
        <w:tc>
          <w:tcPr>
            <w:tcW w:w="1485" w:type="dxa"/>
          </w:tcPr>
          <w:p w14:paraId="0DA5B6F6">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23</w:t>
            </w:r>
          </w:p>
        </w:tc>
      </w:tr>
      <w:tr w14:paraId="0B944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5705C2EA">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2月</w:t>
            </w:r>
          </w:p>
        </w:tc>
        <w:tc>
          <w:tcPr>
            <w:tcW w:w="1455" w:type="dxa"/>
          </w:tcPr>
          <w:p w14:paraId="764327F4">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37</w:t>
            </w:r>
          </w:p>
        </w:tc>
        <w:tc>
          <w:tcPr>
            <w:tcW w:w="1040" w:type="dxa"/>
          </w:tcPr>
          <w:p w14:paraId="632FE792">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5月</w:t>
            </w:r>
          </w:p>
        </w:tc>
        <w:tc>
          <w:tcPr>
            <w:tcW w:w="1463" w:type="dxa"/>
          </w:tcPr>
          <w:p w14:paraId="332FE918">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23</w:t>
            </w:r>
          </w:p>
        </w:tc>
        <w:tc>
          <w:tcPr>
            <w:tcW w:w="1022" w:type="dxa"/>
          </w:tcPr>
          <w:p w14:paraId="3734105E">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8月</w:t>
            </w:r>
          </w:p>
        </w:tc>
        <w:tc>
          <w:tcPr>
            <w:tcW w:w="1496" w:type="dxa"/>
          </w:tcPr>
          <w:p w14:paraId="30FFD019">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23</w:t>
            </w:r>
          </w:p>
        </w:tc>
        <w:tc>
          <w:tcPr>
            <w:tcW w:w="1034" w:type="dxa"/>
          </w:tcPr>
          <w:p w14:paraId="0ECEFA22">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11月</w:t>
            </w:r>
          </w:p>
        </w:tc>
        <w:tc>
          <w:tcPr>
            <w:tcW w:w="1485" w:type="dxa"/>
          </w:tcPr>
          <w:p w14:paraId="5C03F085">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24</w:t>
            </w:r>
          </w:p>
        </w:tc>
      </w:tr>
      <w:tr w14:paraId="3846E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2421F278">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3月</w:t>
            </w:r>
          </w:p>
        </w:tc>
        <w:tc>
          <w:tcPr>
            <w:tcW w:w="1455" w:type="dxa"/>
          </w:tcPr>
          <w:p w14:paraId="172B0CF9">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38</w:t>
            </w:r>
          </w:p>
        </w:tc>
        <w:tc>
          <w:tcPr>
            <w:tcW w:w="1040" w:type="dxa"/>
          </w:tcPr>
          <w:p w14:paraId="551E8E50">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6月</w:t>
            </w:r>
          </w:p>
        </w:tc>
        <w:tc>
          <w:tcPr>
            <w:tcW w:w="1463" w:type="dxa"/>
          </w:tcPr>
          <w:p w14:paraId="1EBFAA11">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19</w:t>
            </w:r>
          </w:p>
        </w:tc>
        <w:tc>
          <w:tcPr>
            <w:tcW w:w="1022" w:type="dxa"/>
          </w:tcPr>
          <w:p w14:paraId="0EAA2692">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9月</w:t>
            </w:r>
          </w:p>
        </w:tc>
        <w:tc>
          <w:tcPr>
            <w:tcW w:w="1496" w:type="dxa"/>
          </w:tcPr>
          <w:p w14:paraId="556FC5BA">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20</w:t>
            </w:r>
          </w:p>
        </w:tc>
        <w:tc>
          <w:tcPr>
            <w:tcW w:w="1034" w:type="dxa"/>
          </w:tcPr>
          <w:p w14:paraId="01600A06">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12月</w:t>
            </w:r>
          </w:p>
        </w:tc>
        <w:tc>
          <w:tcPr>
            <w:tcW w:w="1485" w:type="dxa"/>
          </w:tcPr>
          <w:p w14:paraId="64F2183F">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49</w:t>
            </w:r>
          </w:p>
        </w:tc>
      </w:tr>
    </w:tbl>
    <w:p w14:paraId="71109744">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firstLine="480" w:firstLineChars="200"/>
        <w:jc w:val="left"/>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可以看到上虞区1月、2月、3月和12月PM2.5浓度较高，易出现污染情况，4月至11月整体空气质量情况较好，基本上不出现污染天。所以新增微站点位可参考1月、2月、3月、12月的主导风向来确定建设位置。</w:t>
      </w:r>
    </w:p>
    <w:p w14:paraId="1F1538D1">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firstLine="480" w:firstLineChars="200"/>
        <w:jc w:val="left"/>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4.2新增微站点位布设方位</w:t>
      </w:r>
    </w:p>
    <w:p w14:paraId="4EC4BB2D">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firstLine="480" w:firstLineChars="200"/>
        <w:jc w:val="left"/>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参考绍兴市易出现污染的月份1月、2月、3月和12月，对应上虞区近四年对应月份主导风向分别为：一月份主导东北风，其次是东南风、西北风；二月份主导东北风；三月份主导东北风，其次是西南风和东南风；十二月主导东北风和偏西风，以此为依据可在</w:t>
      </w:r>
      <w:r>
        <w:rPr>
          <w:rFonts w:hint="eastAsia" w:ascii="宋体" w:hAnsi="宋体" w:cs="宋体"/>
          <w:bCs/>
          <w:color w:val="auto"/>
          <w:sz w:val="24"/>
          <w:lang w:val="en-US" w:eastAsia="zh-CN"/>
        </w:rPr>
        <w:t>上虞中学</w:t>
      </w:r>
      <w:r>
        <w:rPr>
          <w:rFonts w:hint="eastAsia" w:ascii="宋体" w:hAnsi="宋体" w:eastAsia="宋体" w:cs="宋体"/>
          <w:bCs/>
          <w:color w:val="auto"/>
          <w:sz w:val="24"/>
          <w:lang w:val="en-US" w:eastAsia="zh-CN"/>
        </w:rPr>
        <w:t>国控点东北方向增设2个微站、东南方向增设2个微站、</w:t>
      </w:r>
      <w:r>
        <w:rPr>
          <w:rFonts w:hint="eastAsia" w:ascii="宋体" w:hAnsi="宋体" w:cs="宋体"/>
          <w:bCs/>
          <w:color w:val="auto"/>
          <w:sz w:val="24"/>
          <w:lang w:val="en-US" w:eastAsia="zh-CN"/>
        </w:rPr>
        <w:t>西北</w:t>
      </w:r>
      <w:r>
        <w:rPr>
          <w:rFonts w:hint="eastAsia" w:ascii="宋体" w:hAnsi="宋体" w:eastAsia="宋体" w:cs="宋体"/>
          <w:bCs/>
          <w:color w:val="auto"/>
          <w:sz w:val="24"/>
          <w:lang w:val="en-US" w:eastAsia="zh-CN"/>
        </w:rPr>
        <w:t>方向增设2个微站、西南方向增设2个微站。</w:t>
      </w:r>
    </w:p>
    <w:p w14:paraId="21B903B1">
      <w:pPr>
        <w:spacing w:line="360" w:lineRule="auto"/>
        <w:rPr>
          <w:rFonts w:hint="default" w:ascii="宋体" w:hAnsi="宋体" w:eastAsia="宋体" w:cs="宋体"/>
          <w:b/>
          <w:bCs/>
          <w:iCs w:val="0"/>
          <w:color w:val="auto"/>
          <w:kern w:val="2"/>
          <w:sz w:val="24"/>
          <w:szCs w:val="24"/>
          <w:lang w:val="en-US"/>
        </w:rPr>
      </w:pPr>
      <w:r>
        <w:rPr>
          <w:rFonts w:hint="eastAsia" w:ascii="宋体" w:hAnsi="宋体" w:eastAsia="宋体" w:cs="宋体"/>
          <w:b/>
          <w:bCs/>
          <w:iCs w:val="0"/>
          <w:color w:val="auto"/>
          <w:kern w:val="2"/>
          <w:sz w:val="24"/>
          <w:szCs w:val="24"/>
          <w:lang w:val="en-US" w:eastAsia="zh-CN"/>
        </w:rPr>
        <w:t>三</w:t>
      </w:r>
      <w:r>
        <w:rPr>
          <w:rFonts w:hint="eastAsia" w:ascii="宋体" w:hAnsi="宋体" w:eastAsia="宋体" w:cs="宋体"/>
          <w:b/>
          <w:bCs/>
          <w:iCs w:val="0"/>
          <w:color w:val="auto"/>
          <w:kern w:val="2"/>
          <w:sz w:val="24"/>
          <w:szCs w:val="24"/>
        </w:rPr>
        <w:t>、</w:t>
      </w:r>
      <w:r>
        <w:rPr>
          <w:rFonts w:hint="eastAsia" w:ascii="宋体" w:hAnsi="宋体" w:eastAsia="宋体" w:cs="宋体"/>
          <w:b/>
          <w:bCs/>
          <w:color w:val="auto"/>
          <w:kern w:val="0"/>
          <w:sz w:val="24"/>
          <w:szCs w:val="24"/>
          <w:lang w:val="en-US" w:eastAsia="zh-CN" w:bidi="ar-SA"/>
        </w:rPr>
        <w:t>服务期限</w:t>
      </w:r>
    </w:p>
    <w:p w14:paraId="7D1DDFC2">
      <w:pPr>
        <w:keepNext w:val="0"/>
        <w:keepLines w:val="0"/>
        <w:pageBreakBefore w:val="0"/>
        <w:widowControl w:val="0"/>
        <w:kinsoku/>
        <w:wordWrap/>
        <w:overflowPunct/>
        <w:topLinePunct w:val="0"/>
        <w:bidi w:val="0"/>
        <w:snapToGrid/>
        <w:spacing w:line="312" w:lineRule="auto"/>
        <w:ind w:left="0" w:leftChars="0" w:right="24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合同签订之日起一年。新增微型空气站运维期为验收合格之日起一年。</w:t>
      </w:r>
    </w:p>
    <w:p w14:paraId="0E08C988">
      <w:pPr>
        <w:spacing w:line="360" w:lineRule="auto"/>
        <w:rPr>
          <w:rFonts w:hint="default" w:ascii="宋体" w:hAnsi="宋体" w:eastAsia="宋体" w:cs="宋体"/>
          <w:b/>
          <w:bCs/>
          <w:iCs w:val="0"/>
          <w:color w:val="auto"/>
          <w:kern w:val="2"/>
          <w:sz w:val="24"/>
          <w:szCs w:val="24"/>
          <w:lang w:val="en-US" w:eastAsia="zh-CN"/>
        </w:rPr>
      </w:pPr>
      <w:r>
        <w:rPr>
          <w:rFonts w:hint="eastAsia" w:ascii="宋体" w:hAnsi="宋体" w:eastAsia="宋体" w:cs="宋体"/>
          <w:b/>
          <w:bCs/>
          <w:iCs w:val="0"/>
          <w:color w:val="auto"/>
          <w:kern w:val="2"/>
          <w:sz w:val="24"/>
          <w:szCs w:val="24"/>
          <w:lang w:val="en-US" w:eastAsia="zh-CN"/>
        </w:rPr>
        <w:t>四、考核要求</w:t>
      </w:r>
    </w:p>
    <w:p w14:paraId="7FB58825">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firstLine="480" w:firstLineChars="200"/>
        <w:jc w:val="left"/>
        <w:textAlignment w:val="auto"/>
        <w:rPr>
          <w:rFonts w:hint="eastAsia" w:ascii="宋体" w:hAnsi="宋体" w:eastAsia="宋体" w:cs="宋体"/>
          <w:bCs/>
          <w:color w:val="auto"/>
          <w:sz w:val="24"/>
          <w:lang w:val="en-US" w:eastAsia="zh-CN"/>
        </w:rPr>
      </w:pPr>
      <w:r>
        <w:rPr>
          <w:rFonts w:hint="eastAsia" w:ascii="宋体" w:hAnsi="宋体" w:cs="宋体"/>
          <w:bCs/>
          <w:color w:val="auto"/>
          <w:sz w:val="24"/>
          <w:lang w:val="en-US" w:eastAsia="zh-CN"/>
        </w:rPr>
        <w:t>1、</w:t>
      </w:r>
      <w:r>
        <w:rPr>
          <w:rFonts w:hint="eastAsia" w:ascii="宋体" w:hAnsi="宋体" w:eastAsia="宋体" w:cs="宋体"/>
          <w:bCs/>
          <w:color w:val="auto"/>
          <w:sz w:val="24"/>
          <w:lang w:val="en-US" w:eastAsia="zh-CN"/>
        </w:rPr>
        <w:t>考核方式：采购人每三个月对服务情况进行考核，共考核四次。</w:t>
      </w:r>
    </w:p>
    <w:p w14:paraId="7F868146">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firstLine="480" w:firstLineChars="200"/>
        <w:jc w:val="left"/>
        <w:textAlignment w:val="auto"/>
        <w:rPr>
          <w:rFonts w:hint="eastAsia" w:ascii="宋体" w:hAnsi="宋体" w:eastAsia="宋体" w:cs="宋体"/>
          <w:bCs/>
          <w:color w:val="auto"/>
          <w:sz w:val="24"/>
          <w:lang w:val="en-US" w:eastAsia="zh-CN"/>
        </w:rPr>
      </w:pPr>
      <w:r>
        <w:rPr>
          <w:rFonts w:hint="eastAsia" w:ascii="宋体" w:hAnsi="宋体" w:cs="宋体"/>
          <w:bCs/>
          <w:color w:val="auto"/>
          <w:sz w:val="24"/>
          <w:lang w:val="en-US" w:eastAsia="zh-CN"/>
        </w:rPr>
        <w:t>2、</w:t>
      </w:r>
      <w:r>
        <w:rPr>
          <w:rFonts w:hint="eastAsia" w:ascii="宋体" w:hAnsi="宋体" w:eastAsia="宋体" w:cs="宋体"/>
          <w:bCs/>
          <w:color w:val="auto"/>
          <w:sz w:val="24"/>
          <w:lang w:val="en-US" w:eastAsia="zh-CN"/>
        </w:rPr>
        <w:t>每次考核时提取合同价5%为考核款的基数：</w:t>
      </w:r>
    </w:p>
    <w:p w14:paraId="6210EC5E">
      <w:pPr>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00" w:firstLineChars="0"/>
        <w:textAlignment w:val="auto"/>
        <w:rPr>
          <w:rFonts w:hint="default"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考核得分95分及以上，不扣</w:t>
      </w:r>
      <w:r>
        <w:rPr>
          <w:rFonts w:hint="eastAsia" w:ascii="宋体" w:hAnsi="宋体" w:cs="宋体"/>
          <w:b w:val="0"/>
          <w:bCs/>
          <w:color w:val="auto"/>
          <w:kern w:val="2"/>
          <w:sz w:val="24"/>
          <w:szCs w:val="24"/>
          <w:highlight w:val="none"/>
          <w:u w:val="none"/>
          <w:lang w:val="en-US" w:eastAsia="zh-CN" w:bidi="ar-SA"/>
        </w:rPr>
        <w:t>考核</w:t>
      </w:r>
      <w:r>
        <w:rPr>
          <w:rFonts w:hint="eastAsia" w:ascii="宋体" w:hAnsi="宋体" w:eastAsia="宋体" w:cs="宋体"/>
          <w:b w:val="0"/>
          <w:bCs/>
          <w:color w:val="auto"/>
          <w:kern w:val="2"/>
          <w:sz w:val="24"/>
          <w:szCs w:val="24"/>
          <w:highlight w:val="none"/>
          <w:u w:val="none"/>
          <w:lang w:val="en-US" w:eastAsia="zh-CN" w:bidi="ar-SA"/>
        </w:rPr>
        <w:t>款；</w:t>
      </w:r>
    </w:p>
    <w:p w14:paraId="76C3B2D2">
      <w:pPr>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00" w:firstLineChars="0"/>
        <w:textAlignment w:val="auto"/>
        <w:rPr>
          <w:rFonts w:hint="default"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考核</w:t>
      </w:r>
      <w:r>
        <w:rPr>
          <w:rFonts w:hint="eastAsia" w:ascii="宋体" w:hAnsi="宋体" w:cs="宋体"/>
          <w:b w:val="0"/>
          <w:bCs/>
          <w:color w:val="auto"/>
          <w:kern w:val="2"/>
          <w:sz w:val="24"/>
          <w:szCs w:val="24"/>
          <w:highlight w:val="none"/>
          <w:u w:val="none"/>
          <w:lang w:val="en-US" w:eastAsia="zh-CN" w:bidi="ar-SA"/>
        </w:rPr>
        <w:t>得分</w:t>
      </w:r>
      <w:r>
        <w:rPr>
          <w:rFonts w:hint="eastAsia" w:ascii="宋体" w:hAnsi="宋体" w:eastAsia="宋体" w:cs="宋体"/>
          <w:b w:val="0"/>
          <w:bCs/>
          <w:color w:val="auto"/>
          <w:kern w:val="2"/>
          <w:sz w:val="24"/>
          <w:szCs w:val="24"/>
          <w:highlight w:val="none"/>
          <w:u w:val="none"/>
          <w:lang w:val="en-US" w:eastAsia="zh-CN" w:bidi="ar-SA"/>
        </w:rPr>
        <w:t>85分（含）-95分（</w:t>
      </w:r>
      <w:r>
        <w:rPr>
          <w:rFonts w:hint="eastAsia" w:ascii="宋体" w:hAnsi="宋体" w:cs="宋体"/>
          <w:b w:val="0"/>
          <w:bCs/>
          <w:color w:val="auto"/>
          <w:kern w:val="2"/>
          <w:sz w:val="24"/>
          <w:szCs w:val="24"/>
          <w:highlight w:val="none"/>
          <w:u w:val="none"/>
          <w:lang w:val="en-US" w:eastAsia="zh-CN" w:bidi="ar-SA"/>
        </w:rPr>
        <w:t>不</w:t>
      </w:r>
      <w:r>
        <w:rPr>
          <w:rFonts w:hint="eastAsia" w:ascii="宋体" w:hAnsi="宋体" w:eastAsia="宋体" w:cs="宋体"/>
          <w:b w:val="0"/>
          <w:bCs/>
          <w:color w:val="auto"/>
          <w:kern w:val="2"/>
          <w:sz w:val="24"/>
          <w:szCs w:val="24"/>
          <w:highlight w:val="none"/>
          <w:u w:val="none"/>
          <w:lang w:val="en-US" w:eastAsia="zh-CN" w:bidi="ar-SA"/>
        </w:rPr>
        <w:t>含），考核分值不足95分部分，每下降一分，考核款</w:t>
      </w:r>
      <w:r>
        <w:rPr>
          <w:rFonts w:hint="eastAsia" w:ascii="宋体" w:hAnsi="宋体" w:cs="宋体"/>
          <w:b w:val="0"/>
          <w:bCs/>
          <w:color w:val="auto"/>
          <w:kern w:val="2"/>
          <w:sz w:val="24"/>
          <w:szCs w:val="24"/>
          <w:highlight w:val="none"/>
          <w:u w:val="none"/>
          <w:lang w:val="en-US" w:eastAsia="zh-CN" w:bidi="ar-SA"/>
        </w:rPr>
        <w:t>扣</w:t>
      </w:r>
      <w:r>
        <w:rPr>
          <w:rFonts w:hint="eastAsia" w:ascii="宋体" w:hAnsi="宋体" w:eastAsia="宋体" w:cs="宋体"/>
          <w:b w:val="0"/>
          <w:bCs/>
          <w:color w:val="auto"/>
          <w:kern w:val="2"/>
          <w:sz w:val="24"/>
          <w:szCs w:val="24"/>
          <w:highlight w:val="none"/>
          <w:u w:val="none"/>
          <w:lang w:val="en-US" w:eastAsia="zh-CN" w:bidi="ar-SA"/>
        </w:rPr>
        <w:t>1%；</w:t>
      </w:r>
    </w:p>
    <w:p w14:paraId="65B16373">
      <w:pPr>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00" w:firstLineChars="0"/>
        <w:textAlignment w:val="auto"/>
        <w:rPr>
          <w:rFonts w:hint="default" w:ascii="宋体" w:hAnsi="宋体" w:eastAsia="宋体" w:cs="宋体"/>
          <w:b w:val="0"/>
          <w:bCs/>
          <w:color w:val="auto"/>
          <w:kern w:val="2"/>
          <w:sz w:val="24"/>
          <w:szCs w:val="24"/>
          <w:highlight w:val="none"/>
          <w:u w:val="none"/>
          <w:lang w:val="en-US" w:eastAsia="zh-CN" w:bidi="ar-SA"/>
        </w:rPr>
      </w:pPr>
      <w:r>
        <w:rPr>
          <w:rFonts w:hint="eastAsia" w:ascii="宋体" w:hAnsi="宋体" w:cs="宋体"/>
          <w:b w:val="0"/>
          <w:bCs/>
          <w:color w:val="auto"/>
          <w:kern w:val="2"/>
          <w:sz w:val="24"/>
          <w:szCs w:val="24"/>
          <w:highlight w:val="none"/>
          <w:u w:val="none"/>
          <w:lang w:val="en-US" w:eastAsia="zh-CN" w:bidi="ar-SA"/>
        </w:rPr>
        <w:t>考</w:t>
      </w:r>
      <w:r>
        <w:rPr>
          <w:rFonts w:hint="eastAsia" w:ascii="宋体" w:hAnsi="宋体" w:eastAsia="宋体" w:cs="宋体"/>
          <w:b w:val="0"/>
          <w:bCs/>
          <w:color w:val="auto"/>
          <w:kern w:val="2"/>
          <w:sz w:val="24"/>
          <w:szCs w:val="24"/>
          <w:highlight w:val="none"/>
          <w:u w:val="none"/>
          <w:lang w:val="en-US" w:eastAsia="zh-CN" w:bidi="ar-SA"/>
        </w:rPr>
        <w:t>核</w:t>
      </w:r>
      <w:r>
        <w:rPr>
          <w:rFonts w:hint="eastAsia" w:ascii="宋体" w:hAnsi="宋体" w:cs="宋体"/>
          <w:b w:val="0"/>
          <w:bCs/>
          <w:color w:val="auto"/>
          <w:kern w:val="2"/>
          <w:sz w:val="24"/>
          <w:szCs w:val="24"/>
          <w:highlight w:val="none"/>
          <w:u w:val="none"/>
          <w:lang w:val="en-US" w:eastAsia="zh-CN" w:bidi="ar-SA"/>
        </w:rPr>
        <w:t>得分7</w:t>
      </w:r>
      <w:r>
        <w:rPr>
          <w:rFonts w:hint="eastAsia" w:ascii="宋体" w:hAnsi="宋体" w:eastAsia="宋体" w:cs="宋体"/>
          <w:b w:val="0"/>
          <w:bCs/>
          <w:color w:val="auto"/>
          <w:kern w:val="2"/>
          <w:sz w:val="24"/>
          <w:szCs w:val="24"/>
          <w:highlight w:val="none"/>
          <w:u w:val="none"/>
          <w:lang w:val="en-US" w:eastAsia="zh-CN" w:bidi="ar-SA"/>
        </w:rPr>
        <w:t>5分（含）-</w:t>
      </w:r>
      <w:r>
        <w:rPr>
          <w:rFonts w:hint="eastAsia" w:ascii="宋体" w:hAnsi="宋体" w:cs="宋体"/>
          <w:b w:val="0"/>
          <w:bCs/>
          <w:color w:val="auto"/>
          <w:kern w:val="2"/>
          <w:sz w:val="24"/>
          <w:szCs w:val="24"/>
          <w:highlight w:val="none"/>
          <w:u w:val="none"/>
          <w:lang w:val="en-US" w:eastAsia="zh-CN" w:bidi="ar-SA"/>
        </w:rPr>
        <w:t>8</w:t>
      </w:r>
      <w:r>
        <w:rPr>
          <w:rFonts w:hint="eastAsia" w:ascii="宋体" w:hAnsi="宋体" w:eastAsia="宋体" w:cs="宋体"/>
          <w:b w:val="0"/>
          <w:bCs/>
          <w:color w:val="auto"/>
          <w:kern w:val="2"/>
          <w:sz w:val="24"/>
          <w:szCs w:val="24"/>
          <w:highlight w:val="none"/>
          <w:u w:val="none"/>
          <w:lang w:val="en-US" w:eastAsia="zh-CN" w:bidi="ar-SA"/>
        </w:rPr>
        <w:t>5分（</w:t>
      </w:r>
      <w:r>
        <w:rPr>
          <w:rFonts w:hint="eastAsia" w:ascii="宋体" w:hAnsi="宋体" w:cs="宋体"/>
          <w:b w:val="0"/>
          <w:bCs/>
          <w:color w:val="auto"/>
          <w:kern w:val="2"/>
          <w:sz w:val="24"/>
          <w:szCs w:val="24"/>
          <w:highlight w:val="none"/>
          <w:u w:val="none"/>
          <w:lang w:val="en-US" w:eastAsia="zh-CN" w:bidi="ar-SA"/>
        </w:rPr>
        <w:t>不</w:t>
      </w:r>
      <w:r>
        <w:rPr>
          <w:rFonts w:hint="eastAsia" w:ascii="宋体" w:hAnsi="宋体" w:eastAsia="宋体" w:cs="宋体"/>
          <w:b w:val="0"/>
          <w:bCs/>
          <w:color w:val="auto"/>
          <w:kern w:val="2"/>
          <w:sz w:val="24"/>
          <w:szCs w:val="24"/>
          <w:highlight w:val="none"/>
          <w:u w:val="none"/>
          <w:lang w:val="en-US" w:eastAsia="zh-CN" w:bidi="ar-SA"/>
        </w:rPr>
        <w:t>含），考核分值不足85分部分，每下降一分，考核款</w:t>
      </w:r>
      <w:r>
        <w:rPr>
          <w:rFonts w:hint="eastAsia" w:ascii="宋体" w:hAnsi="宋体" w:cs="宋体"/>
          <w:b w:val="0"/>
          <w:bCs/>
          <w:color w:val="auto"/>
          <w:kern w:val="2"/>
          <w:sz w:val="24"/>
          <w:szCs w:val="24"/>
          <w:highlight w:val="none"/>
          <w:u w:val="none"/>
          <w:lang w:val="en-US" w:eastAsia="zh-CN" w:bidi="ar-SA"/>
        </w:rPr>
        <w:t>扣</w:t>
      </w:r>
      <w:r>
        <w:rPr>
          <w:rFonts w:hint="eastAsia" w:ascii="宋体" w:hAnsi="宋体" w:eastAsia="宋体" w:cs="宋体"/>
          <w:b w:val="0"/>
          <w:bCs/>
          <w:color w:val="auto"/>
          <w:kern w:val="2"/>
          <w:sz w:val="24"/>
          <w:szCs w:val="24"/>
          <w:highlight w:val="none"/>
          <w:u w:val="none"/>
          <w:lang w:val="en-US" w:eastAsia="zh-CN" w:bidi="ar-SA"/>
        </w:rPr>
        <w:t>2%。</w:t>
      </w:r>
    </w:p>
    <w:p w14:paraId="3012F211">
      <w:pPr>
        <w:pStyle w:val="2"/>
        <w:numPr>
          <w:ilvl w:val="0"/>
          <w:numId w:val="15"/>
        </w:numPr>
        <w:ind w:left="0" w:leftChars="0" w:firstLine="400" w:firstLineChars="0"/>
        <w:rPr>
          <w:rFonts w:hint="default" w:ascii="宋体" w:hAnsi="宋体" w:eastAsia="宋体" w:cs="宋体"/>
          <w:b w:val="0"/>
          <w:bCs/>
          <w:color w:val="auto"/>
          <w:kern w:val="2"/>
          <w:sz w:val="24"/>
          <w:szCs w:val="24"/>
          <w:highlight w:val="none"/>
          <w:u w:val="none"/>
          <w:lang w:val="en-US" w:eastAsia="zh-CN" w:bidi="ar-SA"/>
        </w:rPr>
      </w:pPr>
      <w:r>
        <w:rPr>
          <w:rFonts w:hint="default" w:ascii="宋体" w:hAnsi="宋体" w:eastAsia="宋体" w:cs="宋体"/>
          <w:b w:val="0"/>
          <w:bCs/>
          <w:color w:val="auto"/>
          <w:kern w:val="2"/>
          <w:sz w:val="24"/>
          <w:szCs w:val="24"/>
          <w:highlight w:val="none"/>
          <w:u w:val="none"/>
          <w:lang w:val="en-US" w:eastAsia="zh-CN" w:bidi="ar-SA"/>
        </w:rPr>
        <w:t>考核得分</w:t>
      </w:r>
      <w:r>
        <w:rPr>
          <w:rFonts w:hint="eastAsia" w:ascii="宋体" w:hAnsi="宋体" w:eastAsia="宋体" w:cs="宋体"/>
          <w:b w:val="0"/>
          <w:bCs/>
          <w:color w:val="auto"/>
          <w:kern w:val="2"/>
          <w:sz w:val="24"/>
          <w:szCs w:val="24"/>
          <w:highlight w:val="none"/>
          <w:u w:val="none"/>
          <w:lang w:val="en-US" w:eastAsia="zh-CN" w:bidi="ar-SA"/>
        </w:rPr>
        <w:t>7</w:t>
      </w:r>
      <w:r>
        <w:rPr>
          <w:rFonts w:hint="default" w:ascii="宋体" w:hAnsi="宋体" w:eastAsia="宋体" w:cs="宋体"/>
          <w:b w:val="0"/>
          <w:bCs/>
          <w:color w:val="auto"/>
          <w:kern w:val="2"/>
          <w:sz w:val="24"/>
          <w:szCs w:val="24"/>
          <w:highlight w:val="none"/>
          <w:u w:val="none"/>
          <w:lang w:val="en-US" w:eastAsia="zh-CN" w:bidi="ar-SA"/>
        </w:rPr>
        <w:t>5分以</w:t>
      </w:r>
      <w:r>
        <w:rPr>
          <w:rFonts w:hint="eastAsia" w:ascii="宋体" w:hAnsi="宋体" w:eastAsia="宋体" w:cs="宋体"/>
          <w:b w:val="0"/>
          <w:bCs/>
          <w:color w:val="auto"/>
          <w:kern w:val="2"/>
          <w:sz w:val="24"/>
          <w:szCs w:val="24"/>
          <w:highlight w:val="none"/>
          <w:u w:val="none"/>
          <w:lang w:val="en-US" w:eastAsia="zh-CN" w:bidi="ar-SA"/>
        </w:rPr>
        <w:t>下</w:t>
      </w:r>
      <w:r>
        <w:rPr>
          <w:rFonts w:hint="default" w:ascii="宋体" w:hAnsi="宋体" w:eastAsia="宋体" w:cs="宋体"/>
          <w:b w:val="0"/>
          <w:bCs/>
          <w:color w:val="auto"/>
          <w:kern w:val="2"/>
          <w:sz w:val="24"/>
          <w:szCs w:val="24"/>
          <w:highlight w:val="none"/>
          <w:u w:val="none"/>
          <w:lang w:val="en-US" w:eastAsia="zh-CN" w:bidi="ar-SA"/>
        </w:rPr>
        <w:t>，</w:t>
      </w:r>
      <w:r>
        <w:rPr>
          <w:rFonts w:hint="eastAsia" w:ascii="宋体" w:hAnsi="宋体" w:eastAsia="宋体" w:cs="宋体"/>
          <w:b w:val="0"/>
          <w:bCs/>
          <w:color w:val="auto"/>
          <w:kern w:val="2"/>
          <w:sz w:val="24"/>
          <w:szCs w:val="24"/>
          <w:highlight w:val="none"/>
          <w:u w:val="none"/>
          <w:lang w:val="en-US" w:eastAsia="zh-CN" w:bidi="ar-SA"/>
        </w:rPr>
        <w:t>考核不合格，并扣除本次考核款。</w:t>
      </w:r>
    </w:p>
    <w:p w14:paraId="588A4490">
      <w:pPr>
        <w:pStyle w:val="5"/>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hAnsi="宋体" w:cs="宋体"/>
          <w:b w:val="0"/>
          <w:bCs/>
          <w:color w:val="auto"/>
          <w:kern w:val="2"/>
          <w:sz w:val="24"/>
          <w:szCs w:val="24"/>
          <w:highlight w:val="none"/>
          <w:u w:val="none"/>
          <w:lang w:val="en-US" w:eastAsia="zh-CN" w:bidi="ar-SA"/>
        </w:rPr>
        <w:t>3、服务期内连续两次</w:t>
      </w:r>
      <w:r>
        <w:rPr>
          <w:rFonts w:hint="eastAsia" w:ascii="宋体" w:hAnsi="宋体" w:eastAsia="宋体" w:cs="宋体"/>
          <w:b w:val="0"/>
          <w:bCs/>
          <w:color w:val="auto"/>
          <w:kern w:val="2"/>
          <w:sz w:val="24"/>
          <w:szCs w:val="24"/>
          <w:highlight w:val="none"/>
          <w:u w:val="none"/>
          <w:lang w:val="en-US" w:eastAsia="zh-CN" w:bidi="ar-SA"/>
        </w:rPr>
        <w:t>考核不合格的，采购人有权单方面中止合同</w:t>
      </w:r>
      <w:r>
        <w:rPr>
          <w:rFonts w:hint="eastAsia" w:hAnsi="宋体" w:cs="宋体"/>
          <w:b w:val="0"/>
          <w:bCs/>
          <w:color w:val="auto"/>
          <w:kern w:val="2"/>
          <w:sz w:val="24"/>
          <w:szCs w:val="24"/>
          <w:highlight w:val="none"/>
          <w:u w:val="none"/>
          <w:lang w:val="en-US" w:eastAsia="zh-CN" w:bidi="ar-SA"/>
        </w:rPr>
        <w:t>。</w:t>
      </w:r>
    </w:p>
    <w:p w14:paraId="212F9E45">
      <w:pPr>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lang w:val="en-US" w:eastAsia="zh-CN"/>
        </w:rPr>
      </w:pPr>
      <w:r>
        <w:rPr>
          <w:rFonts w:hint="eastAsia" w:ascii="宋体" w:hAnsi="宋体" w:cs="宋体"/>
          <w:b w:val="0"/>
          <w:bCs/>
          <w:color w:val="auto"/>
          <w:kern w:val="2"/>
          <w:sz w:val="24"/>
          <w:szCs w:val="24"/>
          <w:highlight w:val="none"/>
          <w:u w:val="none"/>
          <w:lang w:val="en-US" w:eastAsia="zh-CN" w:bidi="ar-SA"/>
        </w:rPr>
        <w:t>4、</w:t>
      </w:r>
      <w:r>
        <w:rPr>
          <w:rFonts w:hint="eastAsia" w:ascii="宋体" w:hAnsi="宋体" w:eastAsia="宋体" w:cs="宋体"/>
          <w:b w:val="0"/>
          <w:bCs/>
          <w:color w:val="auto"/>
          <w:kern w:val="2"/>
          <w:sz w:val="24"/>
          <w:szCs w:val="24"/>
          <w:highlight w:val="none"/>
          <w:u w:val="none"/>
          <w:lang w:val="en-US" w:eastAsia="zh-CN" w:bidi="ar-SA"/>
        </w:rPr>
        <w:t>中标后原则上不得更换项目负责人（除非有医院出具的住院证明或调离单位相关证明材料），如要更换，接任者须具备同等学历、专业和资历，并经采购人批准同意。</w:t>
      </w:r>
    </w:p>
    <w:p w14:paraId="3AFB6F75">
      <w:pPr>
        <w:pStyle w:val="5"/>
        <w:rPr>
          <w:rFonts w:hint="default" w:ascii="宋体" w:hAnsi="宋体" w:eastAsia="宋体" w:cs="宋体"/>
          <w:b/>
          <w:bCs/>
          <w:color w:val="auto"/>
          <w:kern w:val="2"/>
          <w:sz w:val="24"/>
          <w:szCs w:val="24"/>
          <w:highlight w:val="none"/>
          <w:lang w:val="en-US" w:eastAsia="zh-CN" w:bidi="ar-SA"/>
        </w:rPr>
      </w:pPr>
      <w:r>
        <w:rPr>
          <w:rFonts w:hint="eastAsia" w:hAnsi="宋体" w:cs="宋体"/>
          <w:b/>
          <w:bCs/>
          <w:color w:val="auto"/>
          <w:kern w:val="2"/>
          <w:sz w:val="24"/>
          <w:szCs w:val="24"/>
          <w:highlight w:val="none"/>
          <w:lang w:val="en-US" w:eastAsia="zh-CN" w:bidi="ar-SA"/>
        </w:rPr>
        <w:t>附考核表:</w:t>
      </w:r>
    </w:p>
    <w:p w14:paraId="7E6DDACB">
      <w:pPr>
        <w:spacing w:line="420" w:lineRule="exact"/>
        <w:jc w:val="center"/>
        <w:rPr>
          <w:rFonts w:hint="eastAsia" w:ascii="宋体" w:hAnsi="宋体"/>
          <w:b/>
          <w:color w:val="auto"/>
          <w:sz w:val="24"/>
        </w:rPr>
      </w:pPr>
      <w:r>
        <w:rPr>
          <w:rFonts w:hint="eastAsia" w:ascii="宋体" w:hAnsi="宋体" w:cs="宋体"/>
          <w:b/>
          <w:color w:val="auto"/>
          <w:sz w:val="24"/>
          <w:lang w:eastAsia="zh-CN"/>
        </w:rPr>
        <w:t>曹娥街道小环境精细化管控服务</w:t>
      </w:r>
      <w:r>
        <w:rPr>
          <w:rFonts w:hint="eastAsia" w:ascii="宋体" w:hAnsi="宋体" w:cs="宋体"/>
          <w:b/>
          <w:color w:val="auto"/>
          <w:sz w:val="24"/>
        </w:rPr>
        <w:t>考核表</w:t>
      </w:r>
    </w:p>
    <w:tbl>
      <w:tblPr>
        <w:tblStyle w:val="26"/>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5972"/>
        <w:gridCol w:w="1084"/>
        <w:gridCol w:w="1079"/>
      </w:tblGrid>
      <w:tr w14:paraId="52E23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blHeader/>
          <w:jc w:val="center"/>
        </w:trPr>
        <w:tc>
          <w:tcPr>
            <w:tcW w:w="662" w:type="dxa"/>
            <w:noWrap w:val="0"/>
            <w:vAlign w:val="center"/>
          </w:tcPr>
          <w:p w14:paraId="34E7AA32">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序号</w:t>
            </w:r>
          </w:p>
        </w:tc>
        <w:tc>
          <w:tcPr>
            <w:tcW w:w="5972" w:type="dxa"/>
            <w:noWrap w:val="0"/>
            <w:vAlign w:val="center"/>
          </w:tcPr>
          <w:p w14:paraId="37015B0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考核</w:t>
            </w:r>
            <w:r>
              <w:rPr>
                <w:rFonts w:hint="eastAsia" w:ascii="宋体" w:hAnsi="宋体" w:eastAsia="宋体" w:cs="宋体"/>
                <w:b/>
                <w:bCs/>
                <w:color w:val="auto"/>
                <w:sz w:val="21"/>
                <w:szCs w:val="21"/>
                <w:highlight w:val="none"/>
              </w:rPr>
              <w:t>评分标准</w:t>
            </w:r>
          </w:p>
        </w:tc>
        <w:tc>
          <w:tcPr>
            <w:tcW w:w="1084" w:type="dxa"/>
            <w:noWrap w:val="0"/>
            <w:vAlign w:val="center"/>
          </w:tcPr>
          <w:p w14:paraId="0A4AB4D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分值</w:t>
            </w:r>
          </w:p>
        </w:tc>
        <w:tc>
          <w:tcPr>
            <w:tcW w:w="1079" w:type="dxa"/>
            <w:noWrap w:val="0"/>
            <w:vAlign w:val="center"/>
          </w:tcPr>
          <w:p w14:paraId="371BE304">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得分</w:t>
            </w:r>
          </w:p>
        </w:tc>
      </w:tr>
      <w:tr w14:paraId="3EC6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662" w:type="dxa"/>
            <w:noWrap w:val="0"/>
            <w:vAlign w:val="center"/>
          </w:tcPr>
          <w:p w14:paraId="52CA2AD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lang w:val="en-US" w:eastAsia="zh-CN"/>
              </w:rPr>
              <w:t>1</w:t>
            </w:r>
          </w:p>
        </w:tc>
        <w:tc>
          <w:tcPr>
            <w:tcW w:w="5972" w:type="dxa"/>
            <w:noWrap w:val="0"/>
            <w:vAlign w:val="center"/>
          </w:tcPr>
          <w:p w14:paraId="1C513689">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管理机构健全、岗位设置合理、人员配备到位。未按投标承诺的配备</w:t>
            </w:r>
            <w:r>
              <w:rPr>
                <w:rFonts w:hint="eastAsia" w:ascii="宋体" w:hAnsi="宋体" w:cs="宋体"/>
                <w:color w:val="auto"/>
                <w:sz w:val="21"/>
                <w:szCs w:val="21"/>
                <w:lang w:val="en-US" w:eastAsia="zh-CN"/>
              </w:rPr>
              <w:t>服务</w:t>
            </w:r>
            <w:r>
              <w:rPr>
                <w:rFonts w:hint="eastAsia" w:ascii="宋体" w:hAnsi="宋体" w:eastAsia="宋体" w:cs="宋体"/>
                <w:color w:val="auto"/>
                <w:sz w:val="21"/>
                <w:szCs w:val="21"/>
              </w:rPr>
              <w:t>人员</w:t>
            </w:r>
            <w:r>
              <w:rPr>
                <w:rFonts w:hint="eastAsia" w:ascii="宋体" w:hAnsi="宋体" w:cs="宋体"/>
                <w:color w:val="auto"/>
                <w:sz w:val="21"/>
                <w:szCs w:val="21"/>
                <w:lang w:val="en-US" w:eastAsia="zh-CN"/>
              </w:rPr>
              <w:t>的</w:t>
            </w:r>
            <w:r>
              <w:rPr>
                <w:rFonts w:hint="eastAsia" w:ascii="宋体" w:hAnsi="宋体" w:eastAsia="宋体" w:cs="宋体"/>
                <w:color w:val="auto"/>
                <w:sz w:val="21"/>
                <w:szCs w:val="21"/>
              </w:rPr>
              <w:t>，每</w:t>
            </w:r>
            <w:r>
              <w:rPr>
                <w:rFonts w:hint="eastAsia" w:ascii="宋体" w:hAnsi="宋体" w:cs="宋体"/>
                <w:color w:val="auto"/>
                <w:sz w:val="21"/>
                <w:szCs w:val="21"/>
                <w:lang w:val="en-US" w:eastAsia="zh-CN"/>
              </w:rPr>
              <w:t>少一人</w:t>
            </w:r>
            <w:r>
              <w:rPr>
                <w:rFonts w:hint="eastAsia" w:ascii="宋体" w:hAnsi="宋体" w:eastAsia="宋体" w:cs="宋体"/>
                <w:color w:val="auto"/>
                <w:sz w:val="21"/>
                <w:szCs w:val="21"/>
              </w:rPr>
              <w:t>扣</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项目负责人条件不符合或无故更换项目负责人的，每次扣2分；工作人员未依法缴纳社保或有欠薪的，每次扣1分</w:t>
            </w:r>
            <w:r>
              <w:rPr>
                <w:rFonts w:hint="eastAsia" w:ascii="宋体" w:hAnsi="宋体" w:cs="宋体"/>
                <w:color w:val="auto"/>
                <w:sz w:val="21"/>
                <w:szCs w:val="21"/>
                <w:lang w:eastAsia="zh-CN"/>
              </w:rPr>
              <w:t>；按</w:t>
            </w:r>
            <w:r>
              <w:rPr>
                <w:rFonts w:hint="eastAsia" w:ascii="宋体" w:hAnsi="宋体" w:cs="宋体"/>
                <w:color w:val="auto"/>
                <w:sz w:val="21"/>
                <w:szCs w:val="21"/>
                <w:lang w:val="en-US" w:eastAsia="zh-CN"/>
              </w:rPr>
              <w:t>服务</w:t>
            </w:r>
            <w:r>
              <w:rPr>
                <w:rFonts w:hint="eastAsia" w:ascii="宋体" w:hAnsi="宋体" w:cs="宋体"/>
                <w:color w:val="auto"/>
                <w:sz w:val="21"/>
                <w:szCs w:val="21"/>
                <w:lang w:eastAsia="zh-CN"/>
              </w:rPr>
              <w:t>要求落实工作人员，开展各项工作，</w:t>
            </w:r>
            <w:r>
              <w:rPr>
                <w:rFonts w:hint="eastAsia" w:ascii="宋体" w:hAnsi="宋体" w:cs="宋体"/>
                <w:color w:val="auto"/>
                <w:sz w:val="21"/>
                <w:szCs w:val="21"/>
                <w:lang w:val="en-US" w:eastAsia="zh-CN"/>
              </w:rPr>
              <w:t>无</w:t>
            </w:r>
            <w:r>
              <w:rPr>
                <w:rFonts w:hint="eastAsia" w:ascii="宋体" w:hAnsi="宋体"/>
                <w:color w:val="auto"/>
                <w:szCs w:val="21"/>
                <w:highlight w:val="none"/>
              </w:rPr>
              <w:t>偷懒</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干私活、挪用或损毁他人物品、影响他人工作、巡查不及时、站点卫生清理不到位等行为，每发现一次扣0.5分。</w:t>
            </w:r>
          </w:p>
        </w:tc>
        <w:tc>
          <w:tcPr>
            <w:tcW w:w="1084" w:type="dxa"/>
            <w:noWrap w:val="0"/>
            <w:vAlign w:val="center"/>
          </w:tcPr>
          <w:p w14:paraId="2820F6B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w:t>
            </w:r>
          </w:p>
        </w:tc>
        <w:tc>
          <w:tcPr>
            <w:tcW w:w="1079" w:type="dxa"/>
            <w:noWrap w:val="0"/>
            <w:vAlign w:val="center"/>
          </w:tcPr>
          <w:p w14:paraId="43D6E07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 xml:space="preserve"> </w:t>
            </w:r>
          </w:p>
        </w:tc>
      </w:tr>
      <w:tr w14:paraId="16D73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662" w:type="dxa"/>
            <w:noWrap w:val="0"/>
            <w:vAlign w:val="center"/>
          </w:tcPr>
          <w:p w14:paraId="4658351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w:t>
            </w:r>
          </w:p>
        </w:tc>
        <w:tc>
          <w:tcPr>
            <w:tcW w:w="5972" w:type="dxa"/>
            <w:noWrap w:val="0"/>
            <w:vAlign w:val="center"/>
          </w:tcPr>
          <w:p w14:paraId="2AF726BB">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有完善的服务方案，包括人员保障服务、数据分析服务、无人机监测服务。每日对服务区的内日常空气质量实时监控；开展日常空气质量数据分析；找出污染的原因；提供相应的对策；跟踪评估；编写每日专业分析报告并提交采购人；使用无人机监测站点周围及重要道理或区域；获得实时数据跟图谱；发现污染源后快速溯源；及时反馈现在情况；提出合理建议；编制污染源台账；监测结束出具简报；</w:t>
            </w:r>
            <w:r>
              <w:rPr>
                <w:rFonts w:hint="eastAsia" w:ascii="宋体" w:hAnsi="宋体" w:eastAsia="宋体" w:cs="宋体"/>
                <w:color w:val="auto"/>
                <w:sz w:val="21"/>
                <w:szCs w:val="21"/>
                <w:highlight w:val="none"/>
                <w:lang w:val="en-US" w:eastAsia="zh-CN"/>
              </w:rPr>
              <w:t>未做到</w:t>
            </w:r>
            <w:r>
              <w:rPr>
                <w:rFonts w:hint="eastAsia" w:ascii="宋体" w:hAnsi="宋体" w:cs="宋体"/>
                <w:color w:val="auto"/>
                <w:sz w:val="21"/>
                <w:szCs w:val="21"/>
                <w:highlight w:val="none"/>
                <w:lang w:val="en-US" w:eastAsia="zh-CN"/>
              </w:rPr>
              <w:t>的每发现一次</w:t>
            </w:r>
            <w:r>
              <w:rPr>
                <w:rFonts w:hint="eastAsia" w:ascii="宋体" w:hAnsi="宋体" w:eastAsia="宋体" w:cs="宋体"/>
                <w:color w:val="auto"/>
                <w:sz w:val="21"/>
                <w:szCs w:val="21"/>
                <w:highlight w:val="none"/>
                <w:lang w:val="en-US" w:eastAsia="zh-CN"/>
              </w:rPr>
              <w:t>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tc>
        <w:tc>
          <w:tcPr>
            <w:tcW w:w="1084" w:type="dxa"/>
            <w:noWrap w:val="0"/>
            <w:vAlign w:val="center"/>
          </w:tcPr>
          <w:p w14:paraId="62656B34">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20</w:t>
            </w:r>
          </w:p>
        </w:tc>
        <w:tc>
          <w:tcPr>
            <w:tcW w:w="1079" w:type="dxa"/>
            <w:noWrap w:val="0"/>
            <w:vAlign w:val="center"/>
          </w:tcPr>
          <w:p w14:paraId="283D945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21"/>
                <w:szCs w:val="21"/>
                <w:highlight w:val="none"/>
                <w:lang w:val="en-US" w:eastAsia="zh-CN"/>
              </w:rPr>
            </w:pPr>
          </w:p>
        </w:tc>
      </w:tr>
      <w:tr w14:paraId="61F3A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662" w:type="dxa"/>
            <w:noWrap w:val="0"/>
            <w:vAlign w:val="center"/>
          </w:tcPr>
          <w:p w14:paraId="0383EA34">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lang w:val="en-US" w:eastAsia="zh-CN"/>
              </w:rPr>
              <w:t>3</w:t>
            </w:r>
          </w:p>
        </w:tc>
        <w:tc>
          <w:tcPr>
            <w:tcW w:w="5972" w:type="dxa"/>
            <w:noWrap w:val="0"/>
            <w:vAlign w:val="center"/>
          </w:tcPr>
          <w:p w14:paraId="6AB834B3">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lang w:val="en-US" w:eastAsia="zh-CN"/>
              </w:rPr>
              <w:t>有满足服务需求的设备，不能按服务要求提供相应数量设备的，每少一台扣2分，设备种类不满足服务要求的，每发现一次扣2分。</w:t>
            </w:r>
          </w:p>
        </w:tc>
        <w:tc>
          <w:tcPr>
            <w:tcW w:w="1084" w:type="dxa"/>
            <w:noWrap w:val="0"/>
            <w:vAlign w:val="center"/>
          </w:tcPr>
          <w:p w14:paraId="4C61E2D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lang w:val="en-US" w:eastAsia="zh-CN"/>
              </w:rPr>
              <w:t>10</w:t>
            </w:r>
          </w:p>
        </w:tc>
        <w:tc>
          <w:tcPr>
            <w:tcW w:w="1079" w:type="dxa"/>
            <w:noWrap w:val="0"/>
            <w:vAlign w:val="center"/>
          </w:tcPr>
          <w:p w14:paraId="7650A7B4">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21"/>
                <w:szCs w:val="21"/>
                <w:highlight w:val="none"/>
                <w:lang w:val="en-US" w:eastAsia="zh-CN"/>
              </w:rPr>
            </w:pPr>
          </w:p>
        </w:tc>
      </w:tr>
      <w:tr w14:paraId="4F104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662" w:type="dxa"/>
            <w:noWrap w:val="0"/>
            <w:vAlign w:val="center"/>
          </w:tcPr>
          <w:p w14:paraId="12CC829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lang w:val="en-US" w:eastAsia="zh-CN"/>
              </w:rPr>
              <w:t>4</w:t>
            </w:r>
          </w:p>
        </w:tc>
        <w:tc>
          <w:tcPr>
            <w:tcW w:w="5972" w:type="dxa"/>
            <w:noWrap w:val="0"/>
            <w:vAlign w:val="center"/>
          </w:tcPr>
          <w:p w14:paraId="428B2C60">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未按招标文件要求设立</w:t>
            </w:r>
            <w:r>
              <w:rPr>
                <w:rFonts w:hint="eastAsia" w:ascii="宋体" w:hAnsi="宋体" w:eastAsia="宋体" w:cs="宋体"/>
                <w:color w:val="auto"/>
                <w:sz w:val="21"/>
                <w:szCs w:val="21"/>
              </w:rPr>
              <w:t>微型空气质量监测站</w:t>
            </w:r>
            <w:r>
              <w:rPr>
                <w:rFonts w:hint="eastAsia" w:ascii="宋体" w:hAnsi="宋体" w:cs="宋体"/>
                <w:color w:val="auto"/>
                <w:sz w:val="21"/>
                <w:szCs w:val="21"/>
                <w:lang w:val="en-US" w:eastAsia="zh-CN"/>
              </w:rPr>
              <w:t>的</w:t>
            </w:r>
            <w:r>
              <w:rPr>
                <w:rFonts w:hint="eastAsia" w:ascii="宋体" w:hAnsi="宋体" w:eastAsia="宋体" w:cs="宋体"/>
                <w:color w:val="auto"/>
                <w:sz w:val="21"/>
                <w:szCs w:val="21"/>
              </w:rPr>
              <w:t>，每</w:t>
            </w:r>
            <w:r>
              <w:rPr>
                <w:rFonts w:hint="eastAsia" w:ascii="宋体" w:hAnsi="宋体" w:cs="宋体"/>
                <w:color w:val="auto"/>
                <w:sz w:val="21"/>
                <w:szCs w:val="21"/>
                <w:lang w:val="en-US" w:eastAsia="zh-CN"/>
              </w:rPr>
              <w:t>少一个扣5</w:t>
            </w:r>
            <w:r>
              <w:rPr>
                <w:rFonts w:hint="eastAsia" w:ascii="宋体" w:hAnsi="宋体" w:eastAsia="宋体" w:cs="宋体"/>
                <w:color w:val="auto"/>
                <w:sz w:val="21"/>
                <w:szCs w:val="21"/>
              </w:rPr>
              <w:t>分</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保证微站正常运行，非采购人原因导致微站停止运行超过2小时的，每次扣2分；其他原因导致微站停止运行的，按服务要求及时维修，维修不及时的，每次扣1分。</w:t>
            </w:r>
          </w:p>
        </w:tc>
        <w:tc>
          <w:tcPr>
            <w:tcW w:w="1084" w:type="dxa"/>
            <w:noWrap w:val="0"/>
            <w:vAlign w:val="center"/>
          </w:tcPr>
          <w:p w14:paraId="5B6B66B8">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rPr>
              <w:t>10</w:t>
            </w:r>
          </w:p>
        </w:tc>
        <w:tc>
          <w:tcPr>
            <w:tcW w:w="1079" w:type="dxa"/>
            <w:noWrap w:val="0"/>
            <w:vAlign w:val="center"/>
          </w:tcPr>
          <w:p w14:paraId="7E63F3A2">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21"/>
                <w:szCs w:val="21"/>
                <w:highlight w:val="none"/>
                <w:lang w:val="en-US" w:eastAsia="zh-CN"/>
              </w:rPr>
            </w:pPr>
          </w:p>
        </w:tc>
      </w:tr>
      <w:tr w14:paraId="584A4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662" w:type="dxa"/>
            <w:noWrap w:val="0"/>
            <w:vAlign w:val="center"/>
          </w:tcPr>
          <w:p w14:paraId="009BFF3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lang w:val="en-US" w:eastAsia="zh-CN"/>
              </w:rPr>
              <w:t>5</w:t>
            </w:r>
          </w:p>
        </w:tc>
        <w:tc>
          <w:tcPr>
            <w:tcW w:w="5972" w:type="dxa"/>
            <w:noWrap w:val="0"/>
            <w:vAlign w:val="center"/>
          </w:tcPr>
          <w:p w14:paraId="6F589C2E">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lang w:val="en-US" w:eastAsia="zh-CN"/>
              </w:rPr>
              <w:t>有完善的</w:t>
            </w:r>
            <w:r>
              <w:rPr>
                <w:rFonts w:hint="eastAsia" w:ascii="宋体" w:hAnsi="宋体" w:eastAsia="宋体" w:cs="宋体"/>
                <w:color w:val="auto"/>
                <w:sz w:val="21"/>
                <w:szCs w:val="21"/>
              </w:rPr>
              <w:t>安全</w:t>
            </w:r>
            <w:r>
              <w:rPr>
                <w:rFonts w:hint="eastAsia" w:ascii="宋体" w:hAnsi="宋体" w:cs="宋体"/>
                <w:color w:val="auto"/>
                <w:sz w:val="21"/>
                <w:szCs w:val="21"/>
                <w:lang w:val="en-US" w:eastAsia="zh-CN"/>
              </w:rPr>
              <w:t>方案</w:t>
            </w:r>
            <w:r>
              <w:rPr>
                <w:rFonts w:hint="eastAsia" w:ascii="宋体" w:hAnsi="宋体" w:eastAsia="宋体" w:cs="宋体"/>
                <w:color w:val="auto"/>
                <w:sz w:val="21"/>
                <w:szCs w:val="21"/>
              </w:rPr>
              <w:t>，定期进行安全检查,</w:t>
            </w:r>
            <w:r>
              <w:rPr>
                <w:rFonts w:hint="eastAsia" w:ascii="宋体" w:hAnsi="宋体" w:cs="宋体"/>
                <w:color w:val="auto"/>
                <w:sz w:val="21"/>
                <w:szCs w:val="21"/>
                <w:lang w:val="en-US" w:eastAsia="zh-CN"/>
              </w:rPr>
              <w:t>服务期间无</w:t>
            </w:r>
            <w:r>
              <w:rPr>
                <w:rFonts w:hint="eastAsia" w:ascii="宋体" w:hAnsi="宋体" w:eastAsia="宋体" w:cs="宋体"/>
                <w:color w:val="auto"/>
                <w:sz w:val="21"/>
                <w:szCs w:val="21"/>
              </w:rPr>
              <w:t>安全事故</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火灾、漏电、撞击、人员伤亡等</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或安全隐患</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酒后上岗、设备错误操作、防护不到位等</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未按要求建立</w:t>
            </w:r>
            <w:r>
              <w:rPr>
                <w:rFonts w:hint="eastAsia" w:ascii="宋体" w:hAnsi="宋体" w:eastAsia="宋体" w:cs="宋体"/>
                <w:color w:val="auto"/>
                <w:sz w:val="21"/>
                <w:szCs w:val="21"/>
              </w:rPr>
              <w:t>安全</w:t>
            </w:r>
            <w:r>
              <w:rPr>
                <w:rFonts w:hint="eastAsia" w:ascii="宋体" w:hAnsi="宋体" w:cs="宋体"/>
                <w:color w:val="auto"/>
                <w:sz w:val="21"/>
                <w:szCs w:val="21"/>
                <w:lang w:val="en-US" w:eastAsia="zh-CN"/>
              </w:rPr>
              <w:t>方案的，扣5分；</w:t>
            </w:r>
            <w:r>
              <w:rPr>
                <w:rFonts w:hint="eastAsia" w:ascii="宋体" w:hAnsi="宋体" w:eastAsia="宋体" w:cs="宋体"/>
                <w:color w:val="auto"/>
                <w:sz w:val="21"/>
                <w:szCs w:val="21"/>
              </w:rPr>
              <w:t>安全事故每</w:t>
            </w:r>
            <w:r>
              <w:rPr>
                <w:rFonts w:hint="eastAsia" w:ascii="宋体" w:hAnsi="宋体" w:cs="宋体"/>
                <w:color w:val="auto"/>
                <w:sz w:val="21"/>
                <w:szCs w:val="21"/>
                <w:lang w:val="en-US" w:eastAsia="zh-CN"/>
              </w:rPr>
              <w:t>发生一次</w:t>
            </w:r>
            <w:r>
              <w:rPr>
                <w:rFonts w:hint="eastAsia" w:ascii="宋体" w:hAnsi="宋体" w:eastAsia="宋体" w:cs="宋体"/>
                <w:color w:val="auto"/>
                <w:sz w:val="21"/>
                <w:szCs w:val="21"/>
              </w:rPr>
              <w:t>扣</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安全隐患</w:t>
            </w:r>
            <w:r>
              <w:rPr>
                <w:rFonts w:hint="eastAsia" w:ascii="宋体" w:hAnsi="宋体" w:eastAsia="宋体" w:cs="宋体"/>
                <w:color w:val="auto"/>
                <w:sz w:val="21"/>
                <w:szCs w:val="21"/>
              </w:rPr>
              <w:t>每</w:t>
            </w:r>
            <w:r>
              <w:rPr>
                <w:rFonts w:hint="eastAsia" w:ascii="宋体" w:hAnsi="宋体" w:cs="宋体"/>
                <w:color w:val="auto"/>
                <w:sz w:val="21"/>
                <w:szCs w:val="21"/>
                <w:lang w:val="en-US" w:eastAsia="zh-CN"/>
              </w:rPr>
              <w:t>发现一次</w:t>
            </w:r>
            <w:r>
              <w:rPr>
                <w:rFonts w:hint="eastAsia" w:ascii="宋体" w:hAnsi="宋体" w:eastAsia="宋体" w:cs="宋体"/>
                <w:color w:val="auto"/>
                <w:sz w:val="21"/>
                <w:szCs w:val="21"/>
              </w:rPr>
              <w:t>扣</w:t>
            </w:r>
            <w:r>
              <w:rPr>
                <w:rFonts w:hint="eastAsia" w:ascii="宋体" w:hAnsi="宋体" w:cs="宋体"/>
                <w:color w:val="auto"/>
                <w:sz w:val="21"/>
                <w:szCs w:val="21"/>
                <w:lang w:val="en-US" w:eastAsia="zh-CN"/>
              </w:rPr>
              <w:t>0.5</w:t>
            </w:r>
            <w:r>
              <w:rPr>
                <w:rFonts w:hint="eastAsia" w:ascii="宋体" w:hAnsi="宋体" w:eastAsia="宋体" w:cs="宋体"/>
                <w:color w:val="auto"/>
                <w:sz w:val="21"/>
                <w:szCs w:val="21"/>
              </w:rPr>
              <w:t>分。</w:t>
            </w:r>
          </w:p>
        </w:tc>
        <w:tc>
          <w:tcPr>
            <w:tcW w:w="1084" w:type="dxa"/>
            <w:noWrap w:val="0"/>
            <w:vAlign w:val="center"/>
          </w:tcPr>
          <w:p w14:paraId="6305EE74">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lang w:val="en-US" w:eastAsia="zh-CN"/>
              </w:rPr>
              <w:t>10</w:t>
            </w:r>
          </w:p>
        </w:tc>
        <w:tc>
          <w:tcPr>
            <w:tcW w:w="1079" w:type="dxa"/>
            <w:noWrap w:val="0"/>
            <w:vAlign w:val="center"/>
          </w:tcPr>
          <w:p w14:paraId="08339BA9">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　</w:t>
            </w:r>
          </w:p>
        </w:tc>
      </w:tr>
      <w:tr w14:paraId="65744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62" w:type="dxa"/>
            <w:noWrap w:val="0"/>
            <w:vAlign w:val="center"/>
          </w:tcPr>
          <w:p w14:paraId="5D2F184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lang w:val="en-US" w:eastAsia="zh-CN"/>
              </w:rPr>
              <w:t>6</w:t>
            </w:r>
          </w:p>
        </w:tc>
        <w:tc>
          <w:tcPr>
            <w:tcW w:w="5972" w:type="dxa"/>
            <w:noWrap w:val="0"/>
            <w:vAlign w:val="center"/>
          </w:tcPr>
          <w:p w14:paraId="4037E254">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lang w:val="en-US" w:eastAsia="zh-CN"/>
              </w:rPr>
              <w:t>有完善的应急管控方案及突发事件（包括突发停电、意外伤害、台风暴雷电等恶劣天气）处理能力，未按要求建立应急预案的，扣5分；突发事件处理不及时的，</w:t>
            </w:r>
            <w:r>
              <w:rPr>
                <w:rFonts w:hint="eastAsia" w:ascii="宋体" w:hAnsi="宋体" w:eastAsia="宋体" w:cs="宋体"/>
                <w:color w:val="auto"/>
                <w:sz w:val="21"/>
                <w:szCs w:val="21"/>
              </w:rPr>
              <w:t>每</w:t>
            </w:r>
            <w:r>
              <w:rPr>
                <w:rFonts w:hint="eastAsia" w:ascii="宋体" w:hAnsi="宋体" w:cs="宋体"/>
                <w:color w:val="auto"/>
                <w:sz w:val="21"/>
                <w:szCs w:val="21"/>
                <w:lang w:val="en-US" w:eastAsia="zh-CN"/>
              </w:rPr>
              <w:t>次</w:t>
            </w:r>
            <w:r>
              <w:rPr>
                <w:rFonts w:hint="eastAsia" w:ascii="宋体" w:hAnsi="宋体" w:eastAsia="宋体" w:cs="宋体"/>
                <w:color w:val="auto"/>
                <w:sz w:val="21"/>
                <w:szCs w:val="21"/>
              </w:rPr>
              <w:t>扣</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w:t>
            </w:r>
          </w:p>
        </w:tc>
        <w:tc>
          <w:tcPr>
            <w:tcW w:w="1084" w:type="dxa"/>
            <w:noWrap w:val="0"/>
            <w:vAlign w:val="center"/>
          </w:tcPr>
          <w:p w14:paraId="0A779936">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w:t>
            </w:r>
          </w:p>
        </w:tc>
        <w:tc>
          <w:tcPr>
            <w:tcW w:w="1079" w:type="dxa"/>
            <w:noWrap w:val="0"/>
            <w:vAlign w:val="center"/>
          </w:tcPr>
          <w:p w14:paraId="7DD4BCE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21"/>
                <w:szCs w:val="21"/>
                <w:highlight w:val="none"/>
                <w:lang w:val="en-US" w:eastAsia="zh-CN"/>
              </w:rPr>
            </w:pPr>
          </w:p>
        </w:tc>
      </w:tr>
      <w:tr w14:paraId="7159C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62" w:type="dxa"/>
            <w:noWrap w:val="0"/>
            <w:vAlign w:val="center"/>
          </w:tcPr>
          <w:p w14:paraId="1067CB3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lang w:val="en-US" w:eastAsia="zh-CN"/>
              </w:rPr>
              <w:t>7</w:t>
            </w:r>
          </w:p>
        </w:tc>
        <w:tc>
          <w:tcPr>
            <w:tcW w:w="5972" w:type="dxa"/>
            <w:noWrap w:val="0"/>
            <w:vAlign w:val="center"/>
          </w:tcPr>
          <w:p w14:paraId="7A1D3E4D">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有完善的</w:t>
            </w:r>
            <w:r>
              <w:rPr>
                <w:rFonts w:hint="eastAsia" w:ascii="宋体" w:hAnsi="宋体" w:eastAsia="宋体" w:cs="宋体"/>
                <w:color w:val="auto"/>
                <w:sz w:val="21"/>
                <w:szCs w:val="21"/>
                <w:highlight w:val="none"/>
                <w:lang w:val="en-US" w:eastAsia="zh-CN"/>
              </w:rPr>
              <w:t>售后服务响应</w:t>
            </w:r>
            <w:r>
              <w:rPr>
                <w:rFonts w:hint="eastAsia" w:ascii="宋体" w:hAnsi="宋体" w:cs="宋体"/>
                <w:color w:val="auto"/>
                <w:sz w:val="21"/>
                <w:szCs w:val="21"/>
                <w:highlight w:val="none"/>
                <w:lang w:val="en-US" w:eastAsia="zh-CN"/>
              </w:rPr>
              <w:t>能力，服务期间</w:t>
            </w:r>
            <w:r>
              <w:rPr>
                <w:rFonts w:hint="eastAsia" w:ascii="宋体" w:hAnsi="宋体" w:eastAsia="宋体" w:cs="宋体"/>
                <w:color w:val="auto"/>
                <w:sz w:val="21"/>
                <w:szCs w:val="21"/>
                <w:highlight w:val="none"/>
                <w:lang w:val="en-US" w:eastAsia="zh-CN"/>
              </w:rPr>
              <w:t>项目人员电话响应</w:t>
            </w:r>
            <w:r>
              <w:rPr>
                <w:rFonts w:hint="eastAsia" w:ascii="宋体" w:hAnsi="宋体" w:cs="宋体"/>
                <w:color w:val="auto"/>
                <w:sz w:val="21"/>
                <w:szCs w:val="21"/>
                <w:highlight w:val="none"/>
                <w:lang w:val="en-US" w:eastAsia="zh-CN"/>
              </w:rPr>
              <w:t>时间：</w:t>
            </w:r>
            <w:r>
              <w:rPr>
                <w:rFonts w:hint="eastAsia" w:ascii="宋体" w:hAnsi="宋体" w:eastAsia="宋体" w:cs="宋体"/>
                <w:color w:val="auto"/>
                <w:sz w:val="21"/>
                <w:szCs w:val="21"/>
                <w:highlight w:val="none"/>
                <w:lang w:val="en-US" w:eastAsia="zh-CN"/>
              </w:rPr>
              <w:t>7*24小时</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管控现场响应</w:t>
            </w:r>
            <w:r>
              <w:rPr>
                <w:rFonts w:hint="eastAsia" w:ascii="宋体" w:hAnsi="宋体" w:cs="宋体"/>
                <w:color w:val="auto"/>
                <w:sz w:val="21"/>
                <w:szCs w:val="21"/>
                <w:highlight w:val="none"/>
                <w:lang w:val="en-US" w:eastAsia="zh-CN"/>
              </w:rPr>
              <w:t>时间</w:t>
            </w:r>
            <w:r>
              <w:rPr>
                <w:rFonts w:hint="eastAsia" w:ascii="宋体" w:hAnsi="宋体" w:eastAsia="宋体" w:cs="宋体"/>
                <w:color w:val="auto"/>
                <w:sz w:val="21"/>
                <w:szCs w:val="21"/>
                <w:highlight w:val="none"/>
                <w:lang w:val="en-US" w:eastAsia="zh-CN"/>
              </w:rPr>
              <w:t>：2小时内</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技术支持响应</w:t>
            </w:r>
            <w:r>
              <w:rPr>
                <w:rFonts w:hint="eastAsia" w:ascii="宋体" w:hAnsi="宋体" w:cs="宋体"/>
                <w:color w:val="auto"/>
                <w:sz w:val="21"/>
                <w:szCs w:val="21"/>
                <w:highlight w:val="none"/>
                <w:lang w:val="en-US" w:eastAsia="zh-CN"/>
              </w:rPr>
              <w:t>时间</w:t>
            </w:r>
            <w:r>
              <w:rPr>
                <w:rFonts w:hint="eastAsia" w:ascii="宋体" w:hAnsi="宋体" w:eastAsia="宋体" w:cs="宋体"/>
                <w:color w:val="auto"/>
                <w:sz w:val="21"/>
                <w:szCs w:val="21"/>
                <w:highlight w:val="none"/>
                <w:lang w:val="en-US" w:eastAsia="zh-CN"/>
              </w:rPr>
              <w:t>：24小时内</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设备故障响应</w:t>
            </w:r>
            <w:r>
              <w:rPr>
                <w:rFonts w:hint="eastAsia" w:ascii="宋体" w:hAnsi="宋体" w:cs="宋体"/>
                <w:color w:val="auto"/>
                <w:sz w:val="21"/>
                <w:szCs w:val="21"/>
                <w:highlight w:val="none"/>
                <w:lang w:val="en-US" w:eastAsia="zh-CN"/>
              </w:rPr>
              <w:t>时间</w:t>
            </w:r>
            <w:r>
              <w:rPr>
                <w:rFonts w:hint="eastAsia" w:ascii="宋体" w:hAnsi="宋体" w:eastAsia="宋体" w:cs="宋体"/>
                <w:color w:val="auto"/>
                <w:sz w:val="21"/>
                <w:szCs w:val="21"/>
                <w:highlight w:val="none"/>
                <w:lang w:val="en-US" w:eastAsia="zh-CN"/>
              </w:rPr>
              <w:t>：4小时内；</w:t>
            </w:r>
            <w:r>
              <w:rPr>
                <w:rFonts w:hint="eastAsia" w:ascii="宋体" w:hAnsi="宋体" w:cs="宋体"/>
                <w:color w:val="auto"/>
                <w:sz w:val="21"/>
                <w:szCs w:val="21"/>
                <w:highlight w:val="none"/>
                <w:lang w:val="en-US" w:eastAsia="zh-CN"/>
              </w:rPr>
              <w:t>未做到的每次</w:t>
            </w:r>
            <w:r>
              <w:rPr>
                <w:rFonts w:hint="eastAsia" w:ascii="宋体" w:hAnsi="宋体" w:eastAsia="宋体" w:cs="宋体"/>
                <w:color w:val="auto"/>
                <w:sz w:val="21"/>
                <w:szCs w:val="21"/>
                <w:highlight w:val="none"/>
                <w:lang w:val="en-US" w:eastAsia="zh-CN"/>
              </w:rPr>
              <w:t>扣</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tc>
        <w:tc>
          <w:tcPr>
            <w:tcW w:w="1084" w:type="dxa"/>
            <w:noWrap w:val="0"/>
            <w:vAlign w:val="center"/>
          </w:tcPr>
          <w:p w14:paraId="26F18E51">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w:t>
            </w:r>
          </w:p>
        </w:tc>
        <w:tc>
          <w:tcPr>
            <w:tcW w:w="1079" w:type="dxa"/>
            <w:noWrap w:val="0"/>
            <w:vAlign w:val="center"/>
          </w:tcPr>
          <w:p w14:paraId="4EECF62E">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21"/>
                <w:szCs w:val="21"/>
                <w:highlight w:val="none"/>
                <w:lang w:val="en-US" w:eastAsia="zh-CN"/>
              </w:rPr>
            </w:pPr>
          </w:p>
        </w:tc>
      </w:tr>
      <w:tr w14:paraId="2B9B9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662" w:type="dxa"/>
            <w:noWrap w:val="0"/>
            <w:vAlign w:val="center"/>
          </w:tcPr>
          <w:p w14:paraId="0D77D7F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lang w:val="en-US" w:eastAsia="zh-CN"/>
              </w:rPr>
              <w:t>8</w:t>
            </w:r>
          </w:p>
        </w:tc>
        <w:tc>
          <w:tcPr>
            <w:tcW w:w="5972" w:type="dxa"/>
            <w:noWrap w:val="0"/>
            <w:vAlign w:val="center"/>
          </w:tcPr>
          <w:p w14:paraId="174C7B1A">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根据每次考核期的服务完成度打分，如有未完成服务目标的如（超过24小时未提供服务的、微站数量缺少、微站运行停止超过24小时等），每次扣10分。</w:t>
            </w:r>
          </w:p>
        </w:tc>
        <w:tc>
          <w:tcPr>
            <w:tcW w:w="1084" w:type="dxa"/>
            <w:noWrap w:val="0"/>
            <w:vAlign w:val="center"/>
          </w:tcPr>
          <w:p w14:paraId="3D2A74F8">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20</w:t>
            </w:r>
          </w:p>
        </w:tc>
        <w:tc>
          <w:tcPr>
            <w:tcW w:w="1079" w:type="dxa"/>
            <w:noWrap w:val="0"/>
            <w:vAlign w:val="center"/>
          </w:tcPr>
          <w:p w14:paraId="0317748C">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21"/>
                <w:szCs w:val="21"/>
                <w:highlight w:val="none"/>
                <w:lang w:val="en-US" w:eastAsia="zh-CN"/>
              </w:rPr>
            </w:pPr>
          </w:p>
        </w:tc>
      </w:tr>
      <w:tr w14:paraId="280AD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718" w:type="dxa"/>
            <w:gridSpan w:val="3"/>
            <w:noWrap w:val="0"/>
            <w:vAlign w:val="center"/>
          </w:tcPr>
          <w:p w14:paraId="568EE84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考核总得分</w:t>
            </w:r>
          </w:p>
        </w:tc>
        <w:tc>
          <w:tcPr>
            <w:tcW w:w="1079" w:type="dxa"/>
            <w:noWrap w:val="0"/>
            <w:vAlign w:val="center"/>
          </w:tcPr>
          <w:p w14:paraId="10C32AFC">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21"/>
                <w:szCs w:val="21"/>
                <w:highlight w:val="none"/>
                <w:lang w:val="en-US" w:eastAsia="zh-CN"/>
              </w:rPr>
            </w:pPr>
          </w:p>
        </w:tc>
      </w:tr>
    </w:tbl>
    <w:p w14:paraId="05996F90">
      <w:pPr>
        <w:spacing w:line="42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考核人签字：</w:t>
      </w:r>
    </w:p>
    <w:p w14:paraId="3FF30E62">
      <w:pPr>
        <w:spacing w:line="420" w:lineRule="exact"/>
        <w:rPr>
          <w:rFonts w:hint="eastAsia"/>
          <w:color w:val="auto"/>
          <w:lang w:val="en-US" w:eastAsia="zh-CN"/>
        </w:rPr>
      </w:pPr>
      <w:r>
        <w:rPr>
          <w:rFonts w:hint="eastAsia" w:ascii="宋体" w:hAnsi="宋体"/>
          <w:b w:val="0"/>
          <w:bCs/>
          <w:color w:val="auto"/>
          <w:sz w:val="22"/>
          <w:szCs w:val="22"/>
        </w:rPr>
        <w:t>注：每项扣分不得超过本项设置的最高分值。</w:t>
      </w:r>
    </w:p>
    <w:bookmarkEnd w:id="71"/>
    <w:p w14:paraId="705EEFF2">
      <w:pPr>
        <w:pStyle w:val="5"/>
        <w:numPr>
          <w:ilvl w:val="0"/>
          <w:numId w:val="0"/>
        </w:numPr>
        <w:bidi w:val="0"/>
        <w:ind w:leftChars="0"/>
        <w:jc w:val="center"/>
        <w:rPr>
          <w:color w:val="auto"/>
        </w:rPr>
      </w:pPr>
      <w:bookmarkStart w:id="73" w:name="_Toc22912"/>
      <w:bookmarkStart w:id="74" w:name="_Toc13569"/>
      <w:bookmarkStart w:id="75" w:name="_Toc506107121"/>
      <w:bookmarkStart w:id="76" w:name="_Toc21027"/>
      <w:bookmarkStart w:id="77" w:name="_Toc12256"/>
      <w:r>
        <w:rPr>
          <w:rFonts w:hint="eastAsia"/>
          <w:color w:val="auto"/>
          <w:lang w:val="en-US" w:eastAsia="zh-CN"/>
        </w:rPr>
        <w:t xml:space="preserve">第二章 </w:t>
      </w:r>
      <w:r>
        <w:rPr>
          <w:rFonts w:hint="eastAsia"/>
          <w:color w:val="auto"/>
        </w:rPr>
        <w:t>付款方式及要求</w:t>
      </w:r>
      <w:bookmarkEnd w:id="73"/>
      <w:bookmarkEnd w:id="74"/>
      <w:bookmarkEnd w:id="75"/>
      <w:bookmarkEnd w:id="76"/>
      <w:bookmarkEnd w:id="77"/>
    </w:p>
    <w:p w14:paraId="0F87BAD0">
      <w:pPr>
        <w:spacing w:line="500" w:lineRule="exact"/>
        <w:ind w:firstLine="600" w:firstLineChars="250"/>
        <w:rPr>
          <w:rFonts w:hint="eastAsia" w:ascii="宋体" w:hAnsi="宋体"/>
          <w:color w:val="auto"/>
          <w:sz w:val="24"/>
          <w:lang w:val="en-US" w:eastAsia="zh-CN"/>
        </w:rPr>
      </w:pPr>
      <w:r>
        <w:rPr>
          <w:rFonts w:hint="eastAsia" w:ascii="宋体" w:hAnsi="宋体"/>
          <w:color w:val="auto"/>
          <w:sz w:val="24"/>
          <w:lang w:val="en-US" w:eastAsia="zh-CN"/>
        </w:rPr>
        <w:t>1.中标人在收到中标通知书后，需向采购人提供合同价的1%作为履约保证金，履约验收合格后无息退还。（供应商应当以支票、汇票、本票或者金融机构、保险公司、担保机构出具的保函等非现金形式提交）。</w:t>
      </w:r>
    </w:p>
    <w:p w14:paraId="3AF2B96A">
      <w:pPr>
        <w:spacing w:line="500" w:lineRule="exact"/>
        <w:ind w:firstLine="600" w:firstLineChars="250"/>
        <w:rPr>
          <w:rFonts w:hint="default" w:ascii="宋体" w:hAnsi="宋体"/>
          <w:color w:val="auto"/>
          <w:sz w:val="24"/>
          <w:lang w:val="en-US" w:eastAsia="zh-CN"/>
        </w:rPr>
      </w:pPr>
      <w:r>
        <w:rPr>
          <w:rFonts w:hint="eastAsia" w:ascii="宋体" w:hAnsi="宋体"/>
          <w:color w:val="auto"/>
          <w:sz w:val="24"/>
          <w:lang w:val="en-US" w:eastAsia="zh-CN"/>
        </w:rPr>
        <w:t>2.在合同生效以及具备实施条件后7个工作日内向中标人支付合同价的20%作为预付款，项目实施后，每三个月为一个付款周期，第一个付款周期结束后10个工作日内支付考核款，第二、第三个付款周期结束后10个工作日内支付合同价20%的服务款及相应的考核款，一年服务结束后10个工作日内支付合同价10%的服务款及相应的考核款。（每次提取合同价5%为考核款的基数，考核款结合考核情况与对应的服务款同时支付）</w:t>
      </w:r>
    </w:p>
    <w:p w14:paraId="6AFE221B">
      <w:pPr>
        <w:spacing w:line="500" w:lineRule="exact"/>
        <w:ind w:firstLine="600" w:firstLineChars="250"/>
        <w:rPr>
          <w:rFonts w:hint="eastAsia" w:ascii="宋体" w:hAnsi="宋体"/>
          <w:color w:val="auto"/>
          <w:sz w:val="24"/>
          <w:lang w:val="en-US" w:eastAsia="zh-CN"/>
        </w:rPr>
      </w:pPr>
      <w:r>
        <w:rPr>
          <w:rFonts w:hint="eastAsia" w:ascii="宋体" w:hAnsi="宋体"/>
          <w:color w:val="auto"/>
          <w:sz w:val="24"/>
          <w:lang w:val="en-US" w:eastAsia="zh-CN"/>
        </w:rPr>
        <w:t>3.剩余合同价的10%在微型空气质量监测站验收合格之日起满一年且复验合格后10个工作日内支付。</w:t>
      </w:r>
    </w:p>
    <w:p w14:paraId="04C30A3C">
      <w:pPr>
        <w:spacing w:line="500" w:lineRule="exact"/>
        <w:ind w:firstLine="600" w:firstLineChars="250"/>
        <w:rPr>
          <w:rFonts w:hint="default" w:ascii="宋体" w:hAnsi="宋体"/>
          <w:color w:val="auto"/>
          <w:sz w:val="24"/>
          <w:lang w:val="en-US" w:eastAsia="zh-CN"/>
        </w:rPr>
      </w:pPr>
      <w:r>
        <w:rPr>
          <w:rFonts w:hint="eastAsia" w:ascii="宋体" w:hAnsi="宋体"/>
          <w:color w:val="auto"/>
          <w:sz w:val="24"/>
          <w:lang w:val="en-US" w:eastAsia="zh-CN"/>
        </w:rPr>
        <w:t>4.</w:t>
      </w:r>
      <w:r>
        <w:rPr>
          <w:rFonts w:hint="eastAsia" w:ascii="宋体" w:hAnsi="宋体"/>
          <w:color w:val="auto"/>
          <w:sz w:val="24"/>
        </w:rPr>
        <w:t>中标人在收款之前，应向采购人提供发票，采购人凭发票付款。如中标人未按约定提供发票的，采购人有权拒绝付款，直至收到中标人提交的相应发票为止，在此情况下，采购人不承担逾期付款违约责任。</w:t>
      </w:r>
    </w:p>
    <w:p w14:paraId="5E30238B">
      <w:pPr>
        <w:spacing w:line="500" w:lineRule="exact"/>
        <w:ind w:firstLine="600" w:firstLineChars="250"/>
        <w:rPr>
          <w:rFonts w:hint="default"/>
          <w:color w:val="auto"/>
          <w:lang w:val="en-US" w:eastAsia="zh-CN"/>
        </w:rPr>
        <w:sectPr>
          <w:pgSz w:w="11906" w:h="16838"/>
          <w:pgMar w:top="1417" w:right="1417" w:bottom="1417" w:left="1587" w:header="851" w:footer="992" w:gutter="0"/>
          <w:pgBorders>
            <w:top w:val="none" w:sz="0" w:space="0"/>
            <w:left w:val="none" w:sz="0" w:space="0"/>
            <w:bottom w:val="none" w:sz="0" w:space="0"/>
            <w:right w:val="none" w:sz="0" w:space="0"/>
          </w:pgBorders>
          <w:cols w:space="720" w:num="1"/>
          <w:docGrid w:type="lines" w:linePitch="312" w:charSpace="0"/>
        </w:sectPr>
      </w:pPr>
      <w:r>
        <w:rPr>
          <w:rFonts w:ascii="宋体" w:hAnsi="宋体"/>
          <w:color w:val="auto"/>
          <w:sz w:val="24"/>
        </w:rPr>
        <w:br w:type="page"/>
      </w:r>
    </w:p>
    <w:p w14:paraId="4C6427A0">
      <w:pPr>
        <w:pStyle w:val="4"/>
        <w:jc w:val="center"/>
        <w:rPr>
          <w:rFonts w:cs="Times New Roman"/>
          <w:color w:val="auto"/>
          <w:sz w:val="36"/>
          <w:szCs w:val="36"/>
          <w:highlight w:val="none"/>
        </w:rPr>
      </w:pPr>
      <w:bookmarkStart w:id="78" w:name="_Toc11977"/>
      <w:r>
        <w:rPr>
          <w:rFonts w:hint="eastAsia" w:cs="宋体"/>
          <w:color w:val="auto"/>
          <w:sz w:val="36"/>
          <w:szCs w:val="36"/>
          <w:highlight w:val="none"/>
        </w:rPr>
        <w:t>第四部分 磋商原则及磋商方法</w:t>
      </w:r>
      <w:bookmarkEnd w:id="69"/>
      <w:bookmarkEnd w:id="78"/>
    </w:p>
    <w:p w14:paraId="734AC48F">
      <w:pPr>
        <w:pStyle w:val="5"/>
        <w:numPr>
          <w:ilvl w:val="0"/>
          <w:numId w:val="16"/>
        </w:numPr>
        <w:jc w:val="center"/>
        <w:rPr>
          <w:rFonts w:cs="Times New Roman"/>
          <w:color w:val="auto"/>
          <w:highlight w:val="none"/>
        </w:rPr>
      </w:pPr>
      <w:bookmarkStart w:id="79" w:name="_Toc1265"/>
      <w:r>
        <w:rPr>
          <w:rFonts w:hint="eastAsia"/>
          <w:color w:val="auto"/>
          <w:highlight w:val="none"/>
        </w:rPr>
        <w:t xml:space="preserve"> </w:t>
      </w:r>
      <w:bookmarkStart w:id="80" w:name="_Toc30793"/>
      <w:r>
        <w:rPr>
          <w:rFonts w:hint="eastAsia"/>
          <w:color w:val="auto"/>
          <w:highlight w:val="none"/>
        </w:rPr>
        <w:t>磋商原则</w:t>
      </w:r>
      <w:bookmarkEnd w:id="79"/>
      <w:bookmarkEnd w:id="80"/>
    </w:p>
    <w:p w14:paraId="3E84B322">
      <w:pPr>
        <w:pStyle w:val="6"/>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、本次竞争性磋商本着公平、公正、科学、择优的原则，邀请各磋商方参加报价。</w:t>
      </w:r>
    </w:p>
    <w:p w14:paraId="31696A51">
      <w:pPr>
        <w:pStyle w:val="6"/>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、磋商小组将严格按照竞争性磋商文件的要求，对供应商的响应性文件进行认真评审；磋商小组对响应性文件的评审仅依据响应性文件本身，而不依据响应性文件以外的任何因素。</w:t>
      </w:r>
    </w:p>
    <w:p w14:paraId="1A28FFAC">
      <w:pPr>
        <w:pStyle w:val="6"/>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、磋商小组按照统一的磋商原则和磋商方法，用同一标准对所有响应性文件进行评审。</w:t>
      </w:r>
    </w:p>
    <w:p w14:paraId="6821640D">
      <w:pPr>
        <w:pStyle w:val="15"/>
        <w:spacing w:line="360" w:lineRule="auto"/>
        <w:ind w:firstLine="482" w:firstLineChars="200"/>
        <w:rPr>
          <w:rFonts w:hAnsi="宋体" w:cs="Times New Roman"/>
          <w:b/>
          <w:bCs/>
          <w:color w:val="auto"/>
          <w:sz w:val="24"/>
          <w:szCs w:val="24"/>
          <w:highlight w:val="none"/>
        </w:rPr>
      </w:pPr>
      <w:r>
        <w:rPr>
          <w:rFonts w:hAnsi="宋体"/>
          <w:b/>
          <w:bCs/>
          <w:color w:val="auto"/>
          <w:sz w:val="24"/>
          <w:szCs w:val="24"/>
          <w:highlight w:val="none"/>
        </w:rPr>
        <w:t>4</w:t>
      </w:r>
      <w:r>
        <w:rPr>
          <w:rFonts w:hint="eastAsia" w:hAnsi="宋体"/>
          <w:b/>
          <w:bCs/>
          <w:color w:val="auto"/>
          <w:sz w:val="24"/>
          <w:szCs w:val="24"/>
          <w:highlight w:val="none"/>
        </w:rPr>
        <w:t>、评审</w:t>
      </w:r>
    </w:p>
    <w:p w14:paraId="0FEE7B79">
      <w:pPr>
        <w:pStyle w:val="15"/>
        <w:spacing w:line="360" w:lineRule="auto"/>
        <w:ind w:firstLine="480" w:firstLineChars="200"/>
        <w:rPr>
          <w:rFonts w:hAnsi="宋体" w:cs="Times New Roman"/>
          <w:color w:val="auto"/>
          <w:sz w:val="24"/>
          <w:szCs w:val="24"/>
          <w:highlight w:val="none"/>
        </w:rPr>
      </w:pPr>
      <w:r>
        <w:rPr>
          <w:rFonts w:hAnsi="宋体"/>
          <w:color w:val="auto"/>
          <w:sz w:val="24"/>
          <w:szCs w:val="24"/>
          <w:highlight w:val="none"/>
        </w:rPr>
        <w:t>4.1</w:t>
      </w:r>
      <w:r>
        <w:rPr>
          <w:rFonts w:hint="eastAsia" w:hAnsi="宋体"/>
          <w:color w:val="auto"/>
          <w:sz w:val="24"/>
          <w:szCs w:val="24"/>
          <w:highlight w:val="none"/>
        </w:rPr>
        <w:t>在磋商响应截止时间前按规定提交响应文件的供应商在三家（含）以上的，由采购人或采购代理机构组织进行开标。</w:t>
      </w:r>
    </w:p>
    <w:p w14:paraId="5245C005">
      <w:pPr>
        <w:pStyle w:val="15"/>
        <w:spacing w:line="360" w:lineRule="auto"/>
        <w:ind w:firstLine="482" w:firstLineChars="200"/>
        <w:rPr>
          <w:rFonts w:hAnsi="宋体" w:cs="Times New Roman"/>
          <w:color w:val="auto"/>
          <w:sz w:val="24"/>
          <w:szCs w:val="24"/>
          <w:highlight w:val="none"/>
        </w:rPr>
      </w:pPr>
      <w:r>
        <w:rPr>
          <w:rFonts w:hAnsi="宋体"/>
          <w:b/>
          <w:bCs/>
          <w:color w:val="auto"/>
          <w:sz w:val="24"/>
          <w:szCs w:val="24"/>
          <w:highlight w:val="none"/>
        </w:rPr>
        <w:t>4.2</w:t>
      </w:r>
      <w:r>
        <w:rPr>
          <w:rFonts w:hint="eastAsia" w:hAnsi="宋体"/>
          <w:b/>
          <w:bCs/>
          <w:color w:val="auto"/>
          <w:sz w:val="24"/>
          <w:szCs w:val="24"/>
          <w:highlight w:val="none"/>
        </w:rPr>
        <w:t>供应商登录政采云平台，用“项目采购</w:t>
      </w:r>
      <w:r>
        <w:rPr>
          <w:rFonts w:hAnsi="宋体"/>
          <w:b/>
          <w:bCs/>
          <w:color w:val="auto"/>
          <w:sz w:val="24"/>
          <w:szCs w:val="24"/>
          <w:highlight w:val="none"/>
        </w:rPr>
        <w:t>-</w:t>
      </w:r>
      <w:r>
        <w:rPr>
          <w:rFonts w:hint="eastAsia" w:hAnsi="宋体"/>
          <w:b/>
          <w:bCs/>
          <w:color w:val="auto"/>
          <w:sz w:val="24"/>
          <w:szCs w:val="24"/>
          <w:highlight w:val="none"/>
        </w:rPr>
        <w:t>开标评标”功能对电子磋商响应文件进行在线解密。在线解密电子磋商响应文件时间为开标时间起</w:t>
      </w:r>
      <w:r>
        <w:rPr>
          <w:rFonts w:hAnsi="宋体"/>
          <w:b/>
          <w:bCs/>
          <w:color w:val="auto"/>
          <w:sz w:val="24"/>
          <w:szCs w:val="24"/>
          <w:highlight w:val="none"/>
        </w:rPr>
        <w:t>30</w:t>
      </w:r>
      <w:r>
        <w:rPr>
          <w:rFonts w:hint="eastAsia" w:hAnsi="宋体"/>
          <w:b/>
          <w:bCs/>
          <w:color w:val="auto"/>
          <w:sz w:val="24"/>
          <w:szCs w:val="24"/>
          <w:highlight w:val="none"/>
        </w:rPr>
        <w:t>分钟内。若电子磋商响应文件解密失败，则由采购代理机构工作人员上传供应商提供的备份文件。</w:t>
      </w:r>
      <w:r>
        <w:rPr>
          <w:rFonts w:hint="eastAsia" w:hAnsi="宋体"/>
          <w:color w:val="auto"/>
          <w:sz w:val="24"/>
          <w:szCs w:val="24"/>
          <w:highlight w:val="none"/>
        </w:rPr>
        <w:t>备份文件（后缀名为</w:t>
      </w:r>
      <w:r>
        <w:rPr>
          <w:rFonts w:hAnsi="宋体"/>
          <w:color w:val="auto"/>
          <w:sz w:val="24"/>
          <w:szCs w:val="24"/>
          <w:highlight w:val="none"/>
        </w:rPr>
        <w:t>.bfbs</w:t>
      </w:r>
      <w:r>
        <w:rPr>
          <w:rFonts w:hint="eastAsia" w:hAnsi="宋体"/>
          <w:color w:val="auto"/>
          <w:sz w:val="24"/>
          <w:szCs w:val="24"/>
          <w:highlight w:val="none"/>
        </w:rPr>
        <w:t>）须存储在</w:t>
      </w:r>
      <w:r>
        <w:rPr>
          <w:rFonts w:hAnsi="宋体"/>
          <w:color w:val="auto"/>
          <w:sz w:val="24"/>
          <w:szCs w:val="24"/>
          <w:highlight w:val="none"/>
        </w:rPr>
        <w:t>U</w:t>
      </w:r>
      <w:r>
        <w:rPr>
          <w:rFonts w:hint="eastAsia" w:hAnsi="宋体"/>
          <w:color w:val="auto"/>
          <w:sz w:val="24"/>
          <w:szCs w:val="24"/>
          <w:highlight w:val="none"/>
        </w:rPr>
        <w:t>盘中，与上传的电子磋商响应文件一致，用信封进行密封并盖章</w:t>
      </w:r>
      <w:r>
        <w:rPr>
          <w:rFonts w:hint="eastAsia" w:hAnsi="宋体"/>
          <w:b/>
          <w:bCs/>
          <w:color w:val="auto"/>
          <w:sz w:val="24"/>
          <w:szCs w:val="24"/>
          <w:highlight w:val="none"/>
        </w:rPr>
        <w:t>（信封内仅需放入存储备份文件的</w:t>
      </w:r>
      <w:r>
        <w:rPr>
          <w:rFonts w:hAnsi="宋体"/>
          <w:b/>
          <w:bCs/>
          <w:color w:val="auto"/>
          <w:sz w:val="24"/>
          <w:szCs w:val="24"/>
          <w:highlight w:val="none"/>
        </w:rPr>
        <w:t>U</w:t>
      </w:r>
      <w:r>
        <w:rPr>
          <w:rFonts w:hint="eastAsia" w:hAnsi="宋体"/>
          <w:b/>
          <w:bCs/>
          <w:color w:val="auto"/>
          <w:sz w:val="24"/>
          <w:szCs w:val="24"/>
          <w:highlight w:val="none"/>
        </w:rPr>
        <w:t>盘）</w:t>
      </w:r>
      <w:r>
        <w:rPr>
          <w:rFonts w:hint="eastAsia" w:hAnsi="宋体"/>
          <w:color w:val="auto"/>
          <w:sz w:val="24"/>
          <w:szCs w:val="24"/>
          <w:highlight w:val="none"/>
        </w:rPr>
        <w:t>，由授权代表在磋商响应截止时间前递交至开标地点。</w:t>
      </w:r>
    </w:p>
    <w:p w14:paraId="06A596E3">
      <w:pPr>
        <w:pStyle w:val="15"/>
        <w:spacing w:line="360" w:lineRule="auto"/>
        <w:ind w:firstLine="480" w:firstLineChars="200"/>
        <w:rPr>
          <w:rFonts w:hAnsi="宋体" w:cs="Times New Roman"/>
          <w:color w:val="auto"/>
          <w:sz w:val="24"/>
          <w:szCs w:val="24"/>
          <w:highlight w:val="none"/>
        </w:rPr>
      </w:pPr>
      <w:r>
        <w:rPr>
          <w:rFonts w:hAnsi="宋体"/>
          <w:color w:val="auto"/>
          <w:sz w:val="24"/>
          <w:szCs w:val="24"/>
          <w:highlight w:val="none"/>
        </w:rPr>
        <w:t>4.3</w:t>
      </w:r>
      <w:r>
        <w:rPr>
          <w:rFonts w:hint="eastAsia" w:hAnsi="宋体"/>
          <w:color w:val="auto"/>
          <w:sz w:val="24"/>
          <w:szCs w:val="24"/>
          <w:highlight w:val="none"/>
        </w:rPr>
        <w:t>采购人按磋商文件规定的时间、地点公开开标。开标仪式由采购人或采购代理机构主持及有关人员参加。</w:t>
      </w:r>
    </w:p>
    <w:p w14:paraId="7A053886">
      <w:pPr>
        <w:pStyle w:val="57"/>
        <w:spacing w:before="0"/>
        <w:ind w:firstLine="480"/>
        <w:rPr>
          <w:rFonts w:ascii="宋体"/>
          <w:color w:val="auto"/>
          <w:highlight w:val="none"/>
        </w:rPr>
      </w:pPr>
      <w:r>
        <w:rPr>
          <w:rFonts w:ascii="宋体" w:hAnsi="宋体" w:cs="宋体"/>
          <w:color w:val="auto"/>
          <w:highlight w:val="none"/>
        </w:rPr>
        <w:t>4.4</w:t>
      </w:r>
      <w:r>
        <w:rPr>
          <w:rFonts w:hint="eastAsia" w:ascii="宋体" w:hAnsi="宋体" w:cs="宋体"/>
          <w:color w:val="auto"/>
          <w:highlight w:val="none"/>
        </w:rPr>
        <w:t>本项目为电子投标项目，供应商一般不需要参加现场投标和开标，若供应商需要指派授权代表递交备份文件，则授权代表应随身携带法定代表人授权书原件于</w:t>
      </w:r>
      <w:r>
        <w:rPr>
          <w:rFonts w:hint="eastAsia" w:hAnsi="宋体" w:cs="宋体"/>
          <w:color w:val="auto"/>
          <w:highlight w:val="none"/>
        </w:rPr>
        <w:t>磋商响应</w:t>
      </w:r>
      <w:r>
        <w:rPr>
          <w:rFonts w:hint="eastAsia" w:ascii="宋体" w:hAnsi="宋体" w:cs="宋体"/>
          <w:color w:val="auto"/>
          <w:highlight w:val="none"/>
        </w:rPr>
        <w:t>截止时间前到达开标地点递交备份文件。若电子磋商响应文件正常解锁，则</w:t>
      </w:r>
      <w:r>
        <w:rPr>
          <w:rFonts w:ascii="宋体" w:hAnsi="宋体" w:cs="宋体"/>
          <w:color w:val="auto"/>
          <w:highlight w:val="none"/>
        </w:rPr>
        <w:t>U</w:t>
      </w:r>
      <w:r>
        <w:rPr>
          <w:rFonts w:hint="eastAsia" w:ascii="宋体" w:hAnsi="宋体" w:cs="宋体"/>
          <w:color w:val="auto"/>
          <w:highlight w:val="none"/>
        </w:rPr>
        <w:t>盘退还给供应商；若解锁失败，则由采购代理机构将</w:t>
      </w:r>
      <w:r>
        <w:rPr>
          <w:rFonts w:ascii="宋体" w:hAnsi="宋体" w:cs="宋体"/>
          <w:color w:val="auto"/>
          <w:highlight w:val="none"/>
        </w:rPr>
        <w:t>U</w:t>
      </w:r>
      <w:r>
        <w:rPr>
          <w:rFonts w:hint="eastAsia" w:ascii="宋体" w:hAnsi="宋体" w:cs="宋体"/>
          <w:color w:val="auto"/>
          <w:highlight w:val="none"/>
        </w:rPr>
        <w:t>盘中的备份文件上传，该</w:t>
      </w:r>
      <w:r>
        <w:rPr>
          <w:rFonts w:ascii="宋体" w:hAnsi="宋体" w:cs="宋体"/>
          <w:color w:val="auto"/>
          <w:highlight w:val="none"/>
        </w:rPr>
        <w:t>U</w:t>
      </w:r>
      <w:r>
        <w:rPr>
          <w:rFonts w:hint="eastAsia" w:ascii="宋体" w:hAnsi="宋体" w:cs="宋体"/>
          <w:color w:val="auto"/>
          <w:highlight w:val="none"/>
        </w:rPr>
        <w:t>盘将由采购代理机构保存。</w:t>
      </w:r>
    </w:p>
    <w:p w14:paraId="4E378039">
      <w:pPr>
        <w:pStyle w:val="57"/>
        <w:spacing w:before="0"/>
        <w:ind w:firstLine="480"/>
        <w:rPr>
          <w:rFonts w:ascii="宋体"/>
          <w:color w:val="auto"/>
          <w:highlight w:val="none"/>
        </w:rPr>
      </w:pPr>
      <w:r>
        <w:rPr>
          <w:rFonts w:ascii="宋体" w:hAnsi="宋体" w:cs="宋体"/>
          <w:color w:val="auto"/>
          <w:highlight w:val="none"/>
        </w:rPr>
        <w:t>4.5</w:t>
      </w:r>
      <w:r>
        <w:rPr>
          <w:rFonts w:hint="eastAsia" w:ascii="宋体" w:hAnsi="宋体" w:cs="宋体"/>
          <w:color w:val="auto"/>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22D2C4E">
      <w:pPr>
        <w:spacing w:line="360" w:lineRule="auto"/>
        <w:ind w:firstLine="48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、组建磋商小组</w:t>
      </w:r>
    </w:p>
    <w:p w14:paraId="41614D82">
      <w:pPr>
        <w:pStyle w:val="57"/>
        <w:spacing w:before="0"/>
        <w:ind w:firstLine="480"/>
        <w:rPr>
          <w:rFonts w:ascii="宋体"/>
          <w:color w:val="auto"/>
          <w:highlight w:val="none"/>
        </w:rPr>
      </w:pPr>
      <w:r>
        <w:rPr>
          <w:rFonts w:ascii="宋体" w:hAnsi="宋体" w:cs="宋体"/>
          <w:color w:val="auto"/>
          <w:highlight w:val="none"/>
        </w:rPr>
        <w:t>5.1</w:t>
      </w:r>
      <w:r>
        <w:rPr>
          <w:rFonts w:hint="eastAsia" w:ascii="宋体" w:hAnsi="宋体" w:cs="宋体"/>
          <w:color w:val="auto"/>
          <w:highlight w:val="none"/>
        </w:rPr>
        <w:t>磋商小组由采购人代表和评审专家共</w:t>
      </w:r>
      <w:r>
        <w:rPr>
          <w:rFonts w:ascii="宋体" w:hAnsi="宋体" w:cs="宋体"/>
          <w:color w:val="auto"/>
          <w:highlight w:val="none"/>
        </w:rPr>
        <w:t>3</w:t>
      </w:r>
      <w:r>
        <w:rPr>
          <w:rFonts w:hint="eastAsia" w:ascii="宋体" w:hAnsi="宋体" w:cs="宋体"/>
          <w:color w:val="auto"/>
          <w:highlight w:val="none"/>
        </w:rPr>
        <w:t>人或以上单数组成，其中评审专家人数不少于磋商小组成员总数的</w:t>
      </w:r>
      <w:r>
        <w:rPr>
          <w:rFonts w:ascii="宋体" w:hAnsi="宋体" w:cs="宋体"/>
          <w:color w:val="auto"/>
          <w:highlight w:val="none"/>
        </w:rPr>
        <w:t>2/3</w:t>
      </w:r>
      <w:r>
        <w:rPr>
          <w:rFonts w:hint="eastAsia" w:ascii="宋体" w:hAnsi="宋体" w:cs="宋体"/>
          <w:color w:val="auto"/>
          <w:highlight w:val="none"/>
        </w:rPr>
        <w:t>。</w:t>
      </w:r>
    </w:p>
    <w:p w14:paraId="7B0D9F5C">
      <w:pPr>
        <w:pStyle w:val="57"/>
        <w:tabs>
          <w:tab w:val="left" w:pos="0"/>
        </w:tabs>
        <w:spacing w:before="0"/>
        <w:ind w:firstLine="480"/>
        <w:rPr>
          <w:rFonts w:ascii="宋体"/>
          <w:color w:val="auto"/>
          <w:highlight w:val="none"/>
          <w:lang w:val="zh-CN"/>
        </w:rPr>
      </w:pPr>
      <w:r>
        <w:rPr>
          <w:rFonts w:ascii="宋体" w:hAnsi="宋体" w:cs="宋体"/>
          <w:color w:val="auto"/>
          <w:highlight w:val="none"/>
        </w:rPr>
        <w:t>5.2</w:t>
      </w:r>
      <w:r>
        <w:rPr>
          <w:rFonts w:hint="eastAsia" w:ascii="宋体" w:hAnsi="宋体" w:cs="宋体"/>
          <w:color w:val="auto"/>
          <w:highlight w:val="none"/>
          <w:lang w:val="zh-CN"/>
        </w:rPr>
        <w:t>评标工作由评标委员会负责，并推选产生的组长主持；</w:t>
      </w:r>
    </w:p>
    <w:p w14:paraId="799979E5">
      <w:pPr>
        <w:pStyle w:val="6"/>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5.3</w:t>
      </w:r>
      <w:r>
        <w:rPr>
          <w:rFonts w:hint="eastAsia" w:ascii="宋体" w:hAnsi="宋体" w:cs="宋体"/>
          <w:color w:val="auto"/>
          <w:sz w:val="24"/>
          <w:szCs w:val="24"/>
          <w:highlight w:val="none"/>
          <w:lang w:val="zh-CN"/>
        </w:rPr>
        <w:t>本次评标为在线评标。</w:t>
      </w:r>
    </w:p>
    <w:p w14:paraId="302B9052">
      <w:pPr>
        <w:pStyle w:val="5"/>
        <w:numPr>
          <w:ilvl w:val="0"/>
          <w:numId w:val="16"/>
        </w:numPr>
        <w:jc w:val="center"/>
        <w:rPr>
          <w:rFonts w:cs="Times New Roman"/>
          <w:color w:val="auto"/>
          <w:highlight w:val="none"/>
        </w:rPr>
      </w:pPr>
      <w:r>
        <w:rPr>
          <w:color w:val="auto"/>
          <w:highlight w:val="none"/>
        </w:rPr>
        <w:t xml:space="preserve"> </w:t>
      </w:r>
      <w:bookmarkStart w:id="81" w:name="_Toc10093"/>
      <w:bookmarkStart w:id="82" w:name="_Toc9591"/>
      <w:r>
        <w:rPr>
          <w:rFonts w:hint="eastAsia"/>
          <w:color w:val="auto"/>
          <w:highlight w:val="none"/>
        </w:rPr>
        <w:t>磋商程序</w:t>
      </w:r>
      <w:bookmarkEnd w:id="81"/>
      <w:bookmarkEnd w:id="82"/>
    </w:p>
    <w:p w14:paraId="3E286100">
      <w:pPr>
        <w:snapToGrid w:val="0"/>
        <w:spacing w:line="360" w:lineRule="auto"/>
        <w:ind w:firstLine="480"/>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、对所有响应文件的初审</w:t>
      </w:r>
    </w:p>
    <w:p w14:paraId="273FD265">
      <w:pPr>
        <w:adjustRightInd w:val="0"/>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资格审查</w:t>
      </w:r>
    </w:p>
    <w:p w14:paraId="79186D51">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）开标后，磋商小组将依法对供应商的资格进行审查。</w:t>
      </w:r>
    </w:p>
    <w:p w14:paraId="11F46710">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）磋商小组依据法律法规和磋商文件的规定，对供应商的基本资格条件、特定资格条件进行审查。</w:t>
      </w:r>
    </w:p>
    <w:p w14:paraId="2AF49722">
      <w:pPr>
        <w:adjustRightInd w:val="0"/>
        <w:snapToGrid w:val="0"/>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）供应商未按照磋商文件要求提供与基本资格条件、特定资格条件相应的有效资格证明材料的，视为供应商不具备磋商文件中规定的资格要求，其磋商无效。并将无效原由告知相关供应商</w:t>
      </w:r>
      <w:r>
        <w:rPr>
          <w:rFonts w:ascii="宋体" w:cs="宋体"/>
          <w:color w:val="auto"/>
          <w:sz w:val="24"/>
          <w:szCs w:val="24"/>
          <w:highlight w:val="none"/>
        </w:rPr>
        <w:t>.</w:t>
      </w:r>
    </w:p>
    <w:p w14:paraId="13A96D5F">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）采购人或采购代理机构将通过“信用中国”网站</w:t>
      </w:r>
      <w:r>
        <w:rPr>
          <w:rFonts w:ascii="宋体" w:hAnsi="宋体" w:cs="宋体"/>
          <w:color w:val="auto"/>
          <w:sz w:val="24"/>
          <w:szCs w:val="24"/>
          <w:highlight w:val="none"/>
        </w:rPr>
        <w:t>(www.creditchina.gov.cn)</w:t>
      </w:r>
      <w:r>
        <w:rPr>
          <w:rFonts w:hint="eastAsia" w:ascii="宋体" w:hAnsi="宋体" w:cs="宋体"/>
          <w:color w:val="auto"/>
          <w:sz w:val="24"/>
          <w:szCs w:val="24"/>
          <w:highlight w:val="none"/>
        </w:rPr>
        <w:t>、中国政府采购网</w:t>
      </w:r>
      <w:r>
        <w:rPr>
          <w:rFonts w:ascii="宋体" w:hAnsi="宋体" w:cs="宋体"/>
          <w:color w:val="auto"/>
          <w:sz w:val="24"/>
          <w:szCs w:val="24"/>
          <w:highlight w:val="none"/>
        </w:rPr>
        <w:t>(www.ccgp.gov.cn)</w:t>
      </w:r>
      <w:r>
        <w:rPr>
          <w:rFonts w:hint="eastAsia" w:ascii="宋体" w:hAnsi="宋体" w:cs="宋体"/>
          <w:color w:val="auto"/>
          <w:sz w:val="24"/>
          <w:szCs w:val="24"/>
          <w:highlight w:val="none"/>
        </w:rPr>
        <w:t>渠道查询供应商磋商开标后评标前的信用记录，经查询供应商列入失信被执行人名单、</w:t>
      </w:r>
      <w:r>
        <w:rPr>
          <w:rFonts w:hint="eastAsia" w:ascii="宋体" w:hAnsi="宋体" w:cs="宋体"/>
          <w:color w:val="auto"/>
          <w:sz w:val="24"/>
          <w:szCs w:val="24"/>
          <w:highlight w:val="none"/>
          <w:lang w:eastAsia="zh-CN"/>
        </w:rPr>
        <w:t>重大税收违法失信主体</w:t>
      </w:r>
      <w:r>
        <w:rPr>
          <w:rFonts w:hint="eastAsia" w:ascii="宋体" w:hAnsi="宋体" w:cs="宋体"/>
          <w:color w:val="auto"/>
          <w:sz w:val="24"/>
          <w:szCs w:val="24"/>
          <w:highlight w:val="none"/>
        </w:rPr>
        <w:t>、政府采购严重违法失信行为记录名单的，其磋商无效。</w:t>
      </w:r>
    </w:p>
    <w:p w14:paraId="146A9C01">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）磋商小组出具《供应商资格审查意见表》，供应商未按照磋商文件要求提供与基本资格条件、特定资格条件相应的有效资格证明材料的，视为供应商不具备磋商文件中规定的资格要求，其磋商无效。</w:t>
      </w:r>
    </w:p>
    <w:p w14:paraId="37BE9815">
      <w:pPr>
        <w:adjustRightInd w:val="0"/>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rPr>
        <w:t>符合性审查：磋商小组依据磋商文件的规定，从响应文件的有效性、完整性和对磋商文件的响应程度进行审查，以确定是否对磋商文件的要求作出实质性响应。出现以下情况的，视为符合性不通过，磋商无效。</w:t>
      </w:r>
    </w:p>
    <w:p w14:paraId="38D96FE2">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）响应文件无法定代表人或其委托授权代表签名或盖章。</w:t>
      </w:r>
    </w:p>
    <w:p w14:paraId="2ADE296B">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）响应文件内容虚假的。</w:t>
      </w:r>
    </w:p>
    <w:p w14:paraId="0CC2C87E">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）响应文件有采购人不能接受的附加条件的。</w:t>
      </w:r>
    </w:p>
    <w:p w14:paraId="68C2EFA1">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）磋商有效期、服务期等商务条款不能满足磋商文件要求的。</w:t>
      </w:r>
    </w:p>
    <w:p w14:paraId="1EB18A93">
      <w:pPr>
        <w:widowControl/>
        <w:spacing w:line="360" w:lineRule="auto"/>
        <w:ind w:firstLine="482"/>
        <w:jc w:val="left"/>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）投标价格超出预算或最高限价，导致采购单位无法支付的。</w:t>
      </w:r>
    </w:p>
    <w:p w14:paraId="17969CE1">
      <w:pPr>
        <w:widowControl/>
        <w:spacing w:line="360" w:lineRule="auto"/>
        <w:ind w:firstLine="482"/>
        <w:jc w:val="left"/>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）磋商文件明确规定的其他无效条款的。</w:t>
      </w:r>
    </w:p>
    <w:p w14:paraId="5558154A">
      <w:pPr>
        <w:adjustRightInd w:val="0"/>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1.3 </w:t>
      </w:r>
      <w:r>
        <w:rPr>
          <w:rFonts w:hint="eastAsia" w:ascii="宋体" w:hAnsi="宋体" w:cs="宋体"/>
          <w:color w:val="auto"/>
          <w:sz w:val="24"/>
          <w:szCs w:val="24"/>
          <w:highlight w:val="none"/>
        </w:rPr>
        <w:t>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EAA2E2D">
      <w:pPr>
        <w:pStyle w:val="57"/>
        <w:tabs>
          <w:tab w:val="left" w:pos="0"/>
        </w:tabs>
        <w:spacing w:before="0"/>
        <w:ind w:firstLine="480"/>
        <w:rPr>
          <w:rFonts w:ascii="宋体"/>
          <w:color w:val="auto"/>
          <w:highlight w:val="none"/>
        </w:rPr>
      </w:pPr>
      <w:r>
        <w:rPr>
          <w:rFonts w:ascii="宋体" w:hAnsi="宋体" w:cs="宋体"/>
          <w:color w:val="auto"/>
          <w:highlight w:val="none"/>
        </w:rPr>
        <w:t>1.4</w:t>
      </w:r>
      <w:r>
        <w:rPr>
          <w:rFonts w:hint="eastAsia" w:ascii="宋体" w:hAnsi="宋体" w:cs="宋体"/>
          <w:color w:val="auto"/>
          <w:highlight w:val="none"/>
        </w:rPr>
        <w:t>磋商小组要求供应商澄清、说明或者更正响应文件应当以书面形式发出。供应商的澄清、说明或者更正应当由法定代表人或其授权代表签字或者加盖公章。由授权代表签字的，应当附法定代表人授权书。</w:t>
      </w:r>
    </w:p>
    <w:p w14:paraId="65218D7C">
      <w:pPr>
        <w:snapToGrid w:val="0"/>
        <w:spacing w:line="360" w:lineRule="auto"/>
        <w:ind w:firstLine="480"/>
        <w:rPr>
          <w:rFonts w:ascii="宋体"/>
          <w:b/>
          <w:bCs/>
          <w:color w:val="auto"/>
          <w:sz w:val="24"/>
          <w:szCs w:val="24"/>
          <w:highlight w:val="none"/>
          <w:lang w:val="zh-CN"/>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lang w:val="zh-CN"/>
        </w:rPr>
        <w:t>、磋商</w:t>
      </w:r>
    </w:p>
    <w:p w14:paraId="62E509E2">
      <w:pPr>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2.1 </w:t>
      </w:r>
      <w:r>
        <w:rPr>
          <w:rFonts w:hint="eastAsia" w:ascii="宋体" w:hAnsi="宋体" w:cs="宋体"/>
          <w:color w:val="auto"/>
          <w:sz w:val="24"/>
          <w:szCs w:val="24"/>
          <w:highlight w:val="none"/>
        </w:rPr>
        <w:t>初审合格的供应商进入下一步的磋商活动。</w:t>
      </w:r>
    </w:p>
    <w:p w14:paraId="2E47E6B7">
      <w:pPr>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2.2 </w:t>
      </w:r>
      <w:r>
        <w:rPr>
          <w:rFonts w:hint="eastAsia" w:ascii="宋体" w:hAnsi="宋体" w:cs="宋体"/>
          <w:color w:val="auto"/>
          <w:sz w:val="24"/>
          <w:szCs w:val="24"/>
          <w:highlight w:val="none"/>
        </w:rPr>
        <w:t>磋商小组所有成员应当集中与单一供应商分别进行磋商，并给予所有参加磋商的供应商平等的磋商机会。</w:t>
      </w:r>
    </w:p>
    <w:p w14:paraId="5E052DDB">
      <w:pPr>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2.3 </w:t>
      </w:r>
      <w:r>
        <w:rPr>
          <w:rFonts w:hint="eastAsia" w:ascii="宋体" w:hAnsi="宋体" w:cs="宋体"/>
          <w:color w:val="auto"/>
          <w:sz w:val="24"/>
          <w:szCs w:val="24"/>
          <w:highlight w:val="none"/>
        </w:rPr>
        <w:t>以递交响应文件的时间先后决定磋商顺序。磋商时先听取由供应商拟派的项目负责人就项目采购的重点内容进行磋商，磋商过程中由磋商小组成员提出相关问题，并由供应商拟派项目负责人进行回复与承诺。</w:t>
      </w:r>
      <w:r>
        <w:rPr>
          <w:rFonts w:ascii="宋体" w:hAnsi="宋体" w:cs="宋体"/>
          <w:color w:val="auto"/>
          <w:sz w:val="24"/>
          <w:szCs w:val="24"/>
          <w:highlight w:val="none"/>
        </w:rPr>
        <w:t xml:space="preserve"> </w:t>
      </w:r>
    </w:p>
    <w:p w14:paraId="62423CE2">
      <w:pPr>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2.4 </w:t>
      </w:r>
      <w:r>
        <w:rPr>
          <w:rFonts w:hint="eastAsia" w:ascii="宋体" w:hAnsi="宋体" w:cs="宋体"/>
          <w:color w:val="auto"/>
          <w:sz w:val="24"/>
          <w:szCs w:val="24"/>
          <w:highlight w:val="none"/>
        </w:rPr>
        <w:t>在磋商过程中，磋商小组可以根据磋商文件和磋商情况实质性变动采购需求中的技术、服务要求以及合同草案条款。实质性变动的内容，须经采购人代表确认。</w:t>
      </w:r>
    </w:p>
    <w:p w14:paraId="1169ED63">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2.5 </w:t>
      </w:r>
      <w:r>
        <w:rPr>
          <w:rFonts w:hint="eastAsia" w:ascii="宋体" w:hAnsi="宋体" w:cs="宋体"/>
          <w:color w:val="auto"/>
          <w:sz w:val="24"/>
          <w:szCs w:val="24"/>
          <w:highlight w:val="none"/>
        </w:rPr>
        <w:t>磋商文件作出的实质性变动是磋商文件的有效组成部分，磋商小组应当及时以书面形式同时通知所有参加磋商的供应商。</w:t>
      </w:r>
    </w:p>
    <w:p w14:paraId="008FB1F1">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2.6 </w:t>
      </w:r>
      <w:r>
        <w:rPr>
          <w:rFonts w:hint="eastAsia" w:ascii="宋体" w:hAnsi="宋体" w:cs="宋体"/>
          <w:color w:val="auto"/>
          <w:sz w:val="24"/>
          <w:szCs w:val="24"/>
          <w:highlight w:val="none"/>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20D761E9">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2.7 </w:t>
      </w:r>
      <w:r>
        <w:rPr>
          <w:rFonts w:hint="eastAsia" w:ascii="宋体" w:hAnsi="宋体" w:cs="宋体"/>
          <w:color w:val="auto"/>
          <w:sz w:val="24"/>
          <w:szCs w:val="24"/>
          <w:highlight w:val="none"/>
        </w:rPr>
        <w:t>符合《政府采购竞争性磋商采购方式管理暂行办法》（财库〔</w:t>
      </w:r>
      <w:r>
        <w:rPr>
          <w:rFonts w:ascii="宋体" w:hAnsi="宋体" w:cs="宋体"/>
          <w:color w:val="auto"/>
          <w:sz w:val="24"/>
          <w:szCs w:val="24"/>
          <w:highlight w:val="none"/>
        </w:rPr>
        <w:t>2014</w:t>
      </w:r>
      <w:r>
        <w:rPr>
          <w:rFonts w:hint="eastAsia" w:ascii="宋体" w:hAnsi="宋体" w:cs="宋体"/>
          <w:color w:val="auto"/>
          <w:sz w:val="24"/>
          <w:szCs w:val="24"/>
          <w:highlight w:val="none"/>
        </w:rPr>
        <w:t>〕</w:t>
      </w:r>
      <w:r>
        <w:rPr>
          <w:rFonts w:ascii="宋体" w:hAnsi="宋体" w:cs="宋体"/>
          <w:color w:val="auto"/>
          <w:sz w:val="24"/>
          <w:szCs w:val="24"/>
          <w:highlight w:val="none"/>
        </w:rPr>
        <w:t>214</w:t>
      </w:r>
      <w:r>
        <w:rPr>
          <w:rFonts w:hint="eastAsia" w:ascii="宋体" w:hAnsi="宋体" w:cs="宋体"/>
          <w:color w:val="auto"/>
          <w:sz w:val="24"/>
          <w:szCs w:val="24"/>
          <w:highlight w:val="none"/>
        </w:rPr>
        <w:t>号）第三条第四项即“市场竞争不充分的科研项目，以及需要扶持的科技成果转化项目”情形的，提交最后报价的供应商可以为</w:t>
      </w:r>
      <w:r>
        <w:rPr>
          <w:rFonts w:ascii="宋体" w:hAnsi="宋体" w:cs="宋体"/>
          <w:color w:val="auto"/>
          <w:sz w:val="24"/>
          <w:szCs w:val="24"/>
          <w:highlight w:val="none"/>
        </w:rPr>
        <w:t>2</w:t>
      </w:r>
      <w:r>
        <w:rPr>
          <w:rFonts w:hint="eastAsia" w:ascii="宋体" w:hAnsi="宋体" w:cs="宋体"/>
          <w:color w:val="auto"/>
          <w:sz w:val="24"/>
          <w:szCs w:val="24"/>
          <w:highlight w:val="none"/>
        </w:rPr>
        <w:t>家。</w:t>
      </w:r>
    </w:p>
    <w:p w14:paraId="39D3DDA4">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2.8 </w:t>
      </w:r>
      <w:r>
        <w:rPr>
          <w:rFonts w:hint="eastAsia" w:ascii="宋体" w:hAnsi="宋体" w:cs="宋体"/>
          <w:color w:val="auto"/>
          <w:sz w:val="24"/>
          <w:szCs w:val="24"/>
          <w:highlight w:val="none"/>
        </w:rPr>
        <w:t>采用竞争性磋商采购方式采购的政府购买服务项目（含政府和社会资本合作项目），在采购过程中符合要求的供应商（社会资本）只有</w:t>
      </w:r>
      <w:r>
        <w:rPr>
          <w:rFonts w:ascii="宋体" w:hAnsi="宋体" w:cs="宋体"/>
          <w:color w:val="auto"/>
          <w:sz w:val="24"/>
          <w:szCs w:val="24"/>
          <w:highlight w:val="none"/>
        </w:rPr>
        <w:t>2</w:t>
      </w:r>
      <w:r>
        <w:rPr>
          <w:rFonts w:hint="eastAsia" w:ascii="宋体" w:hAnsi="宋体" w:cs="宋体"/>
          <w:color w:val="auto"/>
          <w:sz w:val="24"/>
          <w:szCs w:val="24"/>
          <w:highlight w:val="none"/>
        </w:rPr>
        <w:t>家的，竞争性磋商采购活动可以继续进行。采购过程中符合要求的供应商（社会资本）只有</w:t>
      </w:r>
      <w:r>
        <w:rPr>
          <w:rFonts w:ascii="宋体" w:hAnsi="宋体" w:cs="宋体"/>
          <w:color w:val="auto"/>
          <w:sz w:val="24"/>
          <w:szCs w:val="24"/>
          <w:highlight w:val="none"/>
        </w:rPr>
        <w:t>1</w:t>
      </w:r>
      <w:r>
        <w:rPr>
          <w:rFonts w:hint="eastAsia" w:ascii="宋体" w:hAnsi="宋体" w:cs="宋体"/>
          <w:color w:val="auto"/>
          <w:sz w:val="24"/>
          <w:szCs w:val="24"/>
          <w:highlight w:val="none"/>
        </w:rPr>
        <w:t>家的，采购人（项目实施机构）或者采购代理机构应当终止竞争性磋商采购活动，发布项目终止公告并说明原因，重新开展采购活动。</w:t>
      </w:r>
    </w:p>
    <w:p w14:paraId="4693A457">
      <w:pPr>
        <w:snapToGrid w:val="0"/>
        <w:spacing w:line="360" w:lineRule="auto"/>
        <w:ind w:firstLine="480"/>
        <w:rPr>
          <w:rFonts w:ascii="宋体"/>
          <w:b/>
          <w:bCs/>
          <w:color w:val="auto"/>
          <w:sz w:val="24"/>
          <w:szCs w:val="24"/>
          <w:highlight w:val="none"/>
          <w:lang w:val="zh-CN"/>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lang w:val="zh-CN"/>
        </w:rPr>
        <w:t>、最后报价</w:t>
      </w:r>
    </w:p>
    <w:p w14:paraId="2C073E76">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3.1</w:t>
      </w:r>
      <w:r>
        <w:rPr>
          <w:rFonts w:hint="eastAsia" w:ascii="宋体" w:hAnsi="宋体" w:cs="宋体"/>
          <w:color w:val="auto"/>
          <w:sz w:val="24"/>
          <w:szCs w:val="24"/>
          <w:highlight w:val="none"/>
        </w:rPr>
        <w:t>商务技术汇总后，供应商开启报价文件，磋商小组应当要求所有实质性响应的供应商在规定时间内提交最后报价。</w:t>
      </w:r>
    </w:p>
    <w:p w14:paraId="531C58B7">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3.2</w:t>
      </w:r>
      <w:r>
        <w:rPr>
          <w:rFonts w:hint="eastAsia" w:ascii="宋体" w:hAnsi="宋体" w:cs="宋体"/>
          <w:color w:val="auto"/>
          <w:sz w:val="24"/>
          <w:szCs w:val="24"/>
          <w:highlight w:val="none"/>
        </w:rPr>
        <w:t>最后报价是供应商响应文件的有效组成部分，若最后报价高于响应文件报价文件报价，则以第一次报价计入评分。</w:t>
      </w:r>
    </w:p>
    <w:p w14:paraId="3692E38E">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3.3</w:t>
      </w:r>
      <w:r>
        <w:rPr>
          <w:rFonts w:hint="eastAsia" w:ascii="宋体" w:hAnsi="宋体" w:cs="宋体"/>
          <w:color w:val="auto"/>
          <w:sz w:val="24"/>
          <w:szCs w:val="24"/>
          <w:highlight w:val="none"/>
        </w:rPr>
        <w:t>已提交响应文件的供应商，在提交最后报价之前，若因磋商文件实质性变动导致供应商无法满足采购需求的，允许供应商退出磋商。</w:t>
      </w:r>
    </w:p>
    <w:p w14:paraId="6DAD0355">
      <w:pPr>
        <w:pStyle w:val="6"/>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、电子评标</w:t>
      </w:r>
    </w:p>
    <w:p w14:paraId="5B679522">
      <w:pPr>
        <w:pStyle w:val="6"/>
        <w:spacing w:line="360" w:lineRule="auto"/>
        <w:ind w:firstLine="0"/>
        <w:rPr>
          <w:rFonts w:ascii="宋体"/>
          <w:color w:val="auto"/>
          <w:sz w:val="24"/>
          <w:szCs w:val="24"/>
          <w:highlight w:val="none"/>
        </w:rPr>
      </w:pPr>
      <w:r>
        <w:rPr>
          <w:rFonts w:ascii="宋体" w:hAnsi="宋体" w:cs="宋体"/>
          <w:color w:val="auto"/>
          <w:sz w:val="24"/>
          <w:szCs w:val="24"/>
          <w:highlight w:val="none"/>
        </w:rPr>
        <w:t xml:space="preserve">    4.1</w:t>
      </w:r>
      <w:r>
        <w:rPr>
          <w:rFonts w:hint="eastAsia" w:ascii="宋体" w:hAnsi="宋体" w:cs="宋体"/>
          <w:color w:val="auto"/>
          <w:sz w:val="24"/>
          <w:szCs w:val="24"/>
          <w:highlight w:val="none"/>
        </w:rPr>
        <w:t>磋商活动由采购代理机构主持</w:t>
      </w:r>
      <w:r>
        <w:rPr>
          <w:rFonts w:ascii="宋体" w:cs="宋体"/>
          <w:color w:val="auto"/>
          <w:sz w:val="24"/>
          <w:szCs w:val="24"/>
          <w:highlight w:val="none"/>
        </w:rPr>
        <w:t>,</w:t>
      </w:r>
      <w:r>
        <w:rPr>
          <w:rFonts w:hint="eastAsia" w:ascii="宋体" w:hAnsi="宋体" w:cs="宋体"/>
          <w:color w:val="auto"/>
          <w:sz w:val="24"/>
          <w:szCs w:val="24"/>
          <w:highlight w:val="none"/>
        </w:rPr>
        <w:t>磋商响应截止时间后</w:t>
      </w:r>
      <w:r>
        <w:rPr>
          <w:rFonts w:ascii="宋体" w:cs="宋体"/>
          <w:color w:val="auto"/>
          <w:sz w:val="24"/>
          <w:szCs w:val="24"/>
          <w:highlight w:val="none"/>
        </w:rPr>
        <w:t>,</w:t>
      </w:r>
      <w:r>
        <w:rPr>
          <w:rFonts w:hint="eastAsia" w:ascii="宋体" w:hAnsi="宋体" w:cs="宋体"/>
          <w:color w:val="auto"/>
          <w:sz w:val="24"/>
          <w:szCs w:val="24"/>
          <w:highlight w:val="none"/>
        </w:rPr>
        <w:t>供应商登录政采云平台对电子响应文件进行在线解密；</w:t>
      </w:r>
    </w:p>
    <w:p w14:paraId="3B393C27">
      <w:pPr>
        <w:pStyle w:val="6"/>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4.2</w:t>
      </w:r>
      <w:r>
        <w:rPr>
          <w:rFonts w:hint="eastAsia" w:ascii="宋体" w:hAnsi="宋体" w:cs="宋体"/>
          <w:color w:val="auto"/>
          <w:sz w:val="24"/>
          <w:szCs w:val="24"/>
          <w:highlight w:val="none"/>
        </w:rPr>
        <w:t>响应文件解密结束</w:t>
      </w:r>
      <w:r>
        <w:rPr>
          <w:rFonts w:ascii="宋体" w:cs="宋体"/>
          <w:color w:val="auto"/>
          <w:sz w:val="24"/>
          <w:szCs w:val="24"/>
          <w:highlight w:val="none"/>
        </w:rPr>
        <w:t>,</w:t>
      </w:r>
      <w:r>
        <w:rPr>
          <w:rFonts w:hint="eastAsia" w:ascii="宋体" w:hAnsi="宋体" w:cs="宋体"/>
          <w:color w:val="auto"/>
          <w:sz w:val="24"/>
          <w:szCs w:val="24"/>
          <w:highlight w:val="none"/>
        </w:rPr>
        <w:t>开启响应文件</w:t>
      </w:r>
      <w:r>
        <w:rPr>
          <w:rFonts w:ascii="宋体" w:cs="宋体"/>
          <w:color w:val="auto"/>
          <w:sz w:val="24"/>
          <w:szCs w:val="24"/>
          <w:highlight w:val="none"/>
        </w:rPr>
        <w:t>,</w:t>
      </w:r>
      <w:r>
        <w:rPr>
          <w:rFonts w:hint="eastAsia" w:ascii="宋体" w:hAnsi="宋体" w:cs="宋体"/>
          <w:color w:val="auto"/>
          <w:sz w:val="24"/>
          <w:szCs w:val="24"/>
          <w:highlight w:val="none"/>
        </w:rPr>
        <w:t>磋商小组对资格和商务技术响应文件进行资格审查和符合性审查；</w:t>
      </w:r>
    </w:p>
    <w:p w14:paraId="08F1CD96">
      <w:pPr>
        <w:pStyle w:val="6"/>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4.3</w:t>
      </w:r>
      <w:r>
        <w:rPr>
          <w:rFonts w:hint="eastAsia" w:ascii="宋体" w:hAnsi="宋体" w:cs="宋体"/>
          <w:color w:val="auto"/>
          <w:sz w:val="24"/>
          <w:szCs w:val="24"/>
          <w:highlight w:val="none"/>
        </w:rPr>
        <w:t>供应商按递交磋商响应文件的前后顺序决定磋商的顺序</w:t>
      </w:r>
      <w:r>
        <w:rPr>
          <w:rFonts w:ascii="宋体" w:cs="宋体"/>
          <w:color w:val="auto"/>
          <w:sz w:val="24"/>
          <w:szCs w:val="24"/>
          <w:highlight w:val="none"/>
        </w:rPr>
        <w:t>,</w:t>
      </w:r>
      <w:r>
        <w:rPr>
          <w:rFonts w:hint="eastAsia" w:ascii="宋体" w:hAnsi="宋体" w:cs="宋体"/>
          <w:color w:val="auto"/>
          <w:sz w:val="24"/>
          <w:szCs w:val="24"/>
          <w:highlight w:val="none"/>
        </w:rPr>
        <w:t>就价格、服务等认为需要磋商的内容进行磋商</w:t>
      </w:r>
      <w:r>
        <w:rPr>
          <w:rFonts w:ascii="宋体" w:cs="宋体"/>
          <w:color w:val="auto"/>
          <w:sz w:val="24"/>
          <w:szCs w:val="24"/>
          <w:highlight w:val="none"/>
        </w:rPr>
        <w:t>,</w:t>
      </w:r>
      <w:r>
        <w:rPr>
          <w:rFonts w:hint="eastAsia" w:ascii="宋体" w:hAnsi="宋体" w:cs="宋体"/>
          <w:color w:val="auto"/>
          <w:sz w:val="24"/>
          <w:szCs w:val="24"/>
          <w:highlight w:val="none"/>
        </w:rPr>
        <w:t>供应商逐家回答磋商小组的提问</w:t>
      </w:r>
      <w:r>
        <w:rPr>
          <w:rFonts w:ascii="宋体" w:cs="宋体"/>
          <w:color w:val="auto"/>
          <w:sz w:val="24"/>
          <w:szCs w:val="24"/>
          <w:highlight w:val="none"/>
        </w:rPr>
        <w:t>,</w:t>
      </w:r>
      <w:r>
        <w:rPr>
          <w:rFonts w:hint="eastAsia" w:ascii="宋体" w:hAnsi="宋体" w:cs="宋体"/>
          <w:color w:val="auto"/>
          <w:sz w:val="24"/>
          <w:szCs w:val="24"/>
          <w:highlight w:val="none"/>
        </w:rPr>
        <w:t>供应商作出最终承诺；</w:t>
      </w:r>
    </w:p>
    <w:p w14:paraId="5E5FF857">
      <w:pPr>
        <w:pStyle w:val="6"/>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4.4</w:t>
      </w:r>
      <w:r>
        <w:rPr>
          <w:rFonts w:hint="eastAsia" w:ascii="宋体" w:hAnsi="宋体" w:cs="宋体"/>
          <w:color w:val="auto"/>
          <w:sz w:val="24"/>
          <w:szCs w:val="24"/>
          <w:highlight w:val="none"/>
        </w:rPr>
        <w:t>磋商小组对商务技术响应文件进行评审；</w:t>
      </w:r>
    </w:p>
    <w:p w14:paraId="4F3C9087">
      <w:pPr>
        <w:pStyle w:val="6"/>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4.5</w:t>
      </w:r>
      <w:r>
        <w:rPr>
          <w:rFonts w:hint="eastAsia" w:ascii="宋体" w:hAnsi="宋体" w:cs="宋体"/>
          <w:color w:val="auto"/>
          <w:sz w:val="24"/>
          <w:szCs w:val="24"/>
          <w:highlight w:val="none"/>
        </w:rPr>
        <w:t>商务技术汇总后，供应商开启报价文件，进行磋商二次报价（最终报价），</w:t>
      </w:r>
      <w:r>
        <w:rPr>
          <w:rFonts w:hint="eastAsia" w:ascii="宋体" w:hAnsi="宋体" w:cs="宋体"/>
          <w:b/>
          <w:bCs/>
          <w:color w:val="auto"/>
          <w:sz w:val="24"/>
          <w:szCs w:val="24"/>
          <w:highlight w:val="none"/>
        </w:rPr>
        <w:t>如果供应商在规定时间</w:t>
      </w:r>
      <w:r>
        <w:rPr>
          <w:rFonts w:ascii="宋体" w:hAnsi="宋体" w:cs="宋体"/>
          <w:b/>
          <w:bCs/>
          <w:color w:val="auto"/>
          <w:sz w:val="24"/>
          <w:szCs w:val="24"/>
          <w:highlight w:val="none"/>
        </w:rPr>
        <w:t>30</w:t>
      </w:r>
      <w:r>
        <w:rPr>
          <w:rFonts w:hint="eastAsia" w:ascii="宋体" w:hAnsi="宋体" w:cs="宋体"/>
          <w:b/>
          <w:bCs/>
          <w:color w:val="auto"/>
          <w:sz w:val="24"/>
          <w:szCs w:val="24"/>
          <w:highlight w:val="none"/>
        </w:rPr>
        <w:t>分钟内未提交第二次报价，视该供应商放弃本次投标，作无效标处理</w:t>
      </w:r>
      <w:r>
        <w:rPr>
          <w:rFonts w:hint="eastAsia" w:ascii="宋体" w:hAnsi="宋体" w:cs="宋体"/>
          <w:color w:val="auto"/>
          <w:sz w:val="24"/>
          <w:szCs w:val="24"/>
          <w:highlight w:val="none"/>
        </w:rPr>
        <w:t>；</w:t>
      </w:r>
    </w:p>
    <w:p w14:paraId="1ECB2265">
      <w:pPr>
        <w:pStyle w:val="6"/>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4.6</w:t>
      </w:r>
      <w:r>
        <w:rPr>
          <w:rFonts w:hint="eastAsia" w:ascii="宋体" w:hAnsi="宋体" w:cs="宋体"/>
          <w:color w:val="auto"/>
          <w:sz w:val="24"/>
          <w:szCs w:val="24"/>
          <w:highlight w:val="none"/>
        </w:rPr>
        <w:t>在系统上开启最终报价情况；</w:t>
      </w:r>
    </w:p>
    <w:p w14:paraId="6FB4BF71">
      <w:pPr>
        <w:pStyle w:val="6"/>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4.7</w:t>
      </w:r>
      <w:r>
        <w:rPr>
          <w:rFonts w:hint="eastAsia" w:ascii="宋体" w:hAnsi="宋体" w:cs="宋体"/>
          <w:color w:val="auto"/>
          <w:sz w:val="24"/>
          <w:szCs w:val="24"/>
          <w:highlight w:val="none"/>
        </w:rPr>
        <w:t>磋商小组对报价情况进行评审；</w:t>
      </w:r>
    </w:p>
    <w:p w14:paraId="3C63178F">
      <w:pPr>
        <w:pStyle w:val="6"/>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4.8</w:t>
      </w:r>
      <w:r>
        <w:rPr>
          <w:rFonts w:hint="eastAsia" w:ascii="宋体" w:hAnsi="宋体" w:cs="宋体"/>
          <w:color w:val="auto"/>
          <w:sz w:val="24"/>
          <w:szCs w:val="24"/>
          <w:highlight w:val="none"/>
        </w:rPr>
        <w:t>在系统上公开资格和商务技术评审结果；</w:t>
      </w:r>
    </w:p>
    <w:p w14:paraId="4A7E422F">
      <w:pPr>
        <w:pStyle w:val="6"/>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4.9</w:t>
      </w:r>
      <w:r>
        <w:rPr>
          <w:rFonts w:hint="eastAsia" w:ascii="宋体" w:hAnsi="宋体" w:cs="宋体"/>
          <w:color w:val="auto"/>
          <w:sz w:val="24"/>
          <w:szCs w:val="24"/>
          <w:highlight w:val="none"/>
        </w:rPr>
        <w:t>在系统上公布评审结果。</w:t>
      </w:r>
    </w:p>
    <w:p w14:paraId="3F7BB840">
      <w:pPr>
        <w:pStyle w:val="6"/>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4.10</w:t>
      </w:r>
      <w:r>
        <w:rPr>
          <w:rFonts w:hint="eastAsia" w:ascii="宋体" w:hAnsi="宋体" w:cs="宋体"/>
          <w:color w:val="auto"/>
          <w:sz w:val="24"/>
          <w:szCs w:val="24"/>
          <w:highlight w:val="none"/>
        </w:rPr>
        <w:t>开标会结束。</w:t>
      </w:r>
    </w:p>
    <w:p w14:paraId="5A9E42E1">
      <w:pPr>
        <w:snapToGrid w:val="0"/>
        <w:spacing w:line="360" w:lineRule="auto"/>
        <w:ind w:firstLine="480" w:firstLineChars="200"/>
        <w:rPr>
          <w:rFonts w:ascii="宋体"/>
          <w:b/>
          <w:bCs/>
          <w:color w:val="auto"/>
          <w:sz w:val="24"/>
          <w:szCs w:val="24"/>
          <w:highlight w:val="none"/>
        </w:rPr>
      </w:pPr>
      <w:r>
        <w:rPr>
          <w:rFonts w:hint="eastAsia" w:ascii="宋体" w:hAnsi="宋体" w:cs="宋体"/>
          <w:color w:val="auto"/>
          <w:sz w:val="24"/>
          <w:szCs w:val="24"/>
          <w:highlight w:val="none"/>
        </w:rPr>
        <w:t>特别说明</w:t>
      </w:r>
      <w:r>
        <w:rPr>
          <w:rFonts w:ascii="宋体" w:hAnsi="宋体" w:cs="宋体"/>
          <w:color w:val="auto"/>
          <w:sz w:val="24"/>
          <w:szCs w:val="24"/>
          <w:highlight w:val="none"/>
        </w:rPr>
        <w:t>:</w:t>
      </w:r>
      <w:r>
        <w:rPr>
          <w:rFonts w:hint="eastAsia" w:ascii="宋体" w:hAnsi="宋体" w:cs="宋体"/>
          <w:color w:val="auto"/>
          <w:sz w:val="24"/>
          <w:szCs w:val="24"/>
          <w:highlight w:val="none"/>
        </w:rPr>
        <w:t>政采云如对电子化开标及评审程序有调整的</w:t>
      </w:r>
      <w:r>
        <w:rPr>
          <w:rFonts w:ascii="宋体" w:cs="宋体"/>
          <w:color w:val="auto"/>
          <w:sz w:val="24"/>
          <w:szCs w:val="24"/>
          <w:highlight w:val="none"/>
        </w:rPr>
        <w:t>,</w:t>
      </w:r>
      <w:r>
        <w:rPr>
          <w:rFonts w:hint="eastAsia" w:ascii="宋体" w:hAnsi="宋体" w:cs="宋体"/>
          <w:color w:val="auto"/>
          <w:sz w:val="24"/>
          <w:szCs w:val="24"/>
          <w:highlight w:val="none"/>
        </w:rPr>
        <w:t>按调整后的程序操作。</w:t>
      </w:r>
    </w:p>
    <w:p w14:paraId="5D825E41">
      <w:pPr>
        <w:snapToGrid w:val="0"/>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5</w:t>
      </w:r>
      <w:r>
        <w:rPr>
          <w:rFonts w:ascii="宋体" w:cs="宋体"/>
          <w:b/>
          <w:bCs/>
          <w:color w:val="auto"/>
          <w:sz w:val="24"/>
          <w:szCs w:val="24"/>
          <w:highlight w:val="none"/>
        </w:rPr>
        <w:t>.</w:t>
      </w:r>
      <w:r>
        <w:rPr>
          <w:rFonts w:hint="eastAsia" w:ascii="宋体" w:hAnsi="宋体" w:cs="宋体"/>
          <w:b/>
          <w:bCs/>
          <w:color w:val="auto"/>
          <w:sz w:val="24"/>
          <w:szCs w:val="24"/>
          <w:highlight w:val="none"/>
        </w:rPr>
        <w:t>综合评分</w:t>
      </w:r>
    </w:p>
    <w:p w14:paraId="0AC9D493">
      <w:pPr>
        <w:tabs>
          <w:tab w:val="left" w:pos="-1080"/>
          <w:tab w:val="left" w:pos="180"/>
          <w:tab w:val="left" w:pos="1080"/>
        </w:tabs>
        <w:snapToGrid w:val="0"/>
        <w:spacing w:line="360" w:lineRule="auto"/>
        <w:ind w:firstLine="480"/>
        <w:rPr>
          <w:rFonts w:ascii="宋体"/>
          <w:color w:val="auto"/>
          <w:kern w:val="0"/>
          <w:sz w:val="24"/>
          <w:szCs w:val="24"/>
          <w:highlight w:val="none"/>
        </w:rPr>
      </w:pPr>
      <w:r>
        <w:rPr>
          <w:rFonts w:ascii="宋体" w:hAnsi="宋体" w:cs="宋体"/>
          <w:color w:val="auto"/>
          <w:sz w:val="24"/>
          <w:szCs w:val="24"/>
          <w:highlight w:val="none"/>
        </w:rPr>
        <w:t>5.1</w:t>
      </w:r>
      <w:r>
        <w:rPr>
          <w:rFonts w:hint="eastAsia" w:ascii="宋体" w:hAnsi="宋体" w:cs="宋体"/>
          <w:color w:val="auto"/>
          <w:sz w:val="24"/>
          <w:szCs w:val="24"/>
          <w:highlight w:val="none"/>
        </w:rPr>
        <w:t>本评标办法采用综合评标法，由商务技术分和报价分合计组成，其中商务技术分</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80</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分、报价分</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20</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分；满分为</w:t>
      </w:r>
      <w:r>
        <w:rPr>
          <w:rFonts w:ascii="宋体" w:hAnsi="宋体" w:cs="宋体"/>
          <w:color w:val="auto"/>
          <w:sz w:val="24"/>
          <w:szCs w:val="24"/>
          <w:highlight w:val="none"/>
        </w:rPr>
        <w:t>100</w:t>
      </w:r>
      <w:r>
        <w:rPr>
          <w:rFonts w:hint="eastAsia" w:ascii="宋体" w:hAnsi="宋体" w:cs="宋体"/>
          <w:color w:val="auto"/>
          <w:sz w:val="24"/>
          <w:szCs w:val="24"/>
          <w:highlight w:val="none"/>
        </w:rPr>
        <w:t>分。</w:t>
      </w:r>
    </w:p>
    <w:p w14:paraId="5D310210">
      <w:pPr>
        <w:spacing w:line="360" w:lineRule="auto"/>
        <w:ind w:firstLine="480"/>
        <w:rPr>
          <w:rFonts w:ascii="宋体"/>
          <w:color w:val="auto"/>
          <w:sz w:val="24"/>
          <w:szCs w:val="24"/>
          <w:highlight w:val="none"/>
        </w:rPr>
      </w:pPr>
      <w:r>
        <w:rPr>
          <w:rFonts w:ascii="宋体" w:hAnsi="宋体" w:cs="宋体"/>
          <w:color w:val="auto"/>
          <w:sz w:val="24"/>
          <w:szCs w:val="24"/>
          <w:highlight w:val="none"/>
        </w:rPr>
        <w:t>5.2</w:t>
      </w:r>
      <w:r>
        <w:rPr>
          <w:rFonts w:hint="eastAsia" w:ascii="宋体" w:hAnsi="宋体" w:cs="宋体"/>
          <w:color w:val="auto"/>
          <w:sz w:val="24"/>
          <w:szCs w:val="24"/>
          <w:highlight w:val="none"/>
        </w:rPr>
        <w:t>经初步评审合格的响应文件，磋商小组根据竞争性磋商文件确定的评审标准和方法，对其商务技术部分作进一步评审、比较、打分。</w:t>
      </w:r>
    </w:p>
    <w:p w14:paraId="2EA78202">
      <w:pPr>
        <w:pStyle w:val="15"/>
        <w:spacing w:line="360" w:lineRule="auto"/>
        <w:ind w:firstLine="480" w:firstLineChars="200"/>
        <w:rPr>
          <w:rFonts w:hAnsi="宋体" w:cs="Times New Roman"/>
          <w:color w:val="auto"/>
          <w:sz w:val="24"/>
          <w:szCs w:val="24"/>
          <w:highlight w:val="none"/>
        </w:rPr>
      </w:pPr>
      <w:r>
        <w:rPr>
          <w:rFonts w:hAnsi="宋体"/>
          <w:color w:val="auto"/>
          <w:sz w:val="24"/>
          <w:szCs w:val="24"/>
          <w:highlight w:val="none"/>
        </w:rPr>
        <w:t>5.3</w:t>
      </w:r>
      <w:r>
        <w:rPr>
          <w:rFonts w:hint="eastAsia" w:hAnsi="宋体"/>
          <w:color w:val="auto"/>
          <w:sz w:val="24"/>
          <w:szCs w:val="24"/>
          <w:highlight w:val="none"/>
        </w:rPr>
        <w:t>磋商小组成员首先分别对每个供应商商务技术部分进行评审打分，然后计算出算术平均值（保留</w:t>
      </w:r>
      <w:r>
        <w:rPr>
          <w:rFonts w:hAnsi="宋体"/>
          <w:color w:val="auto"/>
          <w:sz w:val="24"/>
          <w:szCs w:val="24"/>
          <w:highlight w:val="none"/>
        </w:rPr>
        <w:t>2</w:t>
      </w:r>
      <w:r>
        <w:rPr>
          <w:rFonts w:hint="eastAsia" w:hAnsi="宋体"/>
          <w:color w:val="auto"/>
          <w:sz w:val="24"/>
          <w:szCs w:val="24"/>
          <w:highlight w:val="none"/>
        </w:rPr>
        <w:t>位小数），即为供应商的商务技术得分，后计算二次报价，计算公式：投标价格分</w:t>
      </w:r>
      <w:r>
        <w:rPr>
          <w:rFonts w:hAnsi="宋体"/>
          <w:color w:val="auto"/>
          <w:sz w:val="24"/>
          <w:szCs w:val="24"/>
          <w:highlight w:val="none"/>
        </w:rPr>
        <w:t>=(</w:t>
      </w:r>
      <w:r>
        <w:rPr>
          <w:rFonts w:hint="eastAsia" w:hAnsi="宋体"/>
          <w:color w:val="auto"/>
          <w:sz w:val="24"/>
          <w:szCs w:val="24"/>
          <w:highlight w:val="none"/>
        </w:rPr>
        <w:t>最佳报价</w:t>
      </w:r>
      <w:r>
        <w:rPr>
          <w:rFonts w:hAnsi="宋体"/>
          <w:color w:val="auto"/>
          <w:sz w:val="24"/>
          <w:szCs w:val="24"/>
          <w:highlight w:val="none"/>
        </w:rPr>
        <w:t>/</w:t>
      </w:r>
      <w:r>
        <w:rPr>
          <w:rFonts w:hint="eastAsia" w:hAnsi="宋体"/>
          <w:color w:val="auto"/>
          <w:sz w:val="24"/>
          <w:szCs w:val="24"/>
          <w:highlight w:val="none"/>
        </w:rPr>
        <w:t>投标报价</w:t>
      </w:r>
      <w:r>
        <w:rPr>
          <w:rFonts w:hAnsi="宋体"/>
          <w:color w:val="auto"/>
          <w:sz w:val="24"/>
          <w:szCs w:val="24"/>
          <w:highlight w:val="none"/>
        </w:rPr>
        <w:t>)*</w:t>
      </w:r>
      <w:r>
        <w:rPr>
          <w:rFonts w:hint="eastAsia" w:hAnsi="宋体"/>
          <w:color w:val="auto"/>
          <w:sz w:val="24"/>
          <w:szCs w:val="24"/>
          <w:highlight w:val="none"/>
        </w:rPr>
        <w:t>价格权值</w:t>
      </w:r>
      <w:r>
        <w:rPr>
          <w:rFonts w:hAnsi="宋体"/>
          <w:color w:val="auto"/>
          <w:sz w:val="24"/>
          <w:szCs w:val="24"/>
          <w:highlight w:val="none"/>
        </w:rPr>
        <w:t>*100</w:t>
      </w:r>
      <w:r>
        <w:rPr>
          <w:rFonts w:hint="eastAsia" w:hAnsi="宋体"/>
          <w:color w:val="auto"/>
          <w:sz w:val="24"/>
          <w:szCs w:val="24"/>
          <w:highlight w:val="none"/>
        </w:rPr>
        <w:t>。综合得分</w:t>
      </w:r>
      <w:r>
        <w:rPr>
          <w:rFonts w:hAnsi="宋体"/>
          <w:color w:val="auto"/>
          <w:sz w:val="24"/>
          <w:szCs w:val="24"/>
          <w:highlight w:val="none"/>
        </w:rPr>
        <w:t>=</w:t>
      </w:r>
      <w:r>
        <w:rPr>
          <w:rFonts w:hint="eastAsia" w:hAnsi="宋体"/>
          <w:color w:val="auto"/>
          <w:sz w:val="24"/>
          <w:szCs w:val="24"/>
          <w:highlight w:val="none"/>
        </w:rPr>
        <w:t>商务技术分</w:t>
      </w:r>
      <w:r>
        <w:rPr>
          <w:rFonts w:hAnsi="宋体"/>
          <w:color w:val="auto"/>
          <w:sz w:val="24"/>
          <w:szCs w:val="24"/>
          <w:highlight w:val="none"/>
        </w:rPr>
        <w:t>+</w:t>
      </w:r>
      <w:r>
        <w:rPr>
          <w:rFonts w:hint="eastAsia" w:hAnsi="宋体"/>
          <w:color w:val="auto"/>
          <w:sz w:val="24"/>
          <w:szCs w:val="24"/>
          <w:highlight w:val="none"/>
        </w:rPr>
        <w:t>报价分，以综合得分（保留</w:t>
      </w:r>
      <w:r>
        <w:rPr>
          <w:rFonts w:hAnsi="宋体"/>
          <w:color w:val="auto"/>
          <w:sz w:val="24"/>
          <w:szCs w:val="24"/>
          <w:highlight w:val="none"/>
        </w:rPr>
        <w:t>2</w:t>
      </w:r>
      <w:r>
        <w:rPr>
          <w:rFonts w:hint="eastAsia" w:hAnsi="宋体"/>
          <w:color w:val="auto"/>
          <w:sz w:val="24"/>
          <w:szCs w:val="24"/>
          <w:highlight w:val="none"/>
        </w:rPr>
        <w:t>位小数）由高到低进行排序后推荐第一名为成交供应商候选人；得分相同的，按报价由低到高的顺序排列；得分且报价相同的，在响应文件满足磋商文件全部实质性要求前提下，按照评审因素的量化指标评审得分最高的供应商；确定成交供应商候选人，并提交评审结果。</w:t>
      </w:r>
    </w:p>
    <w:p w14:paraId="25657A78">
      <w:pPr>
        <w:pStyle w:val="15"/>
        <w:spacing w:line="360" w:lineRule="auto"/>
        <w:ind w:left="420" w:leftChars="200"/>
        <w:rPr>
          <w:rFonts w:hAnsi="宋体" w:cs="Times New Roman"/>
          <w:b/>
          <w:bCs/>
          <w:color w:val="auto"/>
          <w:sz w:val="24"/>
          <w:szCs w:val="24"/>
          <w:highlight w:val="none"/>
        </w:rPr>
      </w:pPr>
      <w:r>
        <w:rPr>
          <w:rFonts w:hAnsi="宋体"/>
          <w:b/>
          <w:bCs/>
          <w:color w:val="auto"/>
          <w:sz w:val="24"/>
          <w:szCs w:val="24"/>
          <w:highlight w:val="none"/>
        </w:rPr>
        <w:t>6</w:t>
      </w:r>
      <w:r>
        <w:rPr>
          <w:rFonts w:hint="eastAsia" w:hAnsi="宋体"/>
          <w:b/>
          <w:bCs/>
          <w:color w:val="auto"/>
          <w:sz w:val="24"/>
          <w:szCs w:val="24"/>
          <w:highlight w:val="none"/>
        </w:rPr>
        <w:t>、修正原则</w:t>
      </w:r>
    </w:p>
    <w:p w14:paraId="1A72EDE3">
      <w:pPr>
        <w:pStyle w:val="57"/>
        <w:spacing w:before="0"/>
        <w:ind w:left="420" w:leftChars="200" w:firstLine="0" w:firstLineChars="0"/>
        <w:rPr>
          <w:rFonts w:ascii="宋体"/>
          <w:color w:val="auto"/>
          <w:highlight w:val="none"/>
          <w:lang w:val="zh-CN"/>
        </w:rPr>
      </w:pPr>
      <w:r>
        <w:rPr>
          <w:rFonts w:hint="eastAsia" w:ascii="宋体" w:hAnsi="宋体" w:cs="宋体"/>
          <w:color w:val="auto"/>
          <w:highlight w:val="none"/>
        </w:rPr>
        <w:t>响应</w:t>
      </w:r>
      <w:r>
        <w:rPr>
          <w:rFonts w:hint="eastAsia" w:ascii="宋体" w:hAnsi="宋体" w:cs="宋体"/>
          <w:color w:val="auto"/>
          <w:highlight w:val="none"/>
          <w:lang w:val="zh-CN"/>
        </w:rPr>
        <w:t>文件报价出现前后不一致的，按照下列规定修正：</w:t>
      </w:r>
    </w:p>
    <w:p w14:paraId="0A08094C">
      <w:pPr>
        <w:pStyle w:val="57"/>
        <w:tabs>
          <w:tab w:val="left" w:pos="0"/>
        </w:tabs>
        <w:spacing w:before="0"/>
        <w:ind w:firstLine="480"/>
        <w:rPr>
          <w:rFonts w:ascii="宋体"/>
          <w:color w:val="auto"/>
          <w:highlight w:val="none"/>
          <w:lang w:val="zh-CN"/>
        </w:rPr>
      </w:pPr>
      <w:r>
        <w:rPr>
          <w:rFonts w:ascii="宋体" w:hAnsi="宋体" w:cs="宋体"/>
          <w:color w:val="auto"/>
          <w:highlight w:val="none"/>
        </w:rPr>
        <w:t>6.1</w:t>
      </w:r>
      <w:r>
        <w:rPr>
          <w:rFonts w:hint="eastAsia" w:ascii="宋体" w:hAnsi="宋体" w:cs="宋体"/>
          <w:color w:val="auto"/>
          <w:highlight w:val="none"/>
        </w:rPr>
        <w:t>响应</w:t>
      </w:r>
      <w:r>
        <w:rPr>
          <w:rFonts w:hint="eastAsia" w:ascii="宋体" w:hAnsi="宋体" w:cs="宋体"/>
          <w:color w:val="auto"/>
          <w:highlight w:val="none"/>
          <w:lang w:val="zh-CN"/>
        </w:rPr>
        <w:t>文件中</w:t>
      </w:r>
      <w:r>
        <w:rPr>
          <w:rFonts w:hint="eastAsia" w:ascii="宋体" w:hAnsi="宋体" w:cs="宋体"/>
          <w:color w:val="auto"/>
          <w:highlight w:val="none"/>
        </w:rPr>
        <w:t>报价</w:t>
      </w:r>
      <w:r>
        <w:rPr>
          <w:rFonts w:hint="eastAsia" w:ascii="宋体" w:hAnsi="宋体" w:cs="宋体"/>
          <w:color w:val="auto"/>
          <w:highlight w:val="none"/>
          <w:lang w:val="zh-CN"/>
        </w:rPr>
        <w:t>一览表内容与</w:t>
      </w:r>
      <w:r>
        <w:rPr>
          <w:rFonts w:hint="eastAsia" w:ascii="宋体" w:hAnsi="宋体" w:cs="宋体"/>
          <w:color w:val="auto"/>
          <w:highlight w:val="none"/>
        </w:rPr>
        <w:t>响应</w:t>
      </w:r>
      <w:r>
        <w:rPr>
          <w:rFonts w:hint="eastAsia" w:ascii="宋体" w:hAnsi="宋体" w:cs="宋体"/>
          <w:color w:val="auto"/>
          <w:highlight w:val="none"/>
          <w:lang w:val="zh-CN"/>
        </w:rPr>
        <w:t>文件中相应内容不一致的，以</w:t>
      </w:r>
      <w:r>
        <w:rPr>
          <w:rFonts w:hint="eastAsia" w:ascii="宋体" w:hAnsi="宋体" w:cs="宋体"/>
          <w:color w:val="auto"/>
          <w:highlight w:val="none"/>
        </w:rPr>
        <w:t>报价</w:t>
      </w:r>
      <w:r>
        <w:rPr>
          <w:rFonts w:hint="eastAsia" w:ascii="宋体" w:hAnsi="宋体" w:cs="宋体"/>
          <w:color w:val="auto"/>
          <w:highlight w:val="none"/>
          <w:lang w:val="zh-CN"/>
        </w:rPr>
        <w:t>一览表为准；</w:t>
      </w:r>
    </w:p>
    <w:p w14:paraId="620C9505">
      <w:pPr>
        <w:pStyle w:val="57"/>
        <w:tabs>
          <w:tab w:val="left" w:pos="0"/>
        </w:tabs>
        <w:spacing w:before="0"/>
        <w:ind w:firstLine="480"/>
        <w:rPr>
          <w:rFonts w:ascii="宋体"/>
          <w:color w:val="auto"/>
          <w:highlight w:val="none"/>
          <w:lang w:val="zh-CN"/>
        </w:rPr>
      </w:pPr>
      <w:r>
        <w:rPr>
          <w:rFonts w:ascii="宋体" w:hAnsi="宋体" w:cs="宋体"/>
          <w:color w:val="auto"/>
          <w:highlight w:val="none"/>
        </w:rPr>
        <w:t>6.2</w:t>
      </w:r>
      <w:r>
        <w:rPr>
          <w:rFonts w:hint="eastAsia" w:ascii="宋体" w:hAnsi="宋体" w:cs="宋体"/>
          <w:color w:val="auto"/>
          <w:highlight w:val="none"/>
          <w:lang w:val="zh-CN"/>
        </w:rPr>
        <w:t>大写金额和小写金额不一致的，以大写金额为准；</w:t>
      </w:r>
    </w:p>
    <w:p w14:paraId="25D3AF77">
      <w:pPr>
        <w:pStyle w:val="57"/>
        <w:tabs>
          <w:tab w:val="left" w:pos="0"/>
        </w:tabs>
        <w:spacing w:before="0"/>
        <w:ind w:firstLine="480"/>
        <w:rPr>
          <w:rFonts w:ascii="宋体"/>
          <w:color w:val="auto"/>
          <w:highlight w:val="none"/>
          <w:lang w:val="zh-CN"/>
        </w:rPr>
      </w:pPr>
      <w:r>
        <w:rPr>
          <w:rFonts w:ascii="宋体" w:hAnsi="宋体" w:cs="宋体"/>
          <w:color w:val="auto"/>
          <w:highlight w:val="none"/>
        </w:rPr>
        <w:t>6.3</w:t>
      </w:r>
      <w:r>
        <w:rPr>
          <w:rFonts w:hint="eastAsia" w:ascii="宋体" w:hAnsi="宋体" w:cs="宋体"/>
          <w:color w:val="auto"/>
          <w:highlight w:val="none"/>
          <w:lang w:val="zh-CN"/>
        </w:rPr>
        <w:t>单价金额小数点或者百分比有明显错位的，以</w:t>
      </w:r>
      <w:r>
        <w:rPr>
          <w:rFonts w:hint="eastAsia" w:ascii="宋体" w:hAnsi="宋体" w:cs="宋体"/>
          <w:color w:val="auto"/>
          <w:highlight w:val="none"/>
        </w:rPr>
        <w:t>报价</w:t>
      </w:r>
      <w:r>
        <w:rPr>
          <w:rFonts w:hint="eastAsia" w:ascii="宋体" w:hAnsi="宋体" w:cs="宋体"/>
          <w:color w:val="auto"/>
          <w:highlight w:val="none"/>
          <w:lang w:val="zh-CN"/>
        </w:rPr>
        <w:t>一览表的总价为准，并修改单价；</w:t>
      </w:r>
    </w:p>
    <w:p w14:paraId="30CD1D7D">
      <w:pPr>
        <w:pStyle w:val="57"/>
        <w:tabs>
          <w:tab w:val="left" w:pos="0"/>
        </w:tabs>
        <w:spacing w:before="0"/>
        <w:ind w:firstLine="480"/>
        <w:rPr>
          <w:rFonts w:ascii="宋体"/>
          <w:color w:val="auto"/>
          <w:highlight w:val="none"/>
          <w:lang w:val="zh-CN"/>
        </w:rPr>
      </w:pPr>
      <w:r>
        <w:rPr>
          <w:rFonts w:ascii="宋体" w:hAnsi="宋体" w:cs="宋体"/>
          <w:color w:val="auto"/>
          <w:highlight w:val="none"/>
        </w:rPr>
        <w:t>6.4</w:t>
      </w:r>
      <w:r>
        <w:rPr>
          <w:rFonts w:hint="eastAsia" w:ascii="宋体" w:hAnsi="宋体" w:cs="宋体"/>
          <w:color w:val="auto"/>
          <w:highlight w:val="none"/>
          <w:lang w:val="zh-CN"/>
        </w:rPr>
        <w:t>总价金额与按单价汇总金额不一致的，以单价金额计算结果为准。</w:t>
      </w:r>
    </w:p>
    <w:p w14:paraId="763259CF">
      <w:pPr>
        <w:pStyle w:val="57"/>
        <w:spacing w:before="0"/>
        <w:ind w:firstLine="480"/>
        <w:rPr>
          <w:rFonts w:ascii="宋体"/>
          <w:color w:val="auto"/>
          <w:highlight w:val="none"/>
          <w:lang w:val="zh-CN"/>
        </w:rPr>
      </w:pPr>
      <w:r>
        <w:rPr>
          <w:rFonts w:hint="eastAsia" w:ascii="宋体" w:hAnsi="宋体" w:cs="宋体"/>
          <w:color w:val="auto"/>
          <w:highlight w:val="none"/>
          <w:lang w:val="zh-CN"/>
        </w:rPr>
        <w:t>同时出现两种以上不一致的，按照前款规定的顺序修正。修正后的报价按照财政部公布第</w:t>
      </w:r>
      <w:r>
        <w:rPr>
          <w:rFonts w:ascii="宋体" w:hAnsi="宋体" w:cs="宋体"/>
          <w:color w:val="auto"/>
          <w:highlight w:val="none"/>
          <w:lang w:val="zh-CN"/>
        </w:rPr>
        <w:t>87</w:t>
      </w:r>
      <w:r>
        <w:rPr>
          <w:rFonts w:hint="eastAsia" w:ascii="宋体" w:hAnsi="宋体" w:cs="宋体"/>
          <w:color w:val="auto"/>
          <w:highlight w:val="none"/>
          <w:lang w:val="zh-CN"/>
        </w:rPr>
        <w:t>号令</w:t>
      </w:r>
      <w:r>
        <w:rPr>
          <w:rFonts w:ascii="宋体" w:hAnsi="宋体" w:cs="宋体"/>
          <w:color w:val="auto"/>
          <w:highlight w:val="none"/>
          <w:lang w:val="zh-CN"/>
        </w:rPr>
        <w:t xml:space="preserve"> </w:t>
      </w:r>
      <w:r>
        <w:rPr>
          <w:rFonts w:hint="eastAsia" w:ascii="宋体" w:hAnsi="宋体" w:cs="宋体"/>
          <w:color w:val="auto"/>
          <w:highlight w:val="none"/>
          <w:lang w:val="zh-CN"/>
        </w:rPr>
        <w:t>《政府采购</w:t>
      </w:r>
      <w:r>
        <w:rPr>
          <w:rFonts w:hint="eastAsia" w:ascii="宋体" w:hAnsi="宋体" w:cs="宋体"/>
          <w:color w:val="auto"/>
          <w:highlight w:val="none"/>
          <w:lang w:val="en-US" w:eastAsia="zh-CN"/>
        </w:rPr>
        <w:t>货物</w:t>
      </w:r>
      <w:r>
        <w:rPr>
          <w:rFonts w:hint="eastAsia" w:ascii="宋体" w:hAnsi="宋体" w:cs="宋体"/>
          <w:color w:val="auto"/>
          <w:highlight w:val="none"/>
          <w:lang w:val="zh-CN"/>
        </w:rPr>
        <w:t>和服务招标投标管理办法》第五十一条第二款的规定经</w:t>
      </w:r>
      <w:r>
        <w:rPr>
          <w:rFonts w:hint="eastAsia" w:ascii="宋体" w:hAnsi="宋体" w:cs="宋体"/>
          <w:color w:val="auto"/>
          <w:highlight w:val="none"/>
        </w:rPr>
        <w:t>供应商</w:t>
      </w:r>
      <w:r>
        <w:rPr>
          <w:rFonts w:hint="eastAsia" w:ascii="宋体" w:hAnsi="宋体" w:cs="宋体"/>
          <w:color w:val="auto"/>
          <w:highlight w:val="none"/>
          <w:lang w:val="zh-CN"/>
        </w:rPr>
        <w:t>确认后产生约束力，</w:t>
      </w:r>
      <w:r>
        <w:rPr>
          <w:rFonts w:hint="eastAsia" w:ascii="宋体" w:hAnsi="宋体" w:cs="宋体"/>
          <w:color w:val="auto"/>
          <w:highlight w:val="none"/>
        </w:rPr>
        <w:t>供应商</w:t>
      </w:r>
      <w:r>
        <w:rPr>
          <w:rFonts w:hint="eastAsia" w:ascii="宋体" w:hAnsi="宋体" w:cs="宋体"/>
          <w:color w:val="auto"/>
          <w:highlight w:val="none"/>
          <w:lang w:val="zh-CN"/>
        </w:rPr>
        <w:t>不确认的，其</w:t>
      </w:r>
      <w:r>
        <w:rPr>
          <w:rFonts w:hint="eastAsia" w:ascii="宋体" w:hAnsi="宋体" w:cs="宋体"/>
          <w:color w:val="auto"/>
          <w:highlight w:val="none"/>
        </w:rPr>
        <w:t>磋商</w:t>
      </w:r>
      <w:r>
        <w:rPr>
          <w:rFonts w:hint="eastAsia" w:ascii="宋体" w:hAnsi="宋体" w:cs="宋体"/>
          <w:color w:val="auto"/>
          <w:highlight w:val="none"/>
          <w:lang w:val="zh-CN"/>
        </w:rPr>
        <w:t>无效。</w:t>
      </w:r>
    </w:p>
    <w:p w14:paraId="3B630AB8">
      <w:pPr>
        <w:pStyle w:val="15"/>
        <w:spacing w:line="360" w:lineRule="auto"/>
        <w:ind w:left="420" w:leftChars="200"/>
        <w:rPr>
          <w:rFonts w:hAnsi="宋体" w:cs="Times New Roman"/>
          <w:b/>
          <w:bCs/>
          <w:color w:val="auto"/>
          <w:sz w:val="24"/>
          <w:szCs w:val="24"/>
          <w:highlight w:val="none"/>
        </w:rPr>
      </w:pPr>
      <w:r>
        <w:rPr>
          <w:rFonts w:hAnsi="宋体"/>
          <w:b/>
          <w:bCs/>
          <w:color w:val="auto"/>
          <w:sz w:val="24"/>
          <w:szCs w:val="24"/>
          <w:highlight w:val="none"/>
        </w:rPr>
        <w:t>7</w:t>
      </w:r>
      <w:r>
        <w:rPr>
          <w:rFonts w:hint="eastAsia" w:hAnsi="宋体"/>
          <w:b/>
          <w:bCs/>
          <w:color w:val="auto"/>
          <w:sz w:val="24"/>
          <w:szCs w:val="24"/>
          <w:highlight w:val="none"/>
        </w:rPr>
        <w:t>、响应文件的澄清</w:t>
      </w:r>
    </w:p>
    <w:p w14:paraId="3914E35B">
      <w:pPr>
        <w:pStyle w:val="57"/>
        <w:tabs>
          <w:tab w:val="left" w:pos="0"/>
        </w:tabs>
        <w:spacing w:before="0"/>
        <w:ind w:firstLine="480"/>
        <w:rPr>
          <w:rFonts w:ascii="宋体"/>
          <w:color w:val="auto"/>
          <w:highlight w:val="none"/>
          <w:lang w:val="zh-CN"/>
        </w:rPr>
      </w:pPr>
      <w:r>
        <w:rPr>
          <w:rFonts w:ascii="宋体" w:hAnsi="宋体" w:cs="宋体"/>
          <w:color w:val="auto"/>
          <w:highlight w:val="none"/>
        </w:rPr>
        <w:t>7.1</w:t>
      </w:r>
      <w:r>
        <w:rPr>
          <w:rFonts w:hint="eastAsia" w:ascii="宋体" w:hAnsi="宋体" w:cs="宋体"/>
          <w:color w:val="auto"/>
          <w:highlight w:val="none"/>
          <w:lang w:val="zh-CN"/>
        </w:rPr>
        <w:t>评审中因</w:t>
      </w:r>
      <w:r>
        <w:rPr>
          <w:rFonts w:hint="eastAsia" w:ascii="宋体" w:hAnsi="宋体" w:cs="宋体"/>
          <w:color w:val="auto"/>
          <w:highlight w:val="none"/>
        </w:rPr>
        <w:t>响应</w:t>
      </w:r>
      <w:r>
        <w:rPr>
          <w:rFonts w:hint="eastAsia" w:ascii="宋体" w:hAnsi="宋体" w:cs="宋体"/>
          <w:color w:val="auto"/>
          <w:highlight w:val="none"/>
          <w:lang w:val="zh-CN"/>
        </w:rPr>
        <w:t>文件含义不明、表述不一致或有明显计算错误等内容需要供应商作出澄清、说明或者补正的，</w:t>
      </w:r>
      <w:r>
        <w:rPr>
          <w:rFonts w:hint="eastAsia" w:ascii="宋体" w:hAnsi="宋体" w:cs="宋体"/>
          <w:color w:val="auto"/>
          <w:highlight w:val="none"/>
        </w:rPr>
        <w:t>磋商小组</w:t>
      </w:r>
      <w:r>
        <w:rPr>
          <w:rFonts w:hint="eastAsia" w:ascii="宋体" w:hAnsi="宋体" w:cs="宋体"/>
          <w:color w:val="auto"/>
          <w:highlight w:val="none"/>
          <w:lang w:val="zh-CN"/>
        </w:rPr>
        <w:t>和供应商应当通过政采云平台交换数据电文，给予供应商提交澄清说明或补正的时间不少于半小时，供应商已经明确表示澄清说明或补正完毕的除外。</w:t>
      </w:r>
    </w:p>
    <w:p w14:paraId="1FF777D2">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val="zh-CN"/>
        </w:rPr>
        <w:t>供应商通过政采云平台交换的数据电文必须进行电子签章。</w:t>
      </w:r>
    </w:p>
    <w:p w14:paraId="07D678BE">
      <w:pPr>
        <w:pStyle w:val="5"/>
        <w:numPr>
          <w:ilvl w:val="0"/>
          <w:numId w:val="16"/>
        </w:numPr>
        <w:jc w:val="center"/>
        <w:rPr>
          <w:rFonts w:cs="Times New Roman"/>
          <w:color w:val="auto"/>
          <w:highlight w:val="none"/>
        </w:rPr>
      </w:pPr>
      <w:r>
        <w:rPr>
          <w:color w:val="auto"/>
          <w:highlight w:val="none"/>
        </w:rPr>
        <w:t xml:space="preserve"> </w:t>
      </w:r>
      <w:bookmarkStart w:id="83" w:name="_Toc13904"/>
      <w:bookmarkStart w:id="84" w:name="_Toc12816"/>
      <w:r>
        <w:rPr>
          <w:rFonts w:hint="eastAsia"/>
          <w:color w:val="auto"/>
          <w:highlight w:val="none"/>
        </w:rPr>
        <w:t>注意事项</w:t>
      </w:r>
      <w:bookmarkEnd w:id="83"/>
      <w:bookmarkEnd w:id="84"/>
    </w:p>
    <w:p w14:paraId="41226872">
      <w:pPr>
        <w:pStyle w:val="6"/>
        <w:spacing w:line="360" w:lineRule="auto"/>
        <w:rPr>
          <w:b/>
          <w:bCs/>
          <w:color w:val="auto"/>
          <w:sz w:val="24"/>
          <w:szCs w:val="24"/>
          <w:highlight w:val="none"/>
        </w:rPr>
      </w:pPr>
      <w:r>
        <w:rPr>
          <w:rFonts w:hint="eastAsia" w:cs="宋体"/>
          <w:b/>
          <w:bCs/>
          <w:color w:val="auto"/>
          <w:sz w:val="24"/>
          <w:szCs w:val="24"/>
          <w:highlight w:val="none"/>
        </w:rPr>
        <w:t>评审时如发现供应商的报价明显低于其他通过符合性审查供应商的报价，有可能影响产品质量或者不能诚信履约的，磋商小组可要求该供应商书面说明并提供相关证明材料。该供应商不能合理说明原因并提供证明材料的，评审小组应将该供应商的磋商响应文件作无效处理，同时采购组织机构应将该情况报同级财政部门，并视情将其列入不良供应商名单。</w:t>
      </w:r>
    </w:p>
    <w:p w14:paraId="44A4B359">
      <w:pPr>
        <w:pStyle w:val="5"/>
        <w:numPr>
          <w:ilvl w:val="0"/>
          <w:numId w:val="17"/>
        </w:numPr>
        <w:jc w:val="center"/>
        <w:rPr>
          <w:rFonts w:cs="Times New Roman"/>
          <w:color w:val="auto"/>
          <w:highlight w:val="none"/>
        </w:rPr>
      </w:pPr>
      <w:r>
        <w:rPr>
          <w:color w:val="auto"/>
          <w:highlight w:val="none"/>
        </w:rPr>
        <w:t xml:space="preserve"> </w:t>
      </w:r>
      <w:bookmarkStart w:id="85" w:name="_Toc13782"/>
      <w:bookmarkStart w:id="86" w:name="_Toc23114"/>
      <w:r>
        <w:rPr>
          <w:rFonts w:hint="eastAsia"/>
          <w:color w:val="auto"/>
          <w:highlight w:val="none"/>
        </w:rPr>
        <w:t>评分细则</w:t>
      </w:r>
      <w:bookmarkEnd w:id="85"/>
      <w:bookmarkEnd w:id="86"/>
    </w:p>
    <w:p w14:paraId="0D15F679">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一、报价文件评分标准（</w:t>
      </w:r>
      <w:r>
        <w:rPr>
          <w:rFonts w:hint="eastAsia" w:ascii="宋体" w:hAnsi="宋体" w:cs="宋体"/>
          <w:b/>
          <w:bCs/>
          <w:color w:val="auto"/>
          <w:sz w:val="24"/>
          <w:szCs w:val="24"/>
          <w:highlight w:val="none"/>
          <w:u w:val="single"/>
        </w:rPr>
        <w:t>20</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分）</w:t>
      </w:r>
    </w:p>
    <w:p w14:paraId="2C58373B">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报价文件主要是对供应商的有效报价进行评议，其评分标准及分值设置规则如下：</w:t>
      </w:r>
    </w:p>
    <w:p w14:paraId="01B1DA19">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、本次采购最高限价规定如下：</w:t>
      </w:r>
    </w:p>
    <w:p w14:paraId="40B77C99">
      <w:pPr>
        <w:spacing w:line="360" w:lineRule="auto"/>
        <w:ind w:firstLine="482" w:firstLineChars="200"/>
        <w:rPr>
          <w:rFonts w:hint="default" w:eastAsia="宋体"/>
          <w:b/>
          <w:bCs/>
          <w:color w:val="auto"/>
          <w:lang w:val="en-US" w:eastAsia="zh-CN"/>
        </w:rPr>
      </w:pPr>
      <w:r>
        <w:rPr>
          <w:rFonts w:hint="eastAsia" w:ascii="宋体" w:hAnsi="宋体" w:cs="宋体"/>
          <w:b/>
          <w:bCs/>
          <w:color w:val="auto"/>
          <w:sz w:val="24"/>
        </w:rPr>
        <w:t>本项目</w:t>
      </w:r>
      <w:r>
        <w:rPr>
          <w:rFonts w:hint="eastAsia" w:ascii="宋体" w:hAnsi="宋体" w:cs="宋体"/>
          <w:b/>
          <w:bCs/>
          <w:color w:val="auto"/>
          <w:sz w:val="24"/>
          <w:lang w:val="en-US" w:eastAsia="zh-CN"/>
        </w:rPr>
        <w:t>磋商</w:t>
      </w:r>
      <w:r>
        <w:rPr>
          <w:rFonts w:hint="eastAsia" w:ascii="宋体" w:hAnsi="宋体" w:cs="宋体"/>
          <w:b/>
          <w:bCs/>
          <w:color w:val="auto"/>
          <w:sz w:val="24"/>
        </w:rPr>
        <w:t>报价的最高限价为人民币</w:t>
      </w:r>
      <w:r>
        <w:rPr>
          <w:rFonts w:hint="eastAsia" w:ascii="宋体" w:hAnsi="宋体" w:cs="宋体"/>
          <w:b/>
          <w:bCs/>
          <w:color w:val="auto"/>
          <w:sz w:val="24"/>
          <w:u w:val="single"/>
          <w:lang w:val="en-US" w:eastAsia="zh-CN"/>
        </w:rPr>
        <w:t>贰佰肆拾玖万伍仟</w:t>
      </w:r>
      <w:r>
        <w:rPr>
          <w:rFonts w:hint="eastAsia" w:ascii="宋体" w:hAnsi="宋体" w:cs="宋体"/>
          <w:b/>
          <w:bCs/>
          <w:color w:val="auto"/>
          <w:sz w:val="24"/>
          <w:u w:val="single"/>
        </w:rPr>
        <w:t>元整</w:t>
      </w:r>
      <w:r>
        <w:rPr>
          <w:rFonts w:hint="eastAsia" w:ascii="宋体" w:hAnsi="宋体" w:cs="宋体"/>
          <w:b/>
          <w:bCs/>
          <w:color w:val="auto"/>
          <w:sz w:val="24"/>
        </w:rPr>
        <w:t>（小写：</w:t>
      </w:r>
      <w:r>
        <w:rPr>
          <w:rFonts w:hint="eastAsia" w:ascii="宋体" w:hAnsi="宋体" w:cs="宋体"/>
          <w:b/>
          <w:bCs/>
          <w:color w:val="auto"/>
          <w:kern w:val="0"/>
          <w:sz w:val="24"/>
          <w:u w:val="single"/>
          <w:lang w:val="en-US" w:eastAsia="zh-CN"/>
        </w:rPr>
        <w:t>2495000</w:t>
      </w:r>
      <w:r>
        <w:rPr>
          <w:rFonts w:ascii="宋体" w:hAnsi="宋体" w:cs="宋体"/>
          <w:b/>
          <w:bCs/>
          <w:color w:val="auto"/>
          <w:kern w:val="0"/>
          <w:sz w:val="24"/>
          <w:u w:val="single"/>
        </w:rPr>
        <w:t>.00</w:t>
      </w:r>
      <w:r>
        <w:rPr>
          <w:rFonts w:hint="eastAsia" w:ascii="宋体" w:hAnsi="宋体" w:cs="宋体"/>
          <w:b/>
          <w:bCs/>
          <w:color w:val="auto"/>
          <w:sz w:val="24"/>
          <w:u w:val="single"/>
        </w:rPr>
        <w:t xml:space="preserve"> </w:t>
      </w:r>
      <w:r>
        <w:rPr>
          <w:rFonts w:hint="eastAsia" w:ascii="宋体" w:hAnsi="宋体" w:cs="宋体"/>
          <w:b/>
          <w:bCs/>
          <w:color w:val="auto"/>
          <w:sz w:val="24"/>
        </w:rPr>
        <w:t>元）</w:t>
      </w:r>
    </w:p>
    <w:p w14:paraId="09D9969D">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、供应商的报价在最高限价内的，为有效报价。</w:t>
      </w:r>
    </w:p>
    <w:p w14:paraId="52008EF7">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、本次评标设有最佳报价。</w:t>
      </w:r>
      <w:r>
        <w:rPr>
          <w:rFonts w:hint="eastAsia" w:ascii="宋体" w:hAnsi="宋体" w:eastAsia="宋体" w:cs="宋体"/>
          <w:color w:val="auto"/>
          <w:sz w:val="24"/>
          <w:szCs w:val="24"/>
          <w:highlight w:val="none"/>
        </w:rPr>
        <w:t>最佳</w:t>
      </w:r>
      <w:r>
        <w:rPr>
          <w:rFonts w:hint="eastAsia" w:ascii="宋体" w:hAnsi="宋体" w:cs="宋体"/>
          <w:color w:val="auto"/>
          <w:sz w:val="24"/>
          <w:szCs w:val="24"/>
          <w:highlight w:val="none"/>
        </w:rPr>
        <w:t>报价确定方式：根据所有入围供应商有效报价中的最低报价作为最佳报价。</w:t>
      </w:r>
    </w:p>
    <w:p w14:paraId="263B73B3">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、最佳报价者的报价分为满分，其他供应商的有效报价与最佳报价相比，按下列方法计算其报价分：</w:t>
      </w:r>
    </w:p>
    <w:p w14:paraId="132DF6BA">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投标价格分</w:t>
      </w:r>
      <w:r>
        <w:rPr>
          <w:rFonts w:ascii="宋体" w:hAnsi="宋体" w:cs="宋体"/>
          <w:color w:val="auto"/>
          <w:sz w:val="24"/>
          <w:szCs w:val="24"/>
          <w:highlight w:val="none"/>
        </w:rPr>
        <w:t>=(</w:t>
      </w:r>
      <w:r>
        <w:rPr>
          <w:rFonts w:hint="eastAsia" w:ascii="宋体" w:hAnsi="宋体" w:cs="宋体"/>
          <w:color w:val="auto"/>
          <w:sz w:val="24"/>
          <w:szCs w:val="24"/>
          <w:highlight w:val="none"/>
        </w:rPr>
        <w:t>最佳报价</w:t>
      </w:r>
      <w:r>
        <w:rPr>
          <w:rFonts w:ascii="宋体" w:hAnsi="宋体" w:cs="宋体"/>
          <w:color w:val="auto"/>
          <w:sz w:val="24"/>
          <w:szCs w:val="24"/>
          <w:highlight w:val="none"/>
        </w:rPr>
        <w:t>/</w:t>
      </w:r>
      <w:r>
        <w:rPr>
          <w:rFonts w:hint="eastAsia" w:ascii="宋体" w:hAnsi="宋体" w:cs="宋体"/>
          <w:color w:val="auto"/>
          <w:sz w:val="24"/>
          <w:szCs w:val="24"/>
          <w:highlight w:val="none"/>
        </w:rPr>
        <w:t>投标报价</w:t>
      </w:r>
      <w:r>
        <w:rPr>
          <w:rFonts w:ascii="宋体" w:hAnsi="宋体" w:cs="宋体"/>
          <w:color w:val="auto"/>
          <w:sz w:val="24"/>
          <w:szCs w:val="24"/>
          <w:highlight w:val="none"/>
        </w:rPr>
        <w:t>)*</w:t>
      </w:r>
      <w:r>
        <w:rPr>
          <w:rFonts w:hint="eastAsia" w:ascii="宋体" w:hAnsi="宋体" w:cs="宋体"/>
          <w:color w:val="auto"/>
          <w:sz w:val="24"/>
          <w:szCs w:val="24"/>
          <w:highlight w:val="none"/>
        </w:rPr>
        <w:t>价格权值</w:t>
      </w:r>
      <w:r>
        <w:rPr>
          <w:rFonts w:ascii="宋体" w:hAnsi="宋体" w:cs="宋体"/>
          <w:color w:val="auto"/>
          <w:sz w:val="24"/>
          <w:szCs w:val="24"/>
          <w:highlight w:val="none"/>
        </w:rPr>
        <w:t>*100</w:t>
      </w:r>
      <w:r>
        <w:rPr>
          <w:rFonts w:hint="eastAsia" w:ascii="宋体" w:hAnsi="宋体" w:cs="宋体"/>
          <w:color w:val="auto"/>
          <w:sz w:val="24"/>
          <w:szCs w:val="24"/>
          <w:highlight w:val="none"/>
        </w:rPr>
        <w:t>。</w:t>
      </w:r>
    </w:p>
    <w:p w14:paraId="3A3C15BA">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、当报价一览表与磋商报价明细表报价不一致时，以报价一览表为准，磋商报价明细表报价予以修正并由授权代表签字确认，拒绝修正或确认的，则做无效标处理。</w:t>
      </w:r>
    </w:p>
    <w:p w14:paraId="6BF25A90">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、响应文件只允许有一个报价，磋商报价应按磋商文件中相关附表格式填报，该磋商报价应与明细报价汇总相等，且不允许出现报价优惠、赠送等字样（明细出现“</w:t>
      </w:r>
      <w:r>
        <w:rPr>
          <w:rFonts w:ascii="宋体" w:cs="宋体"/>
          <w:color w:val="auto"/>
          <w:sz w:val="24"/>
          <w:szCs w:val="24"/>
          <w:highlight w:val="none"/>
        </w:rPr>
        <w:t>0</w:t>
      </w:r>
      <w:r>
        <w:rPr>
          <w:rFonts w:hint="eastAsia" w:ascii="宋体" w:hAnsi="宋体" w:cs="宋体"/>
          <w:color w:val="auto"/>
          <w:sz w:val="24"/>
          <w:szCs w:val="24"/>
          <w:highlight w:val="none"/>
        </w:rPr>
        <w:t>”元，视同赠送）</w:t>
      </w:r>
      <w:r>
        <w:rPr>
          <w:rFonts w:ascii="宋体" w:cs="宋体"/>
          <w:color w:val="auto"/>
          <w:sz w:val="24"/>
          <w:szCs w:val="24"/>
          <w:highlight w:val="none"/>
        </w:rPr>
        <w:t>,</w:t>
      </w:r>
      <w:r>
        <w:rPr>
          <w:rFonts w:hint="eastAsia" w:ascii="宋体" w:hAnsi="宋体" w:cs="宋体"/>
          <w:color w:val="auto"/>
          <w:sz w:val="24"/>
          <w:szCs w:val="24"/>
          <w:highlight w:val="none"/>
        </w:rPr>
        <w:t>如出现则做</w:t>
      </w:r>
      <w:r>
        <w:rPr>
          <w:rFonts w:hint="eastAsia" w:ascii="宋体" w:hAnsi="宋体" w:cs="宋体"/>
          <w:b/>
          <w:bCs/>
          <w:color w:val="auto"/>
          <w:sz w:val="24"/>
          <w:szCs w:val="24"/>
          <w:highlight w:val="none"/>
        </w:rPr>
        <w:t>无效响应</w:t>
      </w:r>
      <w:r>
        <w:rPr>
          <w:rFonts w:hint="eastAsia" w:ascii="宋体" w:hAnsi="宋体" w:cs="宋体"/>
          <w:color w:val="auto"/>
          <w:sz w:val="24"/>
          <w:szCs w:val="24"/>
          <w:highlight w:val="none"/>
        </w:rPr>
        <w:t>处理。</w:t>
      </w:r>
    </w:p>
    <w:p w14:paraId="043C99A5">
      <w:pPr>
        <w:autoSpaceDE w:val="0"/>
        <w:autoSpaceDN w:val="0"/>
        <w:spacing w:line="360" w:lineRule="auto"/>
        <w:ind w:firstLine="482"/>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投标价格的合理性</w:t>
      </w:r>
      <w:r>
        <w:rPr>
          <w:rFonts w:hint="eastAsia" w:ascii="宋体" w:hAnsi="宋体" w:cs="宋体"/>
          <w:color w:val="auto"/>
          <w:sz w:val="24"/>
          <w:szCs w:val="24"/>
          <w:highlight w:val="none"/>
        </w:rPr>
        <w:t>：</w:t>
      </w:r>
      <w:r>
        <w:rPr>
          <w:rFonts w:hint="eastAsia" w:ascii="Arial" w:hAnsi="Arial" w:cs="宋体"/>
          <w:color w:val="auto"/>
          <w:sz w:val="24"/>
          <w:szCs w:val="24"/>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响应处理。</w:t>
      </w:r>
    </w:p>
    <w:p w14:paraId="3E8BF4C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价格扣除：根据工信部等部委发布的《关于印发中小企业划型标准规定的通知》（工信部联企业〔2011〕300号），根据具体品目确定相应标准。符合上述条件的中小微型企业应按照招标文件的格式要求提供《中小企业声明函》及其相关的充分的证明材料。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9FA0531">
      <w:pPr>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根据</w:t>
      </w:r>
      <w:r>
        <w:rPr>
          <w:rFonts w:hint="eastAsia" w:ascii="宋体" w:hAnsi="宋体"/>
          <w:color w:val="auto"/>
          <w:sz w:val="24"/>
          <w:szCs w:val="21"/>
          <w:highlight w:val="none"/>
          <w:lang w:val="en-US" w:eastAsia="zh-CN"/>
        </w:rPr>
        <w:t>财政部</w:t>
      </w:r>
      <w:r>
        <w:rPr>
          <w:rFonts w:hint="eastAsia" w:ascii="宋体" w:hAnsi="宋体"/>
          <w:color w:val="auto"/>
          <w:sz w:val="24"/>
          <w:szCs w:val="21"/>
          <w:highlight w:val="none"/>
        </w:rPr>
        <w:t>的《关于进一步加大政府采购支持中小企业力度的通知》（</w:t>
      </w:r>
      <w:r>
        <w:rPr>
          <w:rFonts w:hint="eastAsia" w:ascii="宋体" w:hAnsi="宋体"/>
          <w:color w:val="auto"/>
          <w:sz w:val="24"/>
          <w:szCs w:val="21"/>
          <w:highlight w:val="none"/>
          <w:lang w:val="en-US" w:eastAsia="zh-CN"/>
        </w:rPr>
        <w:t>财库</w:t>
      </w:r>
      <w:r>
        <w:rPr>
          <w:rFonts w:hint="eastAsia" w:ascii="宋体" w:hAnsi="宋体"/>
          <w:color w:val="auto"/>
          <w:sz w:val="24"/>
          <w:szCs w:val="21"/>
          <w:highlight w:val="none"/>
        </w:rPr>
        <w:t>〔2022〕</w:t>
      </w:r>
      <w:r>
        <w:rPr>
          <w:rFonts w:hint="eastAsia" w:ascii="宋体" w:hAnsi="宋体"/>
          <w:color w:val="auto"/>
          <w:sz w:val="24"/>
          <w:szCs w:val="21"/>
          <w:highlight w:val="none"/>
          <w:lang w:val="en-US" w:eastAsia="zh-CN"/>
        </w:rPr>
        <w:t>19</w:t>
      </w:r>
      <w:r>
        <w:rPr>
          <w:rFonts w:hint="eastAsia" w:ascii="宋体" w:hAnsi="宋体"/>
          <w:color w:val="auto"/>
          <w:sz w:val="24"/>
          <w:szCs w:val="21"/>
          <w:highlight w:val="none"/>
        </w:rPr>
        <w:t>号）规定，货物和服务项目中未预留份额专门面向中小企业采购的，以及预留份额项目中的非预留部分采购包，采购单位、采购代理机构应结合项目实际，对符合规定的小微企业报价按</w:t>
      </w:r>
      <w:r>
        <w:rPr>
          <w:rFonts w:hint="eastAsia" w:ascii="宋体" w:hAnsi="宋体"/>
          <w:color w:val="auto"/>
          <w:sz w:val="24"/>
          <w:szCs w:val="21"/>
          <w:highlight w:val="none"/>
          <w:lang w:val="en-US" w:eastAsia="zh-CN"/>
        </w:rPr>
        <w:t>10%</w:t>
      </w:r>
      <w:r>
        <w:rPr>
          <w:rFonts w:hint="eastAsia" w:ascii="宋体" w:hAnsi="宋体"/>
          <w:color w:val="auto"/>
          <w:sz w:val="24"/>
          <w:szCs w:val="21"/>
          <w:highlight w:val="none"/>
        </w:rPr>
        <w:t>给予扣除，用扣除后的价格参加评审；对于联合协议或者分包意向协议约定小微企业的合同份额占到合同总金额30%以上的，采购单位、采购代理机构应结合项目实际，对联合体或者大中型企业的报价按</w:t>
      </w:r>
      <w:r>
        <w:rPr>
          <w:rFonts w:hint="eastAsia" w:ascii="宋体" w:hAnsi="宋体"/>
          <w:color w:val="auto"/>
          <w:sz w:val="24"/>
          <w:szCs w:val="21"/>
          <w:highlight w:val="none"/>
          <w:lang w:val="en-US" w:eastAsia="zh-CN"/>
        </w:rPr>
        <w:t>4%</w:t>
      </w:r>
      <w:r>
        <w:rPr>
          <w:rFonts w:hint="eastAsia" w:ascii="宋体" w:hAnsi="宋体"/>
          <w:color w:val="auto"/>
          <w:sz w:val="24"/>
          <w:szCs w:val="21"/>
          <w:highlight w:val="none"/>
        </w:rPr>
        <w:t>给予扣除，用扣除后的价格参加评审。（中标价及合同价仍以其投标报价为准）</w:t>
      </w:r>
    </w:p>
    <w:p w14:paraId="62F15330">
      <w:pPr>
        <w:spacing w:line="360" w:lineRule="auto"/>
        <w:ind w:firstLine="480" w:firstLineChars="200"/>
        <w:rPr>
          <w:rFonts w:ascii="宋体"/>
          <w:color w:val="auto"/>
          <w:sz w:val="24"/>
          <w:szCs w:val="24"/>
          <w:highlight w:val="none"/>
        </w:rPr>
      </w:pPr>
      <w:r>
        <w:rPr>
          <w:rFonts w:hint="eastAsia" w:ascii="宋体" w:hAnsi="宋体"/>
          <w:color w:val="auto"/>
          <w:sz w:val="24"/>
          <w:szCs w:val="21"/>
          <w:highlight w:val="none"/>
        </w:rPr>
        <w:t>组成联合体或者接受分包的小微企业与联合体内其他企业、分包企业之间存在直接控股、管理关系的，不享受价格扣除优惠政策。联合体各方均为小型、微型企业的，联合体视同为小型、微型企业</w:t>
      </w:r>
      <w:r>
        <w:rPr>
          <w:rFonts w:hint="eastAsia" w:ascii="宋体" w:hAnsi="宋体" w:cs="宋体"/>
          <w:color w:val="auto"/>
          <w:sz w:val="24"/>
          <w:szCs w:val="24"/>
          <w:highlight w:val="none"/>
        </w:rPr>
        <w:t>。</w:t>
      </w:r>
    </w:p>
    <w:p w14:paraId="70AAD277">
      <w:pPr>
        <w:numPr>
          <w:ilvl w:val="0"/>
          <w:numId w:val="18"/>
        </w:num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商务技术文件评标内容及标准（</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rPr>
        <w:t>80</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分）</w:t>
      </w:r>
    </w:p>
    <w:p w14:paraId="33CD0BA8">
      <w:pPr>
        <w:numPr>
          <w:ilvl w:val="0"/>
          <w:numId w:val="0"/>
        </w:num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1、评分细则</w:t>
      </w:r>
    </w:p>
    <w:tbl>
      <w:tblPr>
        <w:tblStyle w:val="26"/>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1527"/>
        <w:gridCol w:w="5892"/>
        <w:gridCol w:w="779"/>
      </w:tblGrid>
      <w:tr w14:paraId="28292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80" w:type="dxa"/>
            <w:tcBorders>
              <w:top w:val="single" w:color="auto" w:sz="4" w:space="0"/>
              <w:left w:val="single" w:color="auto" w:sz="4" w:space="0"/>
              <w:bottom w:val="single" w:color="auto" w:sz="4" w:space="0"/>
              <w:right w:val="single" w:color="auto" w:sz="4" w:space="0"/>
            </w:tcBorders>
            <w:noWrap w:val="0"/>
            <w:vAlign w:val="center"/>
          </w:tcPr>
          <w:p w14:paraId="4F28E2AD">
            <w:pPr>
              <w:keepNext w:val="0"/>
              <w:keepLines w:val="0"/>
              <w:pageBreakBefore w:val="0"/>
              <w:kinsoku/>
              <w:wordWrap/>
              <w:overflowPunct/>
              <w:topLinePunct w:val="0"/>
              <w:bidi w:val="0"/>
              <w:adjustRightInd w:val="0"/>
              <w:snapToGrid/>
              <w:spacing w:line="420" w:lineRule="exact"/>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评分项目</w:t>
            </w:r>
          </w:p>
        </w:tc>
        <w:tc>
          <w:tcPr>
            <w:tcW w:w="7419" w:type="dxa"/>
            <w:gridSpan w:val="2"/>
            <w:tcBorders>
              <w:top w:val="single" w:color="auto" w:sz="4" w:space="0"/>
              <w:left w:val="single" w:color="auto" w:sz="4" w:space="0"/>
              <w:bottom w:val="single" w:color="auto" w:sz="4" w:space="0"/>
              <w:right w:val="single" w:color="auto" w:sz="4" w:space="0"/>
            </w:tcBorders>
            <w:noWrap w:val="0"/>
            <w:vAlign w:val="center"/>
          </w:tcPr>
          <w:p w14:paraId="3F683FD2">
            <w:pPr>
              <w:keepNext w:val="0"/>
              <w:keepLines w:val="0"/>
              <w:pageBreakBefore w:val="0"/>
              <w:kinsoku/>
              <w:wordWrap/>
              <w:overflowPunct/>
              <w:topLinePunct w:val="0"/>
              <w:bidi w:val="0"/>
              <w:adjustRightInd w:val="0"/>
              <w:snapToGrid/>
              <w:spacing w:line="420" w:lineRule="exact"/>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评标要点及说明</w:t>
            </w:r>
          </w:p>
        </w:tc>
        <w:tc>
          <w:tcPr>
            <w:tcW w:w="779" w:type="dxa"/>
            <w:tcBorders>
              <w:top w:val="single" w:color="auto" w:sz="4" w:space="0"/>
              <w:left w:val="single" w:color="auto" w:sz="4" w:space="0"/>
              <w:bottom w:val="single" w:color="auto" w:sz="4" w:space="0"/>
              <w:right w:val="single" w:color="auto" w:sz="4" w:space="0"/>
            </w:tcBorders>
            <w:noWrap w:val="0"/>
            <w:vAlign w:val="center"/>
          </w:tcPr>
          <w:p w14:paraId="16F5FCBB">
            <w:pPr>
              <w:keepNext w:val="0"/>
              <w:keepLines w:val="0"/>
              <w:pageBreakBefore w:val="0"/>
              <w:kinsoku/>
              <w:wordWrap/>
              <w:overflowPunct/>
              <w:topLinePunct w:val="0"/>
              <w:bidi w:val="0"/>
              <w:adjustRightInd w:val="0"/>
              <w:snapToGrid/>
              <w:spacing w:line="420" w:lineRule="exact"/>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分值</w:t>
            </w:r>
          </w:p>
        </w:tc>
      </w:tr>
      <w:tr w14:paraId="2FC57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80" w:type="dxa"/>
            <w:vMerge w:val="restart"/>
            <w:tcBorders>
              <w:left w:val="single" w:color="auto" w:sz="4" w:space="0"/>
              <w:right w:val="single" w:color="auto" w:sz="4" w:space="0"/>
            </w:tcBorders>
            <w:noWrap w:val="0"/>
            <w:vAlign w:val="center"/>
          </w:tcPr>
          <w:p w14:paraId="71CBD131">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iCs/>
                <w:color w:val="auto"/>
                <w:sz w:val="24"/>
                <w:szCs w:val="24"/>
                <w:lang w:val="en-US" w:eastAsia="zh-CN"/>
              </w:rPr>
            </w:pPr>
            <w:r>
              <w:rPr>
                <w:rFonts w:hint="eastAsia" w:ascii="宋体" w:hAnsi="宋体" w:eastAsia="宋体" w:cs="宋体"/>
                <w:b w:val="0"/>
                <w:bCs w:val="0"/>
                <w:iCs/>
                <w:color w:val="auto"/>
                <w:sz w:val="24"/>
                <w:szCs w:val="24"/>
                <w:lang w:val="en-US" w:eastAsia="zh-CN"/>
              </w:rPr>
              <w:t>技术部分（72分）</w:t>
            </w:r>
          </w:p>
        </w:tc>
        <w:tc>
          <w:tcPr>
            <w:tcW w:w="1527" w:type="dxa"/>
            <w:tcBorders>
              <w:left w:val="single" w:color="auto" w:sz="4" w:space="0"/>
              <w:right w:val="single" w:color="auto" w:sz="4" w:space="0"/>
            </w:tcBorders>
            <w:noWrap w:val="0"/>
            <w:vAlign w:val="center"/>
          </w:tcPr>
          <w:p w14:paraId="67B23B22">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项目理解</w:t>
            </w:r>
          </w:p>
        </w:tc>
        <w:tc>
          <w:tcPr>
            <w:tcW w:w="5892" w:type="dxa"/>
            <w:tcBorders>
              <w:top w:val="single" w:color="auto" w:sz="4" w:space="0"/>
              <w:left w:val="single" w:color="auto" w:sz="4" w:space="0"/>
              <w:right w:val="single" w:color="auto" w:sz="4" w:space="0"/>
            </w:tcBorders>
            <w:noWrap w:val="0"/>
            <w:vAlign w:val="center"/>
          </w:tcPr>
          <w:p w14:paraId="46D59179">
            <w:pPr>
              <w:keepNext w:val="0"/>
              <w:keepLines w:val="0"/>
              <w:pageBreakBefore w:val="0"/>
              <w:kinsoku/>
              <w:wordWrap/>
              <w:overflowPunct/>
              <w:topLinePunct w:val="0"/>
              <w:bidi w:val="0"/>
              <w:snapToGrid/>
              <w:spacing w:line="42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根据</w:t>
            </w:r>
            <w:r>
              <w:rPr>
                <w:rFonts w:hint="eastAsia" w:ascii="宋体" w:hAnsi="宋体" w:eastAsia="宋体" w:cs="宋体"/>
                <w:b w:val="0"/>
                <w:bCs/>
                <w:color w:val="auto"/>
                <w:sz w:val="24"/>
                <w:szCs w:val="24"/>
              </w:rPr>
              <w:t>供应商</w:t>
            </w:r>
            <w:r>
              <w:rPr>
                <w:rFonts w:hint="eastAsia" w:ascii="宋体" w:hAnsi="宋体" w:eastAsia="宋体" w:cs="宋体"/>
                <w:b w:val="0"/>
                <w:bCs w:val="0"/>
                <w:color w:val="auto"/>
                <w:sz w:val="24"/>
                <w:szCs w:val="24"/>
              </w:rPr>
              <w:t>对本项目情况的理解和服务要求的熟悉程度进行打分。</w:t>
            </w:r>
          </w:p>
        </w:tc>
        <w:tc>
          <w:tcPr>
            <w:tcW w:w="779" w:type="dxa"/>
            <w:tcBorders>
              <w:top w:val="single" w:color="auto" w:sz="4" w:space="0"/>
              <w:left w:val="single" w:color="auto" w:sz="4" w:space="0"/>
              <w:right w:val="single" w:color="auto" w:sz="4" w:space="0"/>
            </w:tcBorders>
            <w:noWrap w:val="0"/>
            <w:vAlign w:val="center"/>
          </w:tcPr>
          <w:p w14:paraId="1ED5AC15">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iCs/>
                <w:color w:val="auto"/>
                <w:sz w:val="24"/>
                <w:szCs w:val="24"/>
                <w:lang w:val="en-US" w:eastAsia="zh-CN"/>
              </w:rPr>
              <w:t>5</w:t>
            </w:r>
          </w:p>
        </w:tc>
      </w:tr>
      <w:tr w14:paraId="41B58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80" w:type="dxa"/>
            <w:vMerge w:val="continue"/>
            <w:tcBorders>
              <w:left w:val="single" w:color="auto" w:sz="4" w:space="0"/>
              <w:right w:val="single" w:color="auto" w:sz="4" w:space="0"/>
            </w:tcBorders>
            <w:noWrap w:val="0"/>
            <w:vAlign w:val="center"/>
          </w:tcPr>
          <w:p w14:paraId="17E4CA2E">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color w:val="auto"/>
                <w:sz w:val="24"/>
                <w:szCs w:val="24"/>
              </w:rPr>
            </w:pPr>
          </w:p>
        </w:tc>
        <w:tc>
          <w:tcPr>
            <w:tcW w:w="1527" w:type="dxa"/>
            <w:vMerge w:val="restart"/>
            <w:tcBorders>
              <w:left w:val="single" w:color="auto" w:sz="4" w:space="0"/>
              <w:right w:val="single" w:color="auto" w:sz="4" w:space="0"/>
            </w:tcBorders>
            <w:noWrap w:val="0"/>
            <w:vAlign w:val="center"/>
          </w:tcPr>
          <w:p w14:paraId="67FE9D29">
            <w:pPr>
              <w:keepNext w:val="0"/>
              <w:keepLines w:val="0"/>
              <w:pageBreakBefore w:val="0"/>
              <w:kinsoku/>
              <w:wordWrap/>
              <w:overflowPunct/>
              <w:topLinePunct w:val="0"/>
              <w:bidi w:val="0"/>
              <w:snapToGrid/>
              <w:spacing w:line="420" w:lineRule="exact"/>
              <w:jc w:val="center"/>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iCs/>
                <w:color w:val="auto"/>
                <w:sz w:val="24"/>
                <w:szCs w:val="24"/>
                <w:highlight w:val="none"/>
              </w:rPr>
              <w:t>重难点分析</w:t>
            </w:r>
            <w:r>
              <w:rPr>
                <w:rFonts w:hint="eastAsia" w:ascii="宋体" w:hAnsi="宋体" w:eastAsia="宋体" w:cs="宋体"/>
                <w:b w:val="0"/>
                <w:bCs w:val="0"/>
                <w:iCs/>
                <w:color w:val="auto"/>
                <w:sz w:val="24"/>
                <w:szCs w:val="24"/>
                <w:highlight w:val="none"/>
                <w:lang w:val="en-US" w:eastAsia="zh-CN"/>
              </w:rPr>
              <w:t>及解决措施</w:t>
            </w:r>
          </w:p>
        </w:tc>
        <w:tc>
          <w:tcPr>
            <w:tcW w:w="5892" w:type="dxa"/>
            <w:tcBorders>
              <w:top w:val="single" w:color="auto" w:sz="4" w:space="0"/>
              <w:left w:val="single" w:color="auto" w:sz="4" w:space="0"/>
              <w:right w:val="single" w:color="auto" w:sz="4" w:space="0"/>
            </w:tcBorders>
            <w:noWrap w:val="0"/>
            <w:vAlign w:val="center"/>
          </w:tcPr>
          <w:p w14:paraId="08E76D25">
            <w:pPr>
              <w:keepNext w:val="0"/>
              <w:keepLines w:val="0"/>
              <w:pageBreakBefore w:val="0"/>
              <w:kinsoku/>
              <w:wordWrap/>
              <w:overflowPunct/>
              <w:topLinePunct w:val="0"/>
              <w:bidi w:val="0"/>
              <w:snapToGrid/>
              <w:spacing w:line="420" w:lineRule="exact"/>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color w:val="auto"/>
                <w:sz w:val="24"/>
                <w:szCs w:val="24"/>
                <w:lang w:val="en-US" w:eastAsia="zh-CN"/>
              </w:rPr>
              <w:t>根据</w:t>
            </w:r>
            <w:r>
              <w:rPr>
                <w:rFonts w:hint="eastAsia" w:ascii="宋体" w:hAnsi="宋体" w:eastAsia="宋体" w:cs="宋体"/>
                <w:b w:val="0"/>
                <w:bCs/>
                <w:color w:val="auto"/>
                <w:sz w:val="24"/>
                <w:szCs w:val="24"/>
              </w:rPr>
              <w:t>供应商</w:t>
            </w:r>
            <w:r>
              <w:rPr>
                <w:rFonts w:hint="eastAsia" w:ascii="宋体" w:hAnsi="宋体" w:eastAsia="宋体" w:cs="宋体"/>
                <w:b w:val="0"/>
                <w:bCs w:val="0"/>
                <w:iCs/>
                <w:color w:val="auto"/>
                <w:sz w:val="24"/>
                <w:szCs w:val="24"/>
                <w:highlight w:val="none"/>
              </w:rPr>
              <w:t>针对本项目</w:t>
            </w:r>
            <w:r>
              <w:rPr>
                <w:rFonts w:hint="eastAsia" w:ascii="宋体" w:hAnsi="宋体" w:eastAsia="宋体" w:cs="宋体"/>
                <w:b w:val="0"/>
                <w:bCs/>
                <w:color w:val="auto"/>
                <w:sz w:val="24"/>
                <w:szCs w:val="24"/>
                <w:lang w:val="en-US" w:eastAsia="zh-CN"/>
              </w:rPr>
              <w:t>实施过程中可能出现的</w:t>
            </w:r>
            <w:r>
              <w:rPr>
                <w:rFonts w:hint="eastAsia" w:ascii="宋体" w:hAnsi="宋体" w:eastAsia="宋体" w:cs="宋体"/>
                <w:b w:val="0"/>
                <w:bCs w:val="0"/>
                <w:iCs/>
                <w:color w:val="auto"/>
                <w:sz w:val="24"/>
                <w:szCs w:val="24"/>
                <w:highlight w:val="none"/>
              </w:rPr>
              <w:t>重点、难点进行梳理、剖析</w:t>
            </w:r>
            <w:r>
              <w:rPr>
                <w:rFonts w:hint="eastAsia" w:ascii="宋体" w:hAnsi="宋体" w:eastAsia="宋体" w:cs="宋体"/>
                <w:b w:val="0"/>
                <w:bCs w:val="0"/>
                <w:iCs/>
                <w:color w:val="auto"/>
                <w:sz w:val="24"/>
                <w:szCs w:val="24"/>
                <w:highlight w:val="none"/>
                <w:lang w:val="en-US" w:eastAsia="zh-CN"/>
              </w:rPr>
              <w:t>情况进行</w:t>
            </w:r>
            <w:r>
              <w:rPr>
                <w:rFonts w:hint="eastAsia" w:ascii="宋体" w:hAnsi="宋体" w:eastAsia="宋体" w:cs="宋体"/>
                <w:b w:val="0"/>
                <w:bCs w:val="0"/>
                <w:iCs/>
                <w:color w:val="auto"/>
                <w:sz w:val="24"/>
                <w:szCs w:val="24"/>
                <w:highlight w:val="none"/>
              </w:rPr>
              <w:t>打分</w:t>
            </w:r>
            <w:r>
              <w:rPr>
                <w:rFonts w:hint="eastAsia" w:ascii="宋体" w:hAnsi="宋体" w:eastAsia="宋体" w:cs="宋体"/>
                <w:b w:val="0"/>
                <w:bCs w:val="0"/>
                <w:iCs/>
                <w:color w:val="auto"/>
                <w:sz w:val="24"/>
                <w:szCs w:val="24"/>
                <w:highlight w:val="none"/>
                <w:lang w:eastAsia="zh-CN"/>
              </w:rPr>
              <w:t>。</w:t>
            </w:r>
          </w:p>
        </w:tc>
        <w:tc>
          <w:tcPr>
            <w:tcW w:w="779" w:type="dxa"/>
            <w:tcBorders>
              <w:top w:val="single" w:color="auto" w:sz="4" w:space="0"/>
              <w:left w:val="single" w:color="auto" w:sz="4" w:space="0"/>
              <w:right w:val="single" w:color="auto" w:sz="4" w:space="0"/>
            </w:tcBorders>
            <w:noWrap w:val="0"/>
            <w:vAlign w:val="center"/>
          </w:tcPr>
          <w:p w14:paraId="23EE442B">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iCs/>
                <w:color w:val="auto"/>
                <w:sz w:val="24"/>
                <w:szCs w:val="24"/>
                <w:lang w:eastAsia="zh-CN"/>
              </w:rPr>
            </w:pPr>
            <w:r>
              <w:rPr>
                <w:rFonts w:hint="eastAsia" w:ascii="宋体" w:hAnsi="宋体" w:eastAsia="宋体" w:cs="宋体"/>
                <w:b w:val="0"/>
                <w:bCs w:val="0"/>
                <w:iCs/>
                <w:color w:val="auto"/>
                <w:sz w:val="24"/>
                <w:szCs w:val="24"/>
                <w:highlight w:val="none"/>
                <w:lang w:val="en-US" w:eastAsia="zh-CN"/>
              </w:rPr>
              <w:t>5</w:t>
            </w:r>
          </w:p>
        </w:tc>
      </w:tr>
      <w:tr w14:paraId="216F8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80" w:type="dxa"/>
            <w:vMerge w:val="continue"/>
            <w:tcBorders>
              <w:left w:val="single" w:color="auto" w:sz="4" w:space="0"/>
              <w:right w:val="single" w:color="auto" w:sz="4" w:space="0"/>
            </w:tcBorders>
            <w:noWrap w:val="0"/>
            <w:vAlign w:val="center"/>
          </w:tcPr>
          <w:p w14:paraId="30535F67">
            <w:pPr>
              <w:keepNext w:val="0"/>
              <w:keepLines w:val="0"/>
              <w:pageBreakBefore w:val="0"/>
              <w:kinsoku/>
              <w:wordWrap/>
              <w:overflowPunct/>
              <w:topLinePunct w:val="0"/>
              <w:bidi w:val="0"/>
              <w:snapToGrid/>
              <w:spacing w:line="420" w:lineRule="exact"/>
              <w:jc w:val="left"/>
              <w:textAlignment w:val="auto"/>
              <w:rPr>
                <w:color w:val="auto"/>
              </w:rPr>
            </w:pPr>
          </w:p>
        </w:tc>
        <w:tc>
          <w:tcPr>
            <w:tcW w:w="1527" w:type="dxa"/>
            <w:vMerge w:val="continue"/>
            <w:tcBorders>
              <w:left w:val="single" w:color="auto" w:sz="4" w:space="0"/>
              <w:right w:val="single" w:color="auto" w:sz="4" w:space="0"/>
            </w:tcBorders>
            <w:noWrap w:val="0"/>
            <w:vAlign w:val="center"/>
          </w:tcPr>
          <w:p w14:paraId="0FD0407B">
            <w:pPr>
              <w:keepNext w:val="0"/>
              <w:keepLines w:val="0"/>
              <w:pageBreakBefore w:val="0"/>
              <w:kinsoku/>
              <w:wordWrap/>
              <w:overflowPunct/>
              <w:topLinePunct w:val="0"/>
              <w:bidi w:val="0"/>
              <w:snapToGrid/>
              <w:spacing w:line="420" w:lineRule="exact"/>
              <w:jc w:val="left"/>
              <w:textAlignment w:val="auto"/>
              <w:rPr>
                <w:color w:val="auto"/>
              </w:rPr>
            </w:pPr>
          </w:p>
        </w:tc>
        <w:tc>
          <w:tcPr>
            <w:tcW w:w="5892" w:type="dxa"/>
            <w:tcBorders>
              <w:top w:val="single" w:color="auto" w:sz="4" w:space="0"/>
              <w:left w:val="single" w:color="auto" w:sz="4" w:space="0"/>
              <w:right w:val="single" w:color="auto" w:sz="4" w:space="0"/>
            </w:tcBorders>
            <w:noWrap w:val="0"/>
            <w:vAlign w:val="center"/>
          </w:tcPr>
          <w:p w14:paraId="47D69741">
            <w:pPr>
              <w:keepNext w:val="0"/>
              <w:keepLines w:val="0"/>
              <w:pageBreakBefore w:val="0"/>
              <w:kinsoku/>
              <w:wordWrap/>
              <w:overflowPunct/>
              <w:topLinePunct w:val="0"/>
              <w:bidi w:val="0"/>
              <w:snapToGrid/>
              <w:spacing w:line="420" w:lineRule="exact"/>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根据</w:t>
            </w:r>
            <w:r>
              <w:rPr>
                <w:rFonts w:hint="eastAsia" w:ascii="宋体" w:hAnsi="宋体" w:eastAsia="宋体" w:cs="宋体"/>
                <w:b w:val="0"/>
                <w:bCs/>
                <w:color w:val="auto"/>
                <w:sz w:val="24"/>
                <w:szCs w:val="24"/>
              </w:rPr>
              <w:t>供应商</w:t>
            </w:r>
            <w:r>
              <w:rPr>
                <w:rFonts w:hint="eastAsia" w:ascii="宋体" w:hAnsi="宋体" w:eastAsia="宋体" w:cs="宋体"/>
                <w:b w:val="0"/>
                <w:bCs w:val="0"/>
                <w:iCs/>
                <w:color w:val="auto"/>
                <w:sz w:val="24"/>
                <w:szCs w:val="24"/>
                <w:highlight w:val="none"/>
              </w:rPr>
              <w:t>针对本项目</w:t>
            </w:r>
            <w:r>
              <w:rPr>
                <w:rFonts w:hint="eastAsia" w:ascii="宋体" w:hAnsi="宋体" w:eastAsia="宋体" w:cs="宋体"/>
                <w:b w:val="0"/>
                <w:bCs/>
                <w:color w:val="auto"/>
                <w:sz w:val="24"/>
                <w:szCs w:val="24"/>
                <w:lang w:val="en-US" w:eastAsia="zh-CN"/>
              </w:rPr>
              <w:t>实施过程中可能出现的重难点问题拟采取的解决措施进行打分。</w:t>
            </w:r>
          </w:p>
        </w:tc>
        <w:tc>
          <w:tcPr>
            <w:tcW w:w="779" w:type="dxa"/>
            <w:tcBorders>
              <w:left w:val="single" w:color="auto" w:sz="4" w:space="0"/>
              <w:right w:val="single" w:color="auto" w:sz="4" w:space="0"/>
            </w:tcBorders>
            <w:noWrap w:val="0"/>
            <w:vAlign w:val="center"/>
          </w:tcPr>
          <w:p w14:paraId="1D95617A">
            <w:pPr>
              <w:keepNext w:val="0"/>
              <w:keepLines w:val="0"/>
              <w:pageBreakBefore w:val="0"/>
              <w:kinsoku/>
              <w:wordWrap/>
              <w:overflowPunct/>
              <w:topLinePunct w:val="0"/>
              <w:bidi w:val="0"/>
              <w:snapToGrid/>
              <w:spacing w:line="420" w:lineRule="exact"/>
              <w:jc w:val="center"/>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w:t>
            </w:r>
          </w:p>
        </w:tc>
      </w:tr>
      <w:tr w14:paraId="17A7F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80" w:type="dxa"/>
            <w:vMerge w:val="continue"/>
            <w:tcBorders>
              <w:left w:val="single" w:color="auto" w:sz="4" w:space="0"/>
              <w:right w:val="single" w:color="auto" w:sz="4" w:space="0"/>
            </w:tcBorders>
            <w:noWrap w:val="0"/>
            <w:vAlign w:val="center"/>
          </w:tcPr>
          <w:p w14:paraId="3E4E9BFA">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color w:val="auto"/>
                <w:sz w:val="24"/>
                <w:szCs w:val="24"/>
              </w:rPr>
            </w:pPr>
          </w:p>
        </w:tc>
        <w:tc>
          <w:tcPr>
            <w:tcW w:w="1527" w:type="dxa"/>
            <w:vMerge w:val="restart"/>
            <w:tcBorders>
              <w:left w:val="single" w:color="auto" w:sz="4" w:space="0"/>
              <w:right w:val="single" w:color="auto" w:sz="4" w:space="0"/>
            </w:tcBorders>
            <w:noWrap w:val="0"/>
            <w:vAlign w:val="center"/>
          </w:tcPr>
          <w:p w14:paraId="3EE27165">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技术服务方案</w:t>
            </w:r>
          </w:p>
        </w:tc>
        <w:tc>
          <w:tcPr>
            <w:tcW w:w="5892" w:type="dxa"/>
            <w:tcBorders>
              <w:top w:val="single" w:color="auto" w:sz="4" w:space="0"/>
              <w:left w:val="single" w:color="auto" w:sz="4" w:space="0"/>
              <w:right w:val="single" w:color="auto" w:sz="4" w:space="0"/>
            </w:tcBorders>
            <w:noWrap w:val="0"/>
            <w:vAlign w:val="center"/>
          </w:tcPr>
          <w:p w14:paraId="55D2D7BA">
            <w:pPr>
              <w:spacing w:line="360" w:lineRule="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rPr>
              <w:t>根据供应商针对本项目提供的</w:t>
            </w:r>
            <w:r>
              <w:rPr>
                <w:rFonts w:hint="eastAsia" w:ascii="宋体" w:hAnsi="宋体" w:eastAsia="宋体" w:cs="宋体"/>
                <w:b w:val="0"/>
                <w:bCs/>
                <w:color w:val="auto"/>
                <w:sz w:val="24"/>
                <w:szCs w:val="24"/>
                <w:highlight w:val="none"/>
                <w:lang w:val="en-US" w:eastAsia="zh-CN"/>
              </w:rPr>
              <w:t>小环境保障服务方案的</w:t>
            </w:r>
            <w:r>
              <w:rPr>
                <w:rFonts w:hint="eastAsia" w:ascii="宋体" w:hAnsi="宋体" w:cs="宋体"/>
                <w:b w:val="0"/>
                <w:bCs/>
                <w:color w:val="auto"/>
                <w:sz w:val="24"/>
                <w:szCs w:val="24"/>
                <w:highlight w:val="none"/>
                <w:lang w:val="en-US" w:eastAsia="zh-CN"/>
              </w:rPr>
              <w:t>科学性、合理性</w:t>
            </w:r>
            <w:r>
              <w:rPr>
                <w:rFonts w:hint="eastAsia" w:ascii="宋体" w:hAnsi="宋体" w:eastAsia="宋体" w:cs="宋体"/>
                <w:b w:val="0"/>
                <w:bCs/>
                <w:color w:val="auto"/>
                <w:sz w:val="24"/>
                <w:szCs w:val="24"/>
                <w:highlight w:val="none"/>
                <w:lang w:val="en-US" w:eastAsia="zh-CN"/>
              </w:rPr>
              <w:t>进行</w:t>
            </w:r>
            <w:r>
              <w:rPr>
                <w:rFonts w:hint="eastAsia" w:ascii="宋体" w:hAnsi="宋体" w:cs="宋体"/>
                <w:b w:val="0"/>
                <w:bCs/>
                <w:color w:val="auto"/>
                <w:sz w:val="24"/>
                <w:szCs w:val="24"/>
                <w:highlight w:val="none"/>
                <w:lang w:val="en-US" w:eastAsia="zh-CN"/>
              </w:rPr>
              <w:t>打</w:t>
            </w:r>
            <w:r>
              <w:rPr>
                <w:rFonts w:hint="eastAsia" w:ascii="宋体" w:hAnsi="宋体" w:eastAsia="宋体" w:cs="宋体"/>
                <w:b w:val="0"/>
                <w:bCs/>
                <w:color w:val="auto"/>
                <w:sz w:val="24"/>
                <w:szCs w:val="24"/>
                <w:highlight w:val="none"/>
                <w:lang w:val="en-US" w:eastAsia="zh-CN"/>
              </w:rPr>
              <w:t>分</w:t>
            </w:r>
            <w:r>
              <w:rPr>
                <w:rFonts w:hint="eastAsia" w:ascii="宋体" w:hAnsi="宋体" w:eastAsia="宋体" w:cs="宋体"/>
                <w:b w:val="0"/>
                <w:bCs/>
                <w:color w:val="auto"/>
                <w:sz w:val="24"/>
                <w:szCs w:val="24"/>
                <w:highlight w:val="none"/>
              </w:rPr>
              <w:t>。</w:t>
            </w:r>
          </w:p>
        </w:tc>
        <w:tc>
          <w:tcPr>
            <w:tcW w:w="779" w:type="dxa"/>
            <w:tcBorders>
              <w:top w:val="single" w:color="auto" w:sz="4" w:space="0"/>
              <w:left w:val="single" w:color="auto" w:sz="4" w:space="0"/>
              <w:right w:val="single" w:color="auto" w:sz="4" w:space="0"/>
            </w:tcBorders>
            <w:noWrap w:val="0"/>
            <w:vAlign w:val="center"/>
          </w:tcPr>
          <w:p w14:paraId="60E8BBA0">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5</w:t>
            </w:r>
          </w:p>
        </w:tc>
      </w:tr>
      <w:tr w14:paraId="1462A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80" w:type="dxa"/>
            <w:vMerge w:val="continue"/>
            <w:tcBorders>
              <w:left w:val="single" w:color="auto" w:sz="4" w:space="0"/>
              <w:right w:val="single" w:color="auto" w:sz="4" w:space="0"/>
            </w:tcBorders>
            <w:noWrap w:val="0"/>
            <w:vAlign w:val="center"/>
          </w:tcPr>
          <w:p w14:paraId="008803BB">
            <w:pPr>
              <w:spacing w:line="360" w:lineRule="auto"/>
              <w:rPr>
                <w:color w:val="auto"/>
              </w:rPr>
            </w:pPr>
          </w:p>
        </w:tc>
        <w:tc>
          <w:tcPr>
            <w:tcW w:w="1527" w:type="dxa"/>
            <w:vMerge w:val="continue"/>
            <w:tcBorders>
              <w:left w:val="single" w:color="auto" w:sz="4" w:space="0"/>
              <w:right w:val="single" w:color="auto" w:sz="4" w:space="0"/>
            </w:tcBorders>
            <w:noWrap w:val="0"/>
            <w:vAlign w:val="center"/>
          </w:tcPr>
          <w:p w14:paraId="16178961">
            <w:pPr>
              <w:spacing w:line="360" w:lineRule="auto"/>
              <w:rPr>
                <w:color w:val="auto"/>
              </w:rPr>
            </w:pPr>
          </w:p>
        </w:tc>
        <w:tc>
          <w:tcPr>
            <w:tcW w:w="5892" w:type="dxa"/>
            <w:tcBorders>
              <w:top w:val="single" w:color="auto" w:sz="4" w:space="0"/>
              <w:left w:val="single" w:color="auto" w:sz="4" w:space="0"/>
              <w:right w:val="single" w:color="auto" w:sz="4" w:space="0"/>
            </w:tcBorders>
            <w:noWrap w:val="0"/>
            <w:vAlign w:val="center"/>
          </w:tcPr>
          <w:p w14:paraId="7BA7FE2D">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根据供应商针对本项目提供的</w:t>
            </w:r>
            <w:r>
              <w:rPr>
                <w:rFonts w:hint="eastAsia" w:ascii="宋体" w:hAnsi="宋体" w:eastAsia="宋体" w:cs="宋体"/>
                <w:b w:val="0"/>
                <w:bCs/>
                <w:color w:val="auto"/>
                <w:sz w:val="24"/>
                <w:szCs w:val="24"/>
                <w:highlight w:val="none"/>
                <w:lang w:val="en-US" w:eastAsia="zh-CN"/>
              </w:rPr>
              <w:t>监测站数据分析服务方案的</w:t>
            </w:r>
            <w:r>
              <w:rPr>
                <w:rFonts w:hint="eastAsia" w:ascii="宋体" w:hAnsi="宋体" w:cs="宋体"/>
                <w:b w:val="0"/>
                <w:bCs/>
                <w:color w:val="auto"/>
                <w:sz w:val="24"/>
                <w:szCs w:val="24"/>
                <w:highlight w:val="none"/>
                <w:lang w:val="en-US" w:eastAsia="zh-CN"/>
              </w:rPr>
              <w:t>科学性、合理性</w:t>
            </w:r>
            <w:r>
              <w:rPr>
                <w:rFonts w:hint="eastAsia" w:ascii="宋体" w:hAnsi="宋体" w:eastAsia="宋体" w:cs="宋体"/>
                <w:b w:val="0"/>
                <w:bCs/>
                <w:color w:val="auto"/>
                <w:sz w:val="24"/>
                <w:szCs w:val="24"/>
                <w:highlight w:val="none"/>
                <w:lang w:val="en-US" w:eastAsia="zh-CN"/>
              </w:rPr>
              <w:t>进行</w:t>
            </w:r>
            <w:r>
              <w:rPr>
                <w:rFonts w:hint="eastAsia" w:ascii="宋体" w:hAnsi="宋体" w:cs="宋体"/>
                <w:b w:val="0"/>
                <w:bCs/>
                <w:color w:val="auto"/>
                <w:sz w:val="24"/>
                <w:szCs w:val="24"/>
                <w:highlight w:val="none"/>
                <w:lang w:val="en-US" w:eastAsia="zh-CN"/>
              </w:rPr>
              <w:t>打</w:t>
            </w:r>
            <w:r>
              <w:rPr>
                <w:rFonts w:hint="eastAsia" w:ascii="宋体" w:hAnsi="宋体" w:eastAsia="宋体" w:cs="宋体"/>
                <w:b w:val="0"/>
                <w:bCs/>
                <w:color w:val="auto"/>
                <w:sz w:val="24"/>
                <w:szCs w:val="24"/>
                <w:highlight w:val="none"/>
                <w:lang w:val="en-US" w:eastAsia="zh-CN"/>
              </w:rPr>
              <w:t>分</w:t>
            </w:r>
            <w:r>
              <w:rPr>
                <w:rFonts w:hint="eastAsia" w:ascii="宋体" w:hAnsi="宋体" w:eastAsia="宋体" w:cs="宋体"/>
                <w:b w:val="0"/>
                <w:bCs/>
                <w:color w:val="auto"/>
                <w:sz w:val="24"/>
                <w:szCs w:val="24"/>
                <w:highlight w:val="none"/>
              </w:rPr>
              <w:t>。</w:t>
            </w:r>
          </w:p>
        </w:tc>
        <w:tc>
          <w:tcPr>
            <w:tcW w:w="779" w:type="dxa"/>
            <w:tcBorders>
              <w:left w:val="single" w:color="auto" w:sz="4" w:space="0"/>
              <w:right w:val="single" w:color="auto" w:sz="4" w:space="0"/>
            </w:tcBorders>
            <w:noWrap w:val="0"/>
            <w:vAlign w:val="center"/>
          </w:tcPr>
          <w:p w14:paraId="0DC418F1">
            <w:pPr>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w:t>
            </w:r>
          </w:p>
        </w:tc>
      </w:tr>
      <w:tr w14:paraId="1B1A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80" w:type="dxa"/>
            <w:vMerge w:val="continue"/>
            <w:tcBorders>
              <w:left w:val="single" w:color="auto" w:sz="4" w:space="0"/>
              <w:right w:val="single" w:color="auto" w:sz="4" w:space="0"/>
            </w:tcBorders>
            <w:noWrap w:val="0"/>
            <w:vAlign w:val="center"/>
          </w:tcPr>
          <w:p w14:paraId="3203C95D">
            <w:pPr>
              <w:keepNext w:val="0"/>
              <w:keepLines w:val="0"/>
              <w:pageBreakBefore w:val="0"/>
              <w:tabs>
                <w:tab w:val="left" w:pos="820"/>
              </w:tabs>
              <w:kinsoku/>
              <w:wordWrap/>
              <w:overflowPunct/>
              <w:topLinePunct w:val="0"/>
              <w:bidi w:val="0"/>
              <w:snapToGrid/>
              <w:spacing w:line="420" w:lineRule="exact"/>
              <w:ind w:left="105" w:leftChars="50" w:right="105" w:rightChars="50"/>
              <w:jc w:val="center"/>
              <w:textAlignment w:val="auto"/>
              <w:rPr>
                <w:rFonts w:hint="eastAsia" w:ascii="宋体" w:hAnsi="宋体" w:eastAsia="宋体" w:cs="宋体"/>
                <w:b w:val="0"/>
                <w:bCs w:val="0"/>
                <w:color w:val="auto"/>
                <w:sz w:val="24"/>
                <w:szCs w:val="24"/>
              </w:rPr>
            </w:pPr>
          </w:p>
        </w:tc>
        <w:tc>
          <w:tcPr>
            <w:tcW w:w="1527" w:type="dxa"/>
            <w:vMerge w:val="continue"/>
            <w:tcBorders>
              <w:left w:val="single" w:color="auto" w:sz="4" w:space="0"/>
              <w:right w:val="single" w:color="auto" w:sz="4" w:space="0"/>
            </w:tcBorders>
            <w:noWrap w:val="0"/>
            <w:vAlign w:val="center"/>
          </w:tcPr>
          <w:p w14:paraId="63D2DB9E">
            <w:pPr>
              <w:keepNext w:val="0"/>
              <w:keepLines w:val="0"/>
              <w:pageBreakBefore w:val="0"/>
              <w:tabs>
                <w:tab w:val="left" w:pos="820"/>
              </w:tabs>
              <w:kinsoku/>
              <w:wordWrap/>
              <w:overflowPunct/>
              <w:topLinePunct w:val="0"/>
              <w:bidi w:val="0"/>
              <w:snapToGrid/>
              <w:spacing w:line="420" w:lineRule="exact"/>
              <w:ind w:left="105" w:leftChars="50" w:right="105" w:rightChars="50"/>
              <w:jc w:val="center"/>
              <w:textAlignment w:val="auto"/>
              <w:rPr>
                <w:rFonts w:hint="eastAsia" w:ascii="宋体" w:hAnsi="宋体" w:eastAsia="宋体" w:cs="宋体"/>
                <w:b w:val="0"/>
                <w:bCs w:val="0"/>
                <w:iCs/>
                <w:color w:val="auto"/>
                <w:sz w:val="24"/>
                <w:szCs w:val="24"/>
                <w:lang w:val="en-US" w:eastAsia="zh-CN"/>
              </w:rPr>
            </w:pPr>
          </w:p>
        </w:tc>
        <w:tc>
          <w:tcPr>
            <w:tcW w:w="5892" w:type="dxa"/>
            <w:tcBorders>
              <w:top w:val="single" w:color="auto" w:sz="4" w:space="0"/>
              <w:left w:val="single" w:color="auto" w:sz="4" w:space="0"/>
              <w:right w:val="single" w:color="auto" w:sz="4" w:space="0"/>
            </w:tcBorders>
            <w:noWrap w:val="0"/>
            <w:vAlign w:val="center"/>
          </w:tcPr>
          <w:p w14:paraId="04BC01A9">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根据供应商针对本项目提供的</w:t>
            </w:r>
            <w:r>
              <w:rPr>
                <w:rFonts w:hint="eastAsia" w:ascii="宋体" w:hAnsi="宋体" w:eastAsia="宋体" w:cs="宋体"/>
                <w:b w:val="0"/>
                <w:bCs/>
                <w:color w:val="auto"/>
                <w:sz w:val="24"/>
                <w:szCs w:val="24"/>
                <w:highlight w:val="none"/>
                <w:lang w:val="en-US" w:eastAsia="zh-CN"/>
              </w:rPr>
              <w:t>立体化监测服务方案的</w:t>
            </w:r>
            <w:r>
              <w:rPr>
                <w:rFonts w:hint="eastAsia" w:ascii="宋体" w:hAnsi="宋体" w:cs="宋体"/>
                <w:b w:val="0"/>
                <w:bCs/>
                <w:color w:val="auto"/>
                <w:sz w:val="24"/>
                <w:szCs w:val="24"/>
                <w:highlight w:val="none"/>
                <w:lang w:val="en-US" w:eastAsia="zh-CN"/>
              </w:rPr>
              <w:t>科学性、合理性</w:t>
            </w:r>
            <w:r>
              <w:rPr>
                <w:rFonts w:hint="eastAsia" w:ascii="宋体" w:hAnsi="宋体" w:eastAsia="宋体" w:cs="宋体"/>
                <w:b w:val="0"/>
                <w:bCs/>
                <w:color w:val="auto"/>
                <w:sz w:val="24"/>
                <w:szCs w:val="24"/>
                <w:highlight w:val="none"/>
                <w:lang w:val="en-US" w:eastAsia="zh-CN"/>
              </w:rPr>
              <w:t>进行</w:t>
            </w:r>
            <w:r>
              <w:rPr>
                <w:rFonts w:hint="eastAsia" w:ascii="宋体" w:hAnsi="宋体" w:cs="宋体"/>
                <w:b w:val="0"/>
                <w:bCs/>
                <w:color w:val="auto"/>
                <w:sz w:val="24"/>
                <w:szCs w:val="24"/>
                <w:highlight w:val="none"/>
                <w:lang w:val="en-US" w:eastAsia="zh-CN"/>
              </w:rPr>
              <w:t>打</w:t>
            </w:r>
            <w:r>
              <w:rPr>
                <w:rFonts w:hint="eastAsia" w:ascii="宋体" w:hAnsi="宋体" w:eastAsia="宋体" w:cs="宋体"/>
                <w:b w:val="0"/>
                <w:bCs/>
                <w:color w:val="auto"/>
                <w:sz w:val="24"/>
                <w:szCs w:val="24"/>
                <w:highlight w:val="none"/>
                <w:lang w:val="en-US" w:eastAsia="zh-CN"/>
              </w:rPr>
              <w:t>分</w:t>
            </w:r>
            <w:r>
              <w:rPr>
                <w:rFonts w:hint="eastAsia" w:ascii="宋体" w:hAnsi="宋体" w:eastAsia="宋体" w:cs="宋体"/>
                <w:b w:val="0"/>
                <w:bCs/>
                <w:color w:val="auto"/>
                <w:sz w:val="24"/>
                <w:szCs w:val="24"/>
                <w:highlight w:val="none"/>
              </w:rPr>
              <w:t>。</w:t>
            </w:r>
          </w:p>
        </w:tc>
        <w:tc>
          <w:tcPr>
            <w:tcW w:w="779" w:type="dxa"/>
            <w:tcBorders>
              <w:top w:val="single" w:color="auto" w:sz="4" w:space="0"/>
              <w:left w:val="single" w:color="auto" w:sz="4" w:space="0"/>
              <w:right w:val="single" w:color="auto" w:sz="4" w:space="0"/>
            </w:tcBorders>
            <w:noWrap w:val="0"/>
            <w:vAlign w:val="center"/>
          </w:tcPr>
          <w:p w14:paraId="1971C9B6">
            <w:pPr>
              <w:keepNext w:val="0"/>
              <w:keepLines w:val="0"/>
              <w:pageBreakBefore w:val="0"/>
              <w:kinsoku/>
              <w:wordWrap/>
              <w:overflowPunct/>
              <w:topLinePunct w:val="0"/>
              <w:bidi w:val="0"/>
              <w:snapToGrid/>
              <w:spacing w:line="420" w:lineRule="exact"/>
              <w:ind w:left="105" w:leftChars="50" w:right="105" w:rightChars="50"/>
              <w:jc w:val="center"/>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5</w:t>
            </w:r>
          </w:p>
        </w:tc>
      </w:tr>
      <w:tr w14:paraId="2FB81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980" w:type="dxa"/>
            <w:vMerge w:val="continue"/>
            <w:tcBorders>
              <w:left w:val="single" w:color="auto" w:sz="4" w:space="0"/>
              <w:right w:val="single" w:color="auto" w:sz="4" w:space="0"/>
            </w:tcBorders>
            <w:noWrap w:val="0"/>
            <w:vAlign w:val="center"/>
          </w:tcPr>
          <w:p w14:paraId="36877065">
            <w:pPr>
              <w:keepNext w:val="0"/>
              <w:keepLines w:val="0"/>
              <w:pageBreakBefore w:val="0"/>
              <w:tabs>
                <w:tab w:val="left" w:pos="820"/>
              </w:tabs>
              <w:kinsoku/>
              <w:wordWrap/>
              <w:overflowPunct/>
              <w:topLinePunct w:val="0"/>
              <w:bidi w:val="0"/>
              <w:snapToGrid/>
              <w:spacing w:line="420" w:lineRule="exact"/>
              <w:ind w:left="105" w:leftChars="50" w:right="105" w:rightChars="50"/>
              <w:jc w:val="center"/>
              <w:textAlignment w:val="auto"/>
              <w:rPr>
                <w:rFonts w:hint="eastAsia" w:ascii="宋体" w:hAnsi="宋体" w:eastAsia="宋体" w:cs="宋体"/>
                <w:b w:val="0"/>
                <w:bCs w:val="0"/>
                <w:iCs/>
                <w:color w:val="auto"/>
                <w:sz w:val="24"/>
                <w:szCs w:val="24"/>
              </w:rPr>
            </w:pPr>
          </w:p>
        </w:tc>
        <w:tc>
          <w:tcPr>
            <w:tcW w:w="1527" w:type="dxa"/>
            <w:vMerge w:val="continue"/>
            <w:tcBorders>
              <w:left w:val="single" w:color="auto" w:sz="4" w:space="0"/>
              <w:right w:val="single" w:color="auto" w:sz="4" w:space="0"/>
            </w:tcBorders>
            <w:noWrap w:val="0"/>
            <w:vAlign w:val="center"/>
          </w:tcPr>
          <w:p w14:paraId="25EAB801">
            <w:pPr>
              <w:keepNext w:val="0"/>
              <w:keepLines w:val="0"/>
              <w:pageBreakBefore w:val="0"/>
              <w:tabs>
                <w:tab w:val="left" w:pos="820"/>
              </w:tabs>
              <w:kinsoku/>
              <w:wordWrap/>
              <w:overflowPunct/>
              <w:topLinePunct w:val="0"/>
              <w:bidi w:val="0"/>
              <w:snapToGrid/>
              <w:spacing w:line="420" w:lineRule="exact"/>
              <w:ind w:left="105" w:leftChars="50" w:right="105" w:rightChars="50"/>
              <w:jc w:val="center"/>
              <w:textAlignment w:val="auto"/>
              <w:rPr>
                <w:rFonts w:hint="eastAsia" w:ascii="宋体" w:hAnsi="宋体" w:eastAsia="宋体" w:cs="宋体"/>
                <w:b w:val="0"/>
                <w:bCs w:val="0"/>
                <w:iCs/>
                <w:color w:val="auto"/>
                <w:sz w:val="24"/>
                <w:szCs w:val="24"/>
              </w:rPr>
            </w:pPr>
          </w:p>
        </w:tc>
        <w:tc>
          <w:tcPr>
            <w:tcW w:w="5892" w:type="dxa"/>
            <w:tcBorders>
              <w:top w:val="single" w:color="auto" w:sz="4" w:space="0"/>
              <w:left w:val="single" w:color="auto" w:sz="4" w:space="0"/>
              <w:right w:val="single" w:color="auto" w:sz="4" w:space="0"/>
            </w:tcBorders>
            <w:noWrap w:val="0"/>
            <w:vAlign w:val="center"/>
          </w:tcPr>
          <w:p w14:paraId="4E65AC0C">
            <w:pPr>
              <w:spacing w:line="360" w:lineRule="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根据供应商针对本项目</w:t>
            </w:r>
            <w:r>
              <w:rPr>
                <w:rFonts w:hint="eastAsia" w:ascii="宋体" w:hAnsi="宋体" w:eastAsia="宋体" w:cs="宋体"/>
                <w:b w:val="0"/>
                <w:bCs/>
                <w:color w:val="auto"/>
                <w:sz w:val="24"/>
                <w:szCs w:val="24"/>
                <w:lang w:val="en-US" w:eastAsia="zh-CN"/>
              </w:rPr>
              <w:t>的微型空气质量监测站建设及维护方案</w:t>
            </w:r>
            <w:r>
              <w:rPr>
                <w:rFonts w:hint="eastAsia" w:ascii="宋体" w:hAnsi="宋体" w:cs="宋体"/>
                <w:b w:val="0"/>
                <w:bCs/>
                <w:color w:val="auto"/>
                <w:sz w:val="24"/>
                <w:szCs w:val="24"/>
                <w:lang w:val="en-US" w:eastAsia="zh-CN"/>
              </w:rPr>
              <w:t>的科学性、合理性</w:t>
            </w:r>
            <w:r>
              <w:rPr>
                <w:rFonts w:hint="eastAsia" w:ascii="宋体" w:hAnsi="宋体" w:eastAsia="宋体" w:cs="宋体"/>
                <w:b w:val="0"/>
                <w:bCs/>
                <w:color w:val="auto"/>
                <w:sz w:val="24"/>
                <w:szCs w:val="24"/>
                <w:lang w:val="en-US" w:eastAsia="zh-CN"/>
              </w:rPr>
              <w:t>进行</w:t>
            </w:r>
            <w:r>
              <w:rPr>
                <w:rFonts w:hint="eastAsia" w:ascii="宋体" w:hAnsi="宋体" w:cs="宋体"/>
                <w:b w:val="0"/>
                <w:bCs/>
                <w:color w:val="auto"/>
                <w:sz w:val="24"/>
                <w:szCs w:val="24"/>
                <w:lang w:val="en-US" w:eastAsia="zh-CN"/>
              </w:rPr>
              <w:t>打</w:t>
            </w:r>
            <w:r>
              <w:rPr>
                <w:rFonts w:hint="eastAsia" w:ascii="宋体" w:hAnsi="宋体" w:eastAsia="宋体" w:cs="宋体"/>
                <w:b w:val="0"/>
                <w:bCs/>
                <w:color w:val="auto"/>
                <w:sz w:val="24"/>
                <w:szCs w:val="24"/>
                <w:lang w:val="en-US" w:eastAsia="zh-CN"/>
              </w:rPr>
              <w:t>分。</w:t>
            </w:r>
          </w:p>
        </w:tc>
        <w:tc>
          <w:tcPr>
            <w:tcW w:w="779" w:type="dxa"/>
            <w:tcBorders>
              <w:top w:val="single" w:color="auto" w:sz="4" w:space="0"/>
              <w:left w:val="single" w:color="auto" w:sz="4" w:space="0"/>
              <w:right w:val="single" w:color="auto" w:sz="4" w:space="0"/>
            </w:tcBorders>
            <w:noWrap w:val="0"/>
            <w:vAlign w:val="center"/>
          </w:tcPr>
          <w:p w14:paraId="41A375AC">
            <w:pPr>
              <w:keepNext w:val="0"/>
              <w:keepLines w:val="0"/>
              <w:pageBreakBefore w:val="0"/>
              <w:kinsoku/>
              <w:wordWrap/>
              <w:overflowPunct/>
              <w:topLinePunct w:val="0"/>
              <w:bidi w:val="0"/>
              <w:snapToGrid/>
              <w:spacing w:line="420" w:lineRule="exact"/>
              <w:ind w:left="105" w:leftChars="50" w:right="105" w:rightChars="50"/>
              <w:jc w:val="center"/>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5</w:t>
            </w:r>
          </w:p>
        </w:tc>
      </w:tr>
      <w:tr w14:paraId="37D1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80" w:type="dxa"/>
            <w:vMerge w:val="continue"/>
            <w:tcBorders>
              <w:left w:val="single" w:color="auto" w:sz="4" w:space="0"/>
              <w:right w:val="single" w:color="auto" w:sz="4" w:space="0"/>
            </w:tcBorders>
            <w:noWrap w:val="0"/>
            <w:vAlign w:val="center"/>
          </w:tcPr>
          <w:p w14:paraId="4C7830BF">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color w:val="auto"/>
                <w:kern w:val="0"/>
                <w:sz w:val="24"/>
                <w:szCs w:val="24"/>
                <w:highlight w:val="none"/>
              </w:rPr>
            </w:pPr>
          </w:p>
        </w:tc>
        <w:tc>
          <w:tcPr>
            <w:tcW w:w="1527" w:type="dxa"/>
            <w:vMerge w:val="continue"/>
            <w:tcBorders>
              <w:left w:val="single" w:color="auto" w:sz="4" w:space="0"/>
              <w:right w:val="single" w:color="auto" w:sz="4" w:space="0"/>
            </w:tcBorders>
            <w:noWrap w:val="0"/>
            <w:vAlign w:val="center"/>
          </w:tcPr>
          <w:p w14:paraId="7A418727">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iCs/>
                <w:color w:val="auto"/>
                <w:sz w:val="24"/>
                <w:szCs w:val="24"/>
                <w:highlight w:val="none"/>
                <w:lang w:val="en-US" w:eastAsia="zh-CN"/>
              </w:rPr>
            </w:pPr>
          </w:p>
        </w:tc>
        <w:tc>
          <w:tcPr>
            <w:tcW w:w="5892" w:type="dxa"/>
            <w:tcBorders>
              <w:top w:val="single" w:color="auto" w:sz="4" w:space="0"/>
              <w:left w:val="single" w:color="auto" w:sz="4" w:space="0"/>
              <w:right w:val="single" w:color="auto" w:sz="4" w:space="0"/>
            </w:tcBorders>
            <w:noWrap w:val="0"/>
            <w:vAlign w:val="center"/>
          </w:tcPr>
          <w:p w14:paraId="649366E2">
            <w:pPr>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根据</w:t>
            </w:r>
            <w:r>
              <w:rPr>
                <w:rFonts w:hint="eastAsia" w:ascii="宋体" w:hAnsi="宋体" w:eastAsia="宋体" w:cs="宋体"/>
                <w:b w:val="0"/>
                <w:bCs/>
                <w:color w:val="auto"/>
                <w:sz w:val="24"/>
                <w:szCs w:val="24"/>
                <w:lang w:val="en-US" w:eastAsia="zh-CN"/>
              </w:rPr>
              <w:t>供应商</w:t>
            </w:r>
            <w:r>
              <w:rPr>
                <w:rFonts w:hint="eastAsia" w:ascii="宋体" w:hAnsi="宋体" w:eastAsia="宋体" w:cs="宋体"/>
                <w:b w:val="0"/>
                <w:bCs/>
                <w:color w:val="auto"/>
                <w:sz w:val="24"/>
                <w:szCs w:val="24"/>
              </w:rPr>
              <w:t>针对本项目提供的质量保证措施的科学性、合理性进行打分。</w:t>
            </w:r>
          </w:p>
        </w:tc>
        <w:tc>
          <w:tcPr>
            <w:tcW w:w="779" w:type="dxa"/>
            <w:tcBorders>
              <w:top w:val="single" w:color="auto" w:sz="4" w:space="0"/>
              <w:left w:val="single" w:color="auto" w:sz="4" w:space="0"/>
              <w:right w:val="single" w:color="auto" w:sz="4" w:space="0"/>
            </w:tcBorders>
            <w:noWrap w:val="0"/>
            <w:vAlign w:val="center"/>
          </w:tcPr>
          <w:p w14:paraId="6063421F">
            <w:pPr>
              <w:keepNext w:val="0"/>
              <w:keepLines w:val="0"/>
              <w:pageBreakBefore w:val="0"/>
              <w:kinsoku/>
              <w:wordWrap/>
              <w:overflowPunct/>
              <w:topLinePunct w:val="0"/>
              <w:bidi w:val="0"/>
              <w:snapToGrid/>
              <w:spacing w:line="420" w:lineRule="exact"/>
              <w:ind w:left="105" w:leftChars="50" w:right="105" w:rightChars="50"/>
              <w:jc w:val="center"/>
              <w:textAlignment w:val="auto"/>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5</w:t>
            </w:r>
          </w:p>
        </w:tc>
      </w:tr>
      <w:tr w14:paraId="5600F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80" w:type="dxa"/>
            <w:vMerge w:val="continue"/>
            <w:tcBorders>
              <w:left w:val="single" w:color="auto" w:sz="4" w:space="0"/>
              <w:right w:val="single" w:color="auto" w:sz="4" w:space="0"/>
            </w:tcBorders>
            <w:noWrap w:val="0"/>
            <w:vAlign w:val="center"/>
          </w:tcPr>
          <w:p w14:paraId="0CD17A8F">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iCs/>
                <w:color w:val="auto"/>
                <w:sz w:val="24"/>
                <w:szCs w:val="24"/>
                <w:highlight w:val="none"/>
              </w:rPr>
            </w:pPr>
          </w:p>
        </w:tc>
        <w:tc>
          <w:tcPr>
            <w:tcW w:w="1527" w:type="dxa"/>
            <w:vMerge w:val="continue"/>
            <w:tcBorders>
              <w:left w:val="single" w:color="auto" w:sz="4" w:space="0"/>
              <w:right w:val="single" w:color="auto" w:sz="4" w:space="0"/>
            </w:tcBorders>
            <w:noWrap w:val="0"/>
            <w:vAlign w:val="center"/>
          </w:tcPr>
          <w:p w14:paraId="043FD48E">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iCs/>
                <w:color w:val="auto"/>
                <w:sz w:val="24"/>
                <w:szCs w:val="24"/>
                <w:highlight w:val="none"/>
                <w:lang w:val="en-US" w:eastAsia="zh-CN"/>
              </w:rPr>
            </w:pPr>
          </w:p>
        </w:tc>
        <w:tc>
          <w:tcPr>
            <w:tcW w:w="5892" w:type="dxa"/>
            <w:tcBorders>
              <w:top w:val="single" w:color="auto" w:sz="4" w:space="0"/>
              <w:left w:val="single" w:color="auto" w:sz="4" w:space="0"/>
              <w:right w:val="single" w:color="auto" w:sz="4" w:space="0"/>
            </w:tcBorders>
            <w:noWrap w:val="0"/>
            <w:vAlign w:val="center"/>
          </w:tcPr>
          <w:p w14:paraId="7B3DA973">
            <w:pPr>
              <w:spacing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color w:val="auto"/>
                <w:sz w:val="24"/>
                <w:szCs w:val="24"/>
              </w:rPr>
              <w:t>根据供应商针对本项目提供的预案措施</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突发事件响应</w:t>
            </w:r>
            <w:r>
              <w:rPr>
                <w:rFonts w:hint="eastAsia" w:ascii="宋体" w:hAnsi="宋体" w:eastAsia="宋体" w:cs="宋体"/>
                <w:b w:val="0"/>
                <w:bCs/>
                <w:color w:val="auto"/>
                <w:sz w:val="24"/>
                <w:szCs w:val="24"/>
                <w:lang w:val="en-US" w:eastAsia="zh-CN"/>
              </w:rPr>
              <w:t>等应急</w:t>
            </w:r>
            <w:r>
              <w:rPr>
                <w:rFonts w:hint="eastAsia" w:ascii="宋体" w:hAnsi="宋体" w:eastAsia="宋体" w:cs="宋体"/>
                <w:b w:val="0"/>
                <w:bCs/>
                <w:color w:val="auto"/>
                <w:sz w:val="24"/>
                <w:szCs w:val="24"/>
              </w:rPr>
              <w:t>管控方案</w:t>
            </w:r>
            <w:r>
              <w:rPr>
                <w:rFonts w:hint="eastAsia" w:ascii="宋体" w:hAnsi="宋体" w:cs="宋体"/>
                <w:b w:val="0"/>
                <w:bCs/>
                <w:color w:val="auto"/>
                <w:sz w:val="24"/>
                <w:szCs w:val="24"/>
                <w:lang w:val="en-US" w:eastAsia="zh-CN"/>
              </w:rPr>
              <w:t>等</w:t>
            </w:r>
            <w:r>
              <w:rPr>
                <w:rFonts w:hint="eastAsia" w:ascii="宋体" w:hAnsi="宋体" w:eastAsia="宋体" w:cs="宋体"/>
                <w:b w:val="0"/>
                <w:bCs/>
                <w:color w:val="auto"/>
                <w:sz w:val="24"/>
                <w:szCs w:val="24"/>
                <w:lang w:val="en-US" w:eastAsia="zh-CN"/>
              </w:rPr>
              <w:t>进行</w:t>
            </w:r>
            <w:r>
              <w:rPr>
                <w:rFonts w:hint="eastAsia" w:ascii="宋体" w:hAnsi="宋体" w:cs="宋体"/>
                <w:b w:val="0"/>
                <w:bCs/>
                <w:color w:val="auto"/>
                <w:sz w:val="24"/>
                <w:szCs w:val="24"/>
                <w:lang w:val="en-US" w:eastAsia="zh-CN"/>
              </w:rPr>
              <w:t>打</w:t>
            </w:r>
            <w:r>
              <w:rPr>
                <w:rFonts w:hint="eastAsia" w:ascii="宋体" w:hAnsi="宋体" w:eastAsia="宋体" w:cs="宋体"/>
                <w:b w:val="0"/>
                <w:bCs/>
                <w:color w:val="auto"/>
                <w:sz w:val="24"/>
                <w:szCs w:val="24"/>
                <w:lang w:val="en-US" w:eastAsia="zh-CN"/>
              </w:rPr>
              <w:t>分</w:t>
            </w:r>
            <w:r>
              <w:rPr>
                <w:rFonts w:hint="eastAsia" w:ascii="宋体" w:hAnsi="宋体" w:cs="宋体"/>
                <w:b w:val="0"/>
                <w:bCs/>
                <w:color w:val="auto"/>
                <w:sz w:val="24"/>
                <w:szCs w:val="24"/>
                <w:lang w:eastAsia="zh-CN"/>
              </w:rPr>
              <w:t>。</w:t>
            </w:r>
          </w:p>
        </w:tc>
        <w:tc>
          <w:tcPr>
            <w:tcW w:w="779" w:type="dxa"/>
            <w:tcBorders>
              <w:top w:val="single" w:color="auto" w:sz="4" w:space="0"/>
              <w:left w:val="single" w:color="auto" w:sz="4" w:space="0"/>
              <w:right w:val="single" w:color="auto" w:sz="4" w:space="0"/>
            </w:tcBorders>
            <w:noWrap w:val="0"/>
            <w:vAlign w:val="center"/>
          </w:tcPr>
          <w:p w14:paraId="2B3F81B2">
            <w:pPr>
              <w:keepNext w:val="0"/>
              <w:keepLines w:val="0"/>
              <w:pageBreakBefore w:val="0"/>
              <w:kinsoku/>
              <w:wordWrap/>
              <w:overflowPunct/>
              <w:topLinePunct w:val="0"/>
              <w:bidi w:val="0"/>
              <w:snapToGrid/>
              <w:spacing w:line="420" w:lineRule="exact"/>
              <w:ind w:left="105" w:leftChars="50" w:right="105" w:rightChars="5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r>
      <w:tr w14:paraId="63ED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980" w:type="dxa"/>
            <w:vMerge w:val="continue"/>
            <w:tcBorders>
              <w:left w:val="single" w:color="auto" w:sz="4" w:space="0"/>
              <w:right w:val="single" w:color="auto" w:sz="4" w:space="0"/>
            </w:tcBorders>
            <w:noWrap w:val="0"/>
            <w:vAlign w:val="center"/>
          </w:tcPr>
          <w:p w14:paraId="086D6F5B">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iCs/>
                <w:color w:val="auto"/>
                <w:sz w:val="24"/>
                <w:szCs w:val="24"/>
                <w:highlight w:val="none"/>
              </w:rPr>
            </w:pPr>
          </w:p>
        </w:tc>
        <w:tc>
          <w:tcPr>
            <w:tcW w:w="1527" w:type="dxa"/>
            <w:vMerge w:val="continue"/>
            <w:tcBorders>
              <w:left w:val="single" w:color="auto" w:sz="4" w:space="0"/>
              <w:right w:val="single" w:color="auto" w:sz="4" w:space="0"/>
            </w:tcBorders>
            <w:noWrap w:val="0"/>
            <w:vAlign w:val="center"/>
          </w:tcPr>
          <w:p w14:paraId="27D24742">
            <w:pPr>
              <w:jc w:val="both"/>
              <w:rPr>
                <w:rFonts w:hint="eastAsia" w:ascii="宋体" w:hAnsi="宋体" w:eastAsia="宋体" w:cs="宋体"/>
                <w:b w:val="0"/>
                <w:bCs/>
                <w:iCs/>
                <w:color w:val="auto"/>
                <w:sz w:val="24"/>
                <w:szCs w:val="24"/>
                <w:highlight w:val="none"/>
                <w:lang w:val="en-US" w:eastAsia="zh-CN"/>
              </w:rPr>
            </w:pPr>
          </w:p>
        </w:tc>
        <w:tc>
          <w:tcPr>
            <w:tcW w:w="5892" w:type="dxa"/>
            <w:tcBorders>
              <w:top w:val="single" w:color="auto" w:sz="4" w:space="0"/>
              <w:left w:val="single" w:color="auto" w:sz="4" w:space="0"/>
              <w:right w:val="single" w:color="auto" w:sz="4" w:space="0"/>
            </w:tcBorders>
            <w:noWrap w:val="0"/>
            <w:vAlign w:val="center"/>
          </w:tcPr>
          <w:p w14:paraId="67043AC4">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rPr>
              <w:t>根据供应商针对本项目提供的安全管理目标</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安全管理措施等安全方案</w:t>
            </w:r>
            <w:r>
              <w:rPr>
                <w:rFonts w:hint="eastAsia" w:ascii="宋体" w:hAnsi="宋体" w:eastAsia="宋体" w:cs="宋体"/>
                <w:b w:val="0"/>
                <w:bCs/>
                <w:color w:val="auto"/>
                <w:sz w:val="24"/>
                <w:szCs w:val="24"/>
                <w:lang w:val="en-US" w:eastAsia="zh-CN"/>
              </w:rPr>
              <w:t>进行</w:t>
            </w:r>
            <w:r>
              <w:rPr>
                <w:rFonts w:hint="eastAsia" w:ascii="宋体" w:hAnsi="宋体" w:cs="宋体"/>
                <w:b w:val="0"/>
                <w:bCs/>
                <w:color w:val="auto"/>
                <w:sz w:val="24"/>
                <w:szCs w:val="24"/>
                <w:lang w:val="en-US" w:eastAsia="zh-CN"/>
              </w:rPr>
              <w:t>打</w:t>
            </w:r>
            <w:r>
              <w:rPr>
                <w:rFonts w:hint="eastAsia" w:ascii="宋体" w:hAnsi="宋体" w:eastAsia="宋体" w:cs="宋体"/>
                <w:b w:val="0"/>
                <w:bCs/>
                <w:color w:val="auto"/>
                <w:sz w:val="24"/>
                <w:szCs w:val="24"/>
                <w:lang w:val="en-US" w:eastAsia="zh-CN"/>
              </w:rPr>
              <w:t>分</w:t>
            </w:r>
            <w:r>
              <w:rPr>
                <w:rFonts w:hint="eastAsia" w:ascii="宋体" w:hAnsi="宋体" w:cs="宋体"/>
                <w:b w:val="0"/>
                <w:bCs/>
                <w:color w:val="auto"/>
                <w:sz w:val="24"/>
                <w:szCs w:val="24"/>
                <w:lang w:eastAsia="zh-CN"/>
              </w:rPr>
              <w:t>。</w:t>
            </w:r>
          </w:p>
        </w:tc>
        <w:tc>
          <w:tcPr>
            <w:tcW w:w="779" w:type="dxa"/>
            <w:tcBorders>
              <w:top w:val="single" w:color="auto" w:sz="4" w:space="0"/>
              <w:left w:val="single" w:color="auto" w:sz="4" w:space="0"/>
              <w:right w:val="single" w:color="auto" w:sz="4" w:space="0"/>
            </w:tcBorders>
            <w:noWrap w:val="0"/>
            <w:vAlign w:val="center"/>
          </w:tcPr>
          <w:p w14:paraId="385DF810">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r>
      <w:tr w14:paraId="2E385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80" w:type="dxa"/>
            <w:vMerge w:val="continue"/>
            <w:tcBorders>
              <w:left w:val="single" w:color="auto" w:sz="4" w:space="0"/>
              <w:right w:val="single" w:color="auto" w:sz="4" w:space="0"/>
            </w:tcBorders>
            <w:noWrap w:val="0"/>
            <w:vAlign w:val="center"/>
          </w:tcPr>
          <w:p w14:paraId="7ADBB25E">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iCs/>
                <w:color w:val="auto"/>
                <w:sz w:val="24"/>
                <w:szCs w:val="24"/>
                <w:highlight w:val="none"/>
              </w:rPr>
            </w:pPr>
          </w:p>
        </w:tc>
        <w:tc>
          <w:tcPr>
            <w:tcW w:w="1527" w:type="dxa"/>
            <w:vMerge w:val="restart"/>
            <w:tcBorders>
              <w:left w:val="single" w:color="auto" w:sz="4" w:space="0"/>
              <w:right w:val="single" w:color="auto" w:sz="4" w:space="0"/>
            </w:tcBorders>
            <w:noWrap w:val="0"/>
            <w:vAlign w:val="center"/>
          </w:tcPr>
          <w:p w14:paraId="2EACD76B">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人</w:t>
            </w:r>
            <w:r>
              <w:rPr>
                <w:rFonts w:hint="eastAsia" w:ascii="宋体" w:hAnsi="宋体" w:cs="宋体"/>
                <w:b w:val="0"/>
                <w:bCs w:val="0"/>
                <w:iCs/>
                <w:color w:val="auto"/>
                <w:sz w:val="24"/>
                <w:szCs w:val="24"/>
                <w:highlight w:val="none"/>
                <w:lang w:val="en-US" w:eastAsia="zh-CN"/>
              </w:rPr>
              <w:t>员</w:t>
            </w:r>
            <w:r>
              <w:rPr>
                <w:rFonts w:hint="eastAsia" w:ascii="宋体" w:hAnsi="宋体" w:eastAsia="宋体" w:cs="宋体"/>
                <w:b w:val="0"/>
                <w:bCs w:val="0"/>
                <w:iCs/>
                <w:color w:val="auto"/>
                <w:sz w:val="24"/>
                <w:szCs w:val="24"/>
                <w:highlight w:val="none"/>
                <w:lang w:val="en-US" w:eastAsia="zh-CN"/>
              </w:rPr>
              <w:t>配置</w:t>
            </w:r>
          </w:p>
        </w:tc>
        <w:tc>
          <w:tcPr>
            <w:tcW w:w="5892" w:type="dxa"/>
            <w:tcBorders>
              <w:top w:val="single" w:color="auto" w:sz="4" w:space="0"/>
              <w:left w:val="single" w:color="auto" w:sz="4" w:space="0"/>
              <w:right w:val="single" w:color="auto" w:sz="4" w:space="0"/>
            </w:tcBorders>
            <w:noWrap w:val="0"/>
            <w:vAlign w:val="center"/>
          </w:tcPr>
          <w:p w14:paraId="3B765379">
            <w:pPr>
              <w:snapToGrid w:val="0"/>
              <w:spacing w:line="400" w:lineRule="exact"/>
              <w:jc w:val="left"/>
              <w:rPr>
                <w:rFonts w:hint="eastAsia" w:ascii="宋体" w:hAnsi="宋体" w:eastAsia="宋体" w:cs="宋体"/>
                <w:b w:val="0"/>
                <w:bCs/>
                <w:iCs/>
                <w:color w:val="auto"/>
                <w:sz w:val="24"/>
                <w:szCs w:val="24"/>
                <w:highlight w:val="none"/>
                <w:lang w:eastAsia="zh-CN"/>
              </w:rPr>
            </w:pPr>
            <w:r>
              <w:rPr>
                <w:rFonts w:hint="eastAsia" w:ascii="宋体" w:hAnsi="宋体" w:eastAsia="宋体" w:cs="宋体"/>
                <w:b w:val="0"/>
                <w:bCs/>
                <w:color w:val="auto"/>
                <w:sz w:val="24"/>
                <w:szCs w:val="24"/>
                <w:highlight w:val="none"/>
              </w:rPr>
              <w:t>根据拟派项目负责人</w:t>
            </w:r>
            <w:r>
              <w:rPr>
                <w:rFonts w:hint="eastAsia" w:ascii="宋体" w:hAnsi="宋体" w:eastAsia="宋体" w:cs="宋体"/>
                <w:b w:val="0"/>
                <w:bCs/>
                <w:color w:val="auto"/>
                <w:sz w:val="24"/>
                <w:szCs w:val="24"/>
                <w:highlight w:val="none"/>
                <w:lang w:val="en-US" w:eastAsia="zh-CN"/>
              </w:rPr>
              <w:t>综合</w:t>
            </w:r>
            <w:r>
              <w:rPr>
                <w:rFonts w:hint="eastAsia" w:ascii="宋体" w:hAnsi="宋体" w:eastAsia="宋体" w:cs="宋体"/>
                <w:b w:val="0"/>
                <w:bCs/>
                <w:color w:val="auto"/>
                <w:sz w:val="24"/>
                <w:szCs w:val="24"/>
                <w:highlight w:val="none"/>
              </w:rPr>
              <w:t>素质</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包括</w:t>
            </w:r>
            <w:r>
              <w:rPr>
                <w:rFonts w:hint="eastAsia" w:ascii="宋体" w:hAnsi="宋体" w:eastAsia="宋体" w:cs="宋体"/>
                <w:b w:val="0"/>
                <w:bCs/>
                <w:color w:val="auto"/>
                <w:sz w:val="24"/>
                <w:szCs w:val="24"/>
                <w:highlight w:val="none"/>
              </w:rPr>
              <w:t>技术能力、专业</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经验等进行打分</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须</w:t>
            </w:r>
            <w:r>
              <w:rPr>
                <w:rFonts w:hint="eastAsia" w:ascii="宋体" w:hAnsi="宋体" w:eastAsia="宋体" w:cs="宋体"/>
                <w:b w:val="0"/>
                <w:bCs/>
                <w:color w:val="auto"/>
                <w:sz w:val="24"/>
                <w:szCs w:val="24"/>
                <w:highlight w:val="none"/>
              </w:rPr>
              <w:t>提供</w:t>
            </w:r>
            <w:r>
              <w:rPr>
                <w:rFonts w:hint="eastAsia" w:ascii="宋体" w:hAnsi="宋体" w:eastAsia="宋体" w:cs="宋体"/>
                <w:b w:val="0"/>
                <w:bCs/>
                <w:color w:val="auto"/>
                <w:sz w:val="24"/>
                <w:szCs w:val="24"/>
                <w:highlight w:val="none"/>
                <w:lang w:val="en-US" w:eastAsia="zh-CN"/>
              </w:rPr>
              <w:t>相关证明资料扫描件</w:t>
            </w:r>
            <w:r>
              <w:rPr>
                <w:rFonts w:hint="eastAsia" w:ascii="宋体" w:hAnsi="宋体" w:cs="宋体"/>
                <w:b w:val="0"/>
                <w:bCs/>
                <w:color w:val="auto"/>
                <w:sz w:val="24"/>
                <w:szCs w:val="24"/>
                <w:highlight w:val="none"/>
                <w:lang w:val="en-US" w:eastAsia="zh-CN"/>
              </w:rPr>
              <w:t>和</w:t>
            </w:r>
            <w:r>
              <w:rPr>
                <w:rFonts w:hint="eastAsia" w:ascii="宋体" w:hAnsi="宋体" w:eastAsia="宋体" w:cs="宋体"/>
                <w:b w:val="0"/>
                <w:bCs/>
                <w:color w:val="auto"/>
                <w:sz w:val="24"/>
                <w:szCs w:val="24"/>
                <w:highlight w:val="none"/>
                <w:lang w:val="en-US" w:eastAsia="zh-CN"/>
              </w:rPr>
              <w:t>投标单位缴纳的</w:t>
            </w:r>
            <w:r>
              <w:rPr>
                <w:rFonts w:hint="eastAsia" w:ascii="宋体" w:hAnsi="宋体" w:eastAsia="宋体" w:cs="宋体"/>
                <w:b w:val="0"/>
                <w:bCs/>
                <w:color w:val="auto"/>
                <w:sz w:val="24"/>
                <w:szCs w:val="24"/>
                <w:highlight w:val="none"/>
              </w:rPr>
              <w:t>社保证明</w:t>
            </w:r>
            <w:r>
              <w:rPr>
                <w:rFonts w:hint="eastAsia" w:ascii="宋体" w:hAnsi="宋体" w:cs="宋体"/>
                <w:b w:val="0"/>
                <w:bCs/>
                <w:color w:val="auto"/>
                <w:sz w:val="24"/>
                <w:szCs w:val="24"/>
                <w:highlight w:val="none"/>
                <w:lang w:val="en-US" w:eastAsia="zh-CN"/>
              </w:rPr>
              <w:t>均</w:t>
            </w:r>
            <w:r>
              <w:rPr>
                <w:rFonts w:hint="eastAsia" w:ascii="宋体" w:hAnsi="宋体" w:eastAsia="宋体" w:cs="宋体"/>
                <w:b w:val="0"/>
                <w:bCs/>
                <w:color w:val="auto"/>
                <w:sz w:val="24"/>
                <w:szCs w:val="24"/>
                <w:highlight w:val="none"/>
              </w:rPr>
              <w:t>加盖</w:t>
            </w:r>
            <w:r>
              <w:rPr>
                <w:rFonts w:hint="eastAsia" w:ascii="宋体" w:hAnsi="宋体" w:eastAsia="宋体"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rPr>
              <w:t>公章</w:t>
            </w:r>
            <w:r>
              <w:rPr>
                <w:rFonts w:hint="eastAsia" w:ascii="宋体" w:hAnsi="宋体" w:eastAsia="宋体" w:cs="宋体"/>
                <w:b w:val="0"/>
                <w:bCs/>
                <w:color w:val="auto"/>
                <w:sz w:val="24"/>
                <w:szCs w:val="24"/>
                <w:highlight w:val="none"/>
                <w:lang w:eastAsia="zh-CN"/>
              </w:rPr>
              <w:t>）</w:t>
            </w:r>
          </w:p>
        </w:tc>
        <w:tc>
          <w:tcPr>
            <w:tcW w:w="779" w:type="dxa"/>
            <w:tcBorders>
              <w:top w:val="single" w:color="auto" w:sz="4" w:space="0"/>
              <w:left w:val="single" w:color="auto" w:sz="4" w:space="0"/>
              <w:right w:val="single" w:color="auto" w:sz="4" w:space="0"/>
            </w:tcBorders>
            <w:noWrap w:val="0"/>
            <w:vAlign w:val="center"/>
          </w:tcPr>
          <w:p w14:paraId="0D341F5F">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5</w:t>
            </w:r>
          </w:p>
        </w:tc>
      </w:tr>
      <w:tr w14:paraId="477E2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80" w:type="dxa"/>
            <w:vMerge w:val="continue"/>
            <w:tcBorders>
              <w:left w:val="single" w:color="auto" w:sz="4" w:space="0"/>
              <w:right w:val="single" w:color="auto" w:sz="4" w:space="0"/>
            </w:tcBorders>
            <w:noWrap w:val="0"/>
            <w:vAlign w:val="center"/>
          </w:tcPr>
          <w:p w14:paraId="47888BB2">
            <w:pPr>
              <w:keepNext w:val="0"/>
              <w:keepLines w:val="0"/>
              <w:pageBreakBefore w:val="0"/>
              <w:kinsoku/>
              <w:wordWrap/>
              <w:overflowPunct/>
              <w:topLinePunct w:val="0"/>
              <w:bidi w:val="0"/>
              <w:snapToGrid/>
              <w:spacing w:line="420" w:lineRule="exact"/>
              <w:jc w:val="left"/>
              <w:textAlignment w:val="auto"/>
              <w:rPr>
                <w:rFonts w:hint="eastAsia" w:ascii="宋体" w:hAnsi="宋体" w:eastAsia="宋体" w:cs="宋体"/>
                <w:color w:val="auto"/>
                <w:sz w:val="24"/>
                <w:szCs w:val="24"/>
              </w:rPr>
            </w:pPr>
          </w:p>
        </w:tc>
        <w:tc>
          <w:tcPr>
            <w:tcW w:w="1527" w:type="dxa"/>
            <w:vMerge w:val="continue"/>
            <w:tcBorders>
              <w:left w:val="single" w:color="auto" w:sz="4" w:space="0"/>
              <w:right w:val="single" w:color="auto" w:sz="4" w:space="0"/>
            </w:tcBorders>
            <w:noWrap w:val="0"/>
            <w:vAlign w:val="center"/>
          </w:tcPr>
          <w:p w14:paraId="380F1457">
            <w:pPr>
              <w:keepNext w:val="0"/>
              <w:keepLines w:val="0"/>
              <w:pageBreakBefore w:val="0"/>
              <w:kinsoku/>
              <w:wordWrap/>
              <w:overflowPunct/>
              <w:topLinePunct w:val="0"/>
              <w:bidi w:val="0"/>
              <w:snapToGrid/>
              <w:spacing w:line="420" w:lineRule="exact"/>
              <w:jc w:val="left"/>
              <w:textAlignment w:val="auto"/>
              <w:rPr>
                <w:rFonts w:hint="eastAsia" w:ascii="宋体" w:hAnsi="宋体" w:eastAsia="宋体" w:cs="宋体"/>
                <w:color w:val="auto"/>
                <w:sz w:val="24"/>
                <w:szCs w:val="24"/>
              </w:rPr>
            </w:pPr>
          </w:p>
        </w:tc>
        <w:tc>
          <w:tcPr>
            <w:tcW w:w="5892" w:type="dxa"/>
            <w:tcBorders>
              <w:top w:val="single" w:color="auto" w:sz="4" w:space="0"/>
              <w:left w:val="single" w:color="auto" w:sz="4" w:space="0"/>
              <w:right w:val="single" w:color="auto" w:sz="4" w:space="0"/>
            </w:tcBorders>
            <w:noWrap w:val="0"/>
            <w:vAlign w:val="center"/>
          </w:tcPr>
          <w:p w14:paraId="7B0660B4">
            <w:pPr>
              <w:snapToGrid w:val="0"/>
              <w:spacing w:line="400" w:lineRule="exact"/>
              <w:jc w:val="left"/>
              <w:rPr>
                <w:rFonts w:hint="eastAsia" w:ascii="宋体" w:hAnsi="宋体" w:eastAsia="宋体" w:cs="宋体"/>
                <w:b w:val="0"/>
                <w:bCs/>
                <w:iCs/>
                <w:color w:val="auto"/>
                <w:sz w:val="24"/>
                <w:szCs w:val="24"/>
                <w:highlight w:val="none"/>
                <w:lang w:eastAsia="zh-CN"/>
              </w:rPr>
            </w:pPr>
            <w:r>
              <w:rPr>
                <w:rFonts w:hint="eastAsia" w:ascii="宋体" w:hAnsi="宋体" w:eastAsia="宋体" w:cs="宋体"/>
                <w:b w:val="0"/>
                <w:bCs/>
                <w:color w:val="auto"/>
                <w:sz w:val="24"/>
                <w:szCs w:val="24"/>
                <w:highlight w:val="none"/>
              </w:rPr>
              <w:t>根据</w:t>
            </w:r>
            <w:r>
              <w:rPr>
                <w:rFonts w:hint="eastAsia" w:ascii="宋体" w:hAnsi="宋体" w:eastAsia="宋体"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rPr>
              <w:t>拟派项目团队（除项目负责人外）的</w:t>
            </w:r>
            <w:r>
              <w:rPr>
                <w:rFonts w:hint="eastAsia" w:ascii="宋体" w:hAnsi="宋体" w:eastAsia="宋体" w:cs="宋体"/>
                <w:b w:val="0"/>
                <w:bCs/>
                <w:color w:val="auto"/>
                <w:sz w:val="24"/>
                <w:szCs w:val="24"/>
                <w:highlight w:val="none"/>
                <w:lang w:val="en-US" w:eastAsia="zh-CN"/>
              </w:rPr>
              <w:t>综合</w:t>
            </w:r>
            <w:r>
              <w:rPr>
                <w:rFonts w:hint="eastAsia" w:ascii="宋体" w:hAnsi="宋体" w:eastAsia="宋体" w:cs="宋体"/>
                <w:b w:val="0"/>
                <w:bCs/>
                <w:color w:val="auto"/>
                <w:sz w:val="24"/>
                <w:szCs w:val="24"/>
                <w:highlight w:val="none"/>
              </w:rPr>
              <w:t>素质</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包括</w:t>
            </w:r>
            <w:r>
              <w:rPr>
                <w:rFonts w:hint="eastAsia" w:ascii="宋体" w:hAnsi="宋体" w:eastAsia="宋体" w:cs="宋体"/>
                <w:b w:val="0"/>
                <w:bCs/>
                <w:color w:val="auto"/>
                <w:sz w:val="24"/>
                <w:szCs w:val="24"/>
                <w:highlight w:val="none"/>
              </w:rPr>
              <w:t>技术能力、专业、经验等进行打分</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须</w:t>
            </w:r>
            <w:r>
              <w:rPr>
                <w:rFonts w:hint="eastAsia" w:ascii="宋体" w:hAnsi="宋体" w:eastAsia="宋体" w:cs="宋体"/>
                <w:b w:val="0"/>
                <w:bCs/>
                <w:color w:val="auto"/>
                <w:sz w:val="24"/>
                <w:szCs w:val="24"/>
                <w:highlight w:val="none"/>
              </w:rPr>
              <w:t>提供</w:t>
            </w:r>
            <w:r>
              <w:rPr>
                <w:rFonts w:hint="eastAsia" w:ascii="宋体" w:hAnsi="宋体" w:eastAsia="宋体" w:cs="宋体"/>
                <w:b w:val="0"/>
                <w:bCs/>
                <w:color w:val="auto"/>
                <w:sz w:val="24"/>
                <w:szCs w:val="24"/>
                <w:highlight w:val="none"/>
                <w:lang w:val="en-US" w:eastAsia="zh-CN"/>
              </w:rPr>
              <w:t>相关证明资料扫描件</w:t>
            </w:r>
            <w:r>
              <w:rPr>
                <w:rFonts w:hint="eastAsia" w:ascii="宋体" w:hAnsi="宋体" w:cs="宋体"/>
                <w:b w:val="0"/>
                <w:bCs/>
                <w:color w:val="auto"/>
                <w:sz w:val="24"/>
                <w:szCs w:val="24"/>
                <w:highlight w:val="none"/>
                <w:lang w:val="en-US" w:eastAsia="zh-CN"/>
              </w:rPr>
              <w:t>和</w:t>
            </w:r>
            <w:r>
              <w:rPr>
                <w:rFonts w:hint="eastAsia" w:ascii="宋体" w:hAnsi="宋体" w:eastAsia="宋体" w:cs="宋体"/>
                <w:b w:val="0"/>
                <w:bCs/>
                <w:color w:val="auto"/>
                <w:sz w:val="24"/>
                <w:szCs w:val="24"/>
                <w:highlight w:val="none"/>
                <w:lang w:val="en-US" w:eastAsia="zh-CN"/>
              </w:rPr>
              <w:t>投标单位缴纳的</w:t>
            </w:r>
            <w:r>
              <w:rPr>
                <w:rFonts w:hint="eastAsia" w:ascii="宋体" w:hAnsi="宋体" w:eastAsia="宋体" w:cs="宋体"/>
                <w:b w:val="0"/>
                <w:bCs/>
                <w:color w:val="auto"/>
                <w:sz w:val="24"/>
                <w:szCs w:val="24"/>
                <w:highlight w:val="none"/>
              </w:rPr>
              <w:t>社保证明</w:t>
            </w:r>
            <w:r>
              <w:rPr>
                <w:rFonts w:hint="eastAsia" w:ascii="宋体" w:hAnsi="宋体" w:cs="宋体"/>
                <w:b w:val="0"/>
                <w:bCs/>
                <w:color w:val="auto"/>
                <w:sz w:val="24"/>
                <w:szCs w:val="24"/>
                <w:highlight w:val="none"/>
                <w:lang w:val="en-US" w:eastAsia="zh-CN"/>
              </w:rPr>
              <w:t>均</w:t>
            </w:r>
            <w:r>
              <w:rPr>
                <w:rFonts w:hint="eastAsia" w:ascii="宋体" w:hAnsi="宋体" w:eastAsia="宋体" w:cs="宋体"/>
                <w:b w:val="0"/>
                <w:bCs/>
                <w:color w:val="auto"/>
                <w:sz w:val="24"/>
                <w:szCs w:val="24"/>
                <w:highlight w:val="none"/>
              </w:rPr>
              <w:t>加盖</w:t>
            </w:r>
            <w:r>
              <w:rPr>
                <w:rFonts w:hint="eastAsia" w:ascii="宋体" w:hAnsi="宋体" w:eastAsia="宋体"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rPr>
              <w:t>公章</w:t>
            </w:r>
            <w:r>
              <w:rPr>
                <w:rFonts w:hint="eastAsia" w:ascii="宋体" w:hAnsi="宋体" w:eastAsia="宋体" w:cs="宋体"/>
                <w:b w:val="0"/>
                <w:bCs/>
                <w:color w:val="auto"/>
                <w:sz w:val="24"/>
                <w:szCs w:val="24"/>
                <w:highlight w:val="none"/>
                <w:lang w:eastAsia="zh-CN"/>
              </w:rPr>
              <w:t>）</w:t>
            </w:r>
          </w:p>
        </w:tc>
        <w:tc>
          <w:tcPr>
            <w:tcW w:w="779" w:type="dxa"/>
            <w:tcBorders>
              <w:left w:val="single" w:color="auto" w:sz="4" w:space="0"/>
              <w:right w:val="single" w:color="auto" w:sz="4" w:space="0"/>
            </w:tcBorders>
            <w:noWrap w:val="0"/>
            <w:vAlign w:val="center"/>
          </w:tcPr>
          <w:p w14:paraId="1DE53558">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iCs/>
                <w:color w:val="auto"/>
                <w:sz w:val="24"/>
                <w:szCs w:val="24"/>
                <w:highlight w:val="none"/>
                <w:lang w:val="en-US" w:eastAsia="zh-CN"/>
              </w:rPr>
            </w:pPr>
            <w:r>
              <w:rPr>
                <w:rFonts w:hint="eastAsia" w:ascii="宋体" w:hAnsi="宋体" w:eastAsia="宋体" w:cs="宋体"/>
                <w:b w:val="0"/>
                <w:bCs w:val="0"/>
                <w:iCs/>
                <w:color w:val="auto"/>
                <w:sz w:val="24"/>
                <w:szCs w:val="24"/>
                <w:highlight w:val="none"/>
                <w:lang w:val="en-US" w:eastAsia="zh-CN"/>
              </w:rPr>
              <w:t>5</w:t>
            </w:r>
          </w:p>
        </w:tc>
      </w:tr>
      <w:tr w14:paraId="08D0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80" w:type="dxa"/>
            <w:vMerge w:val="continue"/>
            <w:tcBorders>
              <w:left w:val="single" w:color="auto" w:sz="4" w:space="0"/>
              <w:right w:val="single" w:color="auto" w:sz="4" w:space="0"/>
            </w:tcBorders>
            <w:noWrap w:val="0"/>
            <w:vAlign w:val="center"/>
          </w:tcPr>
          <w:p w14:paraId="5CA6322C">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iCs/>
                <w:color w:val="auto"/>
                <w:sz w:val="24"/>
                <w:szCs w:val="24"/>
                <w:highlight w:val="none"/>
              </w:rPr>
            </w:pPr>
          </w:p>
        </w:tc>
        <w:tc>
          <w:tcPr>
            <w:tcW w:w="1527" w:type="dxa"/>
            <w:tcBorders>
              <w:left w:val="single" w:color="auto" w:sz="4" w:space="0"/>
              <w:right w:val="single" w:color="auto" w:sz="4" w:space="0"/>
            </w:tcBorders>
            <w:noWrap w:val="0"/>
            <w:vAlign w:val="center"/>
          </w:tcPr>
          <w:p w14:paraId="63A3C39C">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iCs/>
                <w:color w:val="auto"/>
                <w:sz w:val="24"/>
                <w:szCs w:val="24"/>
                <w:lang w:val="en-US" w:eastAsia="zh-CN"/>
              </w:rPr>
            </w:pPr>
            <w:r>
              <w:rPr>
                <w:rFonts w:hint="eastAsia" w:ascii="宋体" w:hAnsi="宋体" w:eastAsia="宋体" w:cs="宋体"/>
                <w:b w:val="0"/>
                <w:bCs w:val="0"/>
                <w:iCs/>
                <w:color w:val="auto"/>
                <w:sz w:val="24"/>
                <w:szCs w:val="24"/>
                <w:highlight w:val="none"/>
                <w:lang w:val="en-US" w:eastAsia="zh-CN"/>
              </w:rPr>
              <w:t>设备投入</w:t>
            </w:r>
          </w:p>
        </w:tc>
        <w:tc>
          <w:tcPr>
            <w:tcW w:w="5892" w:type="dxa"/>
            <w:tcBorders>
              <w:top w:val="single" w:color="auto" w:sz="4" w:space="0"/>
              <w:left w:val="single" w:color="auto" w:sz="4" w:space="0"/>
              <w:right w:val="single" w:color="auto" w:sz="4" w:space="0"/>
            </w:tcBorders>
            <w:noWrap w:val="0"/>
            <w:vAlign w:val="center"/>
          </w:tcPr>
          <w:p w14:paraId="5E4C5C2E">
            <w:pPr>
              <w:keepNext w:val="0"/>
              <w:keepLines w:val="0"/>
              <w:pageBreakBefore w:val="0"/>
              <w:kinsoku/>
              <w:wordWrap/>
              <w:overflowPunct/>
              <w:topLinePunct w:val="0"/>
              <w:bidi w:val="0"/>
              <w:snapToGrid/>
              <w:spacing w:line="42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color w:val="auto"/>
                <w:sz w:val="24"/>
                <w:szCs w:val="24"/>
                <w:highlight w:val="none"/>
              </w:rPr>
              <w:t>根据</w:t>
            </w:r>
            <w:r>
              <w:rPr>
                <w:rFonts w:hint="eastAsia" w:ascii="宋体" w:hAnsi="宋体" w:eastAsia="宋体"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rPr>
              <w:t>拟</w:t>
            </w:r>
            <w:r>
              <w:rPr>
                <w:rFonts w:hint="eastAsia" w:ascii="宋体" w:hAnsi="宋体" w:eastAsia="宋体" w:cs="宋体"/>
                <w:b w:val="0"/>
                <w:bCs/>
                <w:color w:val="auto"/>
                <w:sz w:val="24"/>
                <w:szCs w:val="24"/>
                <w:highlight w:val="none"/>
                <w:lang w:val="en-US" w:eastAsia="zh-CN"/>
              </w:rPr>
              <w:t>投入本项目的设备齐全性和对工作要求的满足性及可实施性的</w:t>
            </w:r>
            <w:r>
              <w:rPr>
                <w:rFonts w:hint="eastAsia" w:ascii="宋体" w:hAnsi="宋体" w:eastAsia="宋体" w:cs="宋体"/>
                <w:b w:val="0"/>
                <w:bCs/>
                <w:color w:val="auto"/>
                <w:sz w:val="24"/>
                <w:szCs w:val="24"/>
                <w:highlight w:val="none"/>
              </w:rPr>
              <w:t>进行打分</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须</w:t>
            </w:r>
            <w:r>
              <w:rPr>
                <w:rFonts w:hint="eastAsia" w:ascii="宋体" w:hAnsi="宋体" w:eastAsia="宋体" w:cs="宋体"/>
                <w:b w:val="0"/>
                <w:bCs/>
                <w:color w:val="auto"/>
                <w:sz w:val="24"/>
                <w:szCs w:val="24"/>
                <w:highlight w:val="none"/>
              </w:rPr>
              <w:t>提供购买发票或租赁合同</w:t>
            </w:r>
            <w:r>
              <w:rPr>
                <w:rFonts w:hint="eastAsia" w:ascii="宋体" w:hAnsi="宋体" w:eastAsia="宋体" w:cs="宋体"/>
                <w:b w:val="0"/>
                <w:bCs/>
                <w:color w:val="auto"/>
                <w:sz w:val="24"/>
                <w:szCs w:val="24"/>
                <w:highlight w:val="none"/>
                <w:lang w:val="en-US" w:eastAsia="zh-CN"/>
              </w:rPr>
              <w:t>等证明材料</w:t>
            </w:r>
            <w:r>
              <w:rPr>
                <w:rFonts w:hint="eastAsia" w:ascii="宋体" w:hAnsi="宋体" w:eastAsia="宋体" w:cs="宋体"/>
                <w:b w:val="0"/>
                <w:bCs/>
                <w:color w:val="auto"/>
                <w:sz w:val="24"/>
                <w:szCs w:val="24"/>
                <w:highlight w:val="none"/>
                <w:lang w:eastAsia="zh-CN"/>
              </w:rPr>
              <w:t>扫描件</w:t>
            </w:r>
            <w:r>
              <w:rPr>
                <w:rFonts w:hint="eastAsia" w:ascii="宋体" w:hAnsi="宋体" w:eastAsia="宋体" w:cs="宋体"/>
                <w:b w:val="0"/>
                <w:bCs/>
                <w:color w:val="auto"/>
                <w:sz w:val="24"/>
                <w:szCs w:val="24"/>
                <w:highlight w:val="none"/>
              </w:rPr>
              <w:t>并加盖</w:t>
            </w:r>
            <w:r>
              <w:rPr>
                <w:rFonts w:hint="eastAsia" w:ascii="宋体" w:hAnsi="宋体" w:eastAsia="宋体"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rPr>
              <w:t>公章</w:t>
            </w:r>
            <w:r>
              <w:rPr>
                <w:rFonts w:hint="eastAsia" w:ascii="宋体" w:hAnsi="宋体" w:eastAsia="宋体" w:cs="宋体"/>
                <w:b w:val="0"/>
                <w:bCs/>
                <w:color w:val="auto"/>
                <w:sz w:val="24"/>
                <w:szCs w:val="24"/>
                <w:highlight w:val="none"/>
                <w:lang w:eastAsia="zh-CN"/>
              </w:rPr>
              <w:t>）</w:t>
            </w:r>
          </w:p>
        </w:tc>
        <w:tc>
          <w:tcPr>
            <w:tcW w:w="779" w:type="dxa"/>
            <w:tcBorders>
              <w:top w:val="single" w:color="auto" w:sz="4" w:space="0"/>
              <w:left w:val="single" w:color="auto" w:sz="4" w:space="0"/>
              <w:right w:val="single" w:color="auto" w:sz="4" w:space="0"/>
            </w:tcBorders>
            <w:noWrap w:val="0"/>
            <w:vAlign w:val="center"/>
          </w:tcPr>
          <w:p w14:paraId="5C7095A6">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w:t>
            </w:r>
          </w:p>
        </w:tc>
      </w:tr>
      <w:tr w14:paraId="2AD14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80" w:type="dxa"/>
            <w:vMerge w:val="continue"/>
            <w:tcBorders>
              <w:left w:val="single" w:color="auto" w:sz="4" w:space="0"/>
              <w:right w:val="single" w:color="auto" w:sz="4" w:space="0"/>
            </w:tcBorders>
            <w:noWrap w:val="0"/>
            <w:vAlign w:val="center"/>
          </w:tcPr>
          <w:p w14:paraId="31A700E8">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iCs/>
                <w:color w:val="auto"/>
                <w:sz w:val="24"/>
                <w:szCs w:val="24"/>
                <w:highlight w:val="none"/>
              </w:rPr>
            </w:pPr>
          </w:p>
        </w:tc>
        <w:tc>
          <w:tcPr>
            <w:tcW w:w="1527" w:type="dxa"/>
            <w:tcBorders>
              <w:left w:val="single" w:color="auto" w:sz="4" w:space="0"/>
              <w:right w:val="single" w:color="auto" w:sz="4" w:space="0"/>
            </w:tcBorders>
            <w:noWrap w:val="0"/>
            <w:vAlign w:val="center"/>
          </w:tcPr>
          <w:p w14:paraId="6036FB20">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lang w:val="en-US" w:eastAsia="zh-CN"/>
              </w:rPr>
              <w:t>售后服务</w:t>
            </w:r>
          </w:p>
        </w:tc>
        <w:tc>
          <w:tcPr>
            <w:tcW w:w="5892" w:type="dxa"/>
            <w:tcBorders>
              <w:top w:val="single" w:color="auto" w:sz="4" w:space="0"/>
              <w:left w:val="single" w:color="auto" w:sz="4" w:space="0"/>
              <w:right w:val="single" w:color="auto" w:sz="4" w:space="0"/>
            </w:tcBorders>
            <w:noWrap w:val="0"/>
            <w:vAlign w:val="center"/>
          </w:tcPr>
          <w:p w14:paraId="14AF750E">
            <w:pPr>
              <w:keepNext w:val="0"/>
              <w:keepLines w:val="0"/>
              <w:pageBreakBefore w:val="0"/>
              <w:kinsoku/>
              <w:wordWrap/>
              <w:overflowPunct/>
              <w:topLinePunct w:val="0"/>
              <w:bidi w:val="0"/>
              <w:snapToGrid/>
              <w:spacing w:line="42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根据</w:t>
            </w: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rPr>
              <w:t>提供的售后服务承诺进行打分，包括</w:t>
            </w:r>
            <w:r>
              <w:rPr>
                <w:rFonts w:hint="eastAsia" w:ascii="宋体" w:hAnsi="宋体" w:eastAsia="宋体" w:cs="宋体"/>
                <w:b w:val="0"/>
                <w:bCs w:val="0"/>
                <w:color w:val="auto"/>
                <w:sz w:val="24"/>
                <w:szCs w:val="24"/>
                <w:highlight w:val="none"/>
                <w:lang w:val="en-US" w:eastAsia="zh-CN"/>
              </w:rPr>
              <w:t>但不限于</w:t>
            </w:r>
            <w:r>
              <w:rPr>
                <w:rFonts w:hint="eastAsia" w:ascii="宋体" w:hAnsi="宋体" w:eastAsia="宋体" w:cs="宋体"/>
                <w:b w:val="0"/>
                <w:bCs w:val="0"/>
                <w:color w:val="auto"/>
                <w:sz w:val="24"/>
                <w:szCs w:val="24"/>
                <w:highlight w:val="none"/>
              </w:rPr>
              <w:t>措施是否有效扎实、管理责任是否清晰、根据需求临时增加服务等</w:t>
            </w:r>
            <w:r>
              <w:rPr>
                <w:rFonts w:hint="eastAsia" w:ascii="宋体" w:hAnsi="宋体" w:eastAsia="宋体" w:cs="宋体"/>
                <w:b w:val="0"/>
                <w:bCs w:val="0"/>
                <w:color w:val="auto"/>
                <w:sz w:val="24"/>
                <w:szCs w:val="24"/>
                <w:highlight w:val="none"/>
                <w:lang w:val="en-US" w:eastAsia="zh-CN"/>
              </w:rPr>
              <w:t>并加盖</w:t>
            </w:r>
            <w:r>
              <w:rPr>
                <w:rFonts w:hint="eastAsia" w:ascii="宋体" w:hAnsi="宋体" w:eastAsia="宋体" w:cs="宋体"/>
                <w:b w:val="0"/>
                <w:bCs/>
                <w:color w:val="auto"/>
                <w:sz w:val="24"/>
                <w:szCs w:val="24"/>
              </w:rPr>
              <w:t>供应商</w:t>
            </w:r>
            <w:r>
              <w:rPr>
                <w:rFonts w:hint="eastAsia" w:ascii="宋体" w:hAnsi="宋体" w:eastAsia="宋体" w:cs="宋体"/>
                <w:b w:val="0"/>
                <w:bCs w:val="0"/>
                <w:color w:val="auto"/>
                <w:sz w:val="24"/>
                <w:szCs w:val="24"/>
                <w:highlight w:val="none"/>
                <w:lang w:val="en-US" w:eastAsia="zh-CN"/>
              </w:rPr>
              <w:t>公章</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格式自拟</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w:t>
            </w:r>
          </w:p>
        </w:tc>
        <w:tc>
          <w:tcPr>
            <w:tcW w:w="779" w:type="dxa"/>
            <w:tcBorders>
              <w:top w:val="single" w:color="auto" w:sz="4" w:space="0"/>
              <w:left w:val="single" w:color="auto" w:sz="4" w:space="0"/>
              <w:right w:val="single" w:color="auto" w:sz="4" w:space="0"/>
            </w:tcBorders>
            <w:noWrap w:val="0"/>
            <w:vAlign w:val="center"/>
          </w:tcPr>
          <w:p w14:paraId="2A806930">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lang w:val="en-US" w:eastAsia="zh-CN"/>
              </w:rPr>
              <w:t>5</w:t>
            </w:r>
          </w:p>
        </w:tc>
      </w:tr>
      <w:tr w14:paraId="0B6B9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80" w:type="dxa"/>
            <w:vMerge w:val="continue"/>
            <w:tcBorders>
              <w:left w:val="single" w:color="auto" w:sz="4" w:space="0"/>
              <w:right w:val="single" w:color="auto" w:sz="4" w:space="0"/>
            </w:tcBorders>
            <w:noWrap w:val="0"/>
            <w:vAlign w:val="center"/>
          </w:tcPr>
          <w:p w14:paraId="603D2907">
            <w:pPr>
              <w:keepNext w:val="0"/>
              <w:keepLines w:val="0"/>
              <w:pageBreakBefore w:val="0"/>
              <w:kinsoku/>
              <w:wordWrap/>
              <w:overflowPunct/>
              <w:topLinePunct w:val="0"/>
              <w:bidi w:val="0"/>
              <w:snapToGrid/>
              <w:spacing w:line="420" w:lineRule="exact"/>
              <w:jc w:val="center"/>
              <w:textAlignment w:val="auto"/>
              <w:rPr>
                <w:color w:val="auto"/>
              </w:rPr>
            </w:pPr>
          </w:p>
        </w:tc>
        <w:tc>
          <w:tcPr>
            <w:tcW w:w="1527" w:type="dxa"/>
            <w:tcBorders>
              <w:left w:val="single" w:color="auto" w:sz="4" w:space="0"/>
              <w:right w:val="single" w:color="auto" w:sz="4" w:space="0"/>
            </w:tcBorders>
            <w:noWrap w:val="0"/>
            <w:vAlign w:val="center"/>
          </w:tcPr>
          <w:p w14:paraId="45C866DA">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iCs/>
                <w:color w:val="auto"/>
                <w:sz w:val="24"/>
                <w:szCs w:val="24"/>
                <w:lang w:val="en-US" w:eastAsia="zh-CN"/>
              </w:rPr>
            </w:pPr>
            <w:r>
              <w:rPr>
                <w:rFonts w:hint="eastAsia" w:ascii="宋体" w:hAnsi="宋体" w:cs="宋体"/>
                <w:b w:val="0"/>
                <w:bCs w:val="0"/>
                <w:iCs/>
                <w:color w:val="auto"/>
                <w:sz w:val="24"/>
                <w:szCs w:val="24"/>
                <w:lang w:val="en-US" w:eastAsia="zh-CN"/>
              </w:rPr>
              <w:t>合理化建议</w:t>
            </w:r>
          </w:p>
        </w:tc>
        <w:tc>
          <w:tcPr>
            <w:tcW w:w="5892" w:type="dxa"/>
            <w:tcBorders>
              <w:left w:val="single" w:color="auto" w:sz="4" w:space="0"/>
              <w:right w:val="single" w:color="auto" w:sz="4" w:space="0"/>
            </w:tcBorders>
            <w:noWrap w:val="0"/>
            <w:vAlign w:val="center"/>
          </w:tcPr>
          <w:p w14:paraId="49EBFC9F">
            <w:pPr>
              <w:keepNext w:val="0"/>
              <w:keepLines w:val="0"/>
              <w:pageBreakBefore w:val="0"/>
              <w:kinsoku/>
              <w:wordWrap/>
              <w:overflowPunct/>
              <w:topLinePunct w:val="0"/>
              <w:bidi w:val="0"/>
              <w:snapToGrid/>
              <w:spacing w:line="420" w:lineRule="exact"/>
              <w:jc w:val="left"/>
              <w:textAlignment w:val="auto"/>
              <w:rPr>
                <w:rFonts w:hint="eastAsia" w:ascii="宋体" w:hAnsi="宋体" w:eastAsia="宋体" w:cs="宋体"/>
                <w:b w:val="0"/>
                <w:bCs w:val="0"/>
                <w:iCs/>
                <w:color w:val="auto"/>
                <w:sz w:val="24"/>
                <w:szCs w:val="24"/>
                <w:lang w:val="en-US" w:eastAsia="zh-CN"/>
              </w:rPr>
            </w:pPr>
            <w:r>
              <w:rPr>
                <w:rFonts w:hint="eastAsia" w:ascii="宋体" w:hAnsi="宋体" w:eastAsia="宋体" w:cs="宋体"/>
                <w:b w:val="0"/>
                <w:bCs w:val="0"/>
                <w:color w:val="auto"/>
                <w:sz w:val="24"/>
                <w:szCs w:val="24"/>
                <w:highlight w:val="none"/>
              </w:rPr>
              <w:t>根据</w:t>
            </w: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rPr>
              <w:t>对本项目</w:t>
            </w:r>
            <w:r>
              <w:rPr>
                <w:rFonts w:hint="eastAsia" w:ascii="宋体" w:hAnsi="宋体" w:cs="宋体"/>
                <w:b w:val="0"/>
                <w:bCs w:val="0"/>
                <w:color w:val="auto"/>
                <w:sz w:val="24"/>
                <w:szCs w:val="24"/>
                <w:highlight w:val="none"/>
                <w:lang w:val="en-US" w:eastAsia="zh-CN"/>
              </w:rPr>
              <w:t>情况</w:t>
            </w:r>
            <w:r>
              <w:rPr>
                <w:rFonts w:hint="eastAsia" w:ascii="宋体" w:hAnsi="宋体" w:eastAsia="宋体" w:cs="宋体"/>
                <w:b w:val="0"/>
                <w:bCs w:val="0"/>
                <w:color w:val="auto"/>
                <w:sz w:val="24"/>
                <w:szCs w:val="24"/>
                <w:highlight w:val="none"/>
              </w:rPr>
              <w:t>提出的优化方案和合理化建议进行打分。</w:t>
            </w:r>
          </w:p>
        </w:tc>
        <w:tc>
          <w:tcPr>
            <w:tcW w:w="779" w:type="dxa"/>
            <w:tcBorders>
              <w:left w:val="single" w:color="auto" w:sz="4" w:space="0"/>
              <w:right w:val="single" w:color="auto" w:sz="4" w:space="0"/>
            </w:tcBorders>
            <w:noWrap w:val="0"/>
            <w:vAlign w:val="center"/>
          </w:tcPr>
          <w:p w14:paraId="1AC06391">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iCs/>
                <w:color w:val="auto"/>
                <w:sz w:val="24"/>
                <w:szCs w:val="24"/>
                <w:lang w:val="en-US" w:eastAsia="zh-CN"/>
              </w:rPr>
            </w:pPr>
            <w:r>
              <w:rPr>
                <w:rFonts w:hint="eastAsia" w:ascii="宋体" w:hAnsi="宋体" w:cs="宋体"/>
                <w:b w:val="0"/>
                <w:bCs w:val="0"/>
                <w:color w:val="auto"/>
                <w:sz w:val="24"/>
                <w:szCs w:val="24"/>
                <w:lang w:val="en-US" w:eastAsia="zh-CN"/>
              </w:rPr>
              <w:t>2</w:t>
            </w:r>
          </w:p>
        </w:tc>
      </w:tr>
      <w:tr w14:paraId="55BA5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80" w:type="dxa"/>
            <w:vMerge w:val="restart"/>
            <w:tcBorders>
              <w:left w:val="single" w:color="auto" w:sz="4" w:space="0"/>
              <w:right w:val="single" w:color="auto" w:sz="4" w:space="0"/>
            </w:tcBorders>
            <w:noWrap w:val="0"/>
            <w:vAlign w:val="center"/>
          </w:tcPr>
          <w:p w14:paraId="687B7BDD">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商务资信（8分）</w:t>
            </w:r>
          </w:p>
        </w:tc>
        <w:tc>
          <w:tcPr>
            <w:tcW w:w="1527" w:type="dxa"/>
            <w:tcBorders>
              <w:left w:val="single" w:color="auto" w:sz="4" w:space="0"/>
              <w:right w:val="single" w:color="auto" w:sz="4" w:space="0"/>
            </w:tcBorders>
            <w:noWrap w:val="0"/>
            <w:vAlign w:val="center"/>
          </w:tcPr>
          <w:p w14:paraId="3C2B21F4">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iCs/>
                <w:color w:val="auto"/>
                <w:sz w:val="24"/>
                <w:szCs w:val="24"/>
              </w:rPr>
            </w:pPr>
            <w:r>
              <w:rPr>
                <w:rFonts w:hint="eastAsia" w:ascii="宋体" w:hAnsi="宋体" w:eastAsia="宋体" w:cs="宋体"/>
                <w:b w:val="0"/>
                <w:bCs w:val="0"/>
                <w:color w:val="auto"/>
                <w:sz w:val="24"/>
                <w:szCs w:val="24"/>
                <w:highlight w:val="none"/>
                <w:lang w:val="en-US" w:eastAsia="zh-CN"/>
              </w:rPr>
              <w:t>业绩</w:t>
            </w:r>
          </w:p>
        </w:tc>
        <w:tc>
          <w:tcPr>
            <w:tcW w:w="5892" w:type="dxa"/>
            <w:tcBorders>
              <w:top w:val="single" w:color="auto" w:sz="4" w:space="0"/>
              <w:left w:val="single" w:color="auto" w:sz="4" w:space="0"/>
              <w:right w:val="single" w:color="auto" w:sz="4" w:space="0"/>
            </w:tcBorders>
            <w:noWrap w:val="0"/>
            <w:vAlign w:val="center"/>
          </w:tcPr>
          <w:p w14:paraId="622D4BCD">
            <w:pPr>
              <w:keepNext w:val="0"/>
              <w:keepLines w:val="0"/>
              <w:pageBreakBefore w:val="0"/>
              <w:kinsoku/>
              <w:wordWrap/>
              <w:overflowPunct/>
              <w:topLinePunct w:val="0"/>
              <w:bidi w:val="0"/>
              <w:snapToGrid/>
              <w:spacing w:line="420" w:lineRule="exact"/>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 xml:space="preserve">（详见商务要求表） </w:t>
            </w:r>
          </w:p>
        </w:tc>
        <w:tc>
          <w:tcPr>
            <w:tcW w:w="779" w:type="dxa"/>
            <w:tcBorders>
              <w:top w:val="single" w:color="auto" w:sz="4" w:space="0"/>
              <w:left w:val="single" w:color="auto" w:sz="4" w:space="0"/>
              <w:right w:val="single" w:color="auto" w:sz="4" w:space="0"/>
            </w:tcBorders>
            <w:noWrap w:val="0"/>
            <w:vAlign w:val="center"/>
          </w:tcPr>
          <w:p w14:paraId="1075DAD3">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iCs/>
                <w:color w:val="auto"/>
                <w:sz w:val="24"/>
                <w:szCs w:val="24"/>
                <w:lang w:val="en-US" w:eastAsia="zh-CN"/>
              </w:rPr>
            </w:pPr>
            <w:r>
              <w:rPr>
                <w:rFonts w:hint="eastAsia" w:ascii="宋体" w:hAnsi="宋体" w:eastAsia="宋体" w:cs="宋体"/>
                <w:b w:val="0"/>
                <w:bCs w:val="0"/>
                <w:iCs/>
                <w:color w:val="auto"/>
                <w:sz w:val="24"/>
                <w:szCs w:val="24"/>
                <w:lang w:val="en-US" w:eastAsia="zh-CN"/>
              </w:rPr>
              <w:t>2</w:t>
            </w:r>
          </w:p>
        </w:tc>
      </w:tr>
      <w:tr w14:paraId="4CD39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80" w:type="dxa"/>
            <w:vMerge w:val="continue"/>
            <w:tcBorders>
              <w:left w:val="single" w:color="auto" w:sz="4" w:space="0"/>
              <w:right w:val="single" w:color="auto" w:sz="4" w:space="0"/>
            </w:tcBorders>
            <w:noWrap w:val="0"/>
            <w:vAlign w:val="center"/>
          </w:tcPr>
          <w:p w14:paraId="4629B578">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color w:val="auto"/>
                <w:sz w:val="24"/>
                <w:szCs w:val="24"/>
              </w:rPr>
            </w:pPr>
          </w:p>
        </w:tc>
        <w:tc>
          <w:tcPr>
            <w:tcW w:w="1527" w:type="dxa"/>
            <w:tcBorders>
              <w:left w:val="single" w:color="auto" w:sz="4" w:space="0"/>
              <w:right w:val="single" w:color="auto" w:sz="4" w:space="0"/>
            </w:tcBorders>
            <w:noWrap w:val="0"/>
            <w:vAlign w:val="center"/>
          </w:tcPr>
          <w:p w14:paraId="4201DBBA">
            <w:pPr>
              <w:widowControl/>
              <w:spacing w:line="360" w:lineRule="auto"/>
              <w:ind w:left="-83" w:leftChars="-47" w:right="-71" w:rightChars="-34" w:hanging="16" w:hangingChars="7"/>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荣誉</w:t>
            </w:r>
          </w:p>
        </w:tc>
        <w:tc>
          <w:tcPr>
            <w:tcW w:w="5892" w:type="dxa"/>
            <w:tcBorders>
              <w:top w:val="single" w:color="auto" w:sz="4" w:space="0"/>
              <w:left w:val="single" w:color="auto" w:sz="4" w:space="0"/>
              <w:bottom w:val="single" w:color="auto" w:sz="4" w:space="0"/>
              <w:right w:val="single" w:color="auto" w:sz="4" w:space="0"/>
            </w:tcBorders>
            <w:noWrap w:val="0"/>
            <w:vAlign w:val="center"/>
          </w:tcPr>
          <w:p w14:paraId="0DDFBDB0">
            <w:pPr>
              <w:keepNext w:val="0"/>
              <w:keepLines w:val="0"/>
              <w:widowControl/>
              <w:numPr>
                <w:ilvl w:val="0"/>
                <w:numId w:val="0"/>
              </w:numPr>
              <w:suppressLineNumbers w:val="0"/>
              <w:spacing w:line="360" w:lineRule="auto"/>
              <w:ind w:left="0" w:leftChars="0" w:firstLine="0" w:firstLineChars="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 xml:space="preserve">（详见商务要求表） </w:t>
            </w:r>
          </w:p>
        </w:tc>
        <w:tc>
          <w:tcPr>
            <w:tcW w:w="779" w:type="dxa"/>
            <w:tcBorders>
              <w:top w:val="single" w:color="auto" w:sz="4" w:space="0"/>
              <w:left w:val="single" w:color="auto" w:sz="4" w:space="0"/>
              <w:bottom w:val="single" w:color="auto" w:sz="4" w:space="0"/>
              <w:right w:val="single" w:color="auto" w:sz="4" w:space="0"/>
            </w:tcBorders>
            <w:noWrap w:val="0"/>
            <w:vAlign w:val="center"/>
          </w:tcPr>
          <w:p w14:paraId="33A314A6">
            <w:pPr>
              <w:widowControl/>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w:t>
            </w:r>
          </w:p>
        </w:tc>
      </w:tr>
      <w:tr w14:paraId="591BF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80" w:type="dxa"/>
            <w:vMerge w:val="continue"/>
            <w:tcBorders>
              <w:left w:val="single" w:color="auto" w:sz="4" w:space="0"/>
              <w:right w:val="single" w:color="auto" w:sz="4" w:space="0"/>
            </w:tcBorders>
            <w:noWrap w:val="0"/>
            <w:vAlign w:val="center"/>
          </w:tcPr>
          <w:p w14:paraId="54EF2B71">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b w:val="0"/>
                <w:bCs w:val="0"/>
                <w:color w:val="auto"/>
                <w:sz w:val="24"/>
                <w:szCs w:val="24"/>
              </w:rPr>
            </w:pPr>
          </w:p>
        </w:tc>
        <w:tc>
          <w:tcPr>
            <w:tcW w:w="1527" w:type="dxa"/>
            <w:tcBorders>
              <w:left w:val="single" w:color="auto" w:sz="4" w:space="0"/>
              <w:right w:val="single" w:color="auto" w:sz="4" w:space="0"/>
            </w:tcBorders>
            <w:noWrap w:val="0"/>
            <w:vAlign w:val="center"/>
          </w:tcPr>
          <w:p w14:paraId="1463F633">
            <w:pPr>
              <w:widowControl/>
              <w:spacing w:line="360" w:lineRule="auto"/>
              <w:ind w:left="-83" w:leftChars="-47" w:right="-71" w:rightChars="-34" w:hanging="16" w:hangingChars="7"/>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highlight w:val="none"/>
                <w:lang w:val="en-US" w:eastAsia="zh-CN"/>
              </w:rPr>
              <w:t>专利</w:t>
            </w:r>
          </w:p>
        </w:tc>
        <w:tc>
          <w:tcPr>
            <w:tcW w:w="5892" w:type="dxa"/>
            <w:tcBorders>
              <w:top w:val="single" w:color="auto" w:sz="4" w:space="0"/>
              <w:left w:val="single" w:color="auto" w:sz="4" w:space="0"/>
              <w:right w:val="single" w:color="auto" w:sz="4" w:space="0"/>
            </w:tcBorders>
            <w:noWrap w:val="0"/>
            <w:vAlign w:val="center"/>
          </w:tcPr>
          <w:p w14:paraId="11B0FE66">
            <w:pPr>
              <w:keepNext w:val="0"/>
              <w:keepLines w:val="0"/>
              <w:widowControl/>
              <w:numPr>
                <w:ilvl w:val="0"/>
                <w:numId w:val="0"/>
              </w:numPr>
              <w:suppressLineNumbers w:val="0"/>
              <w:spacing w:line="360" w:lineRule="auto"/>
              <w:ind w:left="0" w:leftChars="0" w:firstLine="0" w:firstLineChars="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 xml:space="preserve">（详见商务要求表） </w:t>
            </w:r>
          </w:p>
        </w:tc>
        <w:tc>
          <w:tcPr>
            <w:tcW w:w="779" w:type="dxa"/>
            <w:tcBorders>
              <w:top w:val="single" w:color="auto" w:sz="4" w:space="0"/>
              <w:left w:val="single" w:color="auto" w:sz="4" w:space="0"/>
              <w:bottom w:val="single" w:color="auto" w:sz="4" w:space="0"/>
              <w:right w:val="single" w:color="auto" w:sz="4" w:space="0"/>
            </w:tcBorders>
            <w:noWrap w:val="0"/>
            <w:vAlign w:val="center"/>
          </w:tcPr>
          <w:p w14:paraId="0128EAFE">
            <w:pPr>
              <w:widowControl/>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color w:val="auto"/>
                <w:sz w:val="24"/>
                <w:szCs w:val="24"/>
                <w:lang w:val="en-US" w:eastAsia="zh-CN"/>
              </w:rPr>
              <w:t>3</w:t>
            </w:r>
          </w:p>
        </w:tc>
      </w:tr>
    </w:tbl>
    <w:p w14:paraId="662199E6">
      <w:pPr>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2、商务要求表</w:t>
      </w:r>
      <w:r>
        <w:rPr>
          <w:rFonts w:hint="eastAsia" w:ascii="宋体" w:hAnsi="宋体" w:cs="宋体"/>
          <w:color w:val="auto"/>
          <w:sz w:val="24"/>
          <w:szCs w:val="24"/>
          <w:highlight w:val="none"/>
        </w:rPr>
        <w:t>（对应评分标准）</w:t>
      </w:r>
    </w:p>
    <w:tbl>
      <w:tblPr>
        <w:tblStyle w:val="26"/>
        <w:tblW w:w="54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417"/>
        <w:gridCol w:w="6106"/>
        <w:gridCol w:w="753"/>
      </w:tblGrid>
      <w:tr w14:paraId="7324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513" w:type="pct"/>
            <w:vMerge w:val="restart"/>
            <w:tcBorders>
              <w:left w:val="single" w:color="auto" w:sz="4" w:space="0"/>
              <w:right w:val="single" w:color="auto" w:sz="4" w:space="0"/>
            </w:tcBorders>
            <w:noWrap w:val="0"/>
            <w:vAlign w:val="center"/>
          </w:tcPr>
          <w:p w14:paraId="71AC9891">
            <w:pPr>
              <w:spacing w:line="36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资信（8分）</w:t>
            </w:r>
          </w:p>
        </w:tc>
        <w:tc>
          <w:tcPr>
            <w:tcW w:w="768" w:type="pct"/>
            <w:tcBorders>
              <w:left w:val="single" w:color="auto" w:sz="4" w:space="0"/>
              <w:right w:val="single" w:color="auto" w:sz="4" w:space="0"/>
            </w:tcBorders>
            <w:noWrap w:val="0"/>
            <w:vAlign w:val="center"/>
          </w:tcPr>
          <w:p w14:paraId="7B4EE9D8">
            <w:pPr>
              <w:keepNext w:val="0"/>
              <w:keepLines w:val="0"/>
              <w:pageBreakBefore w:val="0"/>
              <w:kinsoku/>
              <w:wordWrap/>
              <w:overflowPunct/>
              <w:topLinePunct w:val="0"/>
              <w:bidi w:val="0"/>
              <w:snapToGrid/>
              <w:spacing w:line="420" w:lineRule="exact"/>
              <w:jc w:val="center"/>
              <w:textAlignment w:val="auto"/>
              <w:rPr>
                <w:rFonts w:hint="default"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业绩</w:t>
            </w:r>
          </w:p>
        </w:tc>
        <w:tc>
          <w:tcPr>
            <w:tcW w:w="3309" w:type="pct"/>
            <w:tcBorders>
              <w:top w:val="single" w:color="auto" w:sz="4" w:space="0"/>
              <w:left w:val="single" w:color="auto" w:sz="4" w:space="0"/>
              <w:bottom w:val="single" w:color="auto" w:sz="4" w:space="0"/>
              <w:right w:val="single" w:color="auto" w:sz="4" w:space="0"/>
            </w:tcBorders>
            <w:noWrap w:val="0"/>
            <w:vAlign w:val="center"/>
          </w:tcPr>
          <w:p w14:paraId="059CB962">
            <w:pPr>
              <w:autoSpaceDE w:val="0"/>
              <w:autoSpaceDN w:val="0"/>
              <w:adjustRightInd w:val="0"/>
              <w:spacing w:line="360" w:lineRule="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供应商</w:t>
            </w:r>
            <w:r>
              <w:rPr>
                <w:rFonts w:hint="eastAsia" w:ascii="宋体" w:hAnsi="宋体" w:cs="宋体"/>
                <w:b w:val="0"/>
                <w:bCs/>
                <w:color w:val="auto"/>
                <w:sz w:val="24"/>
                <w:szCs w:val="24"/>
                <w:highlight w:val="none"/>
                <w:lang w:val="en-US" w:eastAsia="zh-CN"/>
              </w:rPr>
              <w:t>自2022年1月1日（以合同签订时间为准）以来承担过类似项目业绩的,每个得1分，最多得2分。（须提供合同及中标通知书扫描件并均加盖</w:t>
            </w:r>
            <w:r>
              <w:rPr>
                <w:rFonts w:hint="eastAsia" w:ascii="宋体" w:hAnsi="宋体" w:eastAsia="宋体" w:cs="宋体"/>
                <w:b w:val="0"/>
                <w:bCs/>
                <w:color w:val="auto"/>
                <w:sz w:val="24"/>
                <w:szCs w:val="24"/>
                <w:highlight w:val="none"/>
                <w:lang w:val="en-US" w:eastAsia="zh-CN"/>
              </w:rPr>
              <w:t>供应商</w:t>
            </w:r>
            <w:r>
              <w:rPr>
                <w:rFonts w:hint="eastAsia" w:ascii="宋体" w:hAnsi="宋体" w:cs="宋体"/>
                <w:b w:val="0"/>
                <w:bCs/>
                <w:color w:val="auto"/>
                <w:sz w:val="24"/>
                <w:szCs w:val="24"/>
                <w:highlight w:val="none"/>
                <w:lang w:val="en-US" w:eastAsia="zh-CN"/>
              </w:rPr>
              <w:t>公章，缺一不可，否则不得分）</w:t>
            </w:r>
          </w:p>
        </w:tc>
        <w:tc>
          <w:tcPr>
            <w:tcW w:w="408" w:type="pct"/>
            <w:tcBorders>
              <w:left w:val="single" w:color="auto" w:sz="4" w:space="0"/>
              <w:right w:val="single" w:color="auto" w:sz="4" w:space="0"/>
            </w:tcBorders>
            <w:noWrap w:val="0"/>
            <w:vAlign w:val="center"/>
          </w:tcPr>
          <w:p w14:paraId="4C3A24B4">
            <w:pPr>
              <w:adjustRightInd w:val="0"/>
              <w:snapToGrid w:val="0"/>
              <w:spacing w:line="360" w:lineRule="auto"/>
              <w:jc w:val="center"/>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p>
        </w:tc>
      </w:tr>
      <w:tr w14:paraId="7119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513" w:type="pct"/>
            <w:vMerge w:val="continue"/>
            <w:tcBorders>
              <w:left w:val="single" w:color="auto" w:sz="4" w:space="0"/>
              <w:right w:val="single" w:color="auto" w:sz="4" w:space="0"/>
            </w:tcBorders>
            <w:noWrap w:val="0"/>
            <w:vAlign w:val="center"/>
          </w:tcPr>
          <w:p w14:paraId="683DFFDB">
            <w:pPr>
              <w:spacing w:line="360" w:lineRule="auto"/>
              <w:jc w:val="center"/>
              <w:rPr>
                <w:rFonts w:hint="eastAsia" w:ascii="宋体" w:hAnsi="宋体" w:eastAsia="宋体" w:cs="宋体"/>
                <w:b w:val="0"/>
                <w:bCs/>
                <w:color w:val="auto"/>
                <w:sz w:val="24"/>
                <w:szCs w:val="24"/>
                <w:highlight w:val="none"/>
                <w:lang w:val="en-US" w:eastAsia="zh-CN"/>
              </w:rPr>
            </w:pPr>
          </w:p>
        </w:tc>
        <w:tc>
          <w:tcPr>
            <w:tcW w:w="768" w:type="pct"/>
            <w:tcBorders>
              <w:left w:val="single" w:color="auto" w:sz="4" w:space="0"/>
              <w:right w:val="single" w:color="auto" w:sz="4" w:space="0"/>
            </w:tcBorders>
            <w:noWrap w:val="0"/>
            <w:vAlign w:val="center"/>
          </w:tcPr>
          <w:p w14:paraId="04AED15E">
            <w:pPr>
              <w:widowControl/>
              <w:spacing w:line="360" w:lineRule="auto"/>
              <w:ind w:left="-83" w:leftChars="-47" w:right="-71" w:rightChars="-34" w:hanging="16" w:hangingChars="7"/>
              <w:jc w:val="center"/>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荣誉</w:t>
            </w:r>
          </w:p>
        </w:tc>
        <w:tc>
          <w:tcPr>
            <w:tcW w:w="3309" w:type="pct"/>
            <w:tcBorders>
              <w:top w:val="single" w:color="auto" w:sz="4" w:space="0"/>
              <w:left w:val="single" w:color="auto" w:sz="4" w:space="0"/>
              <w:bottom w:val="single" w:color="auto" w:sz="4" w:space="0"/>
              <w:right w:val="single" w:color="auto" w:sz="4" w:space="0"/>
            </w:tcBorders>
            <w:noWrap w:val="0"/>
            <w:vAlign w:val="center"/>
          </w:tcPr>
          <w:p w14:paraId="2A5B9C6F">
            <w:pPr>
              <w:autoSpaceDE w:val="0"/>
              <w:autoSpaceDN w:val="0"/>
              <w:adjustRightInd w:val="0"/>
              <w:spacing w:line="360" w:lineRule="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供应商自2022年1月1日以来（以表彰文件或荣誉、奖项证书日期为准），获得过与本项目内容相关的表彰或荣誉或奖项的，地级市及以上政府部门的表彰或荣誉或奖项的得3分，区</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县</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级政府部门的表彰或荣誉或奖项的得1分，其余不得分。（须提供表彰文件或荣誉或奖项证书扫描件并加盖供应商公章。）</w:t>
            </w:r>
          </w:p>
        </w:tc>
        <w:tc>
          <w:tcPr>
            <w:tcW w:w="408" w:type="pct"/>
            <w:tcBorders>
              <w:left w:val="single" w:color="auto" w:sz="4" w:space="0"/>
              <w:right w:val="single" w:color="auto" w:sz="4" w:space="0"/>
            </w:tcBorders>
            <w:noWrap w:val="0"/>
            <w:vAlign w:val="center"/>
          </w:tcPr>
          <w:p w14:paraId="3131686B">
            <w:pPr>
              <w:autoSpaceDE w:val="0"/>
              <w:autoSpaceDN w:val="0"/>
              <w:adjustRightInd w:val="0"/>
              <w:spacing w:line="360" w:lineRule="auto"/>
              <w:jc w:val="center"/>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w:t>
            </w:r>
          </w:p>
        </w:tc>
      </w:tr>
      <w:tr w14:paraId="35D7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513" w:type="pct"/>
            <w:vMerge w:val="continue"/>
            <w:tcBorders>
              <w:left w:val="single" w:color="auto" w:sz="4" w:space="0"/>
              <w:right w:val="single" w:color="auto" w:sz="4" w:space="0"/>
            </w:tcBorders>
            <w:noWrap w:val="0"/>
            <w:vAlign w:val="center"/>
          </w:tcPr>
          <w:p w14:paraId="28987221">
            <w:pPr>
              <w:spacing w:line="360" w:lineRule="auto"/>
              <w:jc w:val="center"/>
              <w:rPr>
                <w:rFonts w:hint="eastAsia" w:ascii="宋体" w:hAnsi="宋体" w:eastAsia="宋体" w:cs="宋体"/>
                <w:b w:val="0"/>
                <w:bCs/>
                <w:color w:val="auto"/>
                <w:sz w:val="24"/>
                <w:szCs w:val="24"/>
                <w:highlight w:val="none"/>
                <w:lang w:val="en-US" w:eastAsia="zh-CN"/>
              </w:rPr>
            </w:pPr>
          </w:p>
        </w:tc>
        <w:tc>
          <w:tcPr>
            <w:tcW w:w="768" w:type="pct"/>
            <w:tcBorders>
              <w:left w:val="single" w:color="auto" w:sz="4" w:space="0"/>
              <w:right w:val="single" w:color="auto" w:sz="4" w:space="0"/>
            </w:tcBorders>
            <w:noWrap w:val="0"/>
            <w:vAlign w:val="center"/>
          </w:tcPr>
          <w:p w14:paraId="2D7589BC">
            <w:pPr>
              <w:widowControl/>
              <w:spacing w:line="360" w:lineRule="auto"/>
              <w:ind w:left="-83" w:leftChars="-47" w:right="-71" w:rightChars="-34" w:hanging="16" w:hangingChars="7"/>
              <w:jc w:val="center"/>
              <w:rPr>
                <w:rFonts w:hint="default" w:ascii="宋体" w:hAnsi="宋体" w:cs="宋体"/>
                <w:b w:val="0"/>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专利</w:t>
            </w:r>
          </w:p>
        </w:tc>
        <w:tc>
          <w:tcPr>
            <w:tcW w:w="3309" w:type="pct"/>
            <w:tcBorders>
              <w:top w:val="single" w:color="auto" w:sz="4" w:space="0"/>
              <w:left w:val="single" w:color="auto" w:sz="4" w:space="0"/>
              <w:right w:val="single" w:color="auto" w:sz="4" w:space="0"/>
            </w:tcBorders>
            <w:noWrap w:val="0"/>
            <w:vAlign w:val="center"/>
          </w:tcPr>
          <w:p w14:paraId="1C66050D">
            <w:pPr>
              <w:autoSpaceDE w:val="0"/>
              <w:autoSpaceDN w:val="0"/>
              <w:adjustRightInd w:val="0"/>
              <w:spacing w:line="360" w:lineRule="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供应商具有与本项目内容相关的专利技术的，每获得过一项得1分，最高得3分，没有不得分。（须提供相关专利证书扫描件并加盖供应商公章。）</w:t>
            </w:r>
          </w:p>
        </w:tc>
        <w:tc>
          <w:tcPr>
            <w:tcW w:w="408" w:type="pct"/>
            <w:tcBorders>
              <w:left w:val="single" w:color="auto" w:sz="4" w:space="0"/>
              <w:right w:val="single" w:color="auto" w:sz="4" w:space="0"/>
            </w:tcBorders>
            <w:noWrap w:val="0"/>
            <w:vAlign w:val="center"/>
          </w:tcPr>
          <w:p w14:paraId="1FA2B933">
            <w:pPr>
              <w:autoSpaceDE w:val="0"/>
              <w:autoSpaceDN w:val="0"/>
              <w:adjustRightInd w:val="0"/>
              <w:spacing w:line="360" w:lineRule="auto"/>
              <w:jc w:val="center"/>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w:t>
            </w:r>
          </w:p>
        </w:tc>
      </w:tr>
    </w:tbl>
    <w:p w14:paraId="00E6F961">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注：</w:t>
      </w:r>
    </w:p>
    <w:p w14:paraId="03A90980">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、评标委员会各成员应当独立对每个供应商的响应文件进行评价，并汇总每个供应商的得分。资信分为客观分，也需独立进行评价并核对分值，最终分值需一致。</w:t>
      </w:r>
    </w:p>
    <w:p w14:paraId="3660F42A">
      <w:pPr>
        <w:spacing w:line="360" w:lineRule="auto"/>
        <w:ind w:firstLine="480" w:firstLineChars="200"/>
        <w:rPr>
          <w:rFonts w:cs="宋体"/>
          <w:color w:val="auto"/>
          <w:sz w:val="36"/>
          <w:szCs w:val="36"/>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、所有文件、合同、证书、资质等需要真实有效。成交供应商在中标后签订合同时需提供以上证明文件原件，若发现资料作假的取消中标资格。</w:t>
      </w:r>
      <w:bookmarkStart w:id="87" w:name="_Toc4517"/>
      <w:bookmarkStart w:id="88" w:name="_Toc8033"/>
      <w:r>
        <w:rPr>
          <w:rFonts w:hint="eastAsia" w:cs="宋体"/>
          <w:color w:val="auto"/>
          <w:sz w:val="36"/>
          <w:szCs w:val="36"/>
          <w:highlight w:val="none"/>
        </w:rPr>
        <w:br w:type="page"/>
      </w:r>
    </w:p>
    <w:p w14:paraId="245496D3">
      <w:pPr>
        <w:pStyle w:val="4"/>
        <w:jc w:val="center"/>
        <w:rPr>
          <w:rFonts w:ascii="宋体" w:cs="Times New Roman"/>
          <w:color w:val="auto"/>
          <w:highlight w:val="none"/>
        </w:rPr>
      </w:pPr>
      <w:bookmarkStart w:id="89" w:name="_Toc19393"/>
      <w:r>
        <w:rPr>
          <w:rFonts w:hint="eastAsia" w:cs="宋体"/>
          <w:color w:val="auto"/>
          <w:sz w:val="36"/>
          <w:szCs w:val="36"/>
          <w:highlight w:val="none"/>
        </w:rPr>
        <w:t>第五部分</w:t>
      </w:r>
      <w:r>
        <w:rPr>
          <w:color w:val="auto"/>
          <w:sz w:val="36"/>
          <w:szCs w:val="36"/>
          <w:highlight w:val="none"/>
        </w:rPr>
        <w:t xml:space="preserve"> </w:t>
      </w:r>
      <w:r>
        <w:rPr>
          <w:rFonts w:hint="eastAsia" w:cs="宋体"/>
          <w:color w:val="auto"/>
          <w:sz w:val="36"/>
          <w:szCs w:val="36"/>
          <w:highlight w:val="none"/>
        </w:rPr>
        <w:t>采购合同</w:t>
      </w:r>
      <w:bookmarkEnd w:id="87"/>
      <w:bookmarkEnd w:id="88"/>
      <w:bookmarkEnd w:id="89"/>
    </w:p>
    <w:p w14:paraId="6FE6F5C2">
      <w:pPr>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合同编号：（</w:t>
      </w:r>
      <w:r>
        <w:rPr>
          <w:rFonts w:hint="eastAsia" w:ascii="宋体" w:hAnsi="宋体" w:cs="宋体"/>
          <w:color w:val="auto"/>
          <w:kern w:val="0"/>
          <w:sz w:val="24"/>
          <w:lang w:eastAsia="zh-CN"/>
        </w:rPr>
        <w:t>2025</w:t>
      </w:r>
      <w:r>
        <w:rPr>
          <w:rFonts w:hint="eastAsia" w:ascii="宋体" w:hAnsi="宋体" w:cs="宋体"/>
          <w:color w:val="auto"/>
          <w:kern w:val="0"/>
          <w:sz w:val="24"/>
        </w:rPr>
        <w:t>）第</w:t>
      </w:r>
      <w:r>
        <w:rPr>
          <w:rFonts w:hint="eastAsia" w:ascii="宋体" w:hAnsi="宋体" w:cs="宋体"/>
          <w:color w:val="auto"/>
          <w:kern w:val="0"/>
          <w:sz w:val="24"/>
          <w:u w:val="single"/>
        </w:rPr>
        <w:t>　　</w:t>
      </w:r>
      <w:r>
        <w:rPr>
          <w:rFonts w:hint="eastAsia" w:ascii="宋体" w:hAnsi="宋体" w:cs="宋体"/>
          <w:color w:val="auto"/>
          <w:kern w:val="0"/>
          <w:sz w:val="24"/>
        </w:rPr>
        <w:t>号</w:t>
      </w:r>
    </w:p>
    <w:p w14:paraId="54621C02">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签订日期：</w:t>
      </w:r>
      <w:r>
        <w:rPr>
          <w:rFonts w:hint="eastAsia" w:ascii="宋体" w:hAnsi="宋体" w:eastAsia="宋体" w:cs="宋体"/>
          <w:color w:val="auto"/>
          <w:kern w:val="0"/>
          <w:sz w:val="24"/>
          <w:szCs w:val="24"/>
          <w:lang w:eastAsia="zh-CN"/>
        </w:rPr>
        <w:t>2025</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u w:val="single"/>
        </w:rPr>
        <w:t>　　</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u w:val="single"/>
        </w:rPr>
        <w:t>　　</w:t>
      </w:r>
      <w:r>
        <w:rPr>
          <w:rFonts w:hint="eastAsia" w:ascii="宋体" w:hAnsi="宋体" w:eastAsia="宋体" w:cs="宋体"/>
          <w:color w:val="auto"/>
          <w:kern w:val="0"/>
          <w:sz w:val="24"/>
          <w:szCs w:val="24"/>
        </w:rPr>
        <w:t>日</w:t>
      </w:r>
    </w:p>
    <w:p w14:paraId="20AB6791">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kern w:val="0"/>
          <w:sz w:val="24"/>
          <w:szCs w:val="24"/>
        </w:rPr>
        <w:t>甲方</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w:t>
      </w:r>
      <w:r>
        <w:rPr>
          <w:rFonts w:hint="eastAsia" w:ascii="宋体" w:hAnsi="宋体" w:eastAsia="宋体" w:cs="宋体"/>
          <w:color w:val="auto"/>
          <w:sz w:val="24"/>
          <w:szCs w:val="24"/>
          <w:u w:val="single"/>
          <w:lang w:eastAsia="zh-CN"/>
        </w:rPr>
        <w:t>绍兴市上虞区曹娥街道办事处</w:t>
      </w:r>
      <w:r>
        <w:rPr>
          <w:rFonts w:hint="eastAsia" w:ascii="宋体" w:hAnsi="宋体" w:eastAsia="宋体" w:cs="宋体"/>
          <w:color w:val="auto"/>
          <w:sz w:val="24"/>
          <w:szCs w:val="24"/>
          <w:u w:val="single"/>
        </w:rPr>
        <w:t>　　</w:t>
      </w:r>
    </w:p>
    <w:p w14:paraId="69ED580F">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乙方</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w:t>
      </w:r>
    </w:p>
    <w:p w14:paraId="6EBADAEA">
      <w:pPr>
        <w:keepNext w:val="0"/>
        <w:keepLines w:val="0"/>
        <w:pageBreakBefore w:val="0"/>
        <w:widowControl w:val="0"/>
        <w:kinsoku/>
        <w:overflowPunct/>
        <w:bidi w:val="0"/>
        <w:snapToGrid/>
        <w:spacing w:line="46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根据《中华人民共和国民法典》、政府采购编号为</w:t>
      </w:r>
      <w:r>
        <w:rPr>
          <w:rFonts w:hint="eastAsia" w:ascii="宋体" w:hAnsi="宋体" w:cs="宋体"/>
          <w:b w:val="0"/>
          <w:bCs/>
          <w:color w:val="auto"/>
          <w:sz w:val="24"/>
          <w:szCs w:val="24"/>
          <w:lang w:val="en-US" w:eastAsia="zh-CN"/>
        </w:rPr>
        <w:t>FSJZCS2025020</w:t>
      </w:r>
      <w:r>
        <w:rPr>
          <w:rFonts w:hint="eastAsia" w:ascii="宋体" w:hAnsi="宋体" w:eastAsia="宋体" w:cs="宋体"/>
          <w:b w:val="0"/>
          <w:bCs/>
          <w:color w:val="auto"/>
          <w:sz w:val="24"/>
          <w:szCs w:val="24"/>
          <w:lang w:val="en-US" w:eastAsia="zh-CN"/>
        </w:rPr>
        <w:t xml:space="preserve">招标文件、乙方响应文件的规定，经公开招标采购，签订本合同。 </w:t>
      </w:r>
    </w:p>
    <w:p w14:paraId="114180F9">
      <w:pPr>
        <w:pStyle w:val="7"/>
        <w:numPr>
          <w:ilvl w:val="2"/>
          <w:numId w:val="0"/>
        </w:numPr>
        <w:rPr>
          <w:rFonts w:hint="eastAsia" w:ascii="宋体" w:hAnsi="宋体" w:eastAsia="宋体" w:cs="宋体"/>
          <w:color w:val="auto"/>
          <w:sz w:val="24"/>
          <w:szCs w:val="24"/>
        </w:rPr>
      </w:pPr>
      <w:r>
        <w:rPr>
          <w:rFonts w:hint="eastAsia" w:ascii="宋体" w:hAnsi="宋体" w:eastAsia="宋体" w:cs="宋体"/>
          <w:b w:val="0"/>
          <w:color w:val="auto"/>
          <w:sz w:val="24"/>
          <w:szCs w:val="24"/>
        </w:rPr>
        <w:t>一、</w:t>
      </w:r>
      <w:r>
        <w:rPr>
          <w:rFonts w:hint="eastAsia" w:ascii="宋体" w:hAnsi="宋体" w:eastAsia="宋体" w:cs="宋体"/>
          <w:color w:val="auto"/>
          <w:sz w:val="24"/>
          <w:szCs w:val="24"/>
        </w:rPr>
        <w:t>项目概况</w:t>
      </w:r>
    </w:p>
    <w:p w14:paraId="774D74CF">
      <w:pPr>
        <w:spacing w:line="360" w:lineRule="auto"/>
        <w:ind w:firstLine="420"/>
        <w:rPr>
          <w:rFonts w:hint="eastAsia" w:ascii="宋体" w:hAnsi="宋体" w:eastAsia="宋体" w:cs="宋体"/>
          <w:b w:val="0"/>
          <w:color w:val="auto"/>
          <w:sz w:val="24"/>
          <w:szCs w:val="24"/>
          <w:shd w:val="clear" w:color="auto" w:fill="FFFFFF"/>
        </w:rPr>
      </w:pPr>
      <w:r>
        <w:rPr>
          <w:rFonts w:hint="eastAsia" w:ascii="宋体" w:hAnsi="宋体" w:eastAsia="宋体" w:cs="宋体"/>
          <w:b w:val="0"/>
          <w:color w:val="auto"/>
          <w:sz w:val="24"/>
          <w:szCs w:val="24"/>
          <w:shd w:val="clear" w:color="auto" w:fill="FFFFFF"/>
        </w:rPr>
        <w:t>大气污染防治第三方本地化技术服务通过第三方驻场服务、大数据平台应用和环境智能监测硬件等手段，协助建立大气污染防治运行机制。综合利用各种监测技术手段，排查获取大气污染源的分布，动态评估大气污染特征和空气质量变化趋势，为开展大气污染防治工作</w:t>
      </w:r>
      <w:r>
        <w:rPr>
          <w:rFonts w:hint="eastAsia" w:ascii="宋体" w:hAnsi="宋体" w:eastAsia="宋体" w:cs="宋体"/>
          <w:b w:val="0"/>
          <w:color w:val="auto"/>
          <w:sz w:val="24"/>
          <w:szCs w:val="24"/>
          <w:shd w:val="clear" w:color="auto" w:fill="FFFFFF"/>
          <w:lang w:eastAsia="zh-CN"/>
        </w:rPr>
        <w:t>提供</w:t>
      </w:r>
      <w:r>
        <w:rPr>
          <w:rFonts w:hint="eastAsia" w:ascii="宋体" w:hAnsi="宋体" w:eastAsia="宋体" w:cs="宋体"/>
          <w:b w:val="0"/>
          <w:color w:val="auto"/>
          <w:sz w:val="24"/>
          <w:szCs w:val="24"/>
          <w:shd w:val="clear" w:color="auto" w:fill="FFFFFF"/>
        </w:rPr>
        <w:t>重要依据和前提，提高大气污染防治工作的针对性、科学性和合理性，最终实现空气质量的长效改善。</w:t>
      </w:r>
    </w:p>
    <w:p w14:paraId="1D170013">
      <w:pPr>
        <w:spacing w:line="360" w:lineRule="auto"/>
        <w:rPr>
          <w:rFonts w:hint="eastAsia" w:ascii="宋体" w:hAnsi="宋体" w:eastAsia="宋体" w:cs="宋体"/>
          <w:iCs w:val="0"/>
          <w:color w:val="auto"/>
          <w:kern w:val="2"/>
          <w:sz w:val="24"/>
          <w:szCs w:val="24"/>
          <w:lang w:val="en-US"/>
        </w:rPr>
      </w:pPr>
      <w:r>
        <w:rPr>
          <w:rFonts w:hint="eastAsia" w:ascii="宋体" w:hAnsi="宋体" w:eastAsia="宋体" w:cs="宋体"/>
          <w:iCs w:val="0"/>
          <w:color w:val="auto"/>
          <w:kern w:val="2"/>
          <w:sz w:val="24"/>
          <w:szCs w:val="24"/>
        </w:rPr>
        <w:t>二、</w:t>
      </w:r>
      <w:r>
        <w:rPr>
          <w:rFonts w:hint="eastAsia" w:ascii="宋体" w:hAnsi="宋体" w:eastAsia="宋体" w:cs="宋体"/>
          <w:b/>
          <w:bCs/>
          <w:color w:val="auto"/>
          <w:kern w:val="0"/>
          <w:sz w:val="24"/>
          <w:szCs w:val="24"/>
          <w:lang w:val="en-US" w:eastAsia="zh-CN" w:bidi="ar-SA"/>
        </w:rPr>
        <w:t>小环境精细化管控服务方案</w:t>
      </w:r>
    </w:p>
    <w:p w14:paraId="0BB53321">
      <w:pPr>
        <w:keepNext w:val="0"/>
        <w:keepLines w:val="0"/>
        <w:widowControl/>
        <w:suppressLineNumbers w:val="0"/>
        <w:jc w:val="left"/>
        <w:rPr>
          <w:rFonts w:hint="eastAsia" w:ascii="宋体" w:hAnsi="宋体" w:eastAsia="宋体" w:cs="宋体"/>
          <w:b w:val="0"/>
          <w:color w:val="auto"/>
          <w:sz w:val="24"/>
          <w:szCs w:val="24"/>
          <w:shd w:val="clear" w:color="auto" w:fill="FFFFFF"/>
          <w:lang w:val="en-US" w:eastAsia="zh-CN"/>
        </w:rPr>
      </w:pPr>
      <w:r>
        <w:rPr>
          <w:rFonts w:hint="eastAsia" w:ascii="宋体" w:hAnsi="宋体" w:eastAsia="宋体" w:cs="宋体"/>
          <w:b w:val="0"/>
          <w:color w:val="auto"/>
          <w:sz w:val="24"/>
          <w:szCs w:val="24"/>
          <w:shd w:val="clear" w:color="auto" w:fill="FFFFFF"/>
          <w:lang w:val="en-US" w:eastAsia="zh-CN"/>
        </w:rPr>
        <w:t>1.</w:t>
      </w:r>
      <w:r>
        <w:rPr>
          <w:rFonts w:hint="eastAsia" w:ascii="宋体" w:hAnsi="宋体" w:eastAsia="宋体" w:cs="宋体"/>
          <w:b/>
          <w:bCs/>
          <w:color w:val="auto"/>
          <w:kern w:val="0"/>
          <w:sz w:val="24"/>
          <w:szCs w:val="24"/>
          <w:lang w:val="en-US" w:eastAsia="zh-CN"/>
        </w:rPr>
        <w:t>监测站周边小环境保障服务</w:t>
      </w:r>
    </w:p>
    <w:p w14:paraId="3CC1E963">
      <w:pPr>
        <w:spacing w:line="360" w:lineRule="auto"/>
        <w:ind w:firstLine="420"/>
        <w:rPr>
          <w:rFonts w:hint="eastAsia" w:ascii="宋体" w:hAnsi="宋体" w:eastAsia="宋体" w:cs="宋体"/>
          <w:b w:val="0"/>
          <w:color w:val="auto"/>
          <w:sz w:val="24"/>
          <w:szCs w:val="24"/>
          <w:shd w:val="clear" w:color="auto" w:fill="FFFFFF"/>
        </w:rPr>
      </w:pPr>
      <w:r>
        <w:rPr>
          <w:rFonts w:hint="eastAsia" w:ascii="宋体" w:hAnsi="宋体" w:eastAsia="宋体" w:cs="宋体"/>
          <w:b w:val="0"/>
          <w:color w:val="auto"/>
          <w:sz w:val="24"/>
          <w:szCs w:val="24"/>
          <w:shd w:val="clear" w:color="auto" w:fill="FFFFFF"/>
          <w:lang w:val="en-US" w:eastAsia="zh-CN"/>
        </w:rPr>
        <w:t xml:space="preserve">1.1 项目组配置 </w:t>
      </w:r>
    </w:p>
    <w:p w14:paraId="6D77E287">
      <w:pPr>
        <w:spacing w:line="360" w:lineRule="auto"/>
        <w:ind w:firstLine="420"/>
        <w:rPr>
          <w:rFonts w:hint="eastAsia" w:ascii="宋体" w:hAnsi="宋体" w:eastAsia="宋体" w:cs="宋体"/>
          <w:b w:val="0"/>
          <w:color w:val="auto"/>
          <w:sz w:val="24"/>
          <w:szCs w:val="24"/>
          <w:shd w:val="clear" w:color="auto" w:fill="FFFFFF"/>
        </w:rPr>
      </w:pPr>
      <w:r>
        <w:rPr>
          <w:rFonts w:hint="eastAsia" w:ascii="宋体" w:hAnsi="宋体" w:eastAsia="宋体" w:cs="宋体"/>
          <w:b w:val="0"/>
          <w:color w:val="auto"/>
          <w:sz w:val="24"/>
          <w:szCs w:val="24"/>
          <w:shd w:val="clear" w:color="auto" w:fill="FFFFFF"/>
          <w:lang w:val="en-US" w:eastAsia="zh-CN"/>
        </w:rPr>
        <w:t xml:space="preserve">项目负责人：项目管理与日常工作安排，指挥调度，与站领导对接沟通等； </w:t>
      </w:r>
    </w:p>
    <w:p w14:paraId="44F4F5E7">
      <w:pPr>
        <w:spacing w:line="360" w:lineRule="auto"/>
        <w:ind w:firstLine="420"/>
        <w:rPr>
          <w:rFonts w:hint="eastAsia" w:ascii="宋体" w:hAnsi="宋体" w:eastAsia="宋体" w:cs="宋体"/>
          <w:b w:val="0"/>
          <w:color w:val="auto"/>
          <w:sz w:val="24"/>
          <w:szCs w:val="24"/>
          <w:shd w:val="clear" w:color="auto" w:fill="FFFFFF"/>
        </w:rPr>
      </w:pPr>
      <w:r>
        <w:rPr>
          <w:rFonts w:hint="eastAsia" w:ascii="宋体" w:hAnsi="宋体" w:eastAsia="宋体" w:cs="宋体"/>
          <w:b w:val="0"/>
          <w:color w:val="auto"/>
          <w:sz w:val="24"/>
          <w:szCs w:val="24"/>
          <w:shd w:val="clear" w:color="auto" w:fill="FFFFFF"/>
          <w:lang w:val="en-US" w:eastAsia="zh-CN"/>
        </w:rPr>
        <w:t xml:space="preserve">数据分析组：及时跟踪站点最新小时数据，发现异常第一时间汇报街道及现场溯源组。巡查发现问题汇总及交办，问题台账整理及更新，日报编写，数据实时监控及数据通报； </w:t>
      </w:r>
    </w:p>
    <w:p w14:paraId="5E9AB9E9">
      <w:pPr>
        <w:spacing w:line="360" w:lineRule="auto"/>
        <w:ind w:firstLine="420"/>
        <w:rPr>
          <w:rFonts w:hint="eastAsia" w:ascii="宋体" w:hAnsi="宋体" w:eastAsia="宋体" w:cs="宋体"/>
          <w:b w:val="0"/>
          <w:color w:val="auto"/>
          <w:sz w:val="24"/>
          <w:szCs w:val="24"/>
          <w:shd w:val="clear" w:color="auto" w:fill="FFFFFF"/>
        </w:rPr>
      </w:pPr>
      <w:r>
        <w:rPr>
          <w:rFonts w:hint="eastAsia" w:ascii="宋体" w:hAnsi="宋体" w:eastAsia="宋体" w:cs="宋体"/>
          <w:b w:val="0"/>
          <w:color w:val="auto"/>
          <w:sz w:val="24"/>
          <w:szCs w:val="24"/>
          <w:shd w:val="clear" w:color="auto" w:fill="FFFFFF"/>
          <w:lang w:val="en-US" w:eastAsia="zh-CN"/>
        </w:rPr>
        <w:t xml:space="preserve">现场溯源组：利用无人机立体检测、现场人员巡查手段，进行站点周边小环境污染源巡查及溯源取证； </w:t>
      </w:r>
    </w:p>
    <w:p w14:paraId="2A757D95">
      <w:pPr>
        <w:spacing w:line="360" w:lineRule="auto"/>
        <w:ind w:firstLine="420"/>
        <w:rPr>
          <w:rFonts w:hint="eastAsia" w:ascii="宋体" w:hAnsi="宋体" w:eastAsia="宋体" w:cs="宋体"/>
          <w:b w:val="0"/>
          <w:color w:val="auto"/>
          <w:sz w:val="24"/>
          <w:szCs w:val="24"/>
          <w:shd w:val="clear" w:color="auto" w:fill="FFFFFF"/>
        </w:rPr>
      </w:pPr>
      <w:r>
        <w:rPr>
          <w:rFonts w:hint="eastAsia" w:ascii="宋体" w:hAnsi="宋体" w:eastAsia="宋体" w:cs="宋体"/>
          <w:b w:val="0"/>
          <w:color w:val="auto"/>
          <w:sz w:val="24"/>
          <w:szCs w:val="24"/>
          <w:shd w:val="clear" w:color="auto" w:fill="FFFFFF"/>
          <w:lang w:val="en-US" w:eastAsia="zh-CN"/>
        </w:rPr>
        <w:t>运维保障组：定期巡查站点周边小环境，及时对栅栏外部进行卫生清洁，每日巡查站点外部供电、外部网络设施。</w:t>
      </w:r>
    </w:p>
    <w:p w14:paraId="1DD69405">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lang w:val="en-US" w:eastAsia="zh-CN"/>
        </w:rPr>
        <w:t>2.</w:t>
      </w:r>
      <w:r>
        <w:rPr>
          <w:rFonts w:hint="eastAsia" w:ascii="宋体" w:hAnsi="宋体" w:eastAsia="宋体" w:cs="宋体"/>
          <w:b/>
          <w:bCs/>
          <w:color w:val="auto"/>
          <w:kern w:val="0"/>
          <w:sz w:val="24"/>
          <w:szCs w:val="24"/>
          <w:lang w:val="en-US" w:eastAsia="zh-CN"/>
        </w:rPr>
        <w:t>空气监测站数据分析服务</w:t>
      </w:r>
    </w:p>
    <w:p w14:paraId="36016D40">
      <w:pPr>
        <w:spacing w:line="360" w:lineRule="auto"/>
        <w:ind w:firstLine="420"/>
        <w:rPr>
          <w:rFonts w:hint="eastAsia" w:ascii="宋体" w:hAnsi="宋体" w:eastAsia="宋体" w:cs="宋体"/>
          <w:b w:val="0"/>
          <w:color w:val="auto"/>
          <w:sz w:val="24"/>
          <w:szCs w:val="24"/>
          <w:shd w:val="clear" w:color="auto" w:fill="FFFFFF"/>
          <w:lang w:val="en-US" w:eastAsia="zh-CN"/>
        </w:rPr>
      </w:pPr>
      <w:r>
        <w:rPr>
          <w:rFonts w:hint="eastAsia" w:ascii="宋体" w:hAnsi="宋体" w:eastAsia="宋体" w:cs="宋体"/>
          <w:b w:val="0"/>
          <w:color w:val="auto"/>
          <w:sz w:val="24"/>
          <w:szCs w:val="24"/>
          <w:shd w:val="clear" w:color="auto" w:fill="FFFFFF"/>
          <w:lang w:val="en-US" w:eastAsia="zh-CN"/>
        </w:rPr>
        <w:t xml:space="preserve">2.1 服务目的 </w:t>
      </w:r>
    </w:p>
    <w:p w14:paraId="784A2ECD">
      <w:pPr>
        <w:spacing w:line="360" w:lineRule="auto"/>
        <w:ind w:firstLine="420"/>
        <w:rPr>
          <w:rFonts w:hint="eastAsia" w:ascii="宋体" w:hAnsi="宋体" w:eastAsia="宋体" w:cs="宋体"/>
          <w:b w:val="0"/>
          <w:color w:val="auto"/>
          <w:sz w:val="24"/>
          <w:szCs w:val="24"/>
          <w:shd w:val="clear" w:color="auto" w:fill="FFFFFF"/>
          <w:lang w:val="en-US" w:eastAsia="zh-CN"/>
        </w:rPr>
      </w:pPr>
      <w:r>
        <w:rPr>
          <w:rFonts w:hint="eastAsia" w:ascii="宋体" w:hAnsi="宋体" w:eastAsia="宋体" w:cs="宋体"/>
          <w:b w:val="0"/>
          <w:color w:val="auto"/>
          <w:sz w:val="24"/>
          <w:szCs w:val="24"/>
          <w:shd w:val="clear" w:color="auto" w:fill="FFFFFF"/>
          <w:lang w:val="en-US" w:eastAsia="zh-CN"/>
        </w:rPr>
        <w:t xml:space="preserve">基于重点管控监测站常规监测数据进行日常数据监控，深度分析管控区及其相关周边影响区域的空气质量变化。预警天、污染天实时提供最新小时数据、5分钟数据，为快速溯源做有力支撑。 </w:t>
      </w:r>
    </w:p>
    <w:p w14:paraId="51F620B5">
      <w:pPr>
        <w:spacing w:line="360" w:lineRule="auto"/>
        <w:ind w:firstLine="420"/>
        <w:rPr>
          <w:rFonts w:hint="eastAsia" w:ascii="宋体" w:hAnsi="宋体" w:eastAsia="宋体" w:cs="宋体"/>
          <w:b w:val="0"/>
          <w:color w:val="auto"/>
          <w:sz w:val="24"/>
          <w:szCs w:val="24"/>
          <w:shd w:val="clear" w:color="auto" w:fill="FFFFFF"/>
          <w:lang w:val="en-US" w:eastAsia="zh-CN"/>
        </w:rPr>
      </w:pPr>
      <w:r>
        <w:rPr>
          <w:rFonts w:hint="eastAsia" w:ascii="宋体" w:hAnsi="宋体" w:eastAsia="宋体" w:cs="宋体"/>
          <w:b w:val="0"/>
          <w:color w:val="auto"/>
          <w:sz w:val="24"/>
          <w:szCs w:val="24"/>
          <w:shd w:val="clear" w:color="auto" w:fill="FFFFFF"/>
          <w:lang w:val="en-US" w:eastAsia="zh-CN"/>
        </w:rPr>
        <w:t xml:space="preserve">2.2 服务内容 </w:t>
      </w:r>
    </w:p>
    <w:p w14:paraId="0966EFB3">
      <w:pPr>
        <w:spacing w:line="360" w:lineRule="auto"/>
        <w:ind w:firstLine="420"/>
        <w:rPr>
          <w:rFonts w:hint="eastAsia" w:ascii="宋体" w:hAnsi="宋体" w:eastAsia="宋体" w:cs="宋体"/>
          <w:b w:val="0"/>
          <w:color w:val="auto"/>
          <w:sz w:val="24"/>
          <w:szCs w:val="24"/>
          <w:shd w:val="clear" w:color="auto" w:fill="FFFFFF"/>
          <w:lang w:val="en-US" w:eastAsia="zh-CN"/>
        </w:rPr>
      </w:pPr>
      <w:r>
        <w:rPr>
          <w:rFonts w:hint="eastAsia" w:ascii="宋体" w:hAnsi="宋体" w:eastAsia="宋体" w:cs="宋体"/>
          <w:b w:val="0"/>
          <w:color w:val="auto"/>
          <w:sz w:val="24"/>
          <w:szCs w:val="24"/>
          <w:shd w:val="clear" w:color="auto" w:fill="FFFFFF"/>
          <w:lang w:val="en-US" w:eastAsia="zh-CN"/>
        </w:rPr>
        <w:t xml:space="preserve">（1）日常数据监控。为了保证实现“时保日，日保月，月保年”的管控要求，工作时间对站点的空气质量小时数据、最新5分钟数据进行实时监控。根据5分钟数据情况，实时提醒站点高值、实时分析数据变化趋势。调度现场组对周边小环境进行污染源的排查，并将排查结果报街道处理，采取相应管控措施。 </w:t>
      </w:r>
    </w:p>
    <w:p w14:paraId="5344AEE9">
      <w:pPr>
        <w:spacing w:line="360" w:lineRule="auto"/>
        <w:ind w:firstLine="420"/>
        <w:rPr>
          <w:rFonts w:hint="eastAsia" w:ascii="宋体" w:hAnsi="宋体" w:eastAsia="宋体" w:cs="宋体"/>
          <w:b w:val="0"/>
          <w:color w:val="auto"/>
          <w:sz w:val="24"/>
          <w:szCs w:val="24"/>
          <w:shd w:val="clear" w:color="auto" w:fill="FFFFFF"/>
          <w:lang w:val="en-US" w:eastAsia="zh-CN"/>
        </w:rPr>
      </w:pPr>
      <w:r>
        <w:rPr>
          <w:rFonts w:hint="eastAsia" w:ascii="宋体" w:hAnsi="宋体" w:eastAsia="宋体" w:cs="宋体"/>
          <w:b w:val="0"/>
          <w:color w:val="auto"/>
          <w:sz w:val="24"/>
          <w:szCs w:val="24"/>
          <w:shd w:val="clear" w:color="auto" w:fill="FFFFFF"/>
          <w:lang w:val="en-US" w:eastAsia="zh-CN"/>
        </w:rPr>
        <w:t xml:space="preserve">（2）日常分析报告。针对污染天气，开展日常空气质量分析，包括昨日站点空气质量，站点污染物变化趋势，无人机监测和现场核查分析日报，提供管控建议，通过模型预测下一天的空气情况。 </w:t>
      </w:r>
    </w:p>
    <w:p w14:paraId="30407FAF">
      <w:pPr>
        <w:spacing w:line="360" w:lineRule="auto"/>
        <w:ind w:firstLine="420"/>
        <w:rPr>
          <w:rFonts w:hint="eastAsia" w:ascii="宋体" w:hAnsi="宋体" w:eastAsia="宋体" w:cs="宋体"/>
          <w:b w:val="0"/>
          <w:color w:val="auto"/>
          <w:sz w:val="24"/>
          <w:szCs w:val="24"/>
          <w:shd w:val="clear" w:color="auto" w:fill="FFFFFF"/>
          <w:lang w:val="en-US" w:eastAsia="zh-CN"/>
        </w:rPr>
      </w:pPr>
      <w:r>
        <w:rPr>
          <w:rFonts w:hint="eastAsia" w:ascii="宋体" w:hAnsi="宋体" w:eastAsia="宋体" w:cs="宋体"/>
          <w:b w:val="0"/>
          <w:color w:val="auto"/>
          <w:sz w:val="24"/>
          <w:szCs w:val="24"/>
          <w:shd w:val="clear" w:color="auto" w:fill="FFFFFF"/>
          <w:lang w:val="en-US" w:eastAsia="zh-CN"/>
        </w:rPr>
        <w:t xml:space="preserve">（3）站点数据分析。针对空气站点，分析污染物的变化情况，同比、环比、达标率及主要污染浓度与政府目标的差距、排名情况、空气质量变化趋势、阶段性污染物浓度对比、污染时段分析、污染来源分析、污染相关性分析。 </w:t>
      </w:r>
    </w:p>
    <w:p w14:paraId="3313D9C3">
      <w:pPr>
        <w:spacing w:line="360" w:lineRule="auto"/>
        <w:ind w:firstLine="420"/>
        <w:rPr>
          <w:rFonts w:hint="eastAsia" w:ascii="宋体" w:hAnsi="宋体" w:eastAsia="宋体" w:cs="宋体"/>
          <w:b w:val="0"/>
          <w:color w:val="auto"/>
          <w:sz w:val="24"/>
          <w:szCs w:val="24"/>
          <w:shd w:val="clear" w:color="auto" w:fill="FFFFFF"/>
          <w:lang w:val="en-US" w:eastAsia="zh-CN"/>
        </w:rPr>
      </w:pPr>
      <w:r>
        <w:rPr>
          <w:rFonts w:hint="eastAsia" w:ascii="宋体" w:hAnsi="宋体" w:eastAsia="宋体" w:cs="宋体"/>
          <w:b w:val="0"/>
          <w:color w:val="auto"/>
          <w:sz w:val="24"/>
          <w:szCs w:val="24"/>
          <w:shd w:val="clear" w:color="auto" w:fill="FFFFFF"/>
          <w:lang w:val="en-US" w:eastAsia="zh-CN"/>
        </w:rPr>
        <w:t>（4）专项分析报告。针对重点时段、重点区域、重点污染物进行专项分析，找出原因，提供对策，跟踪评估。遇重大污染过程或重大事件可根据要求进行专 项解析，形成专业报告，及时提交。</w:t>
      </w:r>
    </w:p>
    <w:p w14:paraId="429EC7BD">
      <w:pPr>
        <w:spacing w:line="360" w:lineRule="auto"/>
        <w:ind w:firstLine="420"/>
        <w:rPr>
          <w:rFonts w:hint="eastAsia" w:ascii="宋体" w:hAnsi="宋体" w:eastAsia="宋体" w:cs="宋体"/>
          <w:b w:val="0"/>
          <w:color w:val="auto"/>
          <w:sz w:val="24"/>
          <w:szCs w:val="24"/>
          <w:shd w:val="clear" w:color="auto" w:fill="FFFFFF"/>
          <w:lang w:val="en-US" w:eastAsia="zh-CN"/>
        </w:rPr>
      </w:pPr>
      <w:r>
        <w:rPr>
          <w:rFonts w:hint="eastAsia" w:ascii="宋体" w:hAnsi="宋体" w:eastAsia="宋体" w:cs="宋体"/>
          <w:b/>
          <w:bCs/>
          <w:color w:val="auto"/>
          <w:sz w:val="24"/>
          <w:szCs w:val="24"/>
          <w:shd w:val="clear" w:color="auto" w:fill="FFFFFF"/>
          <w:lang w:val="en-US" w:eastAsia="zh-CN"/>
        </w:rPr>
        <w:t>3.无人机立体化监测服务</w:t>
      </w:r>
      <w:r>
        <w:rPr>
          <w:rFonts w:hint="eastAsia" w:ascii="宋体" w:hAnsi="宋体" w:eastAsia="宋体" w:cs="宋体"/>
          <w:b w:val="0"/>
          <w:color w:val="auto"/>
          <w:sz w:val="24"/>
          <w:szCs w:val="24"/>
          <w:shd w:val="clear" w:color="auto" w:fill="FFFFFF"/>
          <w:lang w:val="en-US" w:eastAsia="zh-CN"/>
        </w:rPr>
        <w:t xml:space="preserve"> </w:t>
      </w:r>
    </w:p>
    <w:p w14:paraId="386C9A9A">
      <w:pPr>
        <w:spacing w:line="360" w:lineRule="auto"/>
        <w:ind w:firstLine="420"/>
        <w:rPr>
          <w:rFonts w:hint="eastAsia" w:ascii="宋体" w:hAnsi="宋体" w:eastAsia="宋体" w:cs="宋体"/>
          <w:b w:val="0"/>
          <w:bCs w:val="0"/>
          <w:color w:val="auto"/>
          <w:sz w:val="24"/>
          <w:szCs w:val="24"/>
          <w:shd w:val="clear" w:color="auto" w:fill="FFFFFF"/>
          <w:lang w:val="en-US" w:eastAsia="zh-CN"/>
        </w:rPr>
      </w:pPr>
      <w:r>
        <w:rPr>
          <w:rFonts w:hint="eastAsia" w:ascii="宋体" w:hAnsi="宋体" w:eastAsia="宋体" w:cs="宋体"/>
          <w:b w:val="0"/>
          <w:bCs w:val="0"/>
          <w:color w:val="auto"/>
          <w:sz w:val="24"/>
          <w:szCs w:val="24"/>
          <w:shd w:val="clear" w:color="auto" w:fill="FFFFFF"/>
          <w:lang w:val="en-US" w:eastAsia="zh-CN"/>
        </w:rPr>
        <w:t xml:space="preserve">3.1 服务目的 </w:t>
      </w:r>
    </w:p>
    <w:p w14:paraId="4F86E69E">
      <w:pPr>
        <w:spacing w:line="360" w:lineRule="auto"/>
        <w:ind w:firstLine="420"/>
        <w:rPr>
          <w:rFonts w:hint="eastAsia" w:ascii="宋体" w:hAnsi="宋体" w:eastAsia="宋体" w:cs="宋体"/>
          <w:b w:val="0"/>
          <w:color w:val="auto"/>
          <w:sz w:val="24"/>
          <w:szCs w:val="24"/>
          <w:shd w:val="clear" w:color="auto" w:fill="FFFFFF"/>
          <w:lang w:val="en-US" w:eastAsia="zh-CN"/>
        </w:rPr>
      </w:pPr>
      <w:r>
        <w:rPr>
          <w:rFonts w:hint="eastAsia" w:ascii="宋体" w:hAnsi="宋体" w:eastAsia="宋体" w:cs="宋体"/>
          <w:b w:val="0"/>
          <w:color w:val="auto"/>
          <w:sz w:val="24"/>
          <w:szCs w:val="24"/>
          <w:shd w:val="clear" w:color="auto" w:fill="FFFFFF"/>
          <w:lang w:val="en-US" w:eastAsia="zh-CN"/>
        </w:rPr>
        <w:t xml:space="preserve">无人机具有高效省事、行动灵活等特点，监测排查效率高，不受地理因素的限制。利用无人机监测，执行一次任务，可以精确采集最多9项空气污染物浓度分布数据，同步查看多种污染物的三维浓度分布情况，快速锁定污染源位置与传输方向。同时无人机搭载了高分辨成像设备，短时间内扫描大面积区域，可实现 精准快速溯源。无人机不仅可以实现快速溯源监测以及污染源查找，而且可以在重污染天进行不同时段、不同高度追踪监测污染扩散趋势的立体监测分析，从而进一步明确污染扩散机理。 </w:t>
      </w:r>
    </w:p>
    <w:p w14:paraId="15DFB8F3">
      <w:pPr>
        <w:spacing w:line="360" w:lineRule="auto"/>
        <w:ind w:firstLine="420"/>
        <w:rPr>
          <w:rFonts w:hint="eastAsia" w:ascii="宋体" w:hAnsi="宋体" w:eastAsia="宋体" w:cs="宋体"/>
          <w:b w:val="0"/>
          <w:color w:val="auto"/>
          <w:sz w:val="24"/>
          <w:szCs w:val="24"/>
          <w:shd w:val="clear" w:color="auto" w:fill="FFFFFF"/>
          <w:lang w:val="en-US" w:eastAsia="zh-CN"/>
        </w:rPr>
      </w:pPr>
      <w:r>
        <w:rPr>
          <w:rFonts w:hint="eastAsia" w:ascii="宋体" w:hAnsi="宋体" w:eastAsia="宋体" w:cs="宋体"/>
          <w:b w:val="0"/>
          <w:color w:val="auto"/>
          <w:sz w:val="24"/>
          <w:szCs w:val="24"/>
          <w:shd w:val="clear" w:color="auto" w:fill="FFFFFF"/>
          <w:lang w:val="en-US" w:eastAsia="zh-CN"/>
        </w:rPr>
        <w:t xml:space="preserve">3.2 服务内容 </w:t>
      </w:r>
    </w:p>
    <w:p w14:paraId="5A53CD49">
      <w:pPr>
        <w:spacing w:line="360" w:lineRule="auto"/>
        <w:ind w:firstLine="420"/>
        <w:rPr>
          <w:rFonts w:hint="eastAsia" w:ascii="宋体" w:hAnsi="宋体" w:eastAsia="宋体" w:cs="宋体"/>
          <w:b w:val="0"/>
          <w:color w:val="auto"/>
          <w:sz w:val="24"/>
          <w:szCs w:val="24"/>
          <w:shd w:val="clear" w:color="auto" w:fill="FFFFFF"/>
          <w:lang w:val="en-US" w:eastAsia="zh-CN"/>
        </w:rPr>
      </w:pPr>
      <w:r>
        <w:rPr>
          <w:rFonts w:hint="eastAsia" w:ascii="宋体" w:hAnsi="宋体" w:eastAsia="宋体" w:cs="宋体"/>
          <w:b w:val="0"/>
          <w:color w:val="auto"/>
          <w:sz w:val="24"/>
          <w:szCs w:val="24"/>
          <w:shd w:val="clear" w:color="auto" w:fill="FFFFFF"/>
          <w:lang w:val="en-US" w:eastAsia="zh-CN"/>
        </w:rPr>
        <w:t xml:space="preserve">利用走航以及无人机监测，在监测站周边对重点道路及重点区域进行走航及立体监测，获取监测区域污染参数情况和路线图谱。 </w:t>
      </w:r>
    </w:p>
    <w:p w14:paraId="52D85D71">
      <w:pPr>
        <w:spacing w:line="360" w:lineRule="auto"/>
        <w:ind w:firstLine="420"/>
        <w:rPr>
          <w:rFonts w:hint="eastAsia" w:ascii="宋体" w:hAnsi="宋体" w:eastAsia="宋体" w:cs="宋体"/>
          <w:b w:val="0"/>
          <w:color w:val="auto"/>
          <w:sz w:val="24"/>
          <w:szCs w:val="24"/>
          <w:shd w:val="clear" w:color="auto" w:fill="FFFFFF"/>
          <w:lang w:val="en-US" w:eastAsia="zh-CN"/>
        </w:rPr>
      </w:pPr>
      <w:r>
        <w:rPr>
          <w:rFonts w:hint="eastAsia" w:ascii="宋体" w:hAnsi="宋体" w:eastAsia="宋体" w:cs="宋体"/>
          <w:b w:val="0"/>
          <w:color w:val="auto"/>
          <w:sz w:val="24"/>
          <w:szCs w:val="24"/>
          <w:shd w:val="clear" w:color="auto" w:fill="FFFFFF"/>
          <w:lang w:val="en-US" w:eastAsia="zh-CN"/>
        </w:rPr>
        <w:t xml:space="preserve">走航过程中筛查监测高值点，及时安排现场人员排查，精准快速溯源，并对现场情况进行及时反馈。 </w:t>
      </w:r>
    </w:p>
    <w:p w14:paraId="4C6D5EDD">
      <w:pPr>
        <w:spacing w:line="360" w:lineRule="auto"/>
        <w:ind w:firstLine="420"/>
        <w:rPr>
          <w:rFonts w:hint="eastAsia" w:ascii="宋体" w:hAnsi="宋体" w:eastAsia="宋体" w:cs="宋体"/>
          <w:b w:val="0"/>
          <w:color w:val="auto"/>
          <w:sz w:val="24"/>
          <w:szCs w:val="24"/>
          <w:shd w:val="clear" w:color="auto" w:fill="FFFFFF"/>
          <w:lang w:val="en-US" w:eastAsia="zh-CN"/>
        </w:rPr>
      </w:pPr>
      <w:r>
        <w:rPr>
          <w:rFonts w:hint="eastAsia" w:ascii="宋体" w:hAnsi="宋体" w:eastAsia="宋体" w:cs="宋体"/>
          <w:b w:val="0"/>
          <w:color w:val="auto"/>
          <w:sz w:val="24"/>
          <w:szCs w:val="24"/>
          <w:shd w:val="clear" w:color="auto" w:fill="FFFFFF"/>
          <w:lang w:val="en-US" w:eastAsia="zh-CN"/>
        </w:rPr>
        <w:t xml:space="preserve">走航过程中现场巡查，调查监测站周边存在的污染源，对污染源进行调查取证，针对不同情况提出合理建议。 </w:t>
      </w:r>
    </w:p>
    <w:p w14:paraId="650270CD">
      <w:pPr>
        <w:spacing w:line="360" w:lineRule="auto"/>
        <w:ind w:firstLine="420"/>
        <w:rPr>
          <w:rFonts w:hint="eastAsia" w:ascii="宋体" w:hAnsi="宋体" w:eastAsia="宋体" w:cs="宋体"/>
          <w:iCs w:val="0"/>
          <w:color w:val="auto"/>
          <w:kern w:val="2"/>
          <w:sz w:val="24"/>
          <w:szCs w:val="24"/>
          <w:lang w:val="en-US" w:eastAsia="zh-CN"/>
        </w:rPr>
      </w:pPr>
      <w:r>
        <w:rPr>
          <w:rFonts w:hint="eastAsia" w:ascii="宋体" w:hAnsi="宋体" w:eastAsia="宋体" w:cs="宋体"/>
          <w:b w:val="0"/>
          <w:color w:val="auto"/>
          <w:sz w:val="24"/>
          <w:szCs w:val="24"/>
          <w:shd w:val="clear" w:color="auto" w:fill="FFFFFF"/>
          <w:lang w:val="en-US" w:eastAsia="zh-CN"/>
        </w:rPr>
        <w:t>数据分析人员通过大数据平台分析汇总现场组发现的问题，编制污染源台账，监测期间结束出具简报一份。</w:t>
      </w:r>
    </w:p>
    <w:p w14:paraId="509B3224">
      <w:pPr>
        <w:pStyle w:val="5"/>
        <w:numPr>
          <w:ilvl w:val="1"/>
          <w:numId w:val="0"/>
        </w:numPr>
        <w:rPr>
          <w:rFonts w:hint="eastAsia" w:ascii="宋体" w:hAnsi="宋体" w:eastAsia="宋体" w:cs="宋体"/>
          <w:bCs/>
          <w:color w:val="auto"/>
          <w:sz w:val="24"/>
          <w:szCs w:val="24"/>
          <w:lang w:val="en-US" w:eastAsia="zh-CN"/>
        </w:rPr>
      </w:pPr>
      <w:r>
        <w:rPr>
          <w:rFonts w:hint="eastAsia" w:ascii="宋体" w:hAnsi="宋体" w:eastAsia="宋体" w:cs="宋体"/>
          <w:iCs w:val="0"/>
          <w:color w:val="auto"/>
          <w:kern w:val="2"/>
          <w:sz w:val="24"/>
          <w:szCs w:val="24"/>
          <w:lang w:val="en-US" w:eastAsia="zh-CN"/>
        </w:rPr>
        <w:t>4.</w:t>
      </w:r>
      <w:r>
        <w:rPr>
          <w:rFonts w:hint="eastAsia" w:ascii="宋体" w:hAnsi="宋体" w:eastAsia="宋体" w:cs="宋体"/>
          <w:bCs/>
          <w:color w:val="auto"/>
          <w:sz w:val="24"/>
          <w:szCs w:val="24"/>
        </w:rPr>
        <w:t xml:space="preserve"> </w:t>
      </w:r>
      <w:r>
        <w:rPr>
          <w:rFonts w:hint="eastAsia" w:ascii="宋体" w:hAnsi="宋体" w:eastAsia="宋体" w:cs="宋体"/>
          <w:bCs/>
          <w:color w:val="auto"/>
          <w:sz w:val="24"/>
          <w:szCs w:val="24"/>
          <w:lang w:val="en-US" w:eastAsia="zh-CN"/>
        </w:rPr>
        <w:t>微型空气质量监测站建设</w:t>
      </w:r>
    </w:p>
    <w:p w14:paraId="1FD2F81D">
      <w:pPr>
        <w:pStyle w:val="2"/>
        <w:ind w:left="0" w:leftChars="0" w:firstLine="0" w:firstLineChars="0"/>
        <w:rPr>
          <w:rFonts w:hint="eastAsia" w:ascii="宋体" w:hAnsi="宋体" w:eastAsia="宋体" w:cs="宋体"/>
          <w:color w:val="auto"/>
          <w:sz w:val="24"/>
          <w:szCs w:val="24"/>
        </w:rPr>
      </w:pPr>
      <w:r>
        <w:rPr>
          <w:rFonts w:hint="eastAsia" w:ascii="宋体" w:hAnsi="宋体" w:eastAsia="宋体" w:cs="宋体"/>
          <w:b w:val="0"/>
          <w:color w:val="auto"/>
          <w:kern w:val="2"/>
          <w:sz w:val="24"/>
          <w:szCs w:val="24"/>
          <w:lang w:val="en-US" w:eastAsia="zh-CN" w:bidi="ar-SA"/>
        </w:rPr>
        <w:t>4.1</w:t>
      </w:r>
      <w:r>
        <w:rPr>
          <w:rFonts w:hint="eastAsia" w:ascii="宋体" w:hAnsi="宋体" w:eastAsia="宋体" w:cs="宋体"/>
          <w:color w:val="auto"/>
          <w:sz w:val="24"/>
          <w:szCs w:val="24"/>
        </w:rPr>
        <w:t>近一年绍兴市空气质量情况（以总站发布数据为准）</w:t>
      </w:r>
    </w:p>
    <w:p w14:paraId="16B92987">
      <w:pPr>
        <w:jc w:val="center"/>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5479415" cy="2371090"/>
            <wp:effectExtent l="0" t="0" r="6985" b="1016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8"/>
                    <a:stretch>
                      <a:fillRect/>
                    </a:stretch>
                  </pic:blipFill>
                  <pic:spPr>
                    <a:xfrm>
                      <a:off x="0" y="0"/>
                      <a:ext cx="5479415" cy="2371090"/>
                    </a:xfrm>
                    <a:prstGeom prst="rect">
                      <a:avLst/>
                    </a:prstGeom>
                    <a:noFill/>
                    <a:ln>
                      <a:noFill/>
                    </a:ln>
                  </pic:spPr>
                </pic:pic>
              </a:graphicData>
            </a:graphic>
          </wp:inline>
        </w:drawing>
      </w:r>
    </w:p>
    <w:p w14:paraId="00DBEC61">
      <w:pPr>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图1  近12个月空气质量情况</w:t>
      </w:r>
    </w:p>
    <w:p w14:paraId="70E8F227">
      <w:pPr>
        <w:jc w:val="center"/>
        <w:rPr>
          <w:rFonts w:hint="eastAsia" w:ascii="宋体" w:hAnsi="宋体" w:eastAsia="宋体" w:cs="宋体"/>
          <w:b w:val="0"/>
          <w:color w:val="auto"/>
          <w:kern w:val="2"/>
          <w:sz w:val="24"/>
          <w:szCs w:val="24"/>
          <w:lang w:val="en-US" w:eastAsia="zh-CN" w:bidi="ar-SA"/>
        </w:rPr>
      </w:pPr>
    </w:p>
    <w:p w14:paraId="117AF05C">
      <w:pPr>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表1  2024年上虞区月度PM2.5浓度情况</w:t>
      </w:r>
    </w:p>
    <w:tbl>
      <w:tblPr>
        <w:tblStyle w:val="27"/>
        <w:tblW w:w="10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1455"/>
        <w:gridCol w:w="942"/>
        <w:gridCol w:w="1561"/>
        <w:gridCol w:w="1022"/>
        <w:gridCol w:w="1496"/>
        <w:gridCol w:w="961"/>
        <w:gridCol w:w="1558"/>
      </w:tblGrid>
      <w:tr w14:paraId="17F95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top"/>
          </w:tcPr>
          <w:p w14:paraId="31B6A70A">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时间</w:t>
            </w:r>
          </w:p>
        </w:tc>
        <w:tc>
          <w:tcPr>
            <w:tcW w:w="1455" w:type="dxa"/>
            <w:noWrap w:val="0"/>
            <w:vAlign w:val="top"/>
          </w:tcPr>
          <w:p w14:paraId="746B6EA8">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PM2.5浓度（μg/m³）</w:t>
            </w:r>
          </w:p>
        </w:tc>
        <w:tc>
          <w:tcPr>
            <w:tcW w:w="942" w:type="dxa"/>
            <w:noWrap w:val="0"/>
            <w:vAlign w:val="top"/>
          </w:tcPr>
          <w:p w14:paraId="0CF2C20E">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时间</w:t>
            </w:r>
          </w:p>
        </w:tc>
        <w:tc>
          <w:tcPr>
            <w:tcW w:w="1561" w:type="dxa"/>
            <w:noWrap w:val="0"/>
            <w:vAlign w:val="top"/>
          </w:tcPr>
          <w:p w14:paraId="3DAED034">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PM2.5浓度（μg/m³）</w:t>
            </w:r>
          </w:p>
        </w:tc>
        <w:tc>
          <w:tcPr>
            <w:tcW w:w="1022" w:type="dxa"/>
            <w:noWrap w:val="0"/>
            <w:vAlign w:val="top"/>
          </w:tcPr>
          <w:p w14:paraId="318DD632">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时间</w:t>
            </w:r>
          </w:p>
        </w:tc>
        <w:tc>
          <w:tcPr>
            <w:tcW w:w="1496" w:type="dxa"/>
            <w:noWrap w:val="0"/>
            <w:vAlign w:val="top"/>
          </w:tcPr>
          <w:p w14:paraId="0AF3BE9B">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PM2.5浓度（μg/m³）</w:t>
            </w:r>
          </w:p>
        </w:tc>
        <w:tc>
          <w:tcPr>
            <w:tcW w:w="961" w:type="dxa"/>
            <w:noWrap w:val="0"/>
            <w:vAlign w:val="top"/>
          </w:tcPr>
          <w:p w14:paraId="3122DE77">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时间</w:t>
            </w:r>
          </w:p>
        </w:tc>
        <w:tc>
          <w:tcPr>
            <w:tcW w:w="1558" w:type="dxa"/>
            <w:noWrap w:val="0"/>
            <w:vAlign w:val="top"/>
          </w:tcPr>
          <w:p w14:paraId="6C405C93">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PM2.5浓度（μg/m³）</w:t>
            </w:r>
          </w:p>
        </w:tc>
      </w:tr>
      <w:tr w14:paraId="626ED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top"/>
          </w:tcPr>
          <w:p w14:paraId="69C2CF8B">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1月</w:t>
            </w:r>
          </w:p>
        </w:tc>
        <w:tc>
          <w:tcPr>
            <w:tcW w:w="1455" w:type="dxa"/>
            <w:noWrap w:val="0"/>
            <w:vAlign w:val="top"/>
          </w:tcPr>
          <w:p w14:paraId="2237450A">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58</w:t>
            </w:r>
          </w:p>
        </w:tc>
        <w:tc>
          <w:tcPr>
            <w:tcW w:w="942" w:type="dxa"/>
            <w:noWrap w:val="0"/>
            <w:vAlign w:val="top"/>
          </w:tcPr>
          <w:p w14:paraId="35F8A3C1">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4月</w:t>
            </w:r>
          </w:p>
        </w:tc>
        <w:tc>
          <w:tcPr>
            <w:tcW w:w="1561" w:type="dxa"/>
            <w:noWrap w:val="0"/>
            <w:vAlign w:val="top"/>
          </w:tcPr>
          <w:p w14:paraId="589805D9">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29</w:t>
            </w:r>
          </w:p>
        </w:tc>
        <w:tc>
          <w:tcPr>
            <w:tcW w:w="1022" w:type="dxa"/>
            <w:noWrap w:val="0"/>
            <w:vAlign w:val="top"/>
          </w:tcPr>
          <w:p w14:paraId="3A5DD059">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7月</w:t>
            </w:r>
          </w:p>
        </w:tc>
        <w:tc>
          <w:tcPr>
            <w:tcW w:w="1496" w:type="dxa"/>
            <w:noWrap w:val="0"/>
            <w:vAlign w:val="top"/>
          </w:tcPr>
          <w:p w14:paraId="078D881C">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15</w:t>
            </w:r>
          </w:p>
        </w:tc>
        <w:tc>
          <w:tcPr>
            <w:tcW w:w="961" w:type="dxa"/>
            <w:noWrap w:val="0"/>
            <w:vAlign w:val="top"/>
          </w:tcPr>
          <w:p w14:paraId="44E1BC1E">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10月</w:t>
            </w:r>
          </w:p>
        </w:tc>
        <w:tc>
          <w:tcPr>
            <w:tcW w:w="1558" w:type="dxa"/>
            <w:noWrap w:val="0"/>
            <w:vAlign w:val="top"/>
          </w:tcPr>
          <w:p w14:paraId="7EA6A4D0">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23</w:t>
            </w:r>
          </w:p>
        </w:tc>
      </w:tr>
      <w:tr w14:paraId="645B7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top"/>
          </w:tcPr>
          <w:p w14:paraId="3A88DB55">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2月</w:t>
            </w:r>
          </w:p>
        </w:tc>
        <w:tc>
          <w:tcPr>
            <w:tcW w:w="1455" w:type="dxa"/>
            <w:noWrap w:val="0"/>
            <w:vAlign w:val="top"/>
          </w:tcPr>
          <w:p w14:paraId="38DECD76">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37</w:t>
            </w:r>
          </w:p>
        </w:tc>
        <w:tc>
          <w:tcPr>
            <w:tcW w:w="942" w:type="dxa"/>
            <w:noWrap w:val="0"/>
            <w:vAlign w:val="top"/>
          </w:tcPr>
          <w:p w14:paraId="7D97F3EA">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5月</w:t>
            </w:r>
          </w:p>
        </w:tc>
        <w:tc>
          <w:tcPr>
            <w:tcW w:w="1561" w:type="dxa"/>
            <w:noWrap w:val="0"/>
            <w:vAlign w:val="top"/>
          </w:tcPr>
          <w:p w14:paraId="4A47FD52">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23</w:t>
            </w:r>
          </w:p>
        </w:tc>
        <w:tc>
          <w:tcPr>
            <w:tcW w:w="1022" w:type="dxa"/>
            <w:noWrap w:val="0"/>
            <w:vAlign w:val="top"/>
          </w:tcPr>
          <w:p w14:paraId="12CD7F50">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8月</w:t>
            </w:r>
          </w:p>
        </w:tc>
        <w:tc>
          <w:tcPr>
            <w:tcW w:w="1496" w:type="dxa"/>
            <w:noWrap w:val="0"/>
            <w:vAlign w:val="top"/>
          </w:tcPr>
          <w:p w14:paraId="6BE8C35C">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23</w:t>
            </w:r>
          </w:p>
        </w:tc>
        <w:tc>
          <w:tcPr>
            <w:tcW w:w="961" w:type="dxa"/>
            <w:noWrap w:val="0"/>
            <w:vAlign w:val="top"/>
          </w:tcPr>
          <w:p w14:paraId="1B03D833">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11月</w:t>
            </w:r>
          </w:p>
        </w:tc>
        <w:tc>
          <w:tcPr>
            <w:tcW w:w="1558" w:type="dxa"/>
            <w:noWrap w:val="0"/>
            <w:vAlign w:val="top"/>
          </w:tcPr>
          <w:p w14:paraId="07C98A27">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24</w:t>
            </w:r>
          </w:p>
        </w:tc>
      </w:tr>
      <w:tr w14:paraId="5DDB3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0"/>
            <w:vAlign w:val="top"/>
          </w:tcPr>
          <w:p w14:paraId="5C5E3EDE">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3月</w:t>
            </w:r>
          </w:p>
        </w:tc>
        <w:tc>
          <w:tcPr>
            <w:tcW w:w="1455" w:type="dxa"/>
            <w:noWrap w:val="0"/>
            <w:vAlign w:val="top"/>
          </w:tcPr>
          <w:p w14:paraId="5F2AAE0F">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38</w:t>
            </w:r>
          </w:p>
        </w:tc>
        <w:tc>
          <w:tcPr>
            <w:tcW w:w="942" w:type="dxa"/>
            <w:noWrap w:val="0"/>
            <w:vAlign w:val="top"/>
          </w:tcPr>
          <w:p w14:paraId="4BD9D341">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6月</w:t>
            </w:r>
          </w:p>
        </w:tc>
        <w:tc>
          <w:tcPr>
            <w:tcW w:w="1561" w:type="dxa"/>
            <w:noWrap w:val="0"/>
            <w:vAlign w:val="top"/>
          </w:tcPr>
          <w:p w14:paraId="38BDEE25">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19</w:t>
            </w:r>
          </w:p>
        </w:tc>
        <w:tc>
          <w:tcPr>
            <w:tcW w:w="1022" w:type="dxa"/>
            <w:noWrap w:val="0"/>
            <w:vAlign w:val="top"/>
          </w:tcPr>
          <w:p w14:paraId="6329BC73">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9月</w:t>
            </w:r>
          </w:p>
        </w:tc>
        <w:tc>
          <w:tcPr>
            <w:tcW w:w="1496" w:type="dxa"/>
            <w:noWrap w:val="0"/>
            <w:vAlign w:val="top"/>
          </w:tcPr>
          <w:p w14:paraId="68320232">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20</w:t>
            </w:r>
          </w:p>
        </w:tc>
        <w:tc>
          <w:tcPr>
            <w:tcW w:w="961" w:type="dxa"/>
            <w:noWrap w:val="0"/>
            <w:vAlign w:val="top"/>
          </w:tcPr>
          <w:p w14:paraId="4D913587">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12月</w:t>
            </w:r>
          </w:p>
        </w:tc>
        <w:tc>
          <w:tcPr>
            <w:tcW w:w="1558" w:type="dxa"/>
            <w:noWrap w:val="0"/>
            <w:vAlign w:val="top"/>
          </w:tcPr>
          <w:p w14:paraId="1CCB6946">
            <w:pPr>
              <w:autoSpaceDE w:val="0"/>
              <w:autoSpaceDN w:val="0"/>
              <w:adjustRightInd w:val="0"/>
              <w:spacing w:line="360" w:lineRule="auto"/>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49</w:t>
            </w:r>
          </w:p>
        </w:tc>
      </w:tr>
    </w:tbl>
    <w:p w14:paraId="7B3C42FB">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firstLine="480" w:firstLineChars="200"/>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可以看到上虞区1月、2月、3月和12月PM2.5浓度较高，易出现污染情况，4月至11月整体空气质量情况较好，基本上不出现污染天。所以新增微站点位可参考1月、2月、3月、12月的主导风向来确定建设位置。</w:t>
      </w:r>
    </w:p>
    <w:p w14:paraId="54EF4454">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firstLine="480" w:firstLineChars="200"/>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4.2新增微站点位布设方位</w:t>
      </w:r>
    </w:p>
    <w:p w14:paraId="6AAA5C2E">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firstLine="480" w:firstLineChars="200"/>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参考绍兴市易出现污染的月份1月、2月、3月和12月，对应上虞区近四年对应月份主导风向分别为：一月份主导东北风，其次是东南风、西北风；二月份主导东北风；三月份主导东北风，其次是西南风和东南风；十二月主导东北风和偏西风，以此为依据可在上虞中学国控点东北方向增设2个微站、东南方向增设2个微站、</w:t>
      </w:r>
      <w:r>
        <w:rPr>
          <w:rFonts w:hint="eastAsia" w:ascii="宋体" w:hAnsi="宋体" w:cs="宋体"/>
          <w:bCs/>
          <w:color w:val="auto"/>
          <w:sz w:val="24"/>
          <w:szCs w:val="24"/>
          <w:lang w:val="en-US" w:eastAsia="zh-CN"/>
        </w:rPr>
        <w:t>西</w:t>
      </w:r>
      <w:r>
        <w:rPr>
          <w:rFonts w:hint="eastAsia" w:ascii="宋体" w:hAnsi="宋体" w:eastAsia="宋体" w:cs="宋体"/>
          <w:bCs/>
          <w:color w:val="auto"/>
          <w:sz w:val="24"/>
          <w:szCs w:val="24"/>
          <w:lang w:val="en-US" w:eastAsia="zh-CN"/>
        </w:rPr>
        <w:t>北方向增设2个微站、西南方向增设2个微站。</w:t>
      </w:r>
    </w:p>
    <w:p w14:paraId="58490CA4">
      <w:pPr>
        <w:spacing w:line="360" w:lineRule="auto"/>
        <w:rPr>
          <w:rFonts w:hint="eastAsia" w:ascii="宋体" w:hAnsi="宋体" w:eastAsia="宋体" w:cs="宋体"/>
          <w:b/>
          <w:bCs/>
          <w:iCs w:val="0"/>
          <w:color w:val="auto"/>
          <w:kern w:val="2"/>
          <w:sz w:val="24"/>
          <w:szCs w:val="24"/>
          <w:lang w:val="en-US" w:eastAsia="zh-CN"/>
        </w:rPr>
      </w:pPr>
      <w:r>
        <w:rPr>
          <w:rFonts w:hint="eastAsia" w:ascii="宋体" w:hAnsi="宋体" w:eastAsia="宋体" w:cs="宋体"/>
          <w:b/>
          <w:bCs/>
          <w:iCs w:val="0"/>
          <w:color w:val="auto"/>
          <w:kern w:val="2"/>
          <w:sz w:val="24"/>
          <w:szCs w:val="24"/>
          <w:lang w:val="en-US" w:eastAsia="zh-CN"/>
        </w:rPr>
        <w:t>三、服务期限</w:t>
      </w:r>
    </w:p>
    <w:p w14:paraId="030E079B">
      <w:pPr>
        <w:keepNext w:val="0"/>
        <w:keepLines w:val="0"/>
        <w:pageBreakBefore w:val="0"/>
        <w:widowControl w:val="0"/>
        <w:kinsoku/>
        <w:wordWrap/>
        <w:overflowPunct/>
        <w:topLinePunct w:val="0"/>
        <w:bidi w:val="0"/>
        <w:snapToGrid/>
        <w:spacing w:line="312" w:lineRule="auto"/>
        <w:ind w:left="0" w:leftChars="0" w:right="240" w:firstLine="480" w:firstLineChars="200"/>
        <w:textAlignment w:val="auto"/>
        <w:rPr>
          <w:rFonts w:hint="default" w:ascii="宋体" w:hAnsi="宋体" w:eastAsia="宋体" w:cs="宋体"/>
          <w:b/>
          <w:color w:val="auto"/>
          <w:sz w:val="24"/>
          <w:szCs w:val="24"/>
          <w:lang w:val="en-US" w:eastAsia="zh-CN"/>
        </w:rPr>
      </w:pPr>
      <w:r>
        <w:rPr>
          <w:rFonts w:hint="eastAsia" w:ascii="宋体" w:hAnsi="宋体" w:eastAsia="宋体" w:cs="宋体"/>
          <w:b w:val="0"/>
          <w:bCs w:val="0"/>
          <w:color w:val="auto"/>
          <w:sz w:val="24"/>
          <w:szCs w:val="24"/>
          <w:highlight w:val="none"/>
          <w:lang w:val="en-US" w:eastAsia="zh-CN"/>
        </w:rPr>
        <w:t>合同签订之日起一年。（</w:t>
      </w:r>
      <w:r>
        <w:rPr>
          <w:rFonts w:hint="eastAsia" w:ascii="宋体" w:hAnsi="宋体" w:eastAsia="宋体" w:cs="宋体"/>
          <w:b w:val="0"/>
          <w:bCs w:val="0"/>
          <w:color w:val="auto"/>
          <w:sz w:val="24"/>
          <w:szCs w:val="24"/>
          <w:highlight w:val="none"/>
          <w:u w:val="single"/>
          <w:lang w:val="en-US" w:eastAsia="zh-CN"/>
        </w:rPr>
        <w:t>2025年  月  日至2026年  月  日</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新增微型空气站运维期为验收合格之日起一年。</w:t>
      </w:r>
    </w:p>
    <w:p w14:paraId="1C39D4CD">
      <w:pPr>
        <w:spacing w:line="360" w:lineRule="auto"/>
        <w:rPr>
          <w:rFonts w:hint="eastAsia" w:ascii="宋体" w:hAnsi="宋体" w:eastAsia="宋体" w:cs="宋体"/>
          <w:b/>
          <w:bCs/>
          <w:iCs w:val="0"/>
          <w:color w:val="auto"/>
          <w:kern w:val="2"/>
          <w:sz w:val="24"/>
          <w:szCs w:val="24"/>
          <w:lang w:val="en-US" w:eastAsia="zh-CN"/>
        </w:rPr>
      </w:pPr>
      <w:r>
        <w:rPr>
          <w:rFonts w:hint="eastAsia" w:ascii="宋体" w:hAnsi="宋体" w:eastAsia="宋体" w:cs="宋体"/>
          <w:b/>
          <w:bCs/>
          <w:iCs w:val="0"/>
          <w:color w:val="auto"/>
          <w:kern w:val="2"/>
          <w:sz w:val="24"/>
          <w:szCs w:val="24"/>
          <w:lang w:val="en-US" w:eastAsia="zh-CN"/>
        </w:rPr>
        <w:t>四、合同金额</w:t>
      </w:r>
    </w:p>
    <w:p w14:paraId="0E4B35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本标项合同金额为人民币大写：</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元整，小写：</w:t>
      </w:r>
      <w:r>
        <w:rPr>
          <w:rFonts w:hint="eastAsia" w:ascii="宋体" w:hAnsi="宋体" w:eastAsia="宋体" w:cs="宋体"/>
          <w:b w:val="0"/>
          <w:bCs/>
          <w:color w:val="auto"/>
          <w:sz w:val="24"/>
          <w:szCs w:val="24"/>
          <w:u w:val="single"/>
          <w:lang w:val="en-US" w:eastAsia="zh-CN"/>
        </w:rPr>
        <w:t>¥        元</w:t>
      </w:r>
      <w:r>
        <w:rPr>
          <w:rFonts w:hint="eastAsia" w:ascii="宋体" w:hAnsi="宋体" w:eastAsia="宋体" w:cs="宋体"/>
          <w:b w:val="0"/>
          <w:bCs/>
          <w:color w:val="auto"/>
          <w:sz w:val="24"/>
          <w:szCs w:val="24"/>
          <w:lang w:val="en-US" w:eastAsia="zh-CN"/>
        </w:rPr>
        <w:t>。合同金额包含项目所需全部服务，不得缺漏，是履行合同的最终价格（包括人员的工资、福利、保险费、工具、设备、检测费、交通费、食宿费、管理费、招标代理费、税费等一切费用）。</w:t>
      </w:r>
    </w:p>
    <w:p w14:paraId="3DE1EC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kern w:val="2"/>
          <w:sz w:val="24"/>
          <w:szCs w:val="24"/>
          <w:lang w:val="en-US" w:eastAsia="zh-CN" w:bidi="ar-SA"/>
        </w:rPr>
        <w:t>五、</w:t>
      </w:r>
      <w:r>
        <w:rPr>
          <w:rFonts w:hint="eastAsia" w:ascii="宋体" w:hAnsi="宋体" w:eastAsia="宋体" w:cs="宋体"/>
          <w:b/>
          <w:color w:val="auto"/>
          <w:sz w:val="24"/>
          <w:szCs w:val="24"/>
          <w:lang w:val="en-US" w:eastAsia="zh-CN"/>
        </w:rPr>
        <w:t>履约保证金</w:t>
      </w:r>
    </w:p>
    <w:p w14:paraId="0928FF72">
      <w:pPr>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ind w:left="0" w:firstLine="480" w:firstLineChars="200"/>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乙方在收到中标通知书后，需向甲方提供合同总价</w:t>
      </w:r>
      <w:r>
        <w:rPr>
          <w:rFonts w:hint="eastAsia" w:ascii="宋体" w:hAnsi="宋体" w:eastAsia="宋体" w:cs="宋体"/>
          <w:bCs/>
          <w:color w:val="auto"/>
          <w:sz w:val="24"/>
          <w:szCs w:val="24"/>
          <w:u w:val="single"/>
          <w:lang w:val="en-US" w:eastAsia="zh-CN"/>
        </w:rPr>
        <w:t xml:space="preserve"> 1　</w:t>
      </w:r>
      <w:r>
        <w:rPr>
          <w:rFonts w:hint="eastAsia" w:ascii="宋体" w:hAnsi="宋体" w:eastAsia="宋体" w:cs="宋体"/>
          <w:bCs/>
          <w:color w:val="auto"/>
          <w:sz w:val="24"/>
          <w:szCs w:val="24"/>
          <w:lang w:val="en-US" w:eastAsia="zh-CN"/>
        </w:rPr>
        <w:t>%的履约保证金，在乙方与甲方签订合同前递交。（乙方应当以支票、汇票、本票或者金融机构、保险公司、担保机构出具的保函等非现金形式提交）</w:t>
      </w:r>
    </w:p>
    <w:p w14:paraId="338AB10C">
      <w:pPr>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ind w:left="0" w:firstLine="480" w:firstLineChars="200"/>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合同期满后或提前终止合同后一个月内向乙方退还履约保证金。</w:t>
      </w:r>
    </w:p>
    <w:p w14:paraId="3DEE19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kern w:val="2"/>
          <w:sz w:val="24"/>
          <w:szCs w:val="24"/>
          <w:lang w:val="en-US" w:eastAsia="zh-CN" w:bidi="ar-SA"/>
        </w:rPr>
        <w:t>六、</w:t>
      </w:r>
      <w:r>
        <w:rPr>
          <w:rFonts w:hint="eastAsia" w:ascii="宋体" w:hAnsi="宋体" w:eastAsia="宋体" w:cs="宋体"/>
          <w:b/>
          <w:color w:val="auto"/>
          <w:sz w:val="24"/>
          <w:szCs w:val="24"/>
          <w:lang w:val="en-US" w:eastAsia="zh-CN"/>
        </w:rPr>
        <w:t>付款方式及付款要求</w:t>
      </w:r>
    </w:p>
    <w:p w14:paraId="7F89E5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1.乙方在收到中标通知书后，需向甲方提供合同价的1%作为履约保证金，履约验收合格后无息退还。（供应商应当以支票、汇票、本票或者金融机构、保险公司、担保机构出具的保函等非现金形式提交）。</w:t>
      </w:r>
    </w:p>
    <w:p w14:paraId="6DF38D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2.在合同生效以及具备实施条件后7个工作日内向乙方支付合同价的20%作为预付款，项目实施后，每三个月为一个付款周期，第一个付款周期结束后10个工作日内支付考核款，第二、第三个付款周期结束后10个工作日内支付合同价20%的服务款及相应的考核款，一年服务结束后10个工作日内支付合同价10%的服务款及相应的考核款。（每次提取合同价5%为考核款的基数，考核款结合考核情况与对应的服务款同时支付）</w:t>
      </w:r>
    </w:p>
    <w:p w14:paraId="0AA445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3.剩余合同价的10%在微型空气质量监测站验收合格之日起满一年且复验合格后10个工作日内支付。</w:t>
      </w:r>
    </w:p>
    <w:p w14:paraId="605194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4.乙方在收款之前，应向甲方提供发票，甲方凭发票付款。如乙方未按约定提供发票的，甲方有权拒绝付款，直至收到乙方提交的相应发票为止，在此情况下，甲方不承担逾期付款违约责任。</w:t>
      </w:r>
    </w:p>
    <w:p w14:paraId="50A51E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七、</w:t>
      </w:r>
      <w:r>
        <w:rPr>
          <w:rFonts w:hint="eastAsia" w:ascii="宋体" w:hAnsi="宋体" w:cs="宋体"/>
          <w:b/>
          <w:color w:val="auto"/>
          <w:kern w:val="2"/>
          <w:sz w:val="24"/>
          <w:szCs w:val="24"/>
          <w:lang w:val="en-US" w:eastAsia="zh-CN" w:bidi="ar-SA"/>
        </w:rPr>
        <w:t>考核要求</w:t>
      </w:r>
    </w:p>
    <w:p w14:paraId="770AA31C">
      <w:pPr>
        <w:pStyle w:val="2"/>
        <w:rPr>
          <w:rFonts w:hint="default"/>
          <w:color w:val="auto"/>
          <w:lang w:val="en-US" w:eastAsia="zh-CN"/>
        </w:rPr>
      </w:pPr>
      <w:r>
        <w:rPr>
          <w:rFonts w:hint="eastAsia"/>
          <w:color w:val="auto"/>
          <w:lang w:val="en-US" w:eastAsia="zh-CN"/>
        </w:rPr>
        <w:t>1、</w:t>
      </w:r>
      <w:r>
        <w:rPr>
          <w:rFonts w:hint="default"/>
          <w:color w:val="auto"/>
          <w:lang w:val="en-US" w:eastAsia="zh-CN"/>
        </w:rPr>
        <w:t>考核方式：采购人每三个月对服务情况进行考核，共考核四次。</w:t>
      </w:r>
    </w:p>
    <w:p w14:paraId="68711352">
      <w:pPr>
        <w:pStyle w:val="2"/>
        <w:rPr>
          <w:rFonts w:hint="default"/>
          <w:color w:val="auto"/>
          <w:lang w:val="en-US" w:eastAsia="zh-CN"/>
        </w:rPr>
      </w:pPr>
      <w:r>
        <w:rPr>
          <w:rFonts w:hint="eastAsia"/>
          <w:color w:val="auto"/>
          <w:lang w:val="en-US" w:eastAsia="zh-CN"/>
        </w:rPr>
        <w:t>2、</w:t>
      </w:r>
      <w:r>
        <w:rPr>
          <w:rFonts w:hint="default"/>
          <w:color w:val="auto"/>
          <w:lang w:val="en-US" w:eastAsia="zh-CN"/>
        </w:rPr>
        <w:t>每次考核时提取合同价5%为考核款的基数：</w:t>
      </w:r>
    </w:p>
    <w:p w14:paraId="22C5438B">
      <w:pPr>
        <w:pStyle w:val="2"/>
        <w:numPr>
          <w:ilvl w:val="0"/>
          <w:numId w:val="19"/>
        </w:numPr>
        <w:ind w:left="0" w:leftChars="0" w:firstLine="400" w:firstLineChars="0"/>
        <w:rPr>
          <w:rFonts w:hint="default"/>
          <w:color w:val="auto"/>
          <w:lang w:val="en-US" w:eastAsia="zh-CN"/>
        </w:rPr>
      </w:pPr>
      <w:r>
        <w:rPr>
          <w:rFonts w:hint="default"/>
          <w:color w:val="auto"/>
          <w:lang w:val="en-US" w:eastAsia="zh-CN"/>
        </w:rPr>
        <w:t>考核得分95分及以上，不扣考核款；</w:t>
      </w:r>
    </w:p>
    <w:p w14:paraId="07CA5FFE">
      <w:pPr>
        <w:pStyle w:val="2"/>
        <w:numPr>
          <w:ilvl w:val="0"/>
          <w:numId w:val="19"/>
        </w:numPr>
        <w:ind w:left="0" w:leftChars="0" w:firstLine="400" w:firstLineChars="0"/>
        <w:rPr>
          <w:rFonts w:hint="default"/>
          <w:color w:val="auto"/>
          <w:lang w:val="en-US" w:eastAsia="zh-CN"/>
        </w:rPr>
      </w:pPr>
      <w:r>
        <w:rPr>
          <w:rFonts w:hint="default"/>
          <w:color w:val="auto"/>
          <w:lang w:val="en-US" w:eastAsia="zh-CN"/>
        </w:rPr>
        <w:t>考核得分85分（含）-95分（不含），考核分值不足95分部分，每下降一分，考核款扣1%；</w:t>
      </w:r>
    </w:p>
    <w:p w14:paraId="75C789D0">
      <w:pPr>
        <w:pStyle w:val="2"/>
        <w:numPr>
          <w:ilvl w:val="0"/>
          <w:numId w:val="19"/>
        </w:numPr>
        <w:ind w:left="0" w:leftChars="0" w:firstLine="400" w:firstLineChars="0"/>
        <w:rPr>
          <w:rFonts w:hint="default"/>
          <w:color w:val="auto"/>
          <w:lang w:val="en-US" w:eastAsia="zh-CN"/>
        </w:rPr>
      </w:pPr>
      <w:r>
        <w:rPr>
          <w:rFonts w:hint="default"/>
          <w:color w:val="auto"/>
          <w:lang w:val="en-US" w:eastAsia="zh-CN"/>
        </w:rPr>
        <w:t>考核得分75分（含）-85分（不含），考核分值不足85分部分，每下降一分，考核款扣2%。</w:t>
      </w:r>
    </w:p>
    <w:p w14:paraId="42D79179">
      <w:pPr>
        <w:pStyle w:val="2"/>
        <w:numPr>
          <w:ilvl w:val="0"/>
          <w:numId w:val="19"/>
        </w:numPr>
        <w:ind w:left="0" w:leftChars="0" w:firstLine="400" w:firstLineChars="0"/>
        <w:rPr>
          <w:rFonts w:hint="default"/>
          <w:color w:val="auto"/>
          <w:lang w:val="en-US" w:eastAsia="zh-CN"/>
        </w:rPr>
      </w:pPr>
      <w:r>
        <w:rPr>
          <w:rFonts w:hint="default"/>
          <w:color w:val="auto"/>
          <w:lang w:val="en-US" w:eastAsia="zh-CN"/>
        </w:rPr>
        <w:t>考核得分75分以下，考核不合格，并扣除本次考核款。</w:t>
      </w:r>
    </w:p>
    <w:p w14:paraId="2B5D971A">
      <w:pPr>
        <w:pStyle w:val="2"/>
        <w:rPr>
          <w:rFonts w:hint="default"/>
          <w:color w:val="auto"/>
          <w:lang w:val="en-US" w:eastAsia="zh-CN"/>
        </w:rPr>
      </w:pPr>
      <w:r>
        <w:rPr>
          <w:rFonts w:hint="default"/>
          <w:color w:val="auto"/>
          <w:lang w:val="en-US" w:eastAsia="zh-CN"/>
        </w:rPr>
        <w:t>3、服务期内连续两次考核不合格的，采购人有权单方面中止合同。</w:t>
      </w:r>
    </w:p>
    <w:p w14:paraId="797C55FF">
      <w:pPr>
        <w:pStyle w:val="2"/>
        <w:rPr>
          <w:rFonts w:hint="default"/>
          <w:color w:val="auto"/>
          <w:lang w:val="en-US" w:eastAsia="zh-CN"/>
        </w:rPr>
      </w:pPr>
      <w:r>
        <w:rPr>
          <w:rFonts w:hint="default"/>
          <w:color w:val="auto"/>
          <w:lang w:val="en-US" w:eastAsia="zh-CN"/>
        </w:rPr>
        <w:t>4、中标后原则上不得更换项目负责人（除非有医院出具的住院证明或调离单位相关证明材料），如要更换，接任者须具备同等学历、专业和资历，并经采购人批准同意。</w:t>
      </w:r>
    </w:p>
    <w:p w14:paraId="4774B46F">
      <w:pPr>
        <w:pStyle w:val="2"/>
        <w:jc w:val="both"/>
        <w:rPr>
          <w:rFonts w:hint="default"/>
          <w:b/>
          <w:bCs/>
          <w:color w:val="auto"/>
          <w:lang w:val="en-US" w:eastAsia="zh-CN"/>
        </w:rPr>
      </w:pPr>
      <w:r>
        <w:rPr>
          <w:rFonts w:hint="default"/>
          <w:b/>
          <w:bCs/>
          <w:color w:val="auto"/>
          <w:lang w:val="en-US" w:eastAsia="zh-CN"/>
        </w:rPr>
        <w:t>附考核表:</w:t>
      </w:r>
    </w:p>
    <w:p w14:paraId="2BA033E5">
      <w:pPr>
        <w:pStyle w:val="2"/>
        <w:jc w:val="center"/>
        <w:rPr>
          <w:rFonts w:hint="default"/>
          <w:b/>
          <w:bCs/>
          <w:color w:val="auto"/>
          <w:lang w:val="en-US" w:eastAsia="zh-CN"/>
        </w:rPr>
      </w:pPr>
      <w:r>
        <w:rPr>
          <w:rFonts w:hint="default"/>
          <w:b/>
          <w:bCs/>
          <w:color w:val="auto"/>
          <w:lang w:val="en-US" w:eastAsia="zh-CN"/>
        </w:rPr>
        <w:t>曹娥街道小环境精细化管控服务考核表</w:t>
      </w:r>
    </w:p>
    <w:tbl>
      <w:tblPr>
        <w:tblStyle w:val="26"/>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5972"/>
        <w:gridCol w:w="1084"/>
        <w:gridCol w:w="1079"/>
      </w:tblGrid>
      <w:tr w14:paraId="6C51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blHeader/>
          <w:jc w:val="center"/>
        </w:trPr>
        <w:tc>
          <w:tcPr>
            <w:tcW w:w="662" w:type="dxa"/>
            <w:noWrap w:val="0"/>
            <w:vAlign w:val="center"/>
          </w:tcPr>
          <w:p w14:paraId="4A8CD9E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序号</w:t>
            </w:r>
          </w:p>
        </w:tc>
        <w:tc>
          <w:tcPr>
            <w:tcW w:w="5972" w:type="dxa"/>
            <w:noWrap w:val="0"/>
            <w:vAlign w:val="center"/>
          </w:tcPr>
          <w:p w14:paraId="2D95E98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考核</w:t>
            </w:r>
            <w:r>
              <w:rPr>
                <w:rFonts w:hint="eastAsia" w:ascii="宋体" w:hAnsi="宋体" w:eastAsia="宋体" w:cs="宋体"/>
                <w:b/>
                <w:bCs/>
                <w:color w:val="auto"/>
                <w:sz w:val="21"/>
                <w:szCs w:val="21"/>
                <w:highlight w:val="none"/>
              </w:rPr>
              <w:t>评分标准</w:t>
            </w:r>
          </w:p>
        </w:tc>
        <w:tc>
          <w:tcPr>
            <w:tcW w:w="1084" w:type="dxa"/>
            <w:noWrap w:val="0"/>
            <w:vAlign w:val="center"/>
          </w:tcPr>
          <w:p w14:paraId="133E955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分值</w:t>
            </w:r>
          </w:p>
        </w:tc>
        <w:tc>
          <w:tcPr>
            <w:tcW w:w="1079" w:type="dxa"/>
            <w:noWrap w:val="0"/>
            <w:vAlign w:val="center"/>
          </w:tcPr>
          <w:p w14:paraId="64A2799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得分</w:t>
            </w:r>
          </w:p>
        </w:tc>
      </w:tr>
      <w:tr w14:paraId="469F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662" w:type="dxa"/>
            <w:noWrap w:val="0"/>
            <w:vAlign w:val="center"/>
          </w:tcPr>
          <w:p w14:paraId="7D12650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lang w:val="en-US" w:eastAsia="zh-CN"/>
              </w:rPr>
              <w:t>1</w:t>
            </w:r>
          </w:p>
        </w:tc>
        <w:tc>
          <w:tcPr>
            <w:tcW w:w="5972" w:type="dxa"/>
            <w:noWrap w:val="0"/>
            <w:vAlign w:val="center"/>
          </w:tcPr>
          <w:p w14:paraId="41E7217A">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管理机构健全、岗位设置合理、人员配备到位。未按投标承诺的配备</w:t>
            </w:r>
            <w:r>
              <w:rPr>
                <w:rFonts w:hint="eastAsia" w:ascii="宋体" w:hAnsi="宋体" w:cs="宋体"/>
                <w:color w:val="auto"/>
                <w:sz w:val="21"/>
                <w:szCs w:val="21"/>
                <w:lang w:val="en-US" w:eastAsia="zh-CN"/>
              </w:rPr>
              <w:t>服务</w:t>
            </w:r>
            <w:r>
              <w:rPr>
                <w:rFonts w:hint="eastAsia" w:ascii="宋体" w:hAnsi="宋体" w:eastAsia="宋体" w:cs="宋体"/>
                <w:color w:val="auto"/>
                <w:sz w:val="21"/>
                <w:szCs w:val="21"/>
              </w:rPr>
              <w:t>人员</w:t>
            </w:r>
            <w:r>
              <w:rPr>
                <w:rFonts w:hint="eastAsia" w:ascii="宋体" w:hAnsi="宋体" w:cs="宋体"/>
                <w:color w:val="auto"/>
                <w:sz w:val="21"/>
                <w:szCs w:val="21"/>
                <w:lang w:val="en-US" w:eastAsia="zh-CN"/>
              </w:rPr>
              <w:t>的</w:t>
            </w:r>
            <w:r>
              <w:rPr>
                <w:rFonts w:hint="eastAsia" w:ascii="宋体" w:hAnsi="宋体" w:eastAsia="宋体" w:cs="宋体"/>
                <w:color w:val="auto"/>
                <w:sz w:val="21"/>
                <w:szCs w:val="21"/>
              </w:rPr>
              <w:t>，每</w:t>
            </w:r>
            <w:r>
              <w:rPr>
                <w:rFonts w:hint="eastAsia" w:ascii="宋体" w:hAnsi="宋体" w:cs="宋体"/>
                <w:color w:val="auto"/>
                <w:sz w:val="21"/>
                <w:szCs w:val="21"/>
                <w:lang w:val="en-US" w:eastAsia="zh-CN"/>
              </w:rPr>
              <w:t>少一人</w:t>
            </w:r>
            <w:r>
              <w:rPr>
                <w:rFonts w:hint="eastAsia" w:ascii="宋体" w:hAnsi="宋体" w:eastAsia="宋体" w:cs="宋体"/>
                <w:color w:val="auto"/>
                <w:sz w:val="21"/>
                <w:szCs w:val="21"/>
              </w:rPr>
              <w:t>扣</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项目负责人条件不符合或无故更换项目负责人的，每次扣2分；工作人员未依法缴纳社保或有欠薪的，每次扣1分</w:t>
            </w:r>
            <w:r>
              <w:rPr>
                <w:rFonts w:hint="eastAsia" w:ascii="宋体" w:hAnsi="宋体" w:cs="宋体"/>
                <w:color w:val="auto"/>
                <w:sz w:val="21"/>
                <w:szCs w:val="21"/>
                <w:lang w:eastAsia="zh-CN"/>
              </w:rPr>
              <w:t>；按</w:t>
            </w:r>
            <w:r>
              <w:rPr>
                <w:rFonts w:hint="eastAsia" w:ascii="宋体" w:hAnsi="宋体" w:cs="宋体"/>
                <w:color w:val="auto"/>
                <w:sz w:val="21"/>
                <w:szCs w:val="21"/>
                <w:lang w:val="en-US" w:eastAsia="zh-CN"/>
              </w:rPr>
              <w:t>服务</w:t>
            </w:r>
            <w:r>
              <w:rPr>
                <w:rFonts w:hint="eastAsia" w:ascii="宋体" w:hAnsi="宋体" w:cs="宋体"/>
                <w:color w:val="auto"/>
                <w:sz w:val="21"/>
                <w:szCs w:val="21"/>
                <w:lang w:eastAsia="zh-CN"/>
              </w:rPr>
              <w:t>要求落实工作人员，开展各项工作，</w:t>
            </w:r>
            <w:r>
              <w:rPr>
                <w:rFonts w:hint="eastAsia" w:ascii="宋体" w:hAnsi="宋体" w:cs="宋体"/>
                <w:color w:val="auto"/>
                <w:sz w:val="21"/>
                <w:szCs w:val="21"/>
                <w:lang w:val="en-US" w:eastAsia="zh-CN"/>
              </w:rPr>
              <w:t>无</w:t>
            </w:r>
            <w:r>
              <w:rPr>
                <w:rFonts w:hint="eastAsia" w:ascii="宋体" w:hAnsi="宋体"/>
                <w:color w:val="auto"/>
                <w:szCs w:val="21"/>
                <w:highlight w:val="none"/>
              </w:rPr>
              <w:t>偷懒</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干私活、挪用或损毁他人物品、影响他人工作、巡查不及时、站点卫生清理不到位等行为，每发现一次扣0.5分。</w:t>
            </w:r>
          </w:p>
        </w:tc>
        <w:tc>
          <w:tcPr>
            <w:tcW w:w="1084" w:type="dxa"/>
            <w:noWrap w:val="0"/>
            <w:vAlign w:val="center"/>
          </w:tcPr>
          <w:p w14:paraId="5CF317E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w:t>
            </w:r>
          </w:p>
        </w:tc>
        <w:tc>
          <w:tcPr>
            <w:tcW w:w="1079" w:type="dxa"/>
            <w:noWrap w:val="0"/>
            <w:vAlign w:val="center"/>
          </w:tcPr>
          <w:p w14:paraId="2117FBB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 xml:space="preserve"> </w:t>
            </w:r>
          </w:p>
        </w:tc>
      </w:tr>
      <w:tr w14:paraId="2D869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662" w:type="dxa"/>
            <w:noWrap w:val="0"/>
            <w:vAlign w:val="center"/>
          </w:tcPr>
          <w:p w14:paraId="63B3056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w:t>
            </w:r>
          </w:p>
        </w:tc>
        <w:tc>
          <w:tcPr>
            <w:tcW w:w="5972" w:type="dxa"/>
            <w:noWrap w:val="0"/>
            <w:vAlign w:val="center"/>
          </w:tcPr>
          <w:p w14:paraId="32257B1D">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有完善的服务方案，包括人员保障服务、数据分析服务、无人机监测服务。每日对服务区的内日常空气质量实时监控；开展日常空气质量数据分析；找出污染的原因；提供相应的对策；跟踪评估；编写每日专业分析报告并提交采购人；使用无人机监测站点周围及重要道理或区域；获得实时数据跟图谱；发现污染源后快速溯源；及时反馈现在情况；提出合理建议；编制污染源台账；监测结束出具简报；</w:t>
            </w:r>
            <w:r>
              <w:rPr>
                <w:rFonts w:hint="eastAsia" w:ascii="宋体" w:hAnsi="宋体" w:eastAsia="宋体" w:cs="宋体"/>
                <w:color w:val="auto"/>
                <w:sz w:val="21"/>
                <w:szCs w:val="21"/>
                <w:highlight w:val="none"/>
                <w:lang w:val="en-US" w:eastAsia="zh-CN"/>
              </w:rPr>
              <w:t>未做到</w:t>
            </w:r>
            <w:r>
              <w:rPr>
                <w:rFonts w:hint="eastAsia" w:ascii="宋体" w:hAnsi="宋体" w:cs="宋体"/>
                <w:color w:val="auto"/>
                <w:sz w:val="21"/>
                <w:szCs w:val="21"/>
                <w:highlight w:val="none"/>
                <w:lang w:val="en-US" w:eastAsia="zh-CN"/>
              </w:rPr>
              <w:t>的每发现一次</w:t>
            </w:r>
            <w:r>
              <w:rPr>
                <w:rFonts w:hint="eastAsia" w:ascii="宋体" w:hAnsi="宋体" w:eastAsia="宋体" w:cs="宋体"/>
                <w:color w:val="auto"/>
                <w:sz w:val="21"/>
                <w:szCs w:val="21"/>
                <w:highlight w:val="none"/>
                <w:lang w:val="en-US" w:eastAsia="zh-CN"/>
              </w:rPr>
              <w:t>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tc>
        <w:tc>
          <w:tcPr>
            <w:tcW w:w="1084" w:type="dxa"/>
            <w:noWrap w:val="0"/>
            <w:vAlign w:val="center"/>
          </w:tcPr>
          <w:p w14:paraId="1C8E7E9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20</w:t>
            </w:r>
          </w:p>
        </w:tc>
        <w:tc>
          <w:tcPr>
            <w:tcW w:w="1079" w:type="dxa"/>
            <w:noWrap w:val="0"/>
            <w:vAlign w:val="center"/>
          </w:tcPr>
          <w:p w14:paraId="251F94D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21"/>
                <w:szCs w:val="21"/>
                <w:highlight w:val="none"/>
                <w:lang w:val="en-US" w:eastAsia="zh-CN"/>
              </w:rPr>
            </w:pPr>
          </w:p>
        </w:tc>
      </w:tr>
      <w:tr w14:paraId="57493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662" w:type="dxa"/>
            <w:noWrap w:val="0"/>
            <w:vAlign w:val="center"/>
          </w:tcPr>
          <w:p w14:paraId="1A3EB20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lang w:val="en-US" w:eastAsia="zh-CN"/>
              </w:rPr>
              <w:t>3</w:t>
            </w:r>
          </w:p>
        </w:tc>
        <w:tc>
          <w:tcPr>
            <w:tcW w:w="5972" w:type="dxa"/>
            <w:noWrap w:val="0"/>
            <w:vAlign w:val="center"/>
          </w:tcPr>
          <w:p w14:paraId="19672F66">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lang w:val="en-US" w:eastAsia="zh-CN"/>
              </w:rPr>
              <w:t>有满足服务需求的设备，不能按服务要求提供相应数量设备的，每少一台扣2分，设备种类不满足服务要求的，每发现一次扣2分。</w:t>
            </w:r>
          </w:p>
        </w:tc>
        <w:tc>
          <w:tcPr>
            <w:tcW w:w="1084" w:type="dxa"/>
            <w:noWrap w:val="0"/>
            <w:vAlign w:val="center"/>
          </w:tcPr>
          <w:p w14:paraId="23B85C2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lang w:val="en-US" w:eastAsia="zh-CN"/>
              </w:rPr>
              <w:t>10</w:t>
            </w:r>
          </w:p>
        </w:tc>
        <w:tc>
          <w:tcPr>
            <w:tcW w:w="1079" w:type="dxa"/>
            <w:noWrap w:val="0"/>
            <w:vAlign w:val="center"/>
          </w:tcPr>
          <w:p w14:paraId="7A3C0EE4">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21"/>
                <w:szCs w:val="21"/>
                <w:highlight w:val="none"/>
                <w:lang w:val="en-US" w:eastAsia="zh-CN"/>
              </w:rPr>
            </w:pPr>
          </w:p>
        </w:tc>
      </w:tr>
      <w:tr w14:paraId="06CFF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662" w:type="dxa"/>
            <w:noWrap w:val="0"/>
            <w:vAlign w:val="center"/>
          </w:tcPr>
          <w:p w14:paraId="74FF98E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lang w:val="en-US" w:eastAsia="zh-CN"/>
              </w:rPr>
              <w:t>4</w:t>
            </w:r>
          </w:p>
        </w:tc>
        <w:tc>
          <w:tcPr>
            <w:tcW w:w="5972" w:type="dxa"/>
            <w:noWrap w:val="0"/>
            <w:vAlign w:val="center"/>
          </w:tcPr>
          <w:p w14:paraId="7F49A2C1">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未按招标文件要求设立</w:t>
            </w:r>
            <w:r>
              <w:rPr>
                <w:rFonts w:hint="eastAsia" w:ascii="宋体" w:hAnsi="宋体" w:eastAsia="宋体" w:cs="宋体"/>
                <w:color w:val="auto"/>
                <w:sz w:val="21"/>
                <w:szCs w:val="21"/>
              </w:rPr>
              <w:t>微型空气质量监测站</w:t>
            </w:r>
            <w:r>
              <w:rPr>
                <w:rFonts w:hint="eastAsia" w:ascii="宋体" w:hAnsi="宋体" w:cs="宋体"/>
                <w:color w:val="auto"/>
                <w:sz w:val="21"/>
                <w:szCs w:val="21"/>
                <w:lang w:val="en-US" w:eastAsia="zh-CN"/>
              </w:rPr>
              <w:t>的</w:t>
            </w:r>
            <w:r>
              <w:rPr>
                <w:rFonts w:hint="eastAsia" w:ascii="宋体" w:hAnsi="宋体" w:eastAsia="宋体" w:cs="宋体"/>
                <w:color w:val="auto"/>
                <w:sz w:val="21"/>
                <w:szCs w:val="21"/>
              </w:rPr>
              <w:t>，每</w:t>
            </w:r>
            <w:r>
              <w:rPr>
                <w:rFonts w:hint="eastAsia" w:ascii="宋体" w:hAnsi="宋体" w:cs="宋体"/>
                <w:color w:val="auto"/>
                <w:sz w:val="21"/>
                <w:szCs w:val="21"/>
                <w:lang w:val="en-US" w:eastAsia="zh-CN"/>
              </w:rPr>
              <w:t>少一个扣5</w:t>
            </w:r>
            <w:r>
              <w:rPr>
                <w:rFonts w:hint="eastAsia" w:ascii="宋体" w:hAnsi="宋体" w:eastAsia="宋体" w:cs="宋体"/>
                <w:color w:val="auto"/>
                <w:sz w:val="21"/>
                <w:szCs w:val="21"/>
              </w:rPr>
              <w:t>分</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保证微站正常运行，非采购人原因导致微站停止运行超过2小时的，每次扣2分；其他原因导致微站停止运行的，按服务要求及时维修，维修不及时的，每次扣1分。</w:t>
            </w:r>
          </w:p>
        </w:tc>
        <w:tc>
          <w:tcPr>
            <w:tcW w:w="1084" w:type="dxa"/>
            <w:noWrap w:val="0"/>
            <w:vAlign w:val="center"/>
          </w:tcPr>
          <w:p w14:paraId="0764C5F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rPr>
              <w:t>10</w:t>
            </w:r>
          </w:p>
        </w:tc>
        <w:tc>
          <w:tcPr>
            <w:tcW w:w="1079" w:type="dxa"/>
            <w:noWrap w:val="0"/>
            <w:vAlign w:val="center"/>
          </w:tcPr>
          <w:p w14:paraId="4090FCD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21"/>
                <w:szCs w:val="21"/>
                <w:highlight w:val="none"/>
                <w:lang w:val="en-US" w:eastAsia="zh-CN"/>
              </w:rPr>
            </w:pPr>
          </w:p>
        </w:tc>
      </w:tr>
      <w:tr w14:paraId="3839F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662" w:type="dxa"/>
            <w:noWrap w:val="0"/>
            <w:vAlign w:val="center"/>
          </w:tcPr>
          <w:p w14:paraId="39FD457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lang w:val="en-US" w:eastAsia="zh-CN"/>
              </w:rPr>
              <w:t>5</w:t>
            </w:r>
          </w:p>
        </w:tc>
        <w:tc>
          <w:tcPr>
            <w:tcW w:w="5972" w:type="dxa"/>
            <w:noWrap w:val="0"/>
            <w:vAlign w:val="center"/>
          </w:tcPr>
          <w:p w14:paraId="2D68F0B6">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lang w:val="en-US" w:eastAsia="zh-CN"/>
              </w:rPr>
              <w:t>有完善的</w:t>
            </w:r>
            <w:r>
              <w:rPr>
                <w:rFonts w:hint="eastAsia" w:ascii="宋体" w:hAnsi="宋体" w:eastAsia="宋体" w:cs="宋体"/>
                <w:color w:val="auto"/>
                <w:sz w:val="21"/>
                <w:szCs w:val="21"/>
              </w:rPr>
              <w:t>安全</w:t>
            </w:r>
            <w:r>
              <w:rPr>
                <w:rFonts w:hint="eastAsia" w:ascii="宋体" w:hAnsi="宋体" w:cs="宋体"/>
                <w:color w:val="auto"/>
                <w:sz w:val="21"/>
                <w:szCs w:val="21"/>
                <w:lang w:val="en-US" w:eastAsia="zh-CN"/>
              </w:rPr>
              <w:t>方案</w:t>
            </w:r>
            <w:r>
              <w:rPr>
                <w:rFonts w:hint="eastAsia" w:ascii="宋体" w:hAnsi="宋体" w:eastAsia="宋体" w:cs="宋体"/>
                <w:color w:val="auto"/>
                <w:sz w:val="21"/>
                <w:szCs w:val="21"/>
              </w:rPr>
              <w:t>，定期进行安全检查,</w:t>
            </w:r>
            <w:r>
              <w:rPr>
                <w:rFonts w:hint="eastAsia" w:ascii="宋体" w:hAnsi="宋体" w:cs="宋体"/>
                <w:color w:val="auto"/>
                <w:sz w:val="21"/>
                <w:szCs w:val="21"/>
                <w:lang w:val="en-US" w:eastAsia="zh-CN"/>
              </w:rPr>
              <w:t>服务期间无</w:t>
            </w:r>
            <w:r>
              <w:rPr>
                <w:rFonts w:hint="eastAsia" w:ascii="宋体" w:hAnsi="宋体" w:eastAsia="宋体" w:cs="宋体"/>
                <w:color w:val="auto"/>
                <w:sz w:val="21"/>
                <w:szCs w:val="21"/>
              </w:rPr>
              <w:t>安全事故</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火灾、漏电、撞击、人员伤亡等</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或安全隐患</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酒后上岗、设备错误操作、防护不到位等</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未按要求建立</w:t>
            </w:r>
            <w:r>
              <w:rPr>
                <w:rFonts w:hint="eastAsia" w:ascii="宋体" w:hAnsi="宋体" w:eastAsia="宋体" w:cs="宋体"/>
                <w:color w:val="auto"/>
                <w:sz w:val="21"/>
                <w:szCs w:val="21"/>
              </w:rPr>
              <w:t>安全</w:t>
            </w:r>
            <w:r>
              <w:rPr>
                <w:rFonts w:hint="eastAsia" w:ascii="宋体" w:hAnsi="宋体" w:cs="宋体"/>
                <w:color w:val="auto"/>
                <w:sz w:val="21"/>
                <w:szCs w:val="21"/>
                <w:lang w:val="en-US" w:eastAsia="zh-CN"/>
              </w:rPr>
              <w:t>方案的，扣5分；</w:t>
            </w:r>
            <w:r>
              <w:rPr>
                <w:rFonts w:hint="eastAsia" w:ascii="宋体" w:hAnsi="宋体" w:eastAsia="宋体" w:cs="宋体"/>
                <w:color w:val="auto"/>
                <w:sz w:val="21"/>
                <w:szCs w:val="21"/>
              </w:rPr>
              <w:t>安全事故每</w:t>
            </w:r>
            <w:r>
              <w:rPr>
                <w:rFonts w:hint="eastAsia" w:ascii="宋体" w:hAnsi="宋体" w:cs="宋体"/>
                <w:color w:val="auto"/>
                <w:sz w:val="21"/>
                <w:szCs w:val="21"/>
                <w:lang w:val="en-US" w:eastAsia="zh-CN"/>
              </w:rPr>
              <w:t>发生一次</w:t>
            </w:r>
            <w:r>
              <w:rPr>
                <w:rFonts w:hint="eastAsia" w:ascii="宋体" w:hAnsi="宋体" w:eastAsia="宋体" w:cs="宋体"/>
                <w:color w:val="auto"/>
                <w:sz w:val="21"/>
                <w:szCs w:val="21"/>
              </w:rPr>
              <w:t>扣</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安全隐患</w:t>
            </w:r>
            <w:r>
              <w:rPr>
                <w:rFonts w:hint="eastAsia" w:ascii="宋体" w:hAnsi="宋体" w:eastAsia="宋体" w:cs="宋体"/>
                <w:color w:val="auto"/>
                <w:sz w:val="21"/>
                <w:szCs w:val="21"/>
              </w:rPr>
              <w:t>每</w:t>
            </w:r>
            <w:r>
              <w:rPr>
                <w:rFonts w:hint="eastAsia" w:ascii="宋体" w:hAnsi="宋体" w:cs="宋体"/>
                <w:color w:val="auto"/>
                <w:sz w:val="21"/>
                <w:szCs w:val="21"/>
                <w:lang w:val="en-US" w:eastAsia="zh-CN"/>
              </w:rPr>
              <w:t>发现一次</w:t>
            </w:r>
            <w:r>
              <w:rPr>
                <w:rFonts w:hint="eastAsia" w:ascii="宋体" w:hAnsi="宋体" w:eastAsia="宋体" w:cs="宋体"/>
                <w:color w:val="auto"/>
                <w:sz w:val="21"/>
                <w:szCs w:val="21"/>
              </w:rPr>
              <w:t>扣</w:t>
            </w:r>
            <w:r>
              <w:rPr>
                <w:rFonts w:hint="eastAsia" w:ascii="宋体" w:hAnsi="宋体" w:cs="宋体"/>
                <w:color w:val="auto"/>
                <w:sz w:val="21"/>
                <w:szCs w:val="21"/>
                <w:lang w:val="en-US" w:eastAsia="zh-CN"/>
              </w:rPr>
              <w:t>0.5</w:t>
            </w:r>
            <w:r>
              <w:rPr>
                <w:rFonts w:hint="eastAsia" w:ascii="宋体" w:hAnsi="宋体" w:eastAsia="宋体" w:cs="宋体"/>
                <w:color w:val="auto"/>
                <w:sz w:val="21"/>
                <w:szCs w:val="21"/>
              </w:rPr>
              <w:t>分。</w:t>
            </w:r>
          </w:p>
        </w:tc>
        <w:tc>
          <w:tcPr>
            <w:tcW w:w="1084" w:type="dxa"/>
            <w:noWrap w:val="0"/>
            <w:vAlign w:val="center"/>
          </w:tcPr>
          <w:p w14:paraId="4FB4A3A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lang w:val="en-US" w:eastAsia="zh-CN"/>
              </w:rPr>
              <w:t>10</w:t>
            </w:r>
          </w:p>
        </w:tc>
        <w:tc>
          <w:tcPr>
            <w:tcW w:w="1079" w:type="dxa"/>
            <w:noWrap w:val="0"/>
            <w:vAlign w:val="center"/>
          </w:tcPr>
          <w:p w14:paraId="0732C414">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　</w:t>
            </w:r>
          </w:p>
        </w:tc>
      </w:tr>
      <w:tr w14:paraId="38061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62" w:type="dxa"/>
            <w:noWrap w:val="0"/>
            <w:vAlign w:val="center"/>
          </w:tcPr>
          <w:p w14:paraId="0CB69922">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lang w:val="en-US" w:eastAsia="zh-CN"/>
              </w:rPr>
              <w:t>6</w:t>
            </w:r>
          </w:p>
        </w:tc>
        <w:tc>
          <w:tcPr>
            <w:tcW w:w="5972" w:type="dxa"/>
            <w:noWrap w:val="0"/>
            <w:vAlign w:val="center"/>
          </w:tcPr>
          <w:p w14:paraId="3A2A87F5">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lang w:val="en-US" w:eastAsia="zh-CN"/>
              </w:rPr>
              <w:t>有完善的应急管控方案及突发事件（包括突发停电、意外伤害、台风暴雷电等恶劣天气）处理能力，未按要求建立应急预案的，扣5分；突发事件处理不及时的，</w:t>
            </w:r>
            <w:r>
              <w:rPr>
                <w:rFonts w:hint="eastAsia" w:ascii="宋体" w:hAnsi="宋体" w:eastAsia="宋体" w:cs="宋体"/>
                <w:color w:val="auto"/>
                <w:sz w:val="21"/>
                <w:szCs w:val="21"/>
              </w:rPr>
              <w:t>每</w:t>
            </w:r>
            <w:r>
              <w:rPr>
                <w:rFonts w:hint="eastAsia" w:ascii="宋体" w:hAnsi="宋体" w:cs="宋体"/>
                <w:color w:val="auto"/>
                <w:sz w:val="21"/>
                <w:szCs w:val="21"/>
                <w:lang w:val="en-US" w:eastAsia="zh-CN"/>
              </w:rPr>
              <w:t>次</w:t>
            </w:r>
            <w:r>
              <w:rPr>
                <w:rFonts w:hint="eastAsia" w:ascii="宋体" w:hAnsi="宋体" w:eastAsia="宋体" w:cs="宋体"/>
                <w:color w:val="auto"/>
                <w:sz w:val="21"/>
                <w:szCs w:val="21"/>
              </w:rPr>
              <w:t>扣</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w:t>
            </w:r>
          </w:p>
        </w:tc>
        <w:tc>
          <w:tcPr>
            <w:tcW w:w="1084" w:type="dxa"/>
            <w:noWrap w:val="0"/>
            <w:vAlign w:val="center"/>
          </w:tcPr>
          <w:p w14:paraId="0335B582">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w:t>
            </w:r>
          </w:p>
        </w:tc>
        <w:tc>
          <w:tcPr>
            <w:tcW w:w="1079" w:type="dxa"/>
            <w:noWrap w:val="0"/>
            <w:vAlign w:val="center"/>
          </w:tcPr>
          <w:p w14:paraId="7C7F063F">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21"/>
                <w:szCs w:val="21"/>
                <w:highlight w:val="none"/>
                <w:lang w:val="en-US" w:eastAsia="zh-CN"/>
              </w:rPr>
            </w:pPr>
          </w:p>
        </w:tc>
      </w:tr>
      <w:tr w14:paraId="4EC9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62" w:type="dxa"/>
            <w:noWrap w:val="0"/>
            <w:vAlign w:val="center"/>
          </w:tcPr>
          <w:p w14:paraId="0A2BAD7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lang w:val="en-US" w:eastAsia="zh-CN"/>
              </w:rPr>
              <w:t>7</w:t>
            </w:r>
          </w:p>
        </w:tc>
        <w:tc>
          <w:tcPr>
            <w:tcW w:w="5972" w:type="dxa"/>
            <w:noWrap w:val="0"/>
            <w:vAlign w:val="center"/>
          </w:tcPr>
          <w:p w14:paraId="1115180E">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有完善的</w:t>
            </w:r>
            <w:r>
              <w:rPr>
                <w:rFonts w:hint="eastAsia" w:ascii="宋体" w:hAnsi="宋体" w:eastAsia="宋体" w:cs="宋体"/>
                <w:color w:val="auto"/>
                <w:sz w:val="21"/>
                <w:szCs w:val="21"/>
                <w:highlight w:val="none"/>
                <w:lang w:val="en-US" w:eastAsia="zh-CN"/>
              </w:rPr>
              <w:t>售后服务响应</w:t>
            </w:r>
            <w:r>
              <w:rPr>
                <w:rFonts w:hint="eastAsia" w:ascii="宋体" w:hAnsi="宋体" w:cs="宋体"/>
                <w:color w:val="auto"/>
                <w:sz w:val="21"/>
                <w:szCs w:val="21"/>
                <w:highlight w:val="none"/>
                <w:lang w:val="en-US" w:eastAsia="zh-CN"/>
              </w:rPr>
              <w:t>能力，服务期间</w:t>
            </w:r>
            <w:r>
              <w:rPr>
                <w:rFonts w:hint="eastAsia" w:ascii="宋体" w:hAnsi="宋体" w:eastAsia="宋体" w:cs="宋体"/>
                <w:color w:val="auto"/>
                <w:sz w:val="21"/>
                <w:szCs w:val="21"/>
                <w:highlight w:val="none"/>
                <w:lang w:val="en-US" w:eastAsia="zh-CN"/>
              </w:rPr>
              <w:t>项目人员电话响应</w:t>
            </w:r>
            <w:r>
              <w:rPr>
                <w:rFonts w:hint="eastAsia" w:ascii="宋体" w:hAnsi="宋体" w:cs="宋体"/>
                <w:color w:val="auto"/>
                <w:sz w:val="21"/>
                <w:szCs w:val="21"/>
                <w:highlight w:val="none"/>
                <w:lang w:val="en-US" w:eastAsia="zh-CN"/>
              </w:rPr>
              <w:t>时间：</w:t>
            </w:r>
            <w:r>
              <w:rPr>
                <w:rFonts w:hint="eastAsia" w:ascii="宋体" w:hAnsi="宋体" w:eastAsia="宋体" w:cs="宋体"/>
                <w:color w:val="auto"/>
                <w:sz w:val="21"/>
                <w:szCs w:val="21"/>
                <w:highlight w:val="none"/>
                <w:lang w:val="en-US" w:eastAsia="zh-CN"/>
              </w:rPr>
              <w:t>7*24小时</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管控现场响应</w:t>
            </w:r>
            <w:r>
              <w:rPr>
                <w:rFonts w:hint="eastAsia" w:ascii="宋体" w:hAnsi="宋体" w:cs="宋体"/>
                <w:color w:val="auto"/>
                <w:sz w:val="21"/>
                <w:szCs w:val="21"/>
                <w:highlight w:val="none"/>
                <w:lang w:val="en-US" w:eastAsia="zh-CN"/>
              </w:rPr>
              <w:t>时间</w:t>
            </w:r>
            <w:r>
              <w:rPr>
                <w:rFonts w:hint="eastAsia" w:ascii="宋体" w:hAnsi="宋体" w:eastAsia="宋体" w:cs="宋体"/>
                <w:color w:val="auto"/>
                <w:sz w:val="21"/>
                <w:szCs w:val="21"/>
                <w:highlight w:val="none"/>
                <w:lang w:val="en-US" w:eastAsia="zh-CN"/>
              </w:rPr>
              <w:t>：2小时内</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技术支持响应</w:t>
            </w:r>
            <w:r>
              <w:rPr>
                <w:rFonts w:hint="eastAsia" w:ascii="宋体" w:hAnsi="宋体" w:cs="宋体"/>
                <w:color w:val="auto"/>
                <w:sz w:val="21"/>
                <w:szCs w:val="21"/>
                <w:highlight w:val="none"/>
                <w:lang w:val="en-US" w:eastAsia="zh-CN"/>
              </w:rPr>
              <w:t>时间</w:t>
            </w:r>
            <w:r>
              <w:rPr>
                <w:rFonts w:hint="eastAsia" w:ascii="宋体" w:hAnsi="宋体" w:eastAsia="宋体" w:cs="宋体"/>
                <w:color w:val="auto"/>
                <w:sz w:val="21"/>
                <w:szCs w:val="21"/>
                <w:highlight w:val="none"/>
                <w:lang w:val="en-US" w:eastAsia="zh-CN"/>
              </w:rPr>
              <w:t>：24小时内</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设备故障响应</w:t>
            </w:r>
            <w:r>
              <w:rPr>
                <w:rFonts w:hint="eastAsia" w:ascii="宋体" w:hAnsi="宋体" w:cs="宋体"/>
                <w:color w:val="auto"/>
                <w:sz w:val="21"/>
                <w:szCs w:val="21"/>
                <w:highlight w:val="none"/>
                <w:lang w:val="en-US" w:eastAsia="zh-CN"/>
              </w:rPr>
              <w:t>时间</w:t>
            </w:r>
            <w:r>
              <w:rPr>
                <w:rFonts w:hint="eastAsia" w:ascii="宋体" w:hAnsi="宋体" w:eastAsia="宋体" w:cs="宋体"/>
                <w:color w:val="auto"/>
                <w:sz w:val="21"/>
                <w:szCs w:val="21"/>
                <w:highlight w:val="none"/>
                <w:lang w:val="en-US" w:eastAsia="zh-CN"/>
              </w:rPr>
              <w:t>：4小时内；</w:t>
            </w:r>
            <w:r>
              <w:rPr>
                <w:rFonts w:hint="eastAsia" w:ascii="宋体" w:hAnsi="宋体" w:cs="宋体"/>
                <w:color w:val="auto"/>
                <w:sz w:val="21"/>
                <w:szCs w:val="21"/>
                <w:highlight w:val="none"/>
                <w:lang w:val="en-US" w:eastAsia="zh-CN"/>
              </w:rPr>
              <w:t>未做到的每次</w:t>
            </w:r>
            <w:r>
              <w:rPr>
                <w:rFonts w:hint="eastAsia" w:ascii="宋体" w:hAnsi="宋体" w:eastAsia="宋体" w:cs="宋体"/>
                <w:color w:val="auto"/>
                <w:sz w:val="21"/>
                <w:szCs w:val="21"/>
                <w:highlight w:val="none"/>
                <w:lang w:val="en-US" w:eastAsia="zh-CN"/>
              </w:rPr>
              <w:t>扣</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tc>
        <w:tc>
          <w:tcPr>
            <w:tcW w:w="1084" w:type="dxa"/>
            <w:noWrap w:val="0"/>
            <w:vAlign w:val="center"/>
          </w:tcPr>
          <w:p w14:paraId="5EDD040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w:t>
            </w:r>
          </w:p>
        </w:tc>
        <w:tc>
          <w:tcPr>
            <w:tcW w:w="1079" w:type="dxa"/>
            <w:noWrap w:val="0"/>
            <w:vAlign w:val="center"/>
          </w:tcPr>
          <w:p w14:paraId="081A3489">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21"/>
                <w:szCs w:val="21"/>
                <w:highlight w:val="none"/>
                <w:lang w:val="en-US" w:eastAsia="zh-CN"/>
              </w:rPr>
            </w:pPr>
          </w:p>
        </w:tc>
      </w:tr>
      <w:tr w14:paraId="63198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662" w:type="dxa"/>
            <w:noWrap w:val="0"/>
            <w:vAlign w:val="center"/>
          </w:tcPr>
          <w:p w14:paraId="7EB46B4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lang w:val="en-US" w:eastAsia="zh-CN"/>
              </w:rPr>
              <w:t>8</w:t>
            </w:r>
          </w:p>
        </w:tc>
        <w:tc>
          <w:tcPr>
            <w:tcW w:w="5972" w:type="dxa"/>
            <w:noWrap w:val="0"/>
            <w:vAlign w:val="center"/>
          </w:tcPr>
          <w:p w14:paraId="2AE30C51">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根据每次考核期的服务完成度打分，如有未完成服务目标的如（超过24小时未提供服务的、微站数量缺少、微站运行停止超过24小时等），每次扣10分。</w:t>
            </w:r>
          </w:p>
        </w:tc>
        <w:tc>
          <w:tcPr>
            <w:tcW w:w="1084" w:type="dxa"/>
            <w:noWrap w:val="0"/>
            <w:vAlign w:val="center"/>
          </w:tcPr>
          <w:p w14:paraId="53ED5D0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20</w:t>
            </w:r>
          </w:p>
        </w:tc>
        <w:tc>
          <w:tcPr>
            <w:tcW w:w="1079" w:type="dxa"/>
            <w:noWrap w:val="0"/>
            <w:vAlign w:val="center"/>
          </w:tcPr>
          <w:p w14:paraId="319ACED6">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21"/>
                <w:szCs w:val="21"/>
                <w:highlight w:val="none"/>
                <w:lang w:val="en-US" w:eastAsia="zh-CN"/>
              </w:rPr>
            </w:pPr>
          </w:p>
        </w:tc>
      </w:tr>
      <w:tr w14:paraId="060FC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718" w:type="dxa"/>
            <w:gridSpan w:val="3"/>
            <w:noWrap w:val="0"/>
            <w:vAlign w:val="center"/>
          </w:tcPr>
          <w:p w14:paraId="76EA951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考核总得分</w:t>
            </w:r>
          </w:p>
        </w:tc>
        <w:tc>
          <w:tcPr>
            <w:tcW w:w="1079" w:type="dxa"/>
            <w:noWrap w:val="0"/>
            <w:vAlign w:val="center"/>
          </w:tcPr>
          <w:p w14:paraId="10350622">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sz w:val="21"/>
                <w:szCs w:val="21"/>
                <w:highlight w:val="none"/>
                <w:lang w:val="en-US" w:eastAsia="zh-CN"/>
              </w:rPr>
            </w:pPr>
          </w:p>
        </w:tc>
      </w:tr>
    </w:tbl>
    <w:p w14:paraId="39582DD3">
      <w:pPr>
        <w:pStyle w:val="2"/>
        <w:ind w:left="0" w:leftChars="0" w:firstLine="0" w:firstLineChars="0"/>
        <w:rPr>
          <w:rFonts w:hint="default"/>
          <w:color w:val="auto"/>
          <w:lang w:val="en-US" w:eastAsia="zh-CN"/>
        </w:rPr>
      </w:pPr>
      <w:r>
        <w:rPr>
          <w:rFonts w:hint="default"/>
          <w:color w:val="auto"/>
          <w:lang w:val="en-US" w:eastAsia="zh-CN"/>
        </w:rPr>
        <w:t>考核人签字：</w:t>
      </w:r>
    </w:p>
    <w:p w14:paraId="29B5018E">
      <w:pPr>
        <w:pStyle w:val="2"/>
        <w:rPr>
          <w:rFonts w:hint="default"/>
          <w:color w:val="auto"/>
          <w:lang w:val="en-US" w:eastAsia="zh-CN"/>
        </w:rPr>
      </w:pPr>
      <w:r>
        <w:rPr>
          <w:rFonts w:hint="default"/>
          <w:color w:val="auto"/>
          <w:lang w:val="en-US" w:eastAsia="zh-CN"/>
        </w:rPr>
        <w:t>注：每项扣分不得超过本项设置的最高分值。</w:t>
      </w:r>
    </w:p>
    <w:p w14:paraId="4F5A2E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kern w:val="2"/>
          <w:sz w:val="24"/>
          <w:szCs w:val="24"/>
          <w:lang w:val="en-US" w:eastAsia="zh-CN" w:bidi="ar-SA"/>
        </w:rPr>
      </w:pPr>
      <w:r>
        <w:rPr>
          <w:rFonts w:hint="eastAsia" w:ascii="宋体" w:hAnsi="宋体" w:cs="宋体"/>
          <w:b/>
          <w:color w:val="auto"/>
          <w:kern w:val="2"/>
          <w:sz w:val="24"/>
          <w:szCs w:val="24"/>
          <w:lang w:val="en-US" w:eastAsia="zh-CN" w:bidi="ar-SA"/>
        </w:rPr>
        <w:t>八、</w:t>
      </w:r>
      <w:r>
        <w:rPr>
          <w:rFonts w:hint="eastAsia" w:ascii="宋体" w:hAnsi="宋体" w:eastAsia="宋体" w:cs="宋体"/>
          <w:b/>
          <w:color w:val="auto"/>
          <w:kern w:val="2"/>
          <w:sz w:val="24"/>
          <w:szCs w:val="24"/>
          <w:lang w:val="en-US" w:eastAsia="zh-CN" w:bidi="ar-SA"/>
        </w:rPr>
        <w:t>项目验收</w:t>
      </w:r>
    </w:p>
    <w:p w14:paraId="5034BCDD">
      <w:pPr>
        <w:pStyle w:val="2"/>
        <w:keepLines w:val="0"/>
        <w:pageBreakBefore w:val="0"/>
        <w:widowControl w:val="0"/>
        <w:kinsoku/>
        <w:wordWrap/>
        <w:overflowPunct/>
        <w:topLinePunct w:val="0"/>
        <w:bidi w:val="0"/>
        <w:snapToGrid/>
        <w:spacing w:line="360" w:lineRule="auto"/>
        <w:ind w:left="0" w:leftChars="0" w:right="24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1、验收标准:详见本合同服务范围、服务内容及要求</w:t>
      </w:r>
      <w:r>
        <w:rPr>
          <w:rFonts w:hint="eastAsia" w:ascii="宋体" w:hAnsi="宋体" w:eastAsia="宋体" w:cs="宋体"/>
          <w:color w:val="auto"/>
          <w:sz w:val="24"/>
          <w:szCs w:val="24"/>
          <w:highlight w:val="none"/>
          <w:lang w:eastAsia="zh-CN"/>
        </w:rPr>
        <w:t>。</w:t>
      </w:r>
    </w:p>
    <w:p w14:paraId="47039FF3">
      <w:pPr>
        <w:pStyle w:val="2"/>
        <w:keepLines w:val="0"/>
        <w:pageBreakBefore w:val="0"/>
        <w:widowControl w:val="0"/>
        <w:kinsoku/>
        <w:wordWrap/>
        <w:overflowPunct/>
        <w:topLinePunct w:val="0"/>
        <w:bidi w:val="0"/>
        <w:snapToGrid/>
        <w:spacing w:line="360" w:lineRule="auto"/>
        <w:ind w:left="0" w:leftChars="0" w:right="24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2、验收方式:服务内容完成后，由甲方牵头组织验收，乙方应配合甲方进行最终验收，如验收不合格，甲方有权要求乙方进行整改，直至验收合格。最终验收结果以甲方签署的验收证明为准。</w:t>
      </w:r>
    </w:p>
    <w:p w14:paraId="159E71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lang w:val="en-US" w:eastAsia="zh-CN"/>
        </w:rPr>
      </w:pPr>
      <w:r>
        <w:rPr>
          <w:rFonts w:hint="eastAsia" w:ascii="宋体" w:hAnsi="宋体" w:cs="宋体"/>
          <w:b/>
          <w:color w:val="auto"/>
          <w:kern w:val="2"/>
          <w:sz w:val="24"/>
          <w:szCs w:val="24"/>
          <w:lang w:val="en-US" w:eastAsia="zh-CN" w:bidi="ar-SA"/>
        </w:rPr>
        <w:t>九</w:t>
      </w:r>
      <w:r>
        <w:rPr>
          <w:rFonts w:hint="eastAsia" w:ascii="宋体" w:hAnsi="宋体" w:eastAsia="宋体" w:cs="宋体"/>
          <w:b/>
          <w:color w:val="auto"/>
          <w:kern w:val="2"/>
          <w:sz w:val="24"/>
          <w:szCs w:val="24"/>
          <w:lang w:val="en-US" w:eastAsia="zh-CN" w:bidi="ar-SA"/>
        </w:rPr>
        <w:t>、</w:t>
      </w:r>
      <w:r>
        <w:rPr>
          <w:rFonts w:hint="eastAsia" w:ascii="宋体" w:hAnsi="宋体" w:eastAsia="宋体" w:cs="宋体"/>
          <w:b/>
          <w:color w:val="auto"/>
          <w:sz w:val="24"/>
          <w:szCs w:val="24"/>
          <w:lang w:val="en-US" w:eastAsia="zh-CN"/>
        </w:rPr>
        <w:t>转包或分包</w:t>
      </w:r>
    </w:p>
    <w:p w14:paraId="131141FD">
      <w:pPr>
        <w:keepNext w:val="0"/>
        <w:keepLines w:val="0"/>
        <w:pageBreakBefore w:val="0"/>
        <w:widowControl w:val="0"/>
        <w:numPr>
          <w:ilvl w:val="0"/>
          <w:numId w:val="0"/>
        </w:numPr>
        <w:kinsoku/>
        <w:overflowPunct/>
        <w:bidi w:val="0"/>
        <w:snapToGrid/>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本合同范围的服务，应由乙方直接供应，不得转让他人供应；</w:t>
      </w:r>
    </w:p>
    <w:p w14:paraId="6A7B6DDD">
      <w:pPr>
        <w:keepNext w:val="0"/>
        <w:keepLines w:val="0"/>
        <w:pageBreakBefore w:val="0"/>
        <w:widowControl w:val="0"/>
        <w:numPr>
          <w:ilvl w:val="0"/>
          <w:numId w:val="0"/>
        </w:numPr>
        <w:kinsoku/>
        <w:overflowPunct/>
        <w:bidi w:val="0"/>
        <w:snapToGrid/>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除非得到甲方的书面同意，乙方不得将本合同范围的服务全部或部分分包给他人供应；</w:t>
      </w:r>
    </w:p>
    <w:p w14:paraId="2F707411">
      <w:pPr>
        <w:keepNext w:val="0"/>
        <w:keepLines w:val="0"/>
        <w:pageBreakBefore w:val="0"/>
        <w:widowControl w:val="0"/>
        <w:numPr>
          <w:ilvl w:val="0"/>
          <w:numId w:val="0"/>
        </w:numPr>
        <w:kinsoku/>
        <w:overflowPunct/>
        <w:bidi w:val="0"/>
        <w:snapToGrid/>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如有转让和未经甲方同意的分包行为，甲方有权解除合同，并追究乙方的违约责任。</w:t>
      </w:r>
    </w:p>
    <w:p w14:paraId="15975D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lang w:val="en-US" w:eastAsia="zh-CN"/>
        </w:rPr>
      </w:pPr>
      <w:r>
        <w:rPr>
          <w:rFonts w:hint="eastAsia" w:ascii="宋体" w:hAnsi="宋体" w:cs="宋体"/>
          <w:b/>
          <w:color w:val="auto"/>
          <w:kern w:val="2"/>
          <w:sz w:val="24"/>
          <w:szCs w:val="24"/>
          <w:lang w:val="en-US" w:eastAsia="zh-CN" w:bidi="ar-SA"/>
        </w:rPr>
        <w:t>十</w:t>
      </w:r>
      <w:r>
        <w:rPr>
          <w:rFonts w:hint="eastAsia" w:ascii="宋体" w:hAnsi="宋体" w:eastAsia="宋体" w:cs="宋体"/>
          <w:b/>
          <w:color w:val="auto"/>
          <w:kern w:val="2"/>
          <w:sz w:val="24"/>
          <w:szCs w:val="24"/>
          <w:lang w:val="en-US" w:eastAsia="zh-CN" w:bidi="ar-SA"/>
        </w:rPr>
        <w:t>、</w:t>
      </w:r>
      <w:r>
        <w:rPr>
          <w:rFonts w:hint="eastAsia" w:ascii="宋体" w:hAnsi="宋体" w:eastAsia="宋体" w:cs="宋体"/>
          <w:b/>
          <w:color w:val="auto"/>
          <w:sz w:val="24"/>
          <w:szCs w:val="24"/>
          <w:lang w:val="en-US" w:eastAsia="zh-CN"/>
        </w:rPr>
        <w:t>违约责任</w:t>
      </w:r>
    </w:p>
    <w:p w14:paraId="49F92BD3">
      <w:pPr>
        <w:keepNext w:val="0"/>
        <w:keepLines w:val="0"/>
        <w:pageBreakBefore w:val="0"/>
        <w:widowControl w:val="0"/>
        <w:kinsoku/>
        <w:overflowPunct/>
        <w:bidi w:val="0"/>
        <w:snapToGrid/>
        <w:spacing w:line="46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、甲方无故逾期验收和办理款项支付手续的，甲方应按逾期付款总额每日万分之五向乙方支付违约金。</w:t>
      </w:r>
    </w:p>
    <w:p w14:paraId="28846054">
      <w:pPr>
        <w:keepNext w:val="0"/>
        <w:keepLines w:val="0"/>
        <w:pageBreakBefore w:val="0"/>
        <w:widowControl w:val="0"/>
        <w:kinsoku/>
        <w:overflowPunct/>
        <w:bidi w:val="0"/>
        <w:snapToGrid/>
        <w:spacing w:line="46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、乙方未能如期提供服务的，每日向甲方支付合同总款项的</w:t>
      </w:r>
      <w:r>
        <w:rPr>
          <w:rFonts w:hint="eastAsia" w:ascii="宋体" w:hAnsi="宋体" w:eastAsia="宋体" w:cs="宋体"/>
          <w:color w:val="auto"/>
          <w:sz w:val="24"/>
          <w:szCs w:val="24"/>
          <w:lang w:val="en-US" w:eastAsia="zh-CN"/>
        </w:rPr>
        <w:t>千</w:t>
      </w:r>
      <w:r>
        <w:rPr>
          <w:rFonts w:hint="eastAsia" w:ascii="宋体" w:hAnsi="宋体" w:eastAsia="宋体" w:cs="宋体"/>
          <w:color w:val="auto"/>
          <w:sz w:val="24"/>
          <w:szCs w:val="24"/>
          <w:lang w:eastAsia="zh-CN"/>
        </w:rPr>
        <w:t>分之六作为违约金。乙方超过约定日期</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个工作日仍不能提供服务的，甲方可解除本合同，</w:t>
      </w:r>
      <w:r>
        <w:rPr>
          <w:rFonts w:hint="eastAsia" w:ascii="宋体" w:hAnsi="宋体" w:eastAsia="宋体" w:cs="宋体"/>
          <w:color w:val="auto"/>
          <w:sz w:val="24"/>
          <w:szCs w:val="24"/>
          <w:lang w:val="en-US" w:eastAsia="zh-CN"/>
        </w:rPr>
        <w:t>并要求乙方退还预付款</w:t>
      </w:r>
      <w:r>
        <w:rPr>
          <w:rFonts w:hint="eastAsia" w:ascii="宋体" w:hAnsi="宋体" w:eastAsia="宋体" w:cs="宋体"/>
          <w:color w:val="auto"/>
          <w:sz w:val="24"/>
          <w:szCs w:val="24"/>
          <w:lang w:eastAsia="zh-CN"/>
        </w:rPr>
        <w:t>。乙方因未能如期提供服务或因其他违约行为导致甲方解除合同的，乙方应向甲方支付合同总值5%的违约金，如造成甲方损失超过违约金的，超出部分由乙方继续承担赔偿责任。</w:t>
      </w:r>
    </w:p>
    <w:p w14:paraId="739A4E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宋体" w:hAnsi="宋体" w:eastAsia="宋体" w:cs="宋体"/>
          <w:b/>
          <w:color w:val="auto"/>
          <w:sz w:val="24"/>
          <w:szCs w:val="24"/>
          <w:lang w:val="en-US" w:eastAsia="zh-CN"/>
        </w:rPr>
      </w:pPr>
      <w:r>
        <w:rPr>
          <w:rFonts w:hint="eastAsia" w:ascii="宋体" w:hAnsi="宋体" w:cs="宋体"/>
          <w:b/>
          <w:color w:val="auto"/>
          <w:kern w:val="2"/>
          <w:sz w:val="24"/>
          <w:szCs w:val="24"/>
          <w:lang w:val="en-US" w:eastAsia="zh-CN" w:bidi="ar-SA"/>
        </w:rPr>
        <w:t>十一</w:t>
      </w:r>
      <w:r>
        <w:rPr>
          <w:rFonts w:hint="eastAsia" w:ascii="宋体" w:hAnsi="宋体" w:eastAsia="宋体" w:cs="宋体"/>
          <w:b/>
          <w:color w:val="auto"/>
          <w:kern w:val="2"/>
          <w:sz w:val="24"/>
          <w:szCs w:val="24"/>
          <w:lang w:val="en-US" w:eastAsia="zh-CN" w:bidi="ar-SA"/>
        </w:rPr>
        <w:t>、</w:t>
      </w:r>
      <w:r>
        <w:rPr>
          <w:rFonts w:hint="eastAsia" w:ascii="宋体" w:hAnsi="宋体" w:eastAsia="宋体" w:cs="宋体"/>
          <w:b/>
          <w:color w:val="auto"/>
          <w:sz w:val="24"/>
          <w:szCs w:val="24"/>
          <w:lang w:val="en-US" w:eastAsia="zh-CN"/>
        </w:rPr>
        <w:t>争议解决</w:t>
      </w:r>
    </w:p>
    <w:p w14:paraId="3DD3F21F">
      <w:pPr>
        <w:keepNext w:val="0"/>
        <w:keepLines w:val="0"/>
        <w:pageBreakBefore w:val="0"/>
        <w:widowControl w:val="0"/>
        <w:tabs>
          <w:tab w:val="left" w:pos="840"/>
        </w:tabs>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因本合同及合同有关事项发生的争议，由甲乙双方友好协商解决。协商不成时，可以向有关组织申请调解。合同一方或双方不愿调解或调解不成的，可以通过向合同履行所在地仲裁机构仲裁或合同履行所在地人民法院诉讼的方式解决争议。</w:t>
      </w:r>
    </w:p>
    <w:p w14:paraId="3E62C7DC">
      <w:pPr>
        <w:pStyle w:val="2"/>
        <w:rPr>
          <w:rFonts w:hint="default"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2、选择仲裁的，由绍兴仲裁委员会仲裁解决，通过诉讼方式解决的，任何一方均可向甲方所在地人民法院提起诉讼。</w:t>
      </w:r>
    </w:p>
    <w:p w14:paraId="7DA8B748">
      <w:pPr>
        <w:keepNext w:val="0"/>
        <w:keepLines w:val="0"/>
        <w:pageBreakBefore w:val="0"/>
        <w:widowControl w:val="0"/>
        <w:tabs>
          <w:tab w:val="left" w:pos="840"/>
        </w:tabs>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3、如甲乙双方有争议的事项不影响合同其他部分的履行，在争议解决期间，合同其他部分应当继续履行。</w:t>
      </w:r>
    </w:p>
    <w:p w14:paraId="3A70E6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kern w:val="2"/>
          <w:sz w:val="24"/>
          <w:szCs w:val="24"/>
          <w:lang w:val="en-US" w:eastAsia="zh-CN" w:bidi="ar-SA"/>
        </w:rPr>
        <w:t>十</w:t>
      </w:r>
      <w:r>
        <w:rPr>
          <w:rFonts w:hint="eastAsia" w:ascii="宋体" w:hAnsi="宋体" w:cs="宋体"/>
          <w:b/>
          <w:color w:val="auto"/>
          <w:kern w:val="2"/>
          <w:sz w:val="24"/>
          <w:szCs w:val="24"/>
          <w:lang w:val="en-US" w:eastAsia="zh-CN" w:bidi="ar-SA"/>
        </w:rPr>
        <w:t>二</w:t>
      </w:r>
      <w:r>
        <w:rPr>
          <w:rFonts w:hint="eastAsia" w:ascii="宋体" w:hAnsi="宋体" w:eastAsia="宋体" w:cs="宋体"/>
          <w:b/>
          <w:color w:val="auto"/>
          <w:kern w:val="2"/>
          <w:sz w:val="24"/>
          <w:szCs w:val="24"/>
          <w:lang w:val="en-US" w:eastAsia="zh-CN" w:bidi="ar-SA"/>
        </w:rPr>
        <w:t>、</w:t>
      </w:r>
      <w:r>
        <w:rPr>
          <w:rFonts w:hint="eastAsia" w:ascii="宋体" w:hAnsi="宋体" w:eastAsia="宋体" w:cs="宋体"/>
          <w:b/>
          <w:color w:val="auto"/>
          <w:sz w:val="24"/>
          <w:szCs w:val="24"/>
          <w:lang w:val="en-US" w:eastAsia="zh-CN"/>
        </w:rPr>
        <w:t>合同生效及其它</w:t>
      </w:r>
    </w:p>
    <w:p w14:paraId="7DCCF693">
      <w:pPr>
        <w:keepNext w:val="0"/>
        <w:keepLines w:val="0"/>
        <w:pageBreakBefore w:val="0"/>
        <w:widowControl w:val="0"/>
        <w:numPr>
          <w:ilvl w:val="0"/>
          <w:numId w:val="20"/>
        </w:numPr>
        <w:kinsoku/>
        <w:overflowPunct/>
        <w:bidi w:val="0"/>
        <w:snapToGrid/>
        <w:spacing w:line="4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合同经甲、乙两方签字并加盖单位公章</w:t>
      </w:r>
      <w:r>
        <w:rPr>
          <w:rFonts w:hint="eastAsia" w:ascii="宋体" w:hAnsi="宋体" w:eastAsia="宋体" w:cs="宋体"/>
          <w:color w:val="auto"/>
          <w:sz w:val="24"/>
          <w:szCs w:val="24"/>
          <w:lang w:val="en-US" w:eastAsia="zh-CN"/>
        </w:rPr>
        <w:t>或合同专用章</w:t>
      </w:r>
      <w:r>
        <w:rPr>
          <w:rFonts w:hint="eastAsia" w:ascii="宋体" w:hAnsi="宋体" w:eastAsia="宋体" w:cs="宋体"/>
          <w:color w:val="auto"/>
          <w:sz w:val="24"/>
          <w:szCs w:val="24"/>
        </w:rPr>
        <w:t>后生效。</w:t>
      </w:r>
    </w:p>
    <w:p w14:paraId="6B238638">
      <w:pPr>
        <w:keepNext w:val="0"/>
        <w:keepLines w:val="0"/>
        <w:pageBreakBefore w:val="0"/>
        <w:widowControl w:val="0"/>
        <w:numPr>
          <w:ilvl w:val="0"/>
          <w:numId w:val="20"/>
        </w:numPr>
        <w:kinsoku/>
        <w:overflowPunct/>
        <w:bidi w:val="0"/>
        <w:snapToGrid/>
        <w:spacing w:line="4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本项目货物如涉及柴油动力移动源，柴油动力移动源应当符合低排放要求</w:t>
      </w:r>
      <w:r>
        <w:rPr>
          <w:rFonts w:hint="eastAsia" w:ascii="宋体" w:hAnsi="宋体" w:eastAsia="宋体" w:cs="宋体"/>
          <w:color w:val="auto"/>
          <w:sz w:val="24"/>
          <w:szCs w:val="24"/>
          <w:lang w:eastAsia="zh-CN"/>
        </w:rPr>
        <w:t>。</w:t>
      </w:r>
    </w:p>
    <w:p w14:paraId="6C6B4635">
      <w:pPr>
        <w:keepNext w:val="0"/>
        <w:keepLines w:val="0"/>
        <w:pageBreakBefore w:val="0"/>
        <w:widowControl w:val="0"/>
        <w:numPr>
          <w:ilvl w:val="0"/>
          <w:numId w:val="20"/>
        </w:numPr>
        <w:kinsoku/>
        <w:overflowPunct/>
        <w:bidi w:val="0"/>
        <w:snapToGrid/>
        <w:spacing w:line="4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招标文件、投标文件与本合同</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lang w:val="en-US" w:eastAsia="zh-CN"/>
        </w:rPr>
        <w:t>附件</w:t>
      </w:r>
      <w:r>
        <w:rPr>
          <w:rFonts w:hint="eastAsia" w:ascii="宋体" w:hAnsi="宋体" w:eastAsia="宋体" w:cs="宋体"/>
          <w:color w:val="auto"/>
          <w:sz w:val="24"/>
          <w:szCs w:val="24"/>
        </w:rPr>
        <w:t>具有同等法律效力。</w:t>
      </w:r>
    </w:p>
    <w:p w14:paraId="30825ABA">
      <w:pPr>
        <w:keepNext w:val="0"/>
        <w:keepLines w:val="0"/>
        <w:pageBreakBefore w:val="0"/>
        <w:widowControl w:val="0"/>
        <w:numPr>
          <w:ilvl w:val="0"/>
          <w:numId w:val="20"/>
        </w:numPr>
        <w:kinsoku/>
        <w:overflowPunct/>
        <w:bidi w:val="0"/>
        <w:snapToGrid/>
        <w:spacing w:line="46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rPr>
        <w:t>本合同未尽事宜，遵照《</w:t>
      </w:r>
      <w:r>
        <w:rPr>
          <w:rFonts w:hint="eastAsia" w:ascii="宋体" w:hAnsi="宋体" w:eastAsia="宋体" w:cs="宋体"/>
          <w:color w:val="auto"/>
          <w:sz w:val="24"/>
          <w:szCs w:val="24"/>
          <w:lang w:val="en-US" w:eastAsia="zh-CN"/>
        </w:rPr>
        <w:t>中华人民共和国民法典</w:t>
      </w:r>
      <w:r>
        <w:rPr>
          <w:rFonts w:hint="eastAsia" w:ascii="宋体" w:hAnsi="宋体" w:eastAsia="宋体" w:cs="宋体"/>
          <w:color w:val="auto"/>
          <w:sz w:val="24"/>
          <w:szCs w:val="24"/>
        </w:rPr>
        <w:t>》有关条文执行</w:t>
      </w:r>
      <w:r>
        <w:rPr>
          <w:rFonts w:hint="eastAsia" w:ascii="宋体" w:hAnsi="宋体" w:eastAsia="宋体" w:cs="宋体"/>
          <w:b w:val="0"/>
          <w:bCs w:val="0"/>
          <w:color w:val="auto"/>
          <w:sz w:val="24"/>
          <w:szCs w:val="24"/>
          <w:lang w:val="en-US" w:eastAsia="zh-CN"/>
        </w:rPr>
        <w:t>。</w:t>
      </w:r>
    </w:p>
    <w:p w14:paraId="525FCF43">
      <w:pPr>
        <w:keepNext w:val="0"/>
        <w:keepLines w:val="0"/>
        <w:pageBreakBefore w:val="0"/>
        <w:widowControl w:val="0"/>
        <w:numPr>
          <w:ilvl w:val="0"/>
          <w:numId w:val="20"/>
        </w:numPr>
        <w:kinsoku/>
        <w:overflowPunct/>
        <w:bidi w:val="0"/>
        <w:snapToGrid/>
        <w:spacing w:line="460" w:lineRule="exact"/>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本合同一式</w:t>
      </w:r>
      <w:r>
        <w:rPr>
          <w:rFonts w:hint="eastAsia" w:ascii="宋体" w:hAnsi="宋体" w:eastAsia="宋体" w:cs="宋体"/>
          <w:b/>
          <w:bCs/>
          <w:color w:val="auto"/>
          <w:sz w:val="24"/>
          <w:szCs w:val="24"/>
          <w:u w:val="single"/>
        </w:rPr>
        <w:t>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rPr>
        <w:t>份，</w:t>
      </w:r>
      <w:r>
        <w:rPr>
          <w:rFonts w:hint="eastAsia" w:ascii="宋体" w:hAnsi="宋体" w:eastAsia="宋体" w:cs="宋体"/>
          <w:b/>
          <w:bCs/>
          <w:color w:val="auto"/>
          <w:sz w:val="24"/>
          <w:szCs w:val="24"/>
          <w:lang w:val="en-US" w:eastAsia="zh-CN"/>
        </w:rPr>
        <w:t>甲乙双方</w:t>
      </w:r>
      <w:r>
        <w:rPr>
          <w:rFonts w:hint="eastAsia" w:ascii="宋体" w:hAnsi="宋体" w:eastAsia="宋体" w:cs="宋体"/>
          <w:b/>
          <w:bCs/>
          <w:color w:val="auto"/>
          <w:sz w:val="24"/>
          <w:szCs w:val="24"/>
        </w:rPr>
        <w:t>各执</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份，并由</w:t>
      </w:r>
      <w:r>
        <w:rPr>
          <w:rFonts w:hint="eastAsia" w:ascii="宋体" w:hAnsi="宋体" w:eastAsia="宋体" w:cs="宋体"/>
          <w:b/>
          <w:bCs/>
          <w:color w:val="auto"/>
          <w:sz w:val="24"/>
          <w:szCs w:val="24"/>
          <w:lang w:val="en-US" w:eastAsia="zh-CN"/>
        </w:rPr>
        <w:t>甲方</w:t>
      </w:r>
      <w:r>
        <w:rPr>
          <w:rFonts w:hint="eastAsia" w:ascii="宋体" w:hAnsi="宋体" w:eastAsia="宋体" w:cs="宋体"/>
          <w:b/>
          <w:bCs/>
          <w:color w:val="auto"/>
          <w:sz w:val="24"/>
          <w:szCs w:val="24"/>
        </w:rPr>
        <w:t>在30日内做好政采云平台网上合同创建及备案。</w:t>
      </w:r>
    </w:p>
    <w:tbl>
      <w:tblPr>
        <w:tblStyle w:val="26"/>
        <w:tblW w:w="819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2368"/>
        <w:gridCol w:w="1640"/>
        <w:gridCol w:w="2733"/>
      </w:tblGrid>
      <w:tr w14:paraId="51863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457" w:type="dxa"/>
            <w:tcBorders>
              <w:top w:val="single" w:color="auto" w:sz="4" w:space="0"/>
              <w:left w:val="single" w:color="auto" w:sz="4" w:space="0"/>
              <w:bottom w:val="single" w:color="auto" w:sz="4" w:space="0"/>
              <w:right w:val="single" w:color="auto" w:sz="4" w:space="0"/>
            </w:tcBorders>
            <w:noWrap w:val="0"/>
            <w:vAlign w:val="center"/>
          </w:tcPr>
          <w:p w14:paraId="056C1CE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甲方单位</w:t>
            </w:r>
          </w:p>
        </w:tc>
        <w:tc>
          <w:tcPr>
            <w:tcW w:w="2368" w:type="dxa"/>
            <w:tcBorders>
              <w:top w:val="single" w:color="auto" w:sz="4" w:space="0"/>
              <w:left w:val="single" w:color="auto" w:sz="4" w:space="0"/>
              <w:bottom w:val="single" w:color="auto" w:sz="4" w:space="0"/>
              <w:right w:val="single" w:color="auto" w:sz="4" w:space="0"/>
            </w:tcBorders>
            <w:noWrap w:val="0"/>
            <w:vAlign w:val="center"/>
          </w:tcPr>
          <w:p w14:paraId="1365A45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（盖章）</w:t>
            </w:r>
          </w:p>
        </w:tc>
        <w:tc>
          <w:tcPr>
            <w:tcW w:w="1640" w:type="dxa"/>
            <w:tcBorders>
              <w:top w:val="single" w:color="auto" w:sz="4" w:space="0"/>
              <w:left w:val="single" w:color="auto" w:sz="4" w:space="0"/>
              <w:bottom w:val="single" w:color="auto" w:sz="4" w:space="0"/>
              <w:right w:val="single" w:color="auto" w:sz="4" w:space="0"/>
            </w:tcBorders>
            <w:noWrap w:val="0"/>
            <w:vAlign w:val="center"/>
          </w:tcPr>
          <w:p w14:paraId="29EAF0E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乙方单位</w:t>
            </w:r>
          </w:p>
        </w:tc>
        <w:tc>
          <w:tcPr>
            <w:tcW w:w="2733" w:type="dxa"/>
            <w:tcBorders>
              <w:top w:val="single" w:color="auto" w:sz="4" w:space="0"/>
              <w:left w:val="single" w:color="auto" w:sz="4" w:space="0"/>
              <w:bottom w:val="single" w:color="auto" w:sz="4" w:space="0"/>
              <w:right w:val="single" w:color="auto" w:sz="4" w:space="0"/>
            </w:tcBorders>
            <w:noWrap w:val="0"/>
            <w:vAlign w:val="center"/>
          </w:tcPr>
          <w:p w14:paraId="571E6F8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（盖章）</w:t>
            </w:r>
          </w:p>
        </w:tc>
      </w:tr>
      <w:tr w14:paraId="0D32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457" w:type="dxa"/>
            <w:tcBorders>
              <w:top w:val="single" w:color="auto" w:sz="4" w:space="0"/>
              <w:left w:val="single" w:color="auto" w:sz="4" w:space="0"/>
              <w:bottom w:val="single" w:color="auto" w:sz="4" w:space="0"/>
              <w:right w:val="single" w:color="auto" w:sz="4" w:space="0"/>
            </w:tcBorders>
            <w:noWrap w:val="0"/>
            <w:vAlign w:val="center"/>
          </w:tcPr>
          <w:p w14:paraId="51B69C9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代表签名</w:t>
            </w:r>
          </w:p>
        </w:tc>
        <w:tc>
          <w:tcPr>
            <w:tcW w:w="2368" w:type="dxa"/>
            <w:tcBorders>
              <w:top w:val="single" w:color="auto" w:sz="4" w:space="0"/>
              <w:left w:val="single" w:color="auto" w:sz="4" w:space="0"/>
              <w:bottom w:val="single" w:color="auto" w:sz="4" w:space="0"/>
              <w:right w:val="single" w:color="auto" w:sz="4" w:space="0"/>
            </w:tcBorders>
            <w:noWrap w:val="0"/>
            <w:vAlign w:val="center"/>
          </w:tcPr>
          <w:p w14:paraId="692229B7">
            <w:pPr>
              <w:spacing w:line="360" w:lineRule="auto"/>
              <w:jc w:val="center"/>
              <w:rPr>
                <w:rFonts w:hint="eastAsia" w:ascii="宋体" w:hAnsi="宋体" w:eastAsia="宋体" w:cs="宋体"/>
                <w:color w:val="auto"/>
                <w:sz w:val="24"/>
                <w:szCs w:val="24"/>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14:paraId="0A6560B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代表签名</w:t>
            </w:r>
          </w:p>
        </w:tc>
        <w:tc>
          <w:tcPr>
            <w:tcW w:w="2733" w:type="dxa"/>
            <w:tcBorders>
              <w:top w:val="single" w:color="auto" w:sz="4" w:space="0"/>
              <w:left w:val="single" w:color="auto" w:sz="4" w:space="0"/>
              <w:bottom w:val="single" w:color="auto" w:sz="4" w:space="0"/>
              <w:right w:val="single" w:color="auto" w:sz="4" w:space="0"/>
            </w:tcBorders>
            <w:noWrap w:val="0"/>
            <w:vAlign w:val="center"/>
          </w:tcPr>
          <w:p w14:paraId="69466026">
            <w:pPr>
              <w:spacing w:line="360" w:lineRule="auto"/>
              <w:jc w:val="center"/>
              <w:rPr>
                <w:rFonts w:hint="eastAsia" w:ascii="宋体" w:hAnsi="宋体" w:eastAsia="宋体" w:cs="宋体"/>
                <w:color w:val="auto"/>
                <w:sz w:val="24"/>
                <w:szCs w:val="24"/>
              </w:rPr>
            </w:pPr>
          </w:p>
        </w:tc>
      </w:tr>
      <w:tr w14:paraId="77FF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457" w:type="dxa"/>
            <w:tcBorders>
              <w:top w:val="single" w:color="auto" w:sz="4" w:space="0"/>
              <w:left w:val="single" w:color="auto" w:sz="4" w:space="0"/>
              <w:bottom w:val="single" w:color="auto" w:sz="4" w:space="0"/>
              <w:right w:val="single" w:color="auto" w:sz="4" w:space="0"/>
            </w:tcBorders>
            <w:noWrap w:val="0"/>
            <w:vAlign w:val="center"/>
          </w:tcPr>
          <w:p w14:paraId="40109F9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地址</w:t>
            </w:r>
          </w:p>
        </w:tc>
        <w:tc>
          <w:tcPr>
            <w:tcW w:w="2368" w:type="dxa"/>
            <w:tcBorders>
              <w:top w:val="single" w:color="auto" w:sz="4" w:space="0"/>
              <w:left w:val="single" w:color="auto" w:sz="4" w:space="0"/>
              <w:bottom w:val="single" w:color="auto" w:sz="4" w:space="0"/>
              <w:right w:val="single" w:color="auto" w:sz="4" w:space="0"/>
            </w:tcBorders>
            <w:noWrap w:val="0"/>
            <w:vAlign w:val="center"/>
          </w:tcPr>
          <w:p w14:paraId="64E7072A">
            <w:pPr>
              <w:spacing w:line="360" w:lineRule="auto"/>
              <w:jc w:val="center"/>
              <w:rPr>
                <w:rFonts w:hint="eastAsia" w:ascii="宋体" w:hAnsi="宋体" w:eastAsia="宋体" w:cs="宋体"/>
                <w:color w:val="auto"/>
                <w:sz w:val="24"/>
                <w:szCs w:val="24"/>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14:paraId="7950EC5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地址</w:t>
            </w:r>
          </w:p>
        </w:tc>
        <w:tc>
          <w:tcPr>
            <w:tcW w:w="2733" w:type="dxa"/>
            <w:tcBorders>
              <w:top w:val="single" w:color="auto" w:sz="4" w:space="0"/>
              <w:left w:val="single" w:color="auto" w:sz="4" w:space="0"/>
              <w:bottom w:val="single" w:color="auto" w:sz="4" w:space="0"/>
              <w:right w:val="single" w:color="auto" w:sz="4" w:space="0"/>
            </w:tcBorders>
            <w:noWrap w:val="0"/>
            <w:vAlign w:val="center"/>
          </w:tcPr>
          <w:p w14:paraId="11A2EB29">
            <w:pPr>
              <w:spacing w:line="360" w:lineRule="auto"/>
              <w:jc w:val="center"/>
              <w:rPr>
                <w:rFonts w:hint="eastAsia" w:ascii="宋体" w:hAnsi="宋体" w:eastAsia="宋体" w:cs="宋体"/>
                <w:color w:val="auto"/>
                <w:sz w:val="24"/>
                <w:szCs w:val="24"/>
              </w:rPr>
            </w:pPr>
          </w:p>
        </w:tc>
      </w:tr>
      <w:tr w14:paraId="2A158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457" w:type="dxa"/>
            <w:tcBorders>
              <w:top w:val="single" w:color="auto" w:sz="4" w:space="0"/>
              <w:left w:val="single" w:color="auto" w:sz="4" w:space="0"/>
              <w:bottom w:val="single" w:color="auto" w:sz="4" w:space="0"/>
              <w:right w:val="single" w:color="auto" w:sz="4" w:space="0"/>
            </w:tcBorders>
            <w:noWrap w:val="0"/>
            <w:vAlign w:val="center"/>
          </w:tcPr>
          <w:p w14:paraId="1A061EC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2368" w:type="dxa"/>
            <w:tcBorders>
              <w:top w:val="single" w:color="auto" w:sz="4" w:space="0"/>
              <w:left w:val="single" w:color="auto" w:sz="4" w:space="0"/>
              <w:bottom w:val="single" w:color="auto" w:sz="4" w:space="0"/>
              <w:right w:val="single" w:color="auto" w:sz="4" w:space="0"/>
            </w:tcBorders>
            <w:noWrap w:val="0"/>
            <w:vAlign w:val="center"/>
          </w:tcPr>
          <w:p w14:paraId="2BC7647A">
            <w:pPr>
              <w:spacing w:line="360" w:lineRule="auto"/>
              <w:jc w:val="center"/>
              <w:rPr>
                <w:rFonts w:hint="eastAsia" w:ascii="宋体" w:hAnsi="宋体" w:eastAsia="宋体" w:cs="宋体"/>
                <w:color w:val="auto"/>
                <w:sz w:val="24"/>
                <w:szCs w:val="24"/>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14:paraId="6526A42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2733" w:type="dxa"/>
            <w:tcBorders>
              <w:top w:val="single" w:color="auto" w:sz="4" w:space="0"/>
              <w:left w:val="single" w:color="auto" w:sz="4" w:space="0"/>
              <w:bottom w:val="single" w:color="auto" w:sz="4" w:space="0"/>
              <w:right w:val="single" w:color="auto" w:sz="4" w:space="0"/>
            </w:tcBorders>
            <w:noWrap w:val="0"/>
            <w:vAlign w:val="center"/>
          </w:tcPr>
          <w:p w14:paraId="07A30783">
            <w:pPr>
              <w:spacing w:line="360" w:lineRule="auto"/>
              <w:jc w:val="center"/>
              <w:rPr>
                <w:rFonts w:hint="eastAsia" w:ascii="宋体" w:hAnsi="宋体" w:eastAsia="宋体" w:cs="宋体"/>
                <w:color w:val="auto"/>
                <w:sz w:val="24"/>
                <w:szCs w:val="24"/>
              </w:rPr>
            </w:pPr>
          </w:p>
        </w:tc>
      </w:tr>
      <w:tr w14:paraId="28253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457" w:type="dxa"/>
            <w:tcBorders>
              <w:top w:val="single" w:color="auto" w:sz="4" w:space="0"/>
              <w:left w:val="single" w:color="auto" w:sz="4" w:space="0"/>
              <w:bottom w:val="single" w:color="auto" w:sz="4" w:space="0"/>
              <w:right w:val="single" w:color="auto" w:sz="4" w:space="0"/>
            </w:tcBorders>
            <w:noWrap w:val="0"/>
            <w:vAlign w:val="center"/>
          </w:tcPr>
          <w:p w14:paraId="41CAE44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2368" w:type="dxa"/>
            <w:tcBorders>
              <w:top w:val="single" w:color="auto" w:sz="4" w:space="0"/>
              <w:left w:val="single" w:color="auto" w:sz="4" w:space="0"/>
              <w:bottom w:val="single" w:color="auto" w:sz="4" w:space="0"/>
              <w:right w:val="single" w:color="auto" w:sz="4" w:space="0"/>
            </w:tcBorders>
            <w:noWrap w:val="0"/>
            <w:vAlign w:val="center"/>
          </w:tcPr>
          <w:p w14:paraId="6CDEC8C2">
            <w:pPr>
              <w:spacing w:line="360" w:lineRule="auto"/>
              <w:jc w:val="center"/>
              <w:rPr>
                <w:rFonts w:hint="eastAsia" w:ascii="宋体" w:hAnsi="宋体" w:eastAsia="宋体" w:cs="宋体"/>
                <w:color w:val="auto"/>
                <w:sz w:val="24"/>
                <w:szCs w:val="24"/>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14:paraId="4B49A87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2733" w:type="dxa"/>
            <w:tcBorders>
              <w:top w:val="single" w:color="auto" w:sz="4" w:space="0"/>
              <w:left w:val="single" w:color="auto" w:sz="4" w:space="0"/>
              <w:bottom w:val="single" w:color="auto" w:sz="4" w:space="0"/>
              <w:right w:val="single" w:color="auto" w:sz="4" w:space="0"/>
            </w:tcBorders>
            <w:noWrap w:val="0"/>
            <w:vAlign w:val="center"/>
          </w:tcPr>
          <w:p w14:paraId="06B53AB2">
            <w:pPr>
              <w:spacing w:line="360" w:lineRule="auto"/>
              <w:jc w:val="center"/>
              <w:rPr>
                <w:rFonts w:hint="eastAsia" w:ascii="宋体" w:hAnsi="宋体" w:eastAsia="宋体" w:cs="宋体"/>
                <w:color w:val="auto"/>
                <w:sz w:val="24"/>
                <w:szCs w:val="24"/>
              </w:rPr>
            </w:pPr>
          </w:p>
        </w:tc>
      </w:tr>
      <w:tr w14:paraId="63606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1457" w:type="dxa"/>
            <w:tcBorders>
              <w:top w:val="single" w:color="auto" w:sz="4" w:space="0"/>
              <w:left w:val="single" w:color="auto" w:sz="4" w:space="0"/>
              <w:bottom w:val="single" w:color="auto" w:sz="4" w:space="0"/>
              <w:right w:val="single" w:color="auto" w:sz="4" w:space="0"/>
            </w:tcBorders>
            <w:noWrap w:val="0"/>
            <w:vAlign w:val="center"/>
          </w:tcPr>
          <w:p w14:paraId="00568DE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账</w:t>
            </w:r>
            <w:r>
              <w:rPr>
                <w:rFonts w:hint="eastAsia" w:ascii="宋体" w:hAnsi="宋体" w:eastAsia="宋体" w:cs="宋体"/>
                <w:color w:val="auto"/>
                <w:sz w:val="24"/>
                <w:szCs w:val="24"/>
              </w:rPr>
              <w:t>号</w:t>
            </w:r>
          </w:p>
        </w:tc>
        <w:tc>
          <w:tcPr>
            <w:tcW w:w="2368" w:type="dxa"/>
            <w:tcBorders>
              <w:top w:val="single" w:color="auto" w:sz="4" w:space="0"/>
              <w:left w:val="single" w:color="auto" w:sz="4" w:space="0"/>
              <w:bottom w:val="single" w:color="auto" w:sz="4" w:space="0"/>
              <w:right w:val="single" w:color="auto" w:sz="4" w:space="0"/>
            </w:tcBorders>
            <w:noWrap w:val="0"/>
            <w:vAlign w:val="center"/>
          </w:tcPr>
          <w:p w14:paraId="74A057B7">
            <w:pPr>
              <w:spacing w:line="360" w:lineRule="auto"/>
              <w:jc w:val="center"/>
              <w:rPr>
                <w:rFonts w:hint="eastAsia" w:ascii="宋体" w:hAnsi="宋体" w:eastAsia="宋体" w:cs="宋体"/>
                <w:color w:val="auto"/>
                <w:sz w:val="24"/>
                <w:szCs w:val="24"/>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14:paraId="11D7D31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账</w:t>
            </w:r>
            <w:r>
              <w:rPr>
                <w:rFonts w:hint="eastAsia" w:ascii="宋体" w:hAnsi="宋体" w:eastAsia="宋体" w:cs="宋体"/>
                <w:color w:val="auto"/>
                <w:sz w:val="24"/>
                <w:szCs w:val="24"/>
              </w:rPr>
              <w:t>号</w:t>
            </w:r>
          </w:p>
        </w:tc>
        <w:tc>
          <w:tcPr>
            <w:tcW w:w="2733" w:type="dxa"/>
            <w:tcBorders>
              <w:top w:val="single" w:color="auto" w:sz="4" w:space="0"/>
              <w:left w:val="single" w:color="auto" w:sz="4" w:space="0"/>
              <w:bottom w:val="single" w:color="auto" w:sz="4" w:space="0"/>
              <w:right w:val="single" w:color="auto" w:sz="4" w:space="0"/>
            </w:tcBorders>
            <w:noWrap w:val="0"/>
            <w:vAlign w:val="center"/>
          </w:tcPr>
          <w:p w14:paraId="56035938">
            <w:pPr>
              <w:spacing w:line="360" w:lineRule="auto"/>
              <w:jc w:val="center"/>
              <w:rPr>
                <w:rFonts w:hint="eastAsia" w:ascii="宋体" w:hAnsi="宋体" w:eastAsia="宋体" w:cs="宋体"/>
                <w:color w:val="auto"/>
                <w:sz w:val="24"/>
                <w:szCs w:val="24"/>
              </w:rPr>
            </w:pPr>
          </w:p>
        </w:tc>
      </w:tr>
    </w:tbl>
    <w:p w14:paraId="0B01B0E2">
      <w:pPr>
        <w:spacing w:line="360" w:lineRule="auto"/>
        <w:ind w:firstLine="480" w:firstLineChars="200"/>
        <w:jc w:val="left"/>
        <w:rPr>
          <w:rFonts w:hint="eastAsia" w:ascii="宋体" w:hAnsi="宋体" w:cs="宋体"/>
          <w:color w:val="auto"/>
          <w:kern w:val="0"/>
          <w:sz w:val="24"/>
        </w:rPr>
      </w:pPr>
    </w:p>
    <w:p w14:paraId="79007A65">
      <w:pPr>
        <w:spacing w:line="360" w:lineRule="auto"/>
        <w:ind w:firstLine="480" w:firstLineChars="200"/>
        <w:jc w:val="left"/>
        <w:rPr>
          <w:rFonts w:hint="eastAsia" w:ascii="宋体" w:hAnsi="宋体" w:cs="宋体"/>
          <w:color w:val="auto"/>
          <w:kern w:val="0"/>
          <w:sz w:val="24"/>
        </w:rPr>
      </w:pPr>
    </w:p>
    <w:p w14:paraId="427ECCE0">
      <w:pPr>
        <w:spacing w:line="360" w:lineRule="auto"/>
        <w:jc w:val="left"/>
        <w:rPr>
          <w:rFonts w:hint="eastAsia" w:ascii="宋体" w:hAnsi="宋体" w:cs="宋体"/>
          <w:color w:val="auto"/>
          <w:kern w:val="0"/>
          <w:sz w:val="24"/>
        </w:rPr>
      </w:pPr>
    </w:p>
    <w:p w14:paraId="77547D0E">
      <w:pPr>
        <w:pStyle w:val="4"/>
        <w:jc w:val="center"/>
        <w:rPr>
          <w:rFonts w:cs="Times New Roman"/>
          <w:color w:val="auto"/>
          <w:sz w:val="36"/>
          <w:szCs w:val="36"/>
          <w:highlight w:val="none"/>
        </w:rPr>
      </w:pPr>
      <w:bookmarkStart w:id="90" w:name="_Toc7690"/>
      <w:bookmarkStart w:id="91" w:name="_Toc31835"/>
      <w:bookmarkStart w:id="92" w:name="_Toc4669"/>
      <w:r>
        <w:rPr>
          <w:rFonts w:hint="eastAsia" w:cs="宋体"/>
          <w:color w:val="auto"/>
          <w:sz w:val="36"/>
          <w:szCs w:val="36"/>
          <w:highlight w:val="none"/>
        </w:rPr>
        <w:t>第六部分</w:t>
      </w:r>
      <w:r>
        <w:rPr>
          <w:color w:val="auto"/>
          <w:sz w:val="36"/>
          <w:szCs w:val="36"/>
          <w:highlight w:val="none"/>
        </w:rPr>
        <w:t xml:space="preserve"> </w:t>
      </w:r>
      <w:r>
        <w:rPr>
          <w:rFonts w:hint="eastAsia" w:cs="宋体"/>
          <w:color w:val="auto"/>
          <w:sz w:val="36"/>
          <w:szCs w:val="36"/>
          <w:highlight w:val="none"/>
        </w:rPr>
        <w:t>应提交的有关格式范例</w:t>
      </w:r>
      <w:bookmarkEnd w:id="90"/>
      <w:bookmarkEnd w:id="91"/>
      <w:bookmarkEnd w:id="92"/>
    </w:p>
    <w:p w14:paraId="721C67C2">
      <w:pPr>
        <w:rPr>
          <w:color w:val="auto"/>
          <w:highlight w:val="none"/>
        </w:rPr>
      </w:pPr>
    </w:p>
    <w:p w14:paraId="1EFC9AB9">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供应商按照以下格式编制响应文件，</w:t>
      </w:r>
      <w:r>
        <w:rPr>
          <w:rFonts w:hint="eastAsia" w:ascii="宋体" w:hAnsi="宋体" w:cs="宋体"/>
          <w:b/>
          <w:bCs/>
          <w:color w:val="auto"/>
          <w:sz w:val="24"/>
          <w:szCs w:val="24"/>
          <w:highlight w:val="none"/>
        </w:rPr>
        <w:t>“资格文件”、“商务技术文件”、“报价文件”须分</w:t>
      </w:r>
      <w:r>
        <w:rPr>
          <w:rFonts w:ascii="宋体" w:hAnsi="宋体" w:cs="宋体"/>
          <w:b/>
          <w:bCs/>
          <w:color w:val="auto"/>
          <w:sz w:val="24"/>
          <w:szCs w:val="24"/>
          <w:highlight w:val="none"/>
        </w:rPr>
        <w:t>3</w:t>
      </w:r>
      <w:r>
        <w:rPr>
          <w:rFonts w:hint="eastAsia" w:ascii="宋体" w:hAnsi="宋体" w:cs="宋体"/>
          <w:b/>
          <w:bCs/>
          <w:color w:val="auto"/>
          <w:sz w:val="24"/>
          <w:szCs w:val="24"/>
          <w:highlight w:val="none"/>
        </w:rPr>
        <w:t>个</w:t>
      </w:r>
      <w:r>
        <w:rPr>
          <w:rFonts w:ascii="宋体" w:hAnsi="宋体" w:cs="宋体"/>
          <w:b/>
          <w:bCs/>
          <w:color w:val="auto"/>
          <w:sz w:val="24"/>
          <w:szCs w:val="24"/>
          <w:highlight w:val="none"/>
        </w:rPr>
        <w:t>PDF</w:t>
      </w:r>
      <w:r>
        <w:rPr>
          <w:rFonts w:hint="eastAsia" w:ascii="宋体" w:hAnsi="宋体" w:cs="宋体"/>
          <w:b/>
          <w:bCs/>
          <w:color w:val="auto"/>
          <w:sz w:val="24"/>
          <w:szCs w:val="24"/>
          <w:highlight w:val="none"/>
        </w:rPr>
        <w:t>格式分别导入。</w:t>
      </w:r>
    </w:p>
    <w:p w14:paraId="727E5941">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此格式内容仅为参考模板，具体内容供应商应根据磋商文件要求进行调整。未按以下格式编制响应文件或因格式不规范、页码不清等原因引发的一切后果由供应商自行承担。</w:t>
      </w:r>
    </w:p>
    <w:p w14:paraId="1AF1D2D1">
      <w:pPr>
        <w:spacing w:line="360" w:lineRule="auto"/>
        <w:jc w:val="center"/>
        <w:rPr>
          <w:rFonts w:ascii="宋体"/>
          <w:b/>
          <w:bCs/>
          <w:color w:val="auto"/>
          <w:kern w:val="0"/>
          <w:sz w:val="36"/>
          <w:szCs w:val="36"/>
          <w:highlight w:val="none"/>
        </w:rPr>
      </w:pPr>
      <w:r>
        <w:rPr>
          <w:rFonts w:ascii="宋体"/>
          <w:b/>
          <w:bCs/>
          <w:color w:val="auto"/>
          <w:sz w:val="24"/>
          <w:szCs w:val="24"/>
          <w:highlight w:val="none"/>
        </w:rPr>
        <w:br w:type="page"/>
      </w:r>
      <w:r>
        <w:rPr>
          <w:rFonts w:hint="eastAsia" w:ascii="宋体" w:hAnsi="宋体" w:cs="宋体"/>
          <w:b/>
          <w:bCs/>
          <w:color w:val="auto"/>
          <w:kern w:val="0"/>
          <w:sz w:val="36"/>
          <w:szCs w:val="36"/>
          <w:highlight w:val="none"/>
        </w:rPr>
        <w:t>资格文件部分</w:t>
      </w:r>
    </w:p>
    <w:p w14:paraId="5412D5E6">
      <w:pPr>
        <w:spacing w:line="360" w:lineRule="auto"/>
        <w:jc w:val="center"/>
        <w:rPr>
          <w:rFonts w:ascii="宋体"/>
          <w:b/>
          <w:bCs/>
          <w:color w:val="auto"/>
          <w:kern w:val="0"/>
          <w:sz w:val="36"/>
          <w:szCs w:val="36"/>
          <w:highlight w:val="none"/>
        </w:rPr>
      </w:pPr>
    </w:p>
    <w:p w14:paraId="7C066FBB">
      <w:pPr>
        <w:spacing w:line="360" w:lineRule="auto"/>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目录</w:t>
      </w:r>
    </w:p>
    <w:p w14:paraId="2423D5BA">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）法定代表人授权书；（格式见附件）</w:t>
      </w:r>
    </w:p>
    <w:p w14:paraId="32786CEA">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（2）营业执照</w:t>
      </w:r>
      <w:r>
        <w:rPr>
          <w:rFonts w:ascii="宋体" w:hAnsi="宋体" w:cs="宋体"/>
          <w:color w:val="auto"/>
          <w:sz w:val="24"/>
          <w:szCs w:val="24"/>
        </w:rPr>
        <w:t>(</w:t>
      </w:r>
      <w:r>
        <w:rPr>
          <w:rFonts w:hint="eastAsia" w:ascii="宋体" w:hAnsi="宋体" w:cs="宋体"/>
          <w:color w:val="auto"/>
          <w:sz w:val="24"/>
          <w:szCs w:val="24"/>
        </w:rPr>
        <w:t>或事业法人登记证或其他工商等登记证明材料</w:t>
      </w:r>
      <w:r>
        <w:rPr>
          <w:rFonts w:ascii="宋体" w:hAnsi="宋体" w:cs="宋体"/>
          <w:color w:val="auto"/>
          <w:sz w:val="24"/>
          <w:szCs w:val="24"/>
        </w:rPr>
        <w:t>)</w:t>
      </w:r>
      <w:r>
        <w:rPr>
          <w:rFonts w:hint="eastAsia" w:ascii="宋体" w:hAnsi="宋体" w:cs="宋体"/>
          <w:color w:val="auto"/>
          <w:sz w:val="24"/>
          <w:szCs w:val="24"/>
          <w:lang w:eastAsia="zh-CN"/>
        </w:rPr>
        <w:t>扫描件</w:t>
      </w:r>
      <w:r>
        <w:rPr>
          <w:rFonts w:hint="eastAsia" w:ascii="宋体" w:hAnsi="宋体" w:cs="宋体"/>
          <w:color w:val="auto"/>
          <w:sz w:val="24"/>
          <w:szCs w:val="24"/>
        </w:rPr>
        <w:t>、税务登记证</w:t>
      </w:r>
      <w:r>
        <w:rPr>
          <w:rFonts w:ascii="宋体" w:hAnsi="宋体" w:cs="宋体"/>
          <w:color w:val="auto"/>
          <w:sz w:val="24"/>
          <w:szCs w:val="24"/>
        </w:rPr>
        <w:t>(</w:t>
      </w:r>
      <w:r>
        <w:rPr>
          <w:rFonts w:hint="eastAsia" w:ascii="宋体" w:hAnsi="宋体" w:cs="宋体"/>
          <w:color w:val="auto"/>
          <w:sz w:val="24"/>
          <w:szCs w:val="24"/>
        </w:rPr>
        <w:t>或其它缴纳证明材料</w:t>
      </w:r>
      <w:r>
        <w:rPr>
          <w:rFonts w:ascii="宋体" w:hAnsi="宋体" w:cs="宋体"/>
          <w:color w:val="auto"/>
          <w:sz w:val="24"/>
          <w:szCs w:val="24"/>
        </w:rPr>
        <w:t>)</w:t>
      </w:r>
      <w:r>
        <w:rPr>
          <w:rFonts w:hint="eastAsia" w:ascii="宋体" w:hAnsi="宋体" w:cs="宋体"/>
          <w:color w:val="auto"/>
          <w:sz w:val="24"/>
          <w:szCs w:val="24"/>
          <w:lang w:eastAsia="zh-CN"/>
        </w:rPr>
        <w:t>扫描件</w:t>
      </w:r>
      <w:r>
        <w:rPr>
          <w:rFonts w:hint="eastAsia" w:ascii="宋体" w:hAnsi="宋体" w:cs="宋体"/>
          <w:color w:val="auto"/>
          <w:sz w:val="24"/>
          <w:szCs w:val="24"/>
        </w:rPr>
        <w:t>、社保登记证（或其它缴纳证明材料）</w:t>
      </w:r>
      <w:r>
        <w:rPr>
          <w:rFonts w:hint="eastAsia" w:ascii="宋体" w:hAnsi="宋体" w:cs="宋体"/>
          <w:color w:val="auto"/>
          <w:sz w:val="24"/>
          <w:szCs w:val="24"/>
          <w:lang w:eastAsia="zh-CN"/>
        </w:rPr>
        <w:t>扫描件</w:t>
      </w:r>
      <w:r>
        <w:rPr>
          <w:rFonts w:hint="eastAsia" w:ascii="宋体" w:hAnsi="宋体" w:cs="宋体"/>
          <w:color w:val="auto"/>
          <w:sz w:val="24"/>
          <w:szCs w:val="24"/>
        </w:rPr>
        <w:t>；实施“五证合一、一照一码”登记制度改革的，只需提供改革后取得的营业执照</w:t>
      </w:r>
      <w:r>
        <w:rPr>
          <w:rFonts w:hint="eastAsia" w:ascii="宋体" w:hAnsi="宋体" w:cs="宋体"/>
          <w:color w:val="auto"/>
          <w:sz w:val="24"/>
          <w:szCs w:val="24"/>
          <w:lang w:eastAsia="zh-CN"/>
        </w:rPr>
        <w:t>扫描件</w:t>
      </w:r>
      <w:r>
        <w:rPr>
          <w:rFonts w:hint="eastAsia" w:ascii="宋体" w:hAnsi="宋体" w:cs="宋体"/>
          <w:color w:val="auto"/>
          <w:sz w:val="24"/>
          <w:szCs w:val="24"/>
        </w:rPr>
        <w:t>；事业单位的，则提供有效的《事业单位法人证书》副本</w:t>
      </w:r>
      <w:r>
        <w:rPr>
          <w:rFonts w:hint="eastAsia" w:ascii="宋体" w:hAnsi="宋体" w:cs="宋体"/>
          <w:color w:val="auto"/>
          <w:sz w:val="24"/>
          <w:szCs w:val="24"/>
          <w:lang w:eastAsia="zh-CN"/>
        </w:rPr>
        <w:t>扫描件</w:t>
      </w:r>
      <w:r>
        <w:rPr>
          <w:rFonts w:hint="eastAsia" w:ascii="宋体" w:hAnsi="宋体" w:cs="宋体"/>
          <w:color w:val="auto"/>
          <w:sz w:val="24"/>
          <w:szCs w:val="24"/>
        </w:rPr>
        <w:t>并加盖单位公章；</w:t>
      </w:r>
    </w:p>
    <w:p w14:paraId="3D27A59C">
      <w:pPr>
        <w:spacing w:line="360" w:lineRule="auto"/>
        <w:ind w:firstLine="480" w:firstLineChars="200"/>
        <w:rPr>
          <w:rFonts w:ascii="宋体"/>
          <w:color w:val="auto"/>
          <w:sz w:val="24"/>
          <w:szCs w:val="24"/>
        </w:rPr>
      </w:pPr>
      <w:r>
        <w:rPr>
          <w:rFonts w:hint="eastAsia" w:ascii="宋体" w:hAnsi="宋体" w:cs="宋体"/>
          <w:color w:val="auto"/>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287A86F4">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（3）具有履行合同所必需的产品和专业技术能力的承诺函；</w:t>
      </w:r>
    </w:p>
    <w:p w14:paraId="331E71BD">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（4）投标人承诺函（格式见附件）。</w:t>
      </w:r>
    </w:p>
    <w:p w14:paraId="25BEA60D">
      <w:pPr>
        <w:pStyle w:val="3"/>
        <w:ind w:firstLine="486"/>
        <w:rPr>
          <w:rFonts w:hint="eastAsia" w:cs="Times New Roman"/>
          <w:color w:val="auto"/>
          <w:highlight w:val="none"/>
        </w:rPr>
      </w:pPr>
      <w:r>
        <w:rPr>
          <w:rFonts w:hint="eastAsia" w:cs="Times New Roman"/>
          <w:color w:val="auto"/>
          <w:highlight w:val="none"/>
        </w:rPr>
        <w:t>（</w:t>
      </w:r>
      <w:r>
        <w:rPr>
          <w:rFonts w:hint="eastAsia" w:cs="Times New Roman"/>
          <w:color w:val="auto"/>
          <w:highlight w:val="none"/>
          <w:lang w:val="en-US" w:eastAsia="zh-CN"/>
        </w:rPr>
        <w:t>5</w:t>
      </w:r>
      <w:r>
        <w:rPr>
          <w:rFonts w:hint="eastAsia" w:cs="Times New Roman"/>
          <w:color w:val="auto"/>
          <w:highlight w:val="none"/>
        </w:rPr>
        <w:t>）中小企业声明函（格式见附件）；</w:t>
      </w:r>
    </w:p>
    <w:p w14:paraId="2A9AF55A">
      <w:pPr>
        <w:pStyle w:val="3"/>
        <w:ind w:firstLine="486"/>
        <w:rPr>
          <w:rFonts w:hint="eastAsia" w:cs="Times New Roman"/>
          <w:color w:val="auto"/>
          <w:highlight w:val="none"/>
        </w:rPr>
      </w:pPr>
      <w:r>
        <w:rPr>
          <w:rFonts w:hint="eastAsia" w:cs="Times New Roman"/>
          <w:color w:val="auto"/>
          <w:highlight w:val="none"/>
        </w:rPr>
        <w:t>（</w:t>
      </w:r>
      <w:r>
        <w:rPr>
          <w:rFonts w:hint="eastAsia" w:cs="Times New Roman"/>
          <w:color w:val="auto"/>
          <w:highlight w:val="none"/>
          <w:lang w:val="en-US" w:eastAsia="zh-CN"/>
        </w:rPr>
        <w:t>6</w:t>
      </w:r>
      <w:r>
        <w:rPr>
          <w:rFonts w:hint="eastAsia" w:cs="Times New Roman"/>
          <w:color w:val="auto"/>
          <w:highlight w:val="none"/>
        </w:rPr>
        <w:t>）残疾人福利性单位声明函(如有)（格式见附件）；</w:t>
      </w:r>
    </w:p>
    <w:p w14:paraId="51EB946A">
      <w:pPr>
        <w:pStyle w:val="3"/>
        <w:ind w:firstLine="486"/>
        <w:rPr>
          <w:rFonts w:cs="Times New Roman"/>
          <w:color w:val="auto"/>
          <w:highlight w:val="none"/>
        </w:rPr>
      </w:pPr>
      <w:r>
        <w:rPr>
          <w:rFonts w:hint="eastAsia" w:cs="Times New Roman"/>
          <w:color w:val="auto"/>
          <w:highlight w:val="none"/>
        </w:rPr>
        <w:t>（</w:t>
      </w:r>
      <w:r>
        <w:rPr>
          <w:rFonts w:hint="eastAsia" w:cs="Times New Roman"/>
          <w:color w:val="auto"/>
          <w:highlight w:val="none"/>
          <w:lang w:val="en-US" w:eastAsia="zh-CN"/>
        </w:rPr>
        <w:t>7</w:t>
      </w:r>
      <w:r>
        <w:rPr>
          <w:rFonts w:hint="eastAsia" w:cs="Times New Roman"/>
          <w:color w:val="auto"/>
          <w:highlight w:val="none"/>
        </w:rPr>
        <w:t>）监狱企业证明文件(如有)（格式见附件）。</w:t>
      </w:r>
    </w:p>
    <w:p w14:paraId="529DAAE6">
      <w:pPr>
        <w:pStyle w:val="3"/>
        <w:ind w:firstLine="486"/>
        <w:rPr>
          <w:rFonts w:cs="Times New Roman"/>
          <w:color w:val="auto"/>
          <w:highlight w:val="none"/>
        </w:rPr>
      </w:pPr>
    </w:p>
    <w:p w14:paraId="6B5FA21D">
      <w:pPr>
        <w:pStyle w:val="3"/>
        <w:ind w:firstLine="486"/>
        <w:rPr>
          <w:rFonts w:cs="Times New Roman"/>
          <w:color w:val="auto"/>
          <w:highlight w:val="none"/>
        </w:rPr>
      </w:pPr>
    </w:p>
    <w:p w14:paraId="654884B7">
      <w:pPr>
        <w:rPr>
          <w:rFonts w:ascii="宋体"/>
          <w:color w:val="auto"/>
          <w:highlight w:val="none"/>
        </w:rPr>
      </w:pPr>
      <w:r>
        <w:rPr>
          <w:rFonts w:ascii="宋体"/>
          <w:color w:val="auto"/>
          <w:highlight w:val="none"/>
        </w:rPr>
        <w:br w:type="page"/>
      </w:r>
      <w:bookmarkStart w:id="93" w:name="_Toc24699"/>
    </w:p>
    <w:p w14:paraId="5D4B405C">
      <w:pPr>
        <w:rPr>
          <w:b/>
          <w:bCs/>
          <w:color w:val="auto"/>
          <w:sz w:val="24"/>
          <w:szCs w:val="24"/>
          <w:highlight w:val="none"/>
        </w:rPr>
      </w:pPr>
      <w:r>
        <w:rPr>
          <w:rFonts w:hint="eastAsia" w:cs="宋体"/>
          <w:b/>
          <w:bCs/>
          <w:color w:val="auto"/>
          <w:sz w:val="24"/>
          <w:szCs w:val="24"/>
          <w:highlight w:val="none"/>
        </w:rPr>
        <w:t>附件一：</w:t>
      </w:r>
    </w:p>
    <w:p w14:paraId="7BE1B097">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法定代表人授权书</w:t>
      </w:r>
      <w:bookmarkEnd w:id="93"/>
    </w:p>
    <w:p w14:paraId="0AA846E4">
      <w:pPr>
        <w:pStyle w:val="6"/>
        <w:spacing w:line="360" w:lineRule="auto"/>
        <w:rPr>
          <w:rFonts w:ascii="宋体"/>
          <w:color w:val="auto"/>
          <w:highlight w:val="none"/>
        </w:rPr>
      </w:pPr>
    </w:p>
    <w:p w14:paraId="11767D9A">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绍兴市上虞区曹娥街道办事处</w:t>
      </w:r>
      <w:r>
        <w:rPr>
          <w:rFonts w:hint="eastAsia" w:ascii="宋体" w:hAnsi="宋体" w:cs="宋体"/>
          <w:color w:val="auto"/>
          <w:sz w:val="24"/>
          <w:szCs w:val="24"/>
          <w:highlight w:val="none"/>
        </w:rPr>
        <w:t>：</w:t>
      </w:r>
    </w:p>
    <w:p w14:paraId="00EA47AF">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浙江天平项目咨询有限公司</w:t>
      </w:r>
      <w:r>
        <w:rPr>
          <w:rFonts w:hint="eastAsia" w:ascii="宋体" w:hAnsi="宋体" w:cs="宋体"/>
          <w:color w:val="auto"/>
          <w:sz w:val="24"/>
          <w:szCs w:val="24"/>
          <w:highlight w:val="none"/>
        </w:rPr>
        <w:t>：</w:t>
      </w:r>
    </w:p>
    <w:p w14:paraId="4B86D09C">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（供应商全称）</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法定代表人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授权</w:t>
      </w:r>
      <w:r>
        <w:rPr>
          <w:rFonts w:hint="eastAsia" w:ascii="宋体" w:hAnsi="宋体" w:cs="宋体"/>
          <w:color w:val="auto"/>
          <w:sz w:val="24"/>
          <w:szCs w:val="24"/>
          <w:highlight w:val="none"/>
          <w:u w:val="single"/>
        </w:rPr>
        <w:t>（授权代表名称）</w:t>
      </w:r>
      <w:r>
        <w:rPr>
          <w:rFonts w:hint="eastAsia" w:ascii="宋体" w:hAnsi="宋体" w:cs="宋体"/>
          <w:color w:val="auto"/>
          <w:sz w:val="24"/>
          <w:szCs w:val="24"/>
          <w:highlight w:val="none"/>
        </w:rPr>
        <w:t>为授权代表，参加贵处组织的</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w:t>
      </w:r>
      <w:r>
        <w:rPr>
          <w:rFonts w:hint="eastAsia" w:ascii="宋体" w:hAnsi="宋体" w:cs="宋体"/>
          <w:color w:val="auto"/>
          <w:sz w:val="24"/>
          <w:szCs w:val="24"/>
          <w:highlight w:val="none"/>
          <w:u w:val="single"/>
        </w:rPr>
        <w:t>（括号内填写招标编号）</w:t>
      </w:r>
      <w:r>
        <w:rPr>
          <w:rFonts w:hint="eastAsia" w:ascii="宋体" w:hAnsi="宋体" w:cs="宋体"/>
          <w:color w:val="auto"/>
          <w:sz w:val="24"/>
          <w:szCs w:val="24"/>
          <w:highlight w:val="none"/>
        </w:rPr>
        <w:t>，授权处理招投标活动中的一切事宜。</w:t>
      </w:r>
    </w:p>
    <w:p w14:paraId="67D63836">
      <w:pPr>
        <w:spacing w:line="360" w:lineRule="auto"/>
        <w:ind w:firstLine="480" w:firstLineChars="200"/>
        <w:rPr>
          <w:rFonts w:ascii="宋体"/>
          <w:color w:val="auto"/>
          <w:sz w:val="24"/>
          <w:szCs w:val="24"/>
          <w:highlight w:val="none"/>
        </w:rPr>
      </w:pPr>
    </w:p>
    <w:p w14:paraId="2132E4DB">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法定代表人签字：</w:t>
      </w:r>
    </w:p>
    <w:p w14:paraId="46A081B3">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供应商全称：（盖章）</w:t>
      </w:r>
    </w:p>
    <w:p w14:paraId="26993032">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日期：</w:t>
      </w:r>
    </w:p>
    <w:p w14:paraId="09176392">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附：</w:t>
      </w:r>
    </w:p>
    <w:p w14:paraId="441D0ABF">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授权代表姓名：</w:t>
      </w:r>
    </w:p>
    <w:p w14:paraId="559DEB02">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职务：</w:t>
      </w:r>
    </w:p>
    <w:p w14:paraId="46C32F12">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详细通讯地址：</w:t>
      </w:r>
    </w:p>
    <w:p w14:paraId="7F187C94">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传真：</w:t>
      </w:r>
    </w:p>
    <w:p w14:paraId="6D1B9B58">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电话：</w:t>
      </w:r>
    </w:p>
    <w:p w14:paraId="10078CF4">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邮政编码：</w:t>
      </w:r>
    </w:p>
    <w:p w14:paraId="471E7070">
      <w:pPr>
        <w:pStyle w:val="15"/>
        <w:snapToGrid w:val="0"/>
        <w:spacing w:line="360" w:lineRule="auto"/>
        <w:rPr>
          <w:rFonts w:hAnsi="宋体" w:cs="Times New Roman"/>
          <w:color w:val="auto"/>
          <w:sz w:val="24"/>
          <w:szCs w:val="24"/>
          <w:highlight w:val="none"/>
        </w:rPr>
      </w:pPr>
    </w:p>
    <w:p w14:paraId="040FC0E3">
      <w:pPr>
        <w:pStyle w:val="15"/>
        <w:snapToGrid w:val="0"/>
        <w:spacing w:line="360" w:lineRule="auto"/>
        <w:rPr>
          <w:rFonts w:hAnsi="宋体" w:cs="Times New Roman"/>
          <w:color w:val="auto"/>
          <w:sz w:val="24"/>
          <w:szCs w:val="24"/>
          <w:highlight w:val="none"/>
        </w:rPr>
      </w:pPr>
    </w:p>
    <w:p w14:paraId="39C7F430">
      <w:pPr>
        <w:pStyle w:val="15"/>
        <w:snapToGrid w:val="0"/>
        <w:spacing w:line="360" w:lineRule="auto"/>
        <w:rPr>
          <w:rFonts w:hAnsi="宋体" w:cs="Times New Roman"/>
          <w:color w:val="auto"/>
          <w:sz w:val="24"/>
          <w:szCs w:val="24"/>
          <w:highlight w:val="none"/>
        </w:rPr>
      </w:pPr>
    </w:p>
    <w:p w14:paraId="6E1568B3">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附：授权代表身份证</w:t>
      </w:r>
      <w:r>
        <w:rPr>
          <w:rFonts w:hint="eastAsia" w:ascii="宋体" w:hAnsi="宋体" w:cs="宋体"/>
          <w:b/>
          <w:bCs/>
          <w:color w:val="auto"/>
          <w:sz w:val="24"/>
          <w:szCs w:val="24"/>
          <w:highlight w:val="none"/>
          <w:lang w:eastAsia="zh-CN"/>
        </w:rPr>
        <w:t>扫描件</w:t>
      </w:r>
      <w:r>
        <w:rPr>
          <w:rFonts w:hint="eastAsia" w:ascii="宋体" w:hAnsi="宋体" w:cs="宋体"/>
          <w:b/>
          <w:bCs/>
          <w:color w:val="auto"/>
          <w:sz w:val="24"/>
          <w:szCs w:val="24"/>
          <w:highlight w:val="none"/>
        </w:rPr>
        <w:t>（正反面）</w:t>
      </w:r>
    </w:p>
    <w:p w14:paraId="750D95FB">
      <w:pPr>
        <w:spacing w:line="360" w:lineRule="auto"/>
        <w:rPr>
          <w:rFonts w:ascii="宋体"/>
          <w:b/>
          <w:bCs/>
          <w:color w:val="auto"/>
          <w:sz w:val="24"/>
          <w:szCs w:val="24"/>
          <w:highlight w:val="none"/>
        </w:rPr>
      </w:pPr>
    </w:p>
    <w:p w14:paraId="115344E3">
      <w:pPr>
        <w:pStyle w:val="3"/>
        <w:ind w:firstLine="486"/>
        <w:rPr>
          <w:rFonts w:cs="Times New Roman"/>
          <w:color w:val="auto"/>
          <w:highlight w:val="none"/>
        </w:rPr>
      </w:pPr>
    </w:p>
    <w:p w14:paraId="5ECFC841">
      <w:pPr>
        <w:snapToGrid w:val="0"/>
        <w:spacing w:before="50" w:after="167" w:afterLines="50"/>
        <w:jc w:val="left"/>
        <w:rPr>
          <w:rFonts w:hint="eastAsia" w:ascii="宋体" w:hAnsi="宋体" w:eastAsia="宋体" w:cs="宋体"/>
          <w:b/>
          <w:bCs/>
          <w:color w:val="auto"/>
          <w:kern w:val="2"/>
          <w:sz w:val="24"/>
          <w:szCs w:val="24"/>
          <w:highlight w:val="none"/>
          <w:lang w:val="zh-CN" w:eastAsia="zh-CN" w:bidi="ar-SA"/>
        </w:rPr>
      </w:pPr>
      <w:r>
        <w:rPr>
          <w:rFonts w:ascii="宋体"/>
          <w:b/>
          <w:bCs/>
          <w:color w:val="auto"/>
          <w:sz w:val="24"/>
          <w:szCs w:val="24"/>
          <w:highlight w:val="none"/>
        </w:rPr>
        <w:br w:type="page"/>
      </w:r>
      <w:r>
        <w:rPr>
          <w:rFonts w:hint="eastAsia" w:ascii="宋体" w:hAnsi="宋体" w:eastAsia="宋体" w:cs="宋体"/>
          <w:b/>
          <w:bCs/>
          <w:color w:val="auto"/>
          <w:kern w:val="2"/>
          <w:sz w:val="24"/>
          <w:szCs w:val="24"/>
          <w:highlight w:val="none"/>
          <w:lang w:val="zh-CN" w:eastAsia="zh-CN" w:bidi="ar-SA"/>
        </w:rPr>
        <w:t>附件二：</w:t>
      </w:r>
    </w:p>
    <w:p w14:paraId="1C312ABB">
      <w:pPr>
        <w:spacing w:line="360" w:lineRule="auto"/>
        <w:jc w:val="center"/>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rPr>
        <w:t>投 标</w:t>
      </w:r>
      <w:r>
        <w:rPr>
          <w:rFonts w:hint="eastAsia" w:ascii="宋体" w:hAnsi="宋体" w:eastAsia="宋体" w:cs="宋体"/>
          <w:b/>
          <w:bCs/>
          <w:color w:val="auto"/>
          <w:sz w:val="32"/>
          <w:szCs w:val="32"/>
          <w:highlight w:val="none"/>
        </w:rPr>
        <w:t xml:space="preserve"> </w:t>
      </w:r>
      <w:r>
        <w:rPr>
          <w:rFonts w:hint="eastAsia" w:ascii="宋体" w:hAnsi="宋体" w:cs="宋体"/>
          <w:b/>
          <w:bCs/>
          <w:color w:val="auto"/>
          <w:sz w:val="32"/>
          <w:szCs w:val="32"/>
          <w:highlight w:val="none"/>
          <w:lang w:eastAsia="zh-CN"/>
        </w:rPr>
        <w:t>人</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eastAsia="zh-CN"/>
        </w:rPr>
        <w:t>承</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eastAsia="zh-CN"/>
        </w:rPr>
        <w:t>诺</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函</w:t>
      </w:r>
    </w:p>
    <w:p w14:paraId="3ADE1740">
      <w:pPr>
        <w:pStyle w:val="22"/>
        <w:rPr>
          <w:color w:val="auto"/>
          <w:highlight w:val="none"/>
        </w:rPr>
      </w:pPr>
    </w:p>
    <w:p w14:paraId="27B01B06">
      <w:pPr>
        <w:rPr>
          <w:color w:val="auto"/>
          <w:highlight w:val="none"/>
        </w:rPr>
      </w:pPr>
    </w:p>
    <w:p w14:paraId="5F865069">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u w:val="single"/>
          <w:lang w:val="en-US" w:eastAsia="zh-CN"/>
        </w:rPr>
        <w:t>绍兴市上虞区曹娥街道办事处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64CE415D">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浙江天平项目咨询有限公司</w:t>
      </w:r>
      <w:r>
        <w:rPr>
          <w:rFonts w:hint="eastAsia" w:ascii="宋体" w:hAnsi="宋体" w:eastAsia="宋体" w:cs="宋体"/>
          <w:color w:val="auto"/>
          <w:sz w:val="24"/>
          <w:highlight w:val="none"/>
        </w:rPr>
        <w:t>：</w:t>
      </w:r>
    </w:p>
    <w:p w14:paraId="38D32AF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系中华人民共和国合法企业，经营地址</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641C28F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的法定代表人，我方愿意参加贵方组织的</w:t>
      </w:r>
      <w:r>
        <w:rPr>
          <w:rFonts w:hint="eastAsia" w:ascii="宋体" w:hAnsi="宋体" w:eastAsia="宋体" w:cs="宋体"/>
          <w:color w:val="auto"/>
          <w:sz w:val="24"/>
          <w:highlight w:val="none"/>
          <w:u w:val="single"/>
        </w:rPr>
        <w:t>（招标项目名称）（编号为）</w:t>
      </w:r>
      <w:r>
        <w:rPr>
          <w:rFonts w:hint="eastAsia" w:ascii="宋体" w:hAnsi="宋体" w:eastAsia="宋体" w:cs="宋体"/>
          <w:color w:val="auto"/>
          <w:sz w:val="24"/>
          <w:highlight w:val="none"/>
        </w:rPr>
        <w:t>的投标，为此，我方就本次投标有关事项郑重</w:t>
      </w:r>
      <w:r>
        <w:rPr>
          <w:rFonts w:hint="eastAsia" w:ascii="宋体" w:hAnsi="宋体" w:eastAsia="宋体" w:cs="宋体"/>
          <w:color w:val="auto"/>
          <w:sz w:val="24"/>
          <w:highlight w:val="none"/>
          <w:lang w:eastAsia="zh-CN"/>
        </w:rPr>
        <w:t>承诺</w:t>
      </w:r>
      <w:r>
        <w:rPr>
          <w:rFonts w:hint="eastAsia" w:ascii="宋体" w:hAnsi="宋体" w:eastAsia="宋体" w:cs="宋体"/>
          <w:color w:val="auto"/>
          <w:sz w:val="24"/>
          <w:highlight w:val="none"/>
        </w:rPr>
        <w:t>如下：</w:t>
      </w:r>
    </w:p>
    <w:p w14:paraId="7D7C0D3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1、我方已详细审查全部招标文件，同意招标文件的各项要求。</w:t>
      </w:r>
    </w:p>
    <w:p w14:paraId="69A4EAE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2、我方向贵方提交的所有投标文件、资料都是准确的和真实的。</w:t>
      </w:r>
    </w:p>
    <w:p w14:paraId="3DBA8D7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3、若中标，我方将按招标文件规定履行合同责任和义务。</w:t>
      </w:r>
    </w:p>
    <w:p w14:paraId="568D2A3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4、我方不是采购人的附属机构；在获知本项目采购信息后，与采购人聘请的为此项目提供咨询服务的公司及其附属机构没有任何联系。</w:t>
      </w:r>
    </w:p>
    <w:p w14:paraId="2935066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5、投标文件自开标日起有效期为90天。</w:t>
      </w:r>
    </w:p>
    <w:p w14:paraId="4BE9A6F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6、我方参与本项目前3年内的经营活动中没有重大违法记录；</w:t>
      </w:r>
    </w:p>
    <w:p w14:paraId="3CCC8E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7、我方通过“信用中国”网站（www.creditchina.gov.cn）、中国政府采购网（www.ccgp.gov.cn）查询，未被列入失信被执行人、</w:t>
      </w:r>
      <w:r>
        <w:rPr>
          <w:rFonts w:hint="eastAsia" w:ascii="宋体" w:hAnsi="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w:t>
      </w:r>
    </w:p>
    <w:p w14:paraId="374F66DF">
      <w:pPr>
        <w:pStyle w:val="57"/>
        <w:numPr>
          <w:ilvl w:val="0"/>
          <w:numId w:val="0"/>
        </w:numPr>
        <w:spacing w:before="0"/>
        <w:ind w:firstLine="480" w:firstLineChars="200"/>
        <w:jc w:val="left"/>
        <w:rPr>
          <w:rFonts w:hint="eastAsia" w:ascii="宋体" w:hAnsi="宋体" w:cs="宋体"/>
          <w:color w:val="auto"/>
          <w:szCs w:val="24"/>
          <w:highlight w:val="none"/>
          <w:lang w:val="en-US" w:eastAsia="zh-CN"/>
        </w:rPr>
      </w:pPr>
      <w:r>
        <w:rPr>
          <w:rFonts w:hint="eastAsia" w:ascii="宋体" w:hAnsi="宋体" w:eastAsia="宋体" w:cs="宋体"/>
          <w:color w:val="auto"/>
          <w:sz w:val="24"/>
          <w:highlight w:val="none"/>
        </w:rPr>
        <w:t>8、</w:t>
      </w:r>
      <w:r>
        <w:rPr>
          <w:rFonts w:hint="eastAsia" w:ascii="宋体" w:hAnsi="宋体" w:cs="宋体"/>
          <w:color w:val="auto"/>
          <w:szCs w:val="24"/>
          <w:highlight w:val="none"/>
          <w:lang w:val="en-US" w:eastAsia="zh-CN"/>
        </w:rPr>
        <w:t>具有良好的商业信誉和健全的财务会计制度；</w:t>
      </w:r>
    </w:p>
    <w:p w14:paraId="18DA0BF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9、具有依法缴纳税收和社会保障资金的良好记录</w:t>
      </w:r>
      <w:r>
        <w:rPr>
          <w:rFonts w:hint="eastAsia" w:ascii="宋体" w:hAnsi="宋体" w:eastAsia="宋体" w:cs="宋体"/>
          <w:color w:val="auto"/>
          <w:sz w:val="24"/>
          <w:highlight w:val="none"/>
        </w:rPr>
        <w:t>；</w:t>
      </w:r>
    </w:p>
    <w:p w14:paraId="3693EAD8">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以上事项如有虚假或隐瞒，我方愿意承担一切后果，并不再寻求任何旨在减轻或免除法律责任的辩解。</w:t>
      </w:r>
    </w:p>
    <w:p w14:paraId="7D1136DC">
      <w:pPr>
        <w:spacing w:line="360" w:lineRule="auto"/>
        <w:ind w:firstLine="480" w:firstLineChars="200"/>
        <w:rPr>
          <w:rFonts w:hint="eastAsia" w:ascii="宋体" w:hAnsi="宋体" w:eastAsia="宋体" w:cs="宋体"/>
          <w:color w:val="auto"/>
          <w:sz w:val="24"/>
          <w:highlight w:val="none"/>
        </w:rPr>
      </w:pPr>
    </w:p>
    <w:p w14:paraId="53D478FE">
      <w:pPr>
        <w:pStyle w:val="3"/>
        <w:rPr>
          <w:rFonts w:hint="eastAsia" w:ascii="宋体" w:hAnsi="宋体" w:eastAsia="宋体" w:cs="宋体"/>
          <w:color w:val="auto"/>
          <w:highlight w:val="none"/>
        </w:rPr>
      </w:pPr>
    </w:p>
    <w:p w14:paraId="1D0F6098">
      <w:pPr>
        <w:spacing w:line="360" w:lineRule="auto"/>
        <w:ind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法定代表人签名（或签名章）：                       </w:t>
      </w:r>
    </w:p>
    <w:p w14:paraId="2F900418">
      <w:pPr>
        <w:spacing w:line="360" w:lineRule="auto"/>
        <w:ind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1DF91630">
      <w:pPr>
        <w:spacing w:line="360" w:lineRule="auto"/>
        <w:ind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投标人全称（公章）：</w:t>
      </w:r>
    </w:p>
    <w:p w14:paraId="3B539F20">
      <w:pPr>
        <w:spacing w:line="360" w:lineRule="auto"/>
        <w:jc w:val="left"/>
        <w:rPr>
          <w:rFonts w:hint="eastAsia" w:ascii="宋体" w:hAnsi="宋体" w:cs="宋体"/>
          <w:b/>
          <w:bCs/>
          <w:color w:val="auto"/>
          <w:sz w:val="24"/>
          <w:szCs w:val="24"/>
          <w:highlight w:val="none"/>
          <w:lang w:val="zh-CN"/>
        </w:rPr>
      </w:pPr>
    </w:p>
    <w:p w14:paraId="69FD1F21">
      <w:pPr>
        <w:spacing w:line="360" w:lineRule="auto"/>
        <w:jc w:val="left"/>
        <w:rPr>
          <w:rFonts w:ascii="宋体"/>
          <w:b/>
          <w:bCs/>
          <w:color w:val="auto"/>
          <w:sz w:val="32"/>
          <w:szCs w:val="32"/>
          <w:highlight w:val="none"/>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三</w:t>
      </w:r>
      <w:r>
        <w:rPr>
          <w:rFonts w:hint="eastAsia" w:ascii="宋体" w:hAnsi="宋体" w:cs="宋体"/>
          <w:b/>
          <w:bCs/>
          <w:color w:val="auto"/>
          <w:sz w:val="24"/>
          <w:szCs w:val="24"/>
          <w:highlight w:val="none"/>
          <w:lang w:val="zh-CN"/>
        </w:rPr>
        <w:t>：</w:t>
      </w:r>
    </w:p>
    <w:p w14:paraId="44040FB6">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中小企业声明函</w:t>
      </w:r>
    </w:p>
    <w:p w14:paraId="4B35E785">
      <w:pPr>
        <w:spacing w:line="288" w:lineRule="auto"/>
        <w:ind w:firstLine="480" w:firstLineChars="200"/>
        <w:jc w:val="left"/>
        <w:rPr>
          <w:rFonts w:hint="eastAsia" w:ascii="宋体" w:hAnsi="宋体" w:cs="宋体"/>
          <w:color w:val="auto"/>
          <w:sz w:val="24"/>
          <w:szCs w:val="24"/>
          <w:highlight w:val="none"/>
        </w:rPr>
      </w:pPr>
    </w:p>
    <w:p w14:paraId="6FC107B2">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本公司（联合体）郑重声明，根据《政府采购促进中小企业发展管理办法》 （财库﹝2020﹞46 号）的规定，本公司（联合体）参加</w:t>
      </w:r>
      <w:r>
        <w:rPr>
          <w:rFonts w:hint="eastAsia" w:ascii="宋体" w:hAnsi="宋体" w:cs="宋体"/>
          <w:color w:val="auto"/>
          <w:sz w:val="24"/>
          <w:szCs w:val="24"/>
          <w:highlight w:val="none"/>
          <w:u w:val="single"/>
        </w:rPr>
        <w:t xml:space="preserve"> （采购人名称） </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 xml:space="preserve"> （项目名称）     </w:t>
      </w:r>
      <w:r>
        <w:rPr>
          <w:rFonts w:hint="eastAsia" w:ascii="宋体" w:hAnsi="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B2E9119">
      <w:pPr>
        <w:spacing w:line="288"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rPr>
        <w:t>，属于</w:t>
      </w:r>
      <w:r>
        <w:rPr>
          <w:rFonts w:hint="eastAsia" w:ascii="宋体" w:hAnsi="宋体" w:cs="宋体"/>
          <w:b/>
          <w:bCs/>
          <w:color w:val="auto"/>
          <w:sz w:val="24"/>
          <w:szCs w:val="24"/>
          <w:highlight w:val="none"/>
          <w:u w:val="single"/>
        </w:rPr>
        <w:t>其他未列明行业</w:t>
      </w:r>
      <w:r>
        <w:rPr>
          <w:rFonts w:hint="eastAsia" w:ascii="宋体" w:hAnsi="宋体" w:cs="宋体"/>
          <w:color w:val="auto"/>
          <w:sz w:val="24"/>
          <w:szCs w:val="24"/>
          <w:highlight w:val="none"/>
        </w:rPr>
        <w:t>；承建（承接）企业为</w:t>
      </w:r>
      <w:r>
        <w:rPr>
          <w:rFonts w:hint="eastAsia" w:ascii="宋体" w:hAnsi="宋体" w:cs="宋体"/>
          <w:color w:val="auto"/>
          <w:sz w:val="24"/>
          <w:szCs w:val="24"/>
          <w:highlight w:val="none"/>
          <w:u w:val="single"/>
        </w:rPr>
        <w:t xml:space="preserve">           （企业名称） </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 ，属于</w:t>
      </w:r>
      <w:r>
        <w:rPr>
          <w:rFonts w:hint="eastAsia" w:ascii="宋体" w:hAnsi="宋体" w:cs="宋体"/>
          <w:color w:val="auto"/>
          <w:sz w:val="24"/>
          <w:szCs w:val="24"/>
          <w:highlight w:val="none"/>
          <w:u w:val="single"/>
        </w:rPr>
        <w:t xml:space="preserve">       （中型企业、小型企业、微型企业）</w:t>
      </w:r>
      <w:r>
        <w:rPr>
          <w:rFonts w:hint="eastAsia" w:ascii="宋体" w:hAnsi="宋体" w:cs="宋体"/>
          <w:color w:val="auto"/>
          <w:sz w:val="24"/>
          <w:szCs w:val="24"/>
          <w:highlight w:val="none"/>
        </w:rPr>
        <w:t xml:space="preserve"> ；</w:t>
      </w:r>
    </w:p>
    <w:p w14:paraId="3BA2D69E">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w:t>
      </w:r>
    </w:p>
    <w:p w14:paraId="475EC158">
      <w:pPr>
        <w:spacing w:line="288" w:lineRule="auto"/>
        <w:ind w:firstLine="480" w:firstLineChars="200"/>
        <w:jc w:val="left"/>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以上企业，不属于大企业的分支机构，不存在控股股东为大企业的情形，也不存在与大企业的负责人为同一人的情形。</w:t>
      </w:r>
    </w:p>
    <w:p w14:paraId="3565102A">
      <w:pPr>
        <w:spacing w:line="288" w:lineRule="auto"/>
        <w:ind w:firstLine="480" w:firstLineChars="200"/>
        <w:jc w:val="left"/>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本企业对上述声明内容的真实性负责。如有虚假，将依法承担相应责任。</w:t>
      </w:r>
    </w:p>
    <w:p w14:paraId="75E70E52">
      <w:pPr>
        <w:spacing w:line="288" w:lineRule="auto"/>
        <w:ind w:right="420" w:firstLine="4320" w:firstLineChars="1800"/>
        <w:rPr>
          <w:rFonts w:ascii="宋体" w:hAnsi="宋体" w:cs="宋体"/>
          <w:color w:val="auto"/>
          <w:sz w:val="24"/>
          <w:szCs w:val="24"/>
          <w:highlight w:val="none"/>
        </w:rPr>
      </w:pPr>
    </w:p>
    <w:p w14:paraId="63562D52">
      <w:pPr>
        <w:spacing w:line="288" w:lineRule="auto"/>
        <w:ind w:right="420" w:firstLine="4320" w:firstLineChars="1800"/>
        <w:rPr>
          <w:rFonts w:ascii="宋体" w:hAnsi="宋体" w:cs="宋体"/>
          <w:color w:val="auto"/>
          <w:sz w:val="24"/>
          <w:szCs w:val="24"/>
          <w:highlight w:val="none"/>
        </w:rPr>
      </w:pPr>
    </w:p>
    <w:p w14:paraId="61E99FB6">
      <w:pPr>
        <w:spacing w:line="288" w:lineRule="auto"/>
        <w:ind w:right="420" w:firstLine="4800" w:firstLineChars="2000"/>
        <w:rPr>
          <w:rFonts w:ascii="宋体" w:hAnsi="宋体" w:cs="宋体"/>
          <w:color w:val="auto"/>
          <w:sz w:val="24"/>
          <w:szCs w:val="24"/>
          <w:highlight w:val="none"/>
        </w:rPr>
      </w:pPr>
      <w:r>
        <w:rPr>
          <w:rFonts w:hint="eastAsia" w:ascii="宋体" w:hAnsi="宋体" w:cs="宋体"/>
          <w:color w:val="auto"/>
          <w:sz w:val="24"/>
          <w:szCs w:val="24"/>
          <w:highlight w:val="none"/>
        </w:rPr>
        <w:t xml:space="preserve">企业名称（盖章）： </w:t>
      </w:r>
    </w:p>
    <w:p w14:paraId="34631EC9">
      <w:pPr>
        <w:spacing w:line="288" w:lineRule="auto"/>
        <w:ind w:left="3780" w:leftChars="1800" w:firstLine="960" w:firstLineChars="400"/>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p w14:paraId="688278DA">
      <w:pPr>
        <w:pStyle w:val="6"/>
        <w:spacing w:line="288" w:lineRule="auto"/>
        <w:rPr>
          <w:rFonts w:ascii="宋体" w:hAnsi="宋体" w:cs="宋体"/>
          <w:color w:val="auto"/>
          <w:sz w:val="24"/>
          <w:szCs w:val="24"/>
          <w:highlight w:val="none"/>
        </w:rPr>
      </w:pPr>
    </w:p>
    <w:p w14:paraId="1AEA1415">
      <w:pPr>
        <w:spacing w:line="288" w:lineRule="auto"/>
        <w:ind w:firstLine="480" w:firstLineChars="200"/>
        <w:jc w:val="left"/>
        <w:rPr>
          <w:rFonts w:ascii="宋体" w:hAnsi="宋体" w:cs="宋体"/>
          <w:color w:val="auto"/>
          <w:sz w:val="24"/>
          <w:szCs w:val="24"/>
          <w:highlight w:val="none"/>
        </w:rPr>
      </w:pPr>
    </w:p>
    <w:p w14:paraId="44FA845A">
      <w:pPr>
        <w:spacing w:line="288" w:lineRule="auto"/>
        <w:ind w:firstLine="480" w:firstLineChars="200"/>
        <w:jc w:val="left"/>
        <w:rPr>
          <w:rFonts w:ascii="宋体" w:hAnsi="宋体" w:cs="宋体"/>
          <w:color w:val="auto"/>
          <w:sz w:val="24"/>
          <w:szCs w:val="24"/>
          <w:highlight w:val="none"/>
        </w:rPr>
      </w:pPr>
    </w:p>
    <w:p w14:paraId="1A069B02">
      <w:pPr>
        <w:spacing w:line="288" w:lineRule="auto"/>
        <w:ind w:firstLine="480" w:firstLineChars="200"/>
        <w:jc w:val="left"/>
        <w:rPr>
          <w:rFonts w:ascii="宋体" w:hAnsi="宋体" w:cs="宋体"/>
          <w:color w:val="auto"/>
          <w:sz w:val="24"/>
          <w:szCs w:val="24"/>
          <w:highlight w:val="none"/>
        </w:rPr>
      </w:pPr>
    </w:p>
    <w:p w14:paraId="6276FF53">
      <w:pPr>
        <w:spacing w:line="288"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注：从业人员、营业收入、资产总额填报上一年度数据，无上一年度数据的新成立企业可不填报。</w:t>
      </w:r>
    </w:p>
    <w:p w14:paraId="0B511D3B">
      <w:pPr>
        <w:widowControl/>
        <w:snapToGrid w:val="0"/>
        <w:spacing w:line="324" w:lineRule="auto"/>
        <w:ind w:firstLine="480" w:firstLineChars="200"/>
        <w:jc w:val="left"/>
        <w:rPr>
          <w:rFonts w:ascii="宋体"/>
          <w:color w:val="auto"/>
          <w:sz w:val="24"/>
          <w:szCs w:val="24"/>
          <w:highlight w:val="none"/>
        </w:rPr>
      </w:pPr>
    </w:p>
    <w:p w14:paraId="09A68CE7">
      <w:pPr>
        <w:pStyle w:val="5"/>
        <w:spacing w:line="360" w:lineRule="auto"/>
        <w:jc w:val="center"/>
        <w:rPr>
          <w:rFonts w:hAnsi="宋体" w:cs="Times New Roman"/>
          <w:color w:val="auto"/>
          <w:sz w:val="24"/>
          <w:szCs w:val="24"/>
          <w:highlight w:val="none"/>
        </w:rPr>
      </w:pPr>
    </w:p>
    <w:p w14:paraId="4730B12A">
      <w:pPr>
        <w:pStyle w:val="5"/>
        <w:spacing w:line="360" w:lineRule="auto"/>
        <w:jc w:val="center"/>
        <w:rPr>
          <w:rFonts w:hAnsi="宋体" w:cs="Times New Roman"/>
          <w:color w:val="auto"/>
          <w:sz w:val="24"/>
          <w:szCs w:val="24"/>
          <w:highlight w:val="none"/>
        </w:rPr>
      </w:pPr>
    </w:p>
    <w:p w14:paraId="57E9DBAB">
      <w:pPr>
        <w:jc w:val="center"/>
        <w:rPr>
          <w:color w:val="auto"/>
          <w:highlight w:val="none"/>
          <w:lang w:val="zh-CN"/>
        </w:rPr>
      </w:pPr>
      <w:bookmarkStart w:id="94" w:name="_Toc3295"/>
      <w:bookmarkStart w:id="95" w:name="_Toc30916"/>
      <w:bookmarkStart w:id="96" w:name="_Toc2071"/>
      <w:r>
        <w:rPr>
          <w:rFonts w:hAnsi="宋体"/>
          <w:color w:val="auto"/>
          <w:highlight w:val="none"/>
        </w:rPr>
        <w:br w:type="page"/>
      </w:r>
      <w:bookmarkEnd w:id="94"/>
      <w:bookmarkEnd w:id="95"/>
      <w:bookmarkEnd w:id="96"/>
    </w:p>
    <w:p w14:paraId="56CB4B1F">
      <w:pPr>
        <w:rPr>
          <w:b/>
          <w:bCs/>
          <w:color w:val="auto"/>
          <w:sz w:val="24"/>
          <w:szCs w:val="24"/>
          <w:highlight w:val="none"/>
          <w:lang w:val="zh-CN"/>
        </w:rPr>
      </w:pPr>
      <w:bookmarkStart w:id="97" w:name="_Toc31472"/>
      <w:bookmarkStart w:id="98" w:name="_Toc16150"/>
      <w:bookmarkStart w:id="99" w:name="_Toc9715"/>
      <w:bookmarkStart w:id="100" w:name="_Toc25017"/>
      <w:r>
        <w:rPr>
          <w:rFonts w:hint="eastAsia" w:cs="宋体"/>
          <w:b/>
          <w:bCs/>
          <w:color w:val="auto"/>
          <w:sz w:val="24"/>
          <w:szCs w:val="24"/>
          <w:highlight w:val="none"/>
          <w:lang w:val="zh-CN"/>
        </w:rPr>
        <w:t>附件</w:t>
      </w:r>
      <w:r>
        <w:rPr>
          <w:rFonts w:hint="eastAsia" w:cs="宋体"/>
          <w:b/>
          <w:bCs/>
          <w:color w:val="auto"/>
          <w:sz w:val="24"/>
          <w:szCs w:val="24"/>
          <w:highlight w:val="none"/>
          <w:lang w:val="en-US" w:eastAsia="zh-CN"/>
        </w:rPr>
        <w:t>四</w:t>
      </w:r>
      <w:r>
        <w:rPr>
          <w:rFonts w:hint="eastAsia" w:cs="宋体"/>
          <w:b/>
          <w:bCs/>
          <w:color w:val="auto"/>
          <w:sz w:val="24"/>
          <w:szCs w:val="24"/>
          <w:highlight w:val="none"/>
        </w:rPr>
        <w:t>：</w:t>
      </w:r>
    </w:p>
    <w:p w14:paraId="7A3B4D60">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残疾人福利性单位声明函</w:t>
      </w:r>
      <w:bookmarkEnd w:id="97"/>
      <w:bookmarkEnd w:id="98"/>
      <w:bookmarkEnd w:id="99"/>
      <w:bookmarkEnd w:id="100"/>
    </w:p>
    <w:p w14:paraId="7AB821D8">
      <w:pPr>
        <w:widowControl/>
        <w:snapToGrid w:val="0"/>
        <w:spacing w:line="324" w:lineRule="auto"/>
        <w:ind w:firstLine="480" w:firstLineChars="200"/>
        <w:jc w:val="center"/>
        <w:rPr>
          <w:rFonts w:ascii="宋体"/>
          <w:color w:val="auto"/>
          <w:kern w:val="0"/>
          <w:sz w:val="24"/>
          <w:szCs w:val="24"/>
          <w:highlight w:val="none"/>
        </w:rPr>
      </w:pPr>
      <w:r>
        <w:rPr>
          <w:rFonts w:hint="eastAsia" w:ascii="宋体" w:hAnsi="宋体" w:cs="宋体"/>
          <w:color w:val="auto"/>
          <w:kern w:val="0"/>
          <w:sz w:val="24"/>
          <w:szCs w:val="24"/>
          <w:highlight w:val="none"/>
        </w:rPr>
        <w:t>【不属于残疾人福利性单位的无需填写、递交】</w:t>
      </w:r>
    </w:p>
    <w:p w14:paraId="5BD85E8A">
      <w:pPr>
        <w:spacing w:line="588" w:lineRule="exact"/>
        <w:rPr>
          <w:rFonts w:ascii="宋体"/>
          <w:b/>
          <w:bCs/>
          <w:color w:val="auto"/>
          <w:spacing w:val="6"/>
          <w:sz w:val="30"/>
          <w:szCs w:val="30"/>
          <w:highlight w:val="none"/>
        </w:rPr>
      </w:pPr>
    </w:p>
    <w:p w14:paraId="3362F64F">
      <w:pPr>
        <w:spacing w:line="588"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本单位郑重声明，根据《财政部</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民政部</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中国残疾人联合会关于促进残疾人就业政府采购政策的通知》（财库〔</w:t>
      </w:r>
      <w:r>
        <w:rPr>
          <w:rFonts w:ascii="宋体" w:hAnsi="宋体" w:cs="宋体"/>
          <w:color w:val="auto"/>
          <w:sz w:val="24"/>
          <w:szCs w:val="24"/>
          <w:highlight w:val="none"/>
        </w:rPr>
        <w:t>2017</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 141</w:t>
      </w:r>
      <w:r>
        <w:rPr>
          <w:rFonts w:hint="eastAsia" w:ascii="宋体" w:hAnsi="宋体" w:cs="宋体"/>
          <w:color w:val="auto"/>
          <w:sz w:val="24"/>
          <w:szCs w:val="24"/>
          <w:highlight w:val="none"/>
        </w:rPr>
        <w:t>号）的规定，本单位为符合条件的残疾人福利性单位，且本单位参加</w:t>
      </w:r>
      <w:r>
        <w:rPr>
          <w:rFonts w:ascii="宋体" w:hAnsi="宋体" w:cs="宋体"/>
          <w:color w:val="auto"/>
          <w:sz w:val="24"/>
          <w:szCs w:val="24"/>
          <w:highlight w:val="none"/>
        </w:rPr>
        <w:t>______</w:t>
      </w:r>
      <w:r>
        <w:rPr>
          <w:rFonts w:hint="eastAsia" w:ascii="宋体" w:hAnsi="宋体" w:cs="宋体"/>
          <w:color w:val="auto"/>
          <w:sz w:val="24"/>
          <w:szCs w:val="24"/>
          <w:highlight w:val="none"/>
        </w:rPr>
        <w:t>单位的</w:t>
      </w:r>
      <w:r>
        <w:rPr>
          <w:rFonts w:ascii="宋体" w:hAnsi="宋体" w:cs="宋体"/>
          <w:color w:val="auto"/>
          <w:sz w:val="24"/>
          <w:szCs w:val="24"/>
          <w:highlight w:val="none"/>
        </w:rPr>
        <w:t>______</w:t>
      </w:r>
      <w:r>
        <w:rPr>
          <w:rFonts w:hint="eastAsia" w:ascii="宋体" w:hAnsi="宋体" w:cs="宋体"/>
          <w:color w:val="auto"/>
          <w:sz w:val="24"/>
          <w:szCs w:val="24"/>
          <w:highlight w:val="none"/>
        </w:rPr>
        <w:t>项目采购活动提供本单位服务，或者提供其他残疾人福利性单位提供的服务。本单位对上述声明的真实性负责。如有虚假，将依法承担相应责任。</w:t>
      </w:r>
    </w:p>
    <w:p w14:paraId="75071778">
      <w:pPr>
        <w:pStyle w:val="5"/>
        <w:rPr>
          <w:rFonts w:cs="Times New Roman"/>
          <w:color w:val="auto"/>
          <w:highlight w:val="none"/>
        </w:rPr>
      </w:pPr>
    </w:p>
    <w:p w14:paraId="328AA8D0">
      <w:pPr>
        <w:pStyle w:val="6"/>
        <w:rPr>
          <w:color w:val="auto"/>
          <w:highlight w:val="none"/>
        </w:rPr>
      </w:pPr>
    </w:p>
    <w:p w14:paraId="75387821">
      <w:pPr>
        <w:spacing w:line="588" w:lineRule="exact"/>
        <w:rPr>
          <w:rFonts w:ascii="宋体"/>
          <w:color w:val="auto"/>
          <w:sz w:val="24"/>
          <w:szCs w:val="24"/>
          <w:highlight w:val="none"/>
        </w:rPr>
      </w:pPr>
    </w:p>
    <w:p w14:paraId="675279CE">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556AB5F3">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1B30DC38">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6BA70A73">
      <w:pPr>
        <w:rPr>
          <w:b/>
          <w:bCs/>
          <w:color w:val="auto"/>
          <w:sz w:val="24"/>
          <w:szCs w:val="24"/>
          <w:highlight w:val="none"/>
          <w:lang w:val="zh-CN"/>
        </w:rPr>
      </w:pPr>
      <w:bookmarkStart w:id="101" w:name="_Toc5441"/>
      <w:bookmarkStart w:id="102" w:name="_Toc24"/>
      <w:bookmarkStart w:id="103" w:name="_Toc15966"/>
      <w:bookmarkStart w:id="104" w:name="_Toc2386"/>
      <w:r>
        <w:rPr>
          <w:color w:val="auto"/>
          <w:sz w:val="24"/>
          <w:szCs w:val="24"/>
          <w:highlight w:val="none"/>
          <w:lang w:val="zh-CN"/>
        </w:rPr>
        <w:br w:type="page"/>
      </w:r>
      <w:r>
        <w:rPr>
          <w:rFonts w:hint="eastAsia" w:cs="宋体"/>
          <w:b/>
          <w:bCs/>
          <w:color w:val="auto"/>
          <w:sz w:val="24"/>
          <w:szCs w:val="24"/>
          <w:highlight w:val="none"/>
          <w:lang w:val="zh-CN"/>
        </w:rPr>
        <w:t>附件</w:t>
      </w:r>
      <w:r>
        <w:rPr>
          <w:rFonts w:hint="eastAsia" w:cs="宋体"/>
          <w:b/>
          <w:bCs/>
          <w:color w:val="auto"/>
          <w:sz w:val="24"/>
          <w:szCs w:val="24"/>
          <w:highlight w:val="none"/>
          <w:lang w:val="en-US" w:eastAsia="zh-CN"/>
        </w:rPr>
        <w:t>五</w:t>
      </w:r>
      <w:r>
        <w:rPr>
          <w:rFonts w:hint="eastAsia" w:cs="宋体"/>
          <w:b/>
          <w:bCs/>
          <w:color w:val="auto"/>
          <w:sz w:val="24"/>
          <w:szCs w:val="24"/>
          <w:highlight w:val="none"/>
        </w:rPr>
        <w:t>：</w:t>
      </w:r>
    </w:p>
    <w:p w14:paraId="2E80300D">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监狱企业证明文件</w:t>
      </w:r>
      <w:bookmarkEnd w:id="101"/>
      <w:bookmarkEnd w:id="102"/>
      <w:bookmarkEnd w:id="103"/>
      <w:bookmarkEnd w:id="104"/>
    </w:p>
    <w:p w14:paraId="17AC2BF7">
      <w:pPr>
        <w:widowControl/>
        <w:snapToGrid w:val="0"/>
        <w:spacing w:line="360" w:lineRule="auto"/>
        <w:jc w:val="center"/>
        <w:rPr>
          <w:rFonts w:ascii="宋体"/>
          <w:color w:val="auto"/>
          <w:kern w:val="0"/>
          <w:sz w:val="28"/>
          <w:szCs w:val="28"/>
          <w:highlight w:val="none"/>
        </w:rPr>
      </w:pPr>
      <w:r>
        <w:rPr>
          <w:rFonts w:hint="eastAsia" w:ascii="宋体" w:hAnsi="宋体" w:cs="宋体"/>
          <w:color w:val="auto"/>
          <w:kern w:val="0"/>
          <w:sz w:val="28"/>
          <w:szCs w:val="28"/>
          <w:highlight w:val="none"/>
        </w:rPr>
        <w:t>【不属于监狱企业的无需填写、递交】</w:t>
      </w:r>
    </w:p>
    <w:p w14:paraId="086236B1">
      <w:pPr>
        <w:widowControl/>
        <w:snapToGrid w:val="0"/>
        <w:spacing w:line="324" w:lineRule="auto"/>
        <w:jc w:val="center"/>
        <w:rPr>
          <w:rFonts w:ascii="宋体"/>
          <w:color w:val="auto"/>
          <w:kern w:val="0"/>
          <w:sz w:val="24"/>
          <w:szCs w:val="24"/>
          <w:highlight w:val="none"/>
        </w:rPr>
      </w:pPr>
    </w:p>
    <w:p w14:paraId="0CB368C7">
      <w:pPr>
        <w:spacing w:line="588" w:lineRule="exact"/>
        <w:ind w:firstLine="480" w:firstLineChars="200"/>
        <w:rPr>
          <w:rFonts w:ascii="宋体"/>
          <w:color w:val="auto"/>
          <w:sz w:val="24"/>
          <w:szCs w:val="24"/>
          <w:highlight w:val="none"/>
        </w:rPr>
      </w:pPr>
    </w:p>
    <w:p w14:paraId="381F1C89">
      <w:pPr>
        <w:adjustRightInd w:val="0"/>
        <w:snapToGrid w:val="0"/>
        <w:spacing w:beforeLines="50"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监狱企业需提供省级以上的监狱管理局、戒毒管理局（含新疆生产建设兵团）出具的属于监狱企业的证明文件。</w:t>
      </w:r>
      <w:r>
        <w:rPr>
          <w:rFonts w:ascii="宋体" w:hAnsi="宋体" w:cs="宋体"/>
          <w:color w:val="auto"/>
          <w:sz w:val="24"/>
          <w:szCs w:val="24"/>
          <w:highlight w:val="none"/>
        </w:rPr>
        <w:t xml:space="preserve">  </w:t>
      </w:r>
    </w:p>
    <w:p w14:paraId="0CE85643">
      <w:pPr>
        <w:pStyle w:val="5"/>
        <w:rPr>
          <w:rFonts w:cs="Times New Roman"/>
          <w:color w:val="auto"/>
          <w:highlight w:val="none"/>
        </w:rPr>
      </w:pPr>
    </w:p>
    <w:p w14:paraId="65D197CA">
      <w:pPr>
        <w:pStyle w:val="6"/>
        <w:rPr>
          <w:color w:val="auto"/>
          <w:highlight w:val="none"/>
        </w:rPr>
      </w:pPr>
    </w:p>
    <w:p w14:paraId="3F498A66">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60F9F0AE">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67FF74B3">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73EA52CF">
      <w:pPr>
        <w:pStyle w:val="12"/>
        <w:ind w:firstLine="0" w:firstLineChars="0"/>
        <w:rPr>
          <w:color w:val="auto"/>
          <w:highlight w:val="none"/>
        </w:rPr>
      </w:pPr>
    </w:p>
    <w:p w14:paraId="5271AA01">
      <w:pPr>
        <w:rPr>
          <w:rFonts w:ascii="宋体" w:hAnsi="宋体" w:cs="宋体"/>
          <w:color w:val="auto"/>
          <w:sz w:val="24"/>
          <w:szCs w:val="24"/>
          <w:highlight w:val="none"/>
        </w:rPr>
      </w:pPr>
    </w:p>
    <w:p w14:paraId="53530E83">
      <w:pPr>
        <w:spacing w:line="360" w:lineRule="auto"/>
        <w:ind w:left="3780" w:leftChars="1800" w:firstLine="480" w:firstLineChars="200"/>
        <w:rPr>
          <w:rFonts w:ascii="宋体"/>
          <w:color w:val="auto"/>
          <w:sz w:val="24"/>
          <w:szCs w:val="24"/>
          <w:highlight w:val="none"/>
        </w:rPr>
      </w:pPr>
    </w:p>
    <w:p w14:paraId="698CE388">
      <w:pPr>
        <w:pStyle w:val="6"/>
        <w:rPr>
          <w:rFonts w:ascii="宋体"/>
          <w:color w:val="auto"/>
          <w:sz w:val="24"/>
          <w:szCs w:val="24"/>
          <w:highlight w:val="none"/>
        </w:rPr>
      </w:pPr>
    </w:p>
    <w:p w14:paraId="6708039A">
      <w:pPr>
        <w:rPr>
          <w:rFonts w:ascii="宋体"/>
          <w:color w:val="auto"/>
          <w:sz w:val="24"/>
          <w:szCs w:val="24"/>
          <w:highlight w:val="none"/>
        </w:rPr>
      </w:pPr>
    </w:p>
    <w:p w14:paraId="56D65BD7">
      <w:pPr>
        <w:pStyle w:val="6"/>
        <w:rPr>
          <w:rFonts w:ascii="宋体"/>
          <w:color w:val="auto"/>
          <w:sz w:val="24"/>
          <w:szCs w:val="24"/>
          <w:highlight w:val="none"/>
        </w:rPr>
      </w:pPr>
    </w:p>
    <w:p w14:paraId="6D13C0AA">
      <w:pPr>
        <w:rPr>
          <w:rFonts w:ascii="宋体"/>
          <w:color w:val="auto"/>
          <w:sz w:val="24"/>
          <w:szCs w:val="24"/>
          <w:highlight w:val="none"/>
        </w:rPr>
      </w:pPr>
    </w:p>
    <w:p w14:paraId="638655D9">
      <w:pPr>
        <w:pStyle w:val="6"/>
        <w:rPr>
          <w:rFonts w:ascii="宋体"/>
          <w:color w:val="auto"/>
          <w:sz w:val="24"/>
          <w:szCs w:val="24"/>
          <w:highlight w:val="none"/>
        </w:rPr>
      </w:pPr>
    </w:p>
    <w:p w14:paraId="799B763A">
      <w:pPr>
        <w:rPr>
          <w:rFonts w:ascii="宋体"/>
          <w:color w:val="auto"/>
          <w:sz w:val="24"/>
          <w:szCs w:val="24"/>
          <w:highlight w:val="none"/>
        </w:rPr>
      </w:pPr>
    </w:p>
    <w:p w14:paraId="64B5361F">
      <w:pPr>
        <w:pStyle w:val="6"/>
        <w:rPr>
          <w:rFonts w:ascii="宋体"/>
          <w:color w:val="auto"/>
          <w:sz w:val="24"/>
          <w:szCs w:val="24"/>
          <w:highlight w:val="none"/>
        </w:rPr>
      </w:pPr>
    </w:p>
    <w:p w14:paraId="70E5FC00">
      <w:pPr>
        <w:rPr>
          <w:rFonts w:ascii="宋体"/>
          <w:color w:val="auto"/>
          <w:sz w:val="24"/>
          <w:szCs w:val="24"/>
          <w:highlight w:val="none"/>
        </w:rPr>
      </w:pPr>
    </w:p>
    <w:p w14:paraId="489E6924">
      <w:pPr>
        <w:pStyle w:val="6"/>
        <w:rPr>
          <w:rFonts w:ascii="宋体"/>
          <w:color w:val="auto"/>
          <w:sz w:val="24"/>
          <w:szCs w:val="24"/>
          <w:highlight w:val="none"/>
        </w:rPr>
      </w:pPr>
    </w:p>
    <w:p w14:paraId="08CCFD4F">
      <w:pPr>
        <w:rPr>
          <w:rFonts w:ascii="宋体"/>
          <w:color w:val="auto"/>
          <w:sz w:val="24"/>
          <w:szCs w:val="24"/>
          <w:highlight w:val="none"/>
        </w:rPr>
      </w:pPr>
    </w:p>
    <w:p w14:paraId="259DD5E6">
      <w:pPr>
        <w:pStyle w:val="6"/>
        <w:rPr>
          <w:rFonts w:ascii="宋体"/>
          <w:color w:val="auto"/>
          <w:sz w:val="24"/>
          <w:szCs w:val="24"/>
          <w:highlight w:val="none"/>
        </w:rPr>
      </w:pPr>
    </w:p>
    <w:p w14:paraId="31F3CDF9">
      <w:pPr>
        <w:rPr>
          <w:rFonts w:ascii="宋体"/>
          <w:color w:val="auto"/>
          <w:sz w:val="24"/>
          <w:szCs w:val="24"/>
          <w:highlight w:val="none"/>
        </w:rPr>
      </w:pPr>
    </w:p>
    <w:p w14:paraId="0A1E7ECC">
      <w:pPr>
        <w:pStyle w:val="6"/>
        <w:rPr>
          <w:rFonts w:ascii="宋体"/>
          <w:color w:val="auto"/>
          <w:sz w:val="24"/>
          <w:szCs w:val="24"/>
          <w:highlight w:val="none"/>
        </w:rPr>
      </w:pPr>
    </w:p>
    <w:p w14:paraId="2C4285D9">
      <w:pPr>
        <w:rPr>
          <w:rFonts w:ascii="宋体"/>
          <w:color w:val="auto"/>
          <w:sz w:val="24"/>
          <w:szCs w:val="24"/>
          <w:highlight w:val="none"/>
        </w:rPr>
      </w:pPr>
    </w:p>
    <w:p w14:paraId="75829D15">
      <w:pPr>
        <w:pStyle w:val="6"/>
        <w:rPr>
          <w:rFonts w:ascii="宋体"/>
          <w:color w:val="auto"/>
          <w:sz w:val="24"/>
          <w:szCs w:val="24"/>
          <w:highlight w:val="none"/>
        </w:rPr>
      </w:pPr>
    </w:p>
    <w:p w14:paraId="76B6DF77">
      <w:pPr>
        <w:rPr>
          <w:rFonts w:ascii="宋体"/>
          <w:color w:val="auto"/>
          <w:sz w:val="24"/>
          <w:szCs w:val="24"/>
          <w:highlight w:val="none"/>
        </w:rPr>
      </w:pPr>
    </w:p>
    <w:p w14:paraId="12B5A527">
      <w:pPr>
        <w:pStyle w:val="6"/>
        <w:rPr>
          <w:rFonts w:ascii="宋体"/>
          <w:color w:val="auto"/>
          <w:sz w:val="24"/>
          <w:szCs w:val="24"/>
          <w:highlight w:val="none"/>
        </w:rPr>
      </w:pPr>
    </w:p>
    <w:p w14:paraId="013D5EE2">
      <w:pPr>
        <w:rPr>
          <w:rFonts w:ascii="宋体"/>
          <w:color w:val="auto"/>
          <w:sz w:val="24"/>
          <w:szCs w:val="24"/>
          <w:highlight w:val="none"/>
        </w:rPr>
      </w:pPr>
    </w:p>
    <w:p w14:paraId="7B983D29">
      <w:pPr>
        <w:pStyle w:val="6"/>
        <w:rPr>
          <w:rFonts w:ascii="宋体"/>
          <w:color w:val="auto"/>
          <w:sz w:val="24"/>
          <w:szCs w:val="24"/>
          <w:highlight w:val="none"/>
        </w:rPr>
      </w:pPr>
    </w:p>
    <w:p w14:paraId="1E94CFB0">
      <w:pPr>
        <w:rPr>
          <w:rFonts w:ascii="宋体"/>
          <w:color w:val="auto"/>
          <w:sz w:val="24"/>
          <w:szCs w:val="24"/>
          <w:highlight w:val="none"/>
        </w:rPr>
      </w:pPr>
    </w:p>
    <w:p w14:paraId="73371564">
      <w:pPr>
        <w:pStyle w:val="6"/>
        <w:rPr>
          <w:color w:val="auto"/>
        </w:rPr>
      </w:pPr>
    </w:p>
    <w:p w14:paraId="1CFFFE7F">
      <w:pPr>
        <w:spacing w:line="360" w:lineRule="auto"/>
        <w:jc w:val="left"/>
        <w:rPr>
          <w:rFonts w:hint="eastAsia" w:ascii="宋体" w:hAnsi="宋体" w:cs="宋体"/>
          <w:b/>
          <w:bCs/>
          <w:color w:val="auto"/>
          <w:sz w:val="24"/>
          <w:szCs w:val="24"/>
          <w:highlight w:val="none"/>
          <w:lang w:val="zh-CN"/>
        </w:rPr>
      </w:pPr>
    </w:p>
    <w:p w14:paraId="5850BD90">
      <w:pPr>
        <w:spacing w:line="360" w:lineRule="auto"/>
        <w:jc w:val="left"/>
        <w:rPr>
          <w:rFonts w:hint="eastAsia" w:ascii="宋体" w:hAnsi="宋体" w:cs="宋体"/>
          <w:b/>
          <w:bCs/>
          <w:color w:val="auto"/>
          <w:sz w:val="24"/>
          <w:szCs w:val="24"/>
          <w:highlight w:val="none"/>
          <w:lang w:val="zh-CN"/>
        </w:rPr>
      </w:pPr>
    </w:p>
    <w:p w14:paraId="232556ED">
      <w:pPr>
        <w:spacing w:line="360" w:lineRule="auto"/>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商务技术文件</w:t>
      </w:r>
    </w:p>
    <w:p w14:paraId="40B28FDB">
      <w:pPr>
        <w:spacing w:line="360" w:lineRule="auto"/>
        <w:jc w:val="center"/>
        <w:rPr>
          <w:rFonts w:hint="eastAsia"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目录</w:t>
      </w:r>
    </w:p>
    <w:p w14:paraId="5ABD2B76">
      <w:pPr>
        <w:pStyle w:val="57"/>
        <w:numPr>
          <w:ilvl w:val="0"/>
          <w:numId w:val="21"/>
        </w:numPr>
        <w:spacing w:before="0" w:line="336" w:lineRule="auto"/>
        <w:ind w:firstLine="480"/>
        <w:rPr>
          <w:rFonts w:ascii="宋体"/>
          <w:color w:val="auto"/>
          <w:highlight w:val="none"/>
        </w:rPr>
      </w:pPr>
      <w:bookmarkStart w:id="105" w:name="_Toc10131"/>
      <w:r>
        <w:rPr>
          <w:rFonts w:hint="eastAsia" w:ascii="宋体" w:hAnsi="宋体" w:cs="宋体"/>
          <w:color w:val="auto"/>
          <w:highlight w:val="none"/>
        </w:rPr>
        <w:t>评分对应表（格式见附件</w:t>
      </w:r>
      <w:r>
        <w:rPr>
          <w:rFonts w:hint="eastAsia" w:ascii="宋体" w:hAnsi="宋体" w:cs="宋体"/>
          <w:color w:val="auto"/>
          <w:highlight w:val="none"/>
          <w:lang w:eastAsia="zh-CN"/>
        </w:rPr>
        <w:t>，主要用于评委对应评分内容</w:t>
      </w:r>
      <w:r>
        <w:rPr>
          <w:rFonts w:hint="eastAsia" w:ascii="宋体" w:hAnsi="宋体" w:cs="宋体"/>
          <w:color w:val="auto"/>
          <w:highlight w:val="none"/>
        </w:rPr>
        <w:t>）</w:t>
      </w:r>
      <w:r>
        <w:rPr>
          <w:rFonts w:hint="eastAsia" w:ascii="宋体" w:hAnsi="宋体" w:cs="宋体"/>
          <w:color w:val="auto"/>
          <w:highlight w:val="none"/>
          <w:lang w:eastAsia="zh-CN"/>
        </w:rPr>
        <w:t>；</w:t>
      </w:r>
    </w:p>
    <w:p w14:paraId="1F421A3D">
      <w:pPr>
        <w:pStyle w:val="57"/>
        <w:numPr>
          <w:ilvl w:val="0"/>
          <w:numId w:val="21"/>
        </w:numPr>
        <w:spacing w:before="0" w:line="336" w:lineRule="auto"/>
        <w:ind w:firstLine="480"/>
        <w:rPr>
          <w:rFonts w:ascii="宋体"/>
          <w:color w:val="auto"/>
          <w:highlight w:val="none"/>
        </w:rPr>
      </w:pPr>
      <w:r>
        <w:rPr>
          <w:rFonts w:hint="eastAsia" w:ascii="宋体" w:hAnsi="宋体" w:cs="宋体"/>
          <w:color w:val="auto"/>
          <w:highlight w:val="none"/>
        </w:rPr>
        <w:t>供应商商务技术文件中资信分自评表（格式见附件）；</w:t>
      </w:r>
    </w:p>
    <w:p w14:paraId="71EAC8A7">
      <w:pPr>
        <w:pStyle w:val="57"/>
        <w:numPr>
          <w:ilvl w:val="0"/>
          <w:numId w:val="21"/>
        </w:numPr>
        <w:spacing w:before="0" w:line="336" w:lineRule="auto"/>
        <w:ind w:firstLine="480"/>
        <w:rPr>
          <w:rFonts w:ascii="宋体"/>
          <w:color w:val="auto"/>
          <w:highlight w:val="none"/>
        </w:rPr>
      </w:pPr>
      <w:r>
        <w:rPr>
          <w:rFonts w:hint="eastAsia" w:ascii="宋体" w:hAnsi="宋体" w:cs="宋体"/>
          <w:color w:val="auto"/>
          <w:highlight w:val="none"/>
        </w:rPr>
        <w:t>磋商项目明细清单（格式见附件）；</w:t>
      </w:r>
    </w:p>
    <w:p w14:paraId="546FAC76">
      <w:pPr>
        <w:pStyle w:val="57"/>
        <w:numPr>
          <w:ilvl w:val="0"/>
          <w:numId w:val="21"/>
        </w:numPr>
        <w:spacing w:before="0" w:line="336" w:lineRule="auto"/>
        <w:ind w:firstLine="480"/>
        <w:rPr>
          <w:rFonts w:ascii="宋体"/>
          <w:color w:val="auto"/>
          <w:highlight w:val="none"/>
        </w:rPr>
      </w:pPr>
      <w:r>
        <w:rPr>
          <w:rFonts w:hint="eastAsia" w:ascii="宋体" w:hAnsi="宋体" w:cs="宋体"/>
          <w:color w:val="auto"/>
          <w:highlight w:val="none"/>
        </w:rPr>
        <w:t>技术响应及建议表（格式见附件）；</w:t>
      </w:r>
    </w:p>
    <w:p w14:paraId="4798196F">
      <w:pPr>
        <w:pStyle w:val="57"/>
        <w:numPr>
          <w:ilvl w:val="0"/>
          <w:numId w:val="21"/>
        </w:numPr>
        <w:spacing w:before="0" w:line="336" w:lineRule="auto"/>
        <w:ind w:firstLine="480"/>
        <w:rPr>
          <w:rFonts w:ascii="宋体" w:hAnsi="宋体" w:cs="宋体"/>
          <w:color w:val="auto"/>
          <w:highlight w:val="none"/>
        </w:rPr>
      </w:pPr>
      <w:r>
        <w:rPr>
          <w:rFonts w:hint="eastAsia" w:ascii="宋体" w:hAnsi="宋体" w:cs="宋体"/>
          <w:color w:val="auto"/>
          <w:highlight w:val="none"/>
        </w:rPr>
        <w:t>商务响应表（格式见附件）；</w:t>
      </w:r>
    </w:p>
    <w:p w14:paraId="6C31EFC5">
      <w:pPr>
        <w:pStyle w:val="57"/>
        <w:numPr>
          <w:ilvl w:val="0"/>
          <w:numId w:val="21"/>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项目理解；</w:t>
      </w:r>
    </w:p>
    <w:p w14:paraId="5C00923B">
      <w:pPr>
        <w:pStyle w:val="57"/>
        <w:numPr>
          <w:ilvl w:val="0"/>
          <w:numId w:val="21"/>
        </w:numPr>
        <w:spacing w:before="0" w:line="336" w:lineRule="auto"/>
        <w:ind w:firstLine="480"/>
        <w:rPr>
          <w:rFonts w:hint="eastAsia" w:ascii="宋体" w:hAnsi="宋体" w:cs="宋体"/>
          <w:color w:val="auto"/>
          <w:highlight w:val="none"/>
          <w:lang w:eastAsia="zh-CN"/>
        </w:rPr>
      </w:pPr>
      <w:r>
        <w:rPr>
          <w:rFonts w:hint="eastAsia" w:ascii="宋体" w:hAnsi="宋体" w:eastAsia="宋体" w:cs="宋体"/>
          <w:b w:val="0"/>
          <w:bCs w:val="0"/>
          <w:iCs/>
          <w:color w:val="auto"/>
          <w:sz w:val="24"/>
          <w:szCs w:val="24"/>
          <w:highlight w:val="none"/>
        </w:rPr>
        <w:t>重难点分析</w:t>
      </w:r>
      <w:r>
        <w:rPr>
          <w:rFonts w:hint="eastAsia" w:ascii="宋体" w:hAnsi="宋体" w:eastAsia="宋体" w:cs="宋体"/>
          <w:b w:val="0"/>
          <w:bCs w:val="0"/>
          <w:iCs/>
          <w:color w:val="auto"/>
          <w:sz w:val="24"/>
          <w:szCs w:val="24"/>
          <w:highlight w:val="none"/>
          <w:lang w:val="en-US" w:eastAsia="zh-CN"/>
        </w:rPr>
        <w:t>及解决措施</w:t>
      </w:r>
      <w:r>
        <w:rPr>
          <w:rFonts w:hint="eastAsia" w:ascii="宋体" w:hAnsi="宋体" w:cs="宋体"/>
          <w:color w:val="auto"/>
          <w:highlight w:val="none"/>
          <w:lang w:eastAsia="zh-CN"/>
        </w:rPr>
        <w:t>；</w:t>
      </w:r>
    </w:p>
    <w:p w14:paraId="6D14AD8C">
      <w:pPr>
        <w:pStyle w:val="57"/>
        <w:numPr>
          <w:ilvl w:val="0"/>
          <w:numId w:val="21"/>
        </w:numPr>
        <w:spacing w:before="0" w:line="336" w:lineRule="auto"/>
        <w:ind w:firstLine="480"/>
        <w:rPr>
          <w:rFonts w:hint="eastAsia" w:ascii="宋体" w:hAnsi="宋体" w:cs="宋体"/>
          <w:color w:val="auto"/>
          <w:highlight w:val="none"/>
          <w:lang w:val="en-US" w:eastAsia="zh-CN"/>
        </w:rPr>
      </w:pPr>
      <w:r>
        <w:rPr>
          <w:rFonts w:hint="eastAsia" w:ascii="宋体" w:hAnsi="宋体" w:eastAsia="宋体" w:cs="宋体"/>
          <w:b w:val="0"/>
          <w:bCs w:val="0"/>
          <w:color w:val="auto"/>
          <w:sz w:val="24"/>
          <w:szCs w:val="24"/>
          <w:lang w:val="en-US" w:eastAsia="zh-CN"/>
        </w:rPr>
        <w:t>技术服务方案</w:t>
      </w:r>
      <w:r>
        <w:rPr>
          <w:rFonts w:hint="eastAsia" w:ascii="宋体" w:hAnsi="宋体" w:cs="宋体"/>
          <w:color w:val="auto"/>
          <w:highlight w:val="none"/>
          <w:lang w:eastAsia="zh-CN"/>
        </w:rPr>
        <w:t>；</w:t>
      </w:r>
    </w:p>
    <w:p w14:paraId="5296BF24">
      <w:pPr>
        <w:pStyle w:val="57"/>
        <w:numPr>
          <w:ilvl w:val="0"/>
          <w:numId w:val="21"/>
        </w:numPr>
        <w:spacing w:before="0" w:line="336" w:lineRule="auto"/>
        <w:ind w:firstLine="480"/>
        <w:rPr>
          <w:rFonts w:hint="eastAsia" w:ascii="宋体" w:hAnsi="宋体" w:cs="宋体"/>
          <w:color w:val="auto"/>
          <w:highlight w:val="none"/>
          <w:lang w:val="en-US" w:eastAsia="zh-CN"/>
        </w:rPr>
      </w:pPr>
      <w:r>
        <w:rPr>
          <w:rFonts w:hint="eastAsia" w:ascii="宋体" w:hAnsi="宋体" w:cs="宋体"/>
          <w:b w:val="0"/>
          <w:bCs w:val="0"/>
          <w:iCs/>
          <w:color w:val="auto"/>
          <w:sz w:val="24"/>
          <w:szCs w:val="24"/>
          <w:highlight w:val="none"/>
          <w:lang w:val="en-US" w:eastAsia="zh-CN"/>
        </w:rPr>
        <w:t>人员</w:t>
      </w:r>
      <w:r>
        <w:rPr>
          <w:rFonts w:hint="eastAsia" w:ascii="宋体" w:hAnsi="宋体" w:eastAsia="宋体" w:cs="宋体"/>
          <w:b w:val="0"/>
          <w:bCs w:val="0"/>
          <w:iCs/>
          <w:color w:val="auto"/>
          <w:sz w:val="24"/>
          <w:szCs w:val="24"/>
          <w:highlight w:val="none"/>
          <w:lang w:val="en-US" w:eastAsia="zh-CN"/>
        </w:rPr>
        <w:t>配置</w:t>
      </w:r>
      <w:r>
        <w:rPr>
          <w:rFonts w:hint="eastAsia" w:ascii="宋体" w:hAnsi="宋体" w:cs="宋体"/>
          <w:color w:val="auto"/>
          <w:highlight w:val="none"/>
          <w:lang w:val="en-US" w:eastAsia="zh-CN"/>
        </w:rPr>
        <w:t>；</w:t>
      </w:r>
    </w:p>
    <w:p w14:paraId="4A5C1886">
      <w:pPr>
        <w:pStyle w:val="57"/>
        <w:numPr>
          <w:ilvl w:val="0"/>
          <w:numId w:val="21"/>
        </w:numPr>
        <w:spacing w:before="0" w:line="336" w:lineRule="auto"/>
        <w:ind w:firstLine="480"/>
        <w:rPr>
          <w:rFonts w:hint="eastAsia" w:ascii="宋体" w:hAnsi="宋体" w:cs="宋体"/>
          <w:color w:val="auto"/>
          <w:highlight w:val="none"/>
          <w:lang w:eastAsia="zh-CN"/>
        </w:rPr>
      </w:pPr>
      <w:r>
        <w:rPr>
          <w:rFonts w:hint="eastAsia" w:ascii="宋体" w:hAnsi="宋体" w:eastAsia="宋体" w:cs="宋体"/>
          <w:b w:val="0"/>
          <w:bCs w:val="0"/>
          <w:iCs/>
          <w:color w:val="auto"/>
          <w:sz w:val="24"/>
          <w:szCs w:val="24"/>
          <w:highlight w:val="none"/>
          <w:lang w:val="en-US" w:eastAsia="zh-CN"/>
        </w:rPr>
        <w:t>设备投入</w:t>
      </w:r>
      <w:r>
        <w:rPr>
          <w:rFonts w:hint="eastAsia" w:ascii="宋体" w:hAnsi="宋体" w:cs="宋体"/>
          <w:color w:val="auto"/>
          <w:highlight w:val="none"/>
          <w:lang w:eastAsia="zh-CN"/>
        </w:rPr>
        <w:t>；</w:t>
      </w:r>
    </w:p>
    <w:p w14:paraId="2332D870">
      <w:pPr>
        <w:pStyle w:val="57"/>
        <w:numPr>
          <w:ilvl w:val="0"/>
          <w:numId w:val="21"/>
        </w:numPr>
        <w:spacing w:before="0" w:line="336" w:lineRule="auto"/>
        <w:ind w:firstLine="480"/>
        <w:rPr>
          <w:rFonts w:hint="eastAsia" w:ascii="宋体" w:hAnsi="宋体" w:cs="宋体"/>
          <w:color w:val="auto"/>
          <w:highlight w:val="none"/>
          <w:lang w:eastAsia="zh-CN"/>
        </w:rPr>
      </w:pPr>
      <w:r>
        <w:rPr>
          <w:rFonts w:hint="eastAsia" w:ascii="宋体" w:hAnsi="宋体" w:eastAsia="宋体" w:cs="宋体"/>
          <w:b w:val="0"/>
          <w:bCs w:val="0"/>
          <w:iCs/>
          <w:color w:val="auto"/>
          <w:sz w:val="24"/>
          <w:szCs w:val="24"/>
          <w:lang w:val="en-US" w:eastAsia="zh-CN"/>
        </w:rPr>
        <w:t>售后服务</w:t>
      </w:r>
      <w:r>
        <w:rPr>
          <w:rFonts w:hint="eastAsia" w:ascii="宋体" w:hAnsi="宋体" w:cs="宋体"/>
          <w:color w:val="auto"/>
          <w:highlight w:val="none"/>
          <w:lang w:eastAsia="zh-CN"/>
        </w:rPr>
        <w:t>；</w:t>
      </w:r>
    </w:p>
    <w:p w14:paraId="141A764D">
      <w:pPr>
        <w:pStyle w:val="57"/>
        <w:numPr>
          <w:ilvl w:val="0"/>
          <w:numId w:val="21"/>
        </w:numPr>
        <w:spacing w:before="0" w:line="336" w:lineRule="auto"/>
        <w:ind w:firstLine="480"/>
        <w:rPr>
          <w:rFonts w:hint="eastAsia" w:ascii="宋体" w:hAnsi="宋体" w:cs="宋体"/>
          <w:color w:val="auto"/>
          <w:highlight w:val="none"/>
          <w:lang w:eastAsia="zh-CN"/>
        </w:rPr>
      </w:pPr>
      <w:r>
        <w:rPr>
          <w:rFonts w:hint="eastAsia" w:ascii="宋体" w:hAnsi="宋体" w:cs="宋体"/>
          <w:b w:val="0"/>
          <w:bCs w:val="0"/>
          <w:iCs/>
          <w:color w:val="auto"/>
          <w:sz w:val="24"/>
          <w:szCs w:val="24"/>
          <w:lang w:val="en-US" w:eastAsia="zh-CN"/>
        </w:rPr>
        <w:t>合理化建议</w:t>
      </w:r>
      <w:r>
        <w:rPr>
          <w:rFonts w:hint="eastAsia" w:ascii="宋体" w:hAnsi="宋体" w:cs="宋体"/>
          <w:color w:val="auto"/>
          <w:highlight w:val="none"/>
          <w:lang w:eastAsia="zh-CN"/>
        </w:rPr>
        <w:t>；</w:t>
      </w:r>
    </w:p>
    <w:p w14:paraId="0E24F3C2">
      <w:pPr>
        <w:pStyle w:val="57"/>
        <w:numPr>
          <w:ilvl w:val="0"/>
          <w:numId w:val="21"/>
        </w:numPr>
        <w:spacing w:before="0" w:line="336" w:lineRule="auto"/>
        <w:ind w:firstLine="480"/>
        <w:rPr>
          <w:rFonts w:hint="eastAsia" w:ascii="宋体" w:hAnsi="宋体" w:cs="宋体"/>
          <w:color w:val="auto"/>
          <w:highlight w:val="none"/>
          <w:lang w:eastAsia="zh-CN"/>
        </w:rPr>
      </w:pPr>
      <w:r>
        <w:rPr>
          <w:rFonts w:hint="eastAsia" w:ascii="宋体" w:hAnsi="宋体" w:eastAsia="宋体" w:cs="宋体"/>
          <w:b w:val="0"/>
          <w:bCs w:val="0"/>
          <w:color w:val="auto"/>
          <w:sz w:val="24"/>
          <w:szCs w:val="24"/>
          <w:highlight w:val="none"/>
          <w:lang w:val="en-US" w:eastAsia="zh-CN"/>
        </w:rPr>
        <w:t>业绩</w:t>
      </w:r>
      <w:r>
        <w:rPr>
          <w:rFonts w:hint="eastAsia" w:ascii="宋体" w:hAnsi="宋体" w:cs="宋体"/>
          <w:color w:val="auto"/>
          <w:highlight w:val="none"/>
          <w:lang w:eastAsia="zh-CN"/>
        </w:rPr>
        <w:t>；</w:t>
      </w:r>
    </w:p>
    <w:p w14:paraId="184F7111">
      <w:pPr>
        <w:pStyle w:val="57"/>
        <w:numPr>
          <w:ilvl w:val="0"/>
          <w:numId w:val="21"/>
        </w:numPr>
        <w:spacing w:before="0" w:line="336" w:lineRule="auto"/>
        <w:ind w:firstLine="480"/>
        <w:rPr>
          <w:rFonts w:hint="eastAsia" w:ascii="宋体" w:hAnsi="宋体" w:cs="宋体"/>
          <w:color w:val="auto"/>
          <w:highlight w:val="none"/>
          <w:lang w:eastAsia="zh-CN"/>
        </w:rPr>
      </w:pPr>
      <w:r>
        <w:rPr>
          <w:rFonts w:hint="eastAsia" w:ascii="宋体" w:hAnsi="宋体" w:eastAsia="宋体" w:cs="宋体"/>
          <w:b w:val="0"/>
          <w:bCs/>
          <w:color w:val="auto"/>
          <w:sz w:val="24"/>
          <w:szCs w:val="24"/>
          <w:highlight w:val="none"/>
          <w:lang w:val="en-US" w:eastAsia="zh-CN"/>
        </w:rPr>
        <w:t>荣誉</w:t>
      </w:r>
      <w:r>
        <w:rPr>
          <w:rFonts w:hint="eastAsia" w:ascii="宋体" w:hAnsi="宋体" w:cs="宋体"/>
          <w:color w:val="auto"/>
          <w:highlight w:val="none"/>
          <w:lang w:eastAsia="zh-CN"/>
        </w:rPr>
        <w:t>；</w:t>
      </w:r>
    </w:p>
    <w:p w14:paraId="3A4C3A4C">
      <w:pPr>
        <w:pStyle w:val="57"/>
        <w:numPr>
          <w:ilvl w:val="0"/>
          <w:numId w:val="21"/>
        </w:numPr>
        <w:spacing w:before="0" w:line="336" w:lineRule="auto"/>
        <w:ind w:firstLine="480"/>
        <w:rPr>
          <w:rFonts w:hint="eastAsia" w:ascii="宋体" w:hAnsi="宋体" w:cs="宋体"/>
          <w:color w:val="auto"/>
          <w:highlight w:val="none"/>
          <w:lang w:eastAsia="zh-CN"/>
        </w:rPr>
      </w:pPr>
      <w:r>
        <w:rPr>
          <w:rFonts w:hint="eastAsia" w:ascii="宋体" w:hAnsi="宋体" w:cs="宋体"/>
          <w:b w:val="0"/>
          <w:bCs w:val="0"/>
          <w:color w:val="auto"/>
          <w:sz w:val="24"/>
          <w:szCs w:val="24"/>
          <w:highlight w:val="none"/>
          <w:lang w:val="en-US" w:eastAsia="zh-CN"/>
        </w:rPr>
        <w:t>专利</w:t>
      </w:r>
      <w:r>
        <w:rPr>
          <w:rFonts w:hint="eastAsia" w:ascii="宋体" w:hAnsi="宋体" w:cs="宋体"/>
          <w:color w:val="auto"/>
          <w:highlight w:val="none"/>
          <w:lang w:eastAsia="zh-CN"/>
        </w:rPr>
        <w:t>；</w:t>
      </w:r>
    </w:p>
    <w:p w14:paraId="0E3542CE">
      <w:pPr>
        <w:pStyle w:val="57"/>
        <w:numPr>
          <w:ilvl w:val="0"/>
          <w:numId w:val="21"/>
        </w:numPr>
        <w:spacing w:before="0" w:line="336" w:lineRule="auto"/>
        <w:ind w:firstLine="480"/>
        <w:rPr>
          <w:rFonts w:ascii="宋体" w:hAnsi="宋体" w:cs="宋体"/>
          <w:color w:val="auto"/>
          <w:highlight w:val="none"/>
        </w:rPr>
      </w:pPr>
      <w:r>
        <w:rPr>
          <w:rFonts w:hint="eastAsia" w:ascii="宋体" w:hAnsi="宋体" w:cs="宋体"/>
          <w:color w:val="auto"/>
          <w:highlight w:val="none"/>
        </w:rPr>
        <w:t>供应商认为需要的其他文件资料。</w:t>
      </w:r>
      <w:r>
        <w:rPr>
          <w:rFonts w:ascii="宋体" w:hAnsi="宋体" w:cs="宋体"/>
          <w:color w:val="auto"/>
          <w:highlight w:val="none"/>
        </w:rPr>
        <w:t xml:space="preserve"> </w:t>
      </w:r>
    </w:p>
    <w:p w14:paraId="2580F3CB">
      <w:pPr>
        <w:snapToGrid w:val="0"/>
        <w:spacing w:before="50" w:after="50"/>
        <w:jc w:val="left"/>
        <w:rPr>
          <w:rFonts w:hint="eastAsia" w:ascii="宋体" w:hAnsi="宋体" w:cs="宋体"/>
          <w:b/>
          <w:bCs/>
          <w:color w:val="auto"/>
          <w:sz w:val="24"/>
          <w:szCs w:val="24"/>
          <w:highlight w:val="none"/>
          <w:lang w:val="zh-CN"/>
        </w:rPr>
      </w:pPr>
    </w:p>
    <w:p w14:paraId="44259EC1">
      <w:pPr>
        <w:pStyle w:val="6"/>
        <w:rPr>
          <w:rFonts w:hint="eastAsia" w:ascii="宋体" w:hAnsi="宋体" w:cs="宋体"/>
          <w:b/>
          <w:bCs/>
          <w:color w:val="auto"/>
          <w:sz w:val="24"/>
          <w:szCs w:val="24"/>
          <w:highlight w:val="none"/>
          <w:lang w:val="zh-CN"/>
        </w:rPr>
      </w:pPr>
    </w:p>
    <w:p w14:paraId="02E1702E">
      <w:pPr>
        <w:rPr>
          <w:rFonts w:hint="eastAsia" w:ascii="宋体" w:hAnsi="宋体" w:cs="宋体"/>
          <w:b/>
          <w:bCs/>
          <w:color w:val="auto"/>
          <w:sz w:val="24"/>
          <w:szCs w:val="24"/>
          <w:highlight w:val="none"/>
          <w:lang w:val="zh-CN"/>
        </w:rPr>
      </w:pPr>
    </w:p>
    <w:p w14:paraId="2F6B2594">
      <w:pPr>
        <w:pStyle w:val="6"/>
        <w:rPr>
          <w:rFonts w:hint="eastAsia" w:ascii="宋体" w:hAnsi="宋体" w:cs="宋体"/>
          <w:b/>
          <w:bCs/>
          <w:color w:val="auto"/>
          <w:sz w:val="24"/>
          <w:szCs w:val="24"/>
          <w:highlight w:val="none"/>
          <w:lang w:val="zh-CN"/>
        </w:rPr>
      </w:pPr>
    </w:p>
    <w:p w14:paraId="18056343">
      <w:pPr>
        <w:rPr>
          <w:rFonts w:hint="eastAsia" w:ascii="宋体" w:hAnsi="宋体" w:cs="宋体"/>
          <w:b/>
          <w:bCs/>
          <w:color w:val="auto"/>
          <w:sz w:val="24"/>
          <w:szCs w:val="24"/>
          <w:highlight w:val="none"/>
          <w:lang w:val="zh-CN"/>
        </w:rPr>
      </w:pPr>
    </w:p>
    <w:p w14:paraId="0BA06323">
      <w:pPr>
        <w:pStyle w:val="6"/>
        <w:rPr>
          <w:rFonts w:hint="eastAsia" w:ascii="宋体" w:hAnsi="宋体" w:cs="宋体"/>
          <w:b/>
          <w:bCs/>
          <w:color w:val="auto"/>
          <w:sz w:val="24"/>
          <w:szCs w:val="24"/>
          <w:highlight w:val="none"/>
          <w:lang w:val="zh-CN"/>
        </w:rPr>
      </w:pPr>
    </w:p>
    <w:p w14:paraId="3C517686">
      <w:pPr>
        <w:rPr>
          <w:rFonts w:hint="eastAsia" w:ascii="宋体" w:hAnsi="宋体" w:cs="宋体"/>
          <w:b/>
          <w:bCs/>
          <w:color w:val="auto"/>
          <w:sz w:val="24"/>
          <w:szCs w:val="24"/>
          <w:highlight w:val="none"/>
          <w:lang w:val="zh-CN"/>
        </w:rPr>
      </w:pPr>
    </w:p>
    <w:p w14:paraId="4BD18F9B">
      <w:pPr>
        <w:pStyle w:val="92"/>
        <w:rPr>
          <w:rFonts w:hint="eastAsia" w:ascii="宋体" w:hAnsi="宋体" w:cs="宋体"/>
          <w:b/>
          <w:bCs/>
          <w:color w:val="auto"/>
          <w:sz w:val="24"/>
          <w:szCs w:val="24"/>
          <w:highlight w:val="none"/>
          <w:lang w:val="zh-CN"/>
        </w:rPr>
      </w:pPr>
    </w:p>
    <w:p w14:paraId="7D56EE93">
      <w:pPr>
        <w:pStyle w:val="92"/>
        <w:rPr>
          <w:rFonts w:hint="eastAsia" w:ascii="宋体" w:hAnsi="宋体" w:cs="宋体"/>
          <w:b/>
          <w:bCs/>
          <w:color w:val="auto"/>
          <w:sz w:val="24"/>
          <w:szCs w:val="24"/>
          <w:highlight w:val="none"/>
          <w:lang w:val="zh-CN"/>
        </w:rPr>
      </w:pPr>
    </w:p>
    <w:p w14:paraId="12CFD504">
      <w:pPr>
        <w:pStyle w:val="92"/>
        <w:rPr>
          <w:rFonts w:hint="eastAsia" w:ascii="宋体" w:hAnsi="宋体" w:cs="宋体"/>
          <w:b/>
          <w:bCs/>
          <w:color w:val="auto"/>
          <w:sz w:val="24"/>
          <w:szCs w:val="24"/>
          <w:highlight w:val="none"/>
          <w:lang w:val="zh-CN"/>
        </w:rPr>
      </w:pPr>
    </w:p>
    <w:p w14:paraId="1D7DF4D2">
      <w:pPr>
        <w:pStyle w:val="92"/>
        <w:rPr>
          <w:rFonts w:hint="eastAsia" w:ascii="宋体" w:hAnsi="宋体" w:cs="宋体"/>
          <w:b/>
          <w:bCs/>
          <w:color w:val="auto"/>
          <w:sz w:val="24"/>
          <w:szCs w:val="24"/>
          <w:highlight w:val="none"/>
          <w:lang w:val="zh-CN"/>
        </w:rPr>
      </w:pPr>
    </w:p>
    <w:p w14:paraId="4E1B6FBD">
      <w:pPr>
        <w:pStyle w:val="92"/>
        <w:rPr>
          <w:rFonts w:hint="eastAsia" w:ascii="宋体" w:hAnsi="宋体" w:cs="宋体"/>
          <w:b/>
          <w:bCs/>
          <w:color w:val="auto"/>
          <w:sz w:val="24"/>
          <w:szCs w:val="24"/>
          <w:highlight w:val="none"/>
          <w:lang w:val="zh-CN"/>
        </w:rPr>
      </w:pPr>
    </w:p>
    <w:p w14:paraId="01592FD9">
      <w:pPr>
        <w:pStyle w:val="92"/>
        <w:rPr>
          <w:rFonts w:hint="eastAsia" w:ascii="宋体" w:hAnsi="宋体" w:cs="宋体"/>
          <w:b/>
          <w:bCs/>
          <w:color w:val="auto"/>
          <w:sz w:val="24"/>
          <w:szCs w:val="24"/>
          <w:highlight w:val="none"/>
          <w:lang w:val="zh-CN"/>
        </w:rPr>
      </w:pPr>
    </w:p>
    <w:p w14:paraId="6CCBFED3">
      <w:pPr>
        <w:pStyle w:val="92"/>
        <w:rPr>
          <w:rFonts w:hint="eastAsia" w:ascii="宋体" w:hAnsi="宋体" w:cs="宋体"/>
          <w:b/>
          <w:bCs/>
          <w:color w:val="auto"/>
          <w:sz w:val="24"/>
          <w:szCs w:val="24"/>
          <w:highlight w:val="none"/>
          <w:lang w:val="zh-CN"/>
        </w:rPr>
      </w:pPr>
    </w:p>
    <w:p w14:paraId="78B5F1FC">
      <w:pPr>
        <w:pStyle w:val="92"/>
        <w:rPr>
          <w:rFonts w:hint="eastAsia" w:ascii="宋体" w:hAnsi="宋体" w:cs="宋体"/>
          <w:b/>
          <w:bCs/>
          <w:color w:val="auto"/>
          <w:sz w:val="24"/>
          <w:szCs w:val="24"/>
          <w:highlight w:val="none"/>
          <w:lang w:val="zh-CN"/>
        </w:rPr>
      </w:pPr>
    </w:p>
    <w:p w14:paraId="1BAD382F">
      <w:pPr>
        <w:pStyle w:val="92"/>
        <w:rPr>
          <w:rFonts w:hint="eastAsia" w:ascii="宋体" w:hAnsi="宋体" w:cs="宋体"/>
          <w:b/>
          <w:bCs/>
          <w:color w:val="auto"/>
          <w:sz w:val="24"/>
          <w:szCs w:val="24"/>
          <w:highlight w:val="none"/>
          <w:lang w:val="zh-CN"/>
        </w:rPr>
      </w:pPr>
    </w:p>
    <w:p w14:paraId="33F9B3D8">
      <w:pPr>
        <w:pStyle w:val="92"/>
        <w:rPr>
          <w:rFonts w:hint="eastAsia" w:ascii="宋体" w:hAnsi="宋体" w:cs="宋体"/>
          <w:b/>
          <w:bCs/>
          <w:color w:val="auto"/>
          <w:sz w:val="24"/>
          <w:szCs w:val="24"/>
          <w:highlight w:val="none"/>
          <w:lang w:val="zh-CN"/>
        </w:rPr>
      </w:pPr>
    </w:p>
    <w:p w14:paraId="7A9101B9">
      <w:pPr>
        <w:rPr>
          <w:rFonts w:hint="eastAsia" w:ascii="宋体" w:hAnsi="宋体" w:cs="宋体"/>
          <w:b/>
          <w:bCs/>
          <w:color w:val="auto"/>
          <w:sz w:val="24"/>
          <w:szCs w:val="24"/>
          <w:highlight w:val="none"/>
          <w:lang w:val="zh-CN"/>
        </w:rPr>
      </w:pPr>
    </w:p>
    <w:p w14:paraId="0D64FEC1">
      <w:pPr>
        <w:pStyle w:val="6"/>
        <w:rPr>
          <w:rFonts w:hint="eastAsia" w:ascii="宋体" w:hAnsi="宋体" w:cs="宋体"/>
          <w:b/>
          <w:bCs/>
          <w:color w:val="auto"/>
          <w:sz w:val="24"/>
          <w:szCs w:val="24"/>
          <w:highlight w:val="none"/>
          <w:lang w:val="zh-CN"/>
        </w:rPr>
      </w:pPr>
    </w:p>
    <w:p w14:paraId="2194F04A">
      <w:pPr>
        <w:snapToGrid w:val="0"/>
        <w:spacing w:before="50" w:after="50"/>
        <w:jc w:val="left"/>
        <w:rPr>
          <w:rFonts w:ascii="宋体"/>
          <w:b/>
          <w:bCs/>
          <w:color w:val="auto"/>
          <w:sz w:val="24"/>
          <w:szCs w:val="24"/>
          <w:highlight w:val="none"/>
          <w:lang w:val="zh-CN"/>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六</w:t>
      </w:r>
      <w:r>
        <w:rPr>
          <w:rFonts w:hint="eastAsia" w:ascii="宋体" w:hAnsi="宋体" w:cs="宋体"/>
          <w:b/>
          <w:bCs/>
          <w:color w:val="auto"/>
          <w:sz w:val="24"/>
          <w:szCs w:val="24"/>
          <w:highlight w:val="none"/>
          <w:lang w:val="zh-CN"/>
        </w:rPr>
        <w:t>：</w:t>
      </w:r>
    </w:p>
    <w:p w14:paraId="0ACB6166">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评分对应表</w:t>
      </w:r>
    </w:p>
    <w:p w14:paraId="293E3463">
      <w:pPr>
        <w:snapToGrid w:val="0"/>
        <w:spacing w:before="50"/>
        <w:jc w:val="center"/>
        <w:rPr>
          <w:rFonts w:ascii="宋体"/>
          <w:b/>
          <w:bCs/>
          <w:color w:val="auto"/>
          <w:sz w:val="32"/>
          <w:szCs w:val="32"/>
          <w:highlight w:val="none"/>
        </w:rPr>
      </w:pPr>
    </w:p>
    <w:p w14:paraId="6BCA190A">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4274A448">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6"/>
        <w:tblW w:w="89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14:paraId="354AB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376D4CB2">
            <w:pPr>
              <w:jc w:val="center"/>
              <w:rPr>
                <w:rFonts w:ascii="宋体"/>
                <w:color w:val="auto"/>
                <w:sz w:val="24"/>
                <w:szCs w:val="24"/>
                <w:highlight w:val="none"/>
              </w:rPr>
            </w:pPr>
            <w:r>
              <w:rPr>
                <w:rFonts w:hint="eastAsia" w:ascii="宋体" w:hAnsi="宋体" w:cs="宋体"/>
                <w:color w:val="auto"/>
                <w:sz w:val="24"/>
                <w:szCs w:val="24"/>
                <w:highlight w:val="none"/>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7F641191">
            <w:pPr>
              <w:jc w:val="center"/>
              <w:rPr>
                <w:rFonts w:ascii="宋体"/>
                <w:color w:val="auto"/>
                <w:sz w:val="24"/>
                <w:szCs w:val="24"/>
                <w:highlight w:val="none"/>
              </w:rPr>
            </w:pPr>
            <w:r>
              <w:rPr>
                <w:rFonts w:hint="eastAsia" w:ascii="宋体" w:hAnsi="宋体" w:cs="宋体"/>
                <w:color w:val="auto"/>
                <w:sz w:val="24"/>
                <w:szCs w:val="24"/>
                <w:highlight w:val="none"/>
              </w:rPr>
              <w:t>响应文件对应资料</w:t>
            </w:r>
          </w:p>
        </w:tc>
        <w:tc>
          <w:tcPr>
            <w:tcW w:w="1977" w:type="dxa"/>
            <w:tcBorders>
              <w:top w:val="single" w:color="auto" w:sz="4" w:space="0"/>
              <w:left w:val="single" w:color="auto" w:sz="4" w:space="0"/>
              <w:bottom w:val="single" w:color="auto" w:sz="4" w:space="0"/>
            </w:tcBorders>
            <w:vAlign w:val="center"/>
          </w:tcPr>
          <w:p w14:paraId="7D4A0EB3">
            <w:pPr>
              <w:jc w:val="center"/>
              <w:rPr>
                <w:rFonts w:ascii="宋体"/>
                <w:color w:val="auto"/>
                <w:sz w:val="24"/>
                <w:szCs w:val="24"/>
                <w:highlight w:val="none"/>
              </w:rPr>
            </w:pPr>
            <w:r>
              <w:rPr>
                <w:rFonts w:hint="eastAsia" w:ascii="宋体" w:hAnsi="宋体" w:cs="宋体"/>
                <w:color w:val="auto"/>
                <w:sz w:val="24"/>
                <w:szCs w:val="24"/>
                <w:highlight w:val="none"/>
              </w:rPr>
              <w:t>响应文件页码</w:t>
            </w:r>
          </w:p>
        </w:tc>
      </w:tr>
      <w:tr w14:paraId="12D41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0B328934">
            <w:pPr>
              <w:jc w:val="center"/>
              <w:rPr>
                <w:rFonts w:ascii="宋体"/>
                <w:color w:val="auto"/>
                <w:sz w:val="24"/>
                <w:szCs w:val="24"/>
                <w:highlight w:val="none"/>
              </w:rPr>
            </w:pPr>
            <w:r>
              <w:rPr>
                <w:rFonts w:hint="eastAsia" w:ascii="宋体" w:hAnsi="宋体" w:cs="宋体"/>
                <w:color w:val="auto"/>
                <w:sz w:val="24"/>
                <w:szCs w:val="24"/>
                <w:highlight w:val="none"/>
              </w:rPr>
              <w:t>对应评分办法及评分标准</w:t>
            </w:r>
          </w:p>
          <w:p w14:paraId="1B9B5ADA">
            <w:pPr>
              <w:jc w:val="center"/>
              <w:rPr>
                <w:rFonts w:ascii="宋体"/>
                <w:color w:val="auto"/>
                <w:sz w:val="24"/>
                <w:szCs w:val="24"/>
                <w:highlight w:val="none"/>
              </w:rPr>
            </w:pPr>
            <w:r>
              <w:rPr>
                <w:rFonts w:hint="eastAsia" w:ascii="宋体" w:hAnsi="宋体" w:cs="宋体"/>
                <w:color w:val="auto"/>
                <w:sz w:val="24"/>
                <w:szCs w:val="24"/>
                <w:highlight w:val="none"/>
              </w:rPr>
              <w:t>（报价除外）</w:t>
            </w:r>
          </w:p>
        </w:tc>
        <w:tc>
          <w:tcPr>
            <w:tcW w:w="3060" w:type="dxa"/>
            <w:tcBorders>
              <w:top w:val="single" w:color="auto" w:sz="4" w:space="0"/>
              <w:left w:val="single" w:color="auto" w:sz="4" w:space="0"/>
              <w:bottom w:val="single" w:color="auto" w:sz="4" w:space="0"/>
              <w:right w:val="single" w:color="auto" w:sz="4" w:space="0"/>
            </w:tcBorders>
            <w:vAlign w:val="center"/>
          </w:tcPr>
          <w:p w14:paraId="5F18A138">
            <w:pPr>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5F368090">
            <w:pPr>
              <w:jc w:val="center"/>
              <w:rPr>
                <w:rFonts w:ascii="宋体"/>
                <w:color w:val="auto"/>
                <w:sz w:val="24"/>
                <w:szCs w:val="24"/>
                <w:highlight w:val="none"/>
              </w:rPr>
            </w:pPr>
          </w:p>
        </w:tc>
      </w:tr>
      <w:tr w14:paraId="772331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6FE20D5D">
            <w:pPr>
              <w:jc w:val="center"/>
              <w:rPr>
                <w:rFonts w:ascii="宋体"/>
                <w:color w:val="auto"/>
                <w:sz w:val="24"/>
                <w:szCs w:val="24"/>
                <w:highlight w:val="none"/>
              </w:rPr>
            </w:pPr>
            <w:r>
              <w:rPr>
                <w:rFonts w:hint="eastAsia" w:ascii="宋体" w:hAnsi="宋体" w:cs="宋体"/>
                <w:color w:val="auto"/>
                <w:sz w:val="24"/>
                <w:szCs w:val="24"/>
                <w:highlight w:val="none"/>
              </w:rPr>
              <w:t>……</w:t>
            </w:r>
          </w:p>
        </w:tc>
        <w:tc>
          <w:tcPr>
            <w:tcW w:w="3060" w:type="dxa"/>
            <w:tcBorders>
              <w:top w:val="single" w:color="auto" w:sz="4" w:space="0"/>
              <w:left w:val="single" w:color="auto" w:sz="4" w:space="0"/>
              <w:bottom w:val="single" w:color="auto" w:sz="4" w:space="0"/>
              <w:right w:val="single" w:color="auto" w:sz="4" w:space="0"/>
            </w:tcBorders>
            <w:vAlign w:val="center"/>
          </w:tcPr>
          <w:p w14:paraId="6A9E2DF9">
            <w:pPr>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746D8EB6">
            <w:pPr>
              <w:jc w:val="center"/>
              <w:rPr>
                <w:rFonts w:ascii="宋体"/>
                <w:color w:val="auto"/>
                <w:sz w:val="24"/>
                <w:szCs w:val="24"/>
                <w:highlight w:val="none"/>
              </w:rPr>
            </w:pPr>
          </w:p>
        </w:tc>
      </w:tr>
      <w:tr w14:paraId="17E6B8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6F3DA6A6">
            <w:pPr>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3198300E">
            <w:pPr>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167CE0EC">
            <w:pPr>
              <w:jc w:val="center"/>
              <w:rPr>
                <w:rFonts w:ascii="宋体"/>
                <w:color w:val="auto"/>
                <w:sz w:val="24"/>
                <w:szCs w:val="24"/>
                <w:highlight w:val="none"/>
              </w:rPr>
            </w:pPr>
          </w:p>
        </w:tc>
      </w:tr>
      <w:tr w14:paraId="010338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7E5D464E">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5C15B327">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797277C9">
            <w:pPr>
              <w:spacing w:line="360" w:lineRule="auto"/>
              <w:ind w:firstLine="480" w:firstLineChars="200"/>
              <w:jc w:val="center"/>
              <w:rPr>
                <w:rFonts w:ascii="宋体"/>
                <w:color w:val="auto"/>
                <w:sz w:val="24"/>
                <w:szCs w:val="24"/>
                <w:highlight w:val="none"/>
              </w:rPr>
            </w:pPr>
          </w:p>
        </w:tc>
      </w:tr>
      <w:tr w14:paraId="42E136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4188E924">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505182E0">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4E3BFBC1">
            <w:pPr>
              <w:spacing w:line="360" w:lineRule="auto"/>
              <w:ind w:firstLine="480" w:firstLineChars="200"/>
              <w:jc w:val="center"/>
              <w:rPr>
                <w:rFonts w:ascii="宋体"/>
                <w:color w:val="auto"/>
                <w:sz w:val="24"/>
                <w:szCs w:val="24"/>
                <w:highlight w:val="none"/>
              </w:rPr>
            </w:pPr>
          </w:p>
        </w:tc>
      </w:tr>
      <w:tr w14:paraId="40AB07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281484E5">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166D6A8A">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1B1F7C32">
            <w:pPr>
              <w:spacing w:line="360" w:lineRule="auto"/>
              <w:ind w:firstLine="480" w:firstLineChars="200"/>
              <w:jc w:val="center"/>
              <w:rPr>
                <w:rFonts w:ascii="宋体"/>
                <w:color w:val="auto"/>
                <w:sz w:val="24"/>
                <w:szCs w:val="24"/>
                <w:highlight w:val="none"/>
              </w:rPr>
            </w:pPr>
          </w:p>
        </w:tc>
      </w:tr>
      <w:tr w14:paraId="14B05E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53B1D362">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4EE932D5">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163CB2A1">
            <w:pPr>
              <w:spacing w:line="360" w:lineRule="auto"/>
              <w:ind w:firstLine="480" w:firstLineChars="200"/>
              <w:jc w:val="center"/>
              <w:rPr>
                <w:rFonts w:ascii="宋体"/>
                <w:color w:val="auto"/>
                <w:sz w:val="24"/>
                <w:szCs w:val="24"/>
                <w:highlight w:val="none"/>
              </w:rPr>
            </w:pPr>
          </w:p>
        </w:tc>
      </w:tr>
      <w:tr w14:paraId="324D7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008DC60A">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58070D97">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0BA57D5D">
            <w:pPr>
              <w:spacing w:line="360" w:lineRule="auto"/>
              <w:ind w:firstLine="480" w:firstLineChars="200"/>
              <w:jc w:val="center"/>
              <w:rPr>
                <w:rFonts w:ascii="宋体"/>
                <w:color w:val="auto"/>
                <w:sz w:val="24"/>
                <w:szCs w:val="24"/>
                <w:highlight w:val="none"/>
              </w:rPr>
            </w:pPr>
          </w:p>
        </w:tc>
      </w:tr>
      <w:tr w14:paraId="7299B7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7E5DDADE">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60D84FFF">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31223DDC">
            <w:pPr>
              <w:spacing w:line="360" w:lineRule="auto"/>
              <w:ind w:firstLine="480" w:firstLineChars="200"/>
              <w:jc w:val="center"/>
              <w:rPr>
                <w:rFonts w:ascii="宋体"/>
                <w:color w:val="auto"/>
                <w:sz w:val="24"/>
                <w:szCs w:val="24"/>
                <w:highlight w:val="none"/>
              </w:rPr>
            </w:pPr>
          </w:p>
        </w:tc>
      </w:tr>
    </w:tbl>
    <w:p w14:paraId="6A24BEB1">
      <w:pPr>
        <w:spacing w:line="360" w:lineRule="auto"/>
        <w:ind w:firstLine="480" w:firstLineChars="200"/>
        <w:rPr>
          <w:rFonts w:ascii="宋体"/>
          <w:color w:val="auto"/>
          <w:sz w:val="24"/>
          <w:szCs w:val="24"/>
          <w:highlight w:val="none"/>
        </w:rPr>
      </w:pPr>
    </w:p>
    <w:p w14:paraId="0D730394">
      <w:pPr>
        <w:spacing w:line="360" w:lineRule="auto"/>
        <w:ind w:left="3780" w:leftChars="1800" w:firstLine="480" w:firstLineChars="200"/>
        <w:rPr>
          <w:rFonts w:ascii="宋体"/>
          <w:color w:val="auto"/>
          <w:sz w:val="24"/>
          <w:szCs w:val="24"/>
          <w:highlight w:val="none"/>
        </w:rPr>
      </w:pPr>
    </w:p>
    <w:p w14:paraId="7DEC6D8A">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52ED0EFD">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6D3AD557">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3CCE960F">
      <w:pPr>
        <w:rPr>
          <w:color w:val="auto"/>
          <w:highlight w:val="none"/>
          <w:lang w:val="zh-CN"/>
        </w:rPr>
      </w:pPr>
    </w:p>
    <w:p w14:paraId="6C8010CF">
      <w:pPr>
        <w:rPr>
          <w:b/>
          <w:bCs/>
          <w:color w:val="auto"/>
          <w:sz w:val="24"/>
          <w:szCs w:val="24"/>
          <w:highlight w:val="none"/>
          <w:lang w:val="zh-CN"/>
        </w:rPr>
      </w:pPr>
      <w:r>
        <w:rPr>
          <w:rFonts w:hint="eastAsia" w:cs="宋体"/>
          <w:b/>
          <w:bCs/>
          <w:color w:val="auto"/>
          <w:sz w:val="24"/>
          <w:szCs w:val="24"/>
          <w:highlight w:val="none"/>
          <w:lang w:val="zh-CN"/>
        </w:rPr>
        <w:t>附件</w:t>
      </w:r>
      <w:r>
        <w:rPr>
          <w:rFonts w:hint="eastAsia" w:cs="宋体"/>
          <w:b/>
          <w:bCs/>
          <w:color w:val="auto"/>
          <w:sz w:val="24"/>
          <w:szCs w:val="24"/>
          <w:highlight w:val="none"/>
          <w:lang w:val="en-US" w:eastAsia="zh-CN"/>
        </w:rPr>
        <w:t>七</w:t>
      </w:r>
      <w:r>
        <w:rPr>
          <w:rFonts w:hint="eastAsia" w:cs="宋体"/>
          <w:b/>
          <w:bCs/>
          <w:color w:val="auto"/>
          <w:sz w:val="24"/>
          <w:szCs w:val="24"/>
          <w:highlight w:val="none"/>
        </w:rPr>
        <w:t>：</w:t>
      </w:r>
    </w:p>
    <w:p w14:paraId="63C08F7F">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供应商商务技术文件中资信分自评表</w:t>
      </w:r>
      <w:bookmarkEnd w:id="105"/>
    </w:p>
    <w:p w14:paraId="73AF061F">
      <w:pPr>
        <w:snapToGrid w:val="0"/>
        <w:spacing w:before="50"/>
        <w:jc w:val="center"/>
        <w:rPr>
          <w:rFonts w:ascii="宋体"/>
          <w:b/>
          <w:bCs/>
          <w:color w:val="auto"/>
          <w:sz w:val="32"/>
          <w:szCs w:val="32"/>
          <w:highlight w:val="none"/>
        </w:rPr>
      </w:pPr>
    </w:p>
    <w:p w14:paraId="46C394C2">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2882BFB0">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6"/>
        <w:tblW w:w="89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14:paraId="341F7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59B5D84">
            <w:pPr>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2387" w:type="dxa"/>
            <w:vAlign w:val="center"/>
          </w:tcPr>
          <w:p w14:paraId="77D79DC5">
            <w:pPr>
              <w:jc w:val="center"/>
              <w:rPr>
                <w:rFonts w:ascii="宋体"/>
                <w:color w:val="auto"/>
                <w:sz w:val="24"/>
                <w:szCs w:val="24"/>
                <w:highlight w:val="none"/>
              </w:rPr>
            </w:pPr>
            <w:r>
              <w:rPr>
                <w:rFonts w:hint="eastAsia" w:ascii="宋体" w:hAnsi="宋体" w:cs="宋体"/>
                <w:color w:val="auto"/>
                <w:sz w:val="24"/>
                <w:szCs w:val="24"/>
                <w:highlight w:val="none"/>
              </w:rPr>
              <w:t>资信分内容</w:t>
            </w:r>
          </w:p>
        </w:tc>
        <w:tc>
          <w:tcPr>
            <w:tcW w:w="1462" w:type="dxa"/>
            <w:vAlign w:val="center"/>
          </w:tcPr>
          <w:p w14:paraId="2BADF2E8">
            <w:pPr>
              <w:jc w:val="center"/>
              <w:rPr>
                <w:rFonts w:ascii="宋体"/>
                <w:color w:val="auto"/>
                <w:sz w:val="24"/>
                <w:szCs w:val="24"/>
                <w:highlight w:val="none"/>
              </w:rPr>
            </w:pPr>
            <w:r>
              <w:rPr>
                <w:rFonts w:hint="eastAsia" w:ascii="宋体" w:hAnsi="宋体" w:cs="宋体"/>
                <w:color w:val="auto"/>
                <w:sz w:val="24"/>
                <w:szCs w:val="24"/>
                <w:highlight w:val="none"/>
              </w:rPr>
              <w:t>自评得分</w:t>
            </w:r>
          </w:p>
        </w:tc>
        <w:tc>
          <w:tcPr>
            <w:tcW w:w="2415" w:type="dxa"/>
            <w:tcBorders>
              <w:right w:val="single" w:color="auto" w:sz="4" w:space="0"/>
            </w:tcBorders>
            <w:vAlign w:val="center"/>
          </w:tcPr>
          <w:p w14:paraId="71BCF6EB">
            <w:pPr>
              <w:jc w:val="center"/>
              <w:rPr>
                <w:rFonts w:ascii="宋体"/>
                <w:color w:val="auto"/>
                <w:sz w:val="24"/>
                <w:szCs w:val="24"/>
                <w:highlight w:val="none"/>
              </w:rPr>
            </w:pPr>
            <w:r>
              <w:rPr>
                <w:rFonts w:hint="eastAsia" w:ascii="宋体" w:hAnsi="宋体" w:cs="宋体"/>
                <w:color w:val="auto"/>
                <w:sz w:val="24"/>
                <w:szCs w:val="24"/>
                <w:highlight w:val="none"/>
              </w:rPr>
              <w:t>响应文件对应资料</w:t>
            </w:r>
          </w:p>
        </w:tc>
        <w:tc>
          <w:tcPr>
            <w:tcW w:w="1746" w:type="dxa"/>
            <w:tcBorders>
              <w:left w:val="single" w:color="auto" w:sz="4" w:space="0"/>
            </w:tcBorders>
            <w:vAlign w:val="center"/>
          </w:tcPr>
          <w:p w14:paraId="3DB14F47">
            <w:pPr>
              <w:jc w:val="center"/>
              <w:rPr>
                <w:rFonts w:ascii="宋体"/>
                <w:color w:val="auto"/>
                <w:sz w:val="24"/>
                <w:szCs w:val="24"/>
                <w:highlight w:val="none"/>
              </w:rPr>
            </w:pPr>
            <w:r>
              <w:rPr>
                <w:rFonts w:hint="eastAsia" w:ascii="宋体" w:hAnsi="宋体" w:cs="宋体"/>
                <w:color w:val="auto"/>
                <w:sz w:val="24"/>
                <w:szCs w:val="24"/>
                <w:highlight w:val="none"/>
              </w:rPr>
              <w:t>响应文件页码</w:t>
            </w:r>
          </w:p>
        </w:tc>
      </w:tr>
      <w:tr w14:paraId="084B1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5420AABE">
            <w:pPr>
              <w:jc w:val="center"/>
              <w:rPr>
                <w:rFonts w:ascii="宋体"/>
                <w:color w:val="auto"/>
                <w:sz w:val="24"/>
                <w:szCs w:val="24"/>
                <w:highlight w:val="none"/>
              </w:rPr>
            </w:pPr>
            <w:r>
              <w:rPr>
                <w:rFonts w:ascii="宋体" w:hAnsi="宋体" w:cs="宋体"/>
                <w:color w:val="auto"/>
                <w:sz w:val="24"/>
                <w:szCs w:val="24"/>
                <w:highlight w:val="none"/>
              </w:rPr>
              <w:t>1</w:t>
            </w:r>
          </w:p>
        </w:tc>
        <w:tc>
          <w:tcPr>
            <w:tcW w:w="2387" w:type="dxa"/>
          </w:tcPr>
          <w:p w14:paraId="75B46196">
            <w:pPr>
              <w:jc w:val="center"/>
              <w:rPr>
                <w:rFonts w:ascii="宋体"/>
                <w:color w:val="auto"/>
                <w:sz w:val="24"/>
                <w:szCs w:val="24"/>
                <w:highlight w:val="none"/>
              </w:rPr>
            </w:pPr>
          </w:p>
        </w:tc>
        <w:tc>
          <w:tcPr>
            <w:tcW w:w="1462" w:type="dxa"/>
          </w:tcPr>
          <w:p w14:paraId="2BD9329F">
            <w:pPr>
              <w:jc w:val="center"/>
              <w:rPr>
                <w:rFonts w:ascii="宋体"/>
                <w:color w:val="auto"/>
                <w:sz w:val="24"/>
                <w:szCs w:val="24"/>
                <w:highlight w:val="none"/>
              </w:rPr>
            </w:pPr>
          </w:p>
        </w:tc>
        <w:tc>
          <w:tcPr>
            <w:tcW w:w="2415" w:type="dxa"/>
            <w:tcBorders>
              <w:right w:val="single" w:color="auto" w:sz="4" w:space="0"/>
            </w:tcBorders>
          </w:tcPr>
          <w:p w14:paraId="59F2D395">
            <w:pPr>
              <w:jc w:val="center"/>
              <w:rPr>
                <w:rFonts w:ascii="宋体"/>
                <w:color w:val="auto"/>
                <w:sz w:val="24"/>
                <w:szCs w:val="24"/>
                <w:highlight w:val="none"/>
              </w:rPr>
            </w:pPr>
          </w:p>
        </w:tc>
        <w:tc>
          <w:tcPr>
            <w:tcW w:w="1746" w:type="dxa"/>
            <w:tcBorders>
              <w:left w:val="single" w:color="auto" w:sz="4" w:space="0"/>
            </w:tcBorders>
          </w:tcPr>
          <w:p w14:paraId="6A335EF6">
            <w:pPr>
              <w:jc w:val="center"/>
              <w:rPr>
                <w:rFonts w:ascii="宋体"/>
                <w:color w:val="auto"/>
                <w:sz w:val="24"/>
                <w:szCs w:val="24"/>
                <w:highlight w:val="none"/>
              </w:rPr>
            </w:pPr>
          </w:p>
        </w:tc>
      </w:tr>
      <w:tr w14:paraId="625F2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1B508C0">
            <w:pPr>
              <w:jc w:val="center"/>
              <w:rPr>
                <w:rFonts w:ascii="宋体"/>
                <w:color w:val="auto"/>
                <w:sz w:val="24"/>
                <w:szCs w:val="24"/>
                <w:highlight w:val="none"/>
              </w:rPr>
            </w:pPr>
            <w:r>
              <w:rPr>
                <w:rFonts w:ascii="宋体" w:hAnsi="宋体" w:cs="宋体"/>
                <w:color w:val="auto"/>
                <w:sz w:val="24"/>
                <w:szCs w:val="24"/>
                <w:highlight w:val="none"/>
              </w:rPr>
              <w:t>2</w:t>
            </w:r>
          </w:p>
        </w:tc>
        <w:tc>
          <w:tcPr>
            <w:tcW w:w="2387" w:type="dxa"/>
          </w:tcPr>
          <w:p w14:paraId="2093381B">
            <w:pPr>
              <w:jc w:val="center"/>
              <w:rPr>
                <w:rFonts w:ascii="宋体"/>
                <w:color w:val="auto"/>
                <w:sz w:val="24"/>
                <w:szCs w:val="24"/>
                <w:highlight w:val="none"/>
              </w:rPr>
            </w:pPr>
          </w:p>
        </w:tc>
        <w:tc>
          <w:tcPr>
            <w:tcW w:w="1462" w:type="dxa"/>
          </w:tcPr>
          <w:p w14:paraId="600EA331">
            <w:pPr>
              <w:jc w:val="center"/>
              <w:rPr>
                <w:rFonts w:ascii="宋体"/>
                <w:color w:val="auto"/>
                <w:sz w:val="24"/>
                <w:szCs w:val="24"/>
                <w:highlight w:val="none"/>
              </w:rPr>
            </w:pPr>
          </w:p>
        </w:tc>
        <w:tc>
          <w:tcPr>
            <w:tcW w:w="2415" w:type="dxa"/>
            <w:tcBorders>
              <w:right w:val="single" w:color="auto" w:sz="4" w:space="0"/>
            </w:tcBorders>
          </w:tcPr>
          <w:p w14:paraId="1DF7FB8A">
            <w:pPr>
              <w:jc w:val="center"/>
              <w:rPr>
                <w:rFonts w:ascii="宋体"/>
                <w:color w:val="auto"/>
                <w:sz w:val="24"/>
                <w:szCs w:val="24"/>
                <w:highlight w:val="none"/>
              </w:rPr>
            </w:pPr>
          </w:p>
        </w:tc>
        <w:tc>
          <w:tcPr>
            <w:tcW w:w="1746" w:type="dxa"/>
            <w:tcBorders>
              <w:left w:val="single" w:color="auto" w:sz="4" w:space="0"/>
            </w:tcBorders>
          </w:tcPr>
          <w:p w14:paraId="6E37F8AA">
            <w:pPr>
              <w:jc w:val="center"/>
              <w:rPr>
                <w:rFonts w:ascii="宋体"/>
                <w:color w:val="auto"/>
                <w:sz w:val="24"/>
                <w:szCs w:val="24"/>
                <w:highlight w:val="none"/>
              </w:rPr>
            </w:pPr>
          </w:p>
        </w:tc>
      </w:tr>
      <w:tr w14:paraId="1D12C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56B8C5E0">
            <w:pPr>
              <w:jc w:val="center"/>
              <w:rPr>
                <w:rFonts w:ascii="宋体"/>
                <w:color w:val="auto"/>
                <w:sz w:val="24"/>
                <w:szCs w:val="24"/>
                <w:highlight w:val="none"/>
              </w:rPr>
            </w:pPr>
            <w:r>
              <w:rPr>
                <w:rFonts w:ascii="宋体" w:hAnsi="宋体" w:cs="宋体"/>
                <w:color w:val="auto"/>
                <w:sz w:val="24"/>
                <w:szCs w:val="24"/>
                <w:highlight w:val="none"/>
              </w:rPr>
              <w:t>3</w:t>
            </w:r>
          </w:p>
        </w:tc>
        <w:tc>
          <w:tcPr>
            <w:tcW w:w="2387" w:type="dxa"/>
          </w:tcPr>
          <w:p w14:paraId="152539E6">
            <w:pPr>
              <w:jc w:val="center"/>
              <w:rPr>
                <w:rFonts w:ascii="宋体"/>
                <w:color w:val="auto"/>
                <w:sz w:val="24"/>
                <w:szCs w:val="24"/>
                <w:highlight w:val="none"/>
              </w:rPr>
            </w:pPr>
          </w:p>
        </w:tc>
        <w:tc>
          <w:tcPr>
            <w:tcW w:w="1462" w:type="dxa"/>
          </w:tcPr>
          <w:p w14:paraId="7629435F">
            <w:pPr>
              <w:jc w:val="center"/>
              <w:rPr>
                <w:rFonts w:ascii="宋体"/>
                <w:color w:val="auto"/>
                <w:sz w:val="24"/>
                <w:szCs w:val="24"/>
                <w:highlight w:val="none"/>
              </w:rPr>
            </w:pPr>
          </w:p>
        </w:tc>
        <w:tc>
          <w:tcPr>
            <w:tcW w:w="2415" w:type="dxa"/>
            <w:tcBorders>
              <w:right w:val="single" w:color="auto" w:sz="4" w:space="0"/>
            </w:tcBorders>
          </w:tcPr>
          <w:p w14:paraId="13846A56">
            <w:pPr>
              <w:jc w:val="center"/>
              <w:rPr>
                <w:rFonts w:ascii="宋体"/>
                <w:color w:val="auto"/>
                <w:sz w:val="24"/>
                <w:szCs w:val="24"/>
                <w:highlight w:val="none"/>
              </w:rPr>
            </w:pPr>
          </w:p>
        </w:tc>
        <w:tc>
          <w:tcPr>
            <w:tcW w:w="1746" w:type="dxa"/>
            <w:tcBorders>
              <w:left w:val="single" w:color="auto" w:sz="4" w:space="0"/>
            </w:tcBorders>
          </w:tcPr>
          <w:p w14:paraId="6E97C10F">
            <w:pPr>
              <w:jc w:val="center"/>
              <w:rPr>
                <w:rFonts w:ascii="宋体"/>
                <w:color w:val="auto"/>
                <w:sz w:val="24"/>
                <w:szCs w:val="24"/>
                <w:highlight w:val="none"/>
              </w:rPr>
            </w:pPr>
          </w:p>
        </w:tc>
      </w:tr>
      <w:tr w14:paraId="62E30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E70B57B">
            <w:pPr>
              <w:jc w:val="center"/>
              <w:rPr>
                <w:rFonts w:ascii="宋体"/>
                <w:color w:val="auto"/>
                <w:sz w:val="24"/>
                <w:szCs w:val="24"/>
                <w:highlight w:val="none"/>
              </w:rPr>
            </w:pPr>
            <w:r>
              <w:rPr>
                <w:rFonts w:ascii="宋体" w:hAnsi="宋体" w:cs="宋体"/>
                <w:color w:val="auto"/>
                <w:sz w:val="24"/>
                <w:szCs w:val="24"/>
                <w:highlight w:val="none"/>
              </w:rPr>
              <w:t>4</w:t>
            </w:r>
          </w:p>
        </w:tc>
        <w:tc>
          <w:tcPr>
            <w:tcW w:w="2387" w:type="dxa"/>
          </w:tcPr>
          <w:p w14:paraId="051DBD4C">
            <w:pPr>
              <w:jc w:val="center"/>
              <w:rPr>
                <w:rFonts w:ascii="宋体"/>
                <w:color w:val="auto"/>
                <w:sz w:val="24"/>
                <w:szCs w:val="24"/>
                <w:highlight w:val="none"/>
              </w:rPr>
            </w:pPr>
          </w:p>
        </w:tc>
        <w:tc>
          <w:tcPr>
            <w:tcW w:w="1462" w:type="dxa"/>
          </w:tcPr>
          <w:p w14:paraId="278BDDF6">
            <w:pPr>
              <w:jc w:val="center"/>
              <w:rPr>
                <w:rFonts w:ascii="宋体"/>
                <w:color w:val="auto"/>
                <w:sz w:val="24"/>
                <w:szCs w:val="24"/>
                <w:highlight w:val="none"/>
              </w:rPr>
            </w:pPr>
          </w:p>
        </w:tc>
        <w:tc>
          <w:tcPr>
            <w:tcW w:w="2415" w:type="dxa"/>
            <w:tcBorders>
              <w:right w:val="single" w:color="auto" w:sz="4" w:space="0"/>
            </w:tcBorders>
          </w:tcPr>
          <w:p w14:paraId="0FBF82CF">
            <w:pPr>
              <w:jc w:val="center"/>
              <w:rPr>
                <w:rFonts w:ascii="宋体"/>
                <w:color w:val="auto"/>
                <w:sz w:val="24"/>
                <w:szCs w:val="24"/>
                <w:highlight w:val="none"/>
              </w:rPr>
            </w:pPr>
          </w:p>
        </w:tc>
        <w:tc>
          <w:tcPr>
            <w:tcW w:w="1746" w:type="dxa"/>
            <w:tcBorders>
              <w:left w:val="single" w:color="auto" w:sz="4" w:space="0"/>
            </w:tcBorders>
          </w:tcPr>
          <w:p w14:paraId="1D5A1D36">
            <w:pPr>
              <w:jc w:val="center"/>
              <w:rPr>
                <w:rFonts w:ascii="宋体"/>
                <w:color w:val="auto"/>
                <w:sz w:val="24"/>
                <w:szCs w:val="24"/>
                <w:highlight w:val="none"/>
              </w:rPr>
            </w:pPr>
          </w:p>
        </w:tc>
      </w:tr>
      <w:tr w14:paraId="1EBB0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0D16EA34">
            <w:pPr>
              <w:jc w:val="center"/>
              <w:rPr>
                <w:rFonts w:ascii="宋体"/>
                <w:color w:val="auto"/>
                <w:sz w:val="24"/>
                <w:szCs w:val="24"/>
                <w:highlight w:val="none"/>
              </w:rPr>
            </w:pPr>
            <w:r>
              <w:rPr>
                <w:rFonts w:ascii="宋体" w:hAnsi="宋体" w:cs="宋体"/>
                <w:color w:val="auto"/>
                <w:sz w:val="24"/>
                <w:szCs w:val="24"/>
                <w:highlight w:val="none"/>
              </w:rPr>
              <w:t>5</w:t>
            </w:r>
          </w:p>
        </w:tc>
        <w:tc>
          <w:tcPr>
            <w:tcW w:w="2387" w:type="dxa"/>
          </w:tcPr>
          <w:p w14:paraId="1E76860A">
            <w:pPr>
              <w:jc w:val="center"/>
              <w:rPr>
                <w:rFonts w:ascii="宋体"/>
                <w:color w:val="auto"/>
                <w:sz w:val="24"/>
                <w:szCs w:val="24"/>
                <w:highlight w:val="none"/>
              </w:rPr>
            </w:pPr>
          </w:p>
        </w:tc>
        <w:tc>
          <w:tcPr>
            <w:tcW w:w="1462" w:type="dxa"/>
          </w:tcPr>
          <w:p w14:paraId="27CF2A35">
            <w:pPr>
              <w:jc w:val="center"/>
              <w:rPr>
                <w:rFonts w:ascii="宋体"/>
                <w:color w:val="auto"/>
                <w:sz w:val="24"/>
                <w:szCs w:val="24"/>
                <w:highlight w:val="none"/>
              </w:rPr>
            </w:pPr>
          </w:p>
        </w:tc>
        <w:tc>
          <w:tcPr>
            <w:tcW w:w="2415" w:type="dxa"/>
            <w:tcBorders>
              <w:right w:val="single" w:color="auto" w:sz="4" w:space="0"/>
            </w:tcBorders>
          </w:tcPr>
          <w:p w14:paraId="345487B8">
            <w:pPr>
              <w:jc w:val="center"/>
              <w:rPr>
                <w:rFonts w:ascii="宋体"/>
                <w:color w:val="auto"/>
                <w:sz w:val="24"/>
                <w:szCs w:val="24"/>
                <w:highlight w:val="none"/>
              </w:rPr>
            </w:pPr>
          </w:p>
        </w:tc>
        <w:tc>
          <w:tcPr>
            <w:tcW w:w="1746" w:type="dxa"/>
            <w:tcBorders>
              <w:left w:val="single" w:color="auto" w:sz="4" w:space="0"/>
            </w:tcBorders>
          </w:tcPr>
          <w:p w14:paraId="5892CA87">
            <w:pPr>
              <w:jc w:val="center"/>
              <w:rPr>
                <w:rFonts w:ascii="宋体"/>
                <w:color w:val="auto"/>
                <w:sz w:val="24"/>
                <w:szCs w:val="24"/>
                <w:highlight w:val="none"/>
              </w:rPr>
            </w:pPr>
          </w:p>
        </w:tc>
      </w:tr>
      <w:tr w14:paraId="17805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BC2F6F8">
            <w:pPr>
              <w:jc w:val="center"/>
              <w:rPr>
                <w:rFonts w:ascii="宋体"/>
                <w:color w:val="auto"/>
                <w:sz w:val="24"/>
                <w:szCs w:val="24"/>
                <w:highlight w:val="none"/>
              </w:rPr>
            </w:pPr>
            <w:r>
              <w:rPr>
                <w:rFonts w:ascii="宋体" w:hAnsi="宋体" w:cs="宋体"/>
                <w:color w:val="auto"/>
                <w:sz w:val="24"/>
                <w:szCs w:val="24"/>
                <w:highlight w:val="none"/>
              </w:rPr>
              <w:t>6</w:t>
            </w:r>
          </w:p>
        </w:tc>
        <w:tc>
          <w:tcPr>
            <w:tcW w:w="2387" w:type="dxa"/>
          </w:tcPr>
          <w:p w14:paraId="75E30D8E">
            <w:pPr>
              <w:jc w:val="center"/>
              <w:rPr>
                <w:rFonts w:ascii="宋体"/>
                <w:color w:val="auto"/>
                <w:sz w:val="24"/>
                <w:szCs w:val="24"/>
                <w:highlight w:val="none"/>
              </w:rPr>
            </w:pPr>
          </w:p>
        </w:tc>
        <w:tc>
          <w:tcPr>
            <w:tcW w:w="1462" w:type="dxa"/>
          </w:tcPr>
          <w:p w14:paraId="6BAF1AF8">
            <w:pPr>
              <w:jc w:val="center"/>
              <w:rPr>
                <w:rFonts w:ascii="宋体"/>
                <w:color w:val="auto"/>
                <w:sz w:val="24"/>
                <w:szCs w:val="24"/>
                <w:highlight w:val="none"/>
              </w:rPr>
            </w:pPr>
          </w:p>
        </w:tc>
        <w:tc>
          <w:tcPr>
            <w:tcW w:w="2415" w:type="dxa"/>
            <w:tcBorders>
              <w:right w:val="single" w:color="auto" w:sz="4" w:space="0"/>
            </w:tcBorders>
          </w:tcPr>
          <w:p w14:paraId="3419639F">
            <w:pPr>
              <w:jc w:val="center"/>
              <w:rPr>
                <w:rFonts w:ascii="宋体"/>
                <w:color w:val="auto"/>
                <w:sz w:val="24"/>
                <w:szCs w:val="24"/>
                <w:highlight w:val="none"/>
              </w:rPr>
            </w:pPr>
          </w:p>
        </w:tc>
        <w:tc>
          <w:tcPr>
            <w:tcW w:w="1746" w:type="dxa"/>
            <w:tcBorders>
              <w:left w:val="single" w:color="auto" w:sz="4" w:space="0"/>
            </w:tcBorders>
          </w:tcPr>
          <w:p w14:paraId="35A9BFD4">
            <w:pPr>
              <w:jc w:val="center"/>
              <w:rPr>
                <w:rFonts w:ascii="宋体"/>
                <w:color w:val="auto"/>
                <w:sz w:val="24"/>
                <w:szCs w:val="24"/>
                <w:highlight w:val="none"/>
              </w:rPr>
            </w:pPr>
          </w:p>
        </w:tc>
      </w:tr>
      <w:tr w14:paraId="77061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CBCC843">
            <w:pPr>
              <w:jc w:val="center"/>
              <w:rPr>
                <w:rFonts w:ascii="宋体"/>
                <w:color w:val="auto"/>
                <w:sz w:val="24"/>
                <w:szCs w:val="24"/>
                <w:highlight w:val="none"/>
              </w:rPr>
            </w:pPr>
            <w:r>
              <w:rPr>
                <w:rFonts w:ascii="宋体" w:hAnsi="宋体" w:cs="宋体"/>
                <w:color w:val="auto"/>
                <w:sz w:val="24"/>
                <w:szCs w:val="24"/>
                <w:highlight w:val="none"/>
              </w:rPr>
              <w:t>7</w:t>
            </w:r>
          </w:p>
        </w:tc>
        <w:tc>
          <w:tcPr>
            <w:tcW w:w="2387" w:type="dxa"/>
          </w:tcPr>
          <w:p w14:paraId="5E5BE186">
            <w:pPr>
              <w:jc w:val="center"/>
              <w:rPr>
                <w:rFonts w:ascii="宋体"/>
                <w:color w:val="auto"/>
                <w:sz w:val="24"/>
                <w:szCs w:val="24"/>
                <w:highlight w:val="none"/>
              </w:rPr>
            </w:pPr>
          </w:p>
        </w:tc>
        <w:tc>
          <w:tcPr>
            <w:tcW w:w="1462" w:type="dxa"/>
          </w:tcPr>
          <w:p w14:paraId="389A4DAE">
            <w:pPr>
              <w:jc w:val="center"/>
              <w:rPr>
                <w:rFonts w:ascii="宋体"/>
                <w:color w:val="auto"/>
                <w:sz w:val="24"/>
                <w:szCs w:val="24"/>
                <w:highlight w:val="none"/>
              </w:rPr>
            </w:pPr>
          </w:p>
        </w:tc>
        <w:tc>
          <w:tcPr>
            <w:tcW w:w="2415" w:type="dxa"/>
            <w:tcBorders>
              <w:right w:val="single" w:color="auto" w:sz="4" w:space="0"/>
            </w:tcBorders>
          </w:tcPr>
          <w:p w14:paraId="0BF19292">
            <w:pPr>
              <w:jc w:val="center"/>
              <w:rPr>
                <w:rFonts w:ascii="宋体"/>
                <w:color w:val="auto"/>
                <w:sz w:val="24"/>
                <w:szCs w:val="24"/>
                <w:highlight w:val="none"/>
              </w:rPr>
            </w:pPr>
          </w:p>
        </w:tc>
        <w:tc>
          <w:tcPr>
            <w:tcW w:w="1746" w:type="dxa"/>
            <w:tcBorders>
              <w:left w:val="single" w:color="auto" w:sz="4" w:space="0"/>
            </w:tcBorders>
          </w:tcPr>
          <w:p w14:paraId="129203B6">
            <w:pPr>
              <w:jc w:val="center"/>
              <w:rPr>
                <w:rFonts w:ascii="宋体"/>
                <w:color w:val="auto"/>
                <w:sz w:val="24"/>
                <w:szCs w:val="24"/>
                <w:highlight w:val="none"/>
              </w:rPr>
            </w:pPr>
          </w:p>
        </w:tc>
      </w:tr>
      <w:tr w14:paraId="30696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5AA0E37D">
            <w:pPr>
              <w:jc w:val="center"/>
              <w:rPr>
                <w:rFonts w:ascii="宋体"/>
                <w:color w:val="auto"/>
                <w:sz w:val="24"/>
                <w:szCs w:val="24"/>
                <w:highlight w:val="none"/>
              </w:rPr>
            </w:pPr>
            <w:r>
              <w:rPr>
                <w:rFonts w:ascii="宋体" w:hAnsi="宋体" w:cs="宋体"/>
                <w:color w:val="auto"/>
                <w:sz w:val="24"/>
                <w:szCs w:val="24"/>
                <w:highlight w:val="none"/>
              </w:rPr>
              <w:t>8</w:t>
            </w:r>
          </w:p>
        </w:tc>
        <w:tc>
          <w:tcPr>
            <w:tcW w:w="2387" w:type="dxa"/>
          </w:tcPr>
          <w:p w14:paraId="156EB2E8">
            <w:pPr>
              <w:jc w:val="center"/>
              <w:rPr>
                <w:rFonts w:ascii="宋体"/>
                <w:color w:val="auto"/>
                <w:sz w:val="24"/>
                <w:szCs w:val="24"/>
                <w:highlight w:val="none"/>
              </w:rPr>
            </w:pPr>
          </w:p>
        </w:tc>
        <w:tc>
          <w:tcPr>
            <w:tcW w:w="1462" w:type="dxa"/>
          </w:tcPr>
          <w:p w14:paraId="40CE0E0F">
            <w:pPr>
              <w:jc w:val="center"/>
              <w:rPr>
                <w:rFonts w:ascii="宋体"/>
                <w:color w:val="auto"/>
                <w:sz w:val="24"/>
                <w:szCs w:val="24"/>
                <w:highlight w:val="none"/>
              </w:rPr>
            </w:pPr>
          </w:p>
        </w:tc>
        <w:tc>
          <w:tcPr>
            <w:tcW w:w="2415" w:type="dxa"/>
            <w:tcBorders>
              <w:right w:val="single" w:color="auto" w:sz="4" w:space="0"/>
            </w:tcBorders>
          </w:tcPr>
          <w:p w14:paraId="2CE63EE5">
            <w:pPr>
              <w:jc w:val="center"/>
              <w:rPr>
                <w:rFonts w:ascii="宋体"/>
                <w:color w:val="auto"/>
                <w:sz w:val="24"/>
                <w:szCs w:val="24"/>
                <w:highlight w:val="none"/>
              </w:rPr>
            </w:pPr>
          </w:p>
        </w:tc>
        <w:tc>
          <w:tcPr>
            <w:tcW w:w="1746" w:type="dxa"/>
            <w:tcBorders>
              <w:left w:val="single" w:color="auto" w:sz="4" w:space="0"/>
            </w:tcBorders>
          </w:tcPr>
          <w:p w14:paraId="35AD58E6">
            <w:pPr>
              <w:jc w:val="center"/>
              <w:rPr>
                <w:rFonts w:ascii="宋体"/>
                <w:color w:val="auto"/>
                <w:sz w:val="24"/>
                <w:szCs w:val="24"/>
                <w:highlight w:val="none"/>
              </w:rPr>
            </w:pPr>
          </w:p>
        </w:tc>
      </w:tr>
      <w:tr w14:paraId="28185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DF1255F">
            <w:pPr>
              <w:jc w:val="center"/>
              <w:rPr>
                <w:rFonts w:ascii="宋体"/>
                <w:color w:val="auto"/>
                <w:sz w:val="24"/>
                <w:szCs w:val="24"/>
                <w:highlight w:val="none"/>
              </w:rPr>
            </w:pPr>
            <w:r>
              <w:rPr>
                <w:rFonts w:hint="eastAsia" w:ascii="宋体" w:hAnsi="宋体" w:cs="宋体"/>
                <w:color w:val="auto"/>
                <w:sz w:val="24"/>
                <w:szCs w:val="24"/>
                <w:highlight w:val="none"/>
              </w:rPr>
              <w:t>合计</w:t>
            </w:r>
          </w:p>
        </w:tc>
        <w:tc>
          <w:tcPr>
            <w:tcW w:w="2387" w:type="dxa"/>
          </w:tcPr>
          <w:p w14:paraId="302BBAEF">
            <w:pPr>
              <w:jc w:val="center"/>
              <w:rPr>
                <w:rFonts w:ascii="宋体"/>
                <w:color w:val="auto"/>
                <w:sz w:val="24"/>
                <w:szCs w:val="24"/>
                <w:highlight w:val="none"/>
              </w:rPr>
            </w:pPr>
          </w:p>
        </w:tc>
        <w:tc>
          <w:tcPr>
            <w:tcW w:w="1462" w:type="dxa"/>
          </w:tcPr>
          <w:p w14:paraId="30AEB916">
            <w:pPr>
              <w:jc w:val="center"/>
              <w:rPr>
                <w:rFonts w:ascii="宋体"/>
                <w:color w:val="auto"/>
                <w:sz w:val="24"/>
                <w:szCs w:val="24"/>
                <w:highlight w:val="none"/>
              </w:rPr>
            </w:pPr>
          </w:p>
        </w:tc>
        <w:tc>
          <w:tcPr>
            <w:tcW w:w="2415" w:type="dxa"/>
            <w:tcBorders>
              <w:right w:val="single" w:color="auto" w:sz="4" w:space="0"/>
            </w:tcBorders>
          </w:tcPr>
          <w:p w14:paraId="777B2FF3">
            <w:pPr>
              <w:jc w:val="center"/>
              <w:rPr>
                <w:rFonts w:ascii="宋体"/>
                <w:color w:val="auto"/>
                <w:sz w:val="24"/>
                <w:szCs w:val="24"/>
                <w:highlight w:val="none"/>
              </w:rPr>
            </w:pPr>
          </w:p>
        </w:tc>
        <w:tc>
          <w:tcPr>
            <w:tcW w:w="1746" w:type="dxa"/>
            <w:tcBorders>
              <w:left w:val="single" w:color="auto" w:sz="4" w:space="0"/>
            </w:tcBorders>
          </w:tcPr>
          <w:p w14:paraId="7DCAF059">
            <w:pPr>
              <w:jc w:val="center"/>
              <w:rPr>
                <w:rFonts w:ascii="宋体"/>
                <w:color w:val="auto"/>
                <w:sz w:val="24"/>
                <w:szCs w:val="24"/>
                <w:highlight w:val="none"/>
              </w:rPr>
            </w:pPr>
          </w:p>
        </w:tc>
      </w:tr>
    </w:tbl>
    <w:p w14:paraId="20C4CC4C">
      <w:pPr>
        <w:spacing w:line="360" w:lineRule="auto"/>
        <w:ind w:firstLine="480" w:firstLineChars="200"/>
        <w:rPr>
          <w:rFonts w:ascii="宋体"/>
          <w:color w:val="auto"/>
          <w:sz w:val="24"/>
          <w:szCs w:val="24"/>
          <w:highlight w:val="none"/>
        </w:rPr>
      </w:pPr>
    </w:p>
    <w:p w14:paraId="1C89164A">
      <w:pPr>
        <w:spacing w:line="360" w:lineRule="auto"/>
        <w:ind w:left="3780" w:leftChars="1800" w:firstLine="480" w:firstLineChars="200"/>
        <w:rPr>
          <w:rFonts w:ascii="宋体"/>
          <w:color w:val="auto"/>
          <w:sz w:val="24"/>
          <w:szCs w:val="24"/>
          <w:highlight w:val="none"/>
        </w:rPr>
      </w:pPr>
    </w:p>
    <w:p w14:paraId="74E21F0D">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0E4E58EC">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79A308D8">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49CBEE97">
      <w:pPr>
        <w:snapToGrid w:val="0"/>
        <w:spacing w:before="50" w:afterLines="50"/>
        <w:jc w:val="left"/>
        <w:rPr>
          <w:rFonts w:ascii="宋体"/>
          <w:b/>
          <w:bCs/>
          <w:color w:val="auto"/>
          <w:sz w:val="24"/>
          <w:szCs w:val="24"/>
          <w:highlight w:val="none"/>
          <w:lang w:val="zh-CN"/>
        </w:rPr>
      </w:pPr>
      <w:r>
        <w:rPr>
          <w:rFonts w:ascii="宋体"/>
          <w:b/>
          <w:bCs/>
          <w:color w:val="auto"/>
          <w:sz w:val="30"/>
          <w:szCs w:val="30"/>
          <w:highlight w:val="none"/>
        </w:rPr>
        <w:br w:type="page"/>
      </w: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八</w:t>
      </w:r>
      <w:r>
        <w:rPr>
          <w:rFonts w:hint="eastAsia" w:ascii="宋体" w:hAnsi="宋体" w:cs="宋体"/>
          <w:b/>
          <w:bCs/>
          <w:color w:val="auto"/>
          <w:sz w:val="24"/>
          <w:szCs w:val="24"/>
          <w:highlight w:val="none"/>
          <w:lang w:val="zh-CN"/>
        </w:rPr>
        <w:t>：</w:t>
      </w:r>
    </w:p>
    <w:p w14:paraId="651F9E0D">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lang w:val="en-US" w:eastAsia="zh-CN"/>
        </w:rPr>
        <w:t>磋商</w:t>
      </w:r>
      <w:r>
        <w:rPr>
          <w:rFonts w:hint="eastAsia" w:ascii="宋体" w:hAnsi="宋体" w:cs="宋体"/>
          <w:b/>
          <w:bCs/>
          <w:color w:val="auto"/>
          <w:sz w:val="32"/>
          <w:szCs w:val="32"/>
          <w:highlight w:val="none"/>
        </w:rPr>
        <w:t>项目明细清单</w:t>
      </w:r>
    </w:p>
    <w:p w14:paraId="6181BB29">
      <w:pPr>
        <w:spacing w:line="360" w:lineRule="auto"/>
        <w:ind w:firstLine="480" w:firstLineChars="200"/>
        <w:rPr>
          <w:rFonts w:ascii="宋体"/>
          <w:color w:val="auto"/>
          <w:sz w:val="24"/>
          <w:szCs w:val="24"/>
          <w:highlight w:val="none"/>
        </w:rPr>
      </w:pPr>
    </w:p>
    <w:p w14:paraId="29909B37">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6434BA15">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6"/>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41F8F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31DD0342">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1A9F12F6">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2FD8C3FA">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服务人员数量</w:t>
            </w:r>
          </w:p>
        </w:tc>
        <w:tc>
          <w:tcPr>
            <w:tcW w:w="2830" w:type="dxa"/>
            <w:tcBorders>
              <w:top w:val="single" w:color="auto" w:sz="4" w:space="0"/>
              <w:left w:val="single" w:color="auto" w:sz="4" w:space="0"/>
              <w:bottom w:val="single" w:color="auto" w:sz="4" w:space="0"/>
            </w:tcBorders>
            <w:vAlign w:val="center"/>
          </w:tcPr>
          <w:p w14:paraId="5536BD3A">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工作量</w:t>
            </w:r>
          </w:p>
        </w:tc>
      </w:tr>
      <w:tr w14:paraId="5B7758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04598EBF">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6A7FE4F3">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72285098">
            <w:pPr>
              <w:snapToGrid w:val="0"/>
              <w:spacing w:before="50" w:after="50"/>
              <w:ind w:left="480" w:hanging="480"/>
              <w:jc w:val="center"/>
              <w:rPr>
                <w:rFonts w:ascii="宋体"/>
                <w:color w:val="auto"/>
                <w:sz w:val="24"/>
                <w:szCs w:val="24"/>
                <w:highlight w:val="none"/>
              </w:rPr>
            </w:pPr>
          </w:p>
        </w:tc>
        <w:tc>
          <w:tcPr>
            <w:tcW w:w="2830" w:type="dxa"/>
            <w:tcBorders>
              <w:top w:val="single" w:color="auto" w:sz="4" w:space="0"/>
              <w:left w:val="single" w:color="auto" w:sz="4" w:space="0"/>
              <w:bottom w:val="single" w:color="auto" w:sz="4" w:space="0"/>
            </w:tcBorders>
            <w:vAlign w:val="center"/>
          </w:tcPr>
          <w:p w14:paraId="5AA60146">
            <w:pPr>
              <w:snapToGrid w:val="0"/>
              <w:spacing w:before="50" w:after="50"/>
              <w:jc w:val="center"/>
              <w:rPr>
                <w:rFonts w:ascii="宋体"/>
                <w:color w:val="auto"/>
                <w:sz w:val="24"/>
                <w:szCs w:val="24"/>
                <w:highlight w:val="none"/>
              </w:rPr>
            </w:pPr>
          </w:p>
        </w:tc>
      </w:tr>
      <w:tr w14:paraId="371C0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4B2E5F37">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2FDE940D">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4CECDBD1">
            <w:pPr>
              <w:snapToGrid w:val="0"/>
              <w:spacing w:before="50" w:after="50"/>
              <w:ind w:left="480" w:hanging="480"/>
              <w:jc w:val="center"/>
              <w:rPr>
                <w:rFonts w:ascii="宋体"/>
                <w:color w:val="auto"/>
                <w:sz w:val="24"/>
                <w:szCs w:val="24"/>
                <w:highlight w:val="none"/>
              </w:rPr>
            </w:pPr>
          </w:p>
        </w:tc>
        <w:tc>
          <w:tcPr>
            <w:tcW w:w="2830" w:type="dxa"/>
            <w:tcBorders>
              <w:top w:val="single" w:color="auto" w:sz="4" w:space="0"/>
              <w:left w:val="single" w:color="auto" w:sz="4" w:space="0"/>
              <w:bottom w:val="single" w:color="auto" w:sz="4" w:space="0"/>
            </w:tcBorders>
            <w:vAlign w:val="center"/>
          </w:tcPr>
          <w:p w14:paraId="60605F68">
            <w:pPr>
              <w:snapToGrid w:val="0"/>
              <w:spacing w:before="50" w:after="50"/>
              <w:jc w:val="center"/>
              <w:rPr>
                <w:rFonts w:ascii="宋体"/>
                <w:color w:val="auto"/>
                <w:sz w:val="24"/>
                <w:szCs w:val="24"/>
                <w:highlight w:val="none"/>
              </w:rPr>
            </w:pPr>
          </w:p>
        </w:tc>
      </w:tr>
    </w:tbl>
    <w:p w14:paraId="0C8BD027">
      <w:pPr>
        <w:snapToGrid w:val="0"/>
        <w:spacing w:beforeLines="50"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注：在填写时，如上表不适合本项目的实际情况，可在确保投标明细内容完整的情况下，根据上表格式自行划表填写。</w:t>
      </w:r>
    </w:p>
    <w:p w14:paraId="774204BE">
      <w:pPr>
        <w:pStyle w:val="3"/>
        <w:rPr>
          <w:rFonts w:cs="Times New Roman"/>
          <w:color w:val="auto"/>
          <w:highlight w:val="none"/>
        </w:rPr>
      </w:pPr>
    </w:p>
    <w:p w14:paraId="36B6C3EE">
      <w:pPr>
        <w:pStyle w:val="3"/>
        <w:rPr>
          <w:rFonts w:cs="Times New Roman"/>
          <w:color w:val="auto"/>
          <w:highlight w:val="none"/>
        </w:rPr>
      </w:pPr>
    </w:p>
    <w:p w14:paraId="177D6553">
      <w:pPr>
        <w:pStyle w:val="3"/>
        <w:rPr>
          <w:rFonts w:cs="Times New Roman"/>
          <w:color w:val="auto"/>
          <w:highlight w:val="none"/>
        </w:rPr>
      </w:pPr>
    </w:p>
    <w:p w14:paraId="364A8595">
      <w:pPr>
        <w:snapToGrid w:val="0"/>
        <w:spacing w:beforeLines="50"/>
        <w:rPr>
          <w:rFonts w:ascii="宋体"/>
          <w:color w:val="auto"/>
          <w:sz w:val="24"/>
          <w:szCs w:val="24"/>
          <w:highlight w:val="none"/>
        </w:rPr>
      </w:pPr>
    </w:p>
    <w:p w14:paraId="5766408C">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642BDC59">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4FAB107F">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0BB93155">
      <w:pPr>
        <w:snapToGrid w:val="0"/>
        <w:spacing w:before="50" w:after="50"/>
        <w:rPr>
          <w:rFonts w:ascii="宋体"/>
          <w:color w:val="auto"/>
          <w:spacing w:val="20"/>
          <w:sz w:val="24"/>
          <w:szCs w:val="24"/>
          <w:highlight w:val="none"/>
        </w:rPr>
      </w:pPr>
    </w:p>
    <w:p w14:paraId="73630FA7">
      <w:pPr>
        <w:snapToGrid w:val="0"/>
        <w:spacing w:before="50" w:after="50"/>
        <w:rPr>
          <w:rFonts w:ascii="宋体"/>
          <w:color w:val="auto"/>
          <w:spacing w:val="20"/>
          <w:sz w:val="30"/>
          <w:szCs w:val="30"/>
          <w:highlight w:val="none"/>
        </w:rPr>
      </w:pPr>
    </w:p>
    <w:p w14:paraId="2F5E1354">
      <w:pPr>
        <w:pStyle w:val="3"/>
        <w:ind w:firstLine="686"/>
        <w:rPr>
          <w:rFonts w:cs="Times New Roman"/>
          <w:color w:val="auto"/>
          <w:spacing w:val="20"/>
          <w:sz w:val="30"/>
          <w:szCs w:val="30"/>
          <w:highlight w:val="none"/>
        </w:rPr>
      </w:pPr>
    </w:p>
    <w:p w14:paraId="4E471315">
      <w:pPr>
        <w:pStyle w:val="3"/>
        <w:ind w:firstLine="686"/>
        <w:rPr>
          <w:rFonts w:cs="Times New Roman"/>
          <w:color w:val="auto"/>
          <w:spacing w:val="20"/>
          <w:sz w:val="30"/>
          <w:szCs w:val="30"/>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F0D1263">
      <w:pPr>
        <w:rPr>
          <w:b/>
          <w:bCs/>
          <w:color w:val="auto"/>
          <w:sz w:val="24"/>
          <w:szCs w:val="24"/>
          <w:highlight w:val="none"/>
        </w:rPr>
      </w:pPr>
      <w:bookmarkStart w:id="106" w:name="_Toc2823"/>
      <w:r>
        <w:rPr>
          <w:rFonts w:hint="eastAsia" w:cs="宋体"/>
          <w:b/>
          <w:bCs/>
          <w:color w:val="auto"/>
          <w:sz w:val="24"/>
          <w:szCs w:val="24"/>
          <w:highlight w:val="none"/>
        </w:rPr>
        <w:t>附件</w:t>
      </w:r>
      <w:r>
        <w:rPr>
          <w:rFonts w:hint="eastAsia" w:cs="宋体"/>
          <w:b/>
          <w:bCs/>
          <w:color w:val="auto"/>
          <w:sz w:val="24"/>
          <w:szCs w:val="24"/>
          <w:highlight w:val="none"/>
          <w:lang w:val="en-US" w:eastAsia="zh-CN"/>
        </w:rPr>
        <w:t>九</w:t>
      </w:r>
      <w:r>
        <w:rPr>
          <w:rFonts w:hint="eastAsia" w:cs="宋体"/>
          <w:b/>
          <w:bCs/>
          <w:color w:val="auto"/>
          <w:sz w:val="24"/>
          <w:szCs w:val="24"/>
          <w:highlight w:val="none"/>
        </w:rPr>
        <w:t>：</w:t>
      </w:r>
    </w:p>
    <w:p w14:paraId="6A5256D1">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技术响应及建议表</w:t>
      </w:r>
      <w:bookmarkEnd w:id="106"/>
    </w:p>
    <w:p w14:paraId="50B39962">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             </w:t>
      </w:r>
    </w:p>
    <w:p w14:paraId="107EEC73">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4AA6582F">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6"/>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14:paraId="790D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7C47A64D">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1440" w:type="dxa"/>
            <w:vAlign w:val="center"/>
          </w:tcPr>
          <w:p w14:paraId="0E01C339">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名称</w:t>
            </w:r>
          </w:p>
        </w:tc>
        <w:tc>
          <w:tcPr>
            <w:tcW w:w="1980" w:type="dxa"/>
            <w:vAlign w:val="center"/>
          </w:tcPr>
          <w:p w14:paraId="3DE2D883">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磋商文件要求</w:t>
            </w:r>
          </w:p>
        </w:tc>
        <w:tc>
          <w:tcPr>
            <w:tcW w:w="2520" w:type="dxa"/>
            <w:vAlign w:val="center"/>
          </w:tcPr>
          <w:p w14:paraId="589964CC">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响应文件响应</w:t>
            </w:r>
          </w:p>
        </w:tc>
        <w:tc>
          <w:tcPr>
            <w:tcW w:w="1953" w:type="dxa"/>
            <w:vAlign w:val="center"/>
          </w:tcPr>
          <w:p w14:paraId="76E81DF6">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偏离情况</w:t>
            </w:r>
          </w:p>
        </w:tc>
      </w:tr>
      <w:tr w14:paraId="4146D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4709D957">
            <w:pPr>
              <w:snapToGrid w:val="0"/>
              <w:spacing w:before="50" w:after="50"/>
              <w:jc w:val="center"/>
              <w:rPr>
                <w:rFonts w:ascii="宋体"/>
                <w:color w:val="auto"/>
                <w:sz w:val="24"/>
                <w:szCs w:val="24"/>
                <w:highlight w:val="none"/>
              </w:rPr>
            </w:pPr>
          </w:p>
        </w:tc>
        <w:tc>
          <w:tcPr>
            <w:tcW w:w="1440" w:type="dxa"/>
            <w:vAlign w:val="center"/>
          </w:tcPr>
          <w:p w14:paraId="4DE2C427">
            <w:pPr>
              <w:snapToGrid w:val="0"/>
              <w:spacing w:before="50" w:after="50"/>
              <w:jc w:val="center"/>
              <w:rPr>
                <w:rFonts w:ascii="宋体"/>
                <w:color w:val="auto"/>
                <w:sz w:val="24"/>
                <w:szCs w:val="24"/>
                <w:highlight w:val="none"/>
              </w:rPr>
            </w:pPr>
          </w:p>
        </w:tc>
        <w:tc>
          <w:tcPr>
            <w:tcW w:w="1980" w:type="dxa"/>
            <w:vAlign w:val="center"/>
          </w:tcPr>
          <w:p w14:paraId="4506A4DD">
            <w:pPr>
              <w:snapToGrid w:val="0"/>
              <w:spacing w:before="50" w:after="50"/>
              <w:jc w:val="center"/>
              <w:rPr>
                <w:rFonts w:ascii="宋体"/>
                <w:color w:val="auto"/>
                <w:sz w:val="24"/>
                <w:szCs w:val="24"/>
                <w:highlight w:val="none"/>
              </w:rPr>
            </w:pPr>
          </w:p>
        </w:tc>
        <w:tc>
          <w:tcPr>
            <w:tcW w:w="2520" w:type="dxa"/>
            <w:vAlign w:val="center"/>
          </w:tcPr>
          <w:p w14:paraId="64723765">
            <w:pPr>
              <w:snapToGrid w:val="0"/>
              <w:spacing w:before="50" w:after="50"/>
              <w:jc w:val="center"/>
              <w:rPr>
                <w:rFonts w:ascii="宋体"/>
                <w:color w:val="auto"/>
                <w:sz w:val="24"/>
                <w:szCs w:val="24"/>
                <w:highlight w:val="none"/>
              </w:rPr>
            </w:pPr>
          </w:p>
        </w:tc>
        <w:tc>
          <w:tcPr>
            <w:tcW w:w="1953" w:type="dxa"/>
            <w:vAlign w:val="center"/>
          </w:tcPr>
          <w:p w14:paraId="2E3A733C">
            <w:pPr>
              <w:snapToGrid w:val="0"/>
              <w:spacing w:before="50" w:after="50"/>
              <w:jc w:val="center"/>
              <w:rPr>
                <w:rFonts w:ascii="宋体"/>
                <w:color w:val="auto"/>
                <w:sz w:val="24"/>
                <w:szCs w:val="24"/>
                <w:highlight w:val="none"/>
              </w:rPr>
            </w:pPr>
          </w:p>
        </w:tc>
      </w:tr>
      <w:tr w14:paraId="5BD4E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036C331F">
            <w:pPr>
              <w:snapToGrid w:val="0"/>
              <w:spacing w:before="50" w:after="50"/>
              <w:jc w:val="center"/>
              <w:rPr>
                <w:rFonts w:ascii="宋体"/>
                <w:color w:val="auto"/>
                <w:sz w:val="24"/>
                <w:szCs w:val="24"/>
                <w:highlight w:val="none"/>
              </w:rPr>
            </w:pPr>
          </w:p>
        </w:tc>
        <w:tc>
          <w:tcPr>
            <w:tcW w:w="1440" w:type="dxa"/>
            <w:vAlign w:val="center"/>
          </w:tcPr>
          <w:p w14:paraId="60949101">
            <w:pPr>
              <w:snapToGrid w:val="0"/>
              <w:spacing w:before="50" w:after="50"/>
              <w:jc w:val="center"/>
              <w:rPr>
                <w:rFonts w:ascii="宋体"/>
                <w:color w:val="auto"/>
                <w:sz w:val="24"/>
                <w:szCs w:val="24"/>
                <w:highlight w:val="none"/>
              </w:rPr>
            </w:pPr>
          </w:p>
        </w:tc>
        <w:tc>
          <w:tcPr>
            <w:tcW w:w="1980" w:type="dxa"/>
            <w:vAlign w:val="center"/>
          </w:tcPr>
          <w:p w14:paraId="4022AA23">
            <w:pPr>
              <w:snapToGrid w:val="0"/>
              <w:spacing w:before="50" w:after="50"/>
              <w:jc w:val="center"/>
              <w:rPr>
                <w:rFonts w:ascii="宋体"/>
                <w:color w:val="auto"/>
                <w:sz w:val="24"/>
                <w:szCs w:val="24"/>
                <w:highlight w:val="none"/>
              </w:rPr>
            </w:pPr>
          </w:p>
        </w:tc>
        <w:tc>
          <w:tcPr>
            <w:tcW w:w="2520" w:type="dxa"/>
            <w:vAlign w:val="center"/>
          </w:tcPr>
          <w:p w14:paraId="38AB84F7">
            <w:pPr>
              <w:snapToGrid w:val="0"/>
              <w:spacing w:before="50" w:after="50"/>
              <w:jc w:val="center"/>
              <w:rPr>
                <w:rFonts w:ascii="宋体"/>
                <w:color w:val="auto"/>
                <w:sz w:val="24"/>
                <w:szCs w:val="24"/>
                <w:highlight w:val="none"/>
              </w:rPr>
            </w:pPr>
          </w:p>
        </w:tc>
        <w:tc>
          <w:tcPr>
            <w:tcW w:w="1953" w:type="dxa"/>
            <w:vAlign w:val="center"/>
          </w:tcPr>
          <w:p w14:paraId="178F5528">
            <w:pPr>
              <w:snapToGrid w:val="0"/>
              <w:spacing w:before="50" w:after="50"/>
              <w:jc w:val="center"/>
              <w:rPr>
                <w:rFonts w:ascii="宋体"/>
                <w:color w:val="auto"/>
                <w:sz w:val="24"/>
                <w:szCs w:val="24"/>
                <w:highlight w:val="none"/>
              </w:rPr>
            </w:pPr>
          </w:p>
        </w:tc>
      </w:tr>
      <w:tr w14:paraId="32C7A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2FF06277">
            <w:pPr>
              <w:snapToGrid w:val="0"/>
              <w:spacing w:before="50" w:after="50"/>
              <w:jc w:val="center"/>
              <w:rPr>
                <w:rFonts w:ascii="宋体"/>
                <w:color w:val="auto"/>
                <w:sz w:val="24"/>
                <w:szCs w:val="24"/>
                <w:highlight w:val="none"/>
              </w:rPr>
            </w:pPr>
          </w:p>
        </w:tc>
        <w:tc>
          <w:tcPr>
            <w:tcW w:w="1440" w:type="dxa"/>
            <w:vAlign w:val="center"/>
          </w:tcPr>
          <w:p w14:paraId="45591E4D">
            <w:pPr>
              <w:snapToGrid w:val="0"/>
              <w:spacing w:before="50" w:after="50"/>
              <w:jc w:val="center"/>
              <w:rPr>
                <w:rFonts w:ascii="宋体"/>
                <w:color w:val="auto"/>
                <w:sz w:val="24"/>
                <w:szCs w:val="24"/>
                <w:highlight w:val="none"/>
              </w:rPr>
            </w:pPr>
          </w:p>
        </w:tc>
        <w:tc>
          <w:tcPr>
            <w:tcW w:w="1980" w:type="dxa"/>
            <w:vAlign w:val="center"/>
          </w:tcPr>
          <w:p w14:paraId="3ECCF64D">
            <w:pPr>
              <w:snapToGrid w:val="0"/>
              <w:spacing w:before="50" w:after="50"/>
              <w:jc w:val="center"/>
              <w:rPr>
                <w:rFonts w:ascii="宋体"/>
                <w:color w:val="auto"/>
                <w:sz w:val="24"/>
                <w:szCs w:val="24"/>
                <w:highlight w:val="none"/>
              </w:rPr>
            </w:pPr>
          </w:p>
        </w:tc>
        <w:tc>
          <w:tcPr>
            <w:tcW w:w="2520" w:type="dxa"/>
            <w:vAlign w:val="center"/>
          </w:tcPr>
          <w:p w14:paraId="3C394000">
            <w:pPr>
              <w:snapToGrid w:val="0"/>
              <w:spacing w:before="50" w:after="50"/>
              <w:jc w:val="center"/>
              <w:rPr>
                <w:rFonts w:ascii="宋体"/>
                <w:color w:val="auto"/>
                <w:sz w:val="24"/>
                <w:szCs w:val="24"/>
                <w:highlight w:val="none"/>
              </w:rPr>
            </w:pPr>
          </w:p>
        </w:tc>
        <w:tc>
          <w:tcPr>
            <w:tcW w:w="1953" w:type="dxa"/>
            <w:vAlign w:val="center"/>
          </w:tcPr>
          <w:p w14:paraId="18387D7E">
            <w:pPr>
              <w:snapToGrid w:val="0"/>
              <w:spacing w:before="50" w:after="50"/>
              <w:jc w:val="center"/>
              <w:rPr>
                <w:rFonts w:ascii="宋体"/>
                <w:color w:val="auto"/>
                <w:sz w:val="24"/>
                <w:szCs w:val="24"/>
                <w:highlight w:val="none"/>
              </w:rPr>
            </w:pPr>
          </w:p>
        </w:tc>
      </w:tr>
      <w:tr w14:paraId="07261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7E875161">
            <w:pPr>
              <w:snapToGrid w:val="0"/>
              <w:spacing w:before="50" w:after="50"/>
              <w:jc w:val="center"/>
              <w:rPr>
                <w:rFonts w:ascii="宋体"/>
                <w:color w:val="auto"/>
                <w:sz w:val="24"/>
                <w:szCs w:val="24"/>
                <w:highlight w:val="none"/>
              </w:rPr>
            </w:pPr>
          </w:p>
        </w:tc>
        <w:tc>
          <w:tcPr>
            <w:tcW w:w="1440" w:type="dxa"/>
            <w:vAlign w:val="center"/>
          </w:tcPr>
          <w:p w14:paraId="19295110">
            <w:pPr>
              <w:snapToGrid w:val="0"/>
              <w:spacing w:before="50" w:after="50"/>
              <w:jc w:val="center"/>
              <w:rPr>
                <w:rFonts w:ascii="宋体"/>
                <w:color w:val="auto"/>
                <w:sz w:val="24"/>
                <w:szCs w:val="24"/>
                <w:highlight w:val="none"/>
              </w:rPr>
            </w:pPr>
          </w:p>
        </w:tc>
        <w:tc>
          <w:tcPr>
            <w:tcW w:w="1980" w:type="dxa"/>
            <w:vAlign w:val="center"/>
          </w:tcPr>
          <w:p w14:paraId="56F8FF46">
            <w:pPr>
              <w:snapToGrid w:val="0"/>
              <w:spacing w:before="50" w:after="50"/>
              <w:jc w:val="center"/>
              <w:rPr>
                <w:rFonts w:ascii="宋体"/>
                <w:color w:val="auto"/>
                <w:sz w:val="24"/>
                <w:szCs w:val="24"/>
                <w:highlight w:val="none"/>
              </w:rPr>
            </w:pPr>
          </w:p>
        </w:tc>
        <w:tc>
          <w:tcPr>
            <w:tcW w:w="2520" w:type="dxa"/>
            <w:vAlign w:val="center"/>
          </w:tcPr>
          <w:p w14:paraId="1427791A">
            <w:pPr>
              <w:snapToGrid w:val="0"/>
              <w:spacing w:before="50" w:after="50"/>
              <w:jc w:val="center"/>
              <w:rPr>
                <w:rFonts w:ascii="宋体"/>
                <w:color w:val="auto"/>
                <w:sz w:val="24"/>
                <w:szCs w:val="24"/>
                <w:highlight w:val="none"/>
              </w:rPr>
            </w:pPr>
          </w:p>
        </w:tc>
        <w:tc>
          <w:tcPr>
            <w:tcW w:w="1953" w:type="dxa"/>
            <w:vAlign w:val="center"/>
          </w:tcPr>
          <w:p w14:paraId="2BAF48C3">
            <w:pPr>
              <w:snapToGrid w:val="0"/>
              <w:spacing w:before="50" w:after="50"/>
              <w:jc w:val="center"/>
              <w:rPr>
                <w:rFonts w:ascii="宋体"/>
                <w:color w:val="auto"/>
                <w:sz w:val="24"/>
                <w:szCs w:val="24"/>
                <w:highlight w:val="none"/>
              </w:rPr>
            </w:pPr>
          </w:p>
        </w:tc>
      </w:tr>
      <w:tr w14:paraId="5670B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1571D711">
            <w:pPr>
              <w:snapToGrid w:val="0"/>
              <w:spacing w:before="50" w:after="50"/>
              <w:jc w:val="center"/>
              <w:rPr>
                <w:rFonts w:ascii="宋体"/>
                <w:color w:val="auto"/>
                <w:sz w:val="24"/>
                <w:szCs w:val="24"/>
                <w:highlight w:val="none"/>
              </w:rPr>
            </w:pPr>
          </w:p>
        </w:tc>
        <w:tc>
          <w:tcPr>
            <w:tcW w:w="1440" w:type="dxa"/>
            <w:vAlign w:val="center"/>
          </w:tcPr>
          <w:p w14:paraId="12C0E078">
            <w:pPr>
              <w:snapToGrid w:val="0"/>
              <w:spacing w:before="50" w:after="50"/>
              <w:jc w:val="center"/>
              <w:rPr>
                <w:rFonts w:ascii="宋体"/>
                <w:color w:val="auto"/>
                <w:sz w:val="24"/>
                <w:szCs w:val="24"/>
                <w:highlight w:val="none"/>
              </w:rPr>
            </w:pPr>
          </w:p>
        </w:tc>
        <w:tc>
          <w:tcPr>
            <w:tcW w:w="1980" w:type="dxa"/>
            <w:vAlign w:val="center"/>
          </w:tcPr>
          <w:p w14:paraId="558F2408">
            <w:pPr>
              <w:snapToGrid w:val="0"/>
              <w:spacing w:before="50" w:after="50"/>
              <w:jc w:val="center"/>
              <w:rPr>
                <w:rFonts w:ascii="宋体"/>
                <w:color w:val="auto"/>
                <w:sz w:val="24"/>
                <w:szCs w:val="24"/>
                <w:highlight w:val="none"/>
              </w:rPr>
            </w:pPr>
          </w:p>
        </w:tc>
        <w:tc>
          <w:tcPr>
            <w:tcW w:w="2520" w:type="dxa"/>
            <w:vAlign w:val="center"/>
          </w:tcPr>
          <w:p w14:paraId="46C320A4">
            <w:pPr>
              <w:snapToGrid w:val="0"/>
              <w:spacing w:before="50" w:after="50"/>
              <w:jc w:val="center"/>
              <w:rPr>
                <w:rFonts w:ascii="宋体"/>
                <w:color w:val="auto"/>
                <w:sz w:val="24"/>
                <w:szCs w:val="24"/>
                <w:highlight w:val="none"/>
              </w:rPr>
            </w:pPr>
          </w:p>
        </w:tc>
        <w:tc>
          <w:tcPr>
            <w:tcW w:w="1953" w:type="dxa"/>
            <w:vAlign w:val="center"/>
          </w:tcPr>
          <w:p w14:paraId="4D8519DB">
            <w:pPr>
              <w:snapToGrid w:val="0"/>
              <w:spacing w:before="50" w:after="50"/>
              <w:jc w:val="center"/>
              <w:rPr>
                <w:rFonts w:ascii="宋体"/>
                <w:color w:val="auto"/>
                <w:sz w:val="24"/>
                <w:szCs w:val="24"/>
                <w:highlight w:val="none"/>
              </w:rPr>
            </w:pPr>
          </w:p>
        </w:tc>
      </w:tr>
      <w:tr w14:paraId="2B581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vAlign w:val="center"/>
          </w:tcPr>
          <w:p w14:paraId="53930DBB">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投标建议</w:t>
            </w:r>
          </w:p>
        </w:tc>
        <w:tc>
          <w:tcPr>
            <w:tcW w:w="6453" w:type="dxa"/>
            <w:gridSpan w:val="3"/>
            <w:vAlign w:val="center"/>
          </w:tcPr>
          <w:p w14:paraId="16F68F66">
            <w:pPr>
              <w:spacing w:line="360" w:lineRule="auto"/>
              <w:jc w:val="center"/>
              <w:rPr>
                <w:rFonts w:ascii="宋体"/>
                <w:color w:val="auto"/>
                <w:sz w:val="24"/>
                <w:szCs w:val="24"/>
                <w:highlight w:val="none"/>
              </w:rPr>
            </w:pPr>
          </w:p>
        </w:tc>
      </w:tr>
    </w:tbl>
    <w:p w14:paraId="29918101">
      <w:pPr>
        <w:snapToGrid w:val="0"/>
        <w:spacing w:line="360" w:lineRule="auto"/>
        <w:rPr>
          <w:rFonts w:ascii="宋体"/>
          <w:color w:val="auto"/>
          <w:sz w:val="24"/>
          <w:szCs w:val="24"/>
          <w:highlight w:val="none"/>
        </w:rPr>
      </w:pPr>
    </w:p>
    <w:p w14:paraId="1AED12BB">
      <w:pPr>
        <w:pStyle w:val="15"/>
        <w:spacing w:line="360" w:lineRule="auto"/>
        <w:rPr>
          <w:rFonts w:hAnsi="宋体" w:cs="Times New Roman"/>
          <w:color w:val="auto"/>
          <w:sz w:val="24"/>
          <w:szCs w:val="24"/>
          <w:highlight w:val="none"/>
        </w:rPr>
      </w:pPr>
      <w:r>
        <w:rPr>
          <w:rFonts w:hint="eastAsia" w:hAnsi="宋体"/>
          <w:color w:val="auto"/>
          <w:sz w:val="24"/>
          <w:szCs w:val="24"/>
          <w:highlight w:val="none"/>
        </w:rPr>
        <w:t>注：名称可基于项目清单根据供应商实际情况调整。</w:t>
      </w:r>
    </w:p>
    <w:p w14:paraId="68811636">
      <w:pPr>
        <w:rPr>
          <w:rFonts w:ascii="宋体"/>
          <w:color w:val="auto"/>
          <w:sz w:val="24"/>
          <w:szCs w:val="24"/>
          <w:highlight w:val="none"/>
        </w:rPr>
      </w:pPr>
    </w:p>
    <w:p w14:paraId="43C5E722">
      <w:pPr>
        <w:pStyle w:val="3"/>
        <w:rPr>
          <w:rFonts w:cs="Times New Roman"/>
          <w:color w:val="auto"/>
          <w:highlight w:val="none"/>
        </w:rPr>
      </w:pPr>
    </w:p>
    <w:p w14:paraId="469FBA90">
      <w:pPr>
        <w:snapToGrid w:val="0"/>
        <w:spacing w:line="360" w:lineRule="auto"/>
        <w:rPr>
          <w:rFonts w:ascii="宋体"/>
          <w:color w:val="auto"/>
          <w:sz w:val="24"/>
          <w:szCs w:val="24"/>
          <w:highlight w:val="none"/>
        </w:rPr>
      </w:pPr>
    </w:p>
    <w:p w14:paraId="5DAFD5C4">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7BDDDD73">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1C9672C0">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2A37F5C8">
      <w:pPr>
        <w:rPr>
          <w:color w:val="auto"/>
          <w:sz w:val="24"/>
          <w:szCs w:val="24"/>
          <w:highlight w:val="none"/>
        </w:rPr>
      </w:pPr>
      <w:r>
        <w:rPr>
          <w:color w:val="auto"/>
          <w:sz w:val="24"/>
          <w:szCs w:val="24"/>
          <w:highlight w:val="none"/>
        </w:rPr>
        <w:br w:type="page"/>
      </w:r>
    </w:p>
    <w:p w14:paraId="15A7C8BE">
      <w:pPr>
        <w:rPr>
          <w:b/>
          <w:bCs/>
          <w:color w:val="auto"/>
          <w:sz w:val="24"/>
          <w:szCs w:val="24"/>
          <w:highlight w:val="none"/>
        </w:rPr>
      </w:pPr>
      <w:r>
        <w:rPr>
          <w:rFonts w:hint="eastAsia" w:cs="宋体"/>
          <w:b/>
          <w:bCs/>
          <w:color w:val="auto"/>
          <w:sz w:val="24"/>
          <w:szCs w:val="24"/>
          <w:highlight w:val="none"/>
        </w:rPr>
        <w:t>附件</w:t>
      </w:r>
      <w:r>
        <w:rPr>
          <w:rFonts w:hint="eastAsia" w:cs="宋体"/>
          <w:b/>
          <w:bCs/>
          <w:color w:val="auto"/>
          <w:sz w:val="24"/>
          <w:szCs w:val="24"/>
          <w:highlight w:val="none"/>
          <w:lang w:val="en-US" w:eastAsia="zh-CN"/>
        </w:rPr>
        <w:t>十</w:t>
      </w:r>
      <w:r>
        <w:rPr>
          <w:rFonts w:hint="eastAsia" w:cs="宋体"/>
          <w:b/>
          <w:bCs/>
          <w:color w:val="auto"/>
          <w:sz w:val="24"/>
          <w:szCs w:val="24"/>
          <w:highlight w:val="none"/>
        </w:rPr>
        <w:t>：</w:t>
      </w:r>
    </w:p>
    <w:p w14:paraId="20D606F4">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商务响应表</w:t>
      </w:r>
    </w:p>
    <w:p w14:paraId="3874776D">
      <w:pPr>
        <w:snapToGrid w:val="0"/>
        <w:spacing w:before="50"/>
        <w:jc w:val="center"/>
        <w:rPr>
          <w:rFonts w:ascii="宋体"/>
          <w:b/>
          <w:bCs/>
          <w:color w:val="auto"/>
          <w:sz w:val="32"/>
          <w:szCs w:val="32"/>
          <w:highlight w:val="none"/>
        </w:rPr>
      </w:pPr>
    </w:p>
    <w:p w14:paraId="549DC8A5">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7C7F0B87">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6"/>
        <w:tblW w:w="92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03"/>
        <w:gridCol w:w="2644"/>
        <w:gridCol w:w="1234"/>
        <w:gridCol w:w="2957"/>
      </w:tblGrid>
      <w:tr w14:paraId="4F7BFC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2403" w:type="dxa"/>
            <w:tcBorders>
              <w:top w:val="single" w:color="auto" w:sz="4" w:space="0"/>
              <w:bottom w:val="single" w:color="auto" w:sz="4" w:space="0"/>
              <w:right w:val="single" w:color="auto" w:sz="4" w:space="0"/>
            </w:tcBorders>
            <w:vAlign w:val="center"/>
          </w:tcPr>
          <w:p w14:paraId="67A9C393">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项目</w:t>
            </w:r>
          </w:p>
        </w:tc>
        <w:tc>
          <w:tcPr>
            <w:tcW w:w="2644" w:type="dxa"/>
            <w:tcBorders>
              <w:top w:val="single" w:color="auto" w:sz="4" w:space="0"/>
              <w:left w:val="single" w:color="auto" w:sz="4" w:space="0"/>
              <w:bottom w:val="single" w:color="auto" w:sz="4" w:space="0"/>
              <w:right w:val="single" w:color="auto" w:sz="4" w:space="0"/>
            </w:tcBorders>
            <w:vAlign w:val="center"/>
          </w:tcPr>
          <w:p w14:paraId="509AA0E9">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磋商文件要求</w:t>
            </w:r>
          </w:p>
        </w:tc>
        <w:tc>
          <w:tcPr>
            <w:tcW w:w="1234" w:type="dxa"/>
            <w:tcBorders>
              <w:top w:val="single" w:color="auto" w:sz="4" w:space="0"/>
              <w:left w:val="single" w:color="auto" w:sz="4" w:space="0"/>
              <w:bottom w:val="single" w:color="auto" w:sz="4" w:space="0"/>
              <w:right w:val="single" w:color="auto" w:sz="4" w:space="0"/>
            </w:tcBorders>
            <w:vAlign w:val="center"/>
          </w:tcPr>
          <w:p w14:paraId="231759DF">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是否</w:t>
            </w:r>
          </w:p>
          <w:p w14:paraId="1B53D124">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响应</w:t>
            </w:r>
          </w:p>
        </w:tc>
        <w:tc>
          <w:tcPr>
            <w:tcW w:w="2957" w:type="dxa"/>
            <w:tcBorders>
              <w:top w:val="single" w:color="auto" w:sz="4" w:space="0"/>
              <w:left w:val="single" w:color="auto" w:sz="4" w:space="0"/>
              <w:bottom w:val="single" w:color="auto" w:sz="4" w:space="0"/>
            </w:tcBorders>
            <w:vAlign w:val="center"/>
          </w:tcPr>
          <w:p w14:paraId="4EE82CBC">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供应商的承诺或说明</w:t>
            </w:r>
          </w:p>
        </w:tc>
      </w:tr>
      <w:tr w14:paraId="014531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03FC2330">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服务时间及地点</w:t>
            </w:r>
          </w:p>
        </w:tc>
        <w:tc>
          <w:tcPr>
            <w:tcW w:w="2644" w:type="dxa"/>
            <w:tcBorders>
              <w:top w:val="single" w:color="auto" w:sz="4" w:space="0"/>
              <w:left w:val="single" w:color="auto" w:sz="4" w:space="0"/>
              <w:bottom w:val="single" w:color="auto" w:sz="4" w:space="0"/>
              <w:right w:val="single" w:color="auto" w:sz="4" w:space="0"/>
            </w:tcBorders>
            <w:vAlign w:val="center"/>
          </w:tcPr>
          <w:p w14:paraId="103F12D7">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0875755E">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6EB79762">
            <w:pPr>
              <w:snapToGrid w:val="0"/>
              <w:spacing w:before="50" w:after="50"/>
              <w:jc w:val="center"/>
              <w:rPr>
                <w:rFonts w:ascii="宋体"/>
                <w:color w:val="auto"/>
                <w:sz w:val="24"/>
                <w:szCs w:val="24"/>
                <w:highlight w:val="none"/>
              </w:rPr>
            </w:pPr>
          </w:p>
        </w:tc>
      </w:tr>
      <w:tr w14:paraId="59C41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5CFD20D0">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付款条件</w:t>
            </w:r>
          </w:p>
        </w:tc>
        <w:tc>
          <w:tcPr>
            <w:tcW w:w="2644" w:type="dxa"/>
            <w:tcBorders>
              <w:top w:val="single" w:color="auto" w:sz="4" w:space="0"/>
              <w:left w:val="single" w:color="auto" w:sz="4" w:space="0"/>
              <w:bottom w:val="single" w:color="auto" w:sz="4" w:space="0"/>
              <w:right w:val="single" w:color="auto" w:sz="4" w:space="0"/>
            </w:tcBorders>
            <w:vAlign w:val="center"/>
          </w:tcPr>
          <w:p w14:paraId="60B34709">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607C4AF1">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32533BF6">
            <w:pPr>
              <w:snapToGrid w:val="0"/>
              <w:spacing w:before="50" w:after="50"/>
              <w:jc w:val="center"/>
              <w:rPr>
                <w:rFonts w:ascii="宋体"/>
                <w:color w:val="auto"/>
                <w:sz w:val="24"/>
                <w:szCs w:val="24"/>
                <w:highlight w:val="none"/>
              </w:rPr>
            </w:pPr>
          </w:p>
        </w:tc>
      </w:tr>
      <w:tr w14:paraId="3D09B6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jc w:val="center"/>
        </w:trPr>
        <w:tc>
          <w:tcPr>
            <w:tcW w:w="2403" w:type="dxa"/>
            <w:tcBorders>
              <w:top w:val="single" w:color="auto" w:sz="4" w:space="0"/>
              <w:bottom w:val="single" w:color="auto" w:sz="4" w:space="0"/>
              <w:right w:val="single" w:color="auto" w:sz="4" w:space="0"/>
            </w:tcBorders>
            <w:vAlign w:val="center"/>
          </w:tcPr>
          <w:p w14:paraId="398C3F20">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违约责任及争议解决方式</w:t>
            </w:r>
          </w:p>
        </w:tc>
        <w:tc>
          <w:tcPr>
            <w:tcW w:w="2644" w:type="dxa"/>
            <w:tcBorders>
              <w:top w:val="single" w:color="auto" w:sz="4" w:space="0"/>
              <w:left w:val="single" w:color="auto" w:sz="4" w:space="0"/>
              <w:bottom w:val="single" w:color="auto" w:sz="4" w:space="0"/>
              <w:right w:val="single" w:color="auto" w:sz="4" w:space="0"/>
            </w:tcBorders>
            <w:vAlign w:val="center"/>
          </w:tcPr>
          <w:p w14:paraId="4C1FF956">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1590258D">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749AE4B0">
            <w:pPr>
              <w:snapToGrid w:val="0"/>
              <w:spacing w:before="50" w:after="50"/>
              <w:jc w:val="center"/>
              <w:rPr>
                <w:rFonts w:ascii="宋体"/>
                <w:color w:val="auto"/>
                <w:sz w:val="24"/>
                <w:szCs w:val="24"/>
                <w:highlight w:val="none"/>
              </w:rPr>
            </w:pPr>
          </w:p>
        </w:tc>
      </w:tr>
      <w:tr w14:paraId="7FB79A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48C84FB6">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项目维护计划</w:t>
            </w:r>
          </w:p>
        </w:tc>
        <w:tc>
          <w:tcPr>
            <w:tcW w:w="2644" w:type="dxa"/>
            <w:tcBorders>
              <w:top w:val="single" w:color="auto" w:sz="4" w:space="0"/>
              <w:left w:val="single" w:color="auto" w:sz="4" w:space="0"/>
              <w:bottom w:val="single" w:color="auto" w:sz="4" w:space="0"/>
              <w:right w:val="single" w:color="auto" w:sz="4" w:space="0"/>
            </w:tcBorders>
            <w:vAlign w:val="center"/>
          </w:tcPr>
          <w:p w14:paraId="3F413EB3">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3E26A857">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547491B5">
            <w:pPr>
              <w:snapToGrid w:val="0"/>
              <w:spacing w:before="50" w:after="50"/>
              <w:jc w:val="center"/>
              <w:rPr>
                <w:rFonts w:ascii="宋体"/>
                <w:color w:val="auto"/>
                <w:sz w:val="24"/>
                <w:szCs w:val="24"/>
                <w:highlight w:val="none"/>
              </w:rPr>
            </w:pPr>
          </w:p>
        </w:tc>
      </w:tr>
      <w:tr w14:paraId="041CF8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5968EBAB">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售后服务响应情况</w:t>
            </w:r>
          </w:p>
        </w:tc>
        <w:tc>
          <w:tcPr>
            <w:tcW w:w="2644" w:type="dxa"/>
            <w:tcBorders>
              <w:top w:val="single" w:color="auto" w:sz="4" w:space="0"/>
              <w:left w:val="single" w:color="auto" w:sz="4" w:space="0"/>
              <w:bottom w:val="single" w:color="auto" w:sz="4" w:space="0"/>
              <w:right w:val="single" w:color="auto" w:sz="4" w:space="0"/>
            </w:tcBorders>
            <w:vAlign w:val="center"/>
          </w:tcPr>
          <w:p w14:paraId="73D9E774">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4F9637EB">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1D22F44B">
            <w:pPr>
              <w:snapToGrid w:val="0"/>
              <w:spacing w:before="50" w:after="50"/>
              <w:jc w:val="center"/>
              <w:rPr>
                <w:rFonts w:ascii="宋体"/>
                <w:color w:val="auto"/>
                <w:sz w:val="24"/>
                <w:szCs w:val="24"/>
                <w:highlight w:val="none"/>
              </w:rPr>
            </w:pPr>
          </w:p>
        </w:tc>
      </w:tr>
      <w:tr w14:paraId="1BF53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7E046341">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技术培训</w:t>
            </w:r>
          </w:p>
        </w:tc>
        <w:tc>
          <w:tcPr>
            <w:tcW w:w="2644" w:type="dxa"/>
            <w:tcBorders>
              <w:top w:val="single" w:color="auto" w:sz="4" w:space="0"/>
              <w:left w:val="single" w:color="auto" w:sz="4" w:space="0"/>
              <w:bottom w:val="single" w:color="auto" w:sz="4" w:space="0"/>
              <w:right w:val="single" w:color="auto" w:sz="4" w:space="0"/>
            </w:tcBorders>
            <w:vAlign w:val="center"/>
          </w:tcPr>
          <w:p w14:paraId="640FC080">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60573B9B">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20FBE072">
            <w:pPr>
              <w:snapToGrid w:val="0"/>
              <w:spacing w:before="50" w:after="50"/>
              <w:jc w:val="center"/>
              <w:rPr>
                <w:rFonts w:ascii="宋体"/>
                <w:color w:val="auto"/>
                <w:sz w:val="24"/>
                <w:szCs w:val="24"/>
                <w:highlight w:val="none"/>
              </w:rPr>
            </w:pPr>
          </w:p>
        </w:tc>
      </w:tr>
      <w:tr w14:paraId="5ECF8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2403" w:type="dxa"/>
            <w:tcBorders>
              <w:top w:val="single" w:color="auto" w:sz="4" w:space="0"/>
              <w:bottom w:val="single" w:color="auto" w:sz="4" w:space="0"/>
              <w:right w:val="single" w:color="auto" w:sz="4" w:space="0"/>
            </w:tcBorders>
            <w:vAlign w:val="center"/>
          </w:tcPr>
          <w:p w14:paraId="0987B47C">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公司技术力量情况</w:t>
            </w:r>
          </w:p>
        </w:tc>
        <w:tc>
          <w:tcPr>
            <w:tcW w:w="2644" w:type="dxa"/>
            <w:tcBorders>
              <w:top w:val="single" w:color="auto" w:sz="4" w:space="0"/>
              <w:left w:val="single" w:color="auto" w:sz="4" w:space="0"/>
              <w:bottom w:val="single" w:color="auto" w:sz="4" w:space="0"/>
              <w:right w:val="single" w:color="auto" w:sz="4" w:space="0"/>
            </w:tcBorders>
            <w:vAlign w:val="center"/>
          </w:tcPr>
          <w:p w14:paraId="348A3150">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1F6D5B1A">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25DA4797">
            <w:pPr>
              <w:snapToGrid w:val="0"/>
              <w:spacing w:before="50" w:after="50"/>
              <w:jc w:val="center"/>
              <w:rPr>
                <w:rFonts w:ascii="宋体"/>
                <w:color w:val="auto"/>
                <w:sz w:val="24"/>
                <w:szCs w:val="24"/>
                <w:highlight w:val="none"/>
              </w:rPr>
            </w:pPr>
          </w:p>
        </w:tc>
      </w:tr>
      <w:tr w14:paraId="1F0772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6B4D0344">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经验或业绩要求</w:t>
            </w:r>
          </w:p>
        </w:tc>
        <w:tc>
          <w:tcPr>
            <w:tcW w:w="2644" w:type="dxa"/>
            <w:tcBorders>
              <w:top w:val="single" w:color="auto" w:sz="4" w:space="0"/>
              <w:left w:val="single" w:color="auto" w:sz="4" w:space="0"/>
              <w:bottom w:val="single" w:color="auto" w:sz="4" w:space="0"/>
              <w:right w:val="single" w:color="auto" w:sz="4" w:space="0"/>
            </w:tcBorders>
            <w:vAlign w:val="center"/>
          </w:tcPr>
          <w:p w14:paraId="3C4739AD">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75BE0E9D">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3AAA8B4B">
            <w:pPr>
              <w:snapToGrid w:val="0"/>
              <w:spacing w:before="50" w:after="50"/>
              <w:jc w:val="center"/>
              <w:rPr>
                <w:rFonts w:ascii="宋体"/>
                <w:color w:val="auto"/>
                <w:sz w:val="24"/>
                <w:szCs w:val="24"/>
                <w:highlight w:val="none"/>
              </w:rPr>
            </w:pPr>
          </w:p>
        </w:tc>
      </w:tr>
      <w:tr w14:paraId="17B96D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26A520AA">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各类证书</w:t>
            </w:r>
          </w:p>
        </w:tc>
        <w:tc>
          <w:tcPr>
            <w:tcW w:w="2644" w:type="dxa"/>
            <w:tcBorders>
              <w:top w:val="single" w:color="auto" w:sz="4" w:space="0"/>
              <w:left w:val="single" w:color="auto" w:sz="4" w:space="0"/>
              <w:bottom w:val="single" w:color="auto" w:sz="4" w:space="0"/>
              <w:right w:val="single" w:color="auto" w:sz="4" w:space="0"/>
            </w:tcBorders>
            <w:vAlign w:val="center"/>
          </w:tcPr>
          <w:p w14:paraId="74668022">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33FBBE99">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0C1FFE99">
            <w:pPr>
              <w:snapToGrid w:val="0"/>
              <w:spacing w:before="50" w:after="50"/>
              <w:jc w:val="center"/>
              <w:rPr>
                <w:rFonts w:ascii="宋体"/>
                <w:color w:val="auto"/>
                <w:sz w:val="24"/>
                <w:szCs w:val="24"/>
                <w:highlight w:val="none"/>
              </w:rPr>
            </w:pPr>
          </w:p>
        </w:tc>
      </w:tr>
      <w:tr w14:paraId="502234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2403" w:type="dxa"/>
            <w:tcBorders>
              <w:top w:val="single" w:color="auto" w:sz="4" w:space="0"/>
              <w:bottom w:val="single" w:color="auto" w:sz="4" w:space="0"/>
              <w:right w:val="single" w:color="auto" w:sz="4" w:space="0"/>
            </w:tcBorders>
            <w:vAlign w:val="center"/>
          </w:tcPr>
          <w:p w14:paraId="4EDD7623">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w:t>
            </w:r>
          </w:p>
        </w:tc>
        <w:tc>
          <w:tcPr>
            <w:tcW w:w="2644" w:type="dxa"/>
            <w:tcBorders>
              <w:top w:val="single" w:color="auto" w:sz="4" w:space="0"/>
              <w:left w:val="single" w:color="auto" w:sz="4" w:space="0"/>
              <w:bottom w:val="single" w:color="auto" w:sz="4" w:space="0"/>
              <w:right w:val="single" w:color="auto" w:sz="4" w:space="0"/>
            </w:tcBorders>
            <w:vAlign w:val="center"/>
          </w:tcPr>
          <w:p w14:paraId="55A0A397">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1B46730F">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156DC8B9">
            <w:pPr>
              <w:snapToGrid w:val="0"/>
              <w:spacing w:before="50" w:after="50"/>
              <w:jc w:val="center"/>
              <w:rPr>
                <w:rFonts w:ascii="宋体"/>
                <w:color w:val="auto"/>
                <w:sz w:val="24"/>
                <w:szCs w:val="24"/>
                <w:highlight w:val="none"/>
              </w:rPr>
            </w:pPr>
          </w:p>
        </w:tc>
      </w:tr>
    </w:tbl>
    <w:p w14:paraId="5F019D62">
      <w:pPr>
        <w:spacing w:line="360" w:lineRule="auto"/>
        <w:ind w:left="3780" w:leftChars="1800" w:firstLine="480" w:firstLineChars="200"/>
        <w:rPr>
          <w:rFonts w:ascii="宋体"/>
          <w:color w:val="auto"/>
          <w:sz w:val="24"/>
          <w:szCs w:val="24"/>
          <w:highlight w:val="none"/>
        </w:rPr>
      </w:pPr>
    </w:p>
    <w:p w14:paraId="7DA95BAF">
      <w:pPr>
        <w:spacing w:line="360" w:lineRule="auto"/>
        <w:ind w:left="3780" w:leftChars="1800" w:firstLine="480" w:firstLineChars="200"/>
        <w:rPr>
          <w:rFonts w:ascii="宋体"/>
          <w:color w:val="auto"/>
          <w:sz w:val="24"/>
          <w:szCs w:val="24"/>
          <w:highlight w:val="none"/>
        </w:rPr>
      </w:pPr>
    </w:p>
    <w:p w14:paraId="2BEAB718">
      <w:pPr>
        <w:spacing w:line="360" w:lineRule="auto"/>
        <w:ind w:left="3780" w:leftChars="1800" w:firstLine="480" w:firstLineChars="200"/>
        <w:rPr>
          <w:rFonts w:ascii="宋体"/>
          <w:color w:val="auto"/>
          <w:sz w:val="24"/>
          <w:szCs w:val="24"/>
          <w:highlight w:val="none"/>
        </w:rPr>
      </w:pPr>
    </w:p>
    <w:p w14:paraId="7C60E8E8">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5934983F">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3BC12EB9">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68479460">
      <w:pPr>
        <w:snapToGrid w:val="0"/>
        <w:spacing w:before="50" w:after="50"/>
        <w:rPr>
          <w:rFonts w:ascii="宋体"/>
          <w:b/>
          <w:bCs/>
          <w:color w:val="auto"/>
          <w:sz w:val="24"/>
          <w:szCs w:val="24"/>
          <w:highlight w:val="none"/>
          <w:lang w:val="zh-CN"/>
        </w:rPr>
      </w:pPr>
      <w:r>
        <w:rPr>
          <w:rFonts w:ascii="宋体"/>
          <w:color w:val="auto"/>
          <w:sz w:val="24"/>
          <w:szCs w:val="24"/>
          <w:highlight w:val="none"/>
        </w:rPr>
        <w:br w:type="page"/>
      </w: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十一</w:t>
      </w:r>
      <w:r>
        <w:rPr>
          <w:rFonts w:hint="eastAsia" w:ascii="宋体" w:hAnsi="宋体" w:cs="宋体"/>
          <w:b/>
          <w:bCs/>
          <w:color w:val="auto"/>
          <w:sz w:val="24"/>
          <w:szCs w:val="24"/>
          <w:highlight w:val="none"/>
          <w:lang w:val="zh-CN"/>
        </w:rPr>
        <w:t>：</w:t>
      </w:r>
    </w:p>
    <w:p w14:paraId="53072EE4">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项目组人员清单</w:t>
      </w:r>
    </w:p>
    <w:p w14:paraId="4DABD2D7">
      <w:pPr>
        <w:snapToGrid w:val="0"/>
        <w:spacing w:beforeLines="50" w:after="50"/>
        <w:jc w:val="center"/>
        <w:rPr>
          <w:rFonts w:ascii="宋体"/>
          <w:b/>
          <w:bCs/>
          <w:color w:val="auto"/>
          <w:sz w:val="30"/>
          <w:szCs w:val="30"/>
          <w:highlight w:val="none"/>
        </w:rPr>
      </w:pPr>
    </w:p>
    <w:p w14:paraId="634BE1F0">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4BC0C09D">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6"/>
        <w:tblW w:w="85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0E2BC4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vAlign w:val="center"/>
          </w:tcPr>
          <w:p w14:paraId="55F8C9A6">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79470AB9">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3D32EB36">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35796B0E">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证书编号</w:t>
            </w:r>
          </w:p>
        </w:tc>
        <w:tc>
          <w:tcPr>
            <w:tcW w:w="1800" w:type="dxa"/>
            <w:tcBorders>
              <w:top w:val="single" w:color="auto" w:sz="4" w:space="0"/>
              <w:left w:val="single" w:color="auto" w:sz="4" w:space="0"/>
              <w:bottom w:val="single" w:color="auto" w:sz="4" w:space="0"/>
              <w:right w:val="single" w:color="auto" w:sz="4" w:space="0"/>
            </w:tcBorders>
            <w:vAlign w:val="center"/>
          </w:tcPr>
          <w:p w14:paraId="0EA2F320">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参加本单位工作时间</w:t>
            </w:r>
          </w:p>
        </w:tc>
        <w:tc>
          <w:tcPr>
            <w:tcW w:w="1800" w:type="dxa"/>
            <w:tcBorders>
              <w:top w:val="single" w:color="auto" w:sz="4" w:space="0"/>
              <w:left w:val="single" w:color="auto" w:sz="4" w:space="0"/>
              <w:bottom w:val="single" w:color="auto" w:sz="4" w:space="0"/>
            </w:tcBorders>
            <w:vAlign w:val="center"/>
          </w:tcPr>
          <w:p w14:paraId="0187D763">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劳动合同编号</w:t>
            </w:r>
          </w:p>
        </w:tc>
      </w:tr>
      <w:tr w14:paraId="4ED339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4F44233A">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36417E1">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3DD6784D">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77E518B">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5FB845E7">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4388A702">
            <w:pPr>
              <w:snapToGrid w:val="0"/>
              <w:spacing w:before="156" w:beforeLines="50" w:after="50" w:line="460" w:lineRule="exact"/>
              <w:rPr>
                <w:rFonts w:ascii="宋体"/>
                <w:color w:val="auto"/>
                <w:sz w:val="24"/>
                <w:szCs w:val="24"/>
                <w:highlight w:val="none"/>
              </w:rPr>
            </w:pPr>
          </w:p>
        </w:tc>
      </w:tr>
      <w:tr w14:paraId="0C7600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394EF3F8">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5570911D">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1E9976DC">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7E0E436">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9502FF9">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38F80AC5">
            <w:pPr>
              <w:snapToGrid w:val="0"/>
              <w:spacing w:before="156" w:beforeLines="50" w:after="50" w:line="460" w:lineRule="exact"/>
              <w:rPr>
                <w:rFonts w:ascii="宋体"/>
                <w:color w:val="auto"/>
                <w:sz w:val="24"/>
                <w:szCs w:val="24"/>
                <w:highlight w:val="none"/>
              </w:rPr>
            </w:pPr>
          </w:p>
        </w:tc>
      </w:tr>
      <w:tr w14:paraId="5AFFE8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091E6347">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27E34BB4">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5E5B46EE">
            <w:pPr>
              <w:pStyle w:val="16"/>
              <w:snapToGrid w:val="0"/>
              <w:spacing w:before="156" w:beforeLines="50" w:after="50" w:line="460" w:lineRule="exact"/>
              <w:ind w:left="5250"/>
              <w:rPr>
                <w:rFonts w:cs="Times New Roman"/>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3F986261">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55E3263">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430B4E20">
            <w:pPr>
              <w:snapToGrid w:val="0"/>
              <w:spacing w:before="156" w:beforeLines="50" w:after="50" w:line="460" w:lineRule="exact"/>
              <w:rPr>
                <w:rFonts w:ascii="宋体"/>
                <w:color w:val="auto"/>
                <w:sz w:val="24"/>
                <w:szCs w:val="24"/>
                <w:highlight w:val="none"/>
              </w:rPr>
            </w:pPr>
          </w:p>
        </w:tc>
      </w:tr>
      <w:tr w14:paraId="0CF5BE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0B9C6AC4">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332E915">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2D04BF9A">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6B54E0B1">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3BF36FBA">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0E2C5292">
            <w:pPr>
              <w:snapToGrid w:val="0"/>
              <w:spacing w:before="156" w:beforeLines="50" w:after="50" w:line="460" w:lineRule="exact"/>
              <w:rPr>
                <w:rFonts w:ascii="宋体"/>
                <w:color w:val="auto"/>
                <w:sz w:val="24"/>
                <w:szCs w:val="24"/>
                <w:highlight w:val="none"/>
              </w:rPr>
            </w:pPr>
          </w:p>
        </w:tc>
      </w:tr>
      <w:tr w14:paraId="09F1A9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7D050BD2">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686B16CC">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0AE1F7BA">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8A11797">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231D4A97">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1A1626D8">
            <w:pPr>
              <w:snapToGrid w:val="0"/>
              <w:spacing w:before="156" w:beforeLines="50" w:after="50" w:line="460" w:lineRule="exact"/>
              <w:rPr>
                <w:rFonts w:ascii="宋体"/>
                <w:color w:val="auto"/>
                <w:sz w:val="24"/>
                <w:szCs w:val="24"/>
                <w:highlight w:val="none"/>
              </w:rPr>
            </w:pPr>
          </w:p>
        </w:tc>
      </w:tr>
      <w:tr w14:paraId="14C8CF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1AA76DA4">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18D95741">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2E084501">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C238FA4">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761514A7">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0F420645">
            <w:pPr>
              <w:snapToGrid w:val="0"/>
              <w:spacing w:before="156" w:beforeLines="50" w:after="50" w:line="460" w:lineRule="exact"/>
              <w:rPr>
                <w:rFonts w:ascii="宋体"/>
                <w:color w:val="auto"/>
                <w:sz w:val="24"/>
                <w:szCs w:val="24"/>
                <w:highlight w:val="none"/>
              </w:rPr>
            </w:pPr>
          </w:p>
        </w:tc>
      </w:tr>
      <w:tr w14:paraId="567FA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5B65A62A">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6063F360">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52706065">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047E08DE">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432C4B02">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4EE8221E">
            <w:pPr>
              <w:snapToGrid w:val="0"/>
              <w:spacing w:before="156" w:beforeLines="50" w:after="50" w:line="460" w:lineRule="exact"/>
              <w:rPr>
                <w:rFonts w:ascii="宋体"/>
                <w:color w:val="auto"/>
                <w:sz w:val="24"/>
                <w:szCs w:val="24"/>
                <w:highlight w:val="none"/>
              </w:rPr>
            </w:pPr>
          </w:p>
        </w:tc>
      </w:tr>
      <w:tr w14:paraId="766E5F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0D2F86ED">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02BABD3">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64C822AD">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3F0CD966">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1D9F9ED5">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5DB54041">
            <w:pPr>
              <w:snapToGrid w:val="0"/>
              <w:spacing w:before="156" w:beforeLines="50" w:after="50" w:line="460" w:lineRule="exact"/>
              <w:rPr>
                <w:rFonts w:ascii="宋体"/>
                <w:color w:val="auto"/>
                <w:sz w:val="24"/>
                <w:szCs w:val="24"/>
                <w:highlight w:val="none"/>
              </w:rPr>
            </w:pPr>
          </w:p>
        </w:tc>
      </w:tr>
      <w:tr w14:paraId="7985E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6E3AF1FF">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118693DC">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10C58D19">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7182E21F">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36A13F2A">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78D1EE57">
            <w:pPr>
              <w:snapToGrid w:val="0"/>
              <w:spacing w:before="156" w:beforeLines="50" w:after="50" w:line="460" w:lineRule="exact"/>
              <w:rPr>
                <w:rFonts w:ascii="宋体"/>
                <w:color w:val="auto"/>
                <w:sz w:val="24"/>
                <w:szCs w:val="24"/>
                <w:highlight w:val="none"/>
              </w:rPr>
            </w:pPr>
          </w:p>
        </w:tc>
      </w:tr>
    </w:tbl>
    <w:p w14:paraId="6AB2EF2E">
      <w:pPr>
        <w:spacing w:line="360" w:lineRule="auto"/>
        <w:ind w:firstLine="480" w:firstLineChars="200"/>
        <w:rPr>
          <w:rFonts w:ascii="宋体"/>
          <w:color w:val="auto"/>
          <w:sz w:val="24"/>
          <w:szCs w:val="24"/>
          <w:highlight w:val="none"/>
        </w:rPr>
      </w:pPr>
    </w:p>
    <w:p w14:paraId="5E74C6A4">
      <w:pPr>
        <w:adjustRightInd w:val="0"/>
        <w:snapToGrid w:val="0"/>
        <w:spacing w:line="360" w:lineRule="auto"/>
        <w:ind w:firstLine="480" w:firstLineChars="200"/>
        <w:jc w:val="left"/>
        <w:rPr>
          <w:rFonts w:ascii="宋体"/>
          <w:color w:val="auto"/>
          <w:sz w:val="24"/>
          <w:szCs w:val="24"/>
          <w:highlight w:val="none"/>
        </w:rPr>
      </w:pPr>
      <w:r>
        <w:rPr>
          <w:rFonts w:hint="eastAsia" w:ascii="宋体" w:hAnsi="宋体" w:cs="宋体"/>
          <w:color w:val="auto"/>
          <w:sz w:val="24"/>
          <w:szCs w:val="24"/>
          <w:highlight w:val="none"/>
        </w:rPr>
        <w:t>注：在填写时，如本表格不适合投标单位的实际情况，可根据本表格式自行划表填写。</w:t>
      </w:r>
      <w:r>
        <w:rPr>
          <w:rFonts w:ascii="宋体" w:hAnsi="宋体" w:cs="宋体"/>
          <w:color w:val="auto"/>
          <w:sz w:val="24"/>
          <w:szCs w:val="24"/>
          <w:highlight w:val="none"/>
        </w:rPr>
        <w:t xml:space="preserve"> </w:t>
      </w:r>
    </w:p>
    <w:p w14:paraId="6EE63340">
      <w:pPr>
        <w:pStyle w:val="3"/>
        <w:rPr>
          <w:rFonts w:cs="Times New Roman"/>
          <w:color w:val="auto"/>
          <w:highlight w:val="none"/>
        </w:rPr>
      </w:pPr>
    </w:p>
    <w:p w14:paraId="4A9662A3">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7C8736E7">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581323F2">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36680534">
      <w:pPr>
        <w:spacing w:line="360" w:lineRule="auto"/>
        <w:jc w:val="center"/>
        <w:rPr>
          <w:rFonts w:ascii="宋体"/>
          <w:b/>
          <w:bCs/>
          <w:color w:val="auto"/>
          <w:kern w:val="0"/>
          <w:sz w:val="36"/>
          <w:szCs w:val="36"/>
          <w:highlight w:val="none"/>
        </w:rPr>
      </w:pPr>
      <w:r>
        <w:rPr>
          <w:rFonts w:ascii="宋体"/>
          <w:color w:val="auto"/>
          <w:spacing w:val="20"/>
          <w:sz w:val="30"/>
          <w:szCs w:val="30"/>
          <w:highlight w:val="none"/>
        </w:rPr>
        <w:br w:type="page"/>
      </w:r>
      <w:r>
        <w:rPr>
          <w:rFonts w:hint="eastAsia" w:ascii="宋体" w:hAnsi="宋体" w:cs="宋体"/>
          <w:b/>
          <w:bCs/>
          <w:color w:val="auto"/>
          <w:kern w:val="0"/>
          <w:sz w:val="36"/>
          <w:szCs w:val="36"/>
          <w:highlight w:val="none"/>
        </w:rPr>
        <w:t>报价文件</w:t>
      </w:r>
    </w:p>
    <w:p w14:paraId="52A60720">
      <w:pPr>
        <w:spacing w:line="360" w:lineRule="auto"/>
        <w:jc w:val="center"/>
        <w:rPr>
          <w:rFonts w:ascii="宋体"/>
          <w:b/>
          <w:bCs/>
          <w:color w:val="auto"/>
          <w:kern w:val="0"/>
          <w:sz w:val="36"/>
          <w:szCs w:val="36"/>
          <w:highlight w:val="none"/>
        </w:rPr>
      </w:pPr>
    </w:p>
    <w:p w14:paraId="338BD661">
      <w:pPr>
        <w:spacing w:line="360" w:lineRule="auto"/>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目录</w:t>
      </w:r>
    </w:p>
    <w:p w14:paraId="4F6B8DCE">
      <w:pPr>
        <w:pStyle w:val="3"/>
        <w:ind w:firstLine="723"/>
        <w:rPr>
          <w:rFonts w:cs="Times New Roman"/>
          <w:b/>
          <w:bCs/>
          <w:color w:val="auto"/>
          <w:kern w:val="0"/>
          <w:sz w:val="36"/>
          <w:szCs w:val="36"/>
          <w:highlight w:val="none"/>
        </w:rPr>
      </w:pPr>
    </w:p>
    <w:p w14:paraId="5BED24AA">
      <w:pPr>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）磋商函（格式见附件）；</w:t>
      </w:r>
    </w:p>
    <w:p w14:paraId="5EF848E8">
      <w:pPr>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）报价一览表（格式见附件）；</w:t>
      </w:r>
    </w:p>
    <w:p w14:paraId="4B9FC716">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）磋商报价明细表（格式见附件）</w:t>
      </w:r>
      <w:r>
        <w:rPr>
          <w:rFonts w:hint="eastAsia" w:ascii="宋体" w:hAnsi="宋体" w:cs="宋体"/>
          <w:color w:val="auto"/>
          <w:sz w:val="24"/>
          <w:szCs w:val="24"/>
          <w:highlight w:val="none"/>
          <w:lang w:eastAsia="zh-CN"/>
        </w:rPr>
        <w:t>。</w:t>
      </w:r>
    </w:p>
    <w:p w14:paraId="1872EF70">
      <w:pPr>
        <w:rPr>
          <w:rFonts w:ascii="宋体"/>
          <w:color w:val="auto"/>
          <w:highlight w:val="none"/>
        </w:rPr>
      </w:pPr>
    </w:p>
    <w:p w14:paraId="72FB56B9">
      <w:pPr>
        <w:rPr>
          <w:rFonts w:ascii="宋体"/>
          <w:color w:val="auto"/>
          <w:highlight w:val="none"/>
        </w:rPr>
      </w:pPr>
      <w:r>
        <w:rPr>
          <w:rFonts w:ascii="宋体"/>
          <w:color w:val="auto"/>
          <w:highlight w:val="none"/>
        </w:rPr>
        <w:br w:type="page"/>
      </w:r>
    </w:p>
    <w:p w14:paraId="16E3FA44">
      <w:pPr>
        <w:rPr>
          <w:rFonts w:ascii="宋体"/>
          <w:b/>
          <w:bCs/>
          <w:color w:val="auto"/>
          <w:highlight w:val="none"/>
          <w:lang w:val="zh-CN"/>
        </w:rPr>
      </w:pPr>
      <w:bookmarkStart w:id="107" w:name="_Toc3094"/>
      <w:r>
        <w:rPr>
          <w:rFonts w:hint="eastAsia" w:cs="宋体"/>
          <w:b/>
          <w:bCs/>
          <w:color w:val="auto"/>
          <w:sz w:val="24"/>
          <w:szCs w:val="24"/>
          <w:highlight w:val="none"/>
          <w:lang w:val="zh-CN"/>
        </w:rPr>
        <w:t>附件</w:t>
      </w:r>
      <w:bookmarkStart w:id="108" w:name="_Toc98731770"/>
      <w:bookmarkStart w:id="109" w:name="_Toc130094924"/>
      <w:r>
        <w:rPr>
          <w:rFonts w:hint="eastAsia" w:cs="宋体"/>
          <w:b/>
          <w:bCs/>
          <w:color w:val="auto"/>
          <w:sz w:val="24"/>
          <w:szCs w:val="24"/>
          <w:highlight w:val="none"/>
          <w:lang w:val="en-US" w:eastAsia="zh-CN"/>
        </w:rPr>
        <w:t>十二</w:t>
      </w:r>
      <w:r>
        <w:rPr>
          <w:rFonts w:hint="eastAsia" w:cs="宋体"/>
          <w:b/>
          <w:bCs/>
          <w:color w:val="auto"/>
          <w:sz w:val="24"/>
          <w:szCs w:val="24"/>
          <w:highlight w:val="none"/>
        </w:rPr>
        <w:t>：</w:t>
      </w:r>
    </w:p>
    <w:p w14:paraId="4249382C">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磋</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商</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函</w:t>
      </w:r>
      <w:bookmarkEnd w:id="107"/>
      <w:bookmarkEnd w:id="108"/>
      <w:bookmarkEnd w:id="109"/>
    </w:p>
    <w:p w14:paraId="77FEDC9D">
      <w:pPr>
        <w:spacing w:line="360" w:lineRule="auto"/>
        <w:ind w:firstLine="480" w:firstLineChars="200"/>
        <w:rPr>
          <w:rFonts w:ascii="宋体"/>
          <w:color w:val="auto"/>
          <w:sz w:val="24"/>
          <w:szCs w:val="24"/>
          <w:highlight w:val="none"/>
          <w:u w:val="single"/>
        </w:rPr>
      </w:pPr>
    </w:p>
    <w:p w14:paraId="660CF28E">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绍兴市上虞区曹娥街道办事处</w:t>
      </w:r>
      <w:r>
        <w:rPr>
          <w:rFonts w:hint="eastAsia" w:ascii="宋体" w:hAnsi="宋体" w:cs="宋体"/>
          <w:color w:val="auto"/>
          <w:sz w:val="24"/>
          <w:szCs w:val="24"/>
          <w:highlight w:val="none"/>
        </w:rPr>
        <w:t>：</w:t>
      </w:r>
    </w:p>
    <w:p w14:paraId="361B7DEC">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浙江天平项目咨询有限公司</w:t>
      </w:r>
      <w:r>
        <w:rPr>
          <w:rFonts w:hint="eastAsia" w:ascii="宋体" w:hAnsi="宋体" w:cs="宋体"/>
          <w:color w:val="auto"/>
          <w:sz w:val="24"/>
          <w:szCs w:val="24"/>
          <w:highlight w:val="none"/>
        </w:rPr>
        <w:t>：</w:t>
      </w:r>
    </w:p>
    <w:p w14:paraId="20A98684">
      <w:pPr>
        <w:spacing w:line="360" w:lineRule="auto"/>
        <w:ind w:firstLine="480"/>
        <w:jc w:val="left"/>
        <w:rPr>
          <w:rFonts w:ascii="宋体"/>
          <w:color w:val="auto"/>
          <w:sz w:val="24"/>
          <w:szCs w:val="24"/>
          <w:highlight w:val="none"/>
        </w:rPr>
      </w:pPr>
      <w:r>
        <w:rPr>
          <w:rFonts w:hint="eastAsia" w:ascii="宋体" w:hAnsi="宋体" w:cs="宋体"/>
          <w:color w:val="auto"/>
          <w:sz w:val="24"/>
          <w:szCs w:val="24"/>
          <w:highlight w:val="none"/>
        </w:rPr>
        <w:t>我单位认真研究了关于</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的磋商文件，包括修改文件（如有的话）以及全部参考资料和有关附件。我们完全理解并接受磋商文件的各项规定和要求，对磋商文件的合理性、合法性不再有异议。如磋商文件前后有矛盾的，我方完全同意按贵方的理解处理。我单位承诺：</w:t>
      </w:r>
    </w:p>
    <w:p w14:paraId="7315DEF2">
      <w:pPr>
        <w:spacing w:line="360" w:lineRule="auto"/>
        <w:ind w:firstLine="504" w:firstLineChars="240"/>
        <w:rPr>
          <w:rFonts w:ascii="宋体"/>
          <w:color w:val="auto"/>
          <w:sz w:val="24"/>
          <w:szCs w:val="24"/>
          <w:highlight w:val="none"/>
        </w:rPr>
      </w:pPr>
      <w:r>
        <w:rPr>
          <w:color w:val="auto"/>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1"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6T0kGtIAAAAHAQAADwAAAAAA&#10;AAABACAAAAAiAAAAZHJzL2Rvd25yZXYueG1sUEsBAhQAFAAAAAgAh07iQJF8yb/gAQAA2QMAAA4A&#10;AAAAAAAAAQAgAAAAIQEAAGRycy9lMm9Eb2MueG1sUEsFBgAAAAAGAAYAWQEAAHMFAAAAAA==&#10;">
                <v:fill on="f" focussize="0,0"/>
                <v:stroke color="#000000" joinstyle="round"/>
                <v:imagedata o:title=""/>
                <o:lock v:ext="edit" aspectratio="f"/>
              </v:line>
            </w:pict>
          </mc:Fallback>
        </mc:AlternateContent>
      </w:r>
      <w:r>
        <w:rPr>
          <w:rFonts w:ascii="宋体" w:hAnsi="宋体" w:cs="宋体"/>
          <w:color w:val="auto"/>
          <w:sz w:val="24"/>
          <w:szCs w:val="24"/>
          <w:highlight w:val="none"/>
        </w:rPr>
        <w:t>1</w:t>
      </w:r>
      <w:r>
        <w:rPr>
          <w:rFonts w:hint="eastAsia" w:ascii="宋体" w:hAnsi="宋体" w:cs="宋体"/>
          <w:color w:val="auto"/>
          <w:sz w:val="24"/>
          <w:szCs w:val="24"/>
          <w:highlight w:val="none"/>
        </w:rPr>
        <w:t>、一旦我单位中标，我单位愿意承接报价一览表中所列的技术服务，服务期为：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47E0AA1A">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、我单位同意提供按照采购人的可能要求与其投标有关的一切数据和资料，完全理解采购人不一定要接受最低价者作为成交供应商。</w:t>
      </w:r>
    </w:p>
    <w:p w14:paraId="56302948">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、一旦我单位中标，我们保证按照磋商文件的要求，完成服务。</w:t>
      </w:r>
    </w:p>
    <w:p w14:paraId="601CAA26">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、如果我单位中标，我方将按照要求严格履行合同义务。</w:t>
      </w:r>
    </w:p>
    <w:p w14:paraId="39F6E393">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、除非另行达成协议并生效，你方的成交通知书和本磋商函将构成约束你我双方的合同。</w:t>
      </w:r>
    </w:p>
    <w:p w14:paraId="157CD599">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、我单位承诺，一旦发生磋商文件第二部分第</w:t>
      </w:r>
      <w:r>
        <w:rPr>
          <w:rFonts w:ascii="宋体" w:hAnsi="宋体" w:cs="宋体"/>
          <w:color w:val="auto"/>
          <w:sz w:val="24"/>
          <w:szCs w:val="24"/>
          <w:highlight w:val="none"/>
        </w:rPr>
        <w:t>11</w:t>
      </w:r>
      <w:r>
        <w:rPr>
          <w:rFonts w:hint="eastAsia" w:ascii="宋体" w:hAnsi="宋体" w:cs="宋体"/>
          <w:color w:val="auto"/>
          <w:sz w:val="24"/>
          <w:szCs w:val="24"/>
          <w:highlight w:val="none"/>
        </w:rPr>
        <w:t>条规定情形之一的，承担该条款约定的责任。</w:t>
      </w:r>
    </w:p>
    <w:p w14:paraId="31E0D6BF">
      <w:pPr>
        <w:pStyle w:val="15"/>
        <w:snapToGrid w:val="0"/>
        <w:spacing w:line="360" w:lineRule="auto"/>
        <w:ind w:left="480"/>
        <w:jc w:val="left"/>
        <w:rPr>
          <w:rFonts w:hAnsi="宋体"/>
          <w:color w:val="auto"/>
          <w:sz w:val="24"/>
          <w:szCs w:val="24"/>
          <w:highlight w:val="none"/>
        </w:rPr>
      </w:pPr>
      <w:r>
        <w:rPr>
          <w:rFonts w:hAnsi="宋体"/>
          <w:color w:val="auto"/>
          <w:sz w:val="24"/>
          <w:szCs w:val="24"/>
          <w:highlight w:val="none"/>
        </w:rPr>
        <w:t xml:space="preserve"> </w:t>
      </w:r>
    </w:p>
    <w:p w14:paraId="47705D20">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地址：</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邮编：</w:t>
      </w:r>
      <w:r>
        <w:rPr>
          <w:rFonts w:ascii="宋体" w:hAnsi="宋体" w:cs="宋体"/>
          <w:color w:val="auto"/>
          <w:sz w:val="24"/>
          <w:szCs w:val="24"/>
          <w:highlight w:val="none"/>
          <w:u w:val="single"/>
        </w:rPr>
        <w:t xml:space="preserve">                 </w:t>
      </w:r>
    </w:p>
    <w:p w14:paraId="53EC0929">
      <w:pPr>
        <w:spacing w:line="360" w:lineRule="auto"/>
        <w:ind w:firstLine="480" w:firstLineChars="200"/>
        <w:rPr>
          <w:rFonts w:ascii="宋体"/>
          <w:color w:val="auto"/>
          <w:sz w:val="24"/>
          <w:szCs w:val="24"/>
          <w:highlight w:val="none"/>
          <w:u w:val="single"/>
        </w:rPr>
      </w:pPr>
      <w:r>
        <w:rPr>
          <w:rFonts w:hint="eastAsia" w:ascii="宋体" w:hAnsi="宋体" w:cs="宋体"/>
          <w:color w:val="auto"/>
          <w:sz w:val="24"/>
          <w:szCs w:val="24"/>
          <w:highlight w:val="none"/>
        </w:rPr>
        <w:t>电话：</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传真：</w:t>
      </w:r>
      <w:r>
        <w:rPr>
          <w:rFonts w:ascii="宋体" w:hAnsi="宋体" w:cs="宋体"/>
          <w:color w:val="auto"/>
          <w:sz w:val="24"/>
          <w:szCs w:val="24"/>
          <w:highlight w:val="none"/>
          <w:u w:val="single"/>
        </w:rPr>
        <w:t xml:space="preserve">                 </w:t>
      </w:r>
    </w:p>
    <w:p w14:paraId="75B547FF">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供应商代表姓名：</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ascii="宋体" w:hAnsi="宋体" w:cs="宋体"/>
          <w:color w:val="auto"/>
          <w:sz w:val="24"/>
          <w:szCs w:val="24"/>
          <w:highlight w:val="none"/>
          <w:u w:val="single"/>
        </w:rPr>
        <w:t xml:space="preserve">                 </w:t>
      </w:r>
    </w:p>
    <w:p w14:paraId="5C7EDF83">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供应商名称</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w:t>
      </w:r>
    </w:p>
    <w:p w14:paraId="7CD57690">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（公章）：</w:t>
      </w:r>
      <w:r>
        <w:rPr>
          <w:rFonts w:ascii="宋体" w:hAnsi="宋体" w:cs="宋体"/>
          <w:color w:val="auto"/>
          <w:sz w:val="24"/>
          <w:szCs w:val="24"/>
          <w:highlight w:val="none"/>
        </w:rPr>
        <w:t xml:space="preserve">                   </w:t>
      </w:r>
    </w:p>
    <w:p w14:paraId="098289B6">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73B2CEAE">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113DD6DC">
      <w:pPr>
        <w:spacing w:line="360" w:lineRule="auto"/>
        <w:ind w:firstLine="5280" w:firstLineChars="2200"/>
        <w:rPr>
          <w:rFonts w:ascii="宋体"/>
          <w:color w:val="auto"/>
          <w:sz w:val="24"/>
          <w:szCs w:val="24"/>
          <w:highlight w:val="none"/>
        </w:rPr>
      </w:pPr>
    </w:p>
    <w:p w14:paraId="5C71BD8C">
      <w:pPr>
        <w:rPr>
          <w:color w:val="auto"/>
          <w:sz w:val="24"/>
          <w:szCs w:val="24"/>
          <w:highlight w:val="none"/>
          <w:lang w:val="zh-CN"/>
        </w:rPr>
      </w:pPr>
      <w:bookmarkStart w:id="110" w:name="_Toc12011"/>
      <w:r>
        <w:rPr>
          <w:color w:val="auto"/>
          <w:sz w:val="24"/>
          <w:szCs w:val="24"/>
          <w:highlight w:val="none"/>
          <w:lang w:val="zh-CN"/>
        </w:rPr>
        <w:br w:type="page"/>
      </w:r>
    </w:p>
    <w:p w14:paraId="7E67E291">
      <w:pPr>
        <w:rPr>
          <w:b/>
          <w:bCs/>
          <w:color w:val="auto"/>
          <w:sz w:val="24"/>
          <w:szCs w:val="24"/>
          <w:highlight w:val="none"/>
          <w:lang w:val="zh-CN"/>
        </w:rPr>
      </w:pPr>
      <w:r>
        <w:rPr>
          <w:rFonts w:hint="eastAsia" w:cs="宋体"/>
          <w:b/>
          <w:bCs/>
          <w:color w:val="auto"/>
          <w:sz w:val="24"/>
          <w:szCs w:val="24"/>
          <w:highlight w:val="none"/>
          <w:lang w:val="zh-CN"/>
        </w:rPr>
        <w:t>附件</w:t>
      </w:r>
      <w:bookmarkStart w:id="111" w:name="_Toc98731771"/>
      <w:bookmarkStart w:id="112" w:name="_Toc130094925"/>
      <w:r>
        <w:rPr>
          <w:rFonts w:hint="eastAsia" w:cs="宋体"/>
          <w:b/>
          <w:bCs/>
          <w:color w:val="auto"/>
          <w:sz w:val="24"/>
          <w:szCs w:val="24"/>
          <w:highlight w:val="none"/>
        </w:rPr>
        <w:t>十</w:t>
      </w:r>
      <w:r>
        <w:rPr>
          <w:rFonts w:hint="eastAsia" w:cs="宋体"/>
          <w:b/>
          <w:bCs/>
          <w:color w:val="auto"/>
          <w:sz w:val="24"/>
          <w:szCs w:val="24"/>
          <w:highlight w:val="none"/>
          <w:lang w:val="en-US" w:eastAsia="zh-CN"/>
        </w:rPr>
        <w:t>三</w:t>
      </w:r>
      <w:r>
        <w:rPr>
          <w:rFonts w:hint="eastAsia" w:cs="宋体"/>
          <w:b/>
          <w:bCs/>
          <w:color w:val="auto"/>
          <w:sz w:val="24"/>
          <w:szCs w:val="24"/>
          <w:highlight w:val="none"/>
        </w:rPr>
        <w:t>：</w:t>
      </w:r>
    </w:p>
    <w:p w14:paraId="451AB4E9">
      <w:pPr>
        <w:spacing w:line="360" w:lineRule="auto"/>
        <w:jc w:val="center"/>
        <w:rPr>
          <w:rFonts w:hint="default" w:ascii="宋体" w:eastAsia="宋体"/>
          <w:b/>
          <w:bCs/>
          <w:color w:val="auto"/>
          <w:sz w:val="32"/>
          <w:szCs w:val="32"/>
          <w:highlight w:val="none"/>
          <w:lang w:val="en-US" w:eastAsia="zh-CN"/>
        </w:rPr>
      </w:pPr>
      <w:r>
        <w:rPr>
          <w:rFonts w:hint="eastAsia" w:ascii="宋体" w:hAnsi="宋体" w:cs="宋体"/>
          <w:b/>
          <w:bCs/>
          <w:color w:val="auto"/>
          <w:sz w:val="32"/>
          <w:szCs w:val="32"/>
          <w:highlight w:val="none"/>
        </w:rPr>
        <w:t>报价一览表</w:t>
      </w:r>
      <w:bookmarkEnd w:id="110"/>
      <w:bookmarkEnd w:id="111"/>
      <w:bookmarkEnd w:id="112"/>
    </w:p>
    <w:p w14:paraId="227E07EF">
      <w:pPr>
        <w:pStyle w:val="15"/>
        <w:spacing w:line="360" w:lineRule="auto"/>
        <w:rPr>
          <w:rFonts w:hAnsi="宋体" w:cs="Times New Roman"/>
          <w:color w:val="auto"/>
          <w:sz w:val="24"/>
          <w:szCs w:val="24"/>
          <w:highlight w:val="none"/>
        </w:rPr>
      </w:pPr>
    </w:p>
    <w:p w14:paraId="4603FBDB">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421DDBF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采购编号：</w:t>
      </w:r>
      <w:r>
        <w:rPr>
          <w:rFonts w:ascii="宋体" w:hAnsi="宋体" w:cs="宋体"/>
          <w:color w:val="auto"/>
          <w:sz w:val="24"/>
          <w:szCs w:val="24"/>
          <w:highlight w:val="none"/>
        </w:rPr>
        <w:t xml:space="preserve"> </w:t>
      </w:r>
    </w:p>
    <w:tbl>
      <w:tblPr>
        <w:tblStyle w:val="26"/>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6504"/>
      </w:tblGrid>
      <w:tr w14:paraId="0236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2332" w:type="dxa"/>
            <w:noWrap w:val="0"/>
            <w:vAlign w:val="center"/>
          </w:tcPr>
          <w:p w14:paraId="2353006C">
            <w:pPr>
              <w:keepNext w:val="0"/>
              <w:keepLines w:val="0"/>
              <w:pageBreakBefore w:val="0"/>
              <w:widowControl w:val="0"/>
              <w:tabs>
                <w:tab w:val="left" w:pos="3870"/>
                <w:tab w:val="left" w:pos="4085"/>
              </w:tabs>
              <w:kinsoku/>
              <w:wordWrap/>
              <w:overflowPunct/>
              <w:topLinePunct w:val="0"/>
              <w:autoSpaceDE/>
              <w:autoSpaceDN/>
              <w:bidi w:val="0"/>
              <w:adjustRightInd/>
              <w:snapToGrid w:val="0"/>
              <w:spacing w:line="460" w:lineRule="exact"/>
              <w:ind w:firstLine="480" w:firstLineChars="20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投标总价（元）</w:t>
            </w:r>
          </w:p>
        </w:tc>
        <w:tc>
          <w:tcPr>
            <w:tcW w:w="6504" w:type="dxa"/>
            <w:noWrap w:val="0"/>
            <w:vAlign w:val="center"/>
          </w:tcPr>
          <w:p w14:paraId="5A8FCD3A">
            <w:pPr>
              <w:keepNext w:val="0"/>
              <w:keepLines w:val="0"/>
              <w:pageBreakBefore w:val="0"/>
              <w:widowControl w:val="0"/>
              <w:tabs>
                <w:tab w:val="left" w:pos="3870"/>
                <w:tab w:val="left" w:pos="4085"/>
              </w:tabs>
              <w:kinsoku/>
              <w:wordWrap/>
              <w:overflowPunct/>
              <w:topLinePunct w:val="0"/>
              <w:autoSpaceDE/>
              <w:autoSpaceDN/>
              <w:bidi w:val="0"/>
              <w:adjustRightInd/>
              <w:snapToGrid w:val="0"/>
              <w:spacing w:line="46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hAnsi="宋体" w:cs="宋体"/>
                <w:b/>
                <w:bCs/>
                <w:color w:val="auto"/>
                <w:sz w:val="24"/>
              </w:rPr>
              <w:t>大写：</w:t>
            </w:r>
            <w:r>
              <w:rPr>
                <w:rFonts w:hint="eastAsia" w:hAnsi="宋体" w:cs="宋体"/>
                <w:b/>
                <w:bCs/>
                <w:color w:val="auto"/>
                <w:sz w:val="24"/>
                <w:u w:val="single"/>
              </w:rPr>
              <w:t xml:space="preserve">　　　　            </w:t>
            </w:r>
            <w:r>
              <w:rPr>
                <w:rFonts w:hint="eastAsia" w:hAnsi="宋体" w:cs="宋体"/>
                <w:b/>
                <w:bCs/>
                <w:color w:val="auto"/>
                <w:sz w:val="24"/>
              </w:rPr>
              <w:t>元（小写：</w:t>
            </w:r>
            <w:r>
              <w:rPr>
                <w:rFonts w:hint="eastAsia" w:hAnsi="宋体" w:cs="宋体"/>
                <w:b/>
                <w:bCs/>
                <w:color w:val="auto"/>
                <w:sz w:val="24"/>
                <w:lang w:val="en-US" w:eastAsia="zh-CN"/>
              </w:rPr>
              <w:t>¥</w:t>
            </w:r>
            <w:r>
              <w:rPr>
                <w:rFonts w:hint="eastAsia" w:hAnsi="宋体" w:cs="宋体"/>
                <w:b/>
                <w:bCs/>
                <w:color w:val="auto"/>
                <w:sz w:val="24"/>
                <w:u w:val="single"/>
              </w:rPr>
              <w:t xml:space="preserve">　　　　 </w:t>
            </w:r>
            <w:r>
              <w:rPr>
                <w:rFonts w:hint="eastAsia" w:hAnsi="宋体" w:cs="宋体"/>
                <w:b/>
                <w:bCs/>
                <w:color w:val="auto"/>
                <w:sz w:val="24"/>
              </w:rPr>
              <w:t>）</w:t>
            </w:r>
          </w:p>
        </w:tc>
      </w:tr>
      <w:tr w14:paraId="2EC27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36" w:type="dxa"/>
            <w:gridSpan w:val="2"/>
            <w:noWrap w:val="0"/>
            <w:vAlign w:val="center"/>
          </w:tcPr>
          <w:p w14:paraId="14C5F6B7">
            <w:pPr>
              <w:keepNext w:val="0"/>
              <w:keepLines w:val="0"/>
              <w:pageBreakBefore w:val="0"/>
              <w:widowControl w:val="0"/>
              <w:tabs>
                <w:tab w:val="left" w:pos="3870"/>
                <w:tab w:val="left" w:pos="4085"/>
              </w:tabs>
              <w:kinsoku/>
              <w:wordWrap/>
              <w:overflowPunct/>
              <w:topLinePunct w:val="0"/>
              <w:autoSpaceDE/>
              <w:autoSpaceDN/>
              <w:bidi w:val="0"/>
              <w:adjustRightInd/>
              <w:snapToGrid w:val="0"/>
              <w:spacing w:line="460" w:lineRule="exact"/>
              <w:ind w:firstLine="482" w:firstLineChars="200"/>
              <w:jc w:val="left"/>
              <w:textAlignment w:val="auto"/>
              <w:rPr>
                <w:rFonts w:hint="eastAsia" w:hAnsi="宋体" w:cs="宋体"/>
                <w:b/>
                <w:bCs/>
                <w:color w:val="auto"/>
                <w:sz w:val="24"/>
              </w:rPr>
            </w:pPr>
            <w:r>
              <w:rPr>
                <w:rFonts w:hint="eastAsia" w:hAnsi="宋体" w:cs="宋体"/>
                <w:b/>
                <w:bCs/>
                <w:color w:val="auto"/>
                <w:sz w:val="24"/>
              </w:rPr>
              <w:t>投标报价包含项目所需全部服务，不得缺漏，是履行合同的最终价格（包括人员的工资、福利、保险费、工具、设备、检测费、交通费、食宿费、管理费、招标代理费、税费等一切费用）。供应商在编写方案时应充分考虑各种风险因素，凡供应商漏项、漏报均认为已包含在报价中，结算时不再增加。</w:t>
            </w:r>
          </w:p>
        </w:tc>
      </w:tr>
    </w:tbl>
    <w:p w14:paraId="4EE62492">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注：1、报价一经涂改，应在涂改处加盖单位公章或者由法定代表人或授权委托人签字或盖章，否则其投标作无效标处理。</w:t>
      </w:r>
    </w:p>
    <w:p w14:paraId="6DBF0AC9">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             </w:t>
      </w:r>
    </w:p>
    <w:p w14:paraId="4E64B85C">
      <w:pPr>
        <w:pStyle w:val="15"/>
        <w:spacing w:line="360" w:lineRule="auto"/>
        <w:rPr>
          <w:rFonts w:hAnsi="宋体" w:cs="Times New Roman"/>
          <w:color w:val="auto"/>
          <w:sz w:val="24"/>
          <w:szCs w:val="24"/>
          <w:highlight w:val="none"/>
        </w:rPr>
      </w:pPr>
    </w:p>
    <w:p w14:paraId="293C8A68">
      <w:pPr>
        <w:pStyle w:val="15"/>
        <w:spacing w:line="360" w:lineRule="auto"/>
        <w:rPr>
          <w:rFonts w:hAnsi="宋体" w:cs="Times New Roman"/>
          <w:color w:val="auto"/>
          <w:sz w:val="24"/>
          <w:szCs w:val="24"/>
          <w:highlight w:val="none"/>
        </w:rPr>
      </w:pPr>
    </w:p>
    <w:p w14:paraId="5D4D3A77">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1F329D49">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6985FC6A">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119C11A8">
      <w:pPr>
        <w:snapToGrid w:val="0"/>
        <w:spacing w:line="360" w:lineRule="auto"/>
        <w:ind w:firstLine="435"/>
        <w:rPr>
          <w:rFonts w:ascii="宋体"/>
          <w:color w:val="auto"/>
          <w:highlight w:val="none"/>
        </w:rPr>
      </w:pPr>
    </w:p>
    <w:p w14:paraId="4A2C4D75">
      <w:pPr>
        <w:spacing w:line="360" w:lineRule="auto"/>
        <w:jc w:val="left"/>
        <w:rPr>
          <w:rFonts w:ascii="宋体"/>
          <w:b/>
          <w:bCs/>
          <w:color w:val="auto"/>
          <w:sz w:val="24"/>
          <w:szCs w:val="24"/>
          <w:highlight w:val="none"/>
          <w:lang w:val="zh-CN"/>
        </w:rPr>
      </w:pPr>
      <w:r>
        <w:rPr>
          <w:rFonts w:ascii="宋体"/>
          <w:color w:val="auto"/>
          <w:highlight w:val="none"/>
        </w:rPr>
        <w:br w:type="page"/>
      </w:r>
      <w:bookmarkStart w:id="113" w:name="_Toc7196"/>
      <w:r>
        <w:rPr>
          <w:rFonts w:hint="eastAsia" w:ascii="宋体" w:hAnsi="宋体" w:cs="宋体"/>
          <w:b/>
          <w:bCs/>
          <w:color w:val="auto"/>
          <w:sz w:val="24"/>
          <w:szCs w:val="24"/>
          <w:highlight w:val="none"/>
          <w:lang w:val="zh-CN"/>
        </w:rPr>
        <w:t>附件十</w:t>
      </w:r>
      <w:r>
        <w:rPr>
          <w:rFonts w:hint="eastAsia" w:ascii="宋体" w:hAnsi="宋体" w:cs="宋体"/>
          <w:b/>
          <w:bCs/>
          <w:color w:val="auto"/>
          <w:sz w:val="24"/>
          <w:szCs w:val="24"/>
          <w:highlight w:val="none"/>
          <w:lang w:val="en-US" w:eastAsia="zh-CN"/>
        </w:rPr>
        <w:t>四</w:t>
      </w:r>
      <w:r>
        <w:rPr>
          <w:rFonts w:hint="eastAsia" w:ascii="宋体" w:hAnsi="宋体" w:cs="宋体"/>
          <w:b/>
          <w:bCs/>
          <w:color w:val="auto"/>
          <w:sz w:val="24"/>
          <w:szCs w:val="24"/>
          <w:highlight w:val="none"/>
          <w:lang w:val="zh-CN"/>
        </w:rPr>
        <w:t>：</w:t>
      </w:r>
    </w:p>
    <w:p w14:paraId="6D8FF0D5">
      <w:pPr>
        <w:spacing w:line="360" w:lineRule="auto"/>
        <w:jc w:val="center"/>
        <w:rPr>
          <w:rFonts w:hint="eastAsia" w:ascii="宋体" w:eastAsia="宋体"/>
          <w:b/>
          <w:bCs/>
          <w:color w:val="auto"/>
          <w:sz w:val="32"/>
          <w:szCs w:val="32"/>
          <w:highlight w:val="none"/>
          <w:lang w:val="en-US" w:eastAsia="zh-CN"/>
        </w:rPr>
      </w:pPr>
      <w:r>
        <w:rPr>
          <w:rFonts w:hint="eastAsia" w:ascii="宋体" w:hAnsi="宋体" w:cs="宋体"/>
          <w:b/>
          <w:bCs/>
          <w:color w:val="auto"/>
          <w:sz w:val="32"/>
          <w:szCs w:val="32"/>
          <w:highlight w:val="none"/>
        </w:rPr>
        <w:t>磋商报价明细表</w:t>
      </w:r>
    </w:p>
    <w:p w14:paraId="6D79C2B1">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232461D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采购编号：</w:t>
      </w:r>
      <w:r>
        <w:rPr>
          <w:rFonts w:ascii="宋体" w:hAnsi="宋体" w:cs="宋体"/>
          <w:color w:val="auto"/>
          <w:sz w:val="24"/>
          <w:szCs w:val="24"/>
          <w:highlight w:val="none"/>
        </w:rPr>
        <w:t xml:space="preserve"> </w:t>
      </w:r>
    </w:p>
    <w:tbl>
      <w:tblPr>
        <w:tblStyle w:val="26"/>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2492"/>
        <w:gridCol w:w="915"/>
        <w:gridCol w:w="1876"/>
        <w:gridCol w:w="495"/>
        <w:gridCol w:w="498"/>
        <w:gridCol w:w="1148"/>
        <w:gridCol w:w="1124"/>
      </w:tblGrid>
      <w:tr w14:paraId="7A200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restart"/>
            <w:noWrap w:val="0"/>
            <w:vAlign w:val="center"/>
          </w:tcPr>
          <w:p w14:paraId="574B1EE5">
            <w:pPr>
              <w:spacing w:line="360" w:lineRule="auto"/>
              <w:rPr>
                <w:rFonts w:hAnsi="宋体"/>
                <w:color w:val="auto"/>
                <w:sz w:val="24"/>
                <w:szCs w:val="24"/>
              </w:rPr>
            </w:pPr>
            <w:r>
              <w:rPr>
                <w:rFonts w:ascii="宋体" w:hAnsi="宋体" w:cs="宋体"/>
                <w:color w:val="auto"/>
                <w:sz w:val="24"/>
                <w:szCs w:val="24"/>
                <w:highlight w:val="none"/>
              </w:rPr>
              <w:t xml:space="preserve">   </w:t>
            </w:r>
            <w:r>
              <w:rPr>
                <w:rFonts w:ascii="宋体" w:hAnsi="宋体" w:cs="宋体"/>
                <w:b/>
                <w:bCs/>
                <w:color w:val="auto"/>
                <w:sz w:val="24"/>
                <w:szCs w:val="24"/>
                <w:highlight w:val="none"/>
              </w:rPr>
              <w:t xml:space="preserve">  </w:t>
            </w:r>
            <w:r>
              <w:rPr>
                <w:rFonts w:hint="eastAsia" w:hAnsi="宋体"/>
                <w:color w:val="auto"/>
                <w:sz w:val="24"/>
                <w:szCs w:val="24"/>
              </w:rPr>
              <w:t>序</w:t>
            </w:r>
          </w:p>
          <w:p w14:paraId="0A0E0AE2">
            <w:pPr>
              <w:pStyle w:val="15"/>
              <w:spacing w:line="360" w:lineRule="auto"/>
              <w:jc w:val="center"/>
              <w:rPr>
                <w:rFonts w:hAnsi="宋体"/>
                <w:color w:val="auto"/>
                <w:sz w:val="24"/>
                <w:szCs w:val="24"/>
              </w:rPr>
            </w:pPr>
            <w:r>
              <w:rPr>
                <w:rFonts w:hint="eastAsia" w:hAnsi="宋体"/>
                <w:color w:val="auto"/>
                <w:sz w:val="24"/>
                <w:szCs w:val="24"/>
              </w:rPr>
              <w:t>号</w:t>
            </w:r>
          </w:p>
        </w:tc>
        <w:tc>
          <w:tcPr>
            <w:tcW w:w="2492" w:type="dxa"/>
            <w:vMerge w:val="restart"/>
            <w:noWrap w:val="0"/>
            <w:vAlign w:val="center"/>
          </w:tcPr>
          <w:p w14:paraId="7C1B3757">
            <w:pPr>
              <w:pStyle w:val="15"/>
              <w:spacing w:line="360" w:lineRule="auto"/>
              <w:jc w:val="center"/>
              <w:rPr>
                <w:rFonts w:hAnsi="宋体"/>
                <w:color w:val="auto"/>
                <w:sz w:val="24"/>
                <w:szCs w:val="24"/>
              </w:rPr>
            </w:pPr>
            <w:r>
              <w:rPr>
                <w:rFonts w:hint="eastAsia" w:hAnsi="宋体"/>
                <w:color w:val="auto"/>
                <w:sz w:val="24"/>
                <w:szCs w:val="24"/>
              </w:rPr>
              <w:t>名称</w:t>
            </w:r>
          </w:p>
        </w:tc>
        <w:tc>
          <w:tcPr>
            <w:tcW w:w="915" w:type="dxa"/>
            <w:vMerge w:val="restart"/>
            <w:noWrap w:val="0"/>
            <w:vAlign w:val="center"/>
          </w:tcPr>
          <w:p w14:paraId="164BC3E1">
            <w:pPr>
              <w:pStyle w:val="15"/>
              <w:spacing w:line="360" w:lineRule="auto"/>
              <w:jc w:val="center"/>
              <w:rPr>
                <w:rFonts w:hAnsi="宋体"/>
                <w:color w:val="auto"/>
                <w:sz w:val="24"/>
                <w:szCs w:val="24"/>
              </w:rPr>
            </w:pPr>
            <w:r>
              <w:rPr>
                <w:rFonts w:hint="eastAsia" w:hAnsi="宋体"/>
                <w:color w:val="auto"/>
                <w:sz w:val="24"/>
                <w:szCs w:val="24"/>
              </w:rPr>
              <w:t>内容</w:t>
            </w:r>
          </w:p>
        </w:tc>
        <w:tc>
          <w:tcPr>
            <w:tcW w:w="1876" w:type="dxa"/>
            <w:vMerge w:val="restart"/>
            <w:noWrap w:val="0"/>
            <w:vAlign w:val="center"/>
          </w:tcPr>
          <w:p w14:paraId="42625C05">
            <w:pPr>
              <w:pStyle w:val="15"/>
              <w:spacing w:line="360" w:lineRule="auto"/>
              <w:jc w:val="center"/>
              <w:rPr>
                <w:rFonts w:hAnsi="宋体"/>
                <w:color w:val="auto"/>
                <w:sz w:val="24"/>
                <w:szCs w:val="24"/>
              </w:rPr>
            </w:pPr>
            <w:r>
              <w:rPr>
                <w:rFonts w:hint="eastAsia" w:hAnsi="宋体"/>
                <w:color w:val="auto"/>
                <w:sz w:val="24"/>
                <w:szCs w:val="24"/>
              </w:rPr>
              <w:t>其他</w:t>
            </w:r>
          </w:p>
        </w:tc>
        <w:tc>
          <w:tcPr>
            <w:tcW w:w="495" w:type="dxa"/>
            <w:vMerge w:val="restart"/>
            <w:noWrap w:val="0"/>
            <w:vAlign w:val="center"/>
          </w:tcPr>
          <w:p w14:paraId="1AC71198">
            <w:pPr>
              <w:pStyle w:val="15"/>
              <w:spacing w:line="360" w:lineRule="auto"/>
              <w:jc w:val="center"/>
              <w:rPr>
                <w:rFonts w:hAnsi="宋体"/>
                <w:color w:val="auto"/>
                <w:sz w:val="24"/>
                <w:szCs w:val="24"/>
              </w:rPr>
            </w:pPr>
            <w:r>
              <w:rPr>
                <w:rFonts w:hint="eastAsia" w:hAnsi="宋体"/>
                <w:color w:val="auto"/>
                <w:sz w:val="24"/>
                <w:szCs w:val="24"/>
              </w:rPr>
              <w:t>单</w:t>
            </w:r>
          </w:p>
          <w:p w14:paraId="7A73FDCF">
            <w:pPr>
              <w:pStyle w:val="15"/>
              <w:spacing w:line="360" w:lineRule="auto"/>
              <w:jc w:val="center"/>
              <w:rPr>
                <w:rFonts w:hAnsi="宋体"/>
                <w:color w:val="auto"/>
                <w:sz w:val="24"/>
                <w:szCs w:val="24"/>
              </w:rPr>
            </w:pPr>
            <w:r>
              <w:rPr>
                <w:rFonts w:hint="eastAsia" w:hAnsi="宋体"/>
                <w:color w:val="auto"/>
                <w:sz w:val="24"/>
                <w:szCs w:val="24"/>
              </w:rPr>
              <w:t>位</w:t>
            </w:r>
          </w:p>
        </w:tc>
        <w:tc>
          <w:tcPr>
            <w:tcW w:w="498" w:type="dxa"/>
            <w:vMerge w:val="restart"/>
            <w:noWrap w:val="0"/>
            <w:vAlign w:val="center"/>
          </w:tcPr>
          <w:p w14:paraId="2F6C854A">
            <w:pPr>
              <w:pStyle w:val="15"/>
              <w:spacing w:line="360" w:lineRule="auto"/>
              <w:jc w:val="center"/>
              <w:rPr>
                <w:rFonts w:hAnsi="宋体"/>
                <w:color w:val="auto"/>
                <w:sz w:val="24"/>
                <w:szCs w:val="24"/>
              </w:rPr>
            </w:pPr>
            <w:r>
              <w:rPr>
                <w:rFonts w:hint="eastAsia" w:hAnsi="宋体"/>
                <w:color w:val="auto"/>
                <w:sz w:val="24"/>
                <w:szCs w:val="24"/>
              </w:rPr>
              <w:t>数量</w:t>
            </w:r>
          </w:p>
        </w:tc>
        <w:tc>
          <w:tcPr>
            <w:tcW w:w="2272" w:type="dxa"/>
            <w:gridSpan w:val="2"/>
            <w:noWrap w:val="0"/>
            <w:vAlign w:val="center"/>
          </w:tcPr>
          <w:p w14:paraId="523E0386">
            <w:pPr>
              <w:pStyle w:val="15"/>
              <w:spacing w:line="360" w:lineRule="auto"/>
              <w:jc w:val="center"/>
              <w:rPr>
                <w:rFonts w:hAnsi="宋体"/>
                <w:color w:val="auto"/>
                <w:sz w:val="24"/>
                <w:szCs w:val="24"/>
              </w:rPr>
            </w:pPr>
            <w:r>
              <w:rPr>
                <w:rFonts w:hint="eastAsia" w:hAnsi="宋体"/>
                <w:color w:val="auto"/>
                <w:sz w:val="24"/>
                <w:szCs w:val="24"/>
              </w:rPr>
              <w:t>投标报价（元）</w:t>
            </w:r>
          </w:p>
        </w:tc>
      </w:tr>
      <w:tr w14:paraId="2F993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continue"/>
            <w:noWrap w:val="0"/>
            <w:vAlign w:val="center"/>
          </w:tcPr>
          <w:p w14:paraId="0F5F64F6">
            <w:pPr>
              <w:pStyle w:val="15"/>
              <w:spacing w:line="360" w:lineRule="auto"/>
              <w:jc w:val="center"/>
              <w:rPr>
                <w:rFonts w:hAnsi="宋体"/>
                <w:color w:val="auto"/>
                <w:sz w:val="24"/>
                <w:szCs w:val="24"/>
              </w:rPr>
            </w:pPr>
          </w:p>
        </w:tc>
        <w:tc>
          <w:tcPr>
            <w:tcW w:w="2492" w:type="dxa"/>
            <w:vMerge w:val="continue"/>
            <w:noWrap w:val="0"/>
            <w:vAlign w:val="center"/>
          </w:tcPr>
          <w:p w14:paraId="0005038A">
            <w:pPr>
              <w:pStyle w:val="15"/>
              <w:spacing w:line="360" w:lineRule="auto"/>
              <w:jc w:val="center"/>
              <w:rPr>
                <w:rFonts w:hAnsi="宋体"/>
                <w:color w:val="auto"/>
                <w:sz w:val="24"/>
                <w:szCs w:val="24"/>
              </w:rPr>
            </w:pPr>
          </w:p>
        </w:tc>
        <w:tc>
          <w:tcPr>
            <w:tcW w:w="915" w:type="dxa"/>
            <w:vMerge w:val="continue"/>
            <w:noWrap w:val="0"/>
            <w:vAlign w:val="center"/>
          </w:tcPr>
          <w:p w14:paraId="0BB58B4F">
            <w:pPr>
              <w:pStyle w:val="15"/>
              <w:spacing w:line="360" w:lineRule="auto"/>
              <w:jc w:val="center"/>
              <w:rPr>
                <w:rFonts w:hAnsi="宋体"/>
                <w:color w:val="auto"/>
                <w:sz w:val="24"/>
                <w:szCs w:val="24"/>
              </w:rPr>
            </w:pPr>
          </w:p>
        </w:tc>
        <w:tc>
          <w:tcPr>
            <w:tcW w:w="1876" w:type="dxa"/>
            <w:vMerge w:val="continue"/>
            <w:noWrap w:val="0"/>
            <w:vAlign w:val="center"/>
          </w:tcPr>
          <w:p w14:paraId="44FA354A">
            <w:pPr>
              <w:pStyle w:val="15"/>
              <w:spacing w:line="360" w:lineRule="auto"/>
              <w:jc w:val="center"/>
              <w:rPr>
                <w:rFonts w:hAnsi="宋体"/>
                <w:color w:val="auto"/>
                <w:sz w:val="24"/>
                <w:szCs w:val="24"/>
              </w:rPr>
            </w:pPr>
          </w:p>
        </w:tc>
        <w:tc>
          <w:tcPr>
            <w:tcW w:w="495" w:type="dxa"/>
            <w:vMerge w:val="continue"/>
            <w:noWrap w:val="0"/>
            <w:vAlign w:val="center"/>
          </w:tcPr>
          <w:p w14:paraId="642CA6A6">
            <w:pPr>
              <w:pStyle w:val="15"/>
              <w:spacing w:line="360" w:lineRule="auto"/>
              <w:jc w:val="center"/>
              <w:rPr>
                <w:rFonts w:hAnsi="宋体"/>
                <w:color w:val="auto"/>
                <w:sz w:val="24"/>
                <w:szCs w:val="24"/>
              </w:rPr>
            </w:pPr>
          </w:p>
        </w:tc>
        <w:tc>
          <w:tcPr>
            <w:tcW w:w="498" w:type="dxa"/>
            <w:vMerge w:val="continue"/>
            <w:noWrap w:val="0"/>
            <w:vAlign w:val="center"/>
          </w:tcPr>
          <w:p w14:paraId="197B7074">
            <w:pPr>
              <w:pStyle w:val="15"/>
              <w:spacing w:line="360" w:lineRule="auto"/>
              <w:jc w:val="center"/>
              <w:rPr>
                <w:rFonts w:hAnsi="宋体"/>
                <w:color w:val="auto"/>
                <w:sz w:val="24"/>
                <w:szCs w:val="24"/>
              </w:rPr>
            </w:pPr>
          </w:p>
        </w:tc>
        <w:tc>
          <w:tcPr>
            <w:tcW w:w="1148" w:type="dxa"/>
            <w:noWrap w:val="0"/>
            <w:vAlign w:val="center"/>
          </w:tcPr>
          <w:p w14:paraId="6CDAD5C7">
            <w:pPr>
              <w:pStyle w:val="15"/>
              <w:spacing w:line="360" w:lineRule="auto"/>
              <w:jc w:val="center"/>
              <w:rPr>
                <w:rFonts w:hAnsi="宋体"/>
                <w:color w:val="auto"/>
                <w:sz w:val="24"/>
                <w:szCs w:val="24"/>
              </w:rPr>
            </w:pPr>
            <w:r>
              <w:rPr>
                <w:rFonts w:hint="eastAsia" w:hAnsi="宋体"/>
                <w:color w:val="auto"/>
                <w:sz w:val="24"/>
                <w:szCs w:val="24"/>
              </w:rPr>
              <w:t>单价</w:t>
            </w:r>
          </w:p>
        </w:tc>
        <w:tc>
          <w:tcPr>
            <w:tcW w:w="1124" w:type="dxa"/>
            <w:noWrap w:val="0"/>
            <w:vAlign w:val="center"/>
          </w:tcPr>
          <w:p w14:paraId="2C9B2E4E">
            <w:pPr>
              <w:pStyle w:val="15"/>
              <w:spacing w:line="360" w:lineRule="auto"/>
              <w:jc w:val="center"/>
              <w:rPr>
                <w:rFonts w:hAnsi="宋体"/>
                <w:color w:val="auto"/>
                <w:sz w:val="24"/>
                <w:szCs w:val="24"/>
              </w:rPr>
            </w:pPr>
            <w:r>
              <w:rPr>
                <w:rFonts w:hint="eastAsia" w:hAnsi="宋体"/>
                <w:color w:val="auto"/>
                <w:sz w:val="24"/>
                <w:szCs w:val="24"/>
              </w:rPr>
              <w:t>小计</w:t>
            </w:r>
          </w:p>
        </w:tc>
      </w:tr>
      <w:tr w14:paraId="126DE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noWrap w:val="0"/>
            <w:vAlign w:val="center"/>
          </w:tcPr>
          <w:p w14:paraId="78DB5D3F">
            <w:pPr>
              <w:pStyle w:val="15"/>
              <w:jc w:val="center"/>
              <w:rPr>
                <w:rFonts w:hAnsi="宋体"/>
                <w:color w:val="auto"/>
                <w:sz w:val="24"/>
                <w:szCs w:val="24"/>
              </w:rPr>
            </w:pPr>
            <w:r>
              <w:rPr>
                <w:rFonts w:hint="eastAsia" w:hAnsi="宋体"/>
                <w:color w:val="auto"/>
                <w:sz w:val="24"/>
                <w:szCs w:val="24"/>
              </w:rPr>
              <w:t>1</w:t>
            </w:r>
          </w:p>
        </w:tc>
        <w:tc>
          <w:tcPr>
            <w:tcW w:w="2492" w:type="dxa"/>
            <w:noWrap w:val="0"/>
            <w:vAlign w:val="center"/>
          </w:tcPr>
          <w:p w14:paraId="3705F012">
            <w:pPr>
              <w:adjustRightInd w:val="0"/>
              <w:spacing w:line="360" w:lineRule="auto"/>
              <w:rPr>
                <w:rFonts w:ascii="宋体" w:hAnsi="宋体" w:cs="宋体"/>
                <w:color w:val="auto"/>
                <w:sz w:val="28"/>
                <w:szCs w:val="28"/>
              </w:rPr>
            </w:pPr>
          </w:p>
        </w:tc>
        <w:tc>
          <w:tcPr>
            <w:tcW w:w="915" w:type="dxa"/>
            <w:noWrap w:val="0"/>
            <w:vAlign w:val="center"/>
          </w:tcPr>
          <w:p w14:paraId="76759C57">
            <w:pPr>
              <w:pStyle w:val="15"/>
              <w:spacing w:line="360" w:lineRule="auto"/>
              <w:rPr>
                <w:rFonts w:hAnsi="宋体"/>
                <w:b/>
                <w:bCs/>
                <w:color w:val="auto"/>
                <w:sz w:val="24"/>
                <w:szCs w:val="24"/>
              </w:rPr>
            </w:pPr>
          </w:p>
        </w:tc>
        <w:tc>
          <w:tcPr>
            <w:tcW w:w="1876" w:type="dxa"/>
            <w:noWrap w:val="0"/>
            <w:vAlign w:val="center"/>
          </w:tcPr>
          <w:p w14:paraId="77004422">
            <w:pPr>
              <w:pStyle w:val="15"/>
              <w:spacing w:line="360" w:lineRule="auto"/>
              <w:rPr>
                <w:rFonts w:hAnsi="宋体"/>
                <w:b/>
                <w:bCs/>
                <w:color w:val="auto"/>
                <w:sz w:val="24"/>
                <w:szCs w:val="24"/>
              </w:rPr>
            </w:pPr>
          </w:p>
        </w:tc>
        <w:tc>
          <w:tcPr>
            <w:tcW w:w="495" w:type="dxa"/>
            <w:noWrap w:val="0"/>
            <w:vAlign w:val="center"/>
          </w:tcPr>
          <w:p w14:paraId="1DFD41E7">
            <w:pPr>
              <w:pStyle w:val="15"/>
              <w:spacing w:line="360" w:lineRule="auto"/>
              <w:rPr>
                <w:rFonts w:hAnsi="宋体"/>
                <w:b/>
                <w:bCs/>
                <w:color w:val="auto"/>
                <w:sz w:val="24"/>
                <w:szCs w:val="24"/>
              </w:rPr>
            </w:pPr>
          </w:p>
        </w:tc>
        <w:tc>
          <w:tcPr>
            <w:tcW w:w="498" w:type="dxa"/>
            <w:noWrap w:val="0"/>
            <w:vAlign w:val="center"/>
          </w:tcPr>
          <w:p w14:paraId="4F3B1633">
            <w:pPr>
              <w:pStyle w:val="15"/>
              <w:spacing w:line="360" w:lineRule="auto"/>
              <w:rPr>
                <w:rFonts w:hAnsi="宋体"/>
                <w:b/>
                <w:bCs/>
                <w:color w:val="auto"/>
                <w:sz w:val="24"/>
                <w:szCs w:val="24"/>
              </w:rPr>
            </w:pPr>
          </w:p>
        </w:tc>
        <w:tc>
          <w:tcPr>
            <w:tcW w:w="1148" w:type="dxa"/>
            <w:noWrap w:val="0"/>
            <w:vAlign w:val="top"/>
          </w:tcPr>
          <w:p w14:paraId="53D919E5">
            <w:pPr>
              <w:pStyle w:val="15"/>
              <w:spacing w:line="360" w:lineRule="auto"/>
              <w:rPr>
                <w:rFonts w:hAnsi="宋体"/>
                <w:color w:val="auto"/>
                <w:sz w:val="24"/>
                <w:szCs w:val="24"/>
              </w:rPr>
            </w:pPr>
          </w:p>
        </w:tc>
        <w:tc>
          <w:tcPr>
            <w:tcW w:w="1124" w:type="dxa"/>
            <w:noWrap w:val="0"/>
            <w:vAlign w:val="top"/>
          </w:tcPr>
          <w:p w14:paraId="3865264C">
            <w:pPr>
              <w:pStyle w:val="15"/>
              <w:spacing w:line="360" w:lineRule="auto"/>
              <w:rPr>
                <w:rFonts w:hAnsi="宋体"/>
                <w:color w:val="auto"/>
                <w:sz w:val="24"/>
                <w:szCs w:val="24"/>
              </w:rPr>
            </w:pPr>
          </w:p>
        </w:tc>
      </w:tr>
      <w:tr w14:paraId="6B689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noWrap w:val="0"/>
            <w:vAlign w:val="center"/>
          </w:tcPr>
          <w:p w14:paraId="09625212">
            <w:pPr>
              <w:pStyle w:val="15"/>
              <w:jc w:val="center"/>
              <w:rPr>
                <w:rFonts w:hAnsi="宋体"/>
                <w:color w:val="auto"/>
                <w:sz w:val="24"/>
                <w:szCs w:val="24"/>
              </w:rPr>
            </w:pPr>
            <w:r>
              <w:rPr>
                <w:rFonts w:hint="eastAsia" w:hAnsi="宋体"/>
                <w:color w:val="auto"/>
                <w:sz w:val="24"/>
                <w:szCs w:val="24"/>
              </w:rPr>
              <w:t>2</w:t>
            </w:r>
          </w:p>
        </w:tc>
        <w:tc>
          <w:tcPr>
            <w:tcW w:w="2492" w:type="dxa"/>
            <w:noWrap w:val="0"/>
            <w:vAlign w:val="center"/>
          </w:tcPr>
          <w:p w14:paraId="7ACD8D0E">
            <w:pPr>
              <w:adjustRightInd w:val="0"/>
              <w:spacing w:line="360" w:lineRule="auto"/>
              <w:jc w:val="center"/>
              <w:rPr>
                <w:rFonts w:ascii="宋体" w:hAnsi="宋体" w:cs="宋体"/>
                <w:color w:val="auto"/>
                <w:sz w:val="28"/>
                <w:szCs w:val="28"/>
              </w:rPr>
            </w:pPr>
          </w:p>
        </w:tc>
        <w:tc>
          <w:tcPr>
            <w:tcW w:w="915" w:type="dxa"/>
            <w:noWrap w:val="0"/>
            <w:vAlign w:val="center"/>
          </w:tcPr>
          <w:p w14:paraId="1164D833">
            <w:pPr>
              <w:pStyle w:val="15"/>
              <w:spacing w:line="360" w:lineRule="auto"/>
              <w:rPr>
                <w:rFonts w:hAnsi="宋体"/>
                <w:b/>
                <w:bCs/>
                <w:color w:val="auto"/>
                <w:sz w:val="24"/>
                <w:szCs w:val="24"/>
              </w:rPr>
            </w:pPr>
          </w:p>
        </w:tc>
        <w:tc>
          <w:tcPr>
            <w:tcW w:w="1876" w:type="dxa"/>
            <w:noWrap w:val="0"/>
            <w:vAlign w:val="center"/>
          </w:tcPr>
          <w:p w14:paraId="5EA5D748">
            <w:pPr>
              <w:pStyle w:val="15"/>
              <w:spacing w:line="360" w:lineRule="auto"/>
              <w:rPr>
                <w:rFonts w:hAnsi="宋体"/>
                <w:b/>
                <w:bCs/>
                <w:color w:val="auto"/>
                <w:sz w:val="24"/>
                <w:szCs w:val="24"/>
              </w:rPr>
            </w:pPr>
          </w:p>
        </w:tc>
        <w:tc>
          <w:tcPr>
            <w:tcW w:w="495" w:type="dxa"/>
            <w:noWrap w:val="0"/>
            <w:vAlign w:val="center"/>
          </w:tcPr>
          <w:p w14:paraId="1C8FAB2A">
            <w:pPr>
              <w:pStyle w:val="15"/>
              <w:spacing w:line="360" w:lineRule="auto"/>
              <w:rPr>
                <w:rFonts w:hAnsi="宋体"/>
                <w:b/>
                <w:bCs/>
                <w:color w:val="auto"/>
                <w:sz w:val="24"/>
                <w:szCs w:val="24"/>
              </w:rPr>
            </w:pPr>
          </w:p>
        </w:tc>
        <w:tc>
          <w:tcPr>
            <w:tcW w:w="498" w:type="dxa"/>
            <w:noWrap w:val="0"/>
            <w:vAlign w:val="center"/>
          </w:tcPr>
          <w:p w14:paraId="5482AC73">
            <w:pPr>
              <w:pStyle w:val="15"/>
              <w:spacing w:line="360" w:lineRule="auto"/>
              <w:rPr>
                <w:rFonts w:hAnsi="宋体"/>
                <w:b/>
                <w:bCs/>
                <w:color w:val="auto"/>
                <w:sz w:val="24"/>
                <w:szCs w:val="24"/>
              </w:rPr>
            </w:pPr>
          </w:p>
        </w:tc>
        <w:tc>
          <w:tcPr>
            <w:tcW w:w="1148" w:type="dxa"/>
            <w:noWrap w:val="0"/>
            <w:vAlign w:val="top"/>
          </w:tcPr>
          <w:p w14:paraId="57A5C9EE">
            <w:pPr>
              <w:pStyle w:val="15"/>
              <w:spacing w:line="360" w:lineRule="auto"/>
              <w:rPr>
                <w:rFonts w:hAnsi="宋体"/>
                <w:color w:val="auto"/>
                <w:sz w:val="24"/>
                <w:szCs w:val="24"/>
              </w:rPr>
            </w:pPr>
          </w:p>
        </w:tc>
        <w:tc>
          <w:tcPr>
            <w:tcW w:w="1124" w:type="dxa"/>
            <w:noWrap w:val="0"/>
            <w:vAlign w:val="top"/>
          </w:tcPr>
          <w:p w14:paraId="3D0D940D">
            <w:pPr>
              <w:pStyle w:val="15"/>
              <w:spacing w:line="360" w:lineRule="auto"/>
              <w:rPr>
                <w:rFonts w:hAnsi="宋体"/>
                <w:color w:val="auto"/>
                <w:sz w:val="24"/>
                <w:szCs w:val="24"/>
              </w:rPr>
            </w:pPr>
          </w:p>
        </w:tc>
      </w:tr>
      <w:tr w14:paraId="7BFDE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noWrap w:val="0"/>
            <w:vAlign w:val="center"/>
          </w:tcPr>
          <w:p w14:paraId="5D781DB9">
            <w:pPr>
              <w:pStyle w:val="15"/>
              <w:jc w:val="center"/>
              <w:rPr>
                <w:rFonts w:hAnsi="宋体"/>
                <w:color w:val="auto"/>
                <w:sz w:val="24"/>
                <w:szCs w:val="24"/>
              </w:rPr>
            </w:pPr>
            <w:r>
              <w:rPr>
                <w:rFonts w:hint="eastAsia" w:hAnsi="宋体"/>
                <w:color w:val="auto"/>
                <w:sz w:val="24"/>
                <w:szCs w:val="24"/>
              </w:rPr>
              <w:t>3</w:t>
            </w:r>
          </w:p>
        </w:tc>
        <w:tc>
          <w:tcPr>
            <w:tcW w:w="2492" w:type="dxa"/>
            <w:noWrap w:val="0"/>
            <w:vAlign w:val="center"/>
          </w:tcPr>
          <w:p w14:paraId="74FC98FC">
            <w:pPr>
              <w:pStyle w:val="15"/>
              <w:jc w:val="center"/>
              <w:rPr>
                <w:rFonts w:hAnsi="宋体"/>
                <w:color w:val="auto"/>
                <w:sz w:val="24"/>
                <w:szCs w:val="24"/>
              </w:rPr>
            </w:pPr>
          </w:p>
        </w:tc>
        <w:tc>
          <w:tcPr>
            <w:tcW w:w="915" w:type="dxa"/>
            <w:noWrap w:val="0"/>
            <w:vAlign w:val="center"/>
          </w:tcPr>
          <w:p w14:paraId="38B4F054">
            <w:pPr>
              <w:pStyle w:val="15"/>
              <w:spacing w:line="360" w:lineRule="auto"/>
              <w:rPr>
                <w:rFonts w:hAnsi="宋体"/>
                <w:b/>
                <w:bCs/>
                <w:color w:val="auto"/>
                <w:sz w:val="24"/>
                <w:szCs w:val="24"/>
              </w:rPr>
            </w:pPr>
          </w:p>
        </w:tc>
        <w:tc>
          <w:tcPr>
            <w:tcW w:w="1876" w:type="dxa"/>
            <w:noWrap w:val="0"/>
            <w:vAlign w:val="center"/>
          </w:tcPr>
          <w:p w14:paraId="55736466">
            <w:pPr>
              <w:pStyle w:val="15"/>
              <w:spacing w:line="360" w:lineRule="auto"/>
              <w:rPr>
                <w:rFonts w:hAnsi="宋体"/>
                <w:b/>
                <w:bCs/>
                <w:color w:val="auto"/>
                <w:sz w:val="24"/>
                <w:szCs w:val="24"/>
              </w:rPr>
            </w:pPr>
          </w:p>
        </w:tc>
        <w:tc>
          <w:tcPr>
            <w:tcW w:w="495" w:type="dxa"/>
            <w:noWrap w:val="0"/>
            <w:vAlign w:val="center"/>
          </w:tcPr>
          <w:p w14:paraId="15DC2A3C">
            <w:pPr>
              <w:pStyle w:val="15"/>
              <w:spacing w:line="360" w:lineRule="auto"/>
              <w:rPr>
                <w:rFonts w:hAnsi="宋体"/>
                <w:b/>
                <w:bCs/>
                <w:color w:val="auto"/>
                <w:sz w:val="24"/>
                <w:szCs w:val="24"/>
              </w:rPr>
            </w:pPr>
          </w:p>
        </w:tc>
        <w:tc>
          <w:tcPr>
            <w:tcW w:w="498" w:type="dxa"/>
            <w:noWrap w:val="0"/>
            <w:vAlign w:val="center"/>
          </w:tcPr>
          <w:p w14:paraId="326FACD9">
            <w:pPr>
              <w:pStyle w:val="15"/>
              <w:spacing w:line="360" w:lineRule="auto"/>
              <w:rPr>
                <w:rFonts w:hAnsi="宋体"/>
                <w:b/>
                <w:bCs/>
                <w:color w:val="auto"/>
                <w:sz w:val="24"/>
                <w:szCs w:val="24"/>
              </w:rPr>
            </w:pPr>
          </w:p>
        </w:tc>
        <w:tc>
          <w:tcPr>
            <w:tcW w:w="1148" w:type="dxa"/>
            <w:noWrap w:val="0"/>
            <w:vAlign w:val="top"/>
          </w:tcPr>
          <w:p w14:paraId="0853D3B0">
            <w:pPr>
              <w:pStyle w:val="15"/>
              <w:spacing w:line="360" w:lineRule="auto"/>
              <w:rPr>
                <w:rFonts w:hAnsi="宋体"/>
                <w:color w:val="auto"/>
                <w:sz w:val="24"/>
                <w:szCs w:val="24"/>
              </w:rPr>
            </w:pPr>
          </w:p>
        </w:tc>
        <w:tc>
          <w:tcPr>
            <w:tcW w:w="1124" w:type="dxa"/>
            <w:noWrap w:val="0"/>
            <w:vAlign w:val="top"/>
          </w:tcPr>
          <w:p w14:paraId="007C4C47">
            <w:pPr>
              <w:pStyle w:val="15"/>
              <w:spacing w:line="360" w:lineRule="auto"/>
              <w:rPr>
                <w:rFonts w:hAnsi="宋体"/>
                <w:color w:val="auto"/>
                <w:sz w:val="24"/>
                <w:szCs w:val="24"/>
              </w:rPr>
            </w:pPr>
          </w:p>
        </w:tc>
      </w:tr>
      <w:tr w14:paraId="283EB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noWrap w:val="0"/>
            <w:vAlign w:val="center"/>
          </w:tcPr>
          <w:p w14:paraId="2B3647A8">
            <w:pPr>
              <w:pStyle w:val="15"/>
              <w:jc w:val="center"/>
              <w:rPr>
                <w:rFonts w:hAnsi="宋体"/>
                <w:color w:val="auto"/>
                <w:sz w:val="24"/>
                <w:szCs w:val="24"/>
              </w:rPr>
            </w:pPr>
            <w:r>
              <w:rPr>
                <w:rFonts w:hint="eastAsia" w:hAnsi="宋体"/>
                <w:color w:val="auto"/>
                <w:sz w:val="24"/>
                <w:szCs w:val="24"/>
              </w:rPr>
              <w:t>4</w:t>
            </w:r>
          </w:p>
        </w:tc>
        <w:tc>
          <w:tcPr>
            <w:tcW w:w="2492" w:type="dxa"/>
            <w:noWrap w:val="0"/>
            <w:vAlign w:val="center"/>
          </w:tcPr>
          <w:p w14:paraId="23EE43A8">
            <w:pPr>
              <w:pStyle w:val="15"/>
              <w:jc w:val="center"/>
              <w:rPr>
                <w:rFonts w:hAnsi="宋体"/>
                <w:color w:val="auto"/>
                <w:sz w:val="24"/>
                <w:szCs w:val="24"/>
              </w:rPr>
            </w:pPr>
          </w:p>
        </w:tc>
        <w:tc>
          <w:tcPr>
            <w:tcW w:w="915" w:type="dxa"/>
            <w:noWrap w:val="0"/>
            <w:vAlign w:val="center"/>
          </w:tcPr>
          <w:p w14:paraId="79C61190">
            <w:pPr>
              <w:pStyle w:val="15"/>
              <w:spacing w:line="360" w:lineRule="auto"/>
              <w:jc w:val="center"/>
              <w:rPr>
                <w:rFonts w:hAnsi="宋体"/>
                <w:color w:val="auto"/>
                <w:sz w:val="24"/>
                <w:szCs w:val="24"/>
              </w:rPr>
            </w:pPr>
          </w:p>
        </w:tc>
        <w:tc>
          <w:tcPr>
            <w:tcW w:w="1876" w:type="dxa"/>
            <w:noWrap w:val="0"/>
            <w:vAlign w:val="center"/>
          </w:tcPr>
          <w:p w14:paraId="7B72D478">
            <w:pPr>
              <w:pStyle w:val="15"/>
              <w:spacing w:line="360" w:lineRule="auto"/>
              <w:jc w:val="center"/>
              <w:rPr>
                <w:rFonts w:hAnsi="宋体"/>
                <w:color w:val="auto"/>
                <w:sz w:val="24"/>
                <w:szCs w:val="24"/>
              </w:rPr>
            </w:pPr>
          </w:p>
        </w:tc>
        <w:tc>
          <w:tcPr>
            <w:tcW w:w="495" w:type="dxa"/>
            <w:noWrap w:val="0"/>
            <w:vAlign w:val="center"/>
          </w:tcPr>
          <w:p w14:paraId="25D16C32">
            <w:pPr>
              <w:pStyle w:val="15"/>
              <w:spacing w:line="360" w:lineRule="auto"/>
              <w:jc w:val="center"/>
              <w:rPr>
                <w:rFonts w:hAnsi="宋体"/>
                <w:color w:val="auto"/>
                <w:sz w:val="24"/>
                <w:szCs w:val="24"/>
              </w:rPr>
            </w:pPr>
          </w:p>
        </w:tc>
        <w:tc>
          <w:tcPr>
            <w:tcW w:w="498" w:type="dxa"/>
            <w:noWrap w:val="0"/>
            <w:vAlign w:val="center"/>
          </w:tcPr>
          <w:p w14:paraId="7CF00858">
            <w:pPr>
              <w:pStyle w:val="15"/>
              <w:spacing w:line="360" w:lineRule="auto"/>
              <w:jc w:val="center"/>
              <w:rPr>
                <w:rFonts w:hAnsi="宋体"/>
                <w:color w:val="auto"/>
                <w:sz w:val="24"/>
                <w:szCs w:val="24"/>
              </w:rPr>
            </w:pPr>
          </w:p>
        </w:tc>
        <w:tc>
          <w:tcPr>
            <w:tcW w:w="1148" w:type="dxa"/>
            <w:noWrap w:val="0"/>
            <w:vAlign w:val="top"/>
          </w:tcPr>
          <w:p w14:paraId="6D588EC1">
            <w:pPr>
              <w:pStyle w:val="15"/>
              <w:spacing w:line="360" w:lineRule="auto"/>
              <w:rPr>
                <w:rFonts w:hAnsi="宋体"/>
                <w:color w:val="auto"/>
                <w:sz w:val="24"/>
                <w:szCs w:val="24"/>
              </w:rPr>
            </w:pPr>
          </w:p>
        </w:tc>
        <w:tc>
          <w:tcPr>
            <w:tcW w:w="1124" w:type="dxa"/>
            <w:noWrap w:val="0"/>
            <w:vAlign w:val="top"/>
          </w:tcPr>
          <w:p w14:paraId="184CF48D">
            <w:pPr>
              <w:pStyle w:val="15"/>
              <w:spacing w:line="360" w:lineRule="auto"/>
              <w:rPr>
                <w:rFonts w:hAnsi="宋体"/>
                <w:color w:val="auto"/>
                <w:sz w:val="24"/>
                <w:szCs w:val="24"/>
              </w:rPr>
            </w:pPr>
          </w:p>
        </w:tc>
      </w:tr>
      <w:tr w14:paraId="0EDD7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noWrap w:val="0"/>
            <w:vAlign w:val="center"/>
          </w:tcPr>
          <w:p w14:paraId="07A1E08E">
            <w:pPr>
              <w:pStyle w:val="15"/>
              <w:spacing w:line="360" w:lineRule="auto"/>
              <w:jc w:val="center"/>
              <w:rPr>
                <w:rFonts w:hAnsi="宋体"/>
                <w:color w:val="auto"/>
                <w:sz w:val="24"/>
                <w:szCs w:val="24"/>
              </w:rPr>
            </w:pPr>
            <w:r>
              <w:rPr>
                <w:rFonts w:hint="eastAsia" w:hAnsi="宋体"/>
                <w:color w:val="auto"/>
                <w:sz w:val="24"/>
                <w:szCs w:val="24"/>
              </w:rPr>
              <w:t>5</w:t>
            </w:r>
          </w:p>
        </w:tc>
        <w:tc>
          <w:tcPr>
            <w:tcW w:w="2492" w:type="dxa"/>
            <w:noWrap w:val="0"/>
            <w:vAlign w:val="center"/>
          </w:tcPr>
          <w:p w14:paraId="6E4162D3">
            <w:pPr>
              <w:pStyle w:val="15"/>
              <w:spacing w:line="360" w:lineRule="auto"/>
              <w:jc w:val="center"/>
              <w:rPr>
                <w:rFonts w:hAnsi="宋体"/>
                <w:color w:val="auto"/>
                <w:sz w:val="24"/>
                <w:szCs w:val="24"/>
              </w:rPr>
            </w:pPr>
          </w:p>
        </w:tc>
        <w:tc>
          <w:tcPr>
            <w:tcW w:w="915" w:type="dxa"/>
            <w:noWrap w:val="0"/>
            <w:vAlign w:val="center"/>
          </w:tcPr>
          <w:p w14:paraId="326D23ED">
            <w:pPr>
              <w:jc w:val="center"/>
              <w:rPr>
                <w:rFonts w:ascii="宋体" w:hAnsi="宋体" w:cs="宋体"/>
                <w:b/>
                <w:bCs/>
                <w:color w:val="auto"/>
                <w:sz w:val="24"/>
                <w:szCs w:val="24"/>
              </w:rPr>
            </w:pPr>
          </w:p>
        </w:tc>
        <w:tc>
          <w:tcPr>
            <w:tcW w:w="1876" w:type="dxa"/>
            <w:noWrap w:val="0"/>
            <w:vAlign w:val="center"/>
          </w:tcPr>
          <w:p w14:paraId="55FA2144">
            <w:pPr>
              <w:jc w:val="center"/>
              <w:rPr>
                <w:rFonts w:ascii="宋体" w:hAnsi="宋体" w:cs="宋体"/>
                <w:b/>
                <w:bCs/>
                <w:color w:val="auto"/>
                <w:sz w:val="24"/>
                <w:szCs w:val="24"/>
              </w:rPr>
            </w:pPr>
          </w:p>
        </w:tc>
        <w:tc>
          <w:tcPr>
            <w:tcW w:w="495" w:type="dxa"/>
            <w:noWrap w:val="0"/>
            <w:vAlign w:val="center"/>
          </w:tcPr>
          <w:p w14:paraId="15A26C15">
            <w:pPr>
              <w:pStyle w:val="15"/>
              <w:spacing w:line="360" w:lineRule="auto"/>
              <w:jc w:val="center"/>
              <w:rPr>
                <w:rFonts w:hAnsi="宋体"/>
                <w:b/>
                <w:bCs/>
                <w:color w:val="auto"/>
                <w:sz w:val="24"/>
                <w:szCs w:val="24"/>
              </w:rPr>
            </w:pPr>
          </w:p>
        </w:tc>
        <w:tc>
          <w:tcPr>
            <w:tcW w:w="498" w:type="dxa"/>
            <w:noWrap w:val="0"/>
            <w:vAlign w:val="center"/>
          </w:tcPr>
          <w:p w14:paraId="2D2C99F5">
            <w:pPr>
              <w:pStyle w:val="15"/>
              <w:spacing w:line="360" w:lineRule="auto"/>
              <w:jc w:val="center"/>
              <w:rPr>
                <w:rFonts w:hAnsi="宋体"/>
                <w:b/>
                <w:bCs/>
                <w:color w:val="auto"/>
                <w:sz w:val="24"/>
                <w:szCs w:val="24"/>
              </w:rPr>
            </w:pPr>
          </w:p>
        </w:tc>
        <w:tc>
          <w:tcPr>
            <w:tcW w:w="1148" w:type="dxa"/>
            <w:noWrap w:val="0"/>
            <w:vAlign w:val="center"/>
          </w:tcPr>
          <w:p w14:paraId="6896CC8B">
            <w:pPr>
              <w:pStyle w:val="15"/>
              <w:spacing w:line="360" w:lineRule="auto"/>
              <w:jc w:val="center"/>
              <w:rPr>
                <w:rFonts w:hAnsi="宋体"/>
                <w:b/>
                <w:bCs/>
                <w:color w:val="auto"/>
                <w:sz w:val="24"/>
                <w:szCs w:val="24"/>
              </w:rPr>
            </w:pPr>
          </w:p>
        </w:tc>
        <w:tc>
          <w:tcPr>
            <w:tcW w:w="1124" w:type="dxa"/>
            <w:noWrap w:val="0"/>
            <w:vAlign w:val="center"/>
          </w:tcPr>
          <w:p w14:paraId="0E401C04">
            <w:pPr>
              <w:pStyle w:val="15"/>
              <w:spacing w:line="360" w:lineRule="auto"/>
              <w:jc w:val="center"/>
              <w:rPr>
                <w:rFonts w:hAnsi="宋体"/>
                <w:b/>
                <w:bCs/>
                <w:color w:val="auto"/>
                <w:sz w:val="24"/>
                <w:szCs w:val="24"/>
              </w:rPr>
            </w:pPr>
          </w:p>
        </w:tc>
      </w:tr>
      <w:tr w14:paraId="40174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noWrap w:val="0"/>
            <w:vAlign w:val="top"/>
          </w:tcPr>
          <w:p w14:paraId="04A7EEDE">
            <w:pPr>
              <w:pStyle w:val="15"/>
              <w:spacing w:line="360" w:lineRule="auto"/>
              <w:rPr>
                <w:rFonts w:hAnsi="宋体"/>
                <w:color w:val="auto"/>
                <w:sz w:val="24"/>
                <w:szCs w:val="24"/>
              </w:rPr>
            </w:pPr>
            <w:r>
              <w:rPr>
                <w:rFonts w:hint="eastAsia" w:hAnsi="宋体"/>
                <w:color w:val="auto"/>
                <w:sz w:val="24"/>
                <w:szCs w:val="24"/>
              </w:rPr>
              <w:t>…</w:t>
            </w:r>
          </w:p>
        </w:tc>
        <w:tc>
          <w:tcPr>
            <w:tcW w:w="2492" w:type="dxa"/>
            <w:noWrap w:val="0"/>
            <w:vAlign w:val="center"/>
          </w:tcPr>
          <w:p w14:paraId="76375E2E">
            <w:pPr>
              <w:pStyle w:val="15"/>
              <w:spacing w:line="360" w:lineRule="auto"/>
              <w:jc w:val="center"/>
              <w:rPr>
                <w:rFonts w:hAnsi="宋体"/>
                <w:color w:val="auto"/>
                <w:sz w:val="24"/>
                <w:szCs w:val="24"/>
              </w:rPr>
            </w:pPr>
            <w:r>
              <w:rPr>
                <w:rFonts w:hint="eastAsia" w:hAnsi="宋体"/>
                <w:color w:val="auto"/>
                <w:sz w:val="24"/>
                <w:szCs w:val="24"/>
              </w:rPr>
              <w:t>……</w:t>
            </w:r>
          </w:p>
        </w:tc>
        <w:tc>
          <w:tcPr>
            <w:tcW w:w="915" w:type="dxa"/>
            <w:noWrap w:val="0"/>
            <w:vAlign w:val="center"/>
          </w:tcPr>
          <w:p w14:paraId="48559355">
            <w:pPr>
              <w:jc w:val="center"/>
              <w:rPr>
                <w:rFonts w:ascii="宋体" w:hAnsi="宋体" w:cs="宋体"/>
                <w:color w:val="auto"/>
                <w:sz w:val="24"/>
                <w:szCs w:val="24"/>
              </w:rPr>
            </w:pPr>
          </w:p>
        </w:tc>
        <w:tc>
          <w:tcPr>
            <w:tcW w:w="1876" w:type="dxa"/>
            <w:noWrap w:val="0"/>
            <w:vAlign w:val="center"/>
          </w:tcPr>
          <w:p w14:paraId="4C2569CB">
            <w:pPr>
              <w:jc w:val="center"/>
              <w:rPr>
                <w:rFonts w:ascii="宋体" w:hAnsi="宋体" w:cs="宋体"/>
                <w:color w:val="auto"/>
                <w:sz w:val="24"/>
                <w:szCs w:val="24"/>
              </w:rPr>
            </w:pPr>
          </w:p>
        </w:tc>
        <w:tc>
          <w:tcPr>
            <w:tcW w:w="495" w:type="dxa"/>
            <w:noWrap w:val="0"/>
            <w:vAlign w:val="center"/>
          </w:tcPr>
          <w:p w14:paraId="499882B7">
            <w:pPr>
              <w:pStyle w:val="15"/>
              <w:spacing w:line="360" w:lineRule="auto"/>
              <w:jc w:val="center"/>
              <w:rPr>
                <w:rFonts w:hAnsi="宋体"/>
                <w:color w:val="auto"/>
                <w:sz w:val="24"/>
                <w:szCs w:val="24"/>
              </w:rPr>
            </w:pPr>
          </w:p>
        </w:tc>
        <w:tc>
          <w:tcPr>
            <w:tcW w:w="498" w:type="dxa"/>
            <w:noWrap w:val="0"/>
            <w:vAlign w:val="center"/>
          </w:tcPr>
          <w:p w14:paraId="188EF97C">
            <w:pPr>
              <w:pStyle w:val="15"/>
              <w:spacing w:line="360" w:lineRule="auto"/>
              <w:jc w:val="center"/>
              <w:rPr>
                <w:rFonts w:hAnsi="宋体"/>
                <w:color w:val="auto"/>
                <w:sz w:val="24"/>
                <w:szCs w:val="24"/>
              </w:rPr>
            </w:pPr>
          </w:p>
        </w:tc>
        <w:tc>
          <w:tcPr>
            <w:tcW w:w="1148" w:type="dxa"/>
            <w:noWrap w:val="0"/>
            <w:vAlign w:val="top"/>
          </w:tcPr>
          <w:p w14:paraId="3A7EAC0D">
            <w:pPr>
              <w:pStyle w:val="15"/>
              <w:spacing w:line="360" w:lineRule="auto"/>
              <w:rPr>
                <w:rFonts w:hAnsi="宋体"/>
                <w:color w:val="auto"/>
                <w:sz w:val="24"/>
                <w:szCs w:val="24"/>
              </w:rPr>
            </w:pPr>
          </w:p>
        </w:tc>
        <w:tc>
          <w:tcPr>
            <w:tcW w:w="1124" w:type="dxa"/>
            <w:noWrap w:val="0"/>
            <w:vAlign w:val="top"/>
          </w:tcPr>
          <w:p w14:paraId="2B466904">
            <w:pPr>
              <w:pStyle w:val="15"/>
              <w:spacing w:line="360" w:lineRule="auto"/>
              <w:rPr>
                <w:rFonts w:hAnsi="宋体"/>
                <w:color w:val="auto"/>
                <w:sz w:val="24"/>
                <w:szCs w:val="24"/>
              </w:rPr>
            </w:pPr>
          </w:p>
        </w:tc>
      </w:tr>
      <w:tr w14:paraId="2F142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2981" w:type="dxa"/>
            <w:gridSpan w:val="2"/>
            <w:noWrap w:val="0"/>
            <w:vAlign w:val="center"/>
          </w:tcPr>
          <w:p w14:paraId="0F239532">
            <w:pPr>
              <w:pStyle w:val="15"/>
              <w:spacing w:line="360" w:lineRule="auto"/>
              <w:jc w:val="center"/>
              <w:rPr>
                <w:rFonts w:hAnsi="宋体"/>
                <w:color w:val="auto"/>
                <w:sz w:val="24"/>
                <w:szCs w:val="24"/>
              </w:rPr>
            </w:pPr>
            <w:r>
              <w:rPr>
                <w:rFonts w:hint="eastAsia" w:hAnsi="宋体"/>
                <w:color w:val="auto"/>
                <w:sz w:val="24"/>
                <w:szCs w:val="24"/>
              </w:rPr>
              <w:t>投标总价</w:t>
            </w:r>
          </w:p>
        </w:tc>
        <w:tc>
          <w:tcPr>
            <w:tcW w:w="6056" w:type="dxa"/>
            <w:gridSpan w:val="6"/>
            <w:noWrap w:val="0"/>
            <w:vAlign w:val="center"/>
          </w:tcPr>
          <w:p w14:paraId="3E285DAC">
            <w:pPr>
              <w:pStyle w:val="15"/>
              <w:spacing w:line="360" w:lineRule="auto"/>
              <w:jc w:val="center"/>
              <w:rPr>
                <w:rFonts w:hAnsi="宋体"/>
                <w:color w:val="auto"/>
                <w:sz w:val="24"/>
                <w:szCs w:val="24"/>
              </w:rPr>
            </w:pPr>
            <w:r>
              <w:rPr>
                <w:rFonts w:hint="eastAsia" w:hAnsi="宋体"/>
                <w:color w:val="auto"/>
                <w:sz w:val="24"/>
                <w:szCs w:val="24"/>
              </w:rPr>
              <w:t>大写：　　　　                元（小写：　　　　　）</w:t>
            </w:r>
          </w:p>
        </w:tc>
      </w:tr>
      <w:tr w14:paraId="7CAE1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8" w:hRule="atLeast"/>
          <w:jc w:val="center"/>
        </w:trPr>
        <w:tc>
          <w:tcPr>
            <w:tcW w:w="9037" w:type="dxa"/>
            <w:gridSpan w:val="8"/>
            <w:noWrap w:val="0"/>
            <w:vAlign w:val="center"/>
          </w:tcPr>
          <w:p w14:paraId="229B6BA7">
            <w:pPr>
              <w:pStyle w:val="15"/>
              <w:spacing w:line="360" w:lineRule="auto"/>
              <w:ind w:firstLine="480" w:firstLineChars="200"/>
              <w:jc w:val="left"/>
              <w:rPr>
                <w:rFonts w:hAnsi="宋体"/>
                <w:color w:val="auto"/>
                <w:sz w:val="22"/>
                <w:szCs w:val="22"/>
              </w:rPr>
            </w:pPr>
            <w:r>
              <w:rPr>
                <w:rFonts w:hint="eastAsia" w:hAnsi="宋体"/>
                <w:color w:val="auto"/>
                <w:sz w:val="24"/>
                <w:szCs w:val="24"/>
              </w:rPr>
              <w:t>本次报价应包含项目所需全部服务，不得缺漏，是履行合同的最终价格（包括人员的工资、福利、保险费、工具、设备、检测费、交通费、食宿费、管理费、招标代理费、税费等一切费用）。供应商在编写方案时应充分考虑各种风险因素，凡供应商漏项、漏报均认为已包含在报价中，结算时不再增加。</w:t>
            </w:r>
          </w:p>
        </w:tc>
      </w:tr>
    </w:tbl>
    <w:p w14:paraId="13CA16D6">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注：内容可根据供应商实际情况自行调整。</w:t>
      </w:r>
    </w:p>
    <w:p w14:paraId="2C72D84F">
      <w:pPr>
        <w:rPr>
          <w:rFonts w:hint="eastAsia" w:hAnsi="宋体"/>
          <w:color w:val="auto"/>
          <w:sz w:val="24"/>
          <w:szCs w:val="24"/>
          <w:highlight w:val="none"/>
        </w:rPr>
      </w:pPr>
    </w:p>
    <w:p w14:paraId="571E9522">
      <w:pPr>
        <w:pStyle w:val="3"/>
        <w:rPr>
          <w:color w:val="auto"/>
        </w:rPr>
      </w:pPr>
    </w:p>
    <w:p w14:paraId="46514F75">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6ABD4BE5">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50680B97">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供应商全称（公章）：</w:t>
      </w:r>
    </w:p>
    <w:bookmarkEnd w:id="113"/>
    <w:p w14:paraId="2754FB03">
      <w:pPr>
        <w:spacing w:line="360" w:lineRule="auto"/>
        <w:jc w:val="left"/>
        <w:rPr>
          <w:rFonts w:hint="eastAsia" w:ascii="宋体" w:hAnsi="宋体" w:cs="宋体"/>
          <w:b/>
          <w:bCs/>
          <w:color w:val="auto"/>
          <w:sz w:val="24"/>
          <w:szCs w:val="24"/>
          <w:highlight w:val="none"/>
          <w:lang w:val="zh-CN"/>
        </w:rPr>
      </w:pPr>
    </w:p>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987F8">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A27BE">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C1905B0">
                          <w:pPr>
                            <w:pStyle w:val="18"/>
                          </w:pPr>
                          <w:r>
                            <w:fldChar w:fldCharType="begin"/>
                          </w:r>
                          <w:r>
                            <w:instrText xml:space="preserve"> PAGE  \* MERGEFORMAT </w:instrText>
                          </w:r>
                          <w:r>
                            <w:fldChar w:fldCharType="separate"/>
                          </w:r>
                          <w:r>
                            <w:t>40</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CazfJM1wEAALADAAAOAAAAAAAAAAEAIAAA&#10;AB8BAABkcnMvZTJvRG9jLnhtbFBLBQYAAAAABgAGAFkBAABoBQAAAAA=&#10;">
              <v:fill on="f" focussize="0,0"/>
              <v:stroke on="f" weight="0.5pt"/>
              <v:imagedata o:title=""/>
              <o:lock v:ext="edit" aspectratio="f"/>
              <v:textbox inset="0mm,0mm,0mm,0mm" style="mso-fit-shape-to-text:t;">
                <w:txbxContent>
                  <w:p w14:paraId="2C1905B0">
                    <w:pPr>
                      <w:pStyle w:val="18"/>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25825">
    <w:pPr>
      <w:pStyle w:val="18"/>
      <w:rPr>
        <w:rStyle w:val="3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a:effectLst/>
                    </wps:spPr>
                    <wps:txbx>
                      <w:txbxContent>
                        <w:p w14:paraId="7A60EFE5">
                          <w:pPr>
                            <w:pStyle w:val="18"/>
                          </w:pPr>
                          <w:r>
                            <w:fldChar w:fldCharType="begin"/>
                          </w:r>
                          <w:r>
                            <w:instrText xml:space="preserve"> PAGE  \* MERGEFORMAT </w:instrText>
                          </w:r>
                          <w:r>
                            <w:fldChar w:fldCharType="separate"/>
                          </w:r>
                          <w:r>
                            <w:t>59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rpkT20wEAAKU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Dl4RF6A8XXiMfSbrNhv+5Hc1jVH5Nbh&#10;EtTU4s5Tou8tapz2ZTLCZGwnY++D2rXY6Dx3Cf79PmJLudNUYYBFhumC08tcx01L6/H0nrMe/67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uNj1nRAAAAAwEAAA8AAAAAAAAAAQAgAAAAIgAAAGRy&#10;cy9kb3ducmV2LnhtbFBLAQIUABQAAAAIAIdO4kArpkT20wEAAKUDAAAOAAAAAAAAAAEAIAAAACAB&#10;AABkcnMvZTJvRG9jLnhtbFBLBQYAAAAABgAGAFkBAABlBQAAAAA=&#10;">
              <v:fill on="f" focussize="0,0"/>
              <v:stroke on="f"/>
              <v:imagedata o:title=""/>
              <o:lock v:ext="edit" aspectratio="f"/>
              <v:textbox inset="0mm,0mm,0mm,0mm" style="mso-fit-shape-to-text:t;">
                <w:txbxContent>
                  <w:p w14:paraId="7A60EFE5">
                    <w:pPr>
                      <w:pStyle w:val="18"/>
                    </w:pPr>
                    <w:r>
                      <w:fldChar w:fldCharType="begin"/>
                    </w:r>
                    <w:r>
                      <w:instrText xml:space="preserve"> PAGE  \* MERGEFORMAT </w:instrText>
                    </w:r>
                    <w:r>
                      <w:fldChar w:fldCharType="separate"/>
                    </w:r>
                    <w:r>
                      <w:t>59</w:t>
                    </w:r>
                    <w:r>
                      <w:fldChar w:fldCharType="end"/>
                    </w:r>
                  </w:p>
                </w:txbxContent>
              </v:textbox>
            </v:shape>
          </w:pict>
        </mc:Fallback>
      </mc:AlternateContent>
    </w:r>
  </w:p>
  <w:p w14:paraId="137E5917">
    <w:pPr>
      <w:pStyle w:val="18"/>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CF574">
    <w:pPr>
      <w:pStyle w:val="1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C84E7"/>
    <w:multiLevelType w:val="singleLevel"/>
    <w:tmpl w:val="960C84E7"/>
    <w:lvl w:ilvl="0" w:tentative="0">
      <w:start w:val="1"/>
      <w:numFmt w:val="decimal"/>
      <w:suff w:val="nothing"/>
      <w:lvlText w:val="14.%1 "/>
      <w:lvlJc w:val="left"/>
      <w:pPr>
        <w:tabs>
          <w:tab w:val="left" w:pos="0"/>
        </w:tabs>
        <w:ind w:firstLine="40"/>
      </w:pPr>
      <w:rPr>
        <w:rFonts w:hint="default" w:ascii="宋体" w:hAnsi="宋体" w:eastAsia="宋体"/>
      </w:rPr>
    </w:lvl>
  </w:abstractNum>
  <w:abstractNum w:abstractNumId="1">
    <w:nsid w:val="9E7D436F"/>
    <w:multiLevelType w:val="singleLevel"/>
    <w:tmpl w:val="9E7D436F"/>
    <w:lvl w:ilvl="0" w:tentative="0">
      <w:start w:val="1"/>
      <w:numFmt w:val="chineseCounting"/>
      <w:suff w:val="nothing"/>
      <w:lvlText w:val="%1、"/>
      <w:lvlJc w:val="left"/>
      <w:rPr>
        <w:rFonts w:hint="eastAsia"/>
      </w:rPr>
    </w:lvl>
  </w:abstractNum>
  <w:abstractNum w:abstractNumId="2">
    <w:nsid w:val="D04DA047"/>
    <w:multiLevelType w:val="singleLevel"/>
    <w:tmpl w:val="D04DA047"/>
    <w:lvl w:ilvl="0" w:tentative="0">
      <w:start w:val="1"/>
      <w:numFmt w:val="decimalEnclosedCircleChinese"/>
      <w:suff w:val="nothing"/>
      <w:lvlText w:val="%1　"/>
      <w:lvlJc w:val="left"/>
      <w:pPr>
        <w:ind w:left="0" w:firstLine="400"/>
      </w:pPr>
      <w:rPr>
        <w:rFonts w:hint="eastAsia"/>
      </w:rPr>
    </w:lvl>
  </w:abstractNum>
  <w:abstractNum w:abstractNumId="3">
    <w:nsid w:val="D5C663A9"/>
    <w:multiLevelType w:val="singleLevel"/>
    <w:tmpl w:val="D5C663A9"/>
    <w:lvl w:ilvl="0" w:tentative="0">
      <w:start w:val="1"/>
      <w:numFmt w:val="decimalEnclosedCircleChinese"/>
      <w:suff w:val="nothing"/>
      <w:lvlText w:val="%1　"/>
      <w:lvlJc w:val="left"/>
      <w:pPr>
        <w:ind w:firstLine="1134"/>
      </w:pPr>
      <w:rPr>
        <w:rFonts w:hint="eastAsia"/>
      </w:rPr>
    </w:lvl>
  </w:abstractNum>
  <w:abstractNum w:abstractNumId="4">
    <w:nsid w:val="E9B18B39"/>
    <w:multiLevelType w:val="singleLevel"/>
    <w:tmpl w:val="E9B18B39"/>
    <w:lvl w:ilvl="0" w:tentative="0">
      <w:start w:val="1"/>
      <w:numFmt w:val="decimalEnclosedCircleChinese"/>
      <w:suff w:val="nothing"/>
      <w:lvlText w:val="%1　"/>
      <w:lvlJc w:val="left"/>
      <w:pPr>
        <w:ind w:left="0" w:firstLine="400"/>
      </w:pPr>
      <w:rPr>
        <w:rFonts w:hint="eastAsia"/>
      </w:rPr>
    </w:lvl>
  </w:abstractNum>
  <w:abstractNum w:abstractNumId="5">
    <w:nsid w:val="F4396F3A"/>
    <w:multiLevelType w:val="singleLevel"/>
    <w:tmpl w:val="F4396F3A"/>
    <w:lvl w:ilvl="0" w:tentative="0">
      <w:start w:val="2"/>
      <w:numFmt w:val="chineseCounting"/>
      <w:suff w:val="nothing"/>
      <w:lvlText w:val="%1、"/>
      <w:lvlJc w:val="left"/>
      <w:rPr>
        <w:rFonts w:hint="eastAsia"/>
      </w:rPr>
    </w:lvl>
  </w:abstractNum>
  <w:abstractNum w:abstractNumId="6">
    <w:nsid w:val="F7E2E189"/>
    <w:multiLevelType w:val="singleLevel"/>
    <w:tmpl w:val="F7E2E189"/>
    <w:lvl w:ilvl="0" w:tentative="0">
      <w:start w:val="1"/>
      <w:numFmt w:val="decimal"/>
      <w:lvlText w:val="%1."/>
      <w:lvlJc w:val="left"/>
      <w:pPr>
        <w:tabs>
          <w:tab w:val="left" w:pos="312"/>
        </w:tabs>
      </w:pPr>
    </w:lvl>
  </w:abstractNum>
  <w:abstractNum w:abstractNumId="7">
    <w:nsid w:val="FF8E5FC9"/>
    <w:multiLevelType w:val="singleLevel"/>
    <w:tmpl w:val="FF8E5FC9"/>
    <w:lvl w:ilvl="0" w:tentative="0">
      <w:start w:val="1"/>
      <w:numFmt w:val="decimal"/>
      <w:suff w:val="nothing"/>
      <w:lvlText w:val="%1．"/>
      <w:lvlJc w:val="left"/>
      <w:pPr>
        <w:ind w:firstLine="397"/>
      </w:pPr>
      <w:rPr>
        <w:rFonts w:hint="default"/>
      </w:rPr>
    </w:lvl>
  </w:abstractNum>
  <w:abstractNum w:abstractNumId="8">
    <w:nsid w:val="12F353C5"/>
    <w:multiLevelType w:val="singleLevel"/>
    <w:tmpl w:val="12F353C5"/>
    <w:lvl w:ilvl="0" w:tentative="0">
      <w:start w:val="1"/>
      <w:numFmt w:val="chineseCounting"/>
      <w:suff w:val="nothing"/>
      <w:lvlText w:val="%1、"/>
      <w:lvlJc w:val="left"/>
      <w:rPr>
        <w:rFonts w:hint="eastAsia"/>
      </w:rPr>
    </w:lvl>
  </w:abstractNum>
  <w:abstractNum w:abstractNumId="9">
    <w:nsid w:val="139B6DF6"/>
    <w:multiLevelType w:val="singleLevel"/>
    <w:tmpl w:val="139B6DF6"/>
    <w:lvl w:ilvl="0" w:tentative="0">
      <w:start w:val="1"/>
      <w:numFmt w:val="decimal"/>
      <w:suff w:val="nothing"/>
      <w:lvlText w:val="9.%1 "/>
      <w:lvlJc w:val="left"/>
      <w:pPr>
        <w:tabs>
          <w:tab w:val="left" w:pos="0"/>
        </w:tabs>
        <w:ind w:firstLine="40"/>
      </w:pPr>
      <w:rPr>
        <w:rFonts w:hint="default" w:ascii="宋体" w:hAnsi="宋体" w:eastAsia="宋体"/>
      </w:rPr>
    </w:lvl>
  </w:abstractNum>
  <w:abstractNum w:abstractNumId="10">
    <w:nsid w:val="1DBCF645"/>
    <w:multiLevelType w:val="singleLevel"/>
    <w:tmpl w:val="1DBCF645"/>
    <w:lvl w:ilvl="0" w:tentative="0">
      <w:start w:val="1"/>
      <w:numFmt w:val="decimalEnclosedCircleChinese"/>
      <w:suff w:val="nothing"/>
      <w:lvlText w:val="%1　"/>
      <w:lvlJc w:val="left"/>
      <w:pPr>
        <w:ind w:firstLine="397"/>
      </w:pPr>
      <w:rPr>
        <w:rFonts w:hint="eastAsia"/>
      </w:rPr>
    </w:lvl>
  </w:abstractNum>
  <w:abstractNum w:abstractNumId="11">
    <w:nsid w:val="1EC1A361"/>
    <w:multiLevelType w:val="singleLevel"/>
    <w:tmpl w:val="1EC1A361"/>
    <w:lvl w:ilvl="0" w:tentative="0">
      <w:start w:val="1"/>
      <w:numFmt w:val="decimalEnclosedCircleChinese"/>
      <w:suff w:val="nothing"/>
      <w:lvlText w:val="%1　"/>
      <w:lvlJc w:val="left"/>
      <w:pPr>
        <w:ind w:left="0" w:firstLine="397"/>
      </w:pPr>
      <w:rPr>
        <w:rFonts w:hint="eastAsia"/>
      </w:rPr>
    </w:lvl>
  </w:abstractNum>
  <w:abstractNum w:abstractNumId="12">
    <w:nsid w:val="25F33ADD"/>
    <w:multiLevelType w:val="singleLevel"/>
    <w:tmpl w:val="25F33ADD"/>
    <w:lvl w:ilvl="0" w:tentative="0">
      <w:start w:val="1"/>
      <w:numFmt w:val="decimalEnclosedCircleChinese"/>
      <w:suff w:val="nothing"/>
      <w:lvlText w:val="%1　"/>
      <w:lvlJc w:val="left"/>
      <w:pPr>
        <w:ind w:firstLine="1134"/>
      </w:pPr>
      <w:rPr>
        <w:rFonts w:hint="eastAsia"/>
      </w:rPr>
    </w:lvl>
  </w:abstractNum>
  <w:abstractNum w:abstractNumId="13">
    <w:nsid w:val="31213A5A"/>
    <w:multiLevelType w:val="singleLevel"/>
    <w:tmpl w:val="31213A5A"/>
    <w:lvl w:ilvl="0" w:tentative="0">
      <w:start w:val="4"/>
      <w:numFmt w:val="chineseCounting"/>
      <w:suff w:val="nothing"/>
      <w:lvlText w:val="%1、"/>
      <w:lvlJc w:val="left"/>
      <w:rPr>
        <w:rFonts w:hint="eastAsia"/>
      </w:rPr>
    </w:lvl>
  </w:abstractNum>
  <w:abstractNum w:abstractNumId="14">
    <w:nsid w:val="43F94463"/>
    <w:multiLevelType w:val="singleLevel"/>
    <w:tmpl w:val="43F94463"/>
    <w:lvl w:ilvl="0" w:tentative="0">
      <w:start w:val="1"/>
      <w:numFmt w:val="decimalEnclosedCircleChinese"/>
      <w:suff w:val="nothing"/>
      <w:lvlText w:val="%1　"/>
      <w:lvlJc w:val="left"/>
      <w:pPr>
        <w:ind w:firstLine="1134"/>
      </w:pPr>
      <w:rPr>
        <w:rFonts w:hint="eastAsia"/>
      </w:rPr>
    </w:lvl>
  </w:abstractNum>
  <w:abstractNum w:abstractNumId="15">
    <w:nsid w:val="466C6E1F"/>
    <w:multiLevelType w:val="multilevel"/>
    <w:tmpl w:val="466C6E1F"/>
    <w:lvl w:ilvl="0" w:tentative="0">
      <w:start w:val="1"/>
      <w:numFmt w:val="upperLetter"/>
      <w:pStyle w:val="7"/>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16">
    <w:nsid w:val="474E1A63"/>
    <w:multiLevelType w:val="singleLevel"/>
    <w:tmpl w:val="474E1A63"/>
    <w:lvl w:ilvl="0" w:tentative="0">
      <w:start w:val="1"/>
      <w:numFmt w:val="decimalEnclosedCircleChinese"/>
      <w:suff w:val="nothing"/>
      <w:lvlText w:val="%1　"/>
      <w:lvlJc w:val="left"/>
      <w:pPr>
        <w:ind w:firstLine="1134"/>
      </w:pPr>
      <w:rPr>
        <w:rFonts w:hint="eastAsia"/>
      </w:rPr>
    </w:lvl>
  </w:abstractNum>
  <w:abstractNum w:abstractNumId="17">
    <w:nsid w:val="4D4A2151"/>
    <w:multiLevelType w:val="singleLevel"/>
    <w:tmpl w:val="4D4A2151"/>
    <w:lvl w:ilvl="0" w:tentative="0">
      <w:start w:val="1"/>
      <w:numFmt w:val="decimal"/>
      <w:suff w:val="nothing"/>
      <w:lvlText w:val="%1．"/>
      <w:lvlJc w:val="left"/>
      <w:pPr>
        <w:ind w:firstLine="397"/>
      </w:pPr>
      <w:rPr>
        <w:rFonts w:hint="default"/>
      </w:rPr>
    </w:lvl>
  </w:abstractNum>
  <w:abstractNum w:abstractNumId="18">
    <w:nsid w:val="62705028"/>
    <w:multiLevelType w:val="singleLevel"/>
    <w:tmpl w:val="62705028"/>
    <w:lvl w:ilvl="0" w:tentative="0">
      <w:start w:val="1"/>
      <w:numFmt w:val="decimalEnclosedCircleChinese"/>
      <w:suff w:val="nothing"/>
      <w:lvlText w:val="%1　"/>
      <w:lvlJc w:val="left"/>
      <w:pPr>
        <w:ind w:firstLine="397"/>
      </w:pPr>
      <w:rPr>
        <w:rFonts w:hint="eastAsia"/>
      </w:rPr>
    </w:lvl>
  </w:abstractNum>
  <w:abstractNum w:abstractNumId="19">
    <w:nsid w:val="7B2826C6"/>
    <w:multiLevelType w:val="singleLevel"/>
    <w:tmpl w:val="7B2826C6"/>
    <w:lvl w:ilvl="0" w:tentative="0">
      <w:start w:val="1"/>
      <w:numFmt w:val="decimal"/>
      <w:suff w:val="nothing"/>
      <w:lvlText w:val="%1．"/>
      <w:lvlJc w:val="left"/>
      <w:pPr>
        <w:ind w:left="0" w:firstLine="397"/>
      </w:pPr>
      <w:rPr>
        <w:rFonts w:hint="default"/>
      </w:rPr>
    </w:lvl>
  </w:abstractNum>
  <w:abstractNum w:abstractNumId="20">
    <w:nsid w:val="7EBA0A8A"/>
    <w:multiLevelType w:val="singleLevel"/>
    <w:tmpl w:val="7EBA0A8A"/>
    <w:lvl w:ilvl="0" w:tentative="0">
      <w:start w:val="1"/>
      <w:numFmt w:val="decimalEnclosedCircleChinese"/>
      <w:suff w:val="nothing"/>
      <w:lvlText w:val="%1　"/>
      <w:lvlJc w:val="left"/>
      <w:pPr>
        <w:ind w:firstLine="1134"/>
      </w:pPr>
      <w:rPr>
        <w:rFonts w:hint="eastAsia"/>
      </w:rPr>
    </w:lvl>
  </w:abstractNum>
  <w:num w:numId="1">
    <w:abstractNumId w:val="15"/>
  </w:num>
  <w:num w:numId="2">
    <w:abstractNumId w:val="7"/>
  </w:num>
  <w:num w:numId="3">
    <w:abstractNumId w:val="17"/>
  </w:num>
  <w:num w:numId="4">
    <w:abstractNumId w:val="10"/>
  </w:num>
  <w:num w:numId="5">
    <w:abstractNumId w:val="19"/>
  </w:num>
  <w:num w:numId="6">
    <w:abstractNumId w:val="11"/>
  </w:num>
  <w:num w:numId="7">
    <w:abstractNumId w:val="18"/>
  </w:num>
  <w:num w:numId="8">
    <w:abstractNumId w:val="8"/>
  </w:num>
  <w:num w:numId="9">
    <w:abstractNumId w:val="9"/>
  </w:num>
  <w:num w:numId="10">
    <w:abstractNumId w:val="16"/>
  </w:num>
  <w:num w:numId="11">
    <w:abstractNumId w:val="14"/>
  </w:num>
  <w:num w:numId="12">
    <w:abstractNumId w:val="3"/>
  </w:num>
  <w:num w:numId="13">
    <w:abstractNumId w:val="0"/>
  </w:num>
  <w:num w:numId="14">
    <w:abstractNumId w:val="12"/>
  </w:num>
  <w:num w:numId="15">
    <w:abstractNumId w:val="4"/>
  </w:num>
  <w:num w:numId="16">
    <w:abstractNumId w:val="1"/>
  </w:num>
  <w:num w:numId="17">
    <w:abstractNumId w:val="13"/>
  </w:num>
  <w:num w:numId="18">
    <w:abstractNumId w:val="5"/>
  </w:num>
  <w:num w:numId="19">
    <w:abstractNumId w:val="2"/>
  </w:num>
  <w:num w:numId="20">
    <w:abstractNumId w:val="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1YWU2ZTk2MGU1NDNlZGY5MzE0NzM2ODJlNDA4NTkifQ=="/>
  </w:docVars>
  <w:rsids>
    <w:rsidRoot w:val="5AA412FE"/>
    <w:rsid w:val="00003EF7"/>
    <w:rsid w:val="000122B4"/>
    <w:rsid w:val="00027C5B"/>
    <w:rsid w:val="00043EEC"/>
    <w:rsid w:val="00046957"/>
    <w:rsid w:val="0005045A"/>
    <w:rsid w:val="00084F39"/>
    <w:rsid w:val="00085ECB"/>
    <w:rsid w:val="000B3BC7"/>
    <w:rsid w:val="000D30BB"/>
    <w:rsid w:val="000F06EE"/>
    <w:rsid w:val="001039CA"/>
    <w:rsid w:val="0012684B"/>
    <w:rsid w:val="001339E2"/>
    <w:rsid w:val="00161E6F"/>
    <w:rsid w:val="00221416"/>
    <w:rsid w:val="00223E24"/>
    <w:rsid w:val="00225378"/>
    <w:rsid w:val="00234866"/>
    <w:rsid w:val="00234D57"/>
    <w:rsid w:val="00255FD2"/>
    <w:rsid w:val="00264C08"/>
    <w:rsid w:val="00273F1A"/>
    <w:rsid w:val="0027526D"/>
    <w:rsid w:val="00284949"/>
    <w:rsid w:val="00297FF4"/>
    <w:rsid w:val="002C487B"/>
    <w:rsid w:val="002F6EC0"/>
    <w:rsid w:val="0030570F"/>
    <w:rsid w:val="003470DA"/>
    <w:rsid w:val="003914B1"/>
    <w:rsid w:val="00392B4C"/>
    <w:rsid w:val="00393C1C"/>
    <w:rsid w:val="003A0D36"/>
    <w:rsid w:val="003A2883"/>
    <w:rsid w:val="003D07BA"/>
    <w:rsid w:val="0040061B"/>
    <w:rsid w:val="00402FF9"/>
    <w:rsid w:val="004047AC"/>
    <w:rsid w:val="004277E5"/>
    <w:rsid w:val="0043140B"/>
    <w:rsid w:val="00434E53"/>
    <w:rsid w:val="00463C96"/>
    <w:rsid w:val="00476057"/>
    <w:rsid w:val="0048104F"/>
    <w:rsid w:val="00485852"/>
    <w:rsid w:val="00486150"/>
    <w:rsid w:val="00497B50"/>
    <w:rsid w:val="004E63AF"/>
    <w:rsid w:val="004E7DB7"/>
    <w:rsid w:val="00542925"/>
    <w:rsid w:val="005456AD"/>
    <w:rsid w:val="00550AE1"/>
    <w:rsid w:val="005617C4"/>
    <w:rsid w:val="005747A4"/>
    <w:rsid w:val="0057775B"/>
    <w:rsid w:val="005F4C64"/>
    <w:rsid w:val="00603A33"/>
    <w:rsid w:val="0060407F"/>
    <w:rsid w:val="00624CA0"/>
    <w:rsid w:val="006545B6"/>
    <w:rsid w:val="006B56AA"/>
    <w:rsid w:val="006E3901"/>
    <w:rsid w:val="006E4D94"/>
    <w:rsid w:val="006E5F17"/>
    <w:rsid w:val="006E7DD6"/>
    <w:rsid w:val="00726B0B"/>
    <w:rsid w:val="00741B88"/>
    <w:rsid w:val="0074647B"/>
    <w:rsid w:val="00761CC5"/>
    <w:rsid w:val="007675AE"/>
    <w:rsid w:val="007C1988"/>
    <w:rsid w:val="007C36F2"/>
    <w:rsid w:val="007D1674"/>
    <w:rsid w:val="007F23B1"/>
    <w:rsid w:val="00804A32"/>
    <w:rsid w:val="00816086"/>
    <w:rsid w:val="00846EE7"/>
    <w:rsid w:val="008651FF"/>
    <w:rsid w:val="008A2209"/>
    <w:rsid w:val="008C2439"/>
    <w:rsid w:val="008E3963"/>
    <w:rsid w:val="00913BA9"/>
    <w:rsid w:val="00913DF5"/>
    <w:rsid w:val="00922646"/>
    <w:rsid w:val="009241BF"/>
    <w:rsid w:val="00936276"/>
    <w:rsid w:val="00945D04"/>
    <w:rsid w:val="00992B51"/>
    <w:rsid w:val="009B5145"/>
    <w:rsid w:val="009B698E"/>
    <w:rsid w:val="009C14AC"/>
    <w:rsid w:val="00A06FE3"/>
    <w:rsid w:val="00A5469A"/>
    <w:rsid w:val="00A60C7C"/>
    <w:rsid w:val="00A832EF"/>
    <w:rsid w:val="00AC415C"/>
    <w:rsid w:val="00AE721D"/>
    <w:rsid w:val="00AF40FC"/>
    <w:rsid w:val="00AF7CF9"/>
    <w:rsid w:val="00B007B7"/>
    <w:rsid w:val="00B043F4"/>
    <w:rsid w:val="00B1386B"/>
    <w:rsid w:val="00B1531C"/>
    <w:rsid w:val="00B26DD6"/>
    <w:rsid w:val="00B34795"/>
    <w:rsid w:val="00B45AAD"/>
    <w:rsid w:val="00B47103"/>
    <w:rsid w:val="00B651EF"/>
    <w:rsid w:val="00B70E65"/>
    <w:rsid w:val="00B7632C"/>
    <w:rsid w:val="00BC25F6"/>
    <w:rsid w:val="00BC554A"/>
    <w:rsid w:val="00C144DF"/>
    <w:rsid w:val="00C15659"/>
    <w:rsid w:val="00C32FC8"/>
    <w:rsid w:val="00C4588E"/>
    <w:rsid w:val="00C70180"/>
    <w:rsid w:val="00C755F3"/>
    <w:rsid w:val="00C93598"/>
    <w:rsid w:val="00C94384"/>
    <w:rsid w:val="00C97640"/>
    <w:rsid w:val="00CA29A3"/>
    <w:rsid w:val="00CA75C3"/>
    <w:rsid w:val="00CB1EB4"/>
    <w:rsid w:val="00CB75F1"/>
    <w:rsid w:val="00CC3A61"/>
    <w:rsid w:val="00CD31BD"/>
    <w:rsid w:val="00CE2482"/>
    <w:rsid w:val="00CF226E"/>
    <w:rsid w:val="00D208F6"/>
    <w:rsid w:val="00D33839"/>
    <w:rsid w:val="00D40761"/>
    <w:rsid w:val="00D46536"/>
    <w:rsid w:val="00D5715C"/>
    <w:rsid w:val="00D64C89"/>
    <w:rsid w:val="00D73BB8"/>
    <w:rsid w:val="00D84F46"/>
    <w:rsid w:val="00DB44DD"/>
    <w:rsid w:val="00DB66E9"/>
    <w:rsid w:val="00DD3B00"/>
    <w:rsid w:val="00DE7CF8"/>
    <w:rsid w:val="00E109DA"/>
    <w:rsid w:val="00E173E3"/>
    <w:rsid w:val="00E30080"/>
    <w:rsid w:val="00E53562"/>
    <w:rsid w:val="00E666D2"/>
    <w:rsid w:val="00F47432"/>
    <w:rsid w:val="00F673E5"/>
    <w:rsid w:val="00FD3C5B"/>
    <w:rsid w:val="00FD77B5"/>
    <w:rsid w:val="00FE5DE6"/>
    <w:rsid w:val="01044A81"/>
    <w:rsid w:val="01273950"/>
    <w:rsid w:val="01293049"/>
    <w:rsid w:val="01317F69"/>
    <w:rsid w:val="0149271B"/>
    <w:rsid w:val="016D4D19"/>
    <w:rsid w:val="01710365"/>
    <w:rsid w:val="01814321"/>
    <w:rsid w:val="01A324E9"/>
    <w:rsid w:val="01A77E95"/>
    <w:rsid w:val="01AA7D1B"/>
    <w:rsid w:val="01B30C63"/>
    <w:rsid w:val="01F40F97"/>
    <w:rsid w:val="02090B42"/>
    <w:rsid w:val="021D673F"/>
    <w:rsid w:val="023C4E17"/>
    <w:rsid w:val="02710CE9"/>
    <w:rsid w:val="028D566F"/>
    <w:rsid w:val="028D5673"/>
    <w:rsid w:val="02BF77F6"/>
    <w:rsid w:val="02C34EEE"/>
    <w:rsid w:val="02ED1C6E"/>
    <w:rsid w:val="02F834C3"/>
    <w:rsid w:val="02FB0AA9"/>
    <w:rsid w:val="02FB1EF4"/>
    <w:rsid w:val="02FE031F"/>
    <w:rsid w:val="033A0C2B"/>
    <w:rsid w:val="033C0E47"/>
    <w:rsid w:val="03455F4E"/>
    <w:rsid w:val="034C108A"/>
    <w:rsid w:val="03522419"/>
    <w:rsid w:val="036A11F0"/>
    <w:rsid w:val="036D1000"/>
    <w:rsid w:val="039842CF"/>
    <w:rsid w:val="03A5079A"/>
    <w:rsid w:val="03A870EA"/>
    <w:rsid w:val="03C406FE"/>
    <w:rsid w:val="03E70B83"/>
    <w:rsid w:val="04245B63"/>
    <w:rsid w:val="044134E4"/>
    <w:rsid w:val="04504BAA"/>
    <w:rsid w:val="04651CD8"/>
    <w:rsid w:val="04730898"/>
    <w:rsid w:val="04754611"/>
    <w:rsid w:val="047C599F"/>
    <w:rsid w:val="04893C18"/>
    <w:rsid w:val="049137BC"/>
    <w:rsid w:val="049D76C3"/>
    <w:rsid w:val="04CE5ACF"/>
    <w:rsid w:val="051922E9"/>
    <w:rsid w:val="052D21DD"/>
    <w:rsid w:val="053E05ED"/>
    <w:rsid w:val="055C757F"/>
    <w:rsid w:val="05685F23"/>
    <w:rsid w:val="05784549"/>
    <w:rsid w:val="05976A11"/>
    <w:rsid w:val="05DB4D76"/>
    <w:rsid w:val="05E60C5D"/>
    <w:rsid w:val="06082700"/>
    <w:rsid w:val="063767BD"/>
    <w:rsid w:val="066A1827"/>
    <w:rsid w:val="068154EF"/>
    <w:rsid w:val="06A20FC1"/>
    <w:rsid w:val="06D03D80"/>
    <w:rsid w:val="07010B40"/>
    <w:rsid w:val="072D246C"/>
    <w:rsid w:val="07401E45"/>
    <w:rsid w:val="074C3C28"/>
    <w:rsid w:val="075C3866"/>
    <w:rsid w:val="07634BF4"/>
    <w:rsid w:val="079A613C"/>
    <w:rsid w:val="07AF1BE8"/>
    <w:rsid w:val="07E13D6B"/>
    <w:rsid w:val="08251EAA"/>
    <w:rsid w:val="085E7258"/>
    <w:rsid w:val="08B5322E"/>
    <w:rsid w:val="08D04774"/>
    <w:rsid w:val="08E51639"/>
    <w:rsid w:val="08F04266"/>
    <w:rsid w:val="08F55D20"/>
    <w:rsid w:val="090B4CBB"/>
    <w:rsid w:val="09212671"/>
    <w:rsid w:val="093F6F9B"/>
    <w:rsid w:val="09475E50"/>
    <w:rsid w:val="094E3682"/>
    <w:rsid w:val="09616B41"/>
    <w:rsid w:val="09694018"/>
    <w:rsid w:val="096A04BC"/>
    <w:rsid w:val="0983678C"/>
    <w:rsid w:val="09A27D61"/>
    <w:rsid w:val="09E401E1"/>
    <w:rsid w:val="09FC4E8C"/>
    <w:rsid w:val="0A481E7F"/>
    <w:rsid w:val="0A670558"/>
    <w:rsid w:val="0A724F69"/>
    <w:rsid w:val="0A886720"/>
    <w:rsid w:val="0ABC596C"/>
    <w:rsid w:val="0AF12517"/>
    <w:rsid w:val="0B065E39"/>
    <w:rsid w:val="0B097861"/>
    <w:rsid w:val="0B423EAE"/>
    <w:rsid w:val="0B4963BB"/>
    <w:rsid w:val="0B5605CC"/>
    <w:rsid w:val="0BEB6F66"/>
    <w:rsid w:val="0BF56037"/>
    <w:rsid w:val="0C387BBC"/>
    <w:rsid w:val="0C3C3C66"/>
    <w:rsid w:val="0C684A5B"/>
    <w:rsid w:val="0C7A6A78"/>
    <w:rsid w:val="0C8F1FE8"/>
    <w:rsid w:val="0C970E9C"/>
    <w:rsid w:val="0CBE332A"/>
    <w:rsid w:val="0CDB6FDB"/>
    <w:rsid w:val="0D094597"/>
    <w:rsid w:val="0D7A4A46"/>
    <w:rsid w:val="0D896A37"/>
    <w:rsid w:val="0E090AFD"/>
    <w:rsid w:val="0E22642F"/>
    <w:rsid w:val="0E2D1637"/>
    <w:rsid w:val="0E70171F"/>
    <w:rsid w:val="0E8D69FB"/>
    <w:rsid w:val="0EA5368B"/>
    <w:rsid w:val="0EB775D4"/>
    <w:rsid w:val="0EBA3B32"/>
    <w:rsid w:val="0ED63EFE"/>
    <w:rsid w:val="0EDB59B8"/>
    <w:rsid w:val="0EEA1524"/>
    <w:rsid w:val="0EF56A7A"/>
    <w:rsid w:val="0EFC76DD"/>
    <w:rsid w:val="0F182768"/>
    <w:rsid w:val="0F31382A"/>
    <w:rsid w:val="0F7554C5"/>
    <w:rsid w:val="0F9934F4"/>
    <w:rsid w:val="0F9E5390"/>
    <w:rsid w:val="0FCC70AF"/>
    <w:rsid w:val="0FE20680"/>
    <w:rsid w:val="1021564D"/>
    <w:rsid w:val="104145F9"/>
    <w:rsid w:val="10515849"/>
    <w:rsid w:val="1057106E"/>
    <w:rsid w:val="10863702"/>
    <w:rsid w:val="10923E54"/>
    <w:rsid w:val="109951E3"/>
    <w:rsid w:val="10A06571"/>
    <w:rsid w:val="10A72247"/>
    <w:rsid w:val="10B64C1C"/>
    <w:rsid w:val="10BA6CED"/>
    <w:rsid w:val="10C9129C"/>
    <w:rsid w:val="10CF6E57"/>
    <w:rsid w:val="10E16B8A"/>
    <w:rsid w:val="112014D4"/>
    <w:rsid w:val="113C27FB"/>
    <w:rsid w:val="11AF1066"/>
    <w:rsid w:val="11CF6577"/>
    <w:rsid w:val="11D54941"/>
    <w:rsid w:val="11E57B67"/>
    <w:rsid w:val="120945EA"/>
    <w:rsid w:val="121518A0"/>
    <w:rsid w:val="12313422"/>
    <w:rsid w:val="124A65C3"/>
    <w:rsid w:val="12527D3F"/>
    <w:rsid w:val="12557AEC"/>
    <w:rsid w:val="12631F4C"/>
    <w:rsid w:val="12792BFB"/>
    <w:rsid w:val="129F37E3"/>
    <w:rsid w:val="12E30368"/>
    <w:rsid w:val="12F47048"/>
    <w:rsid w:val="12FC45DD"/>
    <w:rsid w:val="130D3C66"/>
    <w:rsid w:val="13495BED"/>
    <w:rsid w:val="135D699C"/>
    <w:rsid w:val="13693592"/>
    <w:rsid w:val="14131750"/>
    <w:rsid w:val="142179C9"/>
    <w:rsid w:val="147F0B94"/>
    <w:rsid w:val="14C447F8"/>
    <w:rsid w:val="14E462FD"/>
    <w:rsid w:val="150A4901"/>
    <w:rsid w:val="153C0833"/>
    <w:rsid w:val="15435254"/>
    <w:rsid w:val="15565D98"/>
    <w:rsid w:val="15576C06"/>
    <w:rsid w:val="155D552F"/>
    <w:rsid w:val="15703332"/>
    <w:rsid w:val="157D7686"/>
    <w:rsid w:val="15830AE2"/>
    <w:rsid w:val="15A07E8D"/>
    <w:rsid w:val="15BC6282"/>
    <w:rsid w:val="15C65894"/>
    <w:rsid w:val="15E92769"/>
    <w:rsid w:val="160E0103"/>
    <w:rsid w:val="161672D6"/>
    <w:rsid w:val="163F4A7E"/>
    <w:rsid w:val="1648774C"/>
    <w:rsid w:val="166149F5"/>
    <w:rsid w:val="166167A3"/>
    <w:rsid w:val="1663076D"/>
    <w:rsid w:val="166B4459"/>
    <w:rsid w:val="16714B0A"/>
    <w:rsid w:val="16A50D85"/>
    <w:rsid w:val="16B952CB"/>
    <w:rsid w:val="16BB6113"/>
    <w:rsid w:val="16C515E6"/>
    <w:rsid w:val="16EB43B2"/>
    <w:rsid w:val="16ED0036"/>
    <w:rsid w:val="172F68A1"/>
    <w:rsid w:val="174437E2"/>
    <w:rsid w:val="17463BEB"/>
    <w:rsid w:val="175207E1"/>
    <w:rsid w:val="17872239"/>
    <w:rsid w:val="17B31280"/>
    <w:rsid w:val="17B50359"/>
    <w:rsid w:val="17C50FB3"/>
    <w:rsid w:val="17D3547E"/>
    <w:rsid w:val="17D905BB"/>
    <w:rsid w:val="17F0221E"/>
    <w:rsid w:val="18057602"/>
    <w:rsid w:val="186407CC"/>
    <w:rsid w:val="189270E7"/>
    <w:rsid w:val="18EE0096"/>
    <w:rsid w:val="18F558C8"/>
    <w:rsid w:val="18FC3C76"/>
    <w:rsid w:val="19061AA7"/>
    <w:rsid w:val="190A1374"/>
    <w:rsid w:val="190D09AE"/>
    <w:rsid w:val="19143FA0"/>
    <w:rsid w:val="19241D0A"/>
    <w:rsid w:val="194A559B"/>
    <w:rsid w:val="196F567B"/>
    <w:rsid w:val="19B03AD9"/>
    <w:rsid w:val="19CE23A1"/>
    <w:rsid w:val="19E3246B"/>
    <w:rsid w:val="1A00750A"/>
    <w:rsid w:val="1A083E61"/>
    <w:rsid w:val="1A1106B5"/>
    <w:rsid w:val="1A1254D5"/>
    <w:rsid w:val="1A156465"/>
    <w:rsid w:val="1A2C531A"/>
    <w:rsid w:val="1A495ECC"/>
    <w:rsid w:val="1A646862"/>
    <w:rsid w:val="1A686CC5"/>
    <w:rsid w:val="1A82318C"/>
    <w:rsid w:val="1AA41354"/>
    <w:rsid w:val="1AFB0A1E"/>
    <w:rsid w:val="1B0D0CA7"/>
    <w:rsid w:val="1B155261"/>
    <w:rsid w:val="1B1C713C"/>
    <w:rsid w:val="1B252495"/>
    <w:rsid w:val="1B305589"/>
    <w:rsid w:val="1B4A7538"/>
    <w:rsid w:val="1B4F1500"/>
    <w:rsid w:val="1B6755DD"/>
    <w:rsid w:val="1B7E7DF7"/>
    <w:rsid w:val="1B830F69"/>
    <w:rsid w:val="1BC45F57"/>
    <w:rsid w:val="1BDB27A5"/>
    <w:rsid w:val="1BFB31F6"/>
    <w:rsid w:val="1C0A51E7"/>
    <w:rsid w:val="1C0F4EF3"/>
    <w:rsid w:val="1C177D71"/>
    <w:rsid w:val="1C3E30E2"/>
    <w:rsid w:val="1C4032FE"/>
    <w:rsid w:val="1C705992"/>
    <w:rsid w:val="1C746B04"/>
    <w:rsid w:val="1C7F3E27"/>
    <w:rsid w:val="1C80194D"/>
    <w:rsid w:val="1C8C02F2"/>
    <w:rsid w:val="1C9557D2"/>
    <w:rsid w:val="1C9B1C89"/>
    <w:rsid w:val="1CC23D13"/>
    <w:rsid w:val="1CC874BD"/>
    <w:rsid w:val="1CF85F92"/>
    <w:rsid w:val="1CFF0A9F"/>
    <w:rsid w:val="1DA90A2F"/>
    <w:rsid w:val="1DB30847"/>
    <w:rsid w:val="1DC74A1D"/>
    <w:rsid w:val="1DCED273"/>
    <w:rsid w:val="1DDE692B"/>
    <w:rsid w:val="1DEF28E6"/>
    <w:rsid w:val="1E157011"/>
    <w:rsid w:val="1E2C7696"/>
    <w:rsid w:val="1E4C19B8"/>
    <w:rsid w:val="1E8C459E"/>
    <w:rsid w:val="1E934307"/>
    <w:rsid w:val="1EB37DB8"/>
    <w:rsid w:val="1EB83620"/>
    <w:rsid w:val="1EDA1EFB"/>
    <w:rsid w:val="1F073C5F"/>
    <w:rsid w:val="1F2B0346"/>
    <w:rsid w:val="1F431821"/>
    <w:rsid w:val="1F525822"/>
    <w:rsid w:val="1F5F584A"/>
    <w:rsid w:val="1F635CD3"/>
    <w:rsid w:val="1F890C4B"/>
    <w:rsid w:val="1F941997"/>
    <w:rsid w:val="1FD10B66"/>
    <w:rsid w:val="1FDA3069"/>
    <w:rsid w:val="20005C4C"/>
    <w:rsid w:val="20325FB5"/>
    <w:rsid w:val="205B73C3"/>
    <w:rsid w:val="20626028"/>
    <w:rsid w:val="20B44398"/>
    <w:rsid w:val="20D14525"/>
    <w:rsid w:val="20D34487"/>
    <w:rsid w:val="20EB4820"/>
    <w:rsid w:val="20EC5803"/>
    <w:rsid w:val="21224D81"/>
    <w:rsid w:val="21425423"/>
    <w:rsid w:val="214B42D7"/>
    <w:rsid w:val="215A3622"/>
    <w:rsid w:val="219416B8"/>
    <w:rsid w:val="21FF3D3B"/>
    <w:rsid w:val="220A1EFE"/>
    <w:rsid w:val="2231339B"/>
    <w:rsid w:val="22372AAE"/>
    <w:rsid w:val="22441213"/>
    <w:rsid w:val="22514430"/>
    <w:rsid w:val="226704C8"/>
    <w:rsid w:val="22A30143"/>
    <w:rsid w:val="22C2681B"/>
    <w:rsid w:val="22D24584"/>
    <w:rsid w:val="22D7095E"/>
    <w:rsid w:val="22EA5D72"/>
    <w:rsid w:val="22EC5991"/>
    <w:rsid w:val="23007343"/>
    <w:rsid w:val="2313099B"/>
    <w:rsid w:val="23490CEA"/>
    <w:rsid w:val="234B0952"/>
    <w:rsid w:val="23517B9F"/>
    <w:rsid w:val="235651B5"/>
    <w:rsid w:val="23720885"/>
    <w:rsid w:val="237D6BE6"/>
    <w:rsid w:val="239F10A8"/>
    <w:rsid w:val="23AC56FC"/>
    <w:rsid w:val="23BF2D5B"/>
    <w:rsid w:val="23D700A4"/>
    <w:rsid w:val="24054003"/>
    <w:rsid w:val="244333C9"/>
    <w:rsid w:val="248E2E3A"/>
    <w:rsid w:val="24973CD7"/>
    <w:rsid w:val="24B86128"/>
    <w:rsid w:val="24BE1264"/>
    <w:rsid w:val="24EE7D9B"/>
    <w:rsid w:val="250F1AC0"/>
    <w:rsid w:val="251175E6"/>
    <w:rsid w:val="25317C88"/>
    <w:rsid w:val="25387269"/>
    <w:rsid w:val="254F5042"/>
    <w:rsid w:val="25537BFE"/>
    <w:rsid w:val="25C14328"/>
    <w:rsid w:val="25EB2B1A"/>
    <w:rsid w:val="26451EEA"/>
    <w:rsid w:val="266A16A4"/>
    <w:rsid w:val="26704F2E"/>
    <w:rsid w:val="267C6802"/>
    <w:rsid w:val="267E6EFD"/>
    <w:rsid w:val="26920BFA"/>
    <w:rsid w:val="269A56FB"/>
    <w:rsid w:val="27135897"/>
    <w:rsid w:val="275D4BC1"/>
    <w:rsid w:val="276111F4"/>
    <w:rsid w:val="27D72D69"/>
    <w:rsid w:val="27DC3878"/>
    <w:rsid w:val="27F31225"/>
    <w:rsid w:val="28397580"/>
    <w:rsid w:val="28AF339E"/>
    <w:rsid w:val="28B93916"/>
    <w:rsid w:val="28C62F56"/>
    <w:rsid w:val="28CB3F50"/>
    <w:rsid w:val="28D55F18"/>
    <w:rsid w:val="28DA203A"/>
    <w:rsid w:val="28DB0637"/>
    <w:rsid w:val="28DE1ED5"/>
    <w:rsid w:val="28E84A2F"/>
    <w:rsid w:val="28F0407A"/>
    <w:rsid w:val="29152822"/>
    <w:rsid w:val="29193189"/>
    <w:rsid w:val="291A7D32"/>
    <w:rsid w:val="29320499"/>
    <w:rsid w:val="29655706"/>
    <w:rsid w:val="29787C34"/>
    <w:rsid w:val="29837904"/>
    <w:rsid w:val="299345C3"/>
    <w:rsid w:val="29A547A1"/>
    <w:rsid w:val="29AC284E"/>
    <w:rsid w:val="2A392D52"/>
    <w:rsid w:val="2A5341FD"/>
    <w:rsid w:val="2A581813"/>
    <w:rsid w:val="2A677CA8"/>
    <w:rsid w:val="2A832D34"/>
    <w:rsid w:val="2A9915A7"/>
    <w:rsid w:val="2AAB4039"/>
    <w:rsid w:val="2AB06233"/>
    <w:rsid w:val="2AD11B33"/>
    <w:rsid w:val="2AD33B3D"/>
    <w:rsid w:val="2B230073"/>
    <w:rsid w:val="2B6C01DB"/>
    <w:rsid w:val="2B827067"/>
    <w:rsid w:val="2B830B12"/>
    <w:rsid w:val="2B844556"/>
    <w:rsid w:val="2B8A6344"/>
    <w:rsid w:val="2B8F74B6"/>
    <w:rsid w:val="2B9D7E25"/>
    <w:rsid w:val="2BC31EE6"/>
    <w:rsid w:val="2BF51A0F"/>
    <w:rsid w:val="2BF7A349"/>
    <w:rsid w:val="2C0E641B"/>
    <w:rsid w:val="2C263A29"/>
    <w:rsid w:val="2C46226B"/>
    <w:rsid w:val="2C5A1872"/>
    <w:rsid w:val="2C741640"/>
    <w:rsid w:val="2C9C1E8B"/>
    <w:rsid w:val="2CAE51CD"/>
    <w:rsid w:val="2CDE24A4"/>
    <w:rsid w:val="2CF55A3F"/>
    <w:rsid w:val="2CFB251F"/>
    <w:rsid w:val="2D346E5C"/>
    <w:rsid w:val="2D407842"/>
    <w:rsid w:val="2D687FBF"/>
    <w:rsid w:val="2D693995"/>
    <w:rsid w:val="2D917516"/>
    <w:rsid w:val="2D964B2C"/>
    <w:rsid w:val="2DB31B82"/>
    <w:rsid w:val="2DBB0A37"/>
    <w:rsid w:val="2DDB2E87"/>
    <w:rsid w:val="2E5F7614"/>
    <w:rsid w:val="2E664953"/>
    <w:rsid w:val="2EB5699C"/>
    <w:rsid w:val="2EDA313F"/>
    <w:rsid w:val="2F012479"/>
    <w:rsid w:val="2F180EEC"/>
    <w:rsid w:val="2F300FB0"/>
    <w:rsid w:val="2F441493"/>
    <w:rsid w:val="2F6E3D48"/>
    <w:rsid w:val="2F7013AD"/>
    <w:rsid w:val="2F77273B"/>
    <w:rsid w:val="2F9257C7"/>
    <w:rsid w:val="2FBC1FAA"/>
    <w:rsid w:val="2FCA4F61"/>
    <w:rsid w:val="2FDC6A42"/>
    <w:rsid w:val="300C0145"/>
    <w:rsid w:val="30474804"/>
    <w:rsid w:val="30564A47"/>
    <w:rsid w:val="307F7AFA"/>
    <w:rsid w:val="30817D16"/>
    <w:rsid w:val="30955632"/>
    <w:rsid w:val="30A05CC2"/>
    <w:rsid w:val="30FB7A19"/>
    <w:rsid w:val="310261A7"/>
    <w:rsid w:val="3138414C"/>
    <w:rsid w:val="31402441"/>
    <w:rsid w:val="315A40C3"/>
    <w:rsid w:val="3172765E"/>
    <w:rsid w:val="318D0B53"/>
    <w:rsid w:val="31927D00"/>
    <w:rsid w:val="31D75713"/>
    <w:rsid w:val="31EC5663"/>
    <w:rsid w:val="3212499D"/>
    <w:rsid w:val="323963CE"/>
    <w:rsid w:val="32617F93"/>
    <w:rsid w:val="32A75185"/>
    <w:rsid w:val="32DD31FD"/>
    <w:rsid w:val="32DE750E"/>
    <w:rsid w:val="32EB76C8"/>
    <w:rsid w:val="32FC18D5"/>
    <w:rsid w:val="331F3816"/>
    <w:rsid w:val="33340B4D"/>
    <w:rsid w:val="33576B0C"/>
    <w:rsid w:val="33582884"/>
    <w:rsid w:val="335F41BA"/>
    <w:rsid w:val="33635E53"/>
    <w:rsid w:val="33717237"/>
    <w:rsid w:val="33BA34B0"/>
    <w:rsid w:val="33E81E5A"/>
    <w:rsid w:val="34367DA9"/>
    <w:rsid w:val="34496D9C"/>
    <w:rsid w:val="344F1ED9"/>
    <w:rsid w:val="345E036E"/>
    <w:rsid w:val="346040E6"/>
    <w:rsid w:val="346534AA"/>
    <w:rsid w:val="3477488D"/>
    <w:rsid w:val="348A7F1D"/>
    <w:rsid w:val="349413EA"/>
    <w:rsid w:val="34B47F8E"/>
    <w:rsid w:val="34C54BE3"/>
    <w:rsid w:val="34C574CF"/>
    <w:rsid w:val="34E56399"/>
    <w:rsid w:val="34EE7BB4"/>
    <w:rsid w:val="3509652C"/>
    <w:rsid w:val="350D6182"/>
    <w:rsid w:val="352B0250"/>
    <w:rsid w:val="35753BC1"/>
    <w:rsid w:val="357E2A76"/>
    <w:rsid w:val="358931C8"/>
    <w:rsid w:val="35942299"/>
    <w:rsid w:val="35FA7C22"/>
    <w:rsid w:val="36280C33"/>
    <w:rsid w:val="36394BEF"/>
    <w:rsid w:val="363D46DF"/>
    <w:rsid w:val="36435A6D"/>
    <w:rsid w:val="36490AC3"/>
    <w:rsid w:val="365C268B"/>
    <w:rsid w:val="367C4935"/>
    <w:rsid w:val="3699568D"/>
    <w:rsid w:val="36C73FA8"/>
    <w:rsid w:val="36CE34E8"/>
    <w:rsid w:val="36E25286"/>
    <w:rsid w:val="36ED7BA0"/>
    <w:rsid w:val="37020770"/>
    <w:rsid w:val="37256F21"/>
    <w:rsid w:val="373A29CC"/>
    <w:rsid w:val="379A346B"/>
    <w:rsid w:val="37AD7642"/>
    <w:rsid w:val="37B838EA"/>
    <w:rsid w:val="37EBDE8B"/>
    <w:rsid w:val="37F45271"/>
    <w:rsid w:val="383E029A"/>
    <w:rsid w:val="38641F42"/>
    <w:rsid w:val="38642B1F"/>
    <w:rsid w:val="387350B9"/>
    <w:rsid w:val="3875041B"/>
    <w:rsid w:val="388D4D7E"/>
    <w:rsid w:val="38935F8E"/>
    <w:rsid w:val="389B56ED"/>
    <w:rsid w:val="38A8605B"/>
    <w:rsid w:val="38CC7F9C"/>
    <w:rsid w:val="3904514B"/>
    <w:rsid w:val="390C0398"/>
    <w:rsid w:val="3914724D"/>
    <w:rsid w:val="391D4354"/>
    <w:rsid w:val="39352153"/>
    <w:rsid w:val="393A3157"/>
    <w:rsid w:val="39606472"/>
    <w:rsid w:val="39A46823"/>
    <w:rsid w:val="39BF365D"/>
    <w:rsid w:val="39F552D0"/>
    <w:rsid w:val="39FA1169"/>
    <w:rsid w:val="39FB6A6E"/>
    <w:rsid w:val="39FC282B"/>
    <w:rsid w:val="3A164E28"/>
    <w:rsid w:val="3A5A5133"/>
    <w:rsid w:val="3A8A00E5"/>
    <w:rsid w:val="3A8A77C7"/>
    <w:rsid w:val="3A9C1064"/>
    <w:rsid w:val="3A9C5E0A"/>
    <w:rsid w:val="3ACF16E5"/>
    <w:rsid w:val="3B0532F1"/>
    <w:rsid w:val="3B0E1F66"/>
    <w:rsid w:val="3B1064BD"/>
    <w:rsid w:val="3B2153E2"/>
    <w:rsid w:val="3B263F17"/>
    <w:rsid w:val="3B2C33D8"/>
    <w:rsid w:val="3B2C358C"/>
    <w:rsid w:val="3B3067EA"/>
    <w:rsid w:val="3B392F9B"/>
    <w:rsid w:val="3B3B31B7"/>
    <w:rsid w:val="3B6444BC"/>
    <w:rsid w:val="3B7C7A57"/>
    <w:rsid w:val="3B8701AA"/>
    <w:rsid w:val="3B96663F"/>
    <w:rsid w:val="3BA448B8"/>
    <w:rsid w:val="3BE04637"/>
    <w:rsid w:val="3BF15362"/>
    <w:rsid w:val="3C6473E9"/>
    <w:rsid w:val="3C6D4B9E"/>
    <w:rsid w:val="3C7C3A87"/>
    <w:rsid w:val="3C920BB5"/>
    <w:rsid w:val="3CB21257"/>
    <w:rsid w:val="3CC55044"/>
    <w:rsid w:val="3CC86CCC"/>
    <w:rsid w:val="3CD27730"/>
    <w:rsid w:val="3CE07B72"/>
    <w:rsid w:val="3D2E2FD3"/>
    <w:rsid w:val="3D390470"/>
    <w:rsid w:val="3D4D11D6"/>
    <w:rsid w:val="3D593B6E"/>
    <w:rsid w:val="3D6125BD"/>
    <w:rsid w:val="3D9B1A2A"/>
    <w:rsid w:val="3DB17E85"/>
    <w:rsid w:val="3DC76F84"/>
    <w:rsid w:val="3DCE50EF"/>
    <w:rsid w:val="3DD0408A"/>
    <w:rsid w:val="3DDF7E2A"/>
    <w:rsid w:val="3DF15DAF"/>
    <w:rsid w:val="3E1918E3"/>
    <w:rsid w:val="3E3759DF"/>
    <w:rsid w:val="3E894239"/>
    <w:rsid w:val="3E8A248B"/>
    <w:rsid w:val="3E8B7FB1"/>
    <w:rsid w:val="3E96513D"/>
    <w:rsid w:val="3E98229E"/>
    <w:rsid w:val="3EA64B1B"/>
    <w:rsid w:val="3EE902D6"/>
    <w:rsid w:val="3F0365C7"/>
    <w:rsid w:val="3F894898"/>
    <w:rsid w:val="3FA07A8C"/>
    <w:rsid w:val="3FB778EA"/>
    <w:rsid w:val="3FC574F3"/>
    <w:rsid w:val="3FE43E1D"/>
    <w:rsid w:val="4009784F"/>
    <w:rsid w:val="400B3158"/>
    <w:rsid w:val="401625EA"/>
    <w:rsid w:val="401A783F"/>
    <w:rsid w:val="40224BB0"/>
    <w:rsid w:val="404623E2"/>
    <w:rsid w:val="40491ED2"/>
    <w:rsid w:val="40890521"/>
    <w:rsid w:val="409A66BE"/>
    <w:rsid w:val="40E65973"/>
    <w:rsid w:val="40E80A95"/>
    <w:rsid w:val="41065F4E"/>
    <w:rsid w:val="41131941"/>
    <w:rsid w:val="41171FD0"/>
    <w:rsid w:val="411E7DFD"/>
    <w:rsid w:val="41214BFD"/>
    <w:rsid w:val="418577D5"/>
    <w:rsid w:val="41A55E9B"/>
    <w:rsid w:val="41B65345"/>
    <w:rsid w:val="41C04416"/>
    <w:rsid w:val="41C50CBF"/>
    <w:rsid w:val="420270E5"/>
    <w:rsid w:val="42186000"/>
    <w:rsid w:val="42234900"/>
    <w:rsid w:val="42276243"/>
    <w:rsid w:val="42310D45"/>
    <w:rsid w:val="424E37D0"/>
    <w:rsid w:val="4261206C"/>
    <w:rsid w:val="42642FF3"/>
    <w:rsid w:val="428D5136"/>
    <w:rsid w:val="42914373"/>
    <w:rsid w:val="4297507F"/>
    <w:rsid w:val="42A44E8B"/>
    <w:rsid w:val="42C45840"/>
    <w:rsid w:val="42D00689"/>
    <w:rsid w:val="43000F6E"/>
    <w:rsid w:val="43014CE6"/>
    <w:rsid w:val="430976F7"/>
    <w:rsid w:val="432D5ADB"/>
    <w:rsid w:val="43393B20"/>
    <w:rsid w:val="43495ACF"/>
    <w:rsid w:val="434A226A"/>
    <w:rsid w:val="434F460C"/>
    <w:rsid w:val="4359067E"/>
    <w:rsid w:val="436C497E"/>
    <w:rsid w:val="43E268C5"/>
    <w:rsid w:val="43F14D5A"/>
    <w:rsid w:val="43F54CF5"/>
    <w:rsid w:val="442A5B77"/>
    <w:rsid w:val="44817E8C"/>
    <w:rsid w:val="448D6A38"/>
    <w:rsid w:val="44C71617"/>
    <w:rsid w:val="454D3269"/>
    <w:rsid w:val="456055DE"/>
    <w:rsid w:val="45D17C73"/>
    <w:rsid w:val="461865CE"/>
    <w:rsid w:val="462431C5"/>
    <w:rsid w:val="46562959"/>
    <w:rsid w:val="467F690A"/>
    <w:rsid w:val="469A1680"/>
    <w:rsid w:val="46B85F59"/>
    <w:rsid w:val="46C644C3"/>
    <w:rsid w:val="46E961D3"/>
    <w:rsid w:val="47017063"/>
    <w:rsid w:val="47086643"/>
    <w:rsid w:val="47503B46"/>
    <w:rsid w:val="479559FD"/>
    <w:rsid w:val="47AF4D11"/>
    <w:rsid w:val="47D77DC3"/>
    <w:rsid w:val="47EF50CB"/>
    <w:rsid w:val="47F24BFD"/>
    <w:rsid w:val="48166B3E"/>
    <w:rsid w:val="48382F58"/>
    <w:rsid w:val="483B2A48"/>
    <w:rsid w:val="48621071"/>
    <w:rsid w:val="48AA54D8"/>
    <w:rsid w:val="48AC2FFE"/>
    <w:rsid w:val="49137521"/>
    <w:rsid w:val="492D7C31"/>
    <w:rsid w:val="495C25B9"/>
    <w:rsid w:val="498B48F2"/>
    <w:rsid w:val="499D0869"/>
    <w:rsid w:val="49A50688"/>
    <w:rsid w:val="49C134CC"/>
    <w:rsid w:val="49CC1777"/>
    <w:rsid w:val="49E41F55"/>
    <w:rsid w:val="4A382743"/>
    <w:rsid w:val="4A396CAF"/>
    <w:rsid w:val="4A3E14BB"/>
    <w:rsid w:val="4A6065BC"/>
    <w:rsid w:val="4ACC4412"/>
    <w:rsid w:val="4AD245F0"/>
    <w:rsid w:val="4B0C6773"/>
    <w:rsid w:val="4B5C045F"/>
    <w:rsid w:val="4B852999"/>
    <w:rsid w:val="4BC93572"/>
    <w:rsid w:val="4BDC1E4C"/>
    <w:rsid w:val="4BE44EED"/>
    <w:rsid w:val="4C15535E"/>
    <w:rsid w:val="4C1635B0"/>
    <w:rsid w:val="4C341C88"/>
    <w:rsid w:val="4C347AA3"/>
    <w:rsid w:val="4CB608EF"/>
    <w:rsid w:val="4CE0771A"/>
    <w:rsid w:val="4CEF795D"/>
    <w:rsid w:val="4D782815"/>
    <w:rsid w:val="4D78516B"/>
    <w:rsid w:val="4D8D2223"/>
    <w:rsid w:val="4DBE4790"/>
    <w:rsid w:val="4DD202EA"/>
    <w:rsid w:val="4DED0341"/>
    <w:rsid w:val="4E04568A"/>
    <w:rsid w:val="4E6323B1"/>
    <w:rsid w:val="4E825634"/>
    <w:rsid w:val="4E984750"/>
    <w:rsid w:val="4EC721BD"/>
    <w:rsid w:val="4ED76226"/>
    <w:rsid w:val="4EEF6B88"/>
    <w:rsid w:val="4EF549D4"/>
    <w:rsid w:val="4FA72F38"/>
    <w:rsid w:val="4FBA4253"/>
    <w:rsid w:val="4FCB1B67"/>
    <w:rsid w:val="4FDF1F0B"/>
    <w:rsid w:val="4FE149FF"/>
    <w:rsid w:val="4FFC17B4"/>
    <w:rsid w:val="4FFF25AD"/>
    <w:rsid w:val="50342257"/>
    <w:rsid w:val="506348EA"/>
    <w:rsid w:val="509E5922"/>
    <w:rsid w:val="50C8299F"/>
    <w:rsid w:val="50FA6CDF"/>
    <w:rsid w:val="5116195C"/>
    <w:rsid w:val="51695292"/>
    <w:rsid w:val="517C2D91"/>
    <w:rsid w:val="51992C7D"/>
    <w:rsid w:val="51C55131"/>
    <w:rsid w:val="51F03A65"/>
    <w:rsid w:val="522E6609"/>
    <w:rsid w:val="523422B7"/>
    <w:rsid w:val="523F331D"/>
    <w:rsid w:val="525C5D72"/>
    <w:rsid w:val="52A03EC3"/>
    <w:rsid w:val="52AB7845"/>
    <w:rsid w:val="52FE55DB"/>
    <w:rsid w:val="530F0D59"/>
    <w:rsid w:val="5325057D"/>
    <w:rsid w:val="538F24C4"/>
    <w:rsid w:val="53D971F4"/>
    <w:rsid w:val="53E87428"/>
    <w:rsid w:val="53F65A75"/>
    <w:rsid w:val="53FA1456"/>
    <w:rsid w:val="541B03B0"/>
    <w:rsid w:val="542919A7"/>
    <w:rsid w:val="5447281C"/>
    <w:rsid w:val="54662BFB"/>
    <w:rsid w:val="548C054F"/>
    <w:rsid w:val="548D0188"/>
    <w:rsid w:val="54926736"/>
    <w:rsid w:val="54A90D98"/>
    <w:rsid w:val="54CA13DC"/>
    <w:rsid w:val="54DF6509"/>
    <w:rsid w:val="54E44556"/>
    <w:rsid w:val="54F65EBA"/>
    <w:rsid w:val="54FB1595"/>
    <w:rsid w:val="55041C7F"/>
    <w:rsid w:val="5534422B"/>
    <w:rsid w:val="556F5ADF"/>
    <w:rsid w:val="55AF412E"/>
    <w:rsid w:val="55BB2AD2"/>
    <w:rsid w:val="55C73B6D"/>
    <w:rsid w:val="55D27624"/>
    <w:rsid w:val="56324628"/>
    <w:rsid w:val="56336B0D"/>
    <w:rsid w:val="564E7DEA"/>
    <w:rsid w:val="56690780"/>
    <w:rsid w:val="567A6E51"/>
    <w:rsid w:val="56D55E16"/>
    <w:rsid w:val="56D73191"/>
    <w:rsid w:val="56F203B4"/>
    <w:rsid w:val="56F97D56"/>
    <w:rsid w:val="573E4C66"/>
    <w:rsid w:val="57455831"/>
    <w:rsid w:val="57472D83"/>
    <w:rsid w:val="578735B4"/>
    <w:rsid w:val="579932E7"/>
    <w:rsid w:val="579A11F6"/>
    <w:rsid w:val="57FC55AA"/>
    <w:rsid w:val="580928E7"/>
    <w:rsid w:val="583E1CF5"/>
    <w:rsid w:val="58551F7D"/>
    <w:rsid w:val="58A43CF2"/>
    <w:rsid w:val="590824D3"/>
    <w:rsid w:val="59091DA7"/>
    <w:rsid w:val="592273F3"/>
    <w:rsid w:val="593212FE"/>
    <w:rsid w:val="59457283"/>
    <w:rsid w:val="59484FC5"/>
    <w:rsid w:val="595C5ED3"/>
    <w:rsid w:val="596F4300"/>
    <w:rsid w:val="597A626D"/>
    <w:rsid w:val="59F64A21"/>
    <w:rsid w:val="5A1F7AD4"/>
    <w:rsid w:val="5A290952"/>
    <w:rsid w:val="5A4C63EF"/>
    <w:rsid w:val="5A67147B"/>
    <w:rsid w:val="5A6C083F"/>
    <w:rsid w:val="5A7C4F26"/>
    <w:rsid w:val="5A8913F1"/>
    <w:rsid w:val="5A932270"/>
    <w:rsid w:val="5AA412FE"/>
    <w:rsid w:val="5ABA7A19"/>
    <w:rsid w:val="5AC35F42"/>
    <w:rsid w:val="5AC5005A"/>
    <w:rsid w:val="5AC72F10"/>
    <w:rsid w:val="5B01542B"/>
    <w:rsid w:val="5B0E18F6"/>
    <w:rsid w:val="5B101B12"/>
    <w:rsid w:val="5B136F0D"/>
    <w:rsid w:val="5B56778E"/>
    <w:rsid w:val="5B840C5F"/>
    <w:rsid w:val="5B964D28"/>
    <w:rsid w:val="5BBC75A4"/>
    <w:rsid w:val="5BC44F00"/>
    <w:rsid w:val="5C1EF9D3"/>
    <w:rsid w:val="5C286A9A"/>
    <w:rsid w:val="5C6B34A4"/>
    <w:rsid w:val="5C9D1472"/>
    <w:rsid w:val="5CA96D95"/>
    <w:rsid w:val="5CAC586B"/>
    <w:rsid w:val="5D002209"/>
    <w:rsid w:val="5D217374"/>
    <w:rsid w:val="5D5C103F"/>
    <w:rsid w:val="5DE30E18"/>
    <w:rsid w:val="5DE81AA6"/>
    <w:rsid w:val="5DE943DE"/>
    <w:rsid w:val="5DF9688E"/>
    <w:rsid w:val="5E2B51A2"/>
    <w:rsid w:val="5E3E3A04"/>
    <w:rsid w:val="5E56783C"/>
    <w:rsid w:val="5E8C14B0"/>
    <w:rsid w:val="5E963839"/>
    <w:rsid w:val="5EB62375"/>
    <w:rsid w:val="5EEE5CC7"/>
    <w:rsid w:val="5EF724E5"/>
    <w:rsid w:val="5EFBBCA3"/>
    <w:rsid w:val="5F027C2C"/>
    <w:rsid w:val="5F436DCC"/>
    <w:rsid w:val="5F530220"/>
    <w:rsid w:val="5F5B667A"/>
    <w:rsid w:val="5F6067D6"/>
    <w:rsid w:val="5F7C39BE"/>
    <w:rsid w:val="5F8D1984"/>
    <w:rsid w:val="5FC86518"/>
    <w:rsid w:val="5FD125EC"/>
    <w:rsid w:val="5FF732A1"/>
    <w:rsid w:val="602816AC"/>
    <w:rsid w:val="603D2D4A"/>
    <w:rsid w:val="604162CA"/>
    <w:rsid w:val="6045091D"/>
    <w:rsid w:val="604F09E7"/>
    <w:rsid w:val="60911000"/>
    <w:rsid w:val="60D51B08"/>
    <w:rsid w:val="61007F33"/>
    <w:rsid w:val="610552EA"/>
    <w:rsid w:val="61162C50"/>
    <w:rsid w:val="61183586"/>
    <w:rsid w:val="612B3202"/>
    <w:rsid w:val="61490A69"/>
    <w:rsid w:val="6155202D"/>
    <w:rsid w:val="616D381B"/>
    <w:rsid w:val="617203D0"/>
    <w:rsid w:val="61E6665C"/>
    <w:rsid w:val="61EC0543"/>
    <w:rsid w:val="622320AD"/>
    <w:rsid w:val="622F0AD0"/>
    <w:rsid w:val="623065F6"/>
    <w:rsid w:val="62460B06"/>
    <w:rsid w:val="626C41FD"/>
    <w:rsid w:val="62E93375"/>
    <w:rsid w:val="62F7205C"/>
    <w:rsid w:val="63065CD5"/>
    <w:rsid w:val="631840FD"/>
    <w:rsid w:val="632814D9"/>
    <w:rsid w:val="632C0E07"/>
    <w:rsid w:val="63402869"/>
    <w:rsid w:val="634B16C2"/>
    <w:rsid w:val="638717D9"/>
    <w:rsid w:val="63DD630A"/>
    <w:rsid w:val="63F43D7F"/>
    <w:rsid w:val="640E2967"/>
    <w:rsid w:val="641066DF"/>
    <w:rsid w:val="64127E15"/>
    <w:rsid w:val="6436453A"/>
    <w:rsid w:val="64365E89"/>
    <w:rsid w:val="644F0FB6"/>
    <w:rsid w:val="647064EC"/>
    <w:rsid w:val="64981C38"/>
    <w:rsid w:val="649D4417"/>
    <w:rsid w:val="64A14715"/>
    <w:rsid w:val="64AE2EEE"/>
    <w:rsid w:val="64B114A5"/>
    <w:rsid w:val="64CC2606"/>
    <w:rsid w:val="64E71BB9"/>
    <w:rsid w:val="64F70EA9"/>
    <w:rsid w:val="654F1A47"/>
    <w:rsid w:val="6559389C"/>
    <w:rsid w:val="65BA4B55"/>
    <w:rsid w:val="65C03700"/>
    <w:rsid w:val="65EC15AB"/>
    <w:rsid w:val="65FA7647"/>
    <w:rsid w:val="6618187B"/>
    <w:rsid w:val="666B40A1"/>
    <w:rsid w:val="667A42E4"/>
    <w:rsid w:val="668A2779"/>
    <w:rsid w:val="669D79D4"/>
    <w:rsid w:val="66A870A3"/>
    <w:rsid w:val="66AE560F"/>
    <w:rsid w:val="66B43C9A"/>
    <w:rsid w:val="66B5531C"/>
    <w:rsid w:val="66DD77D4"/>
    <w:rsid w:val="66E225B5"/>
    <w:rsid w:val="66F67E0E"/>
    <w:rsid w:val="671B6AB8"/>
    <w:rsid w:val="675B5EC3"/>
    <w:rsid w:val="675F4D5F"/>
    <w:rsid w:val="676B07FC"/>
    <w:rsid w:val="67762CFD"/>
    <w:rsid w:val="67996221"/>
    <w:rsid w:val="679F4002"/>
    <w:rsid w:val="67D30F67"/>
    <w:rsid w:val="681E7F53"/>
    <w:rsid w:val="681F3395"/>
    <w:rsid w:val="683F7593"/>
    <w:rsid w:val="685D7E19"/>
    <w:rsid w:val="6892076D"/>
    <w:rsid w:val="68A13DAA"/>
    <w:rsid w:val="68A45648"/>
    <w:rsid w:val="68BE2BAE"/>
    <w:rsid w:val="68C46127"/>
    <w:rsid w:val="68CF6B69"/>
    <w:rsid w:val="690B56C7"/>
    <w:rsid w:val="69252C2D"/>
    <w:rsid w:val="69610B03"/>
    <w:rsid w:val="696574CD"/>
    <w:rsid w:val="69A14E77"/>
    <w:rsid w:val="69A51678"/>
    <w:rsid w:val="69A714AC"/>
    <w:rsid w:val="69AB5E6C"/>
    <w:rsid w:val="69EC374B"/>
    <w:rsid w:val="6A0445F0"/>
    <w:rsid w:val="6A1671DC"/>
    <w:rsid w:val="6A1B7B8C"/>
    <w:rsid w:val="6A1D1E0A"/>
    <w:rsid w:val="6A294AC3"/>
    <w:rsid w:val="6A386990"/>
    <w:rsid w:val="6A813E93"/>
    <w:rsid w:val="6AAF0A00"/>
    <w:rsid w:val="6ACB3360"/>
    <w:rsid w:val="6AE15C47"/>
    <w:rsid w:val="6B122D3D"/>
    <w:rsid w:val="6B2F1B41"/>
    <w:rsid w:val="6B4F3F91"/>
    <w:rsid w:val="6B4F5D3F"/>
    <w:rsid w:val="6B505187"/>
    <w:rsid w:val="6B584AFC"/>
    <w:rsid w:val="6B59453E"/>
    <w:rsid w:val="6B5E41D4"/>
    <w:rsid w:val="6BD2397F"/>
    <w:rsid w:val="6BE66EA4"/>
    <w:rsid w:val="6C027255"/>
    <w:rsid w:val="6C370D3C"/>
    <w:rsid w:val="6C596787"/>
    <w:rsid w:val="6CB542C8"/>
    <w:rsid w:val="6D137960"/>
    <w:rsid w:val="6D142D9C"/>
    <w:rsid w:val="6D3041BC"/>
    <w:rsid w:val="6D323B6A"/>
    <w:rsid w:val="6D394EF9"/>
    <w:rsid w:val="6D4713C4"/>
    <w:rsid w:val="6D54763D"/>
    <w:rsid w:val="6D5B17B0"/>
    <w:rsid w:val="6D6830E8"/>
    <w:rsid w:val="6D7E290C"/>
    <w:rsid w:val="6D88336F"/>
    <w:rsid w:val="6DA22804"/>
    <w:rsid w:val="6DA700B4"/>
    <w:rsid w:val="6DCFF491"/>
    <w:rsid w:val="6E054DDB"/>
    <w:rsid w:val="6E154A58"/>
    <w:rsid w:val="6E421B8B"/>
    <w:rsid w:val="6E55366C"/>
    <w:rsid w:val="6E627A21"/>
    <w:rsid w:val="6E957640"/>
    <w:rsid w:val="6EC95E08"/>
    <w:rsid w:val="6ECA3946"/>
    <w:rsid w:val="6EDC3D8E"/>
    <w:rsid w:val="6EE33674"/>
    <w:rsid w:val="6EE442D1"/>
    <w:rsid w:val="6F2F0361"/>
    <w:rsid w:val="6F3BF390"/>
    <w:rsid w:val="6F4C3024"/>
    <w:rsid w:val="6F540CD9"/>
    <w:rsid w:val="6F631DB9"/>
    <w:rsid w:val="6F7C20DC"/>
    <w:rsid w:val="6F8306AD"/>
    <w:rsid w:val="6FB47687"/>
    <w:rsid w:val="6FC30AAA"/>
    <w:rsid w:val="6FDFBA3B"/>
    <w:rsid w:val="6FE949B4"/>
    <w:rsid w:val="6FF9096F"/>
    <w:rsid w:val="700F1F41"/>
    <w:rsid w:val="701337DF"/>
    <w:rsid w:val="70A628A5"/>
    <w:rsid w:val="70A703CB"/>
    <w:rsid w:val="70BA3726"/>
    <w:rsid w:val="70D869D4"/>
    <w:rsid w:val="70DD3DED"/>
    <w:rsid w:val="70E76A1A"/>
    <w:rsid w:val="70F058CE"/>
    <w:rsid w:val="710D5D81"/>
    <w:rsid w:val="71314DAE"/>
    <w:rsid w:val="713752AB"/>
    <w:rsid w:val="71997ED8"/>
    <w:rsid w:val="71A224E9"/>
    <w:rsid w:val="71A85256"/>
    <w:rsid w:val="71D074AE"/>
    <w:rsid w:val="72161365"/>
    <w:rsid w:val="72310D3B"/>
    <w:rsid w:val="7245221F"/>
    <w:rsid w:val="725C29D3"/>
    <w:rsid w:val="725E4ABA"/>
    <w:rsid w:val="726C71D7"/>
    <w:rsid w:val="72741EBA"/>
    <w:rsid w:val="72B34E05"/>
    <w:rsid w:val="72EA0AEA"/>
    <w:rsid w:val="72EF5FCD"/>
    <w:rsid w:val="73253CFE"/>
    <w:rsid w:val="732857F3"/>
    <w:rsid w:val="73337CF4"/>
    <w:rsid w:val="734A6100"/>
    <w:rsid w:val="736672E4"/>
    <w:rsid w:val="73732860"/>
    <w:rsid w:val="73767D80"/>
    <w:rsid w:val="738854C1"/>
    <w:rsid w:val="73AF7CC3"/>
    <w:rsid w:val="73B52DFF"/>
    <w:rsid w:val="73E334C8"/>
    <w:rsid w:val="73EB3D22"/>
    <w:rsid w:val="73FC458A"/>
    <w:rsid w:val="74064BED"/>
    <w:rsid w:val="74123DAE"/>
    <w:rsid w:val="74341F76"/>
    <w:rsid w:val="744F6DB0"/>
    <w:rsid w:val="74533BD1"/>
    <w:rsid w:val="747948CE"/>
    <w:rsid w:val="748A603A"/>
    <w:rsid w:val="74D177C5"/>
    <w:rsid w:val="75126D7A"/>
    <w:rsid w:val="75173427"/>
    <w:rsid w:val="752B3379"/>
    <w:rsid w:val="75497CA3"/>
    <w:rsid w:val="755C1784"/>
    <w:rsid w:val="75862CA5"/>
    <w:rsid w:val="75A35605"/>
    <w:rsid w:val="75A65E27"/>
    <w:rsid w:val="75AD3D8E"/>
    <w:rsid w:val="75BA5477"/>
    <w:rsid w:val="75C15A8B"/>
    <w:rsid w:val="75CE3180"/>
    <w:rsid w:val="760F280F"/>
    <w:rsid w:val="76390E7D"/>
    <w:rsid w:val="769918E2"/>
    <w:rsid w:val="76AF3B36"/>
    <w:rsid w:val="76BFAF13"/>
    <w:rsid w:val="77537603"/>
    <w:rsid w:val="775A6197"/>
    <w:rsid w:val="77764653"/>
    <w:rsid w:val="777B4904"/>
    <w:rsid w:val="77980A6E"/>
    <w:rsid w:val="77A567E3"/>
    <w:rsid w:val="77ADA3B3"/>
    <w:rsid w:val="77BF4947"/>
    <w:rsid w:val="77C91904"/>
    <w:rsid w:val="77F02658"/>
    <w:rsid w:val="78250553"/>
    <w:rsid w:val="784B32EA"/>
    <w:rsid w:val="785513ED"/>
    <w:rsid w:val="788039DC"/>
    <w:rsid w:val="78882890"/>
    <w:rsid w:val="78937CF7"/>
    <w:rsid w:val="78CC4E73"/>
    <w:rsid w:val="78FBF684"/>
    <w:rsid w:val="78FD502C"/>
    <w:rsid w:val="78FE2B52"/>
    <w:rsid w:val="790068CB"/>
    <w:rsid w:val="7928604C"/>
    <w:rsid w:val="7931117A"/>
    <w:rsid w:val="79627585"/>
    <w:rsid w:val="796706F8"/>
    <w:rsid w:val="796C3F60"/>
    <w:rsid w:val="797F3C93"/>
    <w:rsid w:val="799C2E68"/>
    <w:rsid w:val="79C63670"/>
    <w:rsid w:val="79ED6971"/>
    <w:rsid w:val="79FE2D83"/>
    <w:rsid w:val="7A057571"/>
    <w:rsid w:val="7A1268B5"/>
    <w:rsid w:val="7A1940E8"/>
    <w:rsid w:val="7A263419"/>
    <w:rsid w:val="7A2E1215"/>
    <w:rsid w:val="7A3A405E"/>
    <w:rsid w:val="7A3C3932"/>
    <w:rsid w:val="7A410003"/>
    <w:rsid w:val="7A4B711F"/>
    <w:rsid w:val="7A8D23E0"/>
    <w:rsid w:val="7AA33536"/>
    <w:rsid w:val="7AE8472F"/>
    <w:rsid w:val="7AF73349"/>
    <w:rsid w:val="7B1A3000"/>
    <w:rsid w:val="7B3311D9"/>
    <w:rsid w:val="7B4D35F3"/>
    <w:rsid w:val="7B607AF4"/>
    <w:rsid w:val="7B7D91F1"/>
    <w:rsid w:val="7BB816DF"/>
    <w:rsid w:val="7BCD5242"/>
    <w:rsid w:val="7BCDA817"/>
    <w:rsid w:val="7BE424D4"/>
    <w:rsid w:val="7BED0CD8"/>
    <w:rsid w:val="7BF369A8"/>
    <w:rsid w:val="7BF88BF8"/>
    <w:rsid w:val="7BFE1E83"/>
    <w:rsid w:val="7C2D79D7"/>
    <w:rsid w:val="7C4F2043"/>
    <w:rsid w:val="7C5036C5"/>
    <w:rsid w:val="7C8B2109"/>
    <w:rsid w:val="7CB7F70C"/>
    <w:rsid w:val="7CDB7433"/>
    <w:rsid w:val="7CF32A66"/>
    <w:rsid w:val="7CF9196F"/>
    <w:rsid w:val="7D032E2D"/>
    <w:rsid w:val="7D673C72"/>
    <w:rsid w:val="7D6FFF83"/>
    <w:rsid w:val="7D71438E"/>
    <w:rsid w:val="7D8C697F"/>
    <w:rsid w:val="7D934365"/>
    <w:rsid w:val="7DA97531"/>
    <w:rsid w:val="7DBA10EA"/>
    <w:rsid w:val="7DBF21A5"/>
    <w:rsid w:val="7DE93C59"/>
    <w:rsid w:val="7DEE7639"/>
    <w:rsid w:val="7DF2F9A3"/>
    <w:rsid w:val="7DF54524"/>
    <w:rsid w:val="7DFBF8B8"/>
    <w:rsid w:val="7DFF2037"/>
    <w:rsid w:val="7E3109CA"/>
    <w:rsid w:val="7E33504C"/>
    <w:rsid w:val="7E533847"/>
    <w:rsid w:val="7E6B366A"/>
    <w:rsid w:val="7E6D67B0"/>
    <w:rsid w:val="7E72183B"/>
    <w:rsid w:val="7E755665"/>
    <w:rsid w:val="7E7E09BD"/>
    <w:rsid w:val="7E9C7095"/>
    <w:rsid w:val="7EB10D93"/>
    <w:rsid w:val="7EC5039A"/>
    <w:rsid w:val="7ECB1729"/>
    <w:rsid w:val="7ED20D09"/>
    <w:rsid w:val="7EFF7F74"/>
    <w:rsid w:val="7F0A7EBE"/>
    <w:rsid w:val="7F3F6140"/>
    <w:rsid w:val="7F4F2E72"/>
    <w:rsid w:val="7F516B1D"/>
    <w:rsid w:val="7FB33084"/>
    <w:rsid w:val="7FE44850"/>
    <w:rsid w:val="7FFD3B64"/>
    <w:rsid w:val="A6DE8FDA"/>
    <w:rsid w:val="AF5FF4BF"/>
    <w:rsid w:val="B69FF366"/>
    <w:rsid w:val="B7BE0BB5"/>
    <w:rsid w:val="BAF3C0EE"/>
    <w:rsid w:val="BDA541C9"/>
    <w:rsid w:val="BDBA6259"/>
    <w:rsid w:val="BFBDC4C5"/>
    <w:rsid w:val="BFD68BC8"/>
    <w:rsid w:val="BFE95F22"/>
    <w:rsid w:val="CFFB6501"/>
    <w:rsid w:val="D15D4F91"/>
    <w:rsid w:val="D1D7919C"/>
    <w:rsid w:val="DCFF9D73"/>
    <w:rsid w:val="DE7FF3CC"/>
    <w:rsid w:val="DEE5F877"/>
    <w:rsid w:val="EFAB8450"/>
    <w:rsid w:val="EFBB8298"/>
    <w:rsid w:val="F3F718E3"/>
    <w:rsid w:val="F3FBBAEA"/>
    <w:rsid w:val="F59FF76E"/>
    <w:rsid w:val="F7ED557E"/>
    <w:rsid w:val="FAE59616"/>
    <w:rsid w:val="FBCDA931"/>
    <w:rsid w:val="FBD6C807"/>
    <w:rsid w:val="FBDE2B7D"/>
    <w:rsid w:val="FE4B0D66"/>
    <w:rsid w:val="FEF185FD"/>
    <w:rsid w:val="FF9FEFB3"/>
    <w:rsid w:val="FFAC0321"/>
    <w:rsid w:val="FFBD4E78"/>
    <w:rsid w:val="FFFF4AC0"/>
    <w:rsid w:val="FFFF7AC4"/>
    <w:rsid w:val="FFFF9FE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39" w:semiHidden="0"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41"/>
    <w:qFormat/>
    <w:uiPriority w:val="99"/>
    <w:pPr>
      <w:keepNext/>
      <w:keepLines/>
      <w:spacing w:line="576" w:lineRule="auto"/>
      <w:outlineLvl w:val="0"/>
    </w:pPr>
    <w:rPr>
      <w:rFonts w:ascii="Calibri" w:hAnsi="Calibri" w:cs="Calibri"/>
      <w:b/>
      <w:bCs/>
      <w:kern w:val="44"/>
      <w:sz w:val="44"/>
      <w:szCs w:val="44"/>
    </w:rPr>
  </w:style>
  <w:style w:type="paragraph" w:styleId="5">
    <w:name w:val="heading 2"/>
    <w:basedOn w:val="1"/>
    <w:next w:val="6"/>
    <w:link w:val="42"/>
    <w:qFormat/>
    <w:uiPriority w:val="99"/>
    <w:pPr>
      <w:keepNext/>
      <w:spacing w:line="216" w:lineRule="auto"/>
      <w:outlineLvl w:val="1"/>
    </w:pPr>
    <w:rPr>
      <w:rFonts w:ascii="宋体" w:hAnsi="Calibri" w:cs="宋体"/>
      <w:b/>
      <w:bCs/>
      <w:sz w:val="28"/>
      <w:szCs w:val="28"/>
    </w:rPr>
  </w:style>
  <w:style w:type="paragraph" w:styleId="7">
    <w:name w:val="heading 3"/>
    <w:basedOn w:val="1"/>
    <w:next w:val="1"/>
    <w:link w:val="43"/>
    <w:qFormat/>
    <w:uiPriority w:val="99"/>
    <w:pPr>
      <w:keepNext/>
      <w:numPr>
        <w:ilvl w:val="0"/>
        <w:numId w:val="1"/>
      </w:numPr>
      <w:spacing w:line="216" w:lineRule="auto"/>
      <w:outlineLvl w:val="2"/>
    </w:pPr>
    <w:rPr>
      <w:rFonts w:ascii="宋体" w:hAnsi="Calibri" w:cs="宋体"/>
      <w:b/>
      <w:bCs/>
      <w:sz w:val="28"/>
      <w:szCs w:val="28"/>
    </w:rPr>
  </w:style>
  <w:style w:type="paragraph" w:styleId="8">
    <w:name w:val="heading 4"/>
    <w:basedOn w:val="1"/>
    <w:next w:val="1"/>
    <w:qFormat/>
    <w:locked/>
    <w:uiPriority w:val="0"/>
    <w:pPr>
      <w:keepLines/>
      <w:widowControl/>
      <w:autoSpaceDE w:val="0"/>
      <w:autoSpaceDN w:val="0"/>
      <w:adjustRightInd w:val="0"/>
      <w:jc w:val="left"/>
      <w:textAlignment w:val="baseline"/>
      <w:outlineLvl w:val="3"/>
    </w:pPr>
    <w:rPr>
      <w:rFonts w:eastAsia="楷体_GB2312"/>
      <w:b/>
      <w:snapToGrid w:val="0"/>
      <w:kern w:val="0"/>
      <w:sz w:val="24"/>
      <w:szCs w:val="20"/>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2"/>
    <w:link w:val="50"/>
    <w:qFormat/>
    <w:uiPriority w:val="99"/>
    <w:pPr>
      <w:adjustRightInd w:val="0"/>
      <w:spacing w:line="360" w:lineRule="auto"/>
      <w:ind w:firstLine="490"/>
      <w:jc w:val="left"/>
    </w:pPr>
    <w:rPr>
      <w:rFonts w:ascii="宋体" w:hAnsi="宋体" w:cs="宋体"/>
      <w:sz w:val="24"/>
      <w:szCs w:val="24"/>
    </w:rPr>
  </w:style>
  <w:style w:type="paragraph" w:styleId="6">
    <w:name w:val="Normal Indent"/>
    <w:basedOn w:val="1"/>
    <w:next w:val="3"/>
    <w:qFormat/>
    <w:uiPriority w:val="99"/>
    <w:pPr>
      <w:ind w:firstLine="420"/>
    </w:pPr>
  </w:style>
  <w:style w:type="paragraph" w:styleId="9">
    <w:name w:val="annotation text"/>
    <w:basedOn w:val="1"/>
    <w:semiHidden/>
    <w:unhideWhenUsed/>
    <w:qFormat/>
    <w:uiPriority w:val="99"/>
    <w:pPr>
      <w:jc w:val="left"/>
    </w:pPr>
  </w:style>
  <w:style w:type="paragraph" w:styleId="10">
    <w:name w:val="Body Text 3"/>
    <w:basedOn w:val="1"/>
    <w:qFormat/>
    <w:uiPriority w:val="0"/>
    <w:pPr>
      <w:widowControl w:val="0"/>
      <w:spacing w:before="0" w:after="120"/>
      <w:ind w:left="0" w:right="0"/>
      <w:jc w:val="both"/>
    </w:pPr>
    <w:rPr>
      <w:rFonts w:ascii="Times New Roman" w:hAnsi="Times New Roman" w:eastAsia="宋体" w:cs="Times New Roman"/>
      <w:kern w:val="2"/>
      <w:sz w:val="16"/>
      <w:szCs w:val="16"/>
      <w:lang w:val="en-US" w:eastAsia="zh-CN" w:bidi="ar-SA"/>
    </w:rPr>
  </w:style>
  <w:style w:type="paragraph" w:styleId="11">
    <w:name w:val="Body Text"/>
    <w:basedOn w:val="1"/>
    <w:next w:val="12"/>
    <w:link w:val="44"/>
    <w:qFormat/>
    <w:uiPriority w:val="99"/>
  </w:style>
  <w:style w:type="paragraph" w:styleId="12">
    <w:name w:val="Body Text First Indent"/>
    <w:basedOn w:val="11"/>
    <w:next w:val="1"/>
    <w:link w:val="56"/>
    <w:qFormat/>
    <w:uiPriority w:val="99"/>
    <w:pPr>
      <w:ind w:firstLine="420" w:firstLineChars="100"/>
    </w:pPr>
  </w:style>
  <w:style w:type="paragraph" w:styleId="13">
    <w:name w:val="Block Text"/>
    <w:basedOn w:val="1"/>
    <w:qFormat/>
    <w:uiPriority w:val="0"/>
    <w:pPr>
      <w:spacing w:before="120" w:line="360" w:lineRule="auto"/>
      <w:ind w:left="824" w:right="202"/>
    </w:pPr>
    <w:rPr>
      <w:rFonts w:ascii="宋体" w:hAnsi="宋体"/>
      <w:sz w:val="24"/>
      <w:szCs w:val="21"/>
    </w:rPr>
  </w:style>
  <w:style w:type="paragraph" w:styleId="14">
    <w:name w:val="toc 3"/>
    <w:basedOn w:val="1"/>
    <w:next w:val="1"/>
    <w:semiHidden/>
    <w:qFormat/>
    <w:uiPriority w:val="99"/>
    <w:pPr>
      <w:ind w:left="840" w:leftChars="400"/>
    </w:pPr>
  </w:style>
  <w:style w:type="paragraph" w:styleId="15">
    <w:name w:val="Plain Text"/>
    <w:basedOn w:val="1"/>
    <w:next w:val="1"/>
    <w:link w:val="51"/>
    <w:qFormat/>
    <w:uiPriority w:val="99"/>
    <w:rPr>
      <w:rFonts w:ascii="宋体" w:hAnsi="Courier New" w:cs="宋体"/>
    </w:rPr>
  </w:style>
  <w:style w:type="paragraph" w:styleId="16">
    <w:name w:val="Date"/>
    <w:basedOn w:val="1"/>
    <w:next w:val="1"/>
    <w:link w:val="52"/>
    <w:qFormat/>
    <w:uiPriority w:val="99"/>
    <w:pPr>
      <w:ind w:left="100" w:leftChars="2500"/>
    </w:pPr>
    <w:rPr>
      <w:rFonts w:ascii="宋体" w:hAnsi="宋体" w:cs="宋体"/>
      <w:color w:val="000000"/>
      <w:sz w:val="24"/>
      <w:szCs w:val="24"/>
    </w:rPr>
  </w:style>
  <w:style w:type="paragraph" w:styleId="17">
    <w:name w:val="Balloon Text"/>
    <w:basedOn w:val="1"/>
    <w:link w:val="53"/>
    <w:semiHidden/>
    <w:qFormat/>
    <w:uiPriority w:val="99"/>
    <w:rPr>
      <w:sz w:val="18"/>
      <w:szCs w:val="18"/>
    </w:rPr>
  </w:style>
  <w:style w:type="paragraph" w:styleId="18">
    <w:name w:val="footer"/>
    <w:basedOn w:val="1"/>
    <w:link w:val="54"/>
    <w:qFormat/>
    <w:uiPriority w:val="99"/>
    <w:pPr>
      <w:tabs>
        <w:tab w:val="center" w:pos="4153"/>
        <w:tab w:val="right" w:pos="8306"/>
      </w:tabs>
      <w:snapToGrid w:val="0"/>
      <w:jc w:val="left"/>
    </w:pPr>
    <w:rPr>
      <w:sz w:val="18"/>
      <w:szCs w:val="18"/>
    </w:rPr>
  </w:style>
  <w:style w:type="paragraph" w:styleId="19">
    <w:name w:val="header"/>
    <w:basedOn w:val="1"/>
    <w:link w:val="55"/>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cs="宋体"/>
      <w:kern w:val="0"/>
      <w:sz w:val="18"/>
      <w:szCs w:val="18"/>
    </w:rPr>
  </w:style>
  <w:style w:type="paragraph" w:styleId="20">
    <w:name w:val="toc 1"/>
    <w:basedOn w:val="1"/>
    <w:next w:val="1"/>
    <w:semiHidden/>
    <w:qFormat/>
    <w:uiPriority w:val="99"/>
  </w:style>
  <w:style w:type="paragraph" w:styleId="21">
    <w:name w:val="toc 4"/>
    <w:basedOn w:val="1"/>
    <w:next w:val="1"/>
    <w:qFormat/>
    <w:uiPriority w:val="39"/>
    <w:pPr>
      <w:ind w:left="1260" w:leftChars="600"/>
    </w:pPr>
    <w:rPr>
      <w:szCs w:val="24"/>
    </w:rPr>
  </w:style>
  <w:style w:type="paragraph" w:styleId="22">
    <w:name w:val="toc 6"/>
    <w:basedOn w:val="1"/>
    <w:next w:val="1"/>
    <w:qFormat/>
    <w:uiPriority w:val="0"/>
    <w:pPr>
      <w:spacing w:line="360" w:lineRule="auto"/>
      <w:ind w:left="1200" w:firstLine="200" w:firstLineChars="200"/>
      <w:jc w:val="left"/>
    </w:pPr>
    <w:rPr>
      <w:rFonts w:ascii="Calibri" w:hAnsi="Calibri" w:cs="Calibri"/>
      <w:sz w:val="18"/>
      <w:szCs w:val="18"/>
    </w:rPr>
  </w:style>
  <w:style w:type="paragraph" w:styleId="23">
    <w:name w:val="toc 2"/>
    <w:basedOn w:val="1"/>
    <w:next w:val="1"/>
    <w:semiHidden/>
    <w:qFormat/>
    <w:uiPriority w:val="99"/>
    <w:pPr>
      <w:ind w:left="420" w:leftChars="200"/>
    </w:pPr>
  </w:style>
  <w:style w:type="paragraph" w:styleId="2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5">
    <w:name w:val="Normal (Web)"/>
    <w:basedOn w:val="1"/>
    <w:qFormat/>
    <w:uiPriority w:val="99"/>
    <w:pPr>
      <w:widowControl/>
      <w:spacing w:before="100" w:beforeAutospacing="1" w:after="100" w:afterAutospacing="1"/>
      <w:jc w:val="left"/>
    </w:pPr>
    <w:rPr>
      <w:rFonts w:ascii="宋体" w:hAnsi="宋体" w:cs="宋体"/>
      <w:sz w:val="24"/>
      <w:szCs w:val="24"/>
    </w:rPr>
  </w:style>
  <w:style w:type="table" w:styleId="27">
    <w:name w:val="Table Grid"/>
    <w:basedOn w:val="26"/>
    <w:qFormat/>
    <w:uiPriority w:val="59"/>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99"/>
    <w:rPr>
      <w:b/>
      <w:bCs/>
    </w:rPr>
  </w:style>
  <w:style w:type="character" w:styleId="30">
    <w:name w:val="page number"/>
    <w:basedOn w:val="28"/>
    <w:qFormat/>
    <w:uiPriority w:val="99"/>
  </w:style>
  <w:style w:type="character" w:styleId="31">
    <w:name w:val="Hyperlink"/>
    <w:basedOn w:val="28"/>
    <w:qFormat/>
    <w:uiPriority w:val="99"/>
    <w:rPr>
      <w:color w:val="0000FF"/>
      <w:u w:val="single"/>
    </w:rPr>
  </w:style>
  <w:style w:type="paragraph" w:customStyle="1" w:styleId="32">
    <w:name w:val="Body Text First Indent1"/>
    <w:basedOn w:val="11"/>
    <w:qFormat/>
    <w:uiPriority w:val="0"/>
    <w:pPr>
      <w:tabs>
        <w:tab w:val="left" w:pos="1275"/>
      </w:tabs>
      <w:ind w:firstLine="420" w:firstLineChars="100"/>
    </w:pPr>
  </w:style>
  <w:style w:type="paragraph" w:customStyle="1" w:styleId="33">
    <w:name w:val="正文首行缩进1"/>
    <w:basedOn w:val="1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34">
    <w:name w:val="表格文字"/>
    <w:basedOn w:val="3"/>
    <w:next w:val="11"/>
    <w:qFormat/>
    <w:uiPriority w:val="0"/>
    <w:pPr>
      <w:adjustRightInd w:val="0"/>
      <w:spacing w:line="420" w:lineRule="atLeast"/>
      <w:textAlignment w:val="baseline"/>
    </w:pPr>
  </w:style>
  <w:style w:type="paragraph" w:customStyle="1" w:styleId="35">
    <w:name w:val="BodyText1I2"/>
    <w:basedOn w:val="36"/>
    <w:qFormat/>
    <w:uiPriority w:val="0"/>
    <w:pPr>
      <w:ind w:firstLine="420"/>
    </w:pPr>
    <w:rPr>
      <w:sz w:val="21"/>
    </w:rPr>
  </w:style>
  <w:style w:type="paragraph" w:customStyle="1" w:styleId="36">
    <w:name w:val="BodyTextIndent"/>
    <w:basedOn w:val="1"/>
    <w:next w:val="35"/>
    <w:qFormat/>
    <w:uiPriority w:val="0"/>
    <w:pPr>
      <w:spacing w:line="360" w:lineRule="auto"/>
      <w:ind w:firstLine="490"/>
      <w:jc w:val="left"/>
    </w:pPr>
    <w:rPr>
      <w:rFonts w:ascii="宋体" w:hAnsi="宋体"/>
      <w:sz w:val="24"/>
    </w:rPr>
  </w:style>
  <w:style w:type="paragraph" w:styleId="37">
    <w:name w:val="Quote"/>
    <w:basedOn w:val="1"/>
    <w:next w:val="1"/>
    <w:qFormat/>
    <w:uiPriority w:val="0"/>
    <w:pPr>
      <w:wordWrap w:val="0"/>
      <w:spacing w:before="200" w:after="160"/>
      <w:ind w:left="864" w:right="864"/>
      <w:jc w:val="center"/>
    </w:pPr>
    <w:rPr>
      <w:i/>
    </w:rPr>
  </w:style>
  <w:style w:type="paragraph" w:customStyle="1" w:styleId="38">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39">
    <w:name w:val="正文缩进1"/>
    <w:basedOn w:val="1"/>
    <w:qFormat/>
    <w:uiPriority w:val="0"/>
    <w:pPr>
      <w:ind w:firstLine="420" w:firstLineChars="200"/>
    </w:pPr>
  </w:style>
  <w:style w:type="paragraph" w:customStyle="1" w:styleId="40">
    <w:name w:val="正文（首行缩进2字符）"/>
    <w:basedOn w:val="1"/>
    <w:qFormat/>
    <w:uiPriority w:val="0"/>
    <w:pPr>
      <w:spacing w:line="360" w:lineRule="auto"/>
      <w:ind w:firstLine="480" w:firstLineChars="200"/>
    </w:pPr>
    <w:rPr>
      <w:sz w:val="24"/>
      <w:szCs w:val="20"/>
    </w:rPr>
  </w:style>
  <w:style w:type="character" w:customStyle="1" w:styleId="41">
    <w:name w:val="标题 1 Char"/>
    <w:basedOn w:val="28"/>
    <w:link w:val="4"/>
    <w:qFormat/>
    <w:locked/>
    <w:uiPriority w:val="99"/>
    <w:rPr>
      <w:b/>
      <w:bCs/>
      <w:kern w:val="44"/>
      <w:sz w:val="44"/>
      <w:szCs w:val="44"/>
    </w:rPr>
  </w:style>
  <w:style w:type="character" w:customStyle="1" w:styleId="42">
    <w:name w:val="标题 2 Char"/>
    <w:basedOn w:val="28"/>
    <w:link w:val="5"/>
    <w:qFormat/>
    <w:locked/>
    <w:uiPriority w:val="99"/>
    <w:rPr>
      <w:rFonts w:ascii="宋体" w:cs="宋体"/>
      <w:b/>
      <w:bCs/>
      <w:kern w:val="2"/>
      <w:sz w:val="28"/>
      <w:szCs w:val="28"/>
    </w:rPr>
  </w:style>
  <w:style w:type="character" w:customStyle="1" w:styleId="43">
    <w:name w:val="标题 3 Char"/>
    <w:basedOn w:val="28"/>
    <w:link w:val="7"/>
    <w:qFormat/>
    <w:locked/>
    <w:uiPriority w:val="99"/>
    <w:rPr>
      <w:rFonts w:ascii="宋体" w:cs="宋体"/>
      <w:b/>
      <w:bCs/>
      <w:kern w:val="2"/>
      <w:sz w:val="28"/>
      <w:szCs w:val="28"/>
    </w:rPr>
  </w:style>
  <w:style w:type="character" w:customStyle="1" w:styleId="44">
    <w:name w:val="正文文本 Char"/>
    <w:basedOn w:val="28"/>
    <w:link w:val="11"/>
    <w:semiHidden/>
    <w:qFormat/>
    <w:uiPriority w:val="99"/>
    <w:rPr>
      <w:rFonts w:ascii="Times New Roman" w:hAnsi="Times New Roman"/>
      <w:szCs w:val="21"/>
    </w:rPr>
  </w:style>
  <w:style w:type="paragraph" w:customStyle="1" w:styleId="45">
    <w:name w:val="样式 表格正文 + 两端对齐"/>
    <w:basedOn w:val="1"/>
    <w:next w:val="46"/>
    <w:qFormat/>
    <w:uiPriority w:val="99"/>
    <w:pPr>
      <w:spacing w:line="300" w:lineRule="auto"/>
    </w:pPr>
    <w:rPr>
      <w:sz w:val="24"/>
      <w:szCs w:val="24"/>
    </w:rPr>
  </w:style>
  <w:style w:type="paragraph" w:customStyle="1" w:styleId="46">
    <w:name w:val="正文1"/>
    <w:basedOn w:val="1"/>
    <w:next w:val="47"/>
    <w:qFormat/>
    <w:uiPriority w:val="99"/>
    <w:pPr>
      <w:widowControl/>
      <w:snapToGrid w:val="0"/>
      <w:spacing w:line="500" w:lineRule="exact"/>
      <w:ind w:firstLine="567"/>
    </w:pPr>
    <w:rPr>
      <w:rFonts w:ascii="楷体_GB2312" w:eastAsia="楷体_GB2312" w:cs="楷体_GB2312"/>
      <w:kern w:val="0"/>
      <w:sz w:val="28"/>
      <w:szCs w:val="28"/>
    </w:rPr>
  </w:style>
  <w:style w:type="paragraph" w:customStyle="1" w:styleId="47">
    <w:name w:val="自动更正"/>
    <w:next w:val="48"/>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8">
    <w:name w:val="xl39"/>
    <w:basedOn w:val="1"/>
    <w:next w:val="49"/>
    <w:qFormat/>
    <w:uiPriority w:val="99"/>
    <w:pPr>
      <w:widowControl/>
      <w:pBdr>
        <w:top w:val="single" w:color="auto" w:sz="4" w:space="0"/>
        <w:bottom w:val="single" w:color="auto" w:sz="4" w:space="0"/>
        <w:right w:val="single" w:color="auto" w:sz="4" w:space="0"/>
      </w:pBdr>
      <w:spacing w:before="100" w:after="100"/>
      <w:jc w:val="left"/>
      <w:textAlignment w:val="center"/>
    </w:pPr>
    <w:rPr>
      <w:kern w:val="0"/>
    </w:rPr>
  </w:style>
  <w:style w:type="paragraph" w:customStyle="1" w:styleId="49">
    <w:name w:val="分手多日，近况如何？"/>
    <w:next w:val="1"/>
    <w:qFormat/>
    <w:uiPriority w:val="99"/>
    <w:pPr>
      <w:widowControl w:val="0"/>
      <w:jc w:val="both"/>
    </w:pPr>
    <w:rPr>
      <w:rFonts w:ascii="Times New Roman" w:hAnsi="Times New Roman" w:eastAsia="宋体" w:cs="Times New Roman"/>
      <w:sz w:val="21"/>
      <w:szCs w:val="21"/>
      <w:lang w:val="en-US" w:eastAsia="zh-CN" w:bidi="ar-SA"/>
    </w:rPr>
  </w:style>
  <w:style w:type="character" w:customStyle="1" w:styleId="50">
    <w:name w:val="正文文本缩进 Char"/>
    <w:basedOn w:val="28"/>
    <w:link w:val="3"/>
    <w:semiHidden/>
    <w:qFormat/>
    <w:uiPriority w:val="99"/>
    <w:rPr>
      <w:rFonts w:ascii="Times New Roman" w:hAnsi="Times New Roman"/>
      <w:szCs w:val="21"/>
    </w:rPr>
  </w:style>
  <w:style w:type="character" w:customStyle="1" w:styleId="51">
    <w:name w:val="纯文本 Char"/>
    <w:basedOn w:val="28"/>
    <w:link w:val="15"/>
    <w:semiHidden/>
    <w:qFormat/>
    <w:uiPriority w:val="99"/>
    <w:rPr>
      <w:rFonts w:ascii="宋体" w:hAnsi="Courier New" w:cs="Courier New"/>
      <w:szCs w:val="21"/>
    </w:rPr>
  </w:style>
  <w:style w:type="character" w:customStyle="1" w:styleId="52">
    <w:name w:val="日期 Char"/>
    <w:basedOn w:val="28"/>
    <w:link w:val="16"/>
    <w:semiHidden/>
    <w:qFormat/>
    <w:uiPriority w:val="99"/>
    <w:rPr>
      <w:rFonts w:ascii="Times New Roman" w:hAnsi="Times New Roman"/>
      <w:szCs w:val="21"/>
    </w:rPr>
  </w:style>
  <w:style w:type="character" w:customStyle="1" w:styleId="53">
    <w:name w:val="批注框文本 Char"/>
    <w:basedOn w:val="28"/>
    <w:link w:val="17"/>
    <w:qFormat/>
    <w:locked/>
    <w:uiPriority w:val="99"/>
    <w:rPr>
      <w:kern w:val="2"/>
      <w:sz w:val="18"/>
      <w:szCs w:val="18"/>
    </w:rPr>
  </w:style>
  <w:style w:type="character" w:customStyle="1" w:styleId="54">
    <w:name w:val="页脚 Char"/>
    <w:basedOn w:val="28"/>
    <w:link w:val="18"/>
    <w:semiHidden/>
    <w:qFormat/>
    <w:uiPriority w:val="99"/>
    <w:rPr>
      <w:rFonts w:ascii="Times New Roman" w:hAnsi="Times New Roman"/>
      <w:sz w:val="18"/>
      <w:szCs w:val="18"/>
    </w:rPr>
  </w:style>
  <w:style w:type="character" w:customStyle="1" w:styleId="55">
    <w:name w:val="页眉 Char"/>
    <w:basedOn w:val="28"/>
    <w:link w:val="19"/>
    <w:semiHidden/>
    <w:qFormat/>
    <w:uiPriority w:val="99"/>
    <w:rPr>
      <w:rFonts w:ascii="Times New Roman" w:hAnsi="Times New Roman"/>
      <w:sz w:val="18"/>
      <w:szCs w:val="18"/>
    </w:rPr>
  </w:style>
  <w:style w:type="character" w:customStyle="1" w:styleId="56">
    <w:name w:val="正文首行缩进 Char"/>
    <w:basedOn w:val="44"/>
    <w:link w:val="12"/>
    <w:semiHidden/>
    <w:qFormat/>
    <w:uiPriority w:val="99"/>
    <w:rPr>
      <w:rFonts w:ascii="Times New Roman" w:hAnsi="Times New Roman"/>
      <w:szCs w:val="21"/>
    </w:rPr>
  </w:style>
  <w:style w:type="paragraph" w:customStyle="1" w:styleId="57">
    <w:name w:val="正文2"/>
    <w:basedOn w:val="1"/>
    <w:qFormat/>
    <w:uiPriority w:val="99"/>
    <w:pPr>
      <w:adjustRightInd w:val="0"/>
      <w:spacing w:before="156" w:line="360" w:lineRule="auto"/>
      <w:ind w:firstLine="510" w:firstLineChars="200"/>
    </w:pPr>
    <w:rPr>
      <w:sz w:val="24"/>
      <w:szCs w:val="24"/>
    </w:rPr>
  </w:style>
  <w:style w:type="paragraph" w:customStyle="1" w:styleId="58">
    <w:name w:val="List Paragraph1"/>
    <w:basedOn w:val="1"/>
    <w:qFormat/>
    <w:uiPriority w:val="99"/>
    <w:pPr>
      <w:widowControl/>
      <w:ind w:firstLine="420" w:firstLineChars="200"/>
      <w:jc w:val="left"/>
    </w:pPr>
    <w:rPr>
      <w:rFonts w:ascii="Calibri" w:hAnsi="Calibri" w:cs="Calibri"/>
    </w:rPr>
  </w:style>
  <w:style w:type="character" w:customStyle="1" w:styleId="59">
    <w:name w:val="style81"/>
    <w:qFormat/>
    <w:uiPriority w:val="99"/>
    <w:rPr>
      <w:sz w:val="20"/>
      <w:szCs w:val="20"/>
    </w:rPr>
  </w:style>
  <w:style w:type="paragraph" w:customStyle="1" w:styleId="60">
    <w:name w:val="列出段落1"/>
    <w:basedOn w:val="1"/>
    <w:qFormat/>
    <w:uiPriority w:val="99"/>
    <w:pPr>
      <w:ind w:firstLine="420"/>
      <w:jc w:val="left"/>
    </w:pPr>
  </w:style>
  <w:style w:type="paragraph" w:customStyle="1" w:styleId="61">
    <w:name w:val="表格"/>
    <w:basedOn w:val="1"/>
    <w:qFormat/>
    <w:uiPriority w:val="99"/>
    <w:pPr>
      <w:autoSpaceDE w:val="0"/>
      <w:autoSpaceDN w:val="0"/>
      <w:jc w:val="center"/>
      <w:textAlignment w:val="baseline"/>
    </w:pPr>
    <w:rPr>
      <w:color w:val="000000"/>
      <w:kern w:val="0"/>
    </w:rPr>
  </w:style>
  <w:style w:type="character" w:customStyle="1" w:styleId="62">
    <w:name w:val="02 Char"/>
    <w:link w:val="63"/>
    <w:qFormat/>
    <w:locked/>
    <w:uiPriority w:val="99"/>
    <w:rPr>
      <w:rFonts w:ascii="宋体" w:cs="宋体"/>
      <w:b/>
      <w:bCs/>
      <w:color w:val="FF0000"/>
      <w:kern w:val="2"/>
      <w:sz w:val="28"/>
      <w:szCs w:val="28"/>
    </w:rPr>
  </w:style>
  <w:style w:type="paragraph" w:customStyle="1" w:styleId="63">
    <w:name w:val="02"/>
    <w:basedOn w:val="5"/>
    <w:link w:val="62"/>
    <w:qFormat/>
    <w:uiPriority w:val="99"/>
    <w:pPr>
      <w:jc w:val="center"/>
    </w:pPr>
    <w:rPr>
      <w:color w:val="FF0000"/>
    </w:rPr>
  </w:style>
  <w:style w:type="character" w:customStyle="1" w:styleId="64">
    <w:name w:val="03 Char"/>
    <w:link w:val="65"/>
    <w:qFormat/>
    <w:locked/>
    <w:uiPriority w:val="99"/>
    <w:rPr>
      <w:rFonts w:ascii="宋体" w:cs="宋体"/>
      <w:b/>
      <w:bCs/>
      <w:kern w:val="2"/>
      <w:sz w:val="28"/>
      <w:szCs w:val="28"/>
    </w:rPr>
  </w:style>
  <w:style w:type="paragraph" w:customStyle="1" w:styleId="65">
    <w:name w:val="03"/>
    <w:basedOn w:val="7"/>
    <w:link w:val="64"/>
    <w:qFormat/>
    <w:uiPriority w:val="99"/>
    <w:pPr>
      <w:numPr>
        <w:ilvl w:val="0"/>
        <w:numId w:val="0"/>
      </w:numPr>
    </w:pPr>
  </w:style>
  <w:style w:type="character" w:customStyle="1" w:styleId="66">
    <w:name w:val="宋体小四 Char"/>
    <w:link w:val="67"/>
    <w:qFormat/>
    <w:locked/>
    <w:uiPriority w:val="99"/>
    <w:rPr>
      <w:rFonts w:ascii="宋体" w:eastAsia="宋体" w:cs="宋体"/>
      <w:kern w:val="2"/>
      <w:sz w:val="24"/>
      <w:szCs w:val="24"/>
    </w:rPr>
  </w:style>
  <w:style w:type="paragraph" w:customStyle="1" w:styleId="67">
    <w:name w:val="宋体小四"/>
    <w:basedOn w:val="1"/>
    <w:link w:val="66"/>
    <w:qFormat/>
    <w:uiPriority w:val="99"/>
    <w:pPr>
      <w:spacing w:line="360" w:lineRule="auto"/>
      <w:ind w:firstLine="480" w:firstLineChars="200"/>
    </w:pPr>
    <w:rPr>
      <w:rFonts w:ascii="宋体" w:hAnsi="宋体" w:cs="宋体"/>
      <w:sz w:val="24"/>
      <w:szCs w:val="24"/>
    </w:rPr>
  </w:style>
  <w:style w:type="character" w:customStyle="1" w:styleId="68">
    <w:name w:val="fontstyle01"/>
    <w:basedOn w:val="28"/>
    <w:qFormat/>
    <w:uiPriority w:val="99"/>
    <w:rPr>
      <w:rFonts w:ascii="宋体" w:eastAsia="宋体" w:cs="宋体"/>
      <w:color w:val="000000"/>
      <w:sz w:val="22"/>
      <w:szCs w:val="22"/>
    </w:rPr>
  </w:style>
  <w:style w:type="paragraph" w:customStyle="1" w:styleId="69">
    <w:name w:val="正文首行缩进2字符"/>
    <w:basedOn w:val="1"/>
    <w:qFormat/>
    <w:uiPriority w:val="99"/>
    <w:pPr>
      <w:spacing w:line="360" w:lineRule="auto"/>
      <w:ind w:firstLine="200" w:firstLineChars="200"/>
    </w:pPr>
  </w:style>
  <w:style w:type="paragraph" w:customStyle="1" w:styleId="70">
    <w:name w:val="居中表格内容标题"/>
    <w:basedOn w:val="71"/>
    <w:qFormat/>
    <w:uiPriority w:val="0"/>
    <w:pPr>
      <w:jc w:val="center"/>
    </w:pPr>
    <w:rPr>
      <w:b/>
    </w:rPr>
  </w:style>
  <w:style w:type="paragraph" w:customStyle="1" w:styleId="71">
    <w:name w:val="居中表格内容"/>
    <w:basedOn w:val="1"/>
    <w:next w:val="1"/>
    <w:qFormat/>
    <w:uiPriority w:val="0"/>
    <w:pPr>
      <w:jc w:val="left"/>
    </w:pPr>
    <w:rPr>
      <w:szCs w:val="28"/>
    </w:rPr>
  </w:style>
  <w:style w:type="paragraph" w:customStyle="1" w:styleId="72">
    <w:name w:val="Body text|1"/>
    <w:basedOn w:val="1"/>
    <w:qFormat/>
    <w:uiPriority w:val="0"/>
    <w:pPr>
      <w:spacing w:line="374" w:lineRule="auto"/>
      <w:ind w:firstLine="400"/>
    </w:pPr>
    <w:rPr>
      <w:rFonts w:ascii="宋体" w:hAnsi="宋体" w:cs="宋体"/>
      <w:sz w:val="30"/>
      <w:szCs w:val="30"/>
      <w:lang w:val="zh-TW" w:eastAsia="zh-TW" w:bidi="zh-TW"/>
    </w:rPr>
  </w:style>
  <w:style w:type="paragraph" w:customStyle="1" w:styleId="73">
    <w:name w:val="Body text|2"/>
    <w:basedOn w:val="1"/>
    <w:qFormat/>
    <w:uiPriority w:val="0"/>
    <w:pPr>
      <w:spacing w:line="360" w:lineRule="auto"/>
      <w:ind w:firstLine="660"/>
    </w:pPr>
    <w:rPr>
      <w:sz w:val="32"/>
      <w:szCs w:val="32"/>
      <w:lang w:val="zh-TW" w:eastAsia="zh-TW" w:bidi="zh-TW"/>
    </w:rPr>
  </w:style>
  <w:style w:type="character" w:customStyle="1" w:styleId="74">
    <w:name w:val="NormalCharacter"/>
    <w:semiHidden/>
    <w:qFormat/>
    <w:uiPriority w:val="0"/>
  </w:style>
  <w:style w:type="paragraph" w:customStyle="1" w:styleId="75">
    <w:name w:val="CM26"/>
    <w:basedOn w:val="1"/>
    <w:next w:val="1"/>
    <w:qFormat/>
    <w:uiPriority w:val="0"/>
    <w:pPr>
      <w:autoSpaceDE w:val="0"/>
      <w:autoSpaceDN w:val="0"/>
      <w:adjustRightInd w:val="0"/>
      <w:spacing w:line="400" w:lineRule="atLeast"/>
      <w:jc w:val="left"/>
    </w:pPr>
    <w:rPr>
      <w:rFonts w:ascii="宋体" w:hAnsi="宋体"/>
      <w:kern w:val="0"/>
      <w:sz w:val="24"/>
    </w:rPr>
  </w:style>
  <w:style w:type="paragraph" w:customStyle="1" w:styleId="76">
    <w:name w:val="xc正文"/>
    <w:basedOn w:val="1"/>
    <w:qFormat/>
    <w:uiPriority w:val="0"/>
    <w:pPr>
      <w:ind w:firstLine="200" w:firstLineChars="200"/>
    </w:pPr>
    <w:rPr>
      <w:szCs w:val="24"/>
    </w:rPr>
  </w:style>
  <w:style w:type="paragraph" w:styleId="77">
    <w:name w:val="List Paragraph"/>
    <w:basedOn w:val="1"/>
    <w:qFormat/>
    <w:uiPriority w:val="1"/>
    <w:pPr>
      <w:ind w:firstLine="420" w:firstLineChars="200"/>
    </w:pPr>
    <w:rPr>
      <w:szCs w:val="24"/>
    </w:rPr>
  </w:style>
  <w:style w:type="character" w:customStyle="1" w:styleId="78">
    <w:name w:val="fontstyle21"/>
    <w:qFormat/>
    <w:uiPriority w:val="0"/>
    <w:rPr>
      <w:rFonts w:hint="default" w:ascii="TimesNewRomanPSMT" w:hAnsi="TimesNewRomanPSMT"/>
      <w:color w:val="000000"/>
      <w:sz w:val="32"/>
      <w:szCs w:val="32"/>
    </w:rPr>
  </w:style>
  <w:style w:type="paragraph" w:customStyle="1" w:styleId="79">
    <w:name w:val="_Style 16"/>
    <w:next w:val="1"/>
    <w:qFormat/>
    <w:uiPriority w:val="39"/>
    <w:pPr>
      <w:widowControl w:val="0"/>
      <w:tabs>
        <w:tab w:val="left" w:pos="540"/>
        <w:tab w:val="right" w:leader="dot" w:pos="8890"/>
      </w:tabs>
      <w:spacing w:beforeLines="15" w:afterLines="15" w:line="560" w:lineRule="exact"/>
    </w:pPr>
    <w:rPr>
      <w:rFonts w:ascii="Times New Roman" w:hAnsi="Times New Roman" w:eastAsia="黑体" w:cs="Times New Roman"/>
      <w:b/>
      <w:bCs/>
      <w:caps/>
      <w:kern w:val="2"/>
      <w:sz w:val="28"/>
      <w:szCs w:val="28"/>
      <w:lang w:val="en-US" w:eastAsia="zh-CN" w:bidi="ar-SA"/>
    </w:rPr>
  </w:style>
  <w:style w:type="paragraph" w:customStyle="1" w:styleId="80">
    <w:name w:val="_Style 76"/>
    <w:basedOn w:val="1"/>
    <w:next w:val="77"/>
    <w:qFormat/>
    <w:uiPriority w:val="34"/>
    <w:pPr>
      <w:ind w:firstLine="420" w:firstLineChars="200"/>
    </w:pPr>
    <w:rPr>
      <w:szCs w:val="24"/>
    </w:rPr>
  </w:style>
  <w:style w:type="paragraph" w:customStyle="1" w:styleId="81">
    <w:name w:val="纯文本1"/>
    <w:basedOn w:val="1"/>
    <w:qFormat/>
    <w:uiPriority w:val="0"/>
    <w:pPr>
      <w:ind w:firstLine="280" w:firstLineChars="100"/>
    </w:pPr>
    <w:rPr>
      <w:rFonts w:hAnsi="宋体" w:cs="Courier New"/>
    </w:rPr>
  </w:style>
  <w:style w:type="paragraph" w:customStyle="1" w:styleId="82">
    <w:name w:val="居中表名"/>
    <w:basedOn w:val="1"/>
    <w:next w:val="1"/>
    <w:qFormat/>
    <w:uiPriority w:val="0"/>
    <w:pPr>
      <w:jc w:val="center"/>
    </w:pPr>
    <w:rPr>
      <w:rFonts w:eastAsia="黑体"/>
      <w:b/>
      <w:szCs w:val="28"/>
    </w:rPr>
  </w:style>
  <w:style w:type="paragraph" w:customStyle="1" w:styleId="83">
    <w:name w:val="列表段落1"/>
    <w:basedOn w:val="1"/>
    <w:qFormat/>
    <w:uiPriority w:val="0"/>
    <w:pPr>
      <w:ind w:firstLine="420"/>
    </w:pPr>
  </w:style>
  <w:style w:type="paragraph" w:customStyle="1" w:styleId="84">
    <w:name w:val="[Normal]"/>
    <w:qFormat/>
    <w:uiPriority w:val="0"/>
    <w:rPr>
      <w:rFonts w:ascii="宋体" w:hAnsi="宋体" w:eastAsia="宋体" w:cs="Times New Roman"/>
      <w:sz w:val="24"/>
      <w:szCs w:val="22"/>
      <w:lang w:val="zh-CN" w:eastAsia="zh-CN" w:bidi="ar-SA"/>
    </w:rPr>
  </w:style>
  <w:style w:type="paragraph" w:customStyle="1" w:styleId="85">
    <w:name w:val="列出段落2"/>
    <w:basedOn w:val="1"/>
    <w:qFormat/>
    <w:uiPriority w:val="1"/>
    <w:pPr>
      <w:ind w:firstLine="420" w:firstLineChars="200"/>
    </w:pPr>
    <w:rPr>
      <w:szCs w:val="24"/>
    </w:rPr>
  </w:style>
  <w:style w:type="character" w:customStyle="1" w:styleId="86">
    <w:name w:val="font21"/>
    <w:qFormat/>
    <w:uiPriority w:val="0"/>
    <w:rPr>
      <w:rFonts w:hint="eastAsia" w:ascii="宋体" w:hAnsi="宋体" w:eastAsia="宋体" w:cs="宋体"/>
      <w:b/>
      <w:color w:val="FF0000"/>
      <w:sz w:val="24"/>
      <w:szCs w:val="24"/>
      <w:u w:val="none"/>
    </w:rPr>
  </w:style>
  <w:style w:type="paragraph" w:customStyle="1" w:styleId="87">
    <w:name w:val="样式6"/>
    <w:basedOn w:val="15"/>
    <w:qFormat/>
    <w:uiPriority w:val="0"/>
    <w:pPr>
      <w:adjustRightInd w:val="0"/>
      <w:spacing w:line="460" w:lineRule="exact"/>
      <w:outlineLvl w:val="2"/>
    </w:pPr>
    <w:rPr>
      <w:rFonts w:ascii="仿宋_GB2312" w:hAnsi="宋体" w:eastAsia="仿宋_GB2312" w:cs="Times New Roman"/>
      <w:b/>
      <w:bCs/>
      <w:sz w:val="24"/>
      <w:szCs w:val="24"/>
    </w:rPr>
  </w:style>
  <w:style w:type="paragraph" w:customStyle="1" w:styleId="88">
    <w:name w:val="Plain Text"/>
    <w:basedOn w:val="1"/>
    <w:qFormat/>
    <w:uiPriority w:val="0"/>
    <w:rPr>
      <w:rFonts w:hint="eastAsia" w:ascii="宋体" w:hAnsi="Courier New"/>
      <w:szCs w:val="20"/>
    </w:rPr>
  </w:style>
  <w:style w:type="paragraph" w:customStyle="1" w:styleId="89">
    <w:name w:val="p0"/>
    <w:basedOn w:val="1"/>
    <w:qFormat/>
    <w:uiPriority w:val="99"/>
    <w:pPr>
      <w:widowControl/>
    </w:pPr>
    <w:rPr>
      <w:kern w:val="0"/>
      <w:szCs w:val="21"/>
    </w:rPr>
  </w:style>
  <w:style w:type="character" w:customStyle="1" w:styleId="90">
    <w:name w:val="font11"/>
    <w:basedOn w:val="28"/>
    <w:qFormat/>
    <w:uiPriority w:val="0"/>
    <w:rPr>
      <w:rFonts w:hint="eastAsia" w:ascii="宋体" w:hAnsi="宋体" w:eastAsia="宋体" w:cs="宋体"/>
      <w:color w:val="000000"/>
      <w:sz w:val="21"/>
      <w:szCs w:val="21"/>
      <w:u w:val="none"/>
    </w:rPr>
  </w:style>
  <w:style w:type="character" w:customStyle="1" w:styleId="91">
    <w:name w:val="font01"/>
    <w:basedOn w:val="28"/>
    <w:qFormat/>
    <w:uiPriority w:val="0"/>
    <w:rPr>
      <w:rFonts w:hint="eastAsia" w:ascii="宋体" w:hAnsi="宋体" w:eastAsia="宋体" w:cs="宋体"/>
      <w:color w:val="000000"/>
      <w:sz w:val="22"/>
      <w:szCs w:val="22"/>
      <w:u w:val="none"/>
    </w:rPr>
  </w:style>
  <w:style w:type="paragraph" w:customStyle="1" w:styleId="92">
    <w:name w:val="Body Text First Indent 21"/>
    <w:basedOn w:val="93"/>
    <w:qFormat/>
    <w:uiPriority w:val="0"/>
    <w:pPr>
      <w:widowControl/>
      <w:ind w:firstLine="420" w:firstLineChars="192"/>
      <w:jc w:val="left"/>
    </w:pPr>
    <w:rPr>
      <w:rFonts w:ascii="仿宋_GB2312" w:hAnsi="Arial"/>
      <w:kern w:val="0"/>
    </w:rPr>
  </w:style>
  <w:style w:type="paragraph" w:customStyle="1" w:styleId="93">
    <w:name w:val="Body Text Indent1"/>
    <w:basedOn w:val="1"/>
    <w:qFormat/>
    <w:uiPriority w:val="0"/>
    <w:pPr>
      <w:spacing w:line="200" w:lineRule="exact"/>
      <w:ind w:firstLine="301"/>
    </w:pPr>
    <w:rPr>
      <w:rFonts w:ascii="宋体" w:hAnsi="Courier New"/>
      <w:spacing w:val="-4"/>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P R C</Company>
  <Pages>57</Pages>
  <Words>22592</Words>
  <Characters>23974</Characters>
  <Lines>267</Lines>
  <Paragraphs>75</Paragraphs>
  <TotalTime>0</TotalTime>
  <ScaleCrop>false</ScaleCrop>
  <LinksUpToDate>false</LinksUpToDate>
  <CharactersWithSpaces>24411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2021-12-08T11:03:00Z</dcterms:created>
  <dc:creator>陈圣楠</dc:creator>
  <cp:lastModifiedBy>Administrator</cp:lastModifiedBy>
  <cp:lastPrinted>2025-06-16T00:38:00Z</cp:lastPrinted>
  <dcterms:modified xsi:type="dcterms:W3CDTF">2025-06-23T08:10:00Z</dcterms:modified>
  <dc:title>上虞区自然资源变更监测项目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5E130F84FA2C4421B60473F3DC0B1210_13</vt:lpwstr>
  </property>
  <property fmtid="{D5CDD505-2E9C-101B-9397-08002B2CF9AE}" pid="4" name="commondata">
    <vt:lpwstr>eyJoZGlkIjoiNjY1YWU2ZTk2MGU1NDNlZGY5MzE0NzM2ODJlNDA4NTkifQ==</vt:lpwstr>
  </property>
  <property fmtid="{D5CDD505-2E9C-101B-9397-08002B2CF9AE}" pid="5" name="KSOTemplateDocerSaveRecord">
    <vt:lpwstr>eyJoZGlkIjoiMTNiYTI5YjZjNjgzMTI3NDM0MWE1NGI2MDdmY2UyY2MiLCJ1c2VySWQiOiIxNjQyNTE5MTEwIn0=</vt:lpwstr>
  </property>
</Properties>
</file>