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ind w:firstLine="0"/>
        <w:rPr>
          <w:rFonts w:hint="eastAsia"/>
          <w:b/>
          <w:color w:val="auto"/>
          <w:sz w:val="48"/>
          <w:szCs w:val="48"/>
          <w:highlight w:val="none"/>
          <w:lang w:eastAsia="zh-CN"/>
        </w:rPr>
      </w:pPr>
    </w:p>
    <w:p>
      <w:pPr>
        <w:pStyle w:val="49"/>
        <w:ind w:firstLine="880" w:firstLineChars="200"/>
        <w:rPr>
          <w:rFonts w:hint="eastAsia"/>
          <w:b w:val="0"/>
          <w:bCs/>
          <w:color w:val="auto"/>
          <w:sz w:val="44"/>
          <w:szCs w:val="44"/>
          <w:highlight w:val="none"/>
          <w:lang w:val="en-US" w:eastAsia="zh-CN"/>
        </w:rPr>
      </w:pPr>
      <w:r>
        <w:rPr>
          <w:rFonts w:hint="eastAsia"/>
          <w:b w:val="0"/>
          <w:bCs/>
          <w:color w:val="auto"/>
          <w:sz w:val="44"/>
          <w:szCs w:val="44"/>
          <w:highlight w:val="none"/>
          <w:lang w:eastAsia="zh-CN"/>
        </w:rPr>
        <w:t>绍兴市上虞区东关街道办</w:t>
      </w:r>
      <w:r>
        <w:rPr>
          <w:rFonts w:hint="eastAsia"/>
          <w:b w:val="0"/>
          <w:bCs/>
          <w:color w:val="auto"/>
          <w:sz w:val="44"/>
          <w:szCs w:val="44"/>
          <w:highlight w:val="none"/>
          <w:lang w:val="en-US" w:eastAsia="zh-CN"/>
        </w:rPr>
        <w:t>事处</w:t>
      </w:r>
    </w:p>
    <w:p>
      <w:pPr>
        <w:pStyle w:val="49"/>
        <w:ind w:firstLine="0"/>
        <w:rPr>
          <w:rFonts w:hint="default"/>
          <w:b w:val="0"/>
          <w:bCs/>
          <w:color w:val="auto"/>
          <w:sz w:val="48"/>
          <w:szCs w:val="48"/>
          <w:highlight w:val="none"/>
        </w:rPr>
      </w:pPr>
      <w:r>
        <w:rPr>
          <w:rFonts w:hint="eastAsia"/>
          <w:b w:val="0"/>
          <w:bCs/>
          <w:color w:val="auto"/>
          <w:sz w:val="44"/>
          <w:szCs w:val="44"/>
          <w:highlight w:val="none"/>
          <w:lang w:eastAsia="zh-CN"/>
        </w:rPr>
        <w:t>2025-2027年物业管理服务项目（二年）</w:t>
      </w:r>
    </w:p>
    <w:p>
      <w:pPr>
        <w:pStyle w:val="51"/>
        <w:rPr>
          <w:rFonts w:hAnsi="宋体"/>
          <w:color w:val="auto"/>
          <w:sz w:val="44"/>
          <w:szCs w:val="44"/>
          <w:highlight w:val="none"/>
        </w:rPr>
      </w:pPr>
    </w:p>
    <w:p>
      <w:pPr>
        <w:pStyle w:val="48"/>
        <w:rPr>
          <w:rFonts w:ascii="宋体" w:hAnsi="宋体"/>
          <w:b/>
          <w:color w:val="auto"/>
          <w:sz w:val="44"/>
          <w:szCs w:val="44"/>
          <w:highlight w:val="none"/>
        </w:rPr>
      </w:pPr>
    </w:p>
    <w:p>
      <w:pPr>
        <w:pStyle w:val="48"/>
        <w:rPr>
          <w:rFonts w:ascii="宋体" w:hAnsi="宋体"/>
          <w:b/>
          <w:color w:val="auto"/>
          <w:sz w:val="44"/>
          <w:szCs w:val="44"/>
          <w:highlight w:val="none"/>
        </w:rPr>
      </w:pPr>
    </w:p>
    <w:p>
      <w:pPr>
        <w:pStyle w:val="48"/>
        <w:rPr>
          <w:rFonts w:ascii="宋体" w:hAnsi="宋体"/>
          <w:b/>
          <w:color w:val="auto"/>
          <w:sz w:val="44"/>
          <w:szCs w:val="44"/>
          <w:highlight w:val="none"/>
        </w:rPr>
      </w:pPr>
    </w:p>
    <w:p>
      <w:pPr>
        <w:pStyle w:val="48"/>
        <w:rPr>
          <w:rFonts w:ascii="宋体" w:hAnsi="宋体"/>
          <w:b/>
          <w:color w:val="auto"/>
          <w:sz w:val="44"/>
          <w:szCs w:val="44"/>
          <w:highlight w:val="none"/>
        </w:rPr>
      </w:pPr>
    </w:p>
    <w:p>
      <w:pPr>
        <w:pStyle w:val="48"/>
        <w:rPr>
          <w:rFonts w:ascii="宋体" w:hAnsi="宋体"/>
          <w:color w:val="auto"/>
          <w:highlight w:val="none"/>
        </w:rPr>
      </w:pP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竞争性磋商文件</w:t>
      </w:r>
    </w:p>
    <w:p>
      <w:pPr>
        <w:pStyle w:val="7"/>
        <w:rPr>
          <w:color w:val="auto"/>
          <w:highlight w:val="none"/>
        </w:rPr>
      </w:pPr>
    </w:p>
    <w:p>
      <w:pPr>
        <w:spacing w:line="360" w:lineRule="auto"/>
        <w:jc w:val="center"/>
        <w:rPr>
          <w:rFonts w:ascii="宋体" w:hAnsi="宋体"/>
          <w:b/>
          <w:color w:val="auto"/>
          <w:sz w:val="24"/>
          <w:highlight w:val="none"/>
        </w:rPr>
      </w:pPr>
    </w:p>
    <w:p>
      <w:pPr>
        <w:snapToGrid w:val="0"/>
        <w:spacing w:line="360" w:lineRule="auto"/>
        <w:jc w:val="center"/>
        <w:rPr>
          <w:rFonts w:ascii="宋体" w:hAnsi="宋体"/>
          <w:color w:val="auto"/>
          <w:sz w:val="30"/>
          <w:szCs w:val="30"/>
          <w:highlight w:val="none"/>
        </w:rPr>
      </w:pPr>
      <w:r>
        <w:rPr>
          <w:rFonts w:hint="eastAsia" w:ascii="宋体" w:hAnsi="宋体"/>
          <w:color w:val="auto"/>
          <w:sz w:val="30"/>
          <w:szCs w:val="30"/>
          <w:highlight w:val="none"/>
        </w:rPr>
        <w:t>项目编号：</w:t>
      </w:r>
      <w:bookmarkStart w:id="0" w:name="OLE_LINK1"/>
      <w:bookmarkStart w:id="1" w:name="OLE_LINK2"/>
      <w:r>
        <w:rPr>
          <w:rFonts w:hint="eastAsia" w:ascii="宋体" w:hAnsi="宋体"/>
          <w:color w:val="auto"/>
          <w:sz w:val="30"/>
          <w:highlight w:val="none"/>
        </w:rPr>
        <w:t>JZCS2025027</w:t>
      </w:r>
      <w:bookmarkEnd w:id="0"/>
      <w:bookmarkEnd w:id="1"/>
    </w:p>
    <w:p>
      <w:pPr>
        <w:snapToGrid w:val="0"/>
        <w:spacing w:line="360" w:lineRule="auto"/>
        <w:jc w:val="left"/>
        <w:rPr>
          <w:rFonts w:ascii="宋体" w:hAnsi="宋体"/>
          <w:color w:val="auto"/>
          <w:sz w:val="30"/>
          <w:szCs w:val="30"/>
          <w:highlight w:val="none"/>
        </w:rPr>
      </w:pPr>
    </w:p>
    <w:p>
      <w:pPr>
        <w:spacing w:line="360" w:lineRule="auto"/>
        <w:rPr>
          <w:rFonts w:ascii="宋体" w:hAnsi="宋体"/>
          <w:color w:val="auto"/>
          <w:sz w:val="28"/>
          <w:szCs w:val="20"/>
          <w:highlight w:val="none"/>
        </w:rPr>
      </w:pPr>
    </w:p>
    <w:p>
      <w:pPr>
        <w:pStyle w:val="52"/>
        <w:rPr>
          <w:rFonts w:ascii="宋体" w:hAnsi="宋体"/>
          <w:color w:val="auto"/>
          <w:highlight w:val="none"/>
        </w:rPr>
      </w:pPr>
    </w:p>
    <w:p>
      <w:pPr>
        <w:spacing w:line="360" w:lineRule="auto"/>
        <w:rPr>
          <w:rFonts w:ascii="宋体" w:hAnsi="宋体"/>
          <w:color w:val="auto"/>
          <w:sz w:val="24"/>
          <w:highlight w:val="none"/>
        </w:rPr>
      </w:pPr>
    </w:p>
    <w:p>
      <w:pPr>
        <w:pStyle w:val="53"/>
        <w:tabs>
          <w:tab w:val="clear" w:pos="1275"/>
        </w:tabs>
        <w:ind w:left="0" w:leftChars="0" w:firstLine="0" w:firstLineChars="0"/>
        <w:rPr>
          <w:rFonts w:ascii="宋体" w:hAnsi="宋体"/>
          <w:color w:val="auto"/>
          <w:highlight w:val="none"/>
        </w:rPr>
      </w:pPr>
    </w:p>
    <w:p>
      <w:pPr>
        <w:pStyle w:val="54"/>
        <w:ind w:firstLine="0" w:firstLineChars="0"/>
        <w:rPr>
          <w:rFonts w:ascii="宋体" w:hAnsi="宋体"/>
          <w:color w:val="auto"/>
          <w:highlight w:val="none"/>
        </w:rPr>
      </w:pPr>
    </w:p>
    <w:p>
      <w:pPr>
        <w:spacing w:line="360" w:lineRule="auto"/>
        <w:rPr>
          <w:rFonts w:ascii="宋体" w:hAnsi="宋体"/>
          <w:color w:val="auto"/>
          <w:sz w:val="24"/>
          <w:highlight w:val="none"/>
        </w:rPr>
      </w:pPr>
    </w:p>
    <w:p>
      <w:pPr>
        <w:snapToGrid w:val="0"/>
        <w:spacing w:line="360" w:lineRule="auto"/>
        <w:jc w:val="center"/>
        <w:rPr>
          <w:rFonts w:ascii="宋体" w:hAnsi="宋体"/>
          <w:color w:val="auto"/>
          <w:sz w:val="30"/>
          <w:highlight w:val="none"/>
        </w:rPr>
      </w:pPr>
      <w:r>
        <w:rPr>
          <w:rFonts w:hint="eastAsia" w:ascii="宋体" w:hAnsi="宋体"/>
          <w:color w:val="auto"/>
          <w:sz w:val="30"/>
          <w:highlight w:val="none"/>
        </w:rPr>
        <w:t>绍兴市上虞区东关街道办事处</w:t>
      </w:r>
    </w:p>
    <w:p>
      <w:pPr>
        <w:snapToGrid w:val="0"/>
        <w:spacing w:line="360" w:lineRule="auto"/>
        <w:jc w:val="center"/>
        <w:rPr>
          <w:rFonts w:hint="eastAsia" w:ascii="宋体" w:hAnsi="宋体"/>
          <w:color w:val="auto"/>
          <w:sz w:val="30"/>
          <w:highlight w:val="none"/>
          <w:lang w:eastAsia="zh-CN"/>
        </w:rPr>
      </w:pPr>
      <w:r>
        <w:rPr>
          <w:rFonts w:hint="eastAsia" w:ascii="宋体" w:hAnsi="宋体"/>
          <w:color w:val="auto"/>
          <w:sz w:val="30"/>
          <w:highlight w:val="none"/>
          <w:lang w:eastAsia="zh-CN"/>
        </w:rPr>
        <w:t>绍兴市上虞区公共资源交易中心</w:t>
      </w:r>
    </w:p>
    <w:p>
      <w:pPr>
        <w:snapToGrid w:val="0"/>
        <w:spacing w:line="360" w:lineRule="auto"/>
        <w:jc w:val="center"/>
        <w:rPr>
          <w:rFonts w:ascii="宋体" w:hAnsi="宋体"/>
          <w:color w:val="auto"/>
          <w:sz w:val="30"/>
          <w:highlight w:val="none"/>
        </w:rPr>
        <w:sectPr>
          <w:pgSz w:w="11906" w:h="16838"/>
          <w:pgMar w:top="1440" w:right="1803" w:bottom="1440" w:left="1803" w:header="851" w:footer="992" w:gutter="0"/>
          <w:cols w:space="720" w:num="1"/>
          <w:docGrid w:type="lines" w:linePitch="325" w:charSpace="0"/>
        </w:sectPr>
      </w:pPr>
      <w:r>
        <w:rPr>
          <w:rFonts w:hint="eastAsia" w:ascii="宋体" w:hAnsi="宋体"/>
          <w:color w:val="auto"/>
          <w:sz w:val="30"/>
          <w:highlight w:val="none"/>
        </w:rPr>
        <w:t>二〇二五年</w:t>
      </w:r>
      <w:r>
        <w:rPr>
          <w:rFonts w:hint="eastAsia" w:ascii="宋体" w:hAnsi="宋体"/>
          <w:color w:val="auto"/>
          <w:sz w:val="30"/>
          <w:highlight w:val="none"/>
          <w:lang w:val="en-US" w:eastAsia="zh-CN"/>
        </w:rPr>
        <w:t>六</w:t>
      </w:r>
      <w:r>
        <w:rPr>
          <w:rFonts w:hint="eastAsia" w:ascii="宋体" w:hAnsi="宋体"/>
          <w:color w:val="auto"/>
          <w:sz w:val="30"/>
          <w:highlight w:val="none"/>
        </w:rPr>
        <w:t>月</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目录</w:t>
      </w:r>
    </w:p>
    <w:p>
      <w:pPr>
        <w:pStyle w:val="55"/>
        <w:tabs>
          <w:tab w:val="clear" w:pos="4153"/>
          <w:tab w:val="clear" w:pos="8306"/>
        </w:tabs>
        <w:rPr>
          <w:rFonts w:ascii="宋体" w:hAnsi="宋体"/>
          <w:color w:val="auto"/>
          <w:highlight w:val="none"/>
        </w:rPr>
      </w:pPr>
    </w:p>
    <w:p>
      <w:pPr>
        <w:pStyle w:val="56"/>
        <w:tabs>
          <w:tab w:val="right" w:leader="dot" w:pos="8300"/>
        </w:tabs>
        <w:spacing w:line="360" w:lineRule="auto"/>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TOC \o "1-3" \h \u </w:instrText>
      </w:r>
      <w:r>
        <w:rPr>
          <w:rFonts w:hint="eastAsia"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"_Toc5182" </w:instrText>
      </w:r>
      <w:r>
        <w:rPr>
          <w:color w:val="auto"/>
          <w:highlight w:val="none"/>
        </w:rPr>
        <w:fldChar w:fldCharType="separate"/>
      </w:r>
      <w:r>
        <w:rPr>
          <w:rFonts w:hint="eastAsia" w:ascii="宋体" w:hAnsi="宋体"/>
          <w:b/>
          <w:bCs/>
          <w:color w:val="auto"/>
          <w:sz w:val="24"/>
          <w:highlight w:val="none"/>
        </w:rPr>
        <w:t>第一部分 磋商公告</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_Toc5182 \h </w:instrText>
      </w:r>
      <w:r>
        <w:rPr>
          <w:b/>
          <w:bCs/>
          <w:color w:val="auto"/>
          <w:sz w:val="24"/>
          <w:highlight w:val="none"/>
        </w:rPr>
        <w:fldChar w:fldCharType="separate"/>
      </w:r>
      <w:r>
        <w:rPr>
          <w:b/>
          <w:bCs/>
          <w:color w:val="auto"/>
          <w:sz w:val="24"/>
          <w:highlight w:val="none"/>
        </w:rPr>
        <w:t>1</w:t>
      </w:r>
      <w:r>
        <w:rPr>
          <w:b/>
          <w:bCs/>
          <w:color w:val="auto"/>
          <w:sz w:val="24"/>
          <w:highlight w:val="none"/>
        </w:rPr>
        <w:fldChar w:fldCharType="end"/>
      </w:r>
      <w:r>
        <w:rPr>
          <w:b/>
          <w:bCs/>
          <w:color w:val="auto"/>
          <w:sz w:val="24"/>
          <w:highlight w:val="none"/>
        </w:rPr>
        <w:fldChar w:fldCharType="end"/>
      </w:r>
    </w:p>
    <w:p>
      <w:pPr>
        <w:pStyle w:val="56"/>
        <w:tabs>
          <w:tab w:val="right" w:leader="dot" w:pos="8300"/>
        </w:tabs>
        <w:spacing w:line="360" w:lineRule="auto"/>
        <w:rPr>
          <w:rFonts w:ascii="宋体" w:hAnsi="宋体"/>
          <w:b/>
          <w:bCs/>
          <w:color w:val="auto"/>
          <w:sz w:val="24"/>
          <w:highlight w:val="none"/>
        </w:rPr>
      </w:pPr>
      <w:r>
        <w:rPr>
          <w:color w:val="auto"/>
          <w:highlight w:val="none"/>
        </w:rPr>
        <w:fldChar w:fldCharType="begin"/>
      </w:r>
      <w:r>
        <w:rPr>
          <w:color w:val="auto"/>
          <w:highlight w:val="none"/>
        </w:rPr>
        <w:instrText xml:space="preserve"> HYPERLINK \l "_Toc5755" </w:instrText>
      </w:r>
      <w:r>
        <w:rPr>
          <w:color w:val="auto"/>
          <w:highlight w:val="none"/>
        </w:rPr>
        <w:fldChar w:fldCharType="separate"/>
      </w:r>
      <w:r>
        <w:rPr>
          <w:rFonts w:hint="eastAsia" w:ascii="宋体" w:hAnsi="宋体"/>
          <w:b/>
          <w:bCs/>
          <w:color w:val="auto"/>
          <w:sz w:val="24"/>
          <w:highlight w:val="none"/>
        </w:rPr>
        <w:t>第二部分 供应商须知</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_Toc5755 \h </w:instrText>
      </w:r>
      <w:r>
        <w:rPr>
          <w:b/>
          <w:bCs/>
          <w:color w:val="auto"/>
          <w:sz w:val="24"/>
          <w:highlight w:val="none"/>
        </w:rPr>
        <w:fldChar w:fldCharType="separate"/>
      </w:r>
      <w:r>
        <w:rPr>
          <w:b/>
          <w:bCs/>
          <w:color w:val="auto"/>
          <w:sz w:val="24"/>
          <w:highlight w:val="none"/>
        </w:rPr>
        <w:t>5</w:t>
      </w:r>
      <w:r>
        <w:rPr>
          <w:b/>
          <w:bCs/>
          <w:color w:val="auto"/>
          <w:sz w:val="24"/>
          <w:highlight w:val="none"/>
        </w:rPr>
        <w:fldChar w:fldCharType="end"/>
      </w:r>
      <w:r>
        <w:rPr>
          <w:b/>
          <w:bCs/>
          <w:color w:val="auto"/>
          <w:sz w:val="24"/>
          <w:highlight w:val="none"/>
        </w:rPr>
        <w:fldChar w:fldCharType="end"/>
      </w:r>
    </w:p>
    <w:p>
      <w:pPr>
        <w:pStyle w:val="56"/>
        <w:tabs>
          <w:tab w:val="right" w:leader="dot" w:pos="8300"/>
        </w:tabs>
        <w:spacing w:line="360" w:lineRule="auto"/>
        <w:rPr>
          <w:rFonts w:ascii="宋体" w:hAnsi="宋体"/>
          <w:b/>
          <w:bCs/>
          <w:color w:val="auto"/>
          <w:sz w:val="24"/>
          <w:highlight w:val="none"/>
        </w:rPr>
      </w:pPr>
      <w:r>
        <w:rPr>
          <w:color w:val="auto"/>
          <w:highlight w:val="none"/>
        </w:rPr>
        <w:fldChar w:fldCharType="begin"/>
      </w:r>
      <w:r>
        <w:rPr>
          <w:color w:val="auto"/>
          <w:highlight w:val="none"/>
        </w:rPr>
        <w:instrText xml:space="preserve"> HYPERLINK \l "_Toc19664" </w:instrText>
      </w:r>
      <w:r>
        <w:rPr>
          <w:color w:val="auto"/>
          <w:highlight w:val="none"/>
        </w:rPr>
        <w:fldChar w:fldCharType="separate"/>
      </w:r>
      <w:r>
        <w:rPr>
          <w:rFonts w:hint="eastAsia" w:ascii="宋体" w:hAnsi="宋体"/>
          <w:b/>
          <w:bCs/>
          <w:color w:val="auto"/>
          <w:sz w:val="24"/>
          <w:highlight w:val="none"/>
        </w:rPr>
        <w:t>第三部分 采购内容及要求</w:t>
      </w:r>
      <w:r>
        <w:rPr>
          <w:b/>
          <w:bCs/>
          <w:color w:val="auto"/>
          <w:sz w:val="24"/>
          <w:highlight w:val="none"/>
        </w:rPr>
        <w:tab/>
      </w:r>
      <w:r>
        <w:rPr>
          <w:rFonts w:hint="eastAsia" w:ascii="宋体" w:hAnsi="宋体"/>
          <w:b/>
          <w:bCs/>
          <w:color w:val="auto"/>
          <w:sz w:val="24"/>
          <w:highlight w:val="none"/>
        </w:rPr>
        <w:t>2</w:t>
      </w:r>
      <w:r>
        <w:rPr>
          <w:rFonts w:hint="eastAsia" w:ascii="宋体" w:hAnsi="宋体"/>
          <w:b/>
          <w:bCs/>
          <w:color w:val="auto"/>
          <w:sz w:val="24"/>
          <w:highlight w:val="none"/>
        </w:rPr>
        <w:fldChar w:fldCharType="end"/>
      </w:r>
      <w:r>
        <w:rPr>
          <w:rFonts w:hint="eastAsia" w:ascii="宋体" w:hAnsi="宋体"/>
          <w:b/>
          <w:bCs/>
          <w:color w:val="auto"/>
          <w:sz w:val="24"/>
          <w:highlight w:val="none"/>
        </w:rPr>
        <w:t>0</w:t>
      </w:r>
    </w:p>
    <w:p>
      <w:pPr>
        <w:pStyle w:val="56"/>
        <w:tabs>
          <w:tab w:val="right" w:leader="dot" w:pos="8300"/>
        </w:tabs>
        <w:spacing w:line="360" w:lineRule="auto"/>
        <w:rPr>
          <w:rFonts w:ascii="宋体" w:hAnsi="宋体"/>
          <w:b/>
          <w:bCs/>
          <w:color w:val="auto"/>
          <w:sz w:val="24"/>
          <w:highlight w:val="none"/>
        </w:rPr>
      </w:pPr>
      <w:r>
        <w:rPr>
          <w:color w:val="auto"/>
          <w:highlight w:val="none"/>
        </w:rPr>
        <w:fldChar w:fldCharType="begin"/>
      </w:r>
      <w:r>
        <w:rPr>
          <w:color w:val="auto"/>
          <w:highlight w:val="none"/>
        </w:rPr>
        <w:instrText xml:space="preserve"> HYPERLINK \l "_Toc25585" </w:instrText>
      </w:r>
      <w:r>
        <w:rPr>
          <w:color w:val="auto"/>
          <w:highlight w:val="none"/>
        </w:rPr>
        <w:fldChar w:fldCharType="separate"/>
      </w:r>
      <w:r>
        <w:rPr>
          <w:rFonts w:hint="eastAsia" w:ascii="宋体" w:hAnsi="宋体"/>
          <w:b/>
          <w:bCs/>
          <w:color w:val="auto"/>
          <w:sz w:val="24"/>
          <w:highlight w:val="none"/>
        </w:rPr>
        <w:t>第四部分 磋商原则及磋商方法</w:t>
      </w:r>
      <w:r>
        <w:rPr>
          <w:b/>
          <w:bCs/>
          <w:color w:val="auto"/>
          <w:sz w:val="24"/>
          <w:highlight w:val="none"/>
        </w:rPr>
        <w:tab/>
      </w:r>
      <w:r>
        <w:rPr>
          <w:rFonts w:hint="eastAsia" w:ascii="宋体" w:hAnsi="宋体"/>
          <w:b/>
          <w:bCs/>
          <w:color w:val="auto"/>
          <w:sz w:val="24"/>
          <w:highlight w:val="none"/>
        </w:rPr>
        <w:t>3</w:t>
      </w:r>
      <w:r>
        <w:rPr>
          <w:rFonts w:hint="eastAsia" w:ascii="宋体" w:hAnsi="宋体"/>
          <w:b/>
          <w:bCs/>
          <w:color w:val="auto"/>
          <w:sz w:val="24"/>
          <w:highlight w:val="none"/>
        </w:rPr>
        <w:fldChar w:fldCharType="end"/>
      </w:r>
      <w:r>
        <w:rPr>
          <w:rFonts w:hint="eastAsia" w:ascii="宋体" w:hAnsi="宋体"/>
          <w:b/>
          <w:bCs/>
          <w:color w:val="auto"/>
          <w:sz w:val="24"/>
          <w:highlight w:val="none"/>
        </w:rPr>
        <w:t>2</w:t>
      </w:r>
    </w:p>
    <w:p>
      <w:pPr>
        <w:pStyle w:val="57"/>
        <w:tabs>
          <w:tab w:val="right" w:leader="dot" w:pos="8300"/>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"_Toc6416" </w:instrText>
      </w:r>
      <w:r>
        <w:rPr>
          <w:color w:val="auto"/>
          <w:highlight w:val="none"/>
        </w:rPr>
        <w:fldChar w:fldCharType="separate"/>
      </w:r>
      <w:r>
        <w:rPr>
          <w:rFonts w:hint="eastAsia" w:ascii="宋体" w:hAnsi="宋体"/>
          <w:color w:val="auto"/>
          <w:sz w:val="24"/>
          <w:highlight w:val="none"/>
        </w:rPr>
        <w:t>一、 磋商原则</w:t>
      </w:r>
      <w:r>
        <w:rPr>
          <w:color w:val="auto"/>
          <w:sz w:val="24"/>
          <w:highlight w:val="none"/>
        </w:rPr>
        <w:tab/>
      </w:r>
      <w:r>
        <w:rPr>
          <w:color w:val="auto"/>
          <w:sz w:val="24"/>
          <w:highlight w:val="none"/>
        </w:rPr>
        <w:fldChar w:fldCharType="begin"/>
      </w:r>
      <w:r>
        <w:rPr>
          <w:color w:val="auto"/>
          <w:sz w:val="24"/>
          <w:highlight w:val="none"/>
        </w:rPr>
        <w:instrText xml:space="preserve"> PAGEREF _Toc6416 \h </w:instrText>
      </w:r>
      <w:r>
        <w:rPr>
          <w:color w:val="auto"/>
          <w:sz w:val="24"/>
          <w:highlight w:val="none"/>
        </w:rPr>
        <w:fldChar w:fldCharType="separate"/>
      </w:r>
      <w:r>
        <w:rPr>
          <w:color w:val="auto"/>
          <w:sz w:val="24"/>
          <w:highlight w:val="none"/>
        </w:rPr>
        <w:t>31</w:t>
      </w:r>
      <w:r>
        <w:rPr>
          <w:color w:val="auto"/>
          <w:sz w:val="24"/>
          <w:highlight w:val="none"/>
        </w:rPr>
        <w:fldChar w:fldCharType="end"/>
      </w:r>
      <w:r>
        <w:rPr>
          <w:color w:val="auto"/>
          <w:sz w:val="24"/>
          <w:highlight w:val="none"/>
        </w:rPr>
        <w:fldChar w:fldCharType="end"/>
      </w:r>
    </w:p>
    <w:p>
      <w:pPr>
        <w:pStyle w:val="57"/>
        <w:tabs>
          <w:tab w:val="right" w:leader="dot" w:pos="8300"/>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"_Toc24674" </w:instrText>
      </w:r>
      <w:r>
        <w:rPr>
          <w:color w:val="auto"/>
          <w:highlight w:val="none"/>
        </w:rPr>
        <w:fldChar w:fldCharType="separate"/>
      </w:r>
      <w:r>
        <w:rPr>
          <w:rFonts w:hint="eastAsia" w:ascii="宋体" w:hAnsi="宋体"/>
          <w:color w:val="auto"/>
          <w:sz w:val="24"/>
          <w:highlight w:val="none"/>
        </w:rPr>
        <w:t>二、 磋商程序</w:t>
      </w:r>
      <w:r>
        <w:rPr>
          <w:color w:val="auto"/>
          <w:sz w:val="24"/>
          <w:highlight w:val="none"/>
        </w:rPr>
        <w:tab/>
      </w:r>
      <w:r>
        <w:rPr>
          <w:rFonts w:hint="eastAsia"/>
          <w:color w:val="auto"/>
          <w:sz w:val="24"/>
          <w:highlight w:val="none"/>
        </w:rPr>
        <w:t>3</w:t>
      </w:r>
      <w:r>
        <w:rPr>
          <w:rFonts w:hint="eastAsia"/>
          <w:color w:val="auto"/>
          <w:sz w:val="24"/>
          <w:highlight w:val="none"/>
        </w:rPr>
        <w:fldChar w:fldCharType="end"/>
      </w:r>
      <w:r>
        <w:rPr>
          <w:rFonts w:hint="eastAsia" w:ascii="宋体" w:hAnsi="宋体"/>
          <w:color w:val="auto"/>
          <w:sz w:val="24"/>
          <w:highlight w:val="none"/>
        </w:rPr>
        <w:t>3</w:t>
      </w:r>
    </w:p>
    <w:p>
      <w:pPr>
        <w:pStyle w:val="57"/>
        <w:tabs>
          <w:tab w:val="right" w:leader="dot" w:pos="8300"/>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"_Toc5065" </w:instrText>
      </w:r>
      <w:r>
        <w:rPr>
          <w:color w:val="auto"/>
          <w:highlight w:val="none"/>
        </w:rPr>
        <w:fldChar w:fldCharType="separate"/>
      </w:r>
      <w:r>
        <w:rPr>
          <w:rFonts w:hint="eastAsia" w:ascii="宋体" w:hAnsi="宋体"/>
          <w:color w:val="auto"/>
          <w:sz w:val="24"/>
          <w:highlight w:val="none"/>
        </w:rPr>
        <w:t>三、 注意事项</w:t>
      </w:r>
      <w:r>
        <w:rPr>
          <w:color w:val="auto"/>
          <w:sz w:val="24"/>
          <w:highlight w:val="none"/>
        </w:rPr>
        <w:tab/>
      </w:r>
      <w:r>
        <w:rPr>
          <w:rFonts w:hint="eastAsia"/>
          <w:color w:val="auto"/>
          <w:sz w:val="24"/>
          <w:highlight w:val="none"/>
        </w:rPr>
        <w:t>3</w:t>
      </w:r>
      <w:r>
        <w:rPr>
          <w:rFonts w:hint="eastAsia"/>
          <w:color w:val="auto"/>
          <w:sz w:val="24"/>
          <w:highlight w:val="none"/>
        </w:rPr>
        <w:fldChar w:fldCharType="end"/>
      </w:r>
      <w:r>
        <w:rPr>
          <w:rFonts w:hint="eastAsia" w:ascii="宋体" w:hAnsi="宋体"/>
          <w:color w:val="auto"/>
          <w:sz w:val="24"/>
          <w:highlight w:val="none"/>
        </w:rPr>
        <w:t>7</w:t>
      </w:r>
    </w:p>
    <w:p>
      <w:pPr>
        <w:pStyle w:val="57"/>
        <w:tabs>
          <w:tab w:val="right" w:leader="dot" w:pos="8300"/>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"_Toc25899" </w:instrText>
      </w:r>
      <w:r>
        <w:rPr>
          <w:color w:val="auto"/>
          <w:highlight w:val="none"/>
        </w:rPr>
        <w:fldChar w:fldCharType="separate"/>
      </w:r>
      <w:r>
        <w:rPr>
          <w:rFonts w:hint="eastAsia" w:ascii="宋体" w:hAnsi="宋体"/>
          <w:color w:val="auto"/>
          <w:sz w:val="24"/>
          <w:highlight w:val="none"/>
        </w:rPr>
        <w:t>四、 评分细则</w:t>
      </w:r>
      <w:r>
        <w:rPr>
          <w:color w:val="auto"/>
          <w:sz w:val="24"/>
          <w:highlight w:val="none"/>
        </w:rPr>
        <w:tab/>
      </w:r>
      <w:r>
        <w:rPr>
          <w:rFonts w:hint="eastAsia"/>
          <w:color w:val="auto"/>
          <w:sz w:val="24"/>
          <w:highlight w:val="none"/>
        </w:rPr>
        <w:t>3</w:t>
      </w:r>
      <w:r>
        <w:rPr>
          <w:rFonts w:hint="eastAsia"/>
          <w:color w:val="auto"/>
          <w:sz w:val="24"/>
          <w:highlight w:val="none"/>
        </w:rPr>
        <w:fldChar w:fldCharType="end"/>
      </w:r>
      <w:r>
        <w:rPr>
          <w:rFonts w:hint="eastAsia" w:ascii="宋体" w:hAnsi="宋体"/>
          <w:color w:val="auto"/>
          <w:sz w:val="24"/>
          <w:highlight w:val="none"/>
        </w:rPr>
        <w:t>7</w:t>
      </w:r>
    </w:p>
    <w:p>
      <w:pPr>
        <w:pStyle w:val="56"/>
        <w:tabs>
          <w:tab w:val="right" w:leader="dot" w:pos="8300"/>
        </w:tabs>
        <w:spacing w:line="360" w:lineRule="auto"/>
        <w:rPr>
          <w:rFonts w:ascii="宋体" w:hAnsi="宋体"/>
          <w:b/>
          <w:bCs/>
          <w:color w:val="auto"/>
          <w:sz w:val="24"/>
          <w:highlight w:val="none"/>
        </w:rPr>
      </w:pPr>
      <w:r>
        <w:rPr>
          <w:color w:val="auto"/>
          <w:highlight w:val="none"/>
        </w:rPr>
        <w:fldChar w:fldCharType="begin"/>
      </w:r>
      <w:r>
        <w:rPr>
          <w:color w:val="auto"/>
          <w:highlight w:val="none"/>
        </w:rPr>
        <w:instrText xml:space="preserve"> HYPERLINK \l "_Toc5048" </w:instrText>
      </w:r>
      <w:r>
        <w:rPr>
          <w:color w:val="auto"/>
          <w:highlight w:val="none"/>
        </w:rPr>
        <w:fldChar w:fldCharType="separate"/>
      </w:r>
      <w:r>
        <w:rPr>
          <w:rFonts w:hint="eastAsia" w:ascii="宋体" w:hAnsi="宋体"/>
          <w:b/>
          <w:bCs/>
          <w:color w:val="auto"/>
          <w:sz w:val="24"/>
          <w:highlight w:val="none"/>
        </w:rPr>
        <w:t>第五部分 采购合同</w:t>
      </w:r>
      <w:r>
        <w:rPr>
          <w:b/>
          <w:bCs/>
          <w:color w:val="auto"/>
          <w:sz w:val="24"/>
          <w:highlight w:val="none"/>
        </w:rPr>
        <w:tab/>
      </w:r>
      <w:r>
        <w:rPr>
          <w:rFonts w:hint="eastAsia"/>
          <w:b/>
          <w:bCs/>
          <w:color w:val="auto"/>
          <w:sz w:val="24"/>
          <w:highlight w:val="none"/>
        </w:rPr>
        <w:t>4</w:t>
      </w:r>
      <w:r>
        <w:rPr>
          <w:rFonts w:hint="eastAsia"/>
          <w:b/>
          <w:bCs/>
          <w:color w:val="auto"/>
          <w:sz w:val="24"/>
          <w:highlight w:val="none"/>
        </w:rPr>
        <w:fldChar w:fldCharType="end"/>
      </w:r>
      <w:r>
        <w:rPr>
          <w:rFonts w:hint="eastAsia" w:ascii="宋体" w:hAnsi="宋体"/>
          <w:b/>
          <w:bCs/>
          <w:color w:val="auto"/>
          <w:sz w:val="24"/>
          <w:highlight w:val="none"/>
        </w:rPr>
        <w:t>3</w:t>
      </w:r>
    </w:p>
    <w:p>
      <w:pPr>
        <w:pStyle w:val="56"/>
        <w:tabs>
          <w:tab w:val="right" w:leader="dot" w:pos="8300"/>
        </w:tabs>
        <w:spacing w:line="360" w:lineRule="auto"/>
        <w:rPr>
          <w:rFonts w:ascii="宋体" w:hAnsi="宋体"/>
          <w:b/>
          <w:bCs/>
          <w:color w:val="auto"/>
          <w:sz w:val="24"/>
          <w:highlight w:val="none"/>
        </w:rPr>
      </w:pPr>
      <w:r>
        <w:rPr>
          <w:color w:val="auto"/>
          <w:highlight w:val="none"/>
        </w:rPr>
        <w:fldChar w:fldCharType="begin"/>
      </w:r>
      <w:r>
        <w:rPr>
          <w:color w:val="auto"/>
          <w:highlight w:val="none"/>
        </w:rPr>
        <w:instrText xml:space="preserve"> HYPERLINK \l "_Toc5819" </w:instrText>
      </w:r>
      <w:r>
        <w:rPr>
          <w:color w:val="auto"/>
          <w:highlight w:val="none"/>
        </w:rPr>
        <w:fldChar w:fldCharType="separate"/>
      </w:r>
      <w:r>
        <w:rPr>
          <w:rFonts w:hint="eastAsia" w:ascii="宋体" w:hAnsi="宋体"/>
          <w:b/>
          <w:bCs/>
          <w:color w:val="auto"/>
          <w:sz w:val="24"/>
          <w:highlight w:val="none"/>
        </w:rPr>
        <w:t>第六部分 应提交的有关格式范例</w:t>
      </w:r>
      <w:r>
        <w:rPr>
          <w:b/>
          <w:bCs/>
          <w:color w:val="auto"/>
          <w:sz w:val="24"/>
          <w:highlight w:val="none"/>
        </w:rPr>
        <w:tab/>
      </w:r>
      <w:r>
        <w:rPr>
          <w:rFonts w:hint="eastAsia"/>
          <w:b/>
          <w:bCs/>
          <w:color w:val="auto"/>
          <w:sz w:val="24"/>
          <w:highlight w:val="none"/>
        </w:rPr>
        <w:t>5</w:t>
      </w:r>
      <w:r>
        <w:rPr>
          <w:rFonts w:hint="eastAsia"/>
          <w:b/>
          <w:bCs/>
          <w:color w:val="auto"/>
          <w:sz w:val="24"/>
          <w:highlight w:val="none"/>
        </w:rPr>
        <w:fldChar w:fldCharType="end"/>
      </w:r>
      <w:r>
        <w:rPr>
          <w:rFonts w:hint="eastAsia" w:ascii="宋体" w:hAnsi="宋体"/>
          <w:b/>
          <w:bCs/>
          <w:color w:val="auto"/>
          <w:sz w:val="24"/>
          <w:highlight w:val="none"/>
        </w:rPr>
        <w:t>9</w:t>
      </w:r>
    </w:p>
    <w:p>
      <w:pPr>
        <w:pStyle w:val="51"/>
        <w:spacing w:line="360" w:lineRule="auto"/>
        <w:rPr>
          <w:rFonts w:hAnsi="宋体"/>
          <w:color w:val="auto"/>
          <w:sz w:val="24"/>
          <w:szCs w:val="24"/>
          <w:highlight w:val="none"/>
        </w:rPr>
      </w:pPr>
      <w:r>
        <w:rPr>
          <w:rFonts w:hint="eastAsia" w:hAnsi="宋体"/>
          <w:color w:val="auto"/>
          <w:sz w:val="24"/>
          <w:szCs w:val="24"/>
          <w:highlight w:val="none"/>
        </w:rPr>
        <w:fldChar w:fldCharType="end"/>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tabs>
          <w:tab w:val="left" w:pos="3148"/>
        </w:tabs>
        <w:jc w:val="left"/>
        <w:rPr>
          <w:rFonts w:ascii="宋体" w:hAnsi="宋体"/>
          <w:color w:val="auto"/>
          <w:highlight w:val="none"/>
        </w:rPr>
        <w:sectPr>
          <w:footerReference r:id="rId3" w:type="default"/>
          <w:pgSz w:w="11906" w:h="16838"/>
          <w:pgMar w:top="1440" w:right="1803" w:bottom="1440" w:left="1803" w:header="851" w:footer="992" w:gutter="0"/>
          <w:pgNumType w:start="1"/>
          <w:cols w:space="720" w:num="1"/>
          <w:docGrid w:type="lines" w:linePitch="325" w:charSpace="0"/>
        </w:sectPr>
      </w:pPr>
      <w:r>
        <w:rPr>
          <w:rFonts w:hint="eastAsia" w:ascii="宋体" w:hAnsi="宋体"/>
          <w:color w:val="auto"/>
          <w:highlight w:val="none"/>
        </w:rPr>
        <w:tab/>
      </w:r>
    </w:p>
    <w:p>
      <w:pPr>
        <w:pStyle w:val="43"/>
        <w:jc w:val="center"/>
        <w:rPr>
          <w:rFonts w:ascii="宋体" w:hAnsi="宋体"/>
          <w:color w:val="auto"/>
          <w:sz w:val="36"/>
          <w:szCs w:val="21"/>
          <w:highlight w:val="none"/>
        </w:rPr>
      </w:pPr>
      <w:bookmarkStart w:id="2" w:name="_Toc32199"/>
      <w:bookmarkStart w:id="3" w:name="_Toc5182"/>
      <w:r>
        <w:rPr>
          <w:rFonts w:hint="eastAsia" w:ascii="宋体" w:hAnsi="宋体"/>
          <w:color w:val="auto"/>
          <w:sz w:val="36"/>
          <w:szCs w:val="21"/>
          <w:highlight w:val="none"/>
        </w:rPr>
        <w:t>第一部分 磋商公告</w:t>
      </w:r>
      <w:bookmarkEnd w:id="2"/>
      <w:bookmarkEnd w:id="3"/>
    </w:p>
    <w:p>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u w:val="none"/>
          <w:lang w:eastAsia="zh-CN"/>
        </w:rPr>
        <w:t>绍兴市上虞区公共资源交易中心</w:t>
      </w:r>
      <w:r>
        <w:rPr>
          <w:rFonts w:hint="eastAsia" w:ascii="宋体" w:hAnsi="宋体"/>
          <w:color w:val="auto"/>
          <w:sz w:val="28"/>
          <w:szCs w:val="28"/>
          <w:highlight w:val="none"/>
          <w:u w:val="none"/>
        </w:rPr>
        <w:t>关于</w:t>
      </w:r>
      <w:r>
        <w:rPr>
          <w:rFonts w:hint="eastAsia" w:ascii="宋体" w:hAnsi="宋体"/>
          <w:color w:val="auto"/>
          <w:sz w:val="28"/>
          <w:szCs w:val="28"/>
          <w:highlight w:val="none"/>
          <w:u w:val="none"/>
          <w:lang w:eastAsia="zh-CN"/>
        </w:rPr>
        <w:t>绍兴市上虞区东关街道办事处2025-2027年物业管理服务项目（二年）</w:t>
      </w:r>
      <w:r>
        <w:rPr>
          <w:rFonts w:hint="eastAsia" w:ascii="宋体" w:hAnsi="宋体"/>
          <w:color w:val="auto"/>
          <w:sz w:val="28"/>
          <w:szCs w:val="28"/>
          <w:highlight w:val="none"/>
        </w:rPr>
        <w:t>的竞争性磋商公告</w:t>
      </w: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公告日期：2025年</w:t>
      </w:r>
      <w:r>
        <w:rPr>
          <w:rFonts w:hint="eastAsia" w:ascii="宋体" w:hAnsi="宋体"/>
          <w:color w:val="auto"/>
          <w:sz w:val="28"/>
          <w:szCs w:val="28"/>
          <w:highlight w:val="none"/>
          <w:lang w:val="en-US" w:eastAsia="zh-CN"/>
        </w:rPr>
        <w:t>6</w:t>
      </w:r>
      <w:bookmarkStart w:id="75" w:name="_GoBack"/>
      <w:bookmarkEnd w:id="75"/>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19</w:t>
      </w:r>
      <w:r>
        <w:rPr>
          <w:rFonts w:hint="eastAsia" w:ascii="宋体" w:hAnsi="宋体"/>
          <w:color w:val="auto"/>
          <w:sz w:val="28"/>
          <w:szCs w:val="28"/>
          <w:highlight w:val="none"/>
        </w:rPr>
        <w:t>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根据《中华人民共和国政府采购法》等有关规定，</w:t>
      </w:r>
      <w:r>
        <w:rPr>
          <w:rFonts w:hint="eastAsia" w:ascii="宋体" w:hAnsi="宋体"/>
          <w:color w:val="auto"/>
          <w:sz w:val="24"/>
          <w:highlight w:val="none"/>
          <w:u w:val="single"/>
          <w:lang w:eastAsia="zh-CN"/>
        </w:rPr>
        <w:t>绍兴市上虞区公共资源交易中心</w:t>
      </w:r>
      <w:r>
        <w:rPr>
          <w:rFonts w:hint="eastAsia" w:ascii="宋体" w:hAnsi="宋体"/>
          <w:color w:val="auto"/>
          <w:sz w:val="24"/>
          <w:highlight w:val="none"/>
        </w:rPr>
        <w:t>受</w:t>
      </w:r>
      <w:r>
        <w:rPr>
          <w:rFonts w:hint="eastAsia" w:ascii="宋体" w:hAnsi="宋体"/>
          <w:color w:val="auto"/>
          <w:sz w:val="24"/>
          <w:highlight w:val="none"/>
          <w:u w:val="single"/>
        </w:rPr>
        <w:t>绍兴市上虞区东关街道办事处</w:t>
      </w:r>
      <w:r>
        <w:rPr>
          <w:rFonts w:hint="eastAsia" w:ascii="宋体" w:hAnsi="宋体"/>
          <w:color w:val="auto"/>
          <w:sz w:val="24"/>
          <w:highlight w:val="none"/>
        </w:rPr>
        <w:t>委托，现就</w:t>
      </w:r>
      <w:r>
        <w:rPr>
          <w:rFonts w:hint="eastAsia" w:ascii="宋体" w:hAnsi="宋体"/>
          <w:color w:val="auto"/>
          <w:sz w:val="24"/>
          <w:highlight w:val="none"/>
          <w:u w:val="single"/>
          <w:lang w:eastAsia="zh-CN"/>
        </w:rPr>
        <w:t>绍兴市上虞区东关街道办事处2025-2027年物业管理服务项目（二年）</w:t>
      </w:r>
      <w:r>
        <w:rPr>
          <w:rFonts w:hint="eastAsia" w:ascii="宋体" w:hAnsi="宋体"/>
          <w:color w:val="auto"/>
          <w:sz w:val="24"/>
          <w:highlight w:val="none"/>
        </w:rPr>
        <w:t>进行竞争性磋商采购，欢迎国内合格的供应商参加本次采购活动。</w:t>
      </w:r>
    </w:p>
    <w:p>
      <w:pPr>
        <w:numPr>
          <w:ilvl w:val="0"/>
          <w:numId w:val="2"/>
        </w:num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磋商项目编号：</w:t>
      </w:r>
      <w:r>
        <w:rPr>
          <w:rFonts w:hint="eastAsia" w:ascii="宋体" w:hAnsi="宋体"/>
          <w:b/>
          <w:bCs/>
          <w:color w:val="auto"/>
          <w:sz w:val="24"/>
          <w:highlight w:val="none"/>
          <w:u w:val="single"/>
        </w:rPr>
        <w:t>JZCS2025027</w:t>
      </w:r>
    </w:p>
    <w:p>
      <w:pPr>
        <w:numPr>
          <w:ilvl w:val="0"/>
          <w:numId w:val="0"/>
        </w:num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 采购组织类型：</w:t>
      </w:r>
      <w:r>
        <w:rPr>
          <w:rFonts w:hint="eastAsia" w:ascii="宋体" w:hAnsi="宋体"/>
          <w:b/>
          <w:bCs/>
          <w:color w:val="auto"/>
          <w:sz w:val="24"/>
          <w:highlight w:val="none"/>
          <w:u w:val="single"/>
        </w:rPr>
        <w:t>政府集中采购-委托本级集采</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 磋商项目概况:</w:t>
      </w:r>
    </w:p>
    <w:tbl>
      <w:tblPr>
        <w:tblStyle w:val="17"/>
        <w:tblW w:w="96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2179"/>
        <w:gridCol w:w="630"/>
        <w:gridCol w:w="555"/>
        <w:gridCol w:w="1200"/>
        <w:gridCol w:w="3303"/>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735"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179"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630" w:type="dxa"/>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555"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200" w:type="dxa"/>
            <w:vAlign w:val="center"/>
          </w:tcPr>
          <w:p>
            <w:pPr>
              <w:jc w:val="center"/>
              <w:rPr>
                <w:rFonts w:ascii="宋体" w:hAnsi="宋体"/>
                <w:color w:val="auto"/>
                <w:szCs w:val="21"/>
                <w:highlight w:val="none"/>
              </w:rPr>
            </w:pPr>
            <w:r>
              <w:rPr>
                <w:rFonts w:hint="eastAsia" w:ascii="宋体" w:hAnsi="宋体"/>
                <w:color w:val="auto"/>
                <w:szCs w:val="21"/>
                <w:highlight w:val="none"/>
              </w:rPr>
              <w:t>预算金额(万元)</w:t>
            </w:r>
          </w:p>
        </w:tc>
        <w:tc>
          <w:tcPr>
            <w:tcW w:w="3303" w:type="dxa"/>
            <w:vAlign w:val="center"/>
          </w:tcPr>
          <w:p>
            <w:pPr>
              <w:jc w:val="center"/>
              <w:rPr>
                <w:rFonts w:ascii="宋体" w:hAnsi="宋体"/>
                <w:color w:val="auto"/>
                <w:szCs w:val="21"/>
                <w:highlight w:val="none"/>
              </w:rPr>
            </w:pPr>
            <w:r>
              <w:rPr>
                <w:rFonts w:hint="eastAsia" w:ascii="宋体" w:hAnsi="宋体"/>
                <w:color w:val="auto"/>
                <w:szCs w:val="21"/>
                <w:highlight w:val="none"/>
              </w:rPr>
              <w:t>基本概况介绍</w:t>
            </w:r>
          </w:p>
        </w:tc>
        <w:tc>
          <w:tcPr>
            <w:tcW w:w="1095" w:type="dxa"/>
            <w:vAlign w:val="center"/>
          </w:tcPr>
          <w:p>
            <w:pPr>
              <w:jc w:val="center"/>
              <w:rPr>
                <w:rFonts w:ascii="宋体" w:hAnsi="宋体"/>
                <w:color w:val="auto"/>
                <w:szCs w:val="21"/>
                <w:highlight w:val="none"/>
              </w:rPr>
            </w:pPr>
            <w:r>
              <w:rPr>
                <w:rFonts w:hint="eastAsia" w:ascii="宋体" w:hAnsi="宋体"/>
                <w:color w:val="auto"/>
                <w:szCs w:val="21"/>
                <w:highlight w:val="none"/>
              </w:rPr>
              <w:t>最高限价（万元）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179" w:type="dxa"/>
            <w:vAlign w:val="center"/>
          </w:tcPr>
          <w:p>
            <w:pPr>
              <w:jc w:val="center"/>
              <w:rPr>
                <w:rFonts w:ascii="宋体" w:hAnsi="宋体"/>
                <w:color w:val="auto"/>
                <w:szCs w:val="21"/>
                <w:highlight w:val="none"/>
              </w:rPr>
            </w:pPr>
            <w:r>
              <w:rPr>
                <w:rFonts w:hint="eastAsia" w:ascii="宋体" w:hAnsi="宋体"/>
                <w:color w:val="auto"/>
                <w:szCs w:val="21"/>
                <w:highlight w:val="none"/>
              </w:rPr>
              <w:t>绍兴市上虞区东关街道办事处2025 -2027年物业管理服务</w:t>
            </w:r>
          </w:p>
        </w:tc>
        <w:tc>
          <w:tcPr>
            <w:tcW w:w="630"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555"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00" w:type="dxa"/>
            <w:vAlign w:val="center"/>
          </w:tcPr>
          <w:p>
            <w:pPr>
              <w:rPr>
                <w:rFonts w:ascii="宋体" w:hAnsi="宋体"/>
                <w:color w:val="auto"/>
                <w:szCs w:val="21"/>
                <w:highlight w:val="none"/>
              </w:rPr>
            </w:pPr>
            <w:r>
              <w:rPr>
                <w:rFonts w:hint="eastAsia" w:ascii="宋体" w:hAnsi="宋体"/>
                <w:color w:val="auto"/>
                <w:szCs w:val="21"/>
                <w:highlight w:val="none"/>
              </w:rPr>
              <w:t>108.00</w:t>
            </w:r>
          </w:p>
        </w:tc>
        <w:tc>
          <w:tcPr>
            <w:tcW w:w="3303" w:type="dxa"/>
            <w:vAlign w:val="center"/>
          </w:tcPr>
          <w:p>
            <w:pPr>
              <w:jc w:val="left"/>
              <w:rPr>
                <w:rFonts w:ascii="宋体" w:hAnsi="宋体"/>
                <w:color w:val="auto"/>
                <w:szCs w:val="21"/>
                <w:highlight w:val="none"/>
              </w:rPr>
            </w:pPr>
            <w:r>
              <w:rPr>
                <w:rFonts w:hint="eastAsia" w:ascii="宋体" w:hAnsi="宋体"/>
                <w:color w:val="auto"/>
                <w:szCs w:val="21"/>
                <w:highlight w:val="none"/>
              </w:rPr>
              <w:t>各班子领导办公室、街道机关大院内所有公共场所及其他指定区域的环境卫生保洁，全街道机关大院区域安保、指定办公区域盆栽租赁、摆放、养护</w:t>
            </w:r>
          </w:p>
        </w:tc>
        <w:tc>
          <w:tcPr>
            <w:tcW w:w="1095" w:type="dxa"/>
            <w:vAlign w:val="center"/>
          </w:tcPr>
          <w:p>
            <w:pPr>
              <w:jc w:val="center"/>
              <w:rPr>
                <w:rFonts w:ascii="宋体" w:hAnsi="宋体"/>
                <w:color w:val="auto"/>
                <w:szCs w:val="21"/>
                <w:highlight w:val="none"/>
              </w:rPr>
            </w:pPr>
            <w:r>
              <w:rPr>
                <w:rFonts w:hint="eastAsia" w:ascii="宋体" w:hAnsi="宋体"/>
                <w:color w:val="auto"/>
                <w:szCs w:val="21"/>
                <w:highlight w:val="none"/>
              </w:rPr>
              <w:t>108.00</w:t>
            </w:r>
          </w:p>
        </w:tc>
      </w:tr>
    </w:tbl>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 合格供应商资格要求:</w:t>
      </w:r>
    </w:p>
    <w:p>
      <w:pPr>
        <w:numPr>
          <w:ilvl w:val="0"/>
          <w:numId w:val="3"/>
        </w:num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符合政府采购法第二十二条，且未被“信用中国”（www.creditchina.gov.cn）、中国政府采购网（www.ccgp.gov.cn）列入失信被执行人、重大税收违法案件当事人名单、政府采购严重违法失信行为记录名单。 </w:t>
      </w:r>
    </w:p>
    <w:p>
      <w:pPr>
        <w:numPr>
          <w:ilvl w:val="0"/>
          <w:numId w:val="3"/>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落实政府采购政策需满足的资格要求：供应商为中小企业/小微企业。</w:t>
      </w:r>
    </w:p>
    <w:p>
      <w:pPr>
        <w:numPr>
          <w:ilvl w:val="0"/>
          <w:numId w:val="3"/>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不</w:t>
      </w:r>
      <w:r>
        <w:rPr>
          <w:rFonts w:hint="eastAsia" w:ascii="宋体" w:hAnsi="宋体"/>
          <w:color w:val="auto"/>
          <w:sz w:val="24"/>
          <w:highlight w:val="none"/>
          <w:u w:val="single"/>
        </w:rPr>
        <w:t xml:space="preserve"> </w:t>
      </w:r>
      <w:r>
        <w:rPr>
          <w:rFonts w:hint="eastAsia" w:ascii="宋体" w:hAnsi="宋体"/>
          <w:color w:val="auto"/>
          <w:sz w:val="24"/>
          <w:highlight w:val="none"/>
        </w:rPr>
        <w:t>接受联合体</w:t>
      </w:r>
    </w:p>
    <w:p>
      <w:pPr>
        <w:numPr>
          <w:ilvl w:val="0"/>
          <w:numId w:val="3"/>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本项目采用资格后审的审查方式，由磋商小组负责审查。</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五．获取磋商文件</w:t>
      </w:r>
    </w:p>
    <w:p>
      <w:pPr>
        <w:numPr>
          <w:ilvl w:val="0"/>
          <w:numId w:val="4"/>
        </w:numPr>
        <w:spacing w:line="360" w:lineRule="auto"/>
        <w:ind w:firstLine="480" w:firstLineChars="200"/>
        <w:rPr>
          <w:rFonts w:ascii="宋体" w:hAnsi="宋体"/>
          <w:color w:val="auto"/>
          <w:sz w:val="24"/>
          <w:highlight w:val="none"/>
        </w:rPr>
      </w:pPr>
      <w:bookmarkStart w:id="4" w:name="报名开始时间1"/>
      <w:r>
        <w:rPr>
          <w:rFonts w:hint="eastAsia" w:ascii="宋体" w:hAnsi="宋体"/>
          <w:color w:val="auto"/>
          <w:sz w:val="24"/>
          <w:highlight w:val="none"/>
        </w:rPr>
        <w:t>获取磋商文件时间:</w:t>
      </w:r>
      <w:bookmarkEnd w:id="4"/>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1 </w:t>
      </w:r>
      <w:r>
        <w:rPr>
          <w:rFonts w:hint="eastAsia" w:ascii="宋体" w:hAnsi="宋体"/>
          <w:color w:val="auto"/>
          <w:sz w:val="24"/>
          <w:highlight w:val="none"/>
        </w:rPr>
        <w:t>日</w:t>
      </w:r>
      <w:r>
        <w:rPr>
          <w:rFonts w:hint="eastAsia" w:ascii="宋体" w:hAnsi="宋体"/>
          <w:color w:val="auto"/>
          <w:sz w:val="24"/>
          <w:highlight w:val="none"/>
          <w:u w:val="single"/>
        </w:rPr>
        <w:t xml:space="preserve"> 9 </w:t>
      </w:r>
      <w:r>
        <w:rPr>
          <w:rFonts w:hint="eastAsia" w:ascii="宋体" w:hAnsi="宋体"/>
          <w:color w:val="auto"/>
          <w:sz w:val="24"/>
          <w:highlight w:val="none"/>
        </w:rPr>
        <w:t>时</w:t>
      </w:r>
      <w:r>
        <w:rPr>
          <w:rFonts w:hint="eastAsia" w:ascii="宋体" w:hAnsi="宋体"/>
          <w:color w:val="auto"/>
          <w:sz w:val="24"/>
          <w:highlight w:val="none"/>
          <w:u w:val="single"/>
        </w:rPr>
        <w:t xml:space="preserve"> 30 </w:t>
      </w:r>
      <w:r>
        <w:rPr>
          <w:rFonts w:hint="eastAsia" w:ascii="宋体" w:hAnsi="宋体"/>
          <w:color w:val="auto"/>
          <w:sz w:val="24"/>
          <w:highlight w:val="none"/>
        </w:rPr>
        <w:t>分之前获取。</w:t>
      </w:r>
    </w:p>
    <w:p>
      <w:pPr>
        <w:numPr>
          <w:ilvl w:val="0"/>
          <w:numId w:val="4"/>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获取磋商文件方式：供应商登录政采云平台http://www.zcygov.cn/，在线申请获取磋商文件（进入“项目采购”应用，在获取采购文件菜单中选择项目，申请获取采购文件）。</w:t>
      </w:r>
    </w:p>
    <w:p>
      <w:pPr>
        <w:numPr>
          <w:ilvl w:val="0"/>
          <w:numId w:val="4"/>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提示：</w:t>
      </w:r>
    </w:p>
    <w:p>
      <w:pPr>
        <w:numPr>
          <w:ilvl w:val="0"/>
          <w:numId w:val="5"/>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将拒绝接受未获取磋商文件供应商的响应文件。</w:t>
      </w:r>
    </w:p>
    <w:p>
      <w:pPr>
        <w:numPr>
          <w:ilvl w:val="0"/>
          <w:numId w:val="5"/>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磋商文件及更正补充公告请自行登录浙江政府采购网或绍兴市上虞区公共资源交易中心网站，在采购公告页面中下载。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六、投标与开标注意事项：</w:t>
      </w:r>
    </w:p>
    <w:p>
      <w:pPr>
        <w:numPr>
          <w:ilvl w:val="0"/>
          <w:numId w:val="6"/>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本项目实行</w:t>
      </w:r>
      <w:r>
        <w:rPr>
          <w:rFonts w:hint="eastAsia" w:ascii="宋体" w:hAnsi="宋体"/>
          <w:b/>
          <w:bCs/>
          <w:color w:val="auto"/>
          <w:sz w:val="24"/>
          <w:highlight w:val="none"/>
        </w:rPr>
        <w:t>网上投标</w:t>
      </w:r>
      <w:r>
        <w:rPr>
          <w:rFonts w:hint="eastAsia" w:ascii="宋体" w:hAnsi="宋体"/>
          <w:color w:val="auto"/>
          <w:sz w:val="24"/>
          <w:highlight w:val="none"/>
        </w:rPr>
        <w:t>，采用电子投标文件，若供应商参与投标，自行承担投标一切费用。</w:t>
      </w:r>
    </w:p>
    <w:p>
      <w:pPr>
        <w:numPr>
          <w:ilvl w:val="0"/>
          <w:numId w:val="6"/>
        </w:num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注：供应商先要申领CA，取得CA后需要在政采云平台进行绑定，CA相关操作可参考《CA管理学习专题》。完成CA数字证书办理在资料齐全的情况下预计7个工作日左右，建议供应商获取磋商文件后立即办理。</w:t>
      </w:r>
    </w:p>
    <w:p>
      <w:pPr>
        <w:spacing w:line="360" w:lineRule="auto"/>
        <w:rPr>
          <w:rFonts w:ascii="宋体" w:hAnsi="宋体"/>
          <w:color w:val="auto"/>
          <w:sz w:val="24"/>
          <w:highlight w:val="none"/>
        </w:rPr>
      </w:pPr>
      <w:r>
        <w:rPr>
          <w:rFonts w:hint="eastAsia" w:ascii="宋体" w:hAnsi="宋体"/>
          <w:color w:val="auto"/>
          <w:sz w:val="24"/>
          <w:highlight w:val="none"/>
        </w:rPr>
        <w:t>《CA管理学习专题》：</w:t>
      </w:r>
    </w:p>
    <w:p>
      <w:pPr>
        <w:spacing w:line="360" w:lineRule="auto"/>
        <w:rPr>
          <w:rFonts w:ascii="宋体" w:hAnsi="宋体"/>
          <w:color w:val="auto"/>
          <w:sz w:val="24"/>
          <w:highlight w:val="none"/>
        </w:rPr>
      </w:pPr>
      <w:r>
        <w:rPr>
          <w:rFonts w:hint="eastAsia" w:ascii="宋体" w:hAnsi="宋体"/>
          <w:color w:val="auto"/>
          <w:sz w:val="24"/>
          <w:highlight w:val="none"/>
        </w:rPr>
        <w:t>https://edu.zcygov.cn/luban/ca?utm=web-government-front.380aac0a.0.0.fc2b6aa0b6e211ebbdb0dd007730dd44</w:t>
      </w:r>
    </w:p>
    <w:p>
      <w:pPr>
        <w:spacing w:line="360" w:lineRule="auto"/>
        <w:rPr>
          <w:rFonts w:ascii="宋体" w:hAnsi="宋体"/>
          <w:color w:val="auto"/>
          <w:sz w:val="24"/>
          <w:highlight w:val="none"/>
        </w:rPr>
      </w:pPr>
      <w:r>
        <w:rPr>
          <w:rFonts w:hint="eastAsia" w:ascii="宋体" w:hAnsi="宋体"/>
          <w:color w:val="auto"/>
          <w:sz w:val="24"/>
          <w:highlight w:val="none"/>
        </w:rPr>
        <w:t>《CA驱动和申领流程》:</w:t>
      </w:r>
    </w:p>
    <w:p>
      <w:pPr>
        <w:spacing w:line="360" w:lineRule="auto"/>
        <w:rPr>
          <w:rFonts w:ascii="宋体" w:hAnsi="宋体"/>
          <w:color w:val="auto"/>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olor w:val="auto"/>
          <w:sz w:val="24"/>
          <w:highlight w:val="none"/>
        </w:rPr>
        <w:t>http://zfcg.czt.zj.gov.cn/bidClientTemplate/2019-05-27/12945.html</w:t>
      </w:r>
      <w:r>
        <w:rPr>
          <w:rFonts w:hint="eastAsia" w:ascii="宋体" w:hAnsi="宋体"/>
          <w:color w:val="auto"/>
          <w:sz w:val="24"/>
          <w:highlight w:val="none"/>
        </w:rPr>
        <w:fldChar w:fldCharType="end"/>
      </w:r>
    </w:p>
    <w:p>
      <w:pPr>
        <w:numPr>
          <w:ilvl w:val="0"/>
          <w:numId w:val="6"/>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投标文件制作：</w:t>
      </w:r>
    </w:p>
    <w:p>
      <w:pPr>
        <w:numPr>
          <w:ilvl w:val="0"/>
          <w:numId w:val="7"/>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应按照本项目磋商文件和政采云平台的要求编制、加密并递交投标文件。供应商在使用系统进行投标的过程中遇到涉及平台使用的任何问题，可致电政采云平台技术支持热线咨询，联系方式：</w:t>
      </w:r>
      <w:r>
        <w:rPr>
          <w:rFonts w:hint="eastAsia" w:ascii="宋体" w:hAnsi="宋体"/>
          <w:color w:val="auto"/>
          <w:sz w:val="24"/>
          <w:highlight w:val="none"/>
          <w:lang w:val="en-US" w:eastAsia="zh-CN"/>
        </w:rPr>
        <w:t>95763</w:t>
      </w:r>
      <w:r>
        <w:rPr>
          <w:rFonts w:hint="eastAsia" w:ascii="宋体" w:hAnsi="宋体"/>
          <w:color w:val="auto"/>
          <w:sz w:val="24"/>
          <w:highlight w:val="none"/>
        </w:rPr>
        <w:t>。</w:t>
      </w:r>
    </w:p>
    <w:p>
      <w:pPr>
        <w:numPr>
          <w:ilvl w:val="0"/>
          <w:numId w:val="7"/>
        </w:num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投标人通过“政采云”平台电子投标工具制作投标文件。</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《电子投标工具》：</w:t>
      </w:r>
    </w:p>
    <w:p>
      <w:pPr>
        <w:spacing w:line="360" w:lineRule="auto"/>
        <w:ind w:firstLine="420" w:firstLineChars="200"/>
        <w:jc w:val="left"/>
        <w:rPr>
          <w:rFonts w:ascii="宋体" w:hAnsi="宋体"/>
          <w:color w:val="auto"/>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olor w:val="auto"/>
          <w:sz w:val="24"/>
          <w:highlight w:val="none"/>
        </w:rPr>
        <w:t>http://zfcg.czt.zj.gov.cn/bidClientTemplate/2019-09-24/12975.html</w:t>
      </w:r>
      <w:r>
        <w:rPr>
          <w:rFonts w:hint="eastAsia" w:ascii="宋体" w:hAnsi="宋体"/>
          <w:color w:val="auto"/>
          <w:sz w:val="24"/>
          <w:highlight w:val="none"/>
        </w:rPr>
        <w:fldChar w:fldCharType="end"/>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《供应商-政府采购项目电子交易操作指南》：(需登录账号后查看)</w:t>
      </w:r>
    </w:p>
    <w:p>
      <w:pPr>
        <w:spacing w:line="360" w:lineRule="auto"/>
        <w:ind w:firstLine="420" w:firstLineChars="200"/>
        <w:jc w:val="left"/>
        <w:rPr>
          <w:rFonts w:ascii="宋体" w:hAnsi="宋体"/>
          <w:color w:val="auto"/>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olor w:val="auto"/>
          <w:sz w:val="24"/>
          <w:highlight w:val="none"/>
        </w:rPr>
        <w:t>https://service.zcygov.cn/#/knowledges/tree?tag=AG1DtGwBFdiHxlNdhY0r</w:t>
      </w:r>
      <w:r>
        <w:rPr>
          <w:rFonts w:hint="eastAsia" w:ascii="宋体" w:hAnsi="宋体"/>
          <w:color w:val="auto"/>
          <w:sz w:val="24"/>
          <w:highlight w:val="none"/>
        </w:rPr>
        <w:fldChar w:fldCharType="end"/>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4.供应商在法定质疑期内应一次性提出针对同一采购程序环节的质疑。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5.投标人可指派授权代表递交备份文件，授权代表递交备份文件需携带法定代表人授权书原件，于投标截止时间前到达开标地点递交。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6.特别提醒</w:t>
      </w:r>
    </w:p>
    <w:p>
      <w:pPr>
        <w:wordWrap w:val="0"/>
        <w:spacing w:line="360" w:lineRule="auto"/>
        <w:rPr>
          <w:rFonts w:ascii="宋体" w:hAnsi="宋体"/>
          <w:color w:val="auto"/>
          <w:sz w:val="24"/>
          <w:highlight w:val="none"/>
        </w:rPr>
      </w:pPr>
      <w:r>
        <w:rPr>
          <w:rFonts w:hint="eastAsia" w:ascii="宋体" w:hAnsi="宋体"/>
          <w:color w:val="auto"/>
          <w:sz w:val="24"/>
          <w:highlight w:val="none"/>
        </w:rPr>
        <w:t xml:space="preserve">    单位负责人为同一人或者存在直接控股、管理关系的不同供应商，不得参加同一合同项下的政府采购活动。</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除单一来源采购项目外，为采购项目提供整体设计、规范编制或者项目管理、监理、检测等服务的供应商，不得再参加该采购项目的其他采购活动。</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七</w:t>
      </w:r>
      <w:r>
        <w:rPr>
          <w:rFonts w:hint="eastAsia" w:ascii="宋体" w:hAnsi="宋体"/>
          <w:b/>
          <w:bCs/>
          <w:color w:val="auto"/>
          <w:sz w:val="24"/>
          <w:highlight w:val="none"/>
        </w:rPr>
        <w:t>．</w:t>
      </w:r>
      <w:r>
        <w:rPr>
          <w:rFonts w:hint="eastAsia" w:ascii="宋体" w:hAnsi="宋体"/>
          <w:b/>
          <w:color w:val="auto"/>
          <w:sz w:val="24"/>
          <w:highlight w:val="none"/>
        </w:rPr>
        <w:t>磋商响应截止时间及要求：</w:t>
      </w:r>
      <w:r>
        <w:rPr>
          <w:rFonts w:hint="eastAsia" w:ascii="宋体" w:hAnsi="宋体"/>
          <w:color w:val="auto"/>
          <w:sz w:val="24"/>
          <w:highlight w:val="none"/>
          <w:u w:val="single"/>
        </w:rPr>
        <w:t xml:space="preserve"> 2025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7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30 </w:t>
      </w:r>
      <w:r>
        <w:rPr>
          <w:rFonts w:hint="eastAsia" w:ascii="宋体" w:hAnsi="宋体"/>
          <w:color w:val="auto"/>
          <w:sz w:val="24"/>
          <w:highlight w:val="none"/>
        </w:rPr>
        <w:t>分整</w:t>
      </w:r>
      <w:r>
        <w:rPr>
          <w:rFonts w:hint="eastAsia" w:ascii="宋体" w:hAnsi="宋体"/>
          <w:bCs/>
          <w:color w:val="auto"/>
          <w:kern w:val="0"/>
          <w:sz w:val="24"/>
          <w:highlight w:val="none"/>
        </w:rPr>
        <w:t>之前将电子磋商响应文件上传到“政采云”平台。</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八</w:t>
      </w:r>
      <w:r>
        <w:rPr>
          <w:rFonts w:hint="eastAsia" w:ascii="宋体" w:hAnsi="宋体"/>
          <w:b/>
          <w:bCs/>
          <w:color w:val="auto"/>
          <w:sz w:val="24"/>
          <w:highlight w:val="none"/>
        </w:rPr>
        <w:t>．</w:t>
      </w:r>
      <w:r>
        <w:rPr>
          <w:rFonts w:hint="eastAsia" w:ascii="宋体" w:hAnsi="宋体"/>
          <w:b/>
          <w:color w:val="auto"/>
          <w:sz w:val="24"/>
          <w:highlight w:val="none"/>
        </w:rPr>
        <w:t>递交首次响应文件时间及地点：</w:t>
      </w:r>
      <w:bookmarkStart w:id="5" w:name="B30_开标地点"/>
      <w:r>
        <w:rPr>
          <w:rFonts w:hint="eastAsia" w:ascii="宋体" w:hAnsi="宋体"/>
          <w:color w:val="auto"/>
          <w:sz w:val="24"/>
          <w:highlight w:val="none"/>
          <w:u w:val="single"/>
        </w:rPr>
        <w:t xml:space="preserve"> 2025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30</w:t>
      </w:r>
      <w:r>
        <w:rPr>
          <w:rFonts w:hint="eastAsia" w:ascii="宋体" w:hAnsi="宋体"/>
          <w:color w:val="auto"/>
          <w:sz w:val="24"/>
          <w:highlight w:val="none"/>
          <w:u w:val="single"/>
        </w:rPr>
        <w:t xml:space="preserve"> </w:t>
      </w:r>
      <w:r>
        <w:rPr>
          <w:rFonts w:hint="eastAsia" w:ascii="宋体" w:hAnsi="宋体"/>
          <w:color w:val="auto"/>
          <w:sz w:val="24"/>
          <w:highlight w:val="none"/>
        </w:rPr>
        <w:t>分整在绍兴市上虞区公共资源交易中心三楼</w:t>
      </w:r>
      <w:r>
        <w:rPr>
          <w:rFonts w:hint="eastAsia" w:ascii="宋体" w:hAnsi="宋体"/>
          <w:color w:val="auto"/>
          <w:sz w:val="24"/>
          <w:highlight w:val="none"/>
          <w:u w:val="single"/>
          <w:lang w:val="en-US" w:eastAsia="zh-CN"/>
        </w:rPr>
        <w:t>363</w:t>
      </w:r>
      <w:r>
        <w:rPr>
          <w:rFonts w:hint="eastAsia" w:ascii="宋体" w:hAnsi="宋体"/>
          <w:color w:val="auto"/>
          <w:sz w:val="24"/>
          <w:highlight w:val="none"/>
        </w:rPr>
        <w:t>开标室开标。</w:t>
      </w:r>
      <w:bookmarkEnd w:id="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标时间后30分钟内供应商可以登录“政采云”平台，用“项目采购-开标评标”功能进行解密响应文件。若供应商在规定时间内解密失败，则由采购代理机构工作人员上传供应商提供的备份文件。备份文件（后缀名为.bfbs）须存储在U盘中，与上传的电子磋商响应文件一致，用信封进行密封并盖章</w:t>
      </w:r>
      <w:r>
        <w:rPr>
          <w:rFonts w:hint="eastAsia" w:ascii="宋体" w:hAnsi="宋体"/>
          <w:b/>
          <w:bCs/>
          <w:color w:val="auto"/>
          <w:sz w:val="24"/>
          <w:highlight w:val="none"/>
        </w:rPr>
        <w:t>（信封内仅需放入存储备份文件的U盘）</w:t>
      </w:r>
      <w:r>
        <w:rPr>
          <w:rFonts w:hint="eastAsia" w:ascii="宋体" w:hAnsi="宋体"/>
          <w:color w:val="auto"/>
          <w:sz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本次开标不提供现场视频。</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九．磋商保证金：无</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十．公告期限：3个工作日</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十一．联系方式：</w:t>
      </w:r>
    </w:p>
    <w:p>
      <w:pPr>
        <w:spacing w:line="360" w:lineRule="auto"/>
        <w:ind w:firstLine="480" w:firstLineChars="200"/>
        <w:rPr>
          <w:rFonts w:hint="eastAsia" w:ascii="宋体" w:hAnsi="宋体"/>
          <w:color w:val="auto"/>
          <w:sz w:val="24"/>
          <w:highlight w:val="none"/>
          <w:lang w:eastAsia="zh-CN"/>
        </w:rPr>
      </w:pPr>
      <w:bookmarkStart w:id="6" w:name="_Toc29599"/>
      <w:bookmarkStart w:id="7" w:name="_Toc13205"/>
      <w:bookmarkStart w:id="8" w:name="_Toc14147"/>
      <w:bookmarkStart w:id="9" w:name="_Toc20841"/>
      <w:bookmarkStart w:id="10" w:name="_Toc20192"/>
      <w:bookmarkStart w:id="11" w:name="_Toc8374"/>
      <w:r>
        <w:rPr>
          <w:rFonts w:hint="eastAsia" w:ascii="宋体" w:hAnsi="宋体"/>
          <w:color w:val="auto"/>
          <w:sz w:val="24"/>
          <w:highlight w:val="none"/>
        </w:rPr>
        <w:t>1、采购代理机构名称：</w:t>
      </w:r>
      <w:bookmarkEnd w:id="6"/>
      <w:bookmarkEnd w:id="7"/>
      <w:bookmarkEnd w:id="8"/>
      <w:bookmarkEnd w:id="9"/>
      <w:bookmarkEnd w:id="10"/>
      <w:bookmarkEnd w:id="11"/>
      <w:r>
        <w:rPr>
          <w:rFonts w:hint="eastAsia" w:ascii="宋体" w:hAnsi="宋体"/>
          <w:color w:val="auto"/>
          <w:sz w:val="24"/>
          <w:highlight w:val="none"/>
          <w:lang w:eastAsia="zh-CN"/>
        </w:rPr>
        <w:t>绍兴市上虞区公共资源交易中心</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项目联系人（询问）：</w:t>
      </w:r>
      <w:r>
        <w:rPr>
          <w:rFonts w:hint="eastAsia" w:ascii="宋体" w:hAnsi="宋体"/>
          <w:color w:val="auto"/>
          <w:sz w:val="24"/>
          <w:highlight w:val="none"/>
          <w:lang w:eastAsia="zh-CN"/>
        </w:rPr>
        <w:t>贾女士</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项目联系方式（询问）：</w:t>
      </w:r>
      <w:r>
        <w:rPr>
          <w:rFonts w:hint="eastAsia" w:ascii="宋体" w:hAnsi="宋体"/>
          <w:color w:val="auto"/>
          <w:sz w:val="24"/>
          <w:highlight w:val="none"/>
          <w:lang w:eastAsia="zh-CN"/>
        </w:rPr>
        <w:t>0575-82398111</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质疑联系人：</w:t>
      </w:r>
      <w:r>
        <w:rPr>
          <w:rFonts w:hint="eastAsia" w:ascii="宋体" w:hAnsi="宋体"/>
          <w:color w:val="auto"/>
          <w:sz w:val="24"/>
          <w:highlight w:val="none"/>
          <w:lang w:eastAsia="zh-CN"/>
        </w:rPr>
        <w:t xml:space="preserve">池女士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质疑联系方式：</w:t>
      </w:r>
      <w:r>
        <w:rPr>
          <w:rFonts w:hint="eastAsia" w:ascii="宋体" w:hAnsi="宋体"/>
          <w:color w:val="auto"/>
          <w:sz w:val="24"/>
          <w:highlight w:val="none"/>
          <w:lang w:eastAsia="zh-CN"/>
        </w:rPr>
        <w:t>0575-82398112</w:t>
      </w:r>
      <w:r>
        <w:rPr>
          <w:rFonts w:hint="eastAsia" w:ascii="宋体" w:hAnsi="宋体"/>
          <w:color w:val="auto"/>
          <w:sz w:val="24"/>
          <w:highlight w:val="none"/>
        </w:rPr>
        <w:t xml:space="preserve">                      </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olor w:val="auto"/>
          <w:sz w:val="24"/>
          <w:highlight w:val="none"/>
          <w:lang w:eastAsia="zh-CN"/>
        </w:rPr>
        <w:t>浙江省绍兴市上虞区便民服务中心三楼</w:t>
      </w:r>
    </w:p>
    <w:p>
      <w:pPr>
        <w:spacing w:line="360" w:lineRule="auto"/>
        <w:ind w:firstLine="480" w:firstLineChars="200"/>
        <w:outlineLvl w:val="1"/>
        <w:rPr>
          <w:rFonts w:ascii="宋体" w:hAnsi="宋体"/>
          <w:color w:val="auto"/>
          <w:sz w:val="24"/>
          <w:highlight w:val="none"/>
        </w:rPr>
      </w:pPr>
      <w:r>
        <w:rPr>
          <w:rFonts w:hint="eastAsia" w:ascii="宋体" w:hAnsi="宋体"/>
          <w:color w:val="auto"/>
          <w:sz w:val="24"/>
          <w:highlight w:val="none"/>
        </w:rPr>
        <w:t xml:space="preserve">2．采购单位名称：绍兴市上虞区东关街道办事处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项目联系人（询问）：丁女士</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项目联系方式（询问）：13655852825</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质疑联系人：王先生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质疑联系方式：15715826741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地址：浙江省绍兴市上虞区永和大道1368号东关街道办事处</w:t>
      </w:r>
    </w:p>
    <w:p>
      <w:pPr>
        <w:spacing w:line="360" w:lineRule="auto"/>
        <w:ind w:firstLine="480" w:firstLineChars="200"/>
        <w:outlineLvl w:val="1"/>
        <w:rPr>
          <w:rFonts w:ascii="宋体" w:hAnsi="宋体"/>
          <w:color w:val="auto"/>
          <w:sz w:val="24"/>
          <w:highlight w:val="none"/>
        </w:rPr>
      </w:pPr>
      <w:r>
        <w:rPr>
          <w:rFonts w:hint="eastAsia" w:ascii="宋体" w:hAnsi="宋体"/>
          <w:color w:val="auto"/>
          <w:sz w:val="24"/>
          <w:highlight w:val="none"/>
        </w:rPr>
        <w:t>3．同级政府采购监督管理部门名称：上虞区财政局政府采购监管科</w:t>
      </w:r>
    </w:p>
    <w:p>
      <w:pPr>
        <w:spacing w:line="360" w:lineRule="auto"/>
        <w:ind w:firstLine="480" w:firstLineChars="200"/>
        <w:outlineLvl w:val="1"/>
        <w:rPr>
          <w:rFonts w:ascii="宋体" w:hAnsi="宋体"/>
          <w:color w:val="auto"/>
          <w:sz w:val="24"/>
          <w:highlight w:val="none"/>
        </w:rPr>
      </w:pPr>
      <w:r>
        <w:rPr>
          <w:rFonts w:hint="eastAsia" w:ascii="宋体" w:hAnsi="宋体"/>
          <w:color w:val="auto"/>
          <w:sz w:val="24"/>
          <w:highlight w:val="none"/>
        </w:rPr>
        <w:t>联系人：谷先生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监督投诉电话：0575-82130212</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传真：0575-82154859</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地址：绍兴市上虞区体育场路18号</w:t>
      </w:r>
    </w:p>
    <w:p>
      <w:pPr>
        <w:spacing w:line="360" w:lineRule="auto"/>
        <w:jc w:val="center"/>
        <w:outlineLvl w:val="0"/>
        <w:rPr>
          <w:rFonts w:ascii="宋体" w:hAnsi="宋体"/>
          <w:b/>
          <w:color w:val="auto"/>
          <w:sz w:val="36"/>
          <w:szCs w:val="20"/>
          <w:highlight w:val="none"/>
        </w:rPr>
      </w:pPr>
      <w:r>
        <w:rPr>
          <w:rFonts w:hint="eastAsia" w:ascii="宋体" w:hAnsi="宋体"/>
          <w:b/>
          <w:color w:val="auto"/>
          <w:sz w:val="36"/>
          <w:szCs w:val="20"/>
          <w:highlight w:val="none"/>
        </w:rPr>
        <w:br w:type="page"/>
      </w:r>
      <w:bookmarkStart w:id="12" w:name="_Toc29834"/>
      <w:bookmarkStart w:id="13" w:name="_Toc5755"/>
      <w:r>
        <w:rPr>
          <w:rStyle w:val="42"/>
          <w:rFonts w:hint="eastAsia" w:ascii="宋体" w:hAnsi="宋体"/>
          <w:color w:val="auto"/>
          <w:sz w:val="36"/>
          <w:szCs w:val="21"/>
          <w:highlight w:val="none"/>
        </w:rPr>
        <w:t>第二部分 供应商须知</w:t>
      </w:r>
      <w:bookmarkEnd w:id="12"/>
      <w:bookmarkEnd w:id="13"/>
    </w:p>
    <w:p>
      <w:pPr>
        <w:widowControl/>
        <w:snapToGrid w:val="0"/>
        <w:spacing w:line="360" w:lineRule="auto"/>
        <w:jc w:val="center"/>
        <w:rPr>
          <w:rFonts w:ascii="宋体" w:hAnsi="宋体"/>
          <w:b/>
          <w:color w:val="auto"/>
          <w:kern w:val="0"/>
          <w:sz w:val="30"/>
          <w:szCs w:val="30"/>
          <w:highlight w:val="none"/>
        </w:rPr>
      </w:pPr>
      <w:r>
        <w:rPr>
          <w:rFonts w:hint="eastAsia" w:ascii="宋体" w:hAnsi="宋体"/>
          <w:b/>
          <w:color w:val="auto"/>
          <w:kern w:val="0"/>
          <w:sz w:val="30"/>
          <w:szCs w:val="30"/>
          <w:highlight w:val="none"/>
        </w:rPr>
        <w:t>供应商须知前附表</w:t>
      </w:r>
    </w:p>
    <w:tbl>
      <w:tblPr>
        <w:tblStyle w:val="17"/>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5"/>
        <w:gridCol w:w="1933"/>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515" w:type="dxa"/>
            <w:vAlign w:val="center"/>
          </w:tcPr>
          <w:p>
            <w:pPr>
              <w:snapToGrid w:val="0"/>
              <w:spacing w:line="360" w:lineRule="exact"/>
              <w:jc w:val="center"/>
              <w:rPr>
                <w:rFonts w:ascii="宋体" w:hAnsi="宋体"/>
                <w:b/>
                <w:bCs/>
                <w:color w:val="auto"/>
                <w:kern w:val="0"/>
                <w:szCs w:val="21"/>
                <w:highlight w:val="none"/>
              </w:rPr>
            </w:pPr>
            <w:r>
              <w:rPr>
                <w:rFonts w:hint="eastAsia" w:ascii="宋体" w:hAnsi="宋体"/>
                <w:b/>
                <w:bCs/>
                <w:color w:val="auto"/>
                <w:kern w:val="0"/>
                <w:szCs w:val="21"/>
                <w:highlight w:val="none"/>
              </w:rPr>
              <w:t>序号</w:t>
            </w:r>
          </w:p>
        </w:tc>
        <w:tc>
          <w:tcPr>
            <w:tcW w:w="1933" w:type="dxa"/>
            <w:vAlign w:val="center"/>
          </w:tcPr>
          <w:p>
            <w:pPr>
              <w:snapToGrid w:val="0"/>
              <w:spacing w:line="360" w:lineRule="exact"/>
              <w:jc w:val="center"/>
              <w:rPr>
                <w:rFonts w:ascii="宋体" w:hAnsi="宋体"/>
                <w:b/>
                <w:bCs/>
                <w:color w:val="auto"/>
                <w:kern w:val="0"/>
                <w:szCs w:val="21"/>
                <w:highlight w:val="none"/>
              </w:rPr>
            </w:pPr>
            <w:r>
              <w:rPr>
                <w:rFonts w:hint="eastAsia" w:ascii="宋体" w:hAnsi="宋体"/>
                <w:b/>
                <w:bCs/>
                <w:color w:val="auto"/>
                <w:kern w:val="0"/>
                <w:szCs w:val="21"/>
                <w:highlight w:val="none"/>
              </w:rPr>
              <w:t>项目</w:t>
            </w:r>
          </w:p>
        </w:tc>
        <w:tc>
          <w:tcPr>
            <w:tcW w:w="6682" w:type="dxa"/>
            <w:vAlign w:val="center"/>
          </w:tcPr>
          <w:p>
            <w:pPr>
              <w:snapToGrid w:val="0"/>
              <w:spacing w:line="360" w:lineRule="exact"/>
              <w:jc w:val="center"/>
              <w:rPr>
                <w:rFonts w:ascii="宋体" w:hAnsi="宋体"/>
                <w:b/>
                <w:bCs/>
                <w:color w:val="auto"/>
                <w:kern w:val="0"/>
                <w:szCs w:val="21"/>
                <w:highlight w:val="none"/>
              </w:rPr>
            </w:pPr>
            <w:r>
              <w:rPr>
                <w:rFonts w:hint="eastAsia" w:ascii="宋体" w:hAnsi="宋体"/>
                <w:b/>
                <w:bCs/>
                <w:color w:val="auto"/>
                <w:kern w:val="0"/>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项目名称</w:t>
            </w:r>
          </w:p>
        </w:tc>
        <w:tc>
          <w:tcPr>
            <w:tcW w:w="6682" w:type="dxa"/>
            <w:vAlign w:val="center"/>
          </w:tcPr>
          <w:p>
            <w:pPr>
              <w:snapToGrid w:val="0"/>
              <w:spacing w:line="36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eastAsia="zh-CN"/>
              </w:rPr>
              <w:t>绍兴市上虞区东关街道办事处2025-2027年物业管理服务项目（二年）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项目实施时间</w:t>
            </w:r>
          </w:p>
        </w:tc>
        <w:tc>
          <w:tcPr>
            <w:tcW w:w="6682" w:type="dxa"/>
            <w:vAlign w:val="center"/>
          </w:tcPr>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服务期限为2年（合同一年一签，具体以合同签订期限为准）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3</w:t>
            </w:r>
          </w:p>
        </w:tc>
        <w:tc>
          <w:tcPr>
            <w:tcW w:w="1933" w:type="dxa"/>
            <w:vAlign w:val="center"/>
          </w:tcPr>
          <w:p>
            <w:pPr>
              <w:snapToGrid w:val="0"/>
              <w:spacing w:line="360" w:lineRule="exact"/>
              <w:jc w:val="center"/>
              <w:rPr>
                <w:rFonts w:ascii="宋体" w:hAnsi="宋体"/>
                <w:b/>
                <w:color w:val="auto"/>
                <w:kern w:val="0"/>
                <w:szCs w:val="21"/>
                <w:highlight w:val="none"/>
              </w:rPr>
            </w:pPr>
            <w:r>
              <w:rPr>
                <w:rFonts w:hint="eastAsia" w:ascii="宋体" w:hAnsi="宋体"/>
                <w:b/>
                <w:color w:val="auto"/>
                <w:kern w:val="0"/>
                <w:szCs w:val="21"/>
                <w:highlight w:val="none"/>
              </w:rPr>
              <w:t>最高限价</w:t>
            </w:r>
          </w:p>
        </w:tc>
        <w:tc>
          <w:tcPr>
            <w:tcW w:w="6682" w:type="dxa"/>
            <w:vAlign w:val="center"/>
          </w:tcPr>
          <w:p>
            <w:pPr>
              <w:snapToGrid w:val="0"/>
              <w:spacing w:line="36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本项目最高限价人民币</w:t>
            </w:r>
            <w:r>
              <w:rPr>
                <w:rFonts w:hint="eastAsia" w:ascii="宋体" w:hAnsi="宋体"/>
                <w:b/>
                <w:bCs/>
                <w:color w:val="auto"/>
                <w:kern w:val="0"/>
                <w:szCs w:val="21"/>
                <w:highlight w:val="none"/>
                <w:u w:val="single"/>
              </w:rPr>
              <w:t xml:space="preserve"> 1080000.00 </w:t>
            </w:r>
            <w:r>
              <w:rPr>
                <w:rFonts w:hint="eastAsia" w:ascii="宋体" w:hAnsi="宋体"/>
                <w:b/>
                <w:bCs/>
                <w:color w:val="auto"/>
                <w:kern w:val="0"/>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4</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资格审查方式</w:t>
            </w:r>
          </w:p>
        </w:tc>
        <w:tc>
          <w:tcPr>
            <w:tcW w:w="6682" w:type="dxa"/>
            <w:vAlign w:val="center"/>
          </w:tcPr>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资格审查是指开标后，磋商小组将依据法律法规和磋商文件的规定对投标人的资格进行审查。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5</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踏勘现场</w:t>
            </w:r>
          </w:p>
        </w:tc>
        <w:tc>
          <w:tcPr>
            <w:tcW w:w="6682" w:type="dxa"/>
            <w:vAlign w:val="center"/>
          </w:tcPr>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6</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询问</w:t>
            </w:r>
          </w:p>
        </w:tc>
        <w:tc>
          <w:tcPr>
            <w:tcW w:w="6682" w:type="dxa"/>
            <w:vAlign w:val="center"/>
          </w:tcPr>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供应商对政府采购活动事项有疑问的，可以向采购机构提出询问，采购人或者招标代理机构应当在3个工作日内对供应商依法提出的询问作出答复，但答复的内容不得涉及商业秘密。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7</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磋商文件的澄清与修改</w:t>
            </w:r>
          </w:p>
        </w:tc>
        <w:tc>
          <w:tcPr>
            <w:tcW w:w="6682" w:type="dxa"/>
            <w:vAlign w:val="center"/>
          </w:tcPr>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招标采购单位可以对已发出的磋商文件进行必要澄清或者修改，澄清或者修改的内容可能影响磋商响应文件编制的，应当在磋商文件要求提交磋商响应文件截止时间五日前，在招标公告发布的媒体上发布更正公告，该澄清或者修改的内容为磋商文件的组成部分。本项目磋商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8</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磋商响应文件组成</w:t>
            </w:r>
          </w:p>
        </w:tc>
        <w:tc>
          <w:tcPr>
            <w:tcW w:w="6682" w:type="dxa"/>
            <w:vAlign w:val="center"/>
          </w:tcPr>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投标人向采购人递交的磋商响应文件由资格文件、商务技术文件、报价文件三部分组成。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评标办法</w:t>
            </w:r>
          </w:p>
        </w:tc>
        <w:tc>
          <w:tcPr>
            <w:tcW w:w="6682" w:type="dxa"/>
            <w:vAlign w:val="center"/>
          </w:tcPr>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10</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磋商响应文件递交地址及截止时间</w:t>
            </w:r>
          </w:p>
        </w:tc>
        <w:tc>
          <w:tcPr>
            <w:tcW w:w="6682" w:type="dxa"/>
            <w:vAlign w:val="center"/>
          </w:tcPr>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11</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开标时间、地点</w:t>
            </w:r>
          </w:p>
        </w:tc>
        <w:tc>
          <w:tcPr>
            <w:tcW w:w="6682" w:type="dxa"/>
            <w:vAlign w:val="center"/>
          </w:tcPr>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开标时间：详见招标公告</w:t>
            </w:r>
          </w:p>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开标地点：详见招标公告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12</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投标有效期</w:t>
            </w:r>
          </w:p>
        </w:tc>
        <w:tc>
          <w:tcPr>
            <w:tcW w:w="6682" w:type="dxa"/>
            <w:vAlign w:val="center"/>
          </w:tcPr>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投标有效期为从提交磋商响应文件的截止之日起90天。投标人的磋商响应文件中承诺的投标有效期少于磋商文件中载明的投标有效期的，投标无效。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13</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履约保证金</w:t>
            </w:r>
          </w:p>
        </w:tc>
        <w:tc>
          <w:tcPr>
            <w:tcW w:w="6682" w:type="dxa"/>
            <w:vAlign w:val="center"/>
          </w:tcPr>
          <w:p>
            <w:pPr>
              <w:snapToGrid w:val="0"/>
              <w:spacing w:line="360" w:lineRule="exact"/>
              <w:ind w:firstLine="420" w:firstLineChars="200"/>
              <w:rPr>
                <w:rFonts w:ascii="宋体" w:hAnsi="宋体"/>
                <w:b/>
                <w:bCs/>
                <w:color w:val="auto"/>
                <w:kern w:val="0"/>
                <w:szCs w:val="21"/>
                <w:highlight w:val="none"/>
              </w:rPr>
            </w:pPr>
            <w:r>
              <w:rPr>
                <w:rFonts w:hint="eastAsia" w:ascii="宋体" w:hAnsi="宋体"/>
                <w:b w:val="0"/>
                <w:bCs w:val="0"/>
                <w:color w:val="auto"/>
                <w:kern w:val="0"/>
                <w:szCs w:val="21"/>
                <w:highlight w:val="none"/>
              </w:rPr>
              <w:t>成交供应商在收到中标通知书后，需向采购人</w:t>
            </w:r>
            <w:r>
              <w:rPr>
                <w:rFonts w:hint="eastAsia" w:ascii="宋体" w:hAnsi="宋体"/>
                <w:b/>
                <w:bCs/>
                <w:color w:val="auto"/>
                <w:kern w:val="0"/>
                <w:szCs w:val="21"/>
                <w:highlight w:val="none"/>
              </w:rPr>
              <w:t>提供合同总价的1%的履约保证金</w:t>
            </w:r>
            <w:r>
              <w:rPr>
                <w:rFonts w:hint="eastAsia" w:ascii="宋体" w:hAnsi="宋体"/>
                <w:b w:val="0"/>
                <w:bCs w:val="0"/>
                <w:color w:val="auto"/>
                <w:kern w:val="0"/>
                <w:szCs w:val="21"/>
                <w:highlight w:val="none"/>
              </w:rPr>
              <w:t>，在成交供应商与采购人签订合同前</w:t>
            </w:r>
            <w:r>
              <w:rPr>
                <w:rFonts w:hint="eastAsia" w:ascii="宋体" w:hAnsi="宋体" w:eastAsia="宋体" w:cs="宋体"/>
                <w:color w:val="auto"/>
                <w:kern w:val="0"/>
                <w:sz w:val="21"/>
                <w:szCs w:val="21"/>
                <w:highlight w:val="none"/>
                <w:shd w:val="clear" w:color="auto" w:fill="auto"/>
                <w:lang w:val="en-US" w:eastAsia="zh-CN" w:bidi="ar-SA"/>
              </w:rPr>
              <w:t>应当以支票、汇票、本票或者金融机构、保险公司、担保机构出具的保函等非现金形式提交</w:t>
            </w:r>
            <w:r>
              <w:rPr>
                <w:rFonts w:hint="eastAsia" w:ascii="宋体" w:hAnsi="宋体" w:cs="宋体"/>
                <w:color w:val="auto"/>
                <w:kern w:val="0"/>
                <w:sz w:val="21"/>
                <w:szCs w:val="21"/>
                <w:highlight w:val="none"/>
                <w:shd w:val="clear" w:color="auto" w:fill="auto"/>
                <w:lang w:val="en-US" w:eastAsia="zh-CN" w:bidi="ar-SA"/>
              </w:rPr>
              <w:t>。</w:t>
            </w:r>
          </w:p>
          <w:p>
            <w:pPr>
              <w:snapToGrid w:val="0"/>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采购人在服务期结束后向中标人</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无息</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退还履约保证金。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14</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磋商公告及中标公告发布媒体</w:t>
            </w:r>
          </w:p>
        </w:tc>
        <w:tc>
          <w:tcPr>
            <w:tcW w:w="6682" w:type="dxa"/>
            <w:vAlign w:val="center"/>
          </w:tcPr>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浙江省政府采购网、 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质疑</w:t>
            </w:r>
          </w:p>
        </w:tc>
        <w:tc>
          <w:tcPr>
            <w:tcW w:w="6682" w:type="dxa"/>
            <w:vAlign w:val="center"/>
          </w:tcPr>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根据《中华人民共和国政府采购法》第五十二条、《中华人民共和国政府采购法实施条例》第五十三条、《浙江省政府采购供应商质疑处理办法》的规定：</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认为采购文件使自己的权益受到损害的，可以在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投标人如认为采购过程使自身的合法权益受到损害的，应于各采购程序环节结束之日起七个工作日内以书面形式向采购机构提出质疑；</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投标人如认为中标结果使自身的合法权益受到损害的，应于中标或者成交结果公告期限届满之日起七个工作日内以书面形式向采购机构提出质疑</w:t>
            </w:r>
            <w:r>
              <w:rPr>
                <w:rFonts w:hint="eastAsia" w:ascii="宋体" w:hAnsi="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16</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投诉</w:t>
            </w:r>
          </w:p>
        </w:tc>
        <w:tc>
          <w:tcPr>
            <w:tcW w:w="6682" w:type="dxa"/>
            <w:vAlign w:val="center"/>
          </w:tcPr>
          <w:p>
            <w:pPr>
              <w:snapToGrid w:val="0"/>
              <w:spacing w:line="36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17</w:t>
            </w:r>
          </w:p>
        </w:tc>
        <w:tc>
          <w:tcPr>
            <w:tcW w:w="1933"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特别说明</w:t>
            </w:r>
          </w:p>
        </w:tc>
        <w:tc>
          <w:tcPr>
            <w:tcW w:w="6682" w:type="dxa"/>
            <w:vAlign w:val="center"/>
          </w:tcPr>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投标人应无条件的、认真仔细地阅读本磋商文件及其澄清答疑、修改答复的补充文件，严格按照磋商文件及补充文件的规定和要求编制磋商响应文件。在编制磋商响应文件过程中，应严格遵循实事求是、诚信投标的原则，针对磋商文件中的采购需求、合同条款等各项内容进行确认，如有偏离，应如实填写响应偏离表。</w:t>
            </w:r>
          </w:p>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”的条款均为实质性要求，不响应的磋商响应文件将作无效标处理。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18</w:t>
            </w:r>
          </w:p>
        </w:tc>
        <w:tc>
          <w:tcPr>
            <w:tcW w:w="1933"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支</w:t>
            </w:r>
          </w:p>
          <w:p>
            <w:pPr>
              <w:snapToGrid w:val="0"/>
              <w:jc w:val="center"/>
              <w:rPr>
                <w:rFonts w:ascii="宋体" w:hAnsi="宋体"/>
                <w:color w:val="auto"/>
                <w:szCs w:val="21"/>
                <w:highlight w:val="none"/>
              </w:rPr>
            </w:pPr>
            <w:r>
              <w:rPr>
                <w:rFonts w:hint="eastAsia" w:ascii="宋体" w:hAnsi="宋体"/>
                <w:color w:val="auto"/>
                <w:szCs w:val="21"/>
                <w:highlight w:val="none"/>
              </w:rPr>
              <w:t>持</w:t>
            </w:r>
          </w:p>
          <w:p>
            <w:pPr>
              <w:snapToGrid w:val="0"/>
              <w:jc w:val="center"/>
              <w:rPr>
                <w:rFonts w:ascii="宋体" w:hAnsi="宋体"/>
                <w:color w:val="auto"/>
                <w:szCs w:val="21"/>
                <w:highlight w:val="none"/>
              </w:rPr>
            </w:pPr>
            <w:r>
              <w:rPr>
                <w:rFonts w:hint="eastAsia" w:ascii="宋体" w:hAnsi="宋体"/>
                <w:color w:val="auto"/>
                <w:szCs w:val="21"/>
                <w:highlight w:val="none"/>
              </w:rPr>
              <w:t>中</w:t>
            </w:r>
          </w:p>
          <w:p>
            <w:pPr>
              <w:snapToGrid w:val="0"/>
              <w:jc w:val="center"/>
              <w:rPr>
                <w:rFonts w:ascii="宋体" w:hAnsi="宋体"/>
                <w:color w:val="auto"/>
                <w:szCs w:val="21"/>
                <w:highlight w:val="none"/>
              </w:rPr>
            </w:pPr>
            <w:r>
              <w:rPr>
                <w:rFonts w:hint="eastAsia" w:ascii="宋体" w:hAnsi="宋体"/>
                <w:color w:val="auto"/>
                <w:szCs w:val="21"/>
                <w:highlight w:val="none"/>
              </w:rPr>
              <w:t>小</w:t>
            </w:r>
          </w:p>
          <w:p>
            <w:pPr>
              <w:snapToGrid w:val="0"/>
              <w:jc w:val="center"/>
              <w:rPr>
                <w:rFonts w:ascii="宋体" w:hAnsi="宋体"/>
                <w:color w:val="auto"/>
                <w:szCs w:val="21"/>
                <w:highlight w:val="none"/>
              </w:rPr>
            </w:pPr>
            <w:r>
              <w:rPr>
                <w:rFonts w:hint="eastAsia" w:ascii="宋体" w:hAnsi="宋体"/>
                <w:color w:val="auto"/>
                <w:szCs w:val="21"/>
                <w:highlight w:val="none"/>
              </w:rPr>
              <w:t>企</w:t>
            </w:r>
          </w:p>
          <w:p>
            <w:pPr>
              <w:snapToGrid w:val="0"/>
              <w:jc w:val="center"/>
              <w:rPr>
                <w:rFonts w:ascii="宋体" w:hAnsi="宋体"/>
                <w:color w:val="auto"/>
                <w:szCs w:val="21"/>
                <w:highlight w:val="none"/>
              </w:rPr>
            </w:pPr>
            <w:r>
              <w:rPr>
                <w:rFonts w:hint="eastAsia" w:ascii="宋体" w:hAnsi="宋体"/>
                <w:color w:val="auto"/>
                <w:szCs w:val="21"/>
                <w:highlight w:val="none"/>
              </w:rPr>
              <w:t>业</w:t>
            </w:r>
          </w:p>
          <w:p>
            <w:pPr>
              <w:snapToGrid w:val="0"/>
              <w:jc w:val="center"/>
              <w:rPr>
                <w:rFonts w:ascii="宋体" w:hAnsi="宋体"/>
                <w:color w:val="auto"/>
                <w:szCs w:val="21"/>
                <w:highlight w:val="none"/>
              </w:rPr>
            </w:pPr>
          </w:p>
        </w:tc>
        <w:tc>
          <w:tcPr>
            <w:tcW w:w="6682" w:type="dxa"/>
            <w:vAlign w:val="center"/>
          </w:tcPr>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符合中小企业划分标准的个体工商户，在政府采购活动中视同中小企业。</w:t>
            </w:r>
          </w:p>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在服务采购项目中，服务由小微企业承接，即提供服务的人员为小微企业依照《中华人民共和国劳动合同法》订立劳动合同的从业人员。</w:t>
            </w:r>
          </w:p>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联合体各方均为小型、微型企业的，联合体视同为小型、微型企业。</w:t>
            </w:r>
          </w:p>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符合上述条件的中小微型企业应按照磋商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pPr>
              <w:pStyle w:val="58"/>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组成联合体或者接受分包的小微企业与联合体内其他企业、分包企业之间存在直接控股、管理关系的，不享受价格扣除优惠政策。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19</w:t>
            </w:r>
          </w:p>
        </w:tc>
        <w:tc>
          <w:tcPr>
            <w:tcW w:w="1933"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是否允许分包</w:t>
            </w:r>
          </w:p>
        </w:tc>
        <w:tc>
          <w:tcPr>
            <w:tcW w:w="6682"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本项目不允许分包。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20</w:t>
            </w:r>
          </w:p>
        </w:tc>
        <w:tc>
          <w:tcPr>
            <w:tcW w:w="1933"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是否提供样品</w:t>
            </w:r>
          </w:p>
        </w:tc>
        <w:tc>
          <w:tcPr>
            <w:tcW w:w="6682"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本项目不需要提供样品。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21</w:t>
            </w:r>
          </w:p>
        </w:tc>
        <w:tc>
          <w:tcPr>
            <w:tcW w:w="1933"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是否提供演示</w:t>
            </w:r>
          </w:p>
        </w:tc>
        <w:tc>
          <w:tcPr>
            <w:tcW w:w="6682"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本项目不需要提供演示。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22</w:t>
            </w:r>
          </w:p>
        </w:tc>
        <w:tc>
          <w:tcPr>
            <w:tcW w:w="1933"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投标人信用信息查询渠道及截止时点、信用信息查询记录和证据留存的具体方式、信用信息的使用规则</w:t>
            </w:r>
          </w:p>
        </w:tc>
        <w:tc>
          <w:tcPr>
            <w:tcW w:w="6682"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1、查询渠道：信用中国（网址：http://www.creditchina.gov.cn）、中国政府采购网(网址：http://www.ccgp.gov.cn）。</w:t>
            </w:r>
          </w:p>
          <w:p>
            <w:pPr>
              <w:ind w:firstLine="420" w:firstLineChars="200"/>
              <w:rPr>
                <w:rFonts w:ascii="宋体" w:hAnsi="宋体"/>
                <w:color w:val="auto"/>
                <w:szCs w:val="21"/>
                <w:highlight w:val="none"/>
              </w:rPr>
            </w:pPr>
            <w:r>
              <w:rPr>
                <w:rFonts w:hint="eastAsia" w:ascii="宋体" w:hAnsi="宋体"/>
                <w:color w:val="auto"/>
                <w:szCs w:val="21"/>
                <w:highlight w:val="none"/>
              </w:rPr>
              <w:t>2、截止时点：开标后评标前。</w:t>
            </w:r>
          </w:p>
          <w:p>
            <w:pPr>
              <w:ind w:firstLine="420" w:firstLineChars="200"/>
              <w:rPr>
                <w:rFonts w:ascii="宋体" w:hAnsi="宋体"/>
                <w:color w:val="auto"/>
                <w:szCs w:val="21"/>
                <w:highlight w:val="none"/>
              </w:rPr>
            </w:pPr>
            <w:r>
              <w:rPr>
                <w:rFonts w:hint="eastAsia" w:ascii="宋体" w:hAnsi="宋体"/>
                <w:color w:val="auto"/>
                <w:szCs w:val="21"/>
                <w:highlight w:val="none"/>
              </w:rPr>
              <w:t>3、信用信息查询记录和证据留存的具体方式：由采购组织机构在规定查询时间内打印信用信息查询记录并归入项目档案。</w:t>
            </w:r>
          </w:p>
          <w:p>
            <w:pPr>
              <w:ind w:firstLine="420" w:firstLineChars="200"/>
              <w:rPr>
                <w:rFonts w:ascii="宋体" w:hAnsi="宋体"/>
                <w:color w:val="auto"/>
                <w:szCs w:val="21"/>
                <w:highlight w:val="none"/>
              </w:rPr>
            </w:pPr>
            <w:r>
              <w:rPr>
                <w:rFonts w:hint="eastAsia" w:ascii="宋体" w:hAnsi="宋体"/>
                <w:color w:val="auto"/>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515" w:type="dxa"/>
            <w:vMerge w:val="restart"/>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23</w:t>
            </w:r>
          </w:p>
        </w:tc>
        <w:tc>
          <w:tcPr>
            <w:tcW w:w="1933" w:type="dxa"/>
            <w:vMerge w:val="restart"/>
            <w:vAlign w:val="center"/>
          </w:tcPr>
          <w:p>
            <w:pPr>
              <w:snapToGrid w:val="0"/>
              <w:jc w:val="center"/>
              <w:rPr>
                <w:rFonts w:ascii="宋体" w:hAnsi="宋体"/>
                <w:color w:val="auto"/>
                <w:szCs w:val="21"/>
                <w:highlight w:val="none"/>
              </w:rPr>
            </w:pPr>
            <w:r>
              <w:rPr>
                <w:rFonts w:hint="eastAsia" w:ascii="宋体" w:hAnsi="宋体"/>
                <w:color w:val="auto"/>
                <w:szCs w:val="21"/>
                <w:highlight w:val="none"/>
              </w:rPr>
              <w:t>预付款</w:t>
            </w:r>
          </w:p>
        </w:tc>
        <w:tc>
          <w:tcPr>
            <w:tcW w:w="6682" w:type="dxa"/>
            <w:vAlign w:val="center"/>
          </w:tcPr>
          <w:p>
            <w:pPr>
              <w:ind w:firstLine="420" w:firstLineChars="200"/>
              <w:rPr>
                <w:rFonts w:hint="default" w:ascii="宋体" w:hAnsi="宋体" w:eastAsia="宋体"/>
                <w:color w:val="auto"/>
                <w:szCs w:val="21"/>
                <w:highlight w:val="none"/>
                <w:lang w:val="en-US" w:eastAsia="zh-CN"/>
              </w:rPr>
            </w:pPr>
            <w:r>
              <w:rPr>
                <w:rFonts w:hint="eastAsia" w:ascii="宋体" w:hAnsi="宋体" w:cs="宋体"/>
                <w:color w:val="auto"/>
                <w:szCs w:val="21"/>
                <w:highlight w:val="none"/>
              </w:rPr>
              <w:t>本项目涉及预付款，预付款比例为</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515" w:type="dxa"/>
            <w:vMerge w:val="continue"/>
            <w:vAlign w:val="center"/>
          </w:tcPr>
          <w:p>
            <w:pPr>
              <w:snapToGrid w:val="0"/>
              <w:spacing w:line="360" w:lineRule="exact"/>
              <w:jc w:val="center"/>
              <w:rPr>
                <w:rFonts w:ascii="宋体" w:hAnsi="宋体"/>
                <w:color w:val="auto"/>
                <w:kern w:val="0"/>
                <w:szCs w:val="21"/>
                <w:highlight w:val="none"/>
              </w:rPr>
            </w:pPr>
          </w:p>
        </w:tc>
        <w:tc>
          <w:tcPr>
            <w:tcW w:w="1933" w:type="dxa"/>
            <w:vMerge w:val="continue"/>
            <w:vAlign w:val="center"/>
          </w:tcPr>
          <w:p>
            <w:pPr>
              <w:snapToGrid w:val="0"/>
              <w:jc w:val="center"/>
              <w:rPr>
                <w:rFonts w:ascii="宋体" w:hAnsi="宋体"/>
                <w:color w:val="auto"/>
                <w:szCs w:val="21"/>
                <w:highlight w:val="none"/>
              </w:rPr>
            </w:pPr>
          </w:p>
        </w:tc>
        <w:tc>
          <w:tcPr>
            <w:tcW w:w="6682" w:type="dxa"/>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根据《浙江省财政厅关于进一步发挥政府采购政策功能全力推动经济稳进提质的通知》[浙财采监〔2022）3号]文件第二条第五点关于“进一步提高政府采购预付款比例”的规定：</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1、采购单位应当在政府采购合同中约定预付款。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3、本项目涉及投标人为大型企业，或者以人工投入为主且实行按月定期结算支付款项的，预付款可低于上述比例或者不约定预付款（相应字样应在合同中体现）。</w:t>
            </w:r>
          </w:p>
          <w:p>
            <w:pPr>
              <w:ind w:firstLine="420" w:firstLineChars="200"/>
              <w:rPr>
                <w:rFonts w:ascii="宋体" w:hAnsi="宋体"/>
                <w:color w:val="auto"/>
                <w:szCs w:val="21"/>
                <w:highlight w:val="none"/>
              </w:rPr>
            </w:pPr>
            <w:r>
              <w:rPr>
                <w:rFonts w:hint="eastAsia" w:ascii="宋体" w:hAnsi="宋体" w:cs="宋体"/>
                <w:color w:val="auto"/>
                <w:szCs w:val="21"/>
                <w:highlight w:val="none"/>
              </w:rPr>
              <w:t>4、在签订合同时，中标人明确表示无需预付款或者主动要求降低预付款比例的，应提交相应申请函经采购人确认后，可不适用前述规定。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515" w:type="dxa"/>
            <w:vAlign w:val="center"/>
          </w:tcPr>
          <w:p>
            <w:pPr>
              <w:snapToGrid w:val="0"/>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24</w:t>
            </w:r>
          </w:p>
        </w:tc>
        <w:tc>
          <w:tcPr>
            <w:tcW w:w="1933"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金融支持</w:t>
            </w:r>
          </w:p>
        </w:tc>
        <w:tc>
          <w:tcPr>
            <w:tcW w:w="6682" w:type="dxa"/>
          </w:tcPr>
          <w:p>
            <w:pPr>
              <w:ind w:firstLine="420" w:firstLineChars="200"/>
              <w:rPr>
                <w:rFonts w:ascii="宋体" w:hAnsi="宋体"/>
                <w:color w:val="auto"/>
                <w:szCs w:val="21"/>
                <w:highlight w:val="none"/>
              </w:rPr>
            </w:pPr>
            <w:r>
              <w:rPr>
                <w:rFonts w:hint="eastAsia" w:ascii="宋体" w:hAnsi="宋体"/>
                <w:color w:val="auto"/>
                <w:szCs w:val="21"/>
                <w:highlight w:val="none"/>
              </w:rPr>
              <w:t>为支持和促进中小企业发展，进一步发挥政府采购政策功能，浙江省财政厅出台浙财采监〔2020〕3 号文件，企业若有融资意向，可登录政采云平台融资服务（https://jinrong.zcygov.cn/），查看相应融资政策文件及各相关银行服务方案。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15"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25</w:t>
            </w:r>
          </w:p>
        </w:tc>
        <w:tc>
          <w:tcPr>
            <w:tcW w:w="1933"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商品包装和快递包装要求</w:t>
            </w:r>
          </w:p>
        </w:tc>
        <w:tc>
          <w:tcPr>
            <w:tcW w:w="6682" w:type="dxa"/>
            <w:vAlign w:val="center"/>
          </w:tcPr>
          <w:p>
            <w:pPr>
              <w:ind w:firstLine="422" w:firstLineChars="200"/>
              <w:rPr>
                <w:rFonts w:ascii="宋体" w:hAnsi="宋体"/>
                <w:b/>
                <w:bCs/>
                <w:color w:val="auto"/>
                <w:szCs w:val="21"/>
                <w:highlight w:val="none"/>
              </w:rPr>
            </w:pPr>
            <w:r>
              <w:rPr>
                <w:rFonts w:hint="eastAsia" w:ascii="宋体" w:hAnsi="宋体"/>
                <w:b/>
                <w:bCs/>
                <w:color w:val="auto"/>
                <w:szCs w:val="21"/>
                <w:highlight w:val="none"/>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15"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26</w:t>
            </w:r>
          </w:p>
        </w:tc>
        <w:tc>
          <w:tcPr>
            <w:tcW w:w="1933"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其他</w:t>
            </w:r>
          </w:p>
        </w:tc>
        <w:tc>
          <w:tcPr>
            <w:tcW w:w="6682" w:type="dxa"/>
            <w:vAlign w:val="center"/>
          </w:tcPr>
          <w:p>
            <w:pPr>
              <w:ind w:firstLine="420" w:firstLineChars="200"/>
              <w:rPr>
                <w:rFonts w:ascii="宋体" w:hAnsi="宋体"/>
                <w:bCs/>
                <w:color w:val="auto"/>
                <w:szCs w:val="21"/>
                <w:highlight w:val="none"/>
              </w:rPr>
            </w:pPr>
            <w:r>
              <w:rPr>
                <w:rFonts w:hint="eastAsia" w:ascii="宋体" w:hAnsi="宋体"/>
                <w:bCs/>
                <w:color w:val="auto"/>
                <w:szCs w:val="21"/>
                <w:highlight w:val="none"/>
              </w:rPr>
              <w:t>1、本磋商文件要求提供的身份证复印件皆需提供正反面，否则按不提供处理。</w:t>
            </w:r>
          </w:p>
          <w:p>
            <w:pPr>
              <w:ind w:firstLine="420" w:firstLineChars="200"/>
              <w:rPr>
                <w:rFonts w:ascii="宋体" w:hAnsi="宋体"/>
                <w:bCs/>
                <w:color w:val="auto"/>
                <w:szCs w:val="21"/>
                <w:highlight w:val="none"/>
              </w:rPr>
            </w:pPr>
            <w:r>
              <w:rPr>
                <w:rFonts w:hint="eastAsia" w:ascii="宋体" w:hAnsi="宋体"/>
                <w:bCs/>
                <w:color w:val="auto"/>
                <w:szCs w:val="21"/>
                <w:highlight w:val="none"/>
              </w:rPr>
              <w:t>2、本项目货物如涉及柴油动力移动源，柴油动力移动源应当符合低排放要求。</w:t>
            </w:r>
          </w:p>
        </w:tc>
      </w:tr>
    </w:tbl>
    <w:p>
      <w:pPr>
        <w:pStyle w:val="48"/>
        <w:spacing w:line="360" w:lineRule="auto"/>
        <w:rPr>
          <w:rFonts w:ascii="宋体" w:hAnsi="宋体"/>
          <w:color w:val="auto"/>
          <w:sz w:val="24"/>
          <w:szCs w:val="24"/>
          <w:highlight w:val="none"/>
        </w:rPr>
        <w:sectPr>
          <w:footerReference r:id="rId4" w:type="default"/>
          <w:pgSz w:w="11906" w:h="16838"/>
          <w:pgMar w:top="1440" w:right="1803" w:bottom="1440" w:left="1803" w:header="851" w:footer="992" w:gutter="0"/>
          <w:pgNumType w:start="1"/>
          <w:cols w:space="720" w:num="1"/>
          <w:docGrid w:type="lines" w:linePitch="325" w:charSpace="0"/>
        </w:sectPr>
      </w:pPr>
      <w:r>
        <w:rPr>
          <w:rFonts w:hint="eastAsia" w:ascii="宋体" w:hAnsi="宋体"/>
          <w:color w:val="auto"/>
          <w:sz w:val="24"/>
          <w:szCs w:val="24"/>
          <w:highlight w:val="none"/>
        </w:rPr>
        <w:t>注：以上内容如有变化将另行通知。如通知其中某一内容发生变化，其余未提及的将不作变动。</w:t>
      </w:r>
    </w:p>
    <w:p>
      <w:pPr>
        <w:pStyle w:val="51"/>
        <w:numPr>
          <w:ilvl w:val="0"/>
          <w:numId w:val="8"/>
        </w:numPr>
        <w:jc w:val="center"/>
        <w:rPr>
          <w:rFonts w:hAnsi="宋体"/>
          <w:color w:val="auto"/>
          <w:highlight w:val="none"/>
        </w:rPr>
      </w:pPr>
      <w:r>
        <w:rPr>
          <w:rFonts w:hint="eastAsia" w:hAnsi="宋体"/>
          <w:color w:val="auto"/>
          <w:highlight w:val="none"/>
        </w:rPr>
        <w:t xml:space="preserve"> </w:t>
      </w:r>
      <w:bookmarkStart w:id="14" w:name="_Toc30264"/>
      <w:r>
        <w:rPr>
          <w:rFonts w:hint="eastAsia" w:hAnsi="宋体"/>
          <w:color w:val="auto"/>
          <w:highlight w:val="none"/>
        </w:rPr>
        <w:t>总则</w:t>
      </w:r>
      <w:bookmarkEnd w:id="14"/>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pPr>
        <w:spacing w:line="360" w:lineRule="auto"/>
        <w:ind w:firstLine="482" w:firstLineChars="200"/>
        <w:rPr>
          <w:rFonts w:ascii="宋体" w:hAnsi="宋体"/>
          <w:b/>
          <w:bCs/>
          <w:color w:val="auto"/>
          <w:sz w:val="24"/>
          <w:szCs w:val="32"/>
          <w:highlight w:val="none"/>
        </w:rPr>
      </w:pPr>
      <w:r>
        <w:rPr>
          <w:rFonts w:hint="eastAsia" w:ascii="宋体" w:hAnsi="宋体"/>
          <w:b/>
          <w:bCs/>
          <w:color w:val="auto"/>
          <w:sz w:val="24"/>
          <w:szCs w:val="32"/>
          <w:highlight w:val="none"/>
        </w:rPr>
        <w:t>1、适用范围</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1.1本次磋商工作仅适用于</w:t>
      </w:r>
      <w:r>
        <w:rPr>
          <w:rFonts w:hint="eastAsia" w:ascii="宋体" w:hAnsi="宋体"/>
          <w:color w:val="auto"/>
          <w:sz w:val="24"/>
          <w:szCs w:val="32"/>
          <w:highlight w:val="none"/>
          <w:u w:val="single"/>
          <w:lang w:eastAsia="zh-CN"/>
        </w:rPr>
        <w:t>绍兴市上虞区东关街道办事处2025-2027年物业管理服务项目（二年）</w:t>
      </w:r>
      <w:r>
        <w:rPr>
          <w:rFonts w:hint="eastAsia" w:ascii="宋体" w:hAnsi="宋体"/>
          <w:color w:val="auto"/>
          <w:sz w:val="24"/>
          <w:szCs w:val="32"/>
          <w:highlight w:val="none"/>
        </w:rPr>
        <w:t>。</w:t>
      </w:r>
    </w:p>
    <w:p>
      <w:pPr>
        <w:ind w:firstLine="480" w:firstLineChars="200"/>
        <w:rPr>
          <w:rFonts w:ascii="宋体" w:hAnsi="宋体"/>
          <w:color w:val="auto"/>
          <w:sz w:val="24"/>
          <w:szCs w:val="32"/>
          <w:highlight w:val="none"/>
        </w:rPr>
      </w:pPr>
      <w:r>
        <w:rPr>
          <w:rFonts w:hint="eastAsia" w:ascii="宋体" w:hAnsi="宋体"/>
          <w:color w:val="auto"/>
          <w:sz w:val="24"/>
          <w:szCs w:val="32"/>
          <w:highlight w:val="none"/>
        </w:rPr>
        <w:t>1.2</w:t>
      </w:r>
      <w:r>
        <w:rPr>
          <w:rFonts w:hint="eastAsia" w:ascii="宋体" w:hAnsi="宋体"/>
          <w:color w:val="auto"/>
          <w:sz w:val="24"/>
          <w:highlight w:val="none"/>
        </w:rPr>
        <w:t>本项目采购方式采用竞争性磋商方式。</w:t>
      </w:r>
    </w:p>
    <w:p>
      <w:pPr>
        <w:spacing w:line="360" w:lineRule="auto"/>
        <w:ind w:firstLine="482" w:firstLineChars="200"/>
        <w:rPr>
          <w:rFonts w:ascii="宋体" w:hAnsi="宋体"/>
          <w:b/>
          <w:bCs/>
          <w:color w:val="auto"/>
          <w:sz w:val="24"/>
          <w:szCs w:val="32"/>
          <w:highlight w:val="none"/>
        </w:rPr>
      </w:pPr>
      <w:r>
        <w:rPr>
          <w:rFonts w:hint="eastAsia" w:ascii="宋体" w:hAnsi="宋体"/>
          <w:b/>
          <w:bCs/>
          <w:color w:val="auto"/>
          <w:sz w:val="24"/>
          <w:szCs w:val="32"/>
          <w:highlight w:val="none"/>
        </w:rPr>
        <w:t>2、定义</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2.1“</w:t>
      </w:r>
      <w:r>
        <w:rPr>
          <w:rFonts w:hint="eastAsia" w:ascii="宋体" w:hAnsi="宋体"/>
          <w:color w:val="auto"/>
          <w:sz w:val="24"/>
          <w:szCs w:val="32"/>
          <w:highlight w:val="none"/>
          <w:lang w:val="zh-CN"/>
        </w:rPr>
        <w:t>采购人”系指</w:t>
      </w:r>
      <w:r>
        <w:rPr>
          <w:rFonts w:hint="eastAsia" w:ascii="宋体" w:hAnsi="宋体"/>
          <w:color w:val="auto"/>
          <w:sz w:val="24"/>
          <w:szCs w:val="32"/>
          <w:highlight w:val="none"/>
          <w:u w:val="single"/>
        </w:rPr>
        <w:t xml:space="preserve"> 绍兴市上虞区东关街道办事处 </w:t>
      </w:r>
      <w:r>
        <w:rPr>
          <w:rFonts w:hint="eastAsia" w:ascii="宋体" w:hAnsi="宋体"/>
          <w:color w:val="auto"/>
          <w:sz w:val="24"/>
          <w:szCs w:val="32"/>
          <w:highlight w:val="none"/>
        </w:rPr>
        <w:t>。</w:t>
      </w:r>
      <w:r>
        <w:rPr>
          <w:rFonts w:hint="eastAsia" w:ascii="宋体" w:hAnsi="宋体"/>
          <w:color w:val="auto"/>
          <w:sz w:val="24"/>
          <w:highlight w:val="none"/>
        </w:rPr>
        <w:t>采购人委托</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绍兴市上虞区公共资源交易中心</w:t>
      </w:r>
      <w:r>
        <w:rPr>
          <w:rFonts w:hint="eastAsia" w:ascii="宋体" w:hAnsi="宋体"/>
          <w:color w:val="auto"/>
          <w:sz w:val="24"/>
          <w:highlight w:val="none"/>
          <w:u w:val="single"/>
        </w:rPr>
        <w:t xml:space="preserve"> </w:t>
      </w:r>
      <w:r>
        <w:rPr>
          <w:rFonts w:hint="eastAsia" w:ascii="宋体" w:hAnsi="宋体"/>
          <w:color w:val="auto"/>
          <w:sz w:val="24"/>
          <w:highlight w:val="none"/>
        </w:rPr>
        <w:t>为本项目采购代理机构。</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2.2“供应商”系指</w:t>
      </w:r>
      <w:r>
        <w:rPr>
          <w:rFonts w:hint="eastAsia" w:ascii="宋体" w:hAnsi="宋体"/>
          <w:color w:val="auto"/>
          <w:sz w:val="24"/>
          <w:highlight w:val="none"/>
        </w:rPr>
        <w:t>响应本次采购，参加本次竞争性磋商的供应商</w:t>
      </w:r>
      <w:r>
        <w:rPr>
          <w:rFonts w:hint="eastAsia" w:ascii="宋体" w:hAnsi="宋体"/>
          <w:color w:val="auto"/>
          <w:sz w:val="24"/>
          <w:szCs w:val="32"/>
          <w:highlight w:val="none"/>
        </w:rPr>
        <w:t>。</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2.3</w:t>
      </w:r>
      <w:r>
        <w:rPr>
          <w:rFonts w:hint="eastAsia" w:ascii="宋体" w:hAnsi="宋体"/>
          <w:color w:val="auto"/>
          <w:sz w:val="24"/>
          <w:szCs w:val="32"/>
          <w:highlight w:val="none"/>
          <w:lang w:val="zh-CN"/>
        </w:rPr>
        <w:t>“服务”系指</w:t>
      </w:r>
      <w:r>
        <w:rPr>
          <w:rFonts w:hint="eastAsia" w:ascii="宋体" w:hAnsi="宋体"/>
          <w:color w:val="auto"/>
          <w:sz w:val="24"/>
          <w:highlight w:val="none"/>
        </w:rPr>
        <w:t>磋商供应商按合同规定，须承担的服务的义务</w:t>
      </w:r>
      <w:r>
        <w:rPr>
          <w:rFonts w:hint="eastAsia" w:ascii="宋体" w:hAnsi="宋体"/>
          <w:color w:val="auto"/>
          <w:sz w:val="24"/>
          <w:szCs w:val="32"/>
          <w:highlight w:val="none"/>
          <w:lang w:val="zh-CN"/>
        </w:rPr>
        <w:t>。</w:t>
      </w:r>
    </w:p>
    <w:p>
      <w:pPr>
        <w:spacing w:line="360" w:lineRule="auto"/>
        <w:ind w:firstLine="482" w:firstLineChars="200"/>
        <w:rPr>
          <w:rFonts w:ascii="宋体" w:hAnsi="宋体"/>
          <w:b/>
          <w:bCs/>
          <w:color w:val="auto"/>
          <w:sz w:val="24"/>
          <w:szCs w:val="32"/>
          <w:highlight w:val="none"/>
        </w:rPr>
      </w:pPr>
      <w:r>
        <w:rPr>
          <w:rFonts w:hint="eastAsia" w:ascii="宋体" w:hAnsi="宋体"/>
          <w:b/>
          <w:bCs/>
          <w:color w:val="auto"/>
          <w:sz w:val="24"/>
          <w:szCs w:val="32"/>
          <w:highlight w:val="none"/>
        </w:rPr>
        <w:t>3、采购项目概况</w:t>
      </w:r>
      <w:r>
        <w:rPr>
          <w:rFonts w:hint="eastAsia" w:ascii="宋体" w:hAnsi="宋体"/>
          <w:b/>
          <w:bCs/>
          <w:color w:val="auto"/>
          <w:sz w:val="24"/>
          <w:szCs w:val="32"/>
          <w:highlight w:val="none"/>
        </w:rPr>
        <w:tab/>
      </w:r>
      <w:r>
        <w:rPr>
          <w:rFonts w:hint="eastAsia" w:ascii="宋体" w:hAnsi="宋体"/>
          <w:b/>
          <w:bCs/>
          <w:color w:val="auto"/>
          <w:sz w:val="24"/>
          <w:szCs w:val="32"/>
          <w:highlight w:val="none"/>
        </w:rPr>
        <w:tab/>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详见竞争性磋商公告相关内容，主要要求参见本文件第</w:t>
      </w:r>
      <w:r>
        <w:rPr>
          <w:rFonts w:hint="eastAsia" w:ascii="宋体" w:hAnsi="宋体"/>
          <w:color w:val="auto"/>
          <w:sz w:val="24"/>
          <w:szCs w:val="32"/>
          <w:highlight w:val="none"/>
          <w:u w:val="single"/>
        </w:rPr>
        <w:t xml:space="preserve"> 三 </w:t>
      </w:r>
      <w:r>
        <w:rPr>
          <w:rFonts w:hint="eastAsia" w:ascii="宋体" w:hAnsi="宋体"/>
          <w:color w:val="auto"/>
          <w:sz w:val="24"/>
          <w:szCs w:val="32"/>
          <w:highlight w:val="none"/>
        </w:rPr>
        <w:t>部分。</w:t>
      </w:r>
    </w:p>
    <w:p>
      <w:pPr>
        <w:spacing w:line="360" w:lineRule="auto"/>
        <w:ind w:firstLine="482" w:firstLineChars="200"/>
        <w:rPr>
          <w:rFonts w:ascii="宋体" w:hAnsi="宋体"/>
          <w:b/>
          <w:bCs/>
          <w:color w:val="auto"/>
          <w:sz w:val="24"/>
          <w:szCs w:val="32"/>
          <w:highlight w:val="none"/>
        </w:rPr>
      </w:pPr>
      <w:r>
        <w:rPr>
          <w:rFonts w:hint="eastAsia" w:ascii="宋体" w:hAnsi="宋体"/>
          <w:b/>
          <w:bCs/>
          <w:color w:val="auto"/>
          <w:sz w:val="24"/>
          <w:szCs w:val="32"/>
          <w:highlight w:val="none"/>
        </w:rPr>
        <w:t>4、</w:t>
      </w:r>
      <w:r>
        <w:rPr>
          <w:rFonts w:hint="eastAsia" w:ascii="宋体" w:hAnsi="宋体"/>
          <w:b/>
          <w:bCs/>
          <w:color w:val="auto"/>
          <w:sz w:val="24"/>
          <w:highlight w:val="none"/>
        </w:rPr>
        <w:t>合格的磋商供应商</w:t>
      </w:r>
    </w:p>
    <w:p>
      <w:pPr>
        <w:spacing w:line="360" w:lineRule="auto"/>
        <w:ind w:firstLine="480" w:firstLineChars="200"/>
        <w:rPr>
          <w:rFonts w:ascii="宋体" w:hAnsi="宋体"/>
          <w:color w:val="auto"/>
          <w:sz w:val="24"/>
          <w:highlight w:val="none"/>
        </w:rPr>
      </w:pPr>
      <w:bookmarkStart w:id="15" w:name="_Toc208913145"/>
      <w:bookmarkStart w:id="16" w:name="_Toc211412066"/>
      <w:bookmarkStart w:id="17" w:name="_Toc197163261"/>
      <w:bookmarkStart w:id="18" w:name="_Toc197657950"/>
      <w:bookmarkStart w:id="19" w:name="_Toc209520993"/>
      <w:bookmarkStart w:id="20" w:name="_Toc197053926"/>
      <w:bookmarkStart w:id="21" w:name="_Toc209504018"/>
      <w:bookmarkStart w:id="22" w:name="_Toc193538208"/>
      <w:bookmarkStart w:id="23" w:name="_Toc207946571"/>
      <w:bookmarkStart w:id="24" w:name="_Toc208287611"/>
      <w:bookmarkStart w:id="25" w:name="_Toc197156227"/>
      <w:bookmarkStart w:id="26" w:name="_Toc209435242"/>
      <w:bookmarkStart w:id="27" w:name="_Toc193523219"/>
      <w:bookmarkStart w:id="28" w:name="_Toc204683265"/>
      <w:r>
        <w:rPr>
          <w:rFonts w:hint="eastAsia" w:ascii="宋体" w:hAnsi="宋体"/>
          <w:color w:val="auto"/>
          <w:sz w:val="24"/>
          <w:highlight w:val="none"/>
        </w:rPr>
        <w:t>详见竞争性磋商采购公告磋商供应商的资格要求规定。</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spacing w:line="360" w:lineRule="auto"/>
        <w:ind w:firstLine="482" w:firstLineChars="200"/>
        <w:rPr>
          <w:rFonts w:ascii="宋体" w:hAnsi="宋体"/>
          <w:b/>
          <w:bCs/>
          <w:color w:val="auto"/>
          <w:sz w:val="24"/>
          <w:szCs w:val="32"/>
          <w:highlight w:val="none"/>
        </w:rPr>
      </w:pPr>
      <w:r>
        <w:rPr>
          <w:rFonts w:hint="eastAsia" w:ascii="宋体" w:hAnsi="宋体"/>
          <w:b/>
          <w:bCs/>
          <w:color w:val="auto"/>
          <w:sz w:val="24"/>
          <w:szCs w:val="32"/>
          <w:highlight w:val="none"/>
        </w:rPr>
        <w:t>5、磋商费用</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磋商供应商应承担其参加磋商所涉及的一切费用，不管结果如何，采购人对上述费用不负任何责任。</w:t>
      </w:r>
    </w:p>
    <w:p>
      <w:pPr>
        <w:pStyle w:val="51"/>
        <w:numPr>
          <w:ilvl w:val="0"/>
          <w:numId w:val="8"/>
        </w:numPr>
        <w:jc w:val="center"/>
        <w:rPr>
          <w:rFonts w:hAnsi="宋体"/>
          <w:color w:val="auto"/>
          <w:highlight w:val="none"/>
        </w:rPr>
      </w:pPr>
      <w:bookmarkStart w:id="29" w:name="_Toc32689"/>
      <w:bookmarkStart w:id="30" w:name="_Toc25923"/>
      <w:bookmarkStart w:id="31" w:name="_Toc416992151"/>
      <w:r>
        <w:rPr>
          <w:rFonts w:hint="eastAsia" w:hAnsi="宋体"/>
          <w:color w:val="auto"/>
          <w:highlight w:val="none"/>
        </w:rPr>
        <w:t xml:space="preserve"> </w:t>
      </w:r>
      <w:bookmarkStart w:id="32" w:name="_Toc2020"/>
      <w:r>
        <w:rPr>
          <w:rFonts w:hint="eastAsia" w:hAnsi="宋体"/>
          <w:color w:val="auto"/>
          <w:highlight w:val="none"/>
        </w:rPr>
        <w:t>竞争性磋商文件</w:t>
      </w:r>
      <w:bookmarkEnd w:id="29"/>
      <w:bookmarkEnd w:id="30"/>
      <w:bookmarkEnd w:id="31"/>
      <w:bookmarkEnd w:id="32"/>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6、磋商文件的组成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6.1本磋商文件包括目录所示内容及所有按本须知发出的补充资料（如果有）。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6.2除上述所列内容外，采购人及采购代理机构的任何工作人员对磋商供应商所作的任何口头解释、介绍、答复，只能供磋商供应商参考，对采购人和磋商供应商无任何约束力。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6.3磋商供应商应仔细阅读磋商文件的所有内容，按照文件要求提交响应文件，并保证所提交的全部资料的真实性。不按磋商文件的要求提供的响应文件和资料，可能导致磋商被拒绝。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7、磋商文件的澄清与修改</w:t>
      </w:r>
    </w:p>
    <w:p>
      <w:pPr>
        <w:pStyle w:val="50"/>
        <w:ind w:firstLine="480" w:firstLineChars="200"/>
        <w:rPr>
          <w:rFonts w:hint="default"/>
          <w:color w:val="auto"/>
          <w:highlight w:val="none"/>
        </w:rPr>
      </w:pPr>
      <w:r>
        <w:rPr>
          <w:color w:val="auto"/>
          <w:highlight w:val="none"/>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pPr>
        <w:pStyle w:val="50"/>
        <w:ind w:right="-252" w:rightChars="-120" w:firstLine="480" w:firstLineChars="200"/>
        <w:rPr>
          <w:rFonts w:hint="default"/>
          <w:color w:val="auto"/>
          <w:highlight w:val="none"/>
        </w:rPr>
      </w:pPr>
      <w:r>
        <w:rPr>
          <w:color w:val="auto"/>
          <w:highlight w:val="none"/>
        </w:rPr>
        <w:t>7.2磋商供应商要求解释或澄清的问题应以书面形式，并加盖公章、写明日期。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7.3提交响应文件截止之日前，采购人、采购代理机构或者磋商小组可以对已发出的磋商文件进行必要的澄清或者修改，澄清或者修改的内容作为磋商文件的组成部分。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7.4竞争性磋商文件的澄清修改文件及更正补充公告，请自行登录浙江政府采购网或绍兴市上虞区公共资源交易中心网站，在采购公告页面中下载。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7.6竞争性磋商文件澄清、答复、修改、补充的内容为竞争性磋商文件的组成部分。</w:t>
      </w:r>
    </w:p>
    <w:p>
      <w:pPr>
        <w:pStyle w:val="48"/>
        <w:spacing w:line="360" w:lineRule="auto"/>
        <w:rPr>
          <w:rFonts w:hint="eastAsia" w:ascii="宋体" w:hAnsi="宋体"/>
          <w:color w:val="auto"/>
          <w:sz w:val="24"/>
          <w:szCs w:val="24"/>
          <w:highlight w:val="none"/>
        </w:rPr>
      </w:pPr>
      <w:r>
        <w:rPr>
          <w:rFonts w:hint="eastAsia" w:ascii="宋体" w:hAnsi="宋体"/>
          <w:color w:val="auto"/>
          <w:sz w:val="24"/>
          <w:szCs w:val="24"/>
          <w:highlight w:val="none"/>
        </w:rPr>
        <w:t>7.7磋商文件发售截止日后，经采购人同意后购买磋商文件的磋商供应商不得对磋商文件和补充文件提出答疑或质疑。</w:t>
      </w:r>
    </w:p>
    <w:p>
      <w:pPr>
        <w:pStyle w:val="48"/>
        <w:spacing w:line="360" w:lineRule="auto"/>
        <w:rPr>
          <w:rFonts w:ascii="宋体" w:hAnsi="宋体"/>
          <w:color w:val="auto"/>
          <w:sz w:val="24"/>
          <w:szCs w:val="24"/>
          <w:highlight w:val="none"/>
        </w:rPr>
      </w:pPr>
    </w:p>
    <w:p>
      <w:pPr>
        <w:pStyle w:val="51"/>
        <w:numPr>
          <w:ilvl w:val="0"/>
          <w:numId w:val="8"/>
        </w:numPr>
        <w:jc w:val="center"/>
        <w:rPr>
          <w:rFonts w:hAnsi="宋体"/>
          <w:color w:val="auto"/>
          <w:highlight w:val="none"/>
        </w:rPr>
      </w:pPr>
      <w:bookmarkStart w:id="33" w:name="_Toc1729"/>
      <w:bookmarkStart w:id="34" w:name="_Toc7126"/>
      <w:bookmarkStart w:id="35" w:name="_Toc1202"/>
      <w:bookmarkStart w:id="36" w:name="_Toc11692"/>
      <w:bookmarkStart w:id="37" w:name="_Toc24622"/>
      <w:bookmarkStart w:id="38" w:name="_Toc10810"/>
      <w:bookmarkStart w:id="39" w:name="_Toc6457"/>
      <w:bookmarkStart w:id="40" w:name="_Toc23975"/>
      <w:bookmarkStart w:id="41" w:name="_Toc18702"/>
      <w:bookmarkStart w:id="42" w:name="_Toc11669"/>
      <w:bookmarkStart w:id="43" w:name="_Toc391298957"/>
      <w:bookmarkStart w:id="44" w:name="_Toc31748"/>
      <w:bookmarkStart w:id="45" w:name="_Toc10669"/>
      <w:bookmarkStart w:id="46" w:name="_Toc8860"/>
      <w:bookmarkStart w:id="47" w:name="_Toc6273"/>
      <w:bookmarkStart w:id="48" w:name="_Toc23135"/>
      <w:bookmarkStart w:id="49" w:name="_Toc1828"/>
      <w:bookmarkStart w:id="50" w:name="_Toc26027"/>
      <w:bookmarkStart w:id="51" w:name="_Toc26603"/>
      <w:bookmarkStart w:id="52" w:name="_Toc6079"/>
      <w:bookmarkStart w:id="53" w:name="_Toc11093"/>
      <w:bookmarkStart w:id="54" w:name="_Toc14650"/>
      <w:r>
        <w:rPr>
          <w:rFonts w:hint="eastAsia" w:hAnsi="宋体"/>
          <w:color w:val="auto"/>
          <w:highlight w:val="none"/>
        </w:rPr>
        <w:t xml:space="preserve"> </w:t>
      </w:r>
      <w:bookmarkStart w:id="55" w:name="_Toc18532"/>
      <w:r>
        <w:rPr>
          <w:rFonts w:hint="eastAsia" w:hAnsi="宋体"/>
          <w:color w:val="auto"/>
          <w:highlight w:val="none"/>
        </w:rPr>
        <w:t>竞争性磋商响应文件的编写</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8、要求</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8.2报价</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8.2.1本次报价非一次性报价，报价币种为人民币。在磋商后根据磋商情况（包括细化采购方案和要求，增补部分采购内容等），供应商须二次报价（最终报价），如果供应商在规定时间30分钟内未提交第二次报价，视该供应商放弃本次投标，作无效标处理。</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8.2.2本次报价应包含项目所需全部服务，不得缺漏，是履行合同的最终价格，包括但不限于人员工资（包括加班费）、福利、奖金（过节费、高温费、伙食费、住宿费等）、保洁工具及部分耗材、工程维修设备工具、机械及车辆、绿化养护、垃圾清运、保险、服装、办公用品、利润、管理、税金及不可预见费用（如突击工作费等）等完成本项目的全部费用。凡乙方在报价中未列明但又为本次采购所必备的项目或遗漏项目，甲方将一律视为已包括在合同价中，在合同执行中将不予考虑。</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投标报价固定是指供应商所填写的投标报价在合同实施期间不因市场因素而变动，供应商在计算报价时可考虑一定的风险系数（由供应商自行考虑）。</w:t>
      </w:r>
    </w:p>
    <w:p>
      <w:pPr>
        <w:spacing w:line="360" w:lineRule="auto"/>
        <w:ind w:firstLine="480" w:firstLineChars="200"/>
        <w:rPr>
          <w:rFonts w:ascii="宋体" w:hAnsi="宋体"/>
          <w:color w:val="auto"/>
          <w:sz w:val="24"/>
          <w:szCs w:val="32"/>
          <w:highlight w:val="none"/>
        </w:rPr>
      </w:pPr>
      <w:r>
        <w:rPr>
          <w:rFonts w:hint="eastAsia" w:ascii="宋体" w:hAnsi="宋体"/>
          <w:color w:val="auto"/>
          <w:sz w:val="24"/>
          <w:szCs w:val="32"/>
          <w:highlight w:val="none"/>
        </w:rPr>
        <w:t>8.2.3供应商的报价作为供应商计算单价或总价的依据，应完成技术文件中的所有要求，不得以任何理由予以重复，供应商对报价若有说明应在报价一览表备注处注明。任何有选择的报价方案及价格将不予接受。</w:t>
      </w:r>
    </w:p>
    <w:p>
      <w:pPr>
        <w:pStyle w:val="58"/>
        <w:spacing w:line="360" w:lineRule="auto"/>
        <w:ind w:firstLine="482" w:firstLineChars="200"/>
        <w:rPr>
          <w:rFonts w:hAnsi="宋体"/>
          <w:b/>
          <w:color w:val="auto"/>
          <w:sz w:val="24"/>
          <w:szCs w:val="24"/>
          <w:highlight w:val="none"/>
        </w:rPr>
      </w:pPr>
      <w:r>
        <w:rPr>
          <w:rFonts w:hint="eastAsia" w:hAnsi="宋体"/>
          <w:b/>
          <w:color w:val="auto"/>
          <w:sz w:val="24"/>
          <w:szCs w:val="24"/>
          <w:highlight w:val="none"/>
        </w:rPr>
        <w:t>9、响应文件的组成</w:t>
      </w:r>
      <w:r>
        <w:rPr>
          <w:rFonts w:hint="eastAsia" w:hAnsi="宋体"/>
          <w:b/>
          <w:color w:val="auto"/>
          <w:sz w:val="24"/>
          <w:szCs w:val="24"/>
          <w:highlight w:val="none"/>
          <w:u w:val="single"/>
        </w:rPr>
        <w:t>（供应商应根据采购文件的要求提供相应的内容且设置关联定位，供应商可查看《供应商-政府采购项目电子交易操作指南》进行操作：https://help.zcygov.cn/web/site_2/2018/12-28/2573.html）</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响应文件应当包括以下主要内容：资格文件、商务技术文件、报价文件。</w:t>
      </w:r>
    </w:p>
    <w:p>
      <w:pPr>
        <w:pStyle w:val="61"/>
        <w:numPr>
          <w:ilvl w:val="0"/>
          <w:numId w:val="9"/>
        </w:numPr>
        <w:tabs>
          <w:tab w:val="clear" w:pos="0"/>
        </w:tabs>
        <w:spacing w:before="0"/>
        <w:ind w:firstLine="480"/>
        <w:rPr>
          <w:rFonts w:ascii="宋体" w:hAnsi="宋体"/>
          <w:color w:val="auto"/>
          <w:szCs w:val="24"/>
          <w:highlight w:val="none"/>
        </w:rPr>
      </w:pPr>
      <w:r>
        <w:rPr>
          <w:rFonts w:hint="eastAsia" w:ascii="宋体" w:hAnsi="宋体"/>
          <w:color w:val="auto"/>
          <w:szCs w:val="24"/>
          <w:highlight w:val="none"/>
        </w:rPr>
        <w:t>资格文件包括以下内容：</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w:t>
      </w:r>
      <w:r>
        <w:rPr>
          <w:rFonts w:hint="eastAsia" w:ascii="宋体" w:hAnsi="宋体"/>
          <w:color w:val="auto"/>
          <w:szCs w:val="24"/>
          <w:highlight w:val="none"/>
        </w:rPr>
        <w:t>法定代表人授权书（格式见附件）；如法定代表人直接参加谈判并对相应文件签字的（签字是指线下签字扫描后上传或者线上进行电子签章），只需提供其身份证复印件，否则则应提供授权代表身份证复印件；</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2）</w:t>
      </w:r>
      <w:r>
        <w:rPr>
          <w:rFonts w:hint="eastAsia" w:ascii="宋体" w:hAnsi="宋体"/>
          <w:color w:val="auto"/>
          <w:szCs w:val="24"/>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pPr>
        <w:pStyle w:val="61"/>
        <w:spacing w:before="0"/>
        <w:ind w:firstLine="720" w:firstLineChars="300"/>
        <w:rPr>
          <w:rFonts w:ascii="宋体" w:hAnsi="宋体"/>
          <w:color w:val="auto"/>
          <w:szCs w:val="24"/>
          <w:highlight w:val="none"/>
        </w:rPr>
      </w:pPr>
      <w:r>
        <w:rPr>
          <w:rFonts w:hint="eastAsia" w:ascii="宋体" w:hAnsi="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谈判响应文件中提供相关材料），证明其具备实际承担责任的能力和法定的缔结合同能力，可以独立参加政府采购活动，由单位负责人签署相关文件材料；</w:t>
      </w:r>
    </w:p>
    <w:p>
      <w:pPr>
        <w:pStyle w:val="61"/>
        <w:spacing w:before="0"/>
        <w:ind w:firstLine="480"/>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3）</w:t>
      </w:r>
      <w:r>
        <w:rPr>
          <w:rFonts w:hint="eastAsia" w:ascii="宋体" w:hAnsi="宋体"/>
          <w:color w:val="auto"/>
          <w:szCs w:val="24"/>
          <w:highlight w:val="none"/>
          <w:lang w:eastAsia="zh-CN"/>
        </w:rPr>
        <w:t>具有履行合同所必需的产品和专业技术能力的承诺函（格式自拟）；</w:t>
      </w:r>
    </w:p>
    <w:p>
      <w:pPr>
        <w:pStyle w:val="61"/>
        <w:spacing w:before="0"/>
        <w:ind w:firstLine="480"/>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4</w:t>
      </w:r>
      <w:r>
        <w:rPr>
          <w:rFonts w:hint="eastAsia" w:ascii="宋体" w:hAnsi="宋体"/>
          <w:color w:val="auto"/>
          <w:szCs w:val="24"/>
          <w:highlight w:val="none"/>
          <w:lang w:eastAsia="zh-CN"/>
        </w:rPr>
        <w:t>）投标人承诺函（格式见附件）；</w:t>
      </w:r>
    </w:p>
    <w:p>
      <w:pPr>
        <w:pStyle w:val="61"/>
        <w:spacing w:before="0"/>
        <w:ind w:firstLine="480"/>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5</w:t>
      </w:r>
      <w:r>
        <w:rPr>
          <w:rFonts w:hint="eastAsia" w:ascii="宋体" w:hAnsi="宋体"/>
          <w:color w:val="auto"/>
          <w:szCs w:val="24"/>
          <w:highlight w:val="none"/>
          <w:lang w:eastAsia="zh-CN"/>
        </w:rPr>
        <w:t>）中小企业声明函（格式见附件）；</w:t>
      </w:r>
    </w:p>
    <w:p>
      <w:pPr>
        <w:pStyle w:val="61"/>
        <w:spacing w:before="0"/>
        <w:ind w:firstLine="480"/>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6</w:t>
      </w:r>
      <w:r>
        <w:rPr>
          <w:rFonts w:hint="eastAsia" w:ascii="宋体" w:hAnsi="宋体"/>
          <w:color w:val="auto"/>
          <w:szCs w:val="24"/>
          <w:highlight w:val="none"/>
          <w:lang w:eastAsia="zh-CN"/>
        </w:rPr>
        <w:t>）残疾人福利性单位声明函(如有)（格式见附件）；</w:t>
      </w:r>
    </w:p>
    <w:p>
      <w:pPr>
        <w:pStyle w:val="61"/>
        <w:spacing w:before="0"/>
        <w:ind w:firstLine="480"/>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7</w:t>
      </w:r>
      <w:r>
        <w:rPr>
          <w:rFonts w:hint="eastAsia" w:ascii="宋体" w:hAnsi="宋体"/>
          <w:color w:val="auto"/>
          <w:szCs w:val="24"/>
          <w:highlight w:val="none"/>
          <w:lang w:eastAsia="zh-CN"/>
        </w:rPr>
        <w:t>）监狱企业证明文件(如有)（格式见附件）。</w:t>
      </w:r>
    </w:p>
    <w:p>
      <w:pPr>
        <w:pStyle w:val="61"/>
        <w:numPr>
          <w:ilvl w:val="0"/>
          <w:numId w:val="9"/>
        </w:numPr>
        <w:tabs>
          <w:tab w:val="clear" w:pos="0"/>
        </w:tabs>
        <w:spacing w:before="0"/>
        <w:ind w:firstLine="480"/>
        <w:rPr>
          <w:rFonts w:ascii="宋体" w:hAnsi="宋体"/>
          <w:color w:val="auto"/>
          <w:szCs w:val="24"/>
          <w:highlight w:val="none"/>
        </w:rPr>
      </w:pPr>
      <w:r>
        <w:rPr>
          <w:rFonts w:hint="eastAsia" w:ascii="宋体" w:hAnsi="宋体"/>
          <w:color w:val="auto"/>
          <w:szCs w:val="24"/>
          <w:highlight w:val="none"/>
        </w:rPr>
        <w:t>商务技术文件，本次磋商需要供应商提供以下所列的技术文件：</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w:t>
      </w:r>
      <w:r>
        <w:rPr>
          <w:rFonts w:hint="eastAsia" w:ascii="宋体" w:hAnsi="宋体"/>
          <w:color w:val="auto"/>
          <w:szCs w:val="24"/>
          <w:highlight w:val="none"/>
          <w:lang w:eastAsia="zh-CN"/>
        </w:rPr>
        <w:t>）</w:t>
      </w:r>
      <w:r>
        <w:rPr>
          <w:rFonts w:hint="eastAsia" w:ascii="宋体" w:hAnsi="宋体"/>
          <w:color w:val="auto"/>
          <w:szCs w:val="24"/>
          <w:highlight w:val="none"/>
        </w:rPr>
        <w:t>评分对应表（格式见附件，主要用于评委对应评分内容）</w:t>
      </w:r>
    </w:p>
    <w:p>
      <w:pPr>
        <w:pStyle w:val="61"/>
        <w:numPr>
          <w:ilvl w:val="0"/>
          <w:numId w:val="0"/>
        </w:numPr>
        <w:spacing w:before="0"/>
        <w:ind w:firstLine="480" w:firstLineChars="200"/>
        <w:rPr>
          <w:rFonts w:hint="eastAsia"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2</w:t>
      </w:r>
      <w:r>
        <w:rPr>
          <w:rFonts w:hint="eastAsia" w:ascii="宋体" w:hAnsi="宋体"/>
          <w:color w:val="auto"/>
          <w:szCs w:val="24"/>
          <w:highlight w:val="none"/>
          <w:lang w:eastAsia="zh-CN"/>
        </w:rPr>
        <w:t>）</w:t>
      </w:r>
      <w:r>
        <w:rPr>
          <w:rFonts w:hint="eastAsia" w:ascii="宋体" w:hAnsi="宋体"/>
          <w:color w:val="auto"/>
          <w:szCs w:val="24"/>
          <w:highlight w:val="none"/>
        </w:rPr>
        <w:t>资信分自评表（格式见附件）；</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3</w:t>
      </w:r>
      <w:r>
        <w:rPr>
          <w:rFonts w:hint="eastAsia" w:ascii="宋体" w:hAnsi="宋体"/>
          <w:color w:val="auto"/>
          <w:szCs w:val="24"/>
          <w:highlight w:val="none"/>
          <w:lang w:eastAsia="zh-CN"/>
        </w:rPr>
        <w:t>）综合实力；</w:t>
      </w:r>
    </w:p>
    <w:p>
      <w:pPr>
        <w:pStyle w:val="61"/>
        <w:numPr>
          <w:ilvl w:val="0"/>
          <w:numId w:val="0"/>
        </w:numPr>
        <w:spacing w:before="0"/>
        <w:ind w:firstLine="480" w:firstLineChars="200"/>
        <w:rPr>
          <w:rFonts w:hint="eastAsia"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4</w:t>
      </w:r>
      <w:r>
        <w:rPr>
          <w:rFonts w:hint="eastAsia" w:ascii="宋体" w:hAnsi="宋体"/>
          <w:color w:val="auto"/>
          <w:szCs w:val="24"/>
          <w:highlight w:val="none"/>
          <w:lang w:eastAsia="zh-CN"/>
        </w:rPr>
        <w:t>）管理制度</w:t>
      </w:r>
      <w:r>
        <w:rPr>
          <w:rFonts w:hint="eastAsia" w:ascii="宋体" w:hAnsi="宋体"/>
          <w:color w:val="auto"/>
          <w:szCs w:val="24"/>
          <w:highlight w:val="none"/>
        </w:rPr>
        <w:t>；</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5</w:t>
      </w:r>
      <w:r>
        <w:rPr>
          <w:rFonts w:hint="eastAsia" w:ascii="宋体" w:hAnsi="宋体"/>
          <w:color w:val="auto"/>
          <w:szCs w:val="24"/>
          <w:highlight w:val="none"/>
          <w:lang w:eastAsia="zh-CN"/>
        </w:rPr>
        <w:t>）人员考勤制度</w:t>
      </w:r>
      <w:r>
        <w:rPr>
          <w:rFonts w:hint="eastAsia" w:ascii="宋体" w:hAnsi="宋体"/>
          <w:color w:val="auto"/>
          <w:szCs w:val="24"/>
          <w:highlight w:val="none"/>
        </w:rPr>
        <w:t>；</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服务方案</w:t>
      </w:r>
      <w:r>
        <w:rPr>
          <w:rFonts w:hint="eastAsia" w:ascii="宋体" w:hAnsi="宋体"/>
          <w:color w:val="auto"/>
          <w:szCs w:val="24"/>
          <w:highlight w:val="none"/>
        </w:rPr>
        <w:t>；</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7</w:t>
      </w:r>
      <w:r>
        <w:rPr>
          <w:rFonts w:hint="eastAsia" w:ascii="宋体" w:hAnsi="宋体"/>
          <w:color w:val="auto"/>
          <w:szCs w:val="24"/>
          <w:highlight w:val="none"/>
          <w:lang w:eastAsia="zh-CN"/>
        </w:rPr>
        <w:t>）</w:t>
      </w:r>
      <w:r>
        <w:rPr>
          <w:rFonts w:hint="eastAsia" w:ascii="宋体" w:hAnsi="宋体"/>
          <w:color w:val="auto"/>
          <w:sz w:val="24"/>
          <w:highlight w:val="none"/>
        </w:rPr>
        <w:t>突发应急预案</w:t>
      </w:r>
      <w:r>
        <w:rPr>
          <w:rFonts w:hint="eastAsia" w:ascii="宋体" w:hAnsi="宋体"/>
          <w:color w:val="auto"/>
          <w:szCs w:val="24"/>
          <w:highlight w:val="none"/>
        </w:rPr>
        <w:t>；</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8</w:t>
      </w:r>
      <w:r>
        <w:rPr>
          <w:rFonts w:hint="eastAsia" w:ascii="宋体" w:hAnsi="宋体"/>
          <w:color w:val="auto"/>
          <w:szCs w:val="24"/>
          <w:highlight w:val="none"/>
          <w:lang w:eastAsia="zh-CN"/>
        </w:rPr>
        <w:t>）</w:t>
      </w:r>
      <w:r>
        <w:rPr>
          <w:rFonts w:hint="eastAsia" w:ascii="宋体" w:hAnsi="宋体"/>
          <w:color w:val="auto"/>
          <w:szCs w:val="24"/>
          <w:highlight w:val="none"/>
        </w:rPr>
        <w:t>应急车辆情况表；</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9</w:t>
      </w:r>
      <w:r>
        <w:rPr>
          <w:rFonts w:hint="eastAsia" w:ascii="宋体" w:hAnsi="宋体"/>
          <w:color w:val="auto"/>
          <w:szCs w:val="24"/>
          <w:highlight w:val="none"/>
          <w:lang w:eastAsia="zh-CN"/>
        </w:rPr>
        <w:t>）</w:t>
      </w:r>
      <w:r>
        <w:rPr>
          <w:rFonts w:hint="eastAsia" w:ascii="宋体" w:hAnsi="宋体"/>
          <w:color w:val="auto"/>
          <w:szCs w:val="24"/>
          <w:highlight w:val="none"/>
        </w:rPr>
        <w:t>重大活动保障；</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10</w:t>
      </w:r>
      <w:r>
        <w:rPr>
          <w:rFonts w:hint="eastAsia" w:ascii="宋体" w:hAnsi="宋体"/>
          <w:color w:val="auto"/>
          <w:szCs w:val="24"/>
          <w:highlight w:val="none"/>
          <w:lang w:eastAsia="zh-CN"/>
        </w:rPr>
        <w:t>）</w:t>
      </w:r>
      <w:r>
        <w:rPr>
          <w:rFonts w:hint="eastAsia" w:ascii="宋体" w:hAnsi="宋体"/>
          <w:color w:val="auto"/>
          <w:sz w:val="24"/>
          <w:highlight w:val="none"/>
        </w:rPr>
        <w:t>培训方案</w:t>
      </w:r>
      <w:r>
        <w:rPr>
          <w:rFonts w:hint="eastAsia" w:ascii="宋体" w:hAnsi="宋体"/>
          <w:color w:val="auto"/>
          <w:sz w:val="24"/>
          <w:highlight w:val="none"/>
          <w:lang w:eastAsia="zh-CN"/>
        </w:rPr>
        <w:t>；</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11</w:t>
      </w:r>
      <w:r>
        <w:rPr>
          <w:rFonts w:hint="eastAsia" w:ascii="宋体" w:hAnsi="宋体"/>
          <w:color w:val="auto"/>
          <w:szCs w:val="24"/>
          <w:highlight w:val="none"/>
          <w:lang w:eastAsia="zh-CN"/>
        </w:rPr>
        <w:t>）</w:t>
      </w:r>
      <w:r>
        <w:rPr>
          <w:rFonts w:hint="eastAsia" w:ascii="宋体" w:hAnsi="宋体"/>
          <w:color w:val="auto"/>
          <w:szCs w:val="24"/>
          <w:highlight w:val="none"/>
        </w:rPr>
        <w:t>进退场交接方案；</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12</w:t>
      </w:r>
      <w:r>
        <w:rPr>
          <w:rFonts w:hint="eastAsia" w:ascii="宋体" w:hAnsi="宋体"/>
          <w:color w:val="auto"/>
          <w:szCs w:val="24"/>
          <w:highlight w:val="none"/>
          <w:lang w:eastAsia="zh-CN"/>
        </w:rPr>
        <w:t>）</w:t>
      </w:r>
      <w:r>
        <w:rPr>
          <w:rFonts w:hint="eastAsia" w:ascii="宋体" w:hAnsi="宋体"/>
          <w:color w:val="auto"/>
          <w:szCs w:val="24"/>
          <w:highlight w:val="none"/>
        </w:rPr>
        <w:t>商务响应表（格式见附件）；</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13</w:t>
      </w:r>
      <w:r>
        <w:rPr>
          <w:rFonts w:hint="eastAsia" w:ascii="宋体" w:hAnsi="宋体"/>
          <w:color w:val="auto"/>
          <w:szCs w:val="24"/>
          <w:highlight w:val="none"/>
          <w:lang w:eastAsia="zh-CN"/>
        </w:rPr>
        <w:t>）</w:t>
      </w:r>
      <w:r>
        <w:rPr>
          <w:rFonts w:hint="eastAsia" w:ascii="宋体" w:hAnsi="宋体"/>
          <w:color w:val="auto"/>
          <w:szCs w:val="24"/>
          <w:highlight w:val="none"/>
        </w:rPr>
        <w:t>业绩；</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14</w:t>
      </w:r>
      <w:r>
        <w:rPr>
          <w:rFonts w:hint="eastAsia" w:ascii="宋体" w:hAnsi="宋体"/>
          <w:color w:val="auto"/>
          <w:szCs w:val="24"/>
          <w:highlight w:val="none"/>
          <w:lang w:eastAsia="zh-CN"/>
        </w:rPr>
        <w:t>）</w:t>
      </w:r>
      <w:r>
        <w:rPr>
          <w:rFonts w:hint="eastAsia" w:ascii="宋体" w:hAnsi="宋体"/>
          <w:color w:val="auto"/>
          <w:szCs w:val="24"/>
          <w:highlight w:val="none"/>
        </w:rPr>
        <w:t>证书；</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15</w:t>
      </w:r>
      <w:r>
        <w:rPr>
          <w:rFonts w:hint="eastAsia" w:ascii="宋体" w:hAnsi="宋体"/>
          <w:color w:val="auto"/>
          <w:szCs w:val="24"/>
          <w:highlight w:val="none"/>
          <w:lang w:eastAsia="zh-CN"/>
        </w:rPr>
        <w:t>）</w:t>
      </w:r>
      <w:r>
        <w:rPr>
          <w:rFonts w:hint="eastAsia" w:ascii="宋体" w:hAnsi="宋体"/>
          <w:color w:val="auto"/>
          <w:szCs w:val="24"/>
          <w:highlight w:val="none"/>
        </w:rPr>
        <w:t>荣誉；</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16</w:t>
      </w:r>
      <w:r>
        <w:rPr>
          <w:rFonts w:hint="eastAsia" w:ascii="宋体" w:hAnsi="宋体"/>
          <w:color w:val="auto"/>
          <w:szCs w:val="24"/>
          <w:highlight w:val="none"/>
          <w:lang w:eastAsia="zh-CN"/>
        </w:rPr>
        <w:t>）</w:t>
      </w:r>
      <w:r>
        <w:rPr>
          <w:rFonts w:hint="eastAsia" w:ascii="宋体" w:hAnsi="宋体"/>
          <w:color w:val="auto"/>
          <w:szCs w:val="24"/>
          <w:highlight w:val="none"/>
        </w:rPr>
        <w:t>投标人认为需要的其他文件资料。</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如果本项目涉及硬件设备采购，还需提供相关设备完整配置方案（设备名称、品牌、规格型号、数量、主要技术参数等），提供主要投标产品的技术参数证明材料（如官网截图、产品彩页、原厂技术说明等），明确表示该项指标所涉及的软硬件是标准配置还是选择配置。</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b/>
          <w:bCs/>
          <w:color w:val="auto"/>
          <w:szCs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61"/>
        <w:numPr>
          <w:ilvl w:val="0"/>
          <w:numId w:val="9"/>
        </w:numPr>
        <w:tabs>
          <w:tab w:val="clear" w:pos="0"/>
        </w:tabs>
        <w:spacing w:before="0"/>
        <w:ind w:firstLine="480"/>
        <w:rPr>
          <w:rFonts w:ascii="宋体" w:hAnsi="宋体"/>
          <w:color w:val="auto"/>
          <w:szCs w:val="24"/>
          <w:highlight w:val="none"/>
        </w:rPr>
      </w:pPr>
      <w:r>
        <w:rPr>
          <w:rFonts w:hint="eastAsia" w:ascii="宋体" w:hAnsi="宋体"/>
          <w:color w:val="auto"/>
          <w:szCs w:val="24"/>
          <w:highlight w:val="none"/>
        </w:rPr>
        <w:t>报价文件包括以下内容：</w:t>
      </w:r>
    </w:p>
    <w:p>
      <w:pPr>
        <w:pStyle w:val="61"/>
        <w:numPr>
          <w:ilvl w:val="0"/>
          <w:numId w:val="0"/>
        </w:numPr>
        <w:spacing w:before="0"/>
        <w:ind w:left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w:t>
      </w:r>
      <w:r>
        <w:rPr>
          <w:rFonts w:hint="eastAsia" w:ascii="宋体" w:hAnsi="宋体"/>
          <w:color w:val="auto"/>
          <w:szCs w:val="24"/>
          <w:highlight w:val="none"/>
          <w:lang w:eastAsia="zh-CN"/>
        </w:rPr>
        <w:t>）</w:t>
      </w:r>
      <w:r>
        <w:rPr>
          <w:rFonts w:hint="eastAsia" w:ascii="宋体" w:hAnsi="宋体"/>
          <w:color w:val="auto"/>
          <w:szCs w:val="24"/>
          <w:highlight w:val="none"/>
        </w:rPr>
        <w:t>磋商函（格式见附件）；</w:t>
      </w:r>
    </w:p>
    <w:p>
      <w:pPr>
        <w:pStyle w:val="61"/>
        <w:numPr>
          <w:ilvl w:val="0"/>
          <w:numId w:val="0"/>
        </w:numPr>
        <w:spacing w:before="0"/>
        <w:ind w:left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2</w:t>
      </w:r>
      <w:r>
        <w:rPr>
          <w:rFonts w:hint="eastAsia" w:ascii="宋体" w:hAnsi="宋体"/>
          <w:color w:val="auto"/>
          <w:szCs w:val="24"/>
          <w:highlight w:val="none"/>
          <w:lang w:eastAsia="zh-CN"/>
        </w:rPr>
        <w:t>）</w:t>
      </w:r>
      <w:r>
        <w:rPr>
          <w:rFonts w:hint="eastAsia" w:ascii="宋体" w:hAnsi="宋体"/>
          <w:color w:val="auto"/>
          <w:szCs w:val="24"/>
          <w:highlight w:val="none"/>
        </w:rPr>
        <w:t>报价一览表（格式见附件）；</w:t>
      </w:r>
    </w:p>
    <w:p>
      <w:pPr>
        <w:pStyle w:val="61"/>
        <w:numPr>
          <w:ilvl w:val="0"/>
          <w:numId w:val="0"/>
        </w:numPr>
        <w:spacing w:before="0"/>
        <w:ind w:left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3</w:t>
      </w:r>
      <w:r>
        <w:rPr>
          <w:rFonts w:hint="eastAsia" w:ascii="宋体" w:hAnsi="宋体"/>
          <w:color w:val="auto"/>
          <w:szCs w:val="24"/>
          <w:highlight w:val="none"/>
          <w:lang w:eastAsia="zh-CN"/>
        </w:rPr>
        <w:t>）</w:t>
      </w:r>
      <w:r>
        <w:rPr>
          <w:rFonts w:hint="eastAsia" w:ascii="宋体" w:hAnsi="宋体"/>
          <w:color w:val="auto"/>
          <w:szCs w:val="24"/>
          <w:highlight w:val="none"/>
        </w:rPr>
        <w:t>磋商报价明细表（格式见附件）。</w:t>
      </w:r>
    </w:p>
    <w:p>
      <w:pPr>
        <w:pStyle w:val="61"/>
        <w:spacing w:before="0"/>
        <w:ind w:firstLine="482"/>
        <w:rPr>
          <w:rFonts w:ascii="宋体" w:hAnsi="宋体"/>
          <w:b/>
          <w:bCs/>
          <w:color w:val="auto"/>
          <w:szCs w:val="24"/>
          <w:highlight w:val="none"/>
          <w:u w:val="single"/>
        </w:rPr>
      </w:pPr>
      <w:r>
        <w:rPr>
          <w:rFonts w:hint="eastAsia" w:ascii="宋体" w:hAnsi="宋体"/>
          <w:b/>
          <w:bCs/>
          <w:color w:val="auto"/>
          <w:szCs w:val="24"/>
          <w:highlight w:val="none"/>
          <w:u w:val="single"/>
        </w:rPr>
        <w:t>注：“资格文件”、“商务技术文件”、“报价文件”须分3个PDF格式分别导入。</w:t>
      </w:r>
    </w:p>
    <w:p>
      <w:pPr>
        <w:pStyle w:val="61"/>
        <w:spacing w:before="0"/>
        <w:ind w:firstLine="482"/>
        <w:rPr>
          <w:rFonts w:ascii="宋体" w:hAnsi="宋体"/>
          <w:b/>
          <w:bCs/>
          <w:color w:val="auto"/>
          <w:szCs w:val="24"/>
          <w:highlight w:val="none"/>
        </w:rPr>
      </w:pPr>
      <w:r>
        <w:rPr>
          <w:rFonts w:hint="eastAsia" w:ascii="宋体" w:hAnsi="宋体"/>
          <w:b/>
          <w:bCs/>
          <w:color w:val="auto"/>
          <w:szCs w:val="24"/>
          <w:highlight w:val="none"/>
        </w:rPr>
        <w:t>10．响应文件有效期</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10.1 响应文件未在磋商响应截止时间前完成传输的或者未按时解密的，视为放弃磋商；响应文件解密失败后未提供备份文件或者备份文件也出现异常情况无法进行评审的，亦视为放弃磋商。</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10.2 响应文件上传后，自磋商响应截止日期起，在前附表所列的磋商响应文件有效期内有效。</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10.3 在原定有效期满之前，如果出现特殊情况，采购代理机构可以以书面形式向磋商供应商提出延长磋商有效期的要求，磋商供应商对此须以书面形式予以答复。</w:t>
      </w:r>
    </w:p>
    <w:p>
      <w:pPr>
        <w:pStyle w:val="61"/>
        <w:spacing w:before="0"/>
        <w:ind w:firstLine="482"/>
        <w:rPr>
          <w:rFonts w:ascii="宋体" w:hAnsi="宋体"/>
          <w:b/>
          <w:bCs/>
          <w:color w:val="auto"/>
          <w:szCs w:val="24"/>
          <w:highlight w:val="none"/>
        </w:rPr>
      </w:pPr>
      <w:r>
        <w:rPr>
          <w:rFonts w:hint="eastAsia" w:ascii="宋体" w:hAnsi="宋体"/>
          <w:b/>
          <w:bCs/>
          <w:color w:val="auto"/>
          <w:szCs w:val="24"/>
          <w:highlight w:val="none"/>
        </w:rPr>
        <w:t>11．供应商如有下列情况之一者列入不良行为记录：</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11.1 供应商在磋商响应文件有效期内撤回投标的；</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11.2 供应商或中标候选人放弃中标或中标候选人资格的；</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11.3 擅自修改或拒绝接受已经确认的条款；</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11.4 成交供应商未按规定与采购人签订合同；</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11.5 未按规定提供履约保证金；</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11.6 供应商采取提供虚假资料等不正当手段的；</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11.7 供应商在投标过程中串通投标的。</w:t>
      </w:r>
    </w:p>
    <w:p>
      <w:pPr>
        <w:pStyle w:val="61"/>
        <w:spacing w:before="0"/>
        <w:ind w:firstLine="482"/>
        <w:rPr>
          <w:rFonts w:ascii="宋体" w:hAnsi="宋体"/>
          <w:b/>
          <w:bCs/>
          <w:color w:val="auto"/>
          <w:szCs w:val="24"/>
          <w:highlight w:val="none"/>
        </w:rPr>
      </w:pPr>
      <w:r>
        <w:rPr>
          <w:rFonts w:hint="eastAsia" w:ascii="宋体" w:hAnsi="宋体"/>
          <w:b/>
          <w:bCs/>
          <w:color w:val="auto"/>
          <w:szCs w:val="24"/>
          <w:highlight w:val="none"/>
        </w:rPr>
        <w:t>12．响应文件的编制和签署</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12.1 按磋商文件9.1条、9.2条、9.3条要求提供的各种文件，响应文件分为资格文件、商务技术文件和报价文件三部分。</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12.2 响应文件须按附件格式要求进行电子签章，供应商应写全称。（电子磋商响应文件中所需加盖公章部分均应采用电子签章）</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12.3 全套响应文件应无涂改和行间插字，除非这些删改是根据采购代理机构要求进行，或者是供应商造成的必须修改的错误。所修改处应由法定代表人或其授权代表签字盖章予以确认。</w:t>
      </w:r>
    </w:p>
    <w:p>
      <w:pPr>
        <w:pStyle w:val="61"/>
        <w:spacing w:before="0"/>
        <w:ind w:firstLine="480"/>
        <w:rPr>
          <w:rFonts w:ascii="宋体" w:hAnsi="宋体"/>
          <w:color w:val="auto"/>
          <w:szCs w:val="24"/>
          <w:highlight w:val="none"/>
        </w:rPr>
      </w:pPr>
      <w:r>
        <w:rPr>
          <w:rFonts w:hint="eastAsia" w:ascii="宋体" w:hAnsi="宋体"/>
          <w:color w:val="auto"/>
          <w:szCs w:val="24"/>
          <w:highlight w:val="none"/>
        </w:rPr>
        <w:t>12.4 由于字迹模糊或表达不清引起的后果由供应商负责。</w:t>
      </w:r>
    </w:p>
    <w:p>
      <w:pPr>
        <w:pStyle w:val="61"/>
        <w:spacing w:before="0"/>
        <w:ind w:firstLine="482"/>
        <w:rPr>
          <w:rFonts w:ascii="宋体" w:hAnsi="宋体"/>
          <w:b/>
          <w:bCs/>
          <w:color w:val="auto"/>
          <w:szCs w:val="24"/>
          <w:highlight w:val="none"/>
        </w:rPr>
      </w:pPr>
      <w:r>
        <w:rPr>
          <w:rFonts w:hint="eastAsia" w:ascii="宋体" w:hAnsi="宋体"/>
          <w:b/>
          <w:bCs/>
          <w:color w:val="auto"/>
          <w:szCs w:val="24"/>
          <w:highlight w:val="none"/>
        </w:rPr>
        <w:t>13． 响应文件的形式</w:t>
      </w:r>
    </w:p>
    <w:p>
      <w:pPr>
        <w:pStyle w:val="61"/>
        <w:spacing w:before="0"/>
        <w:ind w:firstLine="480"/>
        <w:rPr>
          <w:rFonts w:ascii="宋体" w:hAnsi="宋体"/>
          <w:color w:val="auto"/>
          <w:szCs w:val="24"/>
          <w:highlight w:val="none"/>
        </w:rPr>
      </w:pPr>
      <w:r>
        <w:rPr>
          <w:rFonts w:hint="eastAsia" w:ascii="宋体" w:hAnsi="宋体"/>
          <w:color w:val="auto"/>
          <w:szCs w:val="24"/>
          <w:highlight w:val="none"/>
        </w:rPr>
        <w:t>响应文件为电子磋商响应文件，电子磋商响应文件按“政采云供应商项目采购-电子招投标操作指南”及本磋商文件要求制作、加密传输。</w:t>
      </w:r>
    </w:p>
    <w:p>
      <w:pPr>
        <w:pStyle w:val="51"/>
        <w:numPr>
          <w:ilvl w:val="0"/>
          <w:numId w:val="8"/>
        </w:numPr>
        <w:jc w:val="center"/>
        <w:rPr>
          <w:rFonts w:hAnsi="宋体"/>
          <w:color w:val="auto"/>
          <w:highlight w:val="none"/>
        </w:rPr>
      </w:pPr>
      <w:bookmarkStart w:id="56" w:name="_Toc1420"/>
      <w:r>
        <w:rPr>
          <w:rFonts w:hint="eastAsia" w:hAnsi="宋体"/>
          <w:color w:val="auto"/>
          <w:highlight w:val="none"/>
        </w:rPr>
        <w:t xml:space="preserve"> </w:t>
      </w:r>
      <w:bookmarkStart w:id="57" w:name="_Toc19916"/>
      <w:r>
        <w:rPr>
          <w:rFonts w:hint="eastAsia" w:hAnsi="宋体"/>
          <w:color w:val="auto"/>
          <w:highlight w:val="none"/>
        </w:rPr>
        <w:t>响应文件的递交</w:t>
      </w:r>
      <w:bookmarkEnd w:id="56"/>
      <w:bookmarkEnd w:id="57"/>
    </w:p>
    <w:p>
      <w:pPr>
        <w:pStyle w:val="58"/>
        <w:spacing w:line="360" w:lineRule="auto"/>
        <w:ind w:firstLine="482" w:firstLineChars="200"/>
        <w:rPr>
          <w:rFonts w:hAnsi="宋体"/>
          <w:b/>
          <w:color w:val="auto"/>
          <w:sz w:val="24"/>
          <w:szCs w:val="24"/>
          <w:highlight w:val="none"/>
        </w:rPr>
      </w:pPr>
      <w:r>
        <w:rPr>
          <w:rFonts w:hint="eastAsia" w:hAnsi="宋体"/>
          <w:b/>
          <w:color w:val="auto"/>
          <w:sz w:val="24"/>
          <w:szCs w:val="24"/>
          <w:highlight w:val="none"/>
        </w:rPr>
        <w:t>14、磋商响应截止期</w:t>
      </w:r>
    </w:p>
    <w:p>
      <w:pPr>
        <w:pStyle w:val="61"/>
        <w:numPr>
          <w:ilvl w:val="0"/>
          <w:numId w:val="10"/>
        </w:numPr>
        <w:tabs>
          <w:tab w:val="clear" w:pos="0"/>
        </w:tabs>
        <w:spacing w:before="0"/>
        <w:ind w:firstLine="480"/>
        <w:rPr>
          <w:rFonts w:ascii="宋体" w:hAnsi="宋体"/>
          <w:color w:val="auto"/>
          <w:highlight w:val="none"/>
        </w:rPr>
      </w:pPr>
      <w:r>
        <w:rPr>
          <w:rFonts w:hint="eastAsia" w:ascii="宋体" w:hAnsi="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pPr>
        <w:pStyle w:val="61"/>
        <w:numPr>
          <w:ilvl w:val="0"/>
          <w:numId w:val="10"/>
        </w:numPr>
        <w:tabs>
          <w:tab w:val="clear" w:pos="0"/>
        </w:tabs>
        <w:spacing w:before="0"/>
        <w:ind w:firstLine="480"/>
        <w:rPr>
          <w:rFonts w:ascii="宋体" w:hAnsi="宋体"/>
          <w:color w:val="auto"/>
          <w:highlight w:val="none"/>
        </w:rPr>
      </w:pPr>
      <w:r>
        <w:rPr>
          <w:rFonts w:hint="eastAsia" w:ascii="宋体" w:hAnsi="宋体"/>
          <w:color w:val="auto"/>
          <w:highlight w:val="none"/>
        </w:rPr>
        <w:t>采购人因故推迟磋商响应截止时间，将以公告形式通知。在这种情况下，采购人和供应商的权利和义务将受到新的截止时间的约束。</w:t>
      </w:r>
    </w:p>
    <w:p>
      <w:pPr>
        <w:pStyle w:val="58"/>
        <w:spacing w:line="360" w:lineRule="auto"/>
        <w:ind w:firstLine="482" w:firstLineChars="200"/>
        <w:rPr>
          <w:rFonts w:hAnsi="宋体"/>
          <w:b/>
          <w:color w:val="auto"/>
          <w:sz w:val="24"/>
          <w:szCs w:val="24"/>
          <w:highlight w:val="none"/>
        </w:rPr>
      </w:pPr>
      <w:r>
        <w:rPr>
          <w:rFonts w:hint="eastAsia" w:hAnsi="宋体"/>
          <w:b/>
          <w:color w:val="auto"/>
          <w:sz w:val="24"/>
          <w:szCs w:val="24"/>
          <w:highlight w:val="none"/>
        </w:rPr>
        <w:t>15、响应文件的修改、撤销</w:t>
      </w:r>
    </w:p>
    <w:p>
      <w:pPr>
        <w:pStyle w:val="58"/>
        <w:spacing w:line="360" w:lineRule="auto"/>
        <w:ind w:firstLine="480" w:firstLineChars="200"/>
        <w:rPr>
          <w:rFonts w:hAnsi="宋体"/>
          <w:color w:val="auto"/>
          <w:sz w:val="24"/>
          <w:highlight w:val="none"/>
        </w:rPr>
      </w:pPr>
      <w:r>
        <w:rPr>
          <w:rFonts w:hint="eastAsia" w:hAnsi="宋体"/>
          <w:color w:val="auto"/>
          <w:sz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pPr>
        <w:pStyle w:val="51"/>
        <w:numPr>
          <w:ilvl w:val="0"/>
          <w:numId w:val="8"/>
        </w:numPr>
        <w:jc w:val="center"/>
        <w:rPr>
          <w:rFonts w:hAnsi="宋体"/>
          <w:color w:val="auto"/>
          <w:highlight w:val="none"/>
        </w:rPr>
      </w:pPr>
      <w:r>
        <w:rPr>
          <w:rFonts w:hint="eastAsia" w:hAnsi="宋体"/>
          <w:color w:val="auto"/>
          <w:highlight w:val="none"/>
        </w:rPr>
        <w:t xml:space="preserve"> </w:t>
      </w:r>
      <w:bookmarkStart w:id="58" w:name="_Toc12942"/>
      <w:r>
        <w:rPr>
          <w:rFonts w:hint="eastAsia" w:hAnsi="宋体"/>
          <w:color w:val="auto"/>
          <w:highlight w:val="none"/>
        </w:rPr>
        <w:t>磋商无效的情形</w:t>
      </w:r>
      <w:bookmarkEnd w:id="58"/>
    </w:p>
    <w:p>
      <w:pPr>
        <w:pStyle w:val="58"/>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16.无效响应</w:t>
      </w:r>
    </w:p>
    <w:p>
      <w:pPr>
        <w:pStyle w:val="58"/>
        <w:spacing w:line="360" w:lineRule="auto"/>
        <w:ind w:firstLine="480" w:firstLineChars="200"/>
        <w:rPr>
          <w:rFonts w:hAnsi="宋体"/>
          <w:bCs/>
          <w:color w:val="auto"/>
          <w:sz w:val="24"/>
          <w:highlight w:val="none"/>
        </w:rPr>
      </w:pPr>
      <w:r>
        <w:rPr>
          <w:rFonts w:hint="eastAsia" w:hAnsi="宋体"/>
          <w:bCs/>
          <w:color w:val="auto"/>
          <w:sz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16.1未按照磋商文件规定要求签署、盖章的；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 xml:space="preserve">16.2《法定代表人授权书》填写不全、错误、未加盖供应商公章（公章和签字或盖章缺一不可）； </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16.3个体工商户的身份证明与营业执照不一致的；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16.4响应文件中的磋商函未加盖供应商的企业公章或填写不全的；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16.5报价一经涂改，未在涂改处加盖投标单位公章或者未经法定代表人或其授权代表签字或盖章的；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16.6因未按规定的格式填写，内容不全或主要实质性内容字迹模糊辨认不清,经评标委员会认定为无法评审的；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16.7出现同一标的物或本次采购产品(服务)内的主要产品(重要组成部分)出现技术、商务描述不一致或前后描述不一致，经评标委员会认定后为无法评审的；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16.8响应详细配置清单响应表不真实填写或弄虚作假的；改变磋商文件提供的清单中的计量单位、工程数量；</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16.9对采购产品技术规格未详细应答，致使其技术文件无法评审的；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16.10响应文件有采购人不能接受的条件；</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16.12磋商报价超过预算金额或最高限价的；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16.13响应文件“资格、商务技术文件资料”部分中出现《报价一览表》或《磋商报价明细表》相关内容的；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16.14评标委员会认定有重大偏差或实质性不响应磋商文件要求的，“★”的关键性指标及技术参数要求负偏离或缺漏的；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16.15供应商拒绝按磋商文件规定的修正原则对响应文件进行修改的；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16.16有下列情形之一的，视为供应商串通投标，其投标无效：</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16.16.1不同供应商的响应文件由同一单位或者个人编制；</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16.16.2不同供应商委托同一单位或者个人办理投标事宜；</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16.16.3不同供应商的响应文件载明的项目管理成员或者联系人员为同一人；</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16.16.4不同供应商的响应文件异常一致或者投标报价呈规律性差异；</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16.17其他违反法律法规的情形。</w:t>
      </w:r>
    </w:p>
    <w:p>
      <w:pPr>
        <w:pStyle w:val="55"/>
        <w:tabs>
          <w:tab w:val="clear" w:pos="4153"/>
          <w:tab w:val="clear" w:pos="8306"/>
        </w:tabs>
        <w:rPr>
          <w:rFonts w:ascii="宋体" w:hAnsi="宋体"/>
          <w:color w:val="auto"/>
          <w:highlight w:val="none"/>
        </w:rPr>
      </w:pPr>
    </w:p>
    <w:p>
      <w:pPr>
        <w:pStyle w:val="51"/>
        <w:numPr>
          <w:ilvl w:val="0"/>
          <w:numId w:val="8"/>
        </w:numPr>
        <w:jc w:val="center"/>
        <w:rPr>
          <w:rFonts w:hAnsi="宋体"/>
          <w:color w:val="auto"/>
          <w:highlight w:val="none"/>
        </w:rPr>
      </w:pPr>
      <w:r>
        <w:rPr>
          <w:rFonts w:hint="eastAsia" w:hAnsi="宋体"/>
          <w:color w:val="auto"/>
          <w:highlight w:val="none"/>
        </w:rPr>
        <w:t xml:space="preserve"> </w:t>
      </w:r>
      <w:bookmarkStart w:id="59" w:name="_Toc2117"/>
      <w:r>
        <w:rPr>
          <w:rFonts w:hint="eastAsia" w:hAnsi="宋体"/>
          <w:color w:val="auto"/>
          <w:highlight w:val="none"/>
        </w:rPr>
        <w:t>采购终止的情形</w:t>
      </w:r>
      <w:bookmarkEnd w:id="59"/>
    </w:p>
    <w:p>
      <w:pPr>
        <w:pStyle w:val="58"/>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17、终止</w:t>
      </w:r>
      <w:r>
        <w:rPr>
          <w:rFonts w:hint="eastAsia" w:hAnsi="宋体"/>
          <w:b/>
          <w:bCs/>
          <w:color w:val="auto"/>
          <w:sz w:val="24"/>
          <w:szCs w:val="24"/>
          <w:highlight w:val="none"/>
          <w:lang w:val="zh-CN"/>
        </w:rPr>
        <w:t>电子交易活动和</w:t>
      </w:r>
      <w:r>
        <w:rPr>
          <w:rFonts w:hint="eastAsia" w:hAnsi="宋体"/>
          <w:b/>
          <w:color w:val="auto"/>
          <w:sz w:val="24"/>
          <w:szCs w:val="24"/>
          <w:highlight w:val="none"/>
        </w:rPr>
        <w:t>重新组织采购</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17.1</w:t>
      </w:r>
      <w:r>
        <w:rPr>
          <w:rFonts w:hint="eastAsia" w:ascii="宋体" w:hAnsi="宋体"/>
          <w:color w:val="auto"/>
          <w:szCs w:val="24"/>
          <w:highlight w:val="none"/>
          <w:lang w:val="zh-CN"/>
        </w:rPr>
        <w:t>采购过程中出现以下情形，导致电子交易平台无法正常运行，或者无法保证电子交易的公平、公正和安全时，采购组织机构可</w:t>
      </w:r>
      <w:r>
        <w:rPr>
          <w:rFonts w:hint="eastAsia" w:ascii="宋体" w:hAnsi="宋体"/>
          <w:color w:val="auto"/>
          <w:szCs w:val="24"/>
          <w:highlight w:val="none"/>
        </w:rPr>
        <w:t>终止</w:t>
      </w:r>
      <w:r>
        <w:rPr>
          <w:rFonts w:hint="eastAsia" w:ascii="宋体" w:hAnsi="宋体"/>
          <w:color w:val="auto"/>
          <w:szCs w:val="24"/>
          <w:highlight w:val="none"/>
          <w:lang w:val="zh-CN"/>
        </w:rPr>
        <w:t>电子交易活动：</w:t>
      </w:r>
    </w:p>
    <w:p>
      <w:pPr>
        <w:numPr>
          <w:ilvl w:val="0"/>
          <w:numId w:val="11"/>
        </w:numPr>
        <w:tabs>
          <w:tab w:val="left" w:pos="0"/>
        </w:tabs>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 xml:space="preserve">电子交易平台发生故障而无法登录访问的； </w:t>
      </w:r>
    </w:p>
    <w:p>
      <w:pPr>
        <w:numPr>
          <w:ilvl w:val="0"/>
          <w:numId w:val="11"/>
        </w:numPr>
        <w:tabs>
          <w:tab w:val="left" w:pos="0"/>
        </w:tabs>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电子交易平台应用或数据库出现错误，不能进行正常操作的；</w:t>
      </w:r>
    </w:p>
    <w:p>
      <w:pPr>
        <w:numPr>
          <w:ilvl w:val="0"/>
          <w:numId w:val="11"/>
        </w:numPr>
        <w:tabs>
          <w:tab w:val="left" w:pos="0"/>
        </w:tabs>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电子交易平台发现严重安全漏洞，有潜在泄密危险的；</w:t>
      </w:r>
    </w:p>
    <w:p>
      <w:pPr>
        <w:numPr>
          <w:ilvl w:val="0"/>
          <w:numId w:val="11"/>
        </w:numPr>
        <w:tabs>
          <w:tab w:val="left" w:pos="0"/>
        </w:tabs>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 xml:space="preserve">病毒发作导致不能进行正常操作的； </w:t>
      </w:r>
    </w:p>
    <w:p>
      <w:pPr>
        <w:numPr>
          <w:ilvl w:val="0"/>
          <w:numId w:val="11"/>
        </w:numPr>
        <w:tabs>
          <w:tab w:val="left" w:pos="0"/>
        </w:tabs>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其他无法保证电子交易的公平、公正和安全的情况。</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pPr>
        <w:pStyle w:val="51"/>
        <w:numPr>
          <w:ilvl w:val="0"/>
          <w:numId w:val="8"/>
        </w:numPr>
        <w:jc w:val="center"/>
        <w:rPr>
          <w:rFonts w:hAnsi="宋体"/>
          <w:color w:val="auto"/>
          <w:highlight w:val="none"/>
        </w:rPr>
      </w:pPr>
      <w:r>
        <w:rPr>
          <w:rFonts w:hint="eastAsia" w:hAnsi="宋体"/>
          <w:color w:val="auto"/>
          <w:highlight w:val="none"/>
        </w:rPr>
        <w:t xml:space="preserve"> </w:t>
      </w:r>
      <w:bookmarkStart w:id="60" w:name="_Toc4701"/>
      <w:r>
        <w:rPr>
          <w:rFonts w:hint="eastAsia" w:hAnsi="宋体"/>
          <w:color w:val="auto"/>
          <w:highlight w:val="none"/>
        </w:rPr>
        <w:t>确定成交供应商与签订合同</w:t>
      </w:r>
      <w:bookmarkEnd w:id="60"/>
    </w:p>
    <w:p>
      <w:pPr>
        <w:pStyle w:val="58"/>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18、推荐成交候选供应商</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18.2 采购代理机构应当在评审结束后2个工作日内将评审报告送采购人确认。</w:t>
      </w:r>
    </w:p>
    <w:p>
      <w:pPr>
        <w:pStyle w:val="58"/>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19、确定成交供应商</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19.2采购人或者采购代理机构应当在成交供应商确定后2个工作日内，在省级以上财政部门指定的政府采购信息发布媒体上公告成交结果，同时向成交供应商发出成交通知书。</w:t>
      </w:r>
    </w:p>
    <w:p>
      <w:pPr>
        <w:pStyle w:val="58"/>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20、签订合同</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20.1. 采购人与成交供应商应当在成交通知书发出之日起30日内，按照磋商文件确定的合同文本以及采购标的、规格型号、采购金额、采购数量、技术和服务要求等事项签订政府采购合同。</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pPr>
        <w:pStyle w:val="58"/>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21、解释权</w:t>
      </w:r>
    </w:p>
    <w:p>
      <w:pPr>
        <w:pStyle w:val="43"/>
        <w:numPr>
          <w:ilvl w:val="0"/>
          <w:numId w:val="0"/>
        </w:numPr>
        <w:ind w:firstLine="482" w:firstLineChars="200"/>
        <w:jc w:val="center"/>
        <w:rPr>
          <w:rFonts w:ascii="宋体" w:hAnsi="宋体"/>
          <w:color w:val="auto"/>
          <w:sz w:val="36"/>
          <w:szCs w:val="21"/>
          <w:highlight w:val="none"/>
        </w:rPr>
      </w:pPr>
      <w:r>
        <w:rPr>
          <w:rFonts w:hint="eastAsia" w:ascii="宋体" w:hAnsi="宋体"/>
          <w:color w:val="auto"/>
          <w:sz w:val="24"/>
          <w:highlight w:val="none"/>
        </w:rPr>
        <w:t>磋商文件的解释权均属于</w:t>
      </w:r>
      <w:r>
        <w:rPr>
          <w:rFonts w:hint="eastAsia" w:ascii="宋体" w:hAnsi="宋体"/>
          <w:color w:val="auto"/>
          <w:sz w:val="24"/>
          <w:highlight w:val="none"/>
          <w:u w:val="single"/>
        </w:rPr>
        <w:t>绍兴市上虞区东关街道办事处</w:t>
      </w:r>
      <w:r>
        <w:rPr>
          <w:rFonts w:hint="eastAsia" w:ascii="宋体" w:hAnsi="宋体"/>
          <w:color w:val="auto"/>
          <w:sz w:val="24"/>
          <w:highlight w:val="none"/>
        </w:rPr>
        <w:t>和</w:t>
      </w:r>
      <w:r>
        <w:rPr>
          <w:rFonts w:hint="eastAsia" w:ascii="宋体" w:hAnsi="宋体"/>
          <w:color w:val="auto"/>
          <w:sz w:val="24"/>
          <w:highlight w:val="none"/>
          <w:u w:val="single"/>
        </w:rPr>
        <w:t xml:space="preserve"> </w:t>
      </w:r>
      <w:bookmarkStart w:id="61" w:name="_Toc19664"/>
      <w:r>
        <w:rPr>
          <w:rFonts w:hint="eastAsia" w:ascii="宋体" w:hAnsi="宋体"/>
          <w:color w:val="auto"/>
          <w:sz w:val="24"/>
          <w:highlight w:val="none"/>
          <w:u w:val="single"/>
          <w:lang w:eastAsia="zh-CN"/>
        </w:rPr>
        <w:t>绍兴市上虞区公共资源交易中心</w:t>
      </w:r>
      <w:r>
        <w:rPr>
          <w:rFonts w:hint="eastAsia" w:ascii="宋体" w:hAnsi="宋体"/>
          <w:color w:val="auto"/>
          <w:sz w:val="36"/>
          <w:szCs w:val="21"/>
          <w:highlight w:val="none"/>
        </w:rPr>
        <w:br w:type="page"/>
      </w:r>
      <w:r>
        <w:rPr>
          <w:rFonts w:hint="eastAsia" w:ascii="宋体" w:hAnsi="宋体"/>
          <w:color w:val="auto"/>
          <w:sz w:val="36"/>
          <w:szCs w:val="21"/>
          <w:highlight w:val="none"/>
          <w:lang w:val="en-US" w:eastAsia="zh-CN"/>
        </w:rPr>
        <w:t xml:space="preserve">第三部分 </w:t>
      </w:r>
      <w:r>
        <w:rPr>
          <w:rFonts w:hint="eastAsia" w:ascii="宋体" w:hAnsi="宋体"/>
          <w:color w:val="auto"/>
          <w:sz w:val="36"/>
          <w:szCs w:val="21"/>
          <w:highlight w:val="none"/>
        </w:rPr>
        <w:t>采购内容及要求</w:t>
      </w:r>
      <w:bookmarkEnd w:id="61"/>
    </w:p>
    <w:p>
      <w:pPr>
        <w:pStyle w:val="51"/>
        <w:spacing w:line="360" w:lineRule="auto"/>
        <w:jc w:val="center"/>
        <w:rPr>
          <w:bCs/>
          <w:color w:val="auto"/>
          <w:sz w:val="30"/>
          <w:szCs w:val="30"/>
          <w:highlight w:val="none"/>
        </w:rPr>
      </w:pPr>
      <w:bookmarkStart w:id="62" w:name="_Toc12428"/>
      <w:r>
        <w:rPr>
          <w:bCs/>
          <w:color w:val="auto"/>
          <w:sz w:val="30"/>
          <w:szCs w:val="30"/>
          <w:highlight w:val="none"/>
        </w:rPr>
        <w:t>第一章  总则</w:t>
      </w:r>
      <w:bookmarkEnd w:id="62"/>
    </w:p>
    <w:p>
      <w:pPr>
        <w:numPr>
          <w:ilvl w:val="0"/>
          <w:numId w:val="12"/>
        </w:num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部分要求提出了内容、流程、岗位等方面的最低限度的服务要求，但未对所有服务细节作要求，故投标供应商有责任根据所提供具体方案的实际情况对本项目进行更合理的优化设计及实施方案，并对所提供服务的落地效果、安全等负责。</w:t>
      </w:r>
    </w:p>
    <w:p>
      <w:pPr>
        <w:numPr>
          <w:ilvl w:val="0"/>
          <w:numId w:val="12"/>
        </w:num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投标供应商必须对全部招标内容进行投标，不允许只对其中部分内容进行投标，谢绝联合投标。</w:t>
      </w:r>
    </w:p>
    <w:p>
      <w:pPr>
        <w:numPr>
          <w:ilvl w:val="0"/>
          <w:numId w:val="12"/>
        </w:num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投标方案与项目要求如有偏差，业主将有权要求投标供应商调整方案，并不改变投标价格。</w:t>
      </w:r>
    </w:p>
    <w:p>
      <w:pPr>
        <w:pStyle w:val="62"/>
        <w:ind w:firstLine="404"/>
        <w:rPr>
          <w:color w:val="auto"/>
          <w:highlight w:val="none"/>
        </w:rPr>
      </w:pPr>
    </w:p>
    <w:p>
      <w:pPr>
        <w:spacing w:line="600" w:lineRule="auto"/>
        <w:jc w:val="center"/>
        <w:outlineLvl w:val="1"/>
        <w:rPr>
          <w:rFonts w:ascii="宋体" w:hAnsi="宋体"/>
          <w:b/>
          <w:bCs/>
          <w:color w:val="auto"/>
          <w:sz w:val="30"/>
          <w:szCs w:val="30"/>
          <w:highlight w:val="none"/>
        </w:rPr>
      </w:pPr>
      <w:bookmarkStart w:id="63" w:name="_Toc29366"/>
      <w:r>
        <w:rPr>
          <w:rFonts w:hint="eastAsia" w:ascii="宋体" w:hAnsi="宋体"/>
          <w:b/>
          <w:bCs/>
          <w:color w:val="auto"/>
          <w:sz w:val="30"/>
          <w:szCs w:val="30"/>
          <w:highlight w:val="none"/>
        </w:rPr>
        <w:t xml:space="preserve">第二章 </w:t>
      </w:r>
      <w:bookmarkStart w:id="64" w:name="_Toc506107120"/>
      <w:r>
        <w:rPr>
          <w:rFonts w:hint="eastAsia" w:ascii="宋体" w:hAnsi="宋体"/>
          <w:b/>
          <w:bCs/>
          <w:color w:val="auto"/>
          <w:sz w:val="30"/>
          <w:szCs w:val="30"/>
          <w:highlight w:val="none"/>
        </w:rPr>
        <w:t>采购内容及要求</w:t>
      </w:r>
      <w:bookmarkEnd w:id="63"/>
      <w:bookmarkEnd w:id="64"/>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一、项目概况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绍兴市上虞区东关街道办事处各班子领导办公室、街道机关大院内所有公共场所及其他指定区域的环境卫生保洁，全区域安保、指定办公区域盆栽摆放、养护（大中小盆栽合计不低于360盆）。</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二、服务期限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本次采购的物业管理服务年限定为2年（合同一年一签），具体时间以合同签订期限为准。</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三、供应商服务范围</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（一）保洁服务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保洁服务范围：包括但不限于各班子领导办公室、街道机关大院内所有公共场所及其他指定区域的环境卫生保洁，包括1号楼（主楼）、2号楼（会议中心）、3号楼（党群服务中心）、4号楼（矛调中心）、5号楼（纪工委人武部）、司法所、东鑫公司项目部（原土管所）、应急消防管理站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保洁服务要求为：在合同期内按照街道工作的服务需要，每天必须打扫办公大楼的大厅、走廊、扶梯、厕所、各个会议室、值班室及其他指定办公室等区域，做好规定的日常保洁工作，备好各个会议室及指定办公室的开水，准备好茶叶、茶杯等会议用品，做好大型会议及临时性会议的相关会务准备工作。保障街道日常工作正常运行。</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（二）保安服务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1.保安服务范围：街道机关大院范围内。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2.安保服务要求为：在合同期内按照街道工作的服务需要，负责办公大楼及周围、停车场等场所的巡逻，维护单位内部道路交通秩序，指挥停车场的车辆有序停放，保证道路畅通，秩序有序。</w:t>
      </w:r>
      <w:r>
        <w:rPr>
          <w:rFonts w:hint="eastAsia" w:ascii="宋体" w:hAnsi="宋体"/>
          <w:bCs/>
          <w:color w:val="auto"/>
          <w:sz w:val="24"/>
          <w:highlight w:val="none"/>
        </w:rPr>
        <w:t>为外来办事人员提供服务，做好进出登记和贵重物资、危化物品登记查验工作，信件、包裹、报刊杂志等物品的登记收发工作，来宾来访文明耐心接待，并及时联系报告相关科室，办公区域非工作时间内，非本单位工作人员、车辆未经许可不准入内，做到登记、收发无差错，文明值班管理。</w:t>
      </w:r>
      <w:r>
        <w:rPr>
          <w:rFonts w:hint="eastAsia" w:ascii="宋体" w:hAnsi="宋体"/>
          <w:color w:val="auto"/>
          <w:sz w:val="24"/>
          <w:highlight w:val="none"/>
        </w:rPr>
        <w:t>其中一人要求大专以上学历，具有物业服务管理经验，全面负责员工的招聘、培训、考勤、考核、工作安排等，并做好与采购人的沟通、协调工作。</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（二）盆栽租赁、摆放、养护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1．服务范围：包括但不限于东关街道办事处机关大院、东关派出所、行政执法大楼、竺可桢故居、东关司法所等指定区域不少于360盆盆栽。具体详见下表：</w:t>
      </w:r>
    </w:p>
    <w:tbl>
      <w:tblPr>
        <w:tblStyle w:val="18"/>
        <w:tblpPr w:leftFromText="180" w:rightFromText="180" w:vertAnchor="text" w:horzAnchor="page" w:tblpX="1956" w:tblpY="419"/>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850"/>
        <w:gridCol w:w="1016"/>
        <w:gridCol w:w="315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770" w:type="dxa"/>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摆放地点</w:t>
            </w:r>
          </w:p>
        </w:tc>
        <w:tc>
          <w:tcPr>
            <w:tcW w:w="850" w:type="dxa"/>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数量</w:t>
            </w:r>
          </w:p>
        </w:tc>
        <w:tc>
          <w:tcPr>
            <w:tcW w:w="1016" w:type="dxa"/>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单位</w:t>
            </w:r>
          </w:p>
        </w:tc>
        <w:tc>
          <w:tcPr>
            <w:tcW w:w="3150" w:type="dxa"/>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品名</w:t>
            </w:r>
          </w:p>
        </w:tc>
        <w:tc>
          <w:tcPr>
            <w:tcW w:w="834" w:type="dxa"/>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277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东关街道办事处机关大院（含1、2、3、4、5号楼）</w:t>
            </w:r>
          </w:p>
        </w:tc>
        <w:tc>
          <w:tcPr>
            <w:tcW w:w="8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163</w:t>
            </w:r>
          </w:p>
        </w:tc>
        <w:tc>
          <w:tcPr>
            <w:tcW w:w="101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31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发财树、绿萝、万年青、棕竹、绿宝、白掌、绿萝、幸福树等</w:t>
            </w:r>
          </w:p>
        </w:tc>
        <w:tc>
          <w:tcPr>
            <w:tcW w:w="83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7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东关派出所</w:t>
            </w:r>
          </w:p>
        </w:tc>
        <w:tc>
          <w:tcPr>
            <w:tcW w:w="8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124</w:t>
            </w:r>
          </w:p>
        </w:tc>
        <w:tc>
          <w:tcPr>
            <w:tcW w:w="101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31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发财树、绿萝、万年青、棕竹、绿宝等</w:t>
            </w:r>
          </w:p>
        </w:tc>
        <w:tc>
          <w:tcPr>
            <w:tcW w:w="83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7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应急消防管理站</w:t>
            </w:r>
          </w:p>
        </w:tc>
        <w:tc>
          <w:tcPr>
            <w:tcW w:w="8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30</w:t>
            </w:r>
          </w:p>
        </w:tc>
        <w:tc>
          <w:tcPr>
            <w:tcW w:w="101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31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广东万年青、棕竹、绿宝等</w:t>
            </w:r>
          </w:p>
        </w:tc>
        <w:tc>
          <w:tcPr>
            <w:tcW w:w="83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7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竺可桢故居</w:t>
            </w:r>
          </w:p>
        </w:tc>
        <w:tc>
          <w:tcPr>
            <w:tcW w:w="8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23</w:t>
            </w:r>
          </w:p>
        </w:tc>
        <w:tc>
          <w:tcPr>
            <w:tcW w:w="101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31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吊绿萝、也门铁</w:t>
            </w:r>
          </w:p>
        </w:tc>
        <w:tc>
          <w:tcPr>
            <w:tcW w:w="83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7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东关司法所</w:t>
            </w:r>
          </w:p>
        </w:tc>
        <w:tc>
          <w:tcPr>
            <w:tcW w:w="8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20</w:t>
            </w:r>
          </w:p>
        </w:tc>
        <w:tc>
          <w:tcPr>
            <w:tcW w:w="101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31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绿宝、吊绿萝、也门铁等</w:t>
            </w:r>
          </w:p>
        </w:tc>
        <w:tc>
          <w:tcPr>
            <w:tcW w:w="83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7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合计</w:t>
            </w:r>
          </w:p>
        </w:tc>
        <w:tc>
          <w:tcPr>
            <w:tcW w:w="8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360</w:t>
            </w:r>
          </w:p>
        </w:tc>
        <w:tc>
          <w:tcPr>
            <w:tcW w:w="101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315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c>
          <w:tcPr>
            <w:tcW w:w="83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bl>
    <w:p>
      <w:pPr>
        <w:spacing w:line="360" w:lineRule="auto"/>
        <w:ind w:left="420" w:leftChars="200"/>
        <w:rPr>
          <w:rFonts w:ascii="宋体" w:hAnsi="宋体"/>
          <w:color w:val="auto"/>
          <w:sz w:val="24"/>
          <w:highlight w:val="none"/>
        </w:rPr>
      </w:pPr>
    </w:p>
    <w:p>
      <w:pPr>
        <w:spacing w:line="360" w:lineRule="auto"/>
        <w:ind w:left="420" w:left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2．盆栽摆放、养护工作职责：根据摆放要求，保证盆栽一年四季长势旺盛，花色常换常鲜，定期更换品种、浇水、施肥、修剪、除病除虫等。</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四、服务内容要求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物业管理供应商应按本次招标的范围及内容，并结合自身的实际情况，按专业、工种配备相关的人员。</w:t>
      </w:r>
    </w:p>
    <w:p>
      <w:pPr>
        <w:pStyle w:val="62"/>
        <w:ind w:left="0" w:leftChars="0" w:firstLine="0" w:firstLineChars="0"/>
        <w:jc w:val="center"/>
        <w:rPr>
          <w:rFonts w:hAnsi="宋体"/>
          <w:b/>
          <w:bCs/>
          <w:color w:val="auto"/>
          <w:sz w:val="24"/>
          <w:highlight w:val="none"/>
        </w:rPr>
      </w:pPr>
      <w:r>
        <w:rPr>
          <w:rFonts w:hint="eastAsia" w:hAnsi="宋体"/>
          <w:b/>
          <w:bCs/>
          <w:color w:val="auto"/>
          <w:sz w:val="24"/>
          <w:highlight w:val="none"/>
        </w:rPr>
        <w:t>岗位需求表</w:t>
      </w:r>
    </w:p>
    <w:tbl>
      <w:tblPr>
        <w:tblStyle w:val="17"/>
        <w:tblpPr w:leftFromText="180" w:rightFromText="180" w:vertAnchor="text" w:horzAnchor="page" w:tblpX="1822" w:tblpY="295"/>
        <w:tblOverlap w:val="never"/>
        <w:tblW w:w="873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7"/>
        <w:gridCol w:w="1973"/>
        <w:gridCol w:w="583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27" w:type="dxa"/>
            <w:vAlign w:val="center"/>
          </w:tcPr>
          <w:p>
            <w:pPr>
              <w:jc w:val="center"/>
              <w:rPr>
                <w:rFonts w:ascii="宋体" w:hAnsi="宋体"/>
                <w:b/>
                <w:color w:val="auto"/>
                <w:sz w:val="24"/>
                <w:highlight w:val="none"/>
              </w:rPr>
            </w:pPr>
            <w:r>
              <w:rPr>
                <w:rFonts w:hint="eastAsia" w:ascii="宋体" w:hAnsi="宋体"/>
                <w:b/>
                <w:color w:val="auto"/>
                <w:sz w:val="24"/>
                <w:highlight w:val="none"/>
              </w:rPr>
              <w:t>序号</w:t>
            </w:r>
          </w:p>
        </w:tc>
        <w:tc>
          <w:tcPr>
            <w:tcW w:w="1973" w:type="dxa"/>
            <w:vAlign w:val="center"/>
          </w:tcPr>
          <w:p>
            <w:pPr>
              <w:jc w:val="center"/>
              <w:rPr>
                <w:rFonts w:ascii="宋体" w:hAnsi="宋体"/>
                <w:b/>
                <w:color w:val="auto"/>
                <w:sz w:val="24"/>
                <w:highlight w:val="none"/>
              </w:rPr>
            </w:pPr>
            <w:r>
              <w:rPr>
                <w:rFonts w:hint="eastAsia" w:ascii="宋体" w:hAnsi="宋体"/>
                <w:b/>
                <w:color w:val="auto"/>
                <w:sz w:val="24"/>
                <w:highlight w:val="none"/>
              </w:rPr>
              <w:t>岗位需求</w:t>
            </w:r>
          </w:p>
        </w:tc>
        <w:tc>
          <w:tcPr>
            <w:tcW w:w="5839" w:type="dxa"/>
            <w:vAlign w:val="center"/>
          </w:tcPr>
          <w:p>
            <w:pPr>
              <w:jc w:val="center"/>
              <w:rPr>
                <w:rFonts w:ascii="宋体" w:hAnsi="宋体"/>
                <w:b/>
                <w:color w:val="auto"/>
                <w:sz w:val="24"/>
                <w:highlight w:val="none"/>
              </w:rPr>
            </w:pPr>
            <w:r>
              <w:rPr>
                <w:rFonts w:hint="eastAsia" w:ascii="宋体" w:hAnsi="宋体"/>
                <w:b/>
                <w:color w:val="auto"/>
                <w:sz w:val="24"/>
                <w:highlight w:val="none"/>
              </w:rPr>
              <w:t>岗位职责要求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8739" w:type="dxa"/>
            <w:gridSpan w:val="3"/>
            <w:vAlign w:val="center"/>
          </w:tcPr>
          <w:p>
            <w:pPr>
              <w:tabs>
                <w:tab w:val="left" w:pos="5129"/>
              </w:tabs>
              <w:jc w:val="left"/>
              <w:rPr>
                <w:rFonts w:ascii="宋体" w:hAnsi="宋体"/>
                <w:color w:val="auto"/>
                <w:sz w:val="24"/>
                <w:highlight w:val="none"/>
              </w:rPr>
            </w:pPr>
            <w:r>
              <w:rPr>
                <w:rFonts w:hint="eastAsia" w:ascii="宋体" w:hAnsi="宋体"/>
                <w:color w:val="auto"/>
                <w:sz w:val="24"/>
                <w:highlight w:val="none"/>
              </w:rPr>
              <w:t>一、服务岗</w:t>
            </w:r>
            <w:r>
              <w:rPr>
                <w:rFonts w:hint="eastAsia" w:ascii="宋体" w:hAnsi="宋体"/>
                <w:color w:val="auto"/>
                <w:sz w:val="24"/>
                <w:highlight w:val="none"/>
              </w:rPr>
              <w:tab/>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0"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1</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保洁岗（不少于5</w:t>
            </w:r>
            <w:r>
              <w:rPr>
                <w:rFonts w:hint="eastAsia" w:ascii="宋体" w:hAnsi="宋体"/>
                <w:color w:val="auto"/>
                <w:sz w:val="24"/>
                <w:szCs w:val="24"/>
                <w:highlight w:val="none"/>
                <w:lang w:eastAsia="zh-CN"/>
              </w:rPr>
              <w:t>岗</w:t>
            </w:r>
            <w:r>
              <w:rPr>
                <w:rFonts w:hint="eastAsia" w:ascii="宋体" w:hAnsi="宋体"/>
                <w:color w:val="auto"/>
                <w:sz w:val="24"/>
                <w:szCs w:val="24"/>
                <w:highlight w:val="none"/>
              </w:rPr>
              <w:t>）</w:t>
            </w:r>
          </w:p>
        </w:tc>
        <w:tc>
          <w:tcPr>
            <w:tcW w:w="583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r>
              <w:rPr>
                <w:rFonts w:ascii="宋体" w:hAnsi="宋体"/>
                <w:color w:val="auto"/>
                <w:sz w:val="24"/>
                <w:szCs w:val="24"/>
                <w:highlight w:val="none"/>
              </w:rPr>
              <w:t>大院内所有公共场所及其他</w:t>
            </w:r>
            <w:r>
              <w:rPr>
                <w:rFonts w:hint="eastAsia" w:ascii="宋体" w:hAnsi="宋体"/>
                <w:color w:val="auto"/>
                <w:sz w:val="24"/>
                <w:szCs w:val="24"/>
                <w:highlight w:val="none"/>
              </w:rPr>
              <w:t>指定</w:t>
            </w:r>
            <w:r>
              <w:rPr>
                <w:rFonts w:ascii="宋体" w:hAnsi="宋体"/>
                <w:color w:val="auto"/>
                <w:sz w:val="24"/>
                <w:szCs w:val="24"/>
                <w:highlight w:val="none"/>
              </w:rPr>
              <w:t>区域的环境卫生保洁，包括1号楼（主楼）、2号楼（会议中心）、3号楼（党群服务中心）、4号楼（矛调中心）、5号楼（纪工委人武部）、司法所、东鑫公司项目部（原土管所）、应急消防管理站</w:t>
            </w:r>
            <w:r>
              <w:rPr>
                <w:rFonts w:hint="eastAsia" w:ascii="宋体" w:hAnsi="宋体"/>
                <w:color w:val="auto"/>
                <w:sz w:val="24"/>
                <w:szCs w:val="24"/>
                <w:highlight w:val="none"/>
              </w:rPr>
              <w:t>每天必须打扫办公大楼的大厅、走廊、扶梯、厕所、各个会议室、值班室及其他指定办公室等区域，做好规定的日常保洁工作，备好各个会议室及指定办公室的开水，准备好茶叶、茶杯等会议用品，做好大型会议及临时性会议的相关会务准备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2</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保安门卫岗（不少于3</w:t>
            </w:r>
            <w:r>
              <w:rPr>
                <w:rFonts w:hint="eastAsia" w:ascii="宋体" w:hAnsi="宋体"/>
                <w:color w:val="auto"/>
                <w:sz w:val="24"/>
                <w:szCs w:val="24"/>
                <w:highlight w:val="none"/>
                <w:lang w:eastAsia="zh-CN"/>
              </w:rPr>
              <w:t>岗</w:t>
            </w:r>
            <w:r>
              <w:rPr>
                <w:rFonts w:hint="eastAsia" w:ascii="宋体" w:hAnsi="宋体"/>
                <w:color w:val="auto"/>
                <w:sz w:val="24"/>
                <w:szCs w:val="24"/>
                <w:highlight w:val="none"/>
              </w:rPr>
              <w:t>）</w:t>
            </w:r>
          </w:p>
        </w:tc>
        <w:tc>
          <w:tcPr>
            <w:tcW w:w="583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r>
              <w:rPr>
                <w:rFonts w:hint="eastAsia" w:ascii="宋体" w:hAnsi="宋体"/>
                <w:color w:val="auto"/>
                <w:sz w:val="24"/>
                <w:szCs w:val="24"/>
                <w:highlight w:val="none"/>
              </w:rPr>
              <w:t>全区域日常安保，来访人员与车辆的管理等工作。其中一</w:t>
            </w:r>
            <w:r>
              <w:rPr>
                <w:rFonts w:hint="eastAsia" w:ascii="宋体" w:hAnsi="宋体"/>
                <w:color w:val="auto"/>
                <w:sz w:val="24"/>
                <w:szCs w:val="24"/>
                <w:highlight w:val="none"/>
                <w:lang w:eastAsia="zh-CN"/>
              </w:rPr>
              <w:t>岗</w:t>
            </w:r>
            <w:r>
              <w:rPr>
                <w:rFonts w:hint="eastAsia" w:ascii="宋体" w:hAnsi="宋体"/>
                <w:color w:val="auto"/>
                <w:sz w:val="24"/>
                <w:szCs w:val="24"/>
                <w:highlight w:val="none"/>
              </w:rPr>
              <w:t>要求大专以上学历，具有物业服务管理经验，全面负责员工的招聘、培训、考勤、考核、工作安排等，并做好与采购人的沟通、协调工作。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3</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盆栽养护岗</w:t>
            </w:r>
          </w:p>
        </w:tc>
        <w:tc>
          <w:tcPr>
            <w:tcW w:w="583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auto"/>
                <w:sz w:val="24"/>
                <w:szCs w:val="24"/>
                <w:highlight w:val="none"/>
              </w:rPr>
            </w:pPr>
            <w:r>
              <w:rPr>
                <w:rFonts w:hint="eastAsia" w:ascii="宋体" w:hAnsi="宋体"/>
                <w:color w:val="auto"/>
                <w:sz w:val="24"/>
                <w:szCs w:val="24"/>
                <w:highlight w:val="none"/>
              </w:rPr>
              <w:t>根据摆放要求，保证盆栽一年四季长势旺盛，花色常换常鲜，定期更换品种、浇水、施肥、修剪、除病除虫等。（定期养护，可不安排专人驻场）</w:t>
            </w:r>
          </w:p>
        </w:tc>
      </w:tr>
    </w:tbl>
    <w:p>
      <w:pPr>
        <w:pStyle w:val="48"/>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注:以上服务岗之间不可兼任（特别注明的除外），供应商可对本表的人员岗位安排分配进行优化完善。</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五、人员要求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（一）总体要求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1．建立质量管理体系和管理制度，严格按照ISO9001质量管理体系要求进行管理和运作。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2．有从事相关物业管理的经验和完善的物业管理实施方案。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3．有本企业的形象识别系统、服务理念、行为规范（专业着装、佩戴标志、语言规范、文明服务）、现场标识等。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4．建立了完善的档案管理制度（物业管理设备管理档案、日常管理档案等）。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5．建立了健全的财务管理制度，依法做好财务管理工作。</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（二）人员基本要求</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1．所有物业工作人员应身体健康，形象端正，具有一定的政治文化素养，基本的服务素质和相应的服务技能。所有人员要求政治上可靠，身体素质好，无不良行为记录。</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2．保安岗人员要求（3</w:t>
      </w:r>
      <w:r>
        <w:rPr>
          <w:rFonts w:hint="eastAsia" w:ascii="宋体" w:hAnsi="宋体"/>
          <w:color w:val="auto"/>
          <w:sz w:val="24"/>
          <w:szCs w:val="24"/>
          <w:highlight w:val="none"/>
          <w:lang w:eastAsia="zh-CN"/>
        </w:rPr>
        <w:t>岗</w:t>
      </w:r>
      <w:r>
        <w:rPr>
          <w:rFonts w:hint="eastAsia" w:ascii="宋体" w:hAnsi="宋体"/>
          <w:color w:val="auto"/>
          <w:sz w:val="24"/>
          <w:szCs w:val="24"/>
          <w:highlight w:val="none"/>
        </w:rPr>
        <w:t>）：男性，年龄原则上要求60周岁及以下，具体根据国家相关部门印发的《实施弹性退休制度暂行办法》规定执行，其中一</w:t>
      </w:r>
      <w:r>
        <w:rPr>
          <w:rFonts w:hint="eastAsia" w:ascii="宋体" w:hAnsi="宋体"/>
          <w:color w:val="auto"/>
          <w:sz w:val="24"/>
          <w:szCs w:val="24"/>
          <w:highlight w:val="none"/>
          <w:lang w:eastAsia="zh-CN"/>
        </w:rPr>
        <w:t>岗</w:t>
      </w:r>
      <w:r>
        <w:rPr>
          <w:rFonts w:hint="eastAsia" w:ascii="宋体" w:hAnsi="宋体"/>
          <w:color w:val="auto"/>
          <w:sz w:val="24"/>
          <w:szCs w:val="24"/>
          <w:highlight w:val="none"/>
        </w:rPr>
        <w:t>要求大专及以上学历，年龄原则上55周岁及以下，从事物业管理服务工作3年以上，具备丰富的物业管理与服务经验，须经采购人考核、政治审查通过方可录用。保安岗要求持证上岗，品貌端正，身体健康，朴实肯干，注重个人仪表，礼貌待人。</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3．保洁岗人员：要求女性，年龄原则上要求60周岁及以下。具体根据国家相关部门印发的《实施弹性退休制度暂行办法》规定执行；品貌端正，身体健康，朴实肯干，注重个人仪表，礼貌待人。</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4．所用人员必须符合劳动部门有关用工规定，所有工作人员在工作时间必须根据不同岗位分别穿着工作服，佩戴胸牌。相关人员的配备如需获得相关主管部门认证的，均需配证并持证上岗。</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保持员工队伍相对稳定，调动技术骨干，须提前告知采购人。按招标、投标文件岗位配置配足员工，不得擅自减少、变更综合协调岗。经抽查，发现员工数减少，且无正当理由，采购人有权按考核办法执行，同时要求供应商补足规定人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（三）工作时间要求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提供24小时的后勤服务值班调度，维持街道正常工作及处理突发事件的所需服务。卫生保洁为早上7：00到下午5：00；上班时间保洁以不影响街道工作人员工作为要求作安排；门卫保安岗为24小时工作制，其中一</w:t>
      </w:r>
      <w:r>
        <w:rPr>
          <w:rFonts w:hint="eastAsia" w:ascii="宋体" w:hAnsi="宋体"/>
          <w:color w:val="auto"/>
          <w:sz w:val="24"/>
          <w:highlight w:val="none"/>
          <w:lang w:eastAsia="zh-CN"/>
        </w:rPr>
        <w:t>岗</w:t>
      </w:r>
      <w:r>
        <w:rPr>
          <w:rFonts w:hint="eastAsia" w:ascii="宋体" w:hAnsi="宋体"/>
          <w:color w:val="auto"/>
          <w:sz w:val="24"/>
          <w:highlight w:val="none"/>
        </w:rPr>
        <w:t>为工作日早上8:00-下午5：00。</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工作时间必须满足采购人的工作要求，包括星期六、星期日及公众假期。如遇特殊情况发生，供应商须在任何时间段配合街道调配相关人员调整工作时间处理应急突发事件，产生的包括但不限于加班费等相关费用由供应商承担。</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六、服务工作要求</w:t>
      </w:r>
    </w:p>
    <w:p>
      <w:pPr>
        <w:pStyle w:val="64"/>
        <w:numPr>
          <w:ilvl w:val="0"/>
          <w:numId w:val="0"/>
        </w:numPr>
        <w:ind w:left="615"/>
        <w:rPr>
          <w:rFonts w:ascii="宋体" w:hAnsi="宋体"/>
          <w:bCs/>
          <w:color w:val="auto"/>
          <w:highlight w:val="none"/>
        </w:rPr>
      </w:pPr>
      <w:r>
        <w:rPr>
          <w:rFonts w:hint="eastAsia" w:ascii="宋体" w:hAnsi="宋体"/>
          <w:bCs/>
          <w:color w:val="auto"/>
          <w:highlight w:val="none"/>
        </w:rPr>
        <w:t>（1）保洁岗</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1．室外场所：路面整齐、干净、无垃圾纸屑、无脏杂物、无积水、无碎渣土及枯草落叶；下水道、雨污水井、隔 油池、化粪池及时疏通，不堵塞。</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2．室内场所：地面无垃圾、杂物、无废物、无明显积水和积尘、无痰迹、无脚印；墙面的踢脚线、安全指示灯、各种标牌表面干净；所有卫生区域的门保持干净、无灰尘、污迹。</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卫生间及开水间：大小便池、水斗面盆保持内外光洁、无污垢、无尿碱、无水垢、无脏物、无积尘、无异味、无积水，墙面及门窗无灰尘、无污渍，废物箱无垃圾满溢、无污渍，定期消毒，放卫生球、清新剂，保持地面干燥。</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4．楼梯及扶手：每天上班前清扫擦干净扶手，平时随时清扫。栏杆及门窗、楼梯走廊保持无杂物、无灰尘、无蜘 蛛网、无污迹、无堆放物品。</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5．卫生消杀：消杀包括办公楼内外的公共部位的消杀，夏秋季每月至少六次，春季每月至少二次，冬季每月至少一 次，达到无蝇，无蚊，无虫，无鼠害。同时做好特殊（比如 疫情）期间做好对卫生间、会议室等区域的消毒工作。</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6．各种设施：如标识牌、灯具、消防栓及箱、开关插座、废物箱等，外表清洁干净、无积尘、污迹。</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7．保洁耗材：需按要求放置包括但不限于擦手纸、卷纸、洗手液、檀香、厕所除臭球等一应保洁用品，以保证公共区域卫生干净整洁，相关耗材及公共区域保洁所需物资均由中标人负责提供。</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工作时间及保洁次数：以不影响正常办公为前提，合理安排工作时间。原则上在上班前半小时完成保洁工作，在办公时间内加强卫生巡查，发现杂物及时清除，实行全天候保洁。公共部位每天至少拖洗三次，定期消毒除味；公共场所每天至少清扫二次，早晨、中午各一次，并实行全天候保洁。</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9．垃圾分类：做好所有公共区域的垃圾分类及迎检工作，以及垃圾清运至垃圾集置点，垃圾处置费用包含在投标报价内，协助采购人做好垃圾分类等相关工作。</w:t>
      </w:r>
    </w:p>
    <w:p>
      <w:pPr>
        <w:pStyle w:val="48"/>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（2）保安岗</w:t>
      </w:r>
    </w:p>
    <w:p>
      <w:pPr>
        <w:pStyle w:val="48"/>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及时应对各种紧急大型会议，为贵宾来访做好前期准备工作。承担24小时全天候消防监控、消防巡查、设备报警处置及联动、发生火灾后第一时间应急处置和灭火疏散，负责办公大楼及周围、停车场等场所的巡逻，维护单位内部道路交通秩序，指挥停车场的车辆有序停放，保证道路畅通，秩序有序。</w:t>
      </w:r>
      <w:r>
        <w:rPr>
          <w:rFonts w:hint="eastAsia" w:ascii="宋体" w:hAnsi="宋体"/>
          <w:bCs/>
          <w:color w:val="auto"/>
          <w:sz w:val="24"/>
          <w:highlight w:val="none"/>
        </w:rPr>
        <w:t>为外来办事人员提供服务，做好进出登记和贵重物资、危化物品登记查验工作，信件、包裹、报刊杂志等物品的登记收发工作，来宾来访文明耐心接待，文明值班管理，</w:t>
      </w:r>
      <w:r>
        <w:rPr>
          <w:rFonts w:hint="eastAsia" w:ascii="宋体" w:hAnsi="宋体"/>
          <w:color w:val="auto"/>
          <w:sz w:val="24"/>
          <w:szCs w:val="24"/>
          <w:highlight w:val="none"/>
        </w:rPr>
        <w:t>保障街道日常工作正常运行。其中一</w:t>
      </w:r>
      <w:r>
        <w:rPr>
          <w:rFonts w:hint="eastAsia" w:ascii="宋体" w:hAnsi="宋体"/>
          <w:color w:val="auto"/>
          <w:sz w:val="24"/>
          <w:szCs w:val="24"/>
          <w:highlight w:val="none"/>
          <w:lang w:eastAsia="zh-CN"/>
        </w:rPr>
        <w:t>岗</w:t>
      </w:r>
      <w:r>
        <w:rPr>
          <w:rFonts w:hint="eastAsia" w:ascii="宋体" w:hAnsi="宋体"/>
          <w:color w:val="auto"/>
          <w:sz w:val="24"/>
          <w:szCs w:val="24"/>
          <w:highlight w:val="none"/>
        </w:rPr>
        <w:t>须承担下列工作分配：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1．配合采购方统筹物业内务管理工作，协调各员工之间的工作关系；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2．负责组织制定、修订各员工工作的分工及相关管理制度，与每个岗位人员签订劳动合同，并监督实施；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3．主持召开日常工作例会、政治和业务学习，每月至少1次；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4．负责对本部门人员的考核及奖罚制度的落实，经常巡视标的，检查标的设施及卫生状况，发现问题及时处理，并记录；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5．负责物业员工的日常作业安排，作业量的考核，并现场指导；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6．加强监督检查，注意听取和收集各方对物业工作的意见和建议，及时发现、处理问题，化解各种矛盾；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7．项目负责人的手机必须24小时开机状态，3次电话未接当1次旷缺处理，如遇急事外出，需向街道相关领导请假获批方可外出；</w:t>
      </w:r>
    </w:p>
    <w:p>
      <w:pPr>
        <w:spacing w:line="360" w:lineRule="auto"/>
        <w:ind w:firstLine="480" w:firstLineChars="200"/>
        <w:rPr>
          <w:rFonts w:ascii="宋体" w:hAnsi="宋体"/>
          <w:b/>
          <w:bCs/>
          <w:color w:val="auto"/>
          <w:sz w:val="24"/>
          <w:highlight w:val="none"/>
        </w:rPr>
      </w:pPr>
      <w:r>
        <w:rPr>
          <w:rFonts w:hint="eastAsia" w:ascii="宋体" w:hAnsi="宋体"/>
          <w:color w:val="auto"/>
          <w:sz w:val="24"/>
          <w:highlight w:val="none"/>
        </w:rPr>
        <w:t>8．根据管理工作需要做好突击性、临时性工作，完成采购方交办的其他工作。</w:t>
      </w:r>
    </w:p>
    <w:p>
      <w:pPr>
        <w:pStyle w:val="48"/>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盆栽摆放、养护岗</w:t>
      </w:r>
    </w:p>
    <w:p>
      <w:pPr>
        <w:spacing w:line="360" w:lineRule="auto"/>
        <w:ind w:left="420" w:leftChars="200"/>
        <w:rPr>
          <w:rFonts w:ascii="宋体" w:hAnsi="宋体"/>
          <w:color w:val="auto"/>
          <w:sz w:val="24"/>
          <w:highlight w:val="none"/>
        </w:rPr>
      </w:pPr>
      <w:r>
        <w:rPr>
          <w:rFonts w:hint="eastAsia" w:ascii="宋体" w:hAnsi="宋体"/>
          <w:color w:val="auto"/>
          <w:sz w:val="24"/>
          <w:highlight w:val="none"/>
        </w:rPr>
        <w:t>根据摆放要求及数量，定期养护，保证盆栽一年四季长势旺盛，花色常换常鲜，定期更换品种、浇水、施肥、修剪、除病除虫等。</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七、其他要求</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1．供应商应依法用人，负责支付上岗人员的工资、津贴、社会保险及根据国家规定应支付的各项费用。承担体检、培训、服装费用，并负责办理上岗人员的暂住证、计划生育证明、健康证等有关证件。</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2．供应商必须认真履行职责，严格按符合招标文件服务要求的质量保证体系实施管理，做好街道内的清卫、运送等工作，每日进行检查，发现问题及时整改。</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3．采购人对各工作岗位的服务质量随时进行抽查，发现问题，及时口头或书面通知整改。</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4．供应商应定期对上岗人员进行职业道德教育和职业技能培训，教育其端正服务态度，提高服务质量，遵守街道的各项规章制度及工作规范，维护街道形象。</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供应商应对所有岗位建立岗位责任制与运作程序、工作质量标准。街道根据考核标准作为考核依据，供应商须积极配合采购人对其进行的物业服务综合考评。根据综合考评或工作情况，采购人有权要求供应商在一个星期内更换经理（负责人）、相关骨干人员。</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6．供应商应加强能源和用水管理，节约公用场所用水用电，无长明灯、长流水。对发现供电、给排水设施损坏及时报修。</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7．供应商在街道的应急事件中，应积极配合采取相应的措施。遇突发事件或安全检查时，供应商必须配合有关部门执行任务，并指定专职人员协助工作，直至完成。</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不以任何形式转租、转让、抵押承包区域，在承包区域只从事采购人认可的服务工作。在承包期间，供应商的任何股份配置变动应通知采购人。未经采购人书面批准，任何占有支配地位的股份转让都将视为供应商出租、转让的行为，采购方有权追究违约责任。</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9．未经采购人同意，供应商无权在承包区域中从事任何广告活动或类似宣传， 采购人有权依照广告法和采购人相关的规定责令供应商限期改正，并接受处罚；但采购人在该区域发布的广告宣传保证不致影响供应商的正常工作；</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10．供应商不得以采购人的名义从事任何经济活动，且由此发生的一切债权、债务与采购人无关。</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在承包期内供应商应保证承包区域内的设施、设备良好的运营状况和环境状况，并接受采购人或其授权人员的检查，对由供应商引起或造成设施、设备的损坏及环境卫生不理想状况，采购人将书面通知供应商修复或整改，在书面通知下达一周后，仍未按要求修复或整改，采购人将负责完成这一工作，所需费用连同15%行政附加费全部由供应商承担。</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12．供应商在承包区域因作业所需增加机械、电力设备及设施应征得采购人同意，并聘请有资格的第三方进行安装、保养，并将施工安装保养记录手册等相关材料交由采购人备案。</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八、禁止事项</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1．供应商不得以任何理由向采购人工作人员支付费用或赠送实物，违者将终止合同。供应商人员也不得以任何形式向采购人相关人员索取小费或钱物等。</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2．不得在承包区域住宿或从事非法活动，也不得从事有损采购人利益的活动，同时不允许在承包区域对采购人经营活动进行滋扰性的行为。</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除经采购人批准进行必要的维修工程外，供应商不得损毁承包区域原有的设施和装潢，不得更改已铺设的电缆、电线等电力装置。同时，也不得安装任何可能造成电缆负载过大的电器设备，以免无线电受干扰。</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4．未获采购人书面同意，供应商任何时候都不能在承包区域存放易燃物品、挥发性大或气味浓烈的液体等。</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九、安全事宜</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1．在承包期间，供应商所有人员仅与供应商建立劳动合同关系，按《中华人民共和国劳动合同法》和政府有关各部门规定为全体服务人员交纳所有相关的社会保险及其他相关费用。</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2．供应商人员发生任何事故或与供应商发生劳动争议均由供应商自行全权负责，相关费用供应商自行承担，以保证采购人在供应商人员索赔时不受任何责任的约束。</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3．在供应商的责任区内由于供应商原因导致第三方的事故，由供应商负责，采购人不承担任何责任。</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4．供应商及其员工遵守行政大楼内的一切行政管理、消防安全等规定和制度，保证承包区域的消防设施能正常使用，消防通道畅通，同时承担违规责任。</w:t>
      </w:r>
    </w:p>
    <w:p>
      <w:pPr>
        <w:pStyle w:val="50"/>
        <w:rPr>
          <w:rFonts w:hint="default"/>
          <w:b/>
          <w:color w:val="auto"/>
          <w:highlight w:val="none"/>
        </w:rPr>
      </w:pPr>
    </w:p>
    <w:p>
      <w:pPr>
        <w:spacing w:line="600" w:lineRule="auto"/>
        <w:jc w:val="center"/>
        <w:outlineLvl w:val="1"/>
        <w:rPr>
          <w:rFonts w:ascii="宋体" w:hAnsi="宋体"/>
          <w:b/>
          <w:bCs/>
          <w:color w:val="auto"/>
          <w:sz w:val="30"/>
          <w:szCs w:val="30"/>
          <w:highlight w:val="none"/>
        </w:rPr>
      </w:pPr>
      <w:bookmarkStart w:id="65" w:name="_Toc28631"/>
      <w:r>
        <w:rPr>
          <w:rFonts w:hint="eastAsia" w:ascii="宋体" w:hAnsi="宋体"/>
          <w:b/>
          <w:bCs/>
          <w:color w:val="auto"/>
          <w:sz w:val="30"/>
          <w:szCs w:val="30"/>
          <w:highlight w:val="none"/>
        </w:rPr>
        <w:t>第三章 考核及其他要求</w:t>
      </w:r>
      <w:bookmarkEnd w:id="6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为加强</w:t>
      </w:r>
      <w:r>
        <w:rPr>
          <w:rFonts w:hint="eastAsia" w:ascii="宋体" w:hAnsi="宋体"/>
          <w:color w:val="auto"/>
          <w:sz w:val="24"/>
          <w:highlight w:val="none"/>
          <w:u w:val="single"/>
        </w:rPr>
        <w:t>绍兴市上虞区东关街道办事处</w:t>
      </w:r>
      <w:r>
        <w:rPr>
          <w:rFonts w:hint="eastAsia" w:ascii="宋体" w:hAnsi="宋体"/>
          <w:color w:val="auto"/>
          <w:sz w:val="24"/>
          <w:highlight w:val="none"/>
        </w:rPr>
        <w:t>的管理，达到管理工作的制度化、规范化、标准化目标，确保街道办事处工作规范、高效、安全运行，结合街道办事处管理实际，制定以下考核办法：</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一、考核时间及评定方法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本项目考核采用百分制，每月考核一次，并按以下原则评定考核等级，具体如下：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优秀：考核分＞95分，采购人不作扣罚；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良好：90分≤考核分≤95分，按所扣分值乘以200元/分在当期物业管理服务费用中扣除；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中等：85分≤考核分＜90分，按所扣分值乘以300元/分在当期物业管理服务费用中扣除；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合格：80分≤考核分＜85分，按所扣分值乘以500元/分在当期物业管理服务费用中扣除；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不合格：考核分＜80分，按所扣分值乘以800元/分在当期物业管理服务费用中扣除并予以口头警告；连续两个月属于不合格的，除以上处罚外，采购人有权单方面与服务单位终止服务合同。</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二、特别条款：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签订合同后，15天内必须向采购人递交所有人员清单，包括名字、性别、年龄、身份证号、照片、相关人员证书、岗位等，岗位需满足采购要求，否则均视为未递交人员清单，在履约保证金中按500元/天扣除，履约保证金全部扣没后，采购人有权单方面终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2．服务期间如有人员更换或调动的，需提前7天递交申请，并及时补足符合本项目要求的岗位人员。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采购人不定期抽查供应商投入的人员数量，如果抽查时发现供应商安排在岗的人员数量少于投标承诺的数量，采购人可以按中标单价累计在应付款中扣除。如遇因事假、病假等特殊情况的，供应商需及时向采购人报备，否则视为缺岗。</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三、考核方式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1．检查形式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月度考核检查由采购人组织相关人员每月对现场检查发现的问题为依据进行考核，平时巡查考核、月度考核相结合，对工作台账进行抽查，对热点难点解决情况进行督察，对上级主要工作、重大活动安排及有关创建评比活动有针对性地开展检查，对发现的问题进行告知，要求落实整改，并根据相关考核细则进行评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2．评分依据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评分依据为考核细则。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3．成绩计算方式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按照考核细则，实行分级分类考核，考核基准分为100分，实行倒扣分制，通过每月的不定期巡查、综合考评进行打分，以平均分作为最终得分。</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四、考核结果的运用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考核成绩将作为每月物业服务费付款依据。</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五、考核细则</w:t>
      </w:r>
    </w:p>
    <w:p>
      <w:p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注：本办法由采购人负责解释，可根据实际情况调整。</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04"/>
        <w:gridCol w:w="4230"/>
        <w:gridCol w:w="288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jc w:val="center"/>
              <w:rPr>
                <w:rFonts w:ascii="宋体" w:hAnsi="宋体"/>
                <w:color w:val="auto"/>
                <w:szCs w:val="21"/>
                <w:highlight w:val="none"/>
              </w:rPr>
            </w:pPr>
            <w:r>
              <w:rPr>
                <w:rFonts w:hint="eastAsia" w:ascii="宋体" w:hAnsi="宋体"/>
                <w:color w:val="auto"/>
                <w:szCs w:val="21"/>
                <w:highlight w:val="none"/>
              </w:rPr>
              <w:t>项目</w:t>
            </w: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内容</w:t>
            </w:r>
          </w:p>
        </w:tc>
        <w:tc>
          <w:tcPr>
            <w:tcW w:w="4230" w:type="dxa"/>
            <w:vAlign w:val="center"/>
          </w:tcPr>
          <w:p>
            <w:pPr>
              <w:jc w:val="center"/>
              <w:rPr>
                <w:rFonts w:ascii="宋体" w:hAnsi="宋体"/>
                <w:color w:val="auto"/>
                <w:szCs w:val="21"/>
                <w:highlight w:val="none"/>
              </w:rPr>
            </w:pPr>
            <w:r>
              <w:rPr>
                <w:rFonts w:hint="eastAsia" w:ascii="宋体" w:hAnsi="宋体"/>
                <w:color w:val="auto"/>
                <w:szCs w:val="21"/>
                <w:highlight w:val="none"/>
              </w:rPr>
              <w:t>标准</w:t>
            </w:r>
          </w:p>
        </w:tc>
        <w:tc>
          <w:tcPr>
            <w:tcW w:w="2880" w:type="dxa"/>
            <w:vAlign w:val="center"/>
          </w:tcPr>
          <w:p>
            <w:pPr>
              <w:jc w:val="center"/>
              <w:rPr>
                <w:rFonts w:ascii="宋体" w:hAnsi="宋体"/>
                <w:color w:val="auto"/>
                <w:szCs w:val="21"/>
                <w:highlight w:val="none"/>
              </w:rPr>
            </w:pPr>
            <w:r>
              <w:rPr>
                <w:rFonts w:hint="eastAsia" w:ascii="宋体" w:hAnsi="宋体"/>
                <w:color w:val="auto"/>
                <w:szCs w:val="21"/>
                <w:highlight w:val="none"/>
              </w:rPr>
              <w:t>扣分标准</w:t>
            </w:r>
          </w:p>
        </w:tc>
        <w:tc>
          <w:tcPr>
            <w:tcW w:w="735" w:type="dxa"/>
            <w:vAlign w:val="center"/>
          </w:tcPr>
          <w:p>
            <w:pPr>
              <w:jc w:val="center"/>
              <w:rPr>
                <w:rFonts w:ascii="宋体" w:hAnsi="宋体"/>
                <w:color w:val="auto"/>
                <w:szCs w:val="21"/>
                <w:highlight w:val="none"/>
              </w:rPr>
            </w:pPr>
            <w:r>
              <w:rPr>
                <w:rFonts w:hint="eastAsia" w:ascii="宋体" w:hAnsi="宋体"/>
                <w:color w:val="auto"/>
                <w:szCs w:val="21"/>
                <w:highlight w:val="none"/>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员工管理</w:t>
            </w: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招录培训</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按要求招录人员，并对人员进行上岗培训和考核。</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人员资质要求</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人员年龄、素质、资质证书按招标文件要求配备到位、落实到人，每天上下班必须脸谱考勤机打卡。</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1.未按人数上岗的，每发现一</w:t>
            </w:r>
            <w:r>
              <w:rPr>
                <w:rFonts w:hint="eastAsia" w:ascii="宋体" w:hAnsi="宋体"/>
                <w:color w:val="auto"/>
                <w:szCs w:val="21"/>
                <w:highlight w:val="none"/>
                <w:lang w:eastAsia="zh-CN"/>
              </w:rPr>
              <w:t>岗</w:t>
            </w:r>
            <w:r>
              <w:rPr>
                <w:rFonts w:hint="eastAsia" w:ascii="宋体" w:hAnsi="宋体"/>
                <w:color w:val="auto"/>
                <w:szCs w:val="21"/>
                <w:highlight w:val="none"/>
              </w:rPr>
              <w:t>扣1分；</w:t>
            </w:r>
          </w:p>
          <w:p>
            <w:pPr>
              <w:jc w:val="left"/>
              <w:rPr>
                <w:rFonts w:ascii="宋体" w:hAnsi="宋体"/>
                <w:color w:val="auto"/>
                <w:szCs w:val="21"/>
                <w:highlight w:val="none"/>
              </w:rPr>
            </w:pPr>
            <w:r>
              <w:rPr>
                <w:rFonts w:hint="eastAsia" w:ascii="宋体" w:hAnsi="宋体"/>
                <w:color w:val="auto"/>
                <w:szCs w:val="21"/>
                <w:highlight w:val="none"/>
              </w:rPr>
              <w:t>2.上岗人员与清单人员不符的，每发现一</w:t>
            </w:r>
            <w:r>
              <w:rPr>
                <w:rFonts w:hint="eastAsia" w:ascii="宋体" w:hAnsi="宋体"/>
                <w:color w:val="auto"/>
                <w:szCs w:val="21"/>
                <w:highlight w:val="none"/>
                <w:lang w:eastAsia="zh-CN"/>
              </w:rPr>
              <w:t>岗</w:t>
            </w:r>
            <w:r>
              <w:rPr>
                <w:rFonts w:hint="eastAsia" w:ascii="宋体" w:hAnsi="宋体"/>
                <w:color w:val="auto"/>
                <w:szCs w:val="21"/>
                <w:highlight w:val="none"/>
              </w:rPr>
              <w:t>扣1分；</w:t>
            </w:r>
          </w:p>
          <w:p>
            <w:pPr>
              <w:jc w:val="left"/>
              <w:rPr>
                <w:rFonts w:ascii="宋体" w:hAnsi="宋体"/>
                <w:color w:val="auto"/>
                <w:szCs w:val="21"/>
                <w:highlight w:val="none"/>
              </w:rPr>
            </w:pPr>
            <w:r>
              <w:rPr>
                <w:rFonts w:hint="eastAsia" w:ascii="宋体" w:hAnsi="宋体"/>
                <w:color w:val="auto"/>
                <w:szCs w:val="21"/>
                <w:highlight w:val="none"/>
              </w:rPr>
              <w:t>3.无证上岗的，每发现一起扣2分；</w:t>
            </w:r>
          </w:p>
          <w:p>
            <w:pPr>
              <w:jc w:val="left"/>
              <w:rPr>
                <w:rFonts w:ascii="宋体" w:hAnsi="宋体"/>
                <w:color w:val="auto"/>
                <w:szCs w:val="21"/>
                <w:highlight w:val="none"/>
              </w:rPr>
            </w:pPr>
            <w:r>
              <w:rPr>
                <w:rFonts w:hint="eastAsia" w:ascii="宋体" w:hAnsi="宋体"/>
                <w:color w:val="auto"/>
                <w:szCs w:val="21"/>
                <w:highlight w:val="none"/>
              </w:rPr>
              <w:t>4.其他不符合招标要求的每发现一起扣1分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仪表仪容</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在岗时穿戴统一制服，仪容仪表规范整齐。文明工作，训练有素，认真负责。</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未按规定着装，发现一次扣1分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语言规范</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工作时需保证言语规范，不得态度蛮横、说话粗鲁，不服从管理指令，当面顶撞、拒绝，与服务对象无理吵架，造成不良影响。</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工作纪律</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工作积极主动，不迟到、早退、串岗、睡岗、闲坐偷懒、聊天、吃零食、在岗抽烟、玩手机、大声喧哗现象，私自挪用他人工具和财物、私拆他人信件快递、干私活，当班期间喝酒或酒后上岗等行为。</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巡查监督</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落实项目巡查监督制度，每周不少于两次巡查监督，自行及时查处纠正。</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 xml:space="preserve">作息制度 </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按采购人规定时间落实作息制度，同时做好交接班工作。</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vAlign w:val="center"/>
          </w:tcPr>
          <w:p>
            <w:pPr>
              <w:jc w:val="center"/>
              <w:rPr>
                <w:rFonts w:ascii="宋体" w:hAnsi="宋体"/>
                <w:bCs/>
                <w:color w:val="auto"/>
                <w:szCs w:val="21"/>
                <w:highlight w:val="none"/>
              </w:rPr>
            </w:pPr>
            <w:r>
              <w:rPr>
                <w:rFonts w:hint="eastAsia" w:ascii="宋体" w:hAnsi="宋体"/>
                <w:bCs/>
                <w:color w:val="auto"/>
                <w:szCs w:val="21"/>
                <w:highlight w:val="none"/>
              </w:rPr>
              <w:t>保洁服务</w:t>
            </w: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保洁时间</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按要求至少提前半小时做好卫生保洁工作。</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保洁耗材</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需按要求放置擦手纸、卷纸、洗手液、檀香等保洁耗材，如使用完毕，需立即更换</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室内区域清洁</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室内公共区域的地面、墙面、楼梯、扶手、大厅、玻璃、门及门窗框、天花板、栏杆、走廊等整洁干净，无垃圾、无积灰、无污渍、无水迹、无手印。</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continue"/>
            <w:vAlign w:val="center"/>
          </w:tcPr>
          <w:p>
            <w:pPr>
              <w:jc w:val="center"/>
              <w:rPr>
                <w:rFonts w:ascii="宋体" w:hAnsi="宋体"/>
                <w:color w:val="auto"/>
                <w:szCs w:val="21"/>
                <w:highlight w:val="none"/>
              </w:rPr>
            </w:pP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室内卫生间、茶水间清洁，无垃圾、无污渍、无积水、无异味、无堆积杂物，洁具、台面、镜面光洁无水渍，电器设施外观清洁，物品摆放有序。室内卫生间符合厕所洁净美丽标准，包括标识、挂钩、绿植等设施。</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室外区域清洁</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室外广场、道路、停车场（库）、屋面等公共区域的地面干净，无杂物、无积水、无淤泥、无污垢。绿化内无生活垃圾、建筑垃圾。</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continue"/>
            <w:vAlign w:val="center"/>
          </w:tcPr>
          <w:p>
            <w:pPr>
              <w:jc w:val="center"/>
              <w:rPr>
                <w:rFonts w:ascii="宋体" w:hAnsi="宋体"/>
                <w:color w:val="auto"/>
                <w:szCs w:val="21"/>
                <w:highlight w:val="none"/>
              </w:rPr>
            </w:pP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外墙应保持清洁，无明显污迹。</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continue"/>
            <w:vAlign w:val="center"/>
          </w:tcPr>
          <w:p>
            <w:pPr>
              <w:jc w:val="center"/>
              <w:rPr>
                <w:rFonts w:ascii="宋体" w:hAnsi="宋体"/>
                <w:color w:val="auto"/>
                <w:szCs w:val="21"/>
                <w:highlight w:val="none"/>
              </w:rPr>
            </w:pP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定期对玻璃长廊、景观、照明等设施设备进行清洁，确保表面干净无污渍。</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垃圾分类</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垃圾、废弃物按分类要求及时收集、日产日清，化粪池、隔油池及时清掏，垃圾箱（房）外侧表面清洁、内侧无残留物、无异味。</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continue"/>
            <w:vAlign w:val="center"/>
          </w:tcPr>
          <w:p>
            <w:pPr>
              <w:jc w:val="center"/>
              <w:rPr>
                <w:rFonts w:ascii="宋体" w:hAnsi="宋体"/>
                <w:color w:val="auto"/>
                <w:szCs w:val="21"/>
                <w:highlight w:val="none"/>
              </w:rPr>
            </w:pP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垃圾应按照可回收物、有害垃圾、易腐垃圾和其他垃圾进行分类，对应垃圾桶颜色分别为蓝色、红色、绿色和灰色。</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未按要求，每次一次扣1分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除“四害”</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建立“四害”消杀工作管理制度，根据实际情况定期开展消杀工作，有效控制鼠、蟑、蝇、蚊等害虫滋生，定期对各类病虫害进行预防控制，适时投放消杀药物和设施；“除四害”实施单位须具有病媒生物消杀专业机构资质证书，提供的服务不得低于绍兴市爱卫会“除四害”相关规定及验收标准，并视特殊情况增加次数，无明显蚊蝇滋生地、鼠迹。</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其他</w:t>
            </w: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紧急响应</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及时落实采购人提出的整改要求，对某些需紧急处置的情况，在接到通知后，乙方应无条件在规定时间内突击完成。</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曝光投诉</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不发生新闻曝光、区级以上部门通报批评。</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每发生，通报一次扣10分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Pr>
          <w:p>
            <w:pPr>
              <w:jc w:val="center"/>
              <w:rPr>
                <w:rFonts w:ascii="宋体" w:hAnsi="宋体"/>
                <w:color w:val="auto"/>
                <w:szCs w:val="21"/>
                <w:highlight w:val="none"/>
              </w:rPr>
            </w:pPr>
          </w:p>
        </w:tc>
        <w:tc>
          <w:tcPr>
            <w:tcW w:w="1204" w:type="dxa"/>
            <w:vMerge w:val="continue"/>
            <w:vAlign w:val="center"/>
          </w:tcPr>
          <w:p>
            <w:pPr>
              <w:jc w:val="center"/>
              <w:rPr>
                <w:rFonts w:ascii="宋体" w:hAnsi="宋体"/>
                <w:color w:val="auto"/>
                <w:szCs w:val="21"/>
                <w:highlight w:val="none"/>
              </w:rPr>
            </w:pP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不发生群众信访投诉事件，在各类迎检中被通报批评、扣分。</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每发生、通报一起扣2分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总结上报</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每月做好月总结上报采购人</w:t>
            </w:r>
          </w:p>
        </w:tc>
        <w:tc>
          <w:tcPr>
            <w:tcW w:w="2880" w:type="dxa"/>
          </w:tcPr>
          <w:p>
            <w:pPr>
              <w:jc w:val="left"/>
              <w:rPr>
                <w:rFonts w:ascii="宋体" w:hAnsi="宋体"/>
                <w:color w:val="auto"/>
                <w:szCs w:val="21"/>
                <w:highlight w:val="none"/>
              </w:rPr>
            </w:pPr>
            <w:r>
              <w:rPr>
                <w:rFonts w:hint="eastAsia" w:ascii="宋体" w:hAnsi="宋体"/>
                <w:color w:val="auto"/>
                <w:szCs w:val="21"/>
                <w:highlight w:val="none"/>
              </w:rPr>
              <w:t>未及时上报总结的，每次扣1分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案件事件</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不发生由公司管理不当造成的刑事案件、治安案件、违法犯罪行为和影响社会稳定的群体性事件。</w:t>
            </w:r>
          </w:p>
        </w:tc>
        <w:tc>
          <w:tcPr>
            <w:tcW w:w="2880" w:type="dxa"/>
            <w:vAlign w:val="center"/>
          </w:tcPr>
          <w:p>
            <w:pPr>
              <w:rPr>
                <w:rFonts w:ascii="宋体" w:hAnsi="宋体"/>
                <w:color w:val="auto"/>
                <w:szCs w:val="21"/>
                <w:highlight w:val="none"/>
              </w:rPr>
            </w:pPr>
            <w:r>
              <w:rPr>
                <w:rFonts w:hint="eastAsia" w:ascii="宋体" w:hAnsi="宋体"/>
                <w:color w:val="auto"/>
                <w:szCs w:val="21"/>
                <w:highlight w:val="none"/>
              </w:rPr>
              <w:t>每发生一起根据严重程度，扣3-10分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安全事故</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需做好安全事故的预防工作</w:t>
            </w:r>
          </w:p>
        </w:tc>
        <w:tc>
          <w:tcPr>
            <w:tcW w:w="2880" w:type="dxa"/>
          </w:tcPr>
          <w:p>
            <w:pPr>
              <w:jc w:val="left"/>
              <w:rPr>
                <w:rFonts w:ascii="宋体" w:hAnsi="宋体"/>
                <w:color w:val="auto"/>
                <w:szCs w:val="21"/>
                <w:highlight w:val="none"/>
              </w:rPr>
            </w:pPr>
            <w:r>
              <w:rPr>
                <w:rFonts w:hint="eastAsia" w:ascii="宋体" w:hAnsi="宋体"/>
                <w:color w:val="auto"/>
                <w:szCs w:val="21"/>
                <w:highlight w:val="none"/>
              </w:rPr>
              <w:t>如因工作不力引起的安全事故，每次扣5分。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widowControl/>
              <w:snapToGrid w:val="0"/>
              <w:jc w:val="center"/>
              <w:rPr>
                <w:rFonts w:ascii="新宋体" w:hAnsi="新宋体" w:eastAsia="新宋体"/>
                <w:color w:val="auto"/>
                <w:kern w:val="0"/>
                <w:szCs w:val="21"/>
                <w:highlight w:val="none"/>
              </w:rPr>
            </w:pPr>
            <w:r>
              <w:rPr>
                <w:rFonts w:hint="eastAsia" w:ascii="新宋体" w:hAnsi="新宋体" w:eastAsia="新宋体"/>
                <w:color w:val="auto"/>
                <w:kern w:val="0"/>
                <w:szCs w:val="21"/>
                <w:highlight w:val="none"/>
              </w:rPr>
              <w:t>突击任务</w:t>
            </w:r>
          </w:p>
        </w:tc>
        <w:tc>
          <w:tcPr>
            <w:tcW w:w="4230" w:type="dxa"/>
            <w:vAlign w:val="center"/>
          </w:tcPr>
          <w:p>
            <w:pPr>
              <w:widowControl/>
              <w:snapToGrid w:val="0"/>
              <w:jc w:val="left"/>
              <w:rPr>
                <w:rFonts w:ascii="新宋体" w:hAnsi="新宋体" w:eastAsia="新宋体"/>
                <w:color w:val="auto"/>
                <w:szCs w:val="21"/>
                <w:highlight w:val="none"/>
              </w:rPr>
            </w:pPr>
            <w:r>
              <w:rPr>
                <w:rFonts w:hint="eastAsia" w:ascii="新宋体" w:hAnsi="新宋体" w:eastAsia="新宋体"/>
                <w:color w:val="auto"/>
                <w:szCs w:val="21"/>
                <w:highlight w:val="none"/>
              </w:rPr>
              <w:t>配合采购人做好上级布置的额外的突击性任务的，可视任务轻重加分。</w:t>
            </w:r>
          </w:p>
        </w:tc>
        <w:tc>
          <w:tcPr>
            <w:tcW w:w="2880" w:type="dxa"/>
            <w:vAlign w:val="center"/>
          </w:tcPr>
          <w:p>
            <w:pPr>
              <w:widowControl/>
              <w:snapToGrid w:val="0"/>
              <w:jc w:val="left"/>
              <w:rPr>
                <w:rFonts w:ascii="新宋体" w:hAnsi="新宋体" w:eastAsia="新宋体"/>
                <w:color w:val="auto"/>
                <w:kern w:val="0"/>
                <w:szCs w:val="21"/>
                <w:highlight w:val="none"/>
              </w:rPr>
            </w:pP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Pr>
          <w:p>
            <w:pPr>
              <w:jc w:val="center"/>
              <w:rPr>
                <w:rFonts w:ascii="宋体" w:hAnsi="宋体"/>
                <w:color w:val="auto"/>
                <w:szCs w:val="21"/>
                <w:highlight w:val="none"/>
              </w:rPr>
            </w:pPr>
          </w:p>
        </w:tc>
        <w:tc>
          <w:tcPr>
            <w:tcW w:w="1204" w:type="dxa"/>
            <w:vAlign w:val="center"/>
          </w:tcPr>
          <w:p>
            <w:pPr>
              <w:widowControl/>
              <w:snapToGrid w:val="0"/>
              <w:jc w:val="center"/>
              <w:rPr>
                <w:rFonts w:ascii="新宋体" w:hAnsi="新宋体" w:eastAsia="新宋体"/>
                <w:color w:val="auto"/>
                <w:kern w:val="0"/>
                <w:szCs w:val="21"/>
                <w:highlight w:val="none"/>
              </w:rPr>
            </w:pPr>
            <w:r>
              <w:rPr>
                <w:rFonts w:hint="eastAsia" w:ascii="新宋体" w:hAnsi="新宋体" w:eastAsia="新宋体"/>
                <w:color w:val="auto"/>
                <w:kern w:val="0"/>
                <w:szCs w:val="21"/>
                <w:highlight w:val="none"/>
              </w:rPr>
              <w:t>工作实绩</w:t>
            </w:r>
          </w:p>
        </w:tc>
        <w:tc>
          <w:tcPr>
            <w:tcW w:w="4230" w:type="dxa"/>
            <w:vAlign w:val="center"/>
          </w:tcPr>
          <w:p>
            <w:pPr>
              <w:widowControl/>
              <w:snapToGrid w:val="0"/>
              <w:jc w:val="left"/>
              <w:rPr>
                <w:rFonts w:ascii="新宋体" w:hAnsi="新宋体" w:eastAsia="新宋体"/>
                <w:color w:val="auto"/>
                <w:szCs w:val="21"/>
                <w:highlight w:val="none"/>
              </w:rPr>
            </w:pPr>
            <w:r>
              <w:rPr>
                <w:rFonts w:hint="eastAsia" w:ascii="新宋体" w:hAnsi="新宋体" w:eastAsia="新宋体"/>
                <w:color w:val="auto"/>
                <w:szCs w:val="21"/>
                <w:highlight w:val="none"/>
              </w:rPr>
              <w:t>其他经工作考核小组认定可以加分的事项，按情况予以加分。</w:t>
            </w:r>
          </w:p>
        </w:tc>
        <w:tc>
          <w:tcPr>
            <w:tcW w:w="2880" w:type="dxa"/>
            <w:vAlign w:val="center"/>
          </w:tcPr>
          <w:p>
            <w:pPr>
              <w:widowControl/>
              <w:snapToGrid w:val="0"/>
              <w:jc w:val="left"/>
              <w:rPr>
                <w:rFonts w:ascii="新宋体" w:hAnsi="新宋体" w:eastAsia="新宋体"/>
                <w:color w:val="auto"/>
                <w:kern w:val="0"/>
                <w:szCs w:val="21"/>
                <w:highlight w:val="none"/>
              </w:rPr>
            </w:pPr>
          </w:p>
        </w:tc>
        <w:tc>
          <w:tcPr>
            <w:tcW w:w="735" w:type="dxa"/>
          </w:tcPr>
          <w:p>
            <w:pPr>
              <w:jc w:val="center"/>
              <w:rPr>
                <w:rFonts w:ascii="宋体" w:hAnsi="宋体"/>
                <w:color w:val="auto"/>
                <w:szCs w:val="21"/>
                <w:highlight w:val="none"/>
              </w:rPr>
            </w:pPr>
          </w:p>
        </w:tc>
      </w:tr>
    </w:tbl>
    <w:p>
      <w:pPr>
        <w:autoSpaceDE w:val="0"/>
        <w:autoSpaceDN w:val="0"/>
        <w:spacing w:line="360" w:lineRule="auto"/>
        <w:jc w:val="left"/>
        <w:rPr>
          <w:rFonts w:ascii="宋体" w:hAnsi="宋体"/>
          <w:color w:val="auto"/>
          <w:sz w:val="24"/>
          <w:highlight w:val="none"/>
        </w:rPr>
      </w:pPr>
    </w:p>
    <w:p>
      <w:pPr>
        <w:spacing w:line="600" w:lineRule="auto"/>
        <w:ind w:firstLine="2711" w:firstLineChars="900"/>
        <w:outlineLvl w:val="1"/>
        <w:rPr>
          <w:rFonts w:ascii="宋体" w:hAnsi="宋体"/>
          <w:b/>
          <w:bCs/>
          <w:color w:val="auto"/>
          <w:sz w:val="30"/>
          <w:szCs w:val="30"/>
          <w:highlight w:val="none"/>
        </w:rPr>
      </w:pPr>
      <w:bookmarkStart w:id="66" w:name="_Toc16327"/>
      <w:r>
        <w:rPr>
          <w:rFonts w:hint="eastAsia" w:ascii="宋体" w:hAnsi="宋体"/>
          <w:b/>
          <w:bCs/>
          <w:color w:val="auto"/>
          <w:sz w:val="30"/>
          <w:szCs w:val="30"/>
          <w:highlight w:val="none"/>
        </w:rPr>
        <w:t>第四章 付款方式及要求</w:t>
      </w:r>
      <w:bookmarkEnd w:id="66"/>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一、付款方式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采购人在合同生效以及具备实施条件后7个工作日内向中标人支付20%的合同款作为预付款；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剩余服务费</w:t>
      </w:r>
      <w:r>
        <w:rPr>
          <w:rFonts w:hint="eastAsia" w:ascii="宋体" w:hAnsi="宋体"/>
          <w:color w:val="auto"/>
          <w:sz w:val="24"/>
          <w:highlight w:val="none"/>
        </w:rPr>
        <w:t>按合同约定的价款按季度平均支付，应先做后付，以每月考核结果来确定当季度支付款额，在次季度底前支付上季度经考核后的服务费。（其中合同终止期最后一个月的经费支付应同时递交保洁员、保安人员工资已发放清单）。</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二、付款要求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供应商在收款之前，应向采购人提供等额、合法、有效的发票，采购人凭发票付款。如供应商未按约定提供发票的，采购人有权拒绝付款，直至收到供应商</w:t>
      </w:r>
      <w:r>
        <w:rPr>
          <w:rFonts w:hint="eastAsia" w:ascii="宋体"/>
          <w:color w:val="auto"/>
          <w:kern w:val="0"/>
          <w:sz w:val="24"/>
          <w:highlight w:val="none"/>
        </w:rPr>
        <w:t>提交的相应发票为止，在此情况下，采购人不承担逾期付款违约责任。</w:t>
      </w:r>
    </w:p>
    <w:p>
      <w:pPr>
        <w:pStyle w:val="43"/>
        <w:numPr>
          <w:ilvl w:val="0"/>
          <w:numId w:val="13"/>
        </w:numPr>
        <w:jc w:val="center"/>
        <w:rPr>
          <w:rFonts w:ascii="宋体" w:hAnsi="宋体"/>
          <w:color w:val="auto"/>
          <w:sz w:val="36"/>
          <w:szCs w:val="21"/>
          <w:highlight w:val="none"/>
        </w:rPr>
      </w:pPr>
      <w:r>
        <w:rPr>
          <w:rFonts w:hint="eastAsia" w:ascii="宋体" w:hAnsi="宋体"/>
          <w:color w:val="auto"/>
          <w:sz w:val="36"/>
          <w:szCs w:val="21"/>
          <w:highlight w:val="none"/>
        </w:rPr>
        <w:t>磋商原则及磋商方法</w:t>
      </w:r>
    </w:p>
    <w:p>
      <w:pPr>
        <w:pStyle w:val="51"/>
        <w:numPr>
          <w:ilvl w:val="0"/>
          <w:numId w:val="14"/>
        </w:numPr>
        <w:jc w:val="center"/>
        <w:rPr>
          <w:rFonts w:hAnsi="宋体"/>
          <w:color w:val="auto"/>
          <w:highlight w:val="none"/>
        </w:rPr>
      </w:pPr>
      <w:bookmarkStart w:id="67" w:name="_Toc6416"/>
      <w:r>
        <w:rPr>
          <w:rFonts w:hint="eastAsia" w:hAnsi="宋体"/>
          <w:color w:val="auto"/>
          <w:highlight w:val="none"/>
        </w:rPr>
        <w:t>磋商原则</w:t>
      </w:r>
      <w:bookmarkEnd w:id="67"/>
    </w:p>
    <w:p>
      <w:pPr>
        <w:pStyle w:val="48"/>
        <w:spacing w:line="360" w:lineRule="auto"/>
        <w:ind w:firstLine="480" w:firstLineChars="200"/>
        <w:rPr>
          <w:rFonts w:ascii="宋体" w:hAnsi="宋体"/>
          <w:color w:val="auto"/>
          <w:sz w:val="24"/>
          <w:szCs w:val="22"/>
          <w:highlight w:val="none"/>
        </w:rPr>
      </w:pPr>
      <w:r>
        <w:rPr>
          <w:rFonts w:hint="eastAsia" w:ascii="宋体" w:hAnsi="宋体"/>
          <w:color w:val="auto"/>
          <w:sz w:val="24"/>
          <w:szCs w:val="22"/>
          <w:highlight w:val="none"/>
        </w:rPr>
        <w:t>1、本次竞争性磋商本着公平、公正、科学、择优的原则，邀请各磋商方参加报价。</w:t>
      </w:r>
    </w:p>
    <w:p>
      <w:pPr>
        <w:pStyle w:val="48"/>
        <w:spacing w:line="360" w:lineRule="auto"/>
        <w:ind w:firstLine="480" w:firstLineChars="200"/>
        <w:rPr>
          <w:rFonts w:ascii="宋体" w:hAnsi="宋体"/>
          <w:color w:val="auto"/>
          <w:sz w:val="24"/>
          <w:szCs w:val="22"/>
          <w:highlight w:val="none"/>
        </w:rPr>
      </w:pPr>
      <w:r>
        <w:rPr>
          <w:rFonts w:hint="eastAsia" w:ascii="宋体" w:hAnsi="宋体"/>
          <w:color w:val="auto"/>
          <w:sz w:val="24"/>
          <w:szCs w:val="22"/>
          <w:highlight w:val="none"/>
        </w:rPr>
        <w:t>2、磋商小组将严格按照竞争性磋商文件的要求，对供应商的响应性文件进行认真评审；磋商小组对响应性文件的评审仅依据响应性文件本身，而不依据响应性文件以外的任何因素。</w:t>
      </w:r>
    </w:p>
    <w:p>
      <w:pPr>
        <w:pStyle w:val="48"/>
        <w:spacing w:line="360" w:lineRule="auto"/>
        <w:ind w:firstLine="480" w:firstLineChars="200"/>
        <w:rPr>
          <w:rFonts w:ascii="宋体" w:hAnsi="宋体"/>
          <w:color w:val="auto"/>
          <w:sz w:val="24"/>
          <w:szCs w:val="22"/>
          <w:highlight w:val="none"/>
        </w:rPr>
      </w:pPr>
      <w:r>
        <w:rPr>
          <w:rFonts w:hint="eastAsia" w:ascii="宋体" w:hAnsi="宋体"/>
          <w:color w:val="auto"/>
          <w:sz w:val="24"/>
          <w:szCs w:val="22"/>
          <w:highlight w:val="none"/>
        </w:rPr>
        <w:t>3、磋商小组按照统一的磋商原则和磋商方法，用同一标准对所有响应性文件进行评审。</w:t>
      </w:r>
    </w:p>
    <w:p>
      <w:pPr>
        <w:pStyle w:val="58"/>
        <w:spacing w:line="360" w:lineRule="auto"/>
        <w:ind w:firstLine="482" w:firstLineChars="200"/>
        <w:rPr>
          <w:rFonts w:hAnsi="宋体"/>
          <w:b/>
          <w:color w:val="auto"/>
          <w:sz w:val="24"/>
          <w:szCs w:val="24"/>
          <w:highlight w:val="none"/>
        </w:rPr>
      </w:pPr>
      <w:r>
        <w:rPr>
          <w:rFonts w:hint="eastAsia" w:hAnsi="宋体"/>
          <w:b/>
          <w:color w:val="auto"/>
          <w:sz w:val="24"/>
          <w:szCs w:val="24"/>
          <w:highlight w:val="none"/>
        </w:rPr>
        <w:t>4、评审</w:t>
      </w:r>
    </w:p>
    <w:p>
      <w:pPr>
        <w:pStyle w:val="58"/>
        <w:spacing w:line="360" w:lineRule="auto"/>
        <w:ind w:firstLine="480" w:firstLineChars="200"/>
        <w:rPr>
          <w:rFonts w:hAnsi="宋体"/>
          <w:color w:val="auto"/>
          <w:sz w:val="24"/>
          <w:highlight w:val="none"/>
        </w:rPr>
      </w:pPr>
      <w:r>
        <w:rPr>
          <w:rFonts w:hint="eastAsia" w:hAnsi="宋体"/>
          <w:color w:val="auto"/>
          <w:sz w:val="24"/>
          <w:highlight w:val="none"/>
        </w:rPr>
        <w:t>4.1在磋商响应截止时间前按规定提交响应文件的供应商在三家（含）以上的，由采购人或采购代理机构组织进行开标。</w:t>
      </w:r>
    </w:p>
    <w:p>
      <w:pPr>
        <w:pStyle w:val="58"/>
        <w:spacing w:line="360" w:lineRule="auto"/>
        <w:ind w:firstLine="482" w:firstLineChars="200"/>
        <w:rPr>
          <w:rFonts w:hAnsi="宋体"/>
          <w:b/>
          <w:bCs/>
          <w:color w:val="auto"/>
          <w:sz w:val="24"/>
          <w:highlight w:val="none"/>
        </w:rPr>
      </w:pPr>
      <w:r>
        <w:rPr>
          <w:rFonts w:hint="eastAsia" w:hAnsi="宋体"/>
          <w:b/>
          <w:bCs/>
          <w:color w:val="auto"/>
          <w:sz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hAnsi="宋体"/>
          <w:color w:val="auto"/>
          <w:sz w:val="24"/>
          <w:szCs w:val="24"/>
          <w:highlight w:val="none"/>
        </w:rPr>
        <w:t>备份文件（后缀名为.bfbs）须存储在U盘中，与上传的电子磋商响应文件一致，用信封进行密封并盖章</w:t>
      </w:r>
      <w:r>
        <w:rPr>
          <w:rFonts w:hint="eastAsia" w:hAnsi="宋体"/>
          <w:b/>
          <w:bCs/>
          <w:color w:val="auto"/>
          <w:sz w:val="24"/>
          <w:highlight w:val="none"/>
        </w:rPr>
        <w:t>（信封内仅需放入存储备份文件的U盘）</w:t>
      </w:r>
      <w:r>
        <w:rPr>
          <w:rFonts w:hint="eastAsia" w:hAnsi="宋体"/>
          <w:color w:val="auto"/>
          <w:sz w:val="24"/>
          <w:szCs w:val="24"/>
          <w:highlight w:val="none"/>
        </w:rPr>
        <w:t>，由授权代表在磋商响应截止时间前递交至开标地点。</w:t>
      </w:r>
    </w:p>
    <w:p>
      <w:pPr>
        <w:pStyle w:val="58"/>
        <w:spacing w:line="360" w:lineRule="auto"/>
        <w:ind w:firstLine="480" w:firstLineChars="200"/>
        <w:rPr>
          <w:rFonts w:hAnsi="宋体"/>
          <w:color w:val="auto"/>
          <w:sz w:val="24"/>
          <w:highlight w:val="none"/>
        </w:rPr>
      </w:pPr>
      <w:r>
        <w:rPr>
          <w:rFonts w:hint="eastAsia" w:hAnsi="宋体"/>
          <w:color w:val="auto"/>
          <w:sz w:val="24"/>
          <w:highlight w:val="none"/>
        </w:rPr>
        <w:t>4.3采购人按磋商文件规定的时间、地点公开开标。开标仪式由采购人或采购代理机构主持及有关人员参加。</w:t>
      </w:r>
    </w:p>
    <w:p>
      <w:pPr>
        <w:pStyle w:val="61"/>
        <w:spacing w:before="0"/>
        <w:ind w:firstLine="480"/>
        <w:rPr>
          <w:rFonts w:ascii="宋体" w:hAnsi="宋体"/>
          <w:color w:val="auto"/>
          <w:szCs w:val="24"/>
          <w:highlight w:val="none"/>
        </w:rPr>
      </w:pPr>
      <w:r>
        <w:rPr>
          <w:rFonts w:hint="eastAsia" w:ascii="宋体" w:hAnsi="宋体"/>
          <w:color w:val="auto"/>
          <w:szCs w:val="24"/>
          <w:highlight w:val="none"/>
        </w:rPr>
        <w:t>4.4本项目为电子投标项目，供应商一般不需要参加现场投标和开标，若供应商需要指派授权代表递交备份文件，则授权代表应随身携带法定代表人授权书原件于</w:t>
      </w:r>
      <w:r>
        <w:rPr>
          <w:rFonts w:hint="eastAsia" w:ascii="宋体" w:hAnsi="宋体"/>
          <w:color w:val="auto"/>
          <w:highlight w:val="none"/>
        </w:rPr>
        <w:t>磋商响应</w:t>
      </w:r>
      <w:r>
        <w:rPr>
          <w:rFonts w:hint="eastAsia" w:ascii="宋体" w:hAnsi="宋体"/>
          <w:color w:val="auto"/>
          <w:szCs w:val="24"/>
          <w:highlight w:val="none"/>
        </w:rPr>
        <w:t>截止时间前到达开标地点递交备份文件。若电子磋商响应文件正常解锁，则U盘退还给供应商；若解锁失败，则由采购代理机构将U盘中的备份文件上传，该U盘将由采购代理机构保存。</w:t>
      </w:r>
    </w:p>
    <w:p>
      <w:pPr>
        <w:pStyle w:val="61"/>
        <w:spacing w:before="0"/>
        <w:ind w:firstLine="480"/>
        <w:rPr>
          <w:rFonts w:ascii="宋体" w:hAnsi="宋体"/>
          <w:color w:val="auto"/>
          <w:szCs w:val="24"/>
          <w:highlight w:val="none"/>
        </w:rPr>
      </w:pPr>
      <w:r>
        <w:rPr>
          <w:rFonts w:hint="eastAsia" w:ascii="宋体" w:hAnsi="宋体"/>
          <w:color w:val="auto"/>
          <w:szCs w:val="24"/>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0"/>
        <w:rPr>
          <w:rFonts w:ascii="宋体" w:hAnsi="宋体"/>
          <w:color w:val="auto"/>
          <w:sz w:val="24"/>
          <w:highlight w:val="none"/>
        </w:rPr>
      </w:pPr>
      <w:r>
        <w:rPr>
          <w:rFonts w:hint="eastAsia" w:ascii="宋体" w:hAnsi="宋体"/>
          <w:color w:val="auto"/>
          <w:sz w:val="24"/>
          <w:highlight w:val="none"/>
        </w:rPr>
        <w:t>5、组建磋商小组</w:t>
      </w:r>
    </w:p>
    <w:p>
      <w:pPr>
        <w:pStyle w:val="61"/>
        <w:spacing w:before="0"/>
        <w:ind w:firstLine="480"/>
        <w:rPr>
          <w:rFonts w:ascii="宋体" w:hAnsi="宋体"/>
          <w:color w:val="auto"/>
          <w:szCs w:val="24"/>
          <w:highlight w:val="none"/>
        </w:rPr>
      </w:pPr>
      <w:r>
        <w:rPr>
          <w:rFonts w:hint="eastAsia" w:ascii="宋体" w:hAnsi="宋体"/>
          <w:color w:val="auto"/>
          <w:szCs w:val="24"/>
          <w:highlight w:val="none"/>
        </w:rPr>
        <w:t>5.1磋商小组由采购人代表和评审专家共3人或以上单数组成，其中评审专家人数不少于磋商小组成员总数的2/3。</w:t>
      </w:r>
    </w:p>
    <w:p>
      <w:pPr>
        <w:pStyle w:val="61"/>
        <w:tabs>
          <w:tab w:val="left" w:pos="0"/>
        </w:tabs>
        <w:spacing w:before="0"/>
        <w:ind w:firstLine="480"/>
        <w:rPr>
          <w:rFonts w:ascii="宋体" w:hAnsi="宋体"/>
          <w:color w:val="auto"/>
          <w:szCs w:val="24"/>
          <w:highlight w:val="none"/>
        </w:rPr>
      </w:pPr>
      <w:r>
        <w:rPr>
          <w:rFonts w:hint="eastAsia" w:ascii="宋体" w:hAnsi="宋体"/>
          <w:color w:val="auto"/>
          <w:szCs w:val="24"/>
          <w:highlight w:val="none"/>
        </w:rPr>
        <w:t>5.2</w:t>
      </w:r>
      <w:r>
        <w:rPr>
          <w:rFonts w:hint="eastAsia" w:ascii="宋体" w:hAnsi="宋体"/>
          <w:color w:val="auto"/>
          <w:szCs w:val="24"/>
          <w:highlight w:val="none"/>
          <w:lang w:val="zh-CN"/>
        </w:rPr>
        <w:t>评标工作由评标委员会负责，并推选产生的组长主持；</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5.3</w:t>
      </w:r>
      <w:r>
        <w:rPr>
          <w:rFonts w:hint="eastAsia" w:ascii="宋体" w:hAnsi="宋体"/>
          <w:color w:val="auto"/>
          <w:sz w:val="24"/>
          <w:szCs w:val="24"/>
          <w:highlight w:val="none"/>
          <w:lang w:val="zh-CN"/>
        </w:rPr>
        <w:t>本次评标为在线评标。</w:t>
      </w:r>
    </w:p>
    <w:p>
      <w:pPr>
        <w:pStyle w:val="51"/>
        <w:numPr>
          <w:ilvl w:val="0"/>
          <w:numId w:val="14"/>
        </w:numPr>
        <w:jc w:val="center"/>
        <w:rPr>
          <w:rFonts w:hAnsi="宋体"/>
          <w:color w:val="auto"/>
          <w:highlight w:val="none"/>
        </w:rPr>
      </w:pPr>
      <w:bookmarkStart w:id="68" w:name="_Toc24674"/>
      <w:r>
        <w:rPr>
          <w:rFonts w:hint="eastAsia" w:hAnsi="宋体"/>
          <w:color w:val="auto"/>
          <w:highlight w:val="none"/>
        </w:rPr>
        <w:t>磋商程序</w:t>
      </w:r>
      <w:bookmarkEnd w:id="68"/>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1、对所有响应文件的初审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1.1资格审查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（1）开标后，磋商小组将依法对供应商的资格进行审查。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（2）磋商小组依据法律法规和磋商文件的规定，对供应商的基本资格条件、特定资格条件进行审查。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（1）响应文件无法定代表人或其委托授权代表签名或盖章。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（2）响应文件内容虚假的。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（3）响应文件有采购人不能接受的附加条件的。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（4）磋商有效期、服务期等商务条款不能满足磋商文件要求的。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（5）投标价格超出预算或最高限价，导致采购单位无法支付的。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（6）磋商文件明确规定的其他无效条款的。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2</w:t>
      </w:r>
      <w:r>
        <w:rPr>
          <w:rFonts w:hint="eastAsia" w:ascii="宋体" w:hAnsi="宋体"/>
          <w:b/>
          <w:bCs/>
          <w:color w:val="auto"/>
          <w:sz w:val="24"/>
          <w:highlight w:val="none"/>
          <w:lang w:val="zh-CN"/>
        </w:rPr>
        <w:t>、磋商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 初审合格的供应商进入下一步的磋商活动。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 磋商小组所有成员应当集中与单一供应商分别进行磋商，并给予所有参加磋商的供应商平等的磋商机会。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 在磋商过程中，磋商小组可以根据磋商文件和磋商情况实质性变动采购需求中的技术、服务要求以及合同草案条款。实质性变动的内容，须经采购人代表确认。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 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3</w:t>
      </w:r>
      <w:r>
        <w:rPr>
          <w:rFonts w:hint="eastAsia" w:ascii="宋体" w:hAnsi="宋体"/>
          <w:b/>
          <w:bCs/>
          <w:color w:val="auto"/>
          <w:sz w:val="24"/>
          <w:highlight w:val="none"/>
          <w:lang w:val="zh-CN"/>
        </w:rPr>
        <w:t>、最后报价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3.1商务技术汇总后，供应商开启报价文件，磋商小组应当要求所有实质性响应的供应商在规定时间内提交最后报价。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3.2最后报价是供应商响应文件的有效组成部分，若最后报价高于响应文件报价文件报价，则以第一次报价计入评分。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3.3本项目最后报价的单价不得高于第一次报价的单价，否则按第一次报价执行。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3.4已提交响应文件的供应商，在提交最后报价之前，若因磋商文件实质性变动导致供应商无法满足采购需求的，允许供应商退出磋商。</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4、电子评标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4.1磋商活动由采购代理机构主持,磋商响应截止时间后,供应商登录政采云平台对电子响应文件进行在线解密；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4.2响应文件解密结束,开启响应文件,磋商小组对资格和商务技术响应文件进行资格审查和符合性审查；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4.3供应商按递交磋商响应文件的前后顺序决定磋商的顺序,就价格、服务等认为需要磋商的内容进行磋商,供应商逐家回答磋商小组的提问,供应商作出最终承诺；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4.4磋商小组对商务技术响应文件进行评审；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4.5商务技术汇总后，供应商开启报价文件，进行磋商二次报价（最终报价），如果供应商在规定时间30分钟内未提交第二次报价，视该供应商放弃本次投标，作无效标处理；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4.6在系统上开启最终报价情况；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4.7磋商小组对报价情况进行评审；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4.8在系统上公开资格和商务技术评审结果；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4.9在系统上公布评审结果。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4.10开标会结束。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特别说明:政采云如对电子化开标及评审程序有调整的,按调整后的程序操作。</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5.综合评分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5.1本评标办法采用综合评标法，由商务技术分和报价分合计组成，其中商务技术分70分、报价分30分；满分为100分。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5.2经初步评审合格的响应文件，磋商小组根据竞争性磋商文件确定的评审标准和方法，对其商务技术部分作进一步评审、比较、打分。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6、修正原则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w:t>
      </w:r>
      <w:r>
        <w:rPr>
          <w:rFonts w:hint="eastAsia" w:ascii="宋体" w:hAnsi="宋体"/>
          <w:color w:val="auto"/>
          <w:sz w:val="24"/>
          <w:highlight w:val="none"/>
          <w:lang w:val="zh-CN"/>
        </w:rPr>
        <w:t>文件报价出现前后不一致的，按照下列规定修正：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6.1响应</w:t>
      </w:r>
      <w:r>
        <w:rPr>
          <w:rFonts w:hint="eastAsia" w:ascii="宋体" w:hAnsi="宋体"/>
          <w:color w:val="auto"/>
          <w:sz w:val="24"/>
          <w:highlight w:val="none"/>
          <w:lang w:val="zh-CN"/>
        </w:rPr>
        <w:t>文件中</w:t>
      </w:r>
      <w:r>
        <w:rPr>
          <w:rFonts w:hint="eastAsia" w:ascii="宋体" w:hAnsi="宋体"/>
          <w:color w:val="auto"/>
          <w:sz w:val="24"/>
          <w:highlight w:val="none"/>
        </w:rPr>
        <w:t>报价</w:t>
      </w:r>
      <w:r>
        <w:rPr>
          <w:rFonts w:hint="eastAsia" w:ascii="宋体" w:hAnsi="宋体"/>
          <w:color w:val="auto"/>
          <w:sz w:val="24"/>
          <w:highlight w:val="none"/>
          <w:lang w:val="zh-CN"/>
        </w:rPr>
        <w:t>一览表内容与</w:t>
      </w:r>
      <w:r>
        <w:rPr>
          <w:rFonts w:hint="eastAsia" w:ascii="宋体" w:hAnsi="宋体"/>
          <w:color w:val="auto"/>
          <w:sz w:val="24"/>
          <w:highlight w:val="none"/>
        </w:rPr>
        <w:t>响应</w:t>
      </w:r>
      <w:r>
        <w:rPr>
          <w:rFonts w:hint="eastAsia" w:ascii="宋体" w:hAnsi="宋体"/>
          <w:color w:val="auto"/>
          <w:sz w:val="24"/>
          <w:highlight w:val="none"/>
          <w:lang w:val="zh-CN"/>
        </w:rPr>
        <w:t>文件中相应内容不一致的，以</w:t>
      </w:r>
      <w:r>
        <w:rPr>
          <w:rFonts w:hint="eastAsia" w:ascii="宋体" w:hAnsi="宋体"/>
          <w:color w:val="auto"/>
          <w:sz w:val="24"/>
          <w:highlight w:val="none"/>
        </w:rPr>
        <w:t>报价</w:t>
      </w:r>
      <w:r>
        <w:rPr>
          <w:rFonts w:hint="eastAsia" w:ascii="宋体" w:hAnsi="宋体"/>
          <w:color w:val="auto"/>
          <w:sz w:val="24"/>
          <w:highlight w:val="none"/>
          <w:lang w:val="zh-CN"/>
        </w:rPr>
        <w:t>一览表为准；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6.2</w:t>
      </w:r>
      <w:r>
        <w:rPr>
          <w:rFonts w:hint="eastAsia" w:ascii="宋体" w:hAnsi="宋体"/>
          <w:color w:val="auto"/>
          <w:sz w:val="24"/>
          <w:highlight w:val="none"/>
          <w:lang w:val="zh-CN"/>
        </w:rPr>
        <w:t>大写金额和小写金额不一致的，以大写金额为准；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6.3</w:t>
      </w:r>
      <w:r>
        <w:rPr>
          <w:rFonts w:hint="eastAsia" w:ascii="宋体" w:hAnsi="宋体"/>
          <w:color w:val="auto"/>
          <w:sz w:val="24"/>
          <w:highlight w:val="none"/>
          <w:lang w:val="zh-CN"/>
        </w:rPr>
        <w:t>单价金额小数点或者百分比有明显错位的，以</w:t>
      </w:r>
      <w:r>
        <w:rPr>
          <w:rFonts w:hint="eastAsia" w:ascii="宋体" w:hAnsi="宋体"/>
          <w:color w:val="auto"/>
          <w:sz w:val="24"/>
          <w:highlight w:val="none"/>
        </w:rPr>
        <w:t>报价</w:t>
      </w:r>
      <w:r>
        <w:rPr>
          <w:rFonts w:hint="eastAsia" w:ascii="宋体" w:hAnsi="宋体"/>
          <w:color w:val="auto"/>
          <w:sz w:val="24"/>
          <w:highlight w:val="none"/>
          <w:lang w:val="zh-CN"/>
        </w:rPr>
        <w:t>一览表的总价为准，并修改单价；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6.4</w:t>
      </w:r>
      <w:r>
        <w:rPr>
          <w:rFonts w:hint="eastAsia" w:ascii="宋体" w:hAnsi="宋体"/>
          <w:color w:val="auto"/>
          <w:sz w:val="24"/>
          <w:highlight w:val="none"/>
          <w:lang w:val="zh-CN"/>
        </w:rPr>
        <w:t>总价金额与按单价汇总金额不一致的，以单价金额计算结果为准。</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同时出现两种以上不一致的，按照前款规定的顺序修正。修正后的报价按照财政部公布第87号令 《政府采购</w:t>
      </w:r>
      <w:r>
        <w:rPr>
          <w:rFonts w:hint="eastAsia" w:ascii="宋体" w:hAnsi="宋体"/>
          <w:color w:val="auto"/>
          <w:sz w:val="24"/>
          <w:highlight w:val="none"/>
        </w:rPr>
        <w:t>货物</w:t>
      </w:r>
      <w:r>
        <w:rPr>
          <w:rFonts w:hint="eastAsia" w:ascii="宋体" w:hAnsi="宋体"/>
          <w:color w:val="auto"/>
          <w:sz w:val="24"/>
          <w:highlight w:val="none"/>
          <w:lang w:val="zh-CN"/>
        </w:rPr>
        <w:t>和服务招标投标管理办法》第五十一条第二款的规定经</w:t>
      </w:r>
      <w:r>
        <w:rPr>
          <w:rFonts w:hint="eastAsia" w:ascii="宋体" w:hAnsi="宋体"/>
          <w:color w:val="auto"/>
          <w:sz w:val="24"/>
          <w:highlight w:val="none"/>
        </w:rPr>
        <w:t>供应商</w:t>
      </w:r>
      <w:r>
        <w:rPr>
          <w:rFonts w:hint="eastAsia" w:ascii="宋体" w:hAnsi="宋体"/>
          <w:color w:val="auto"/>
          <w:sz w:val="24"/>
          <w:highlight w:val="none"/>
          <w:lang w:val="zh-CN"/>
        </w:rPr>
        <w:t>确认后产生约束力，</w:t>
      </w:r>
      <w:r>
        <w:rPr>
          <w:rFonts w:hint="eastAsia" w:ascii="宋体" w:hAnsi="宋体"/>
          <w:color w:val="auto"/>
          <w:sz w:val="24"/>
          <w:highlight w:val="none"/>
        </w:rPr>
        <w:t>供应商</w:t>
      </w:r>
      <w:r>
        <w:rPr>
          <w:rFonts w:hint="eastAsia" w:ascii="宋体" w:hAnsi="宋体"/>
          <w:color w:val="auto"/>
          <w:sz w:val="24"/>
          <w:highlight w:val="none"/>
          <w:lang w:val="zh-CN"/>
        </w:rPr>
        <w:t>不确认的，其</w:t>
      </w:r>
      <w:r>
        <w:rPr>
          <w:rFonts w:hint="eastAsia" w:ascii="宋体" w:hAnsi="宋体"/>
          <w:color w:val="auto"/>
          <w:sz w:val="24"/>
          <w:highlight w:val="none"/>
        </w:rPr>
        <w:t>磋商</w:t>
      </w:r>
      <w:r>
        <w:rPr>
          <w:rFonts w:hint="eastAsia" w:ascii="宋体" w:hAnsi="宋体"/>
          <w:color w:val="auto"/>
          <w:sz w:val="24"/>
          <w:highlight w:val="none"/>
          <w:lang w:val="zh-CN"/>
        </w:rPr>
        <w:t>无效。</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7、响应文件的澄清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7.1</w:t>
      </w:r>
      <w:r>
        <w:rPr>
          <w:rFonts w:hint="eastAsia" w:ascii="宋体" w:hAnsi="宋体"/>
          <w:color w:val="auto"/>
          <w:sz w:val="24"/>
          <w:highlight w:val="none"/>
          <w:lang w:val="zh-CN"/>
        </w:rPr>
        <w:t>评审中因</w:t>
      </w:r>
      <w:r>
        <w:rPr>
          <w:rFonts w:hint="eastAsia" w:ascii="宋体" w:hAnsi="宋体"/>
          <w:color w:val="auto"/>
          <w:sz w:val="24"/>
          <w:highlight w:val="none"/>
        </w:rPr>
        <w:t>响应</w:t>
      </w:r>
      <w:r>
        <w:rPr>
          <w:rFonts w:hint="eastAsia" w:ascii="宋体" w:hAnsi="宋体"/>
          <w:color w:val="auto"/>
          <w:sz w:val="24"/>
          <w:highlight w:val="none"/>
          <w:lang w:val="zh-CN"/>
        </w:rPr>
        <w:t>文件含义不明、表述不一致或有明显计算错误等内容需要供应商作出澄清、说明或者补正的，</w:t>
      </w:r>
      <w:r>
        <w:rPr>
          <w:rFonts w:hint="eastAsia" w:ascii="宋体" w:hAnsi="宋体"/>
          <w:color w:val="auto"/>
          <w:sz w:val="24"/>
          <w:highlight w:val="none"/>
        </w:rPr>
        <w:t>磋商小组</w:t>
      </w:r>
      <w:r>
        <w:rPr>
          <w:rFonts w:hint="eastAsia" w:ascii="宋体" w:hAnsi="宋体"/>
          <w:color w:val="auto"/>
          <w:sz w:val="24"/>
          <w:highlight w:val="none"/>
          <w:lang w:val="zh-CN"/>
        </w:rPr>
        <w:t>和供应商应当通过政采云平台交换数据电文，给予供应商提交澄清说明或补正的时间不少于半小时，供应商已经明确表示澄清说明或补正完毕的除外。</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供应商通过政采云平台交换的数据电文必须进行电子签章。</w:t>
      </w:r>
    </w:p>
    <w:p>
      <w:pPr>
        <w:pStyle w:val="51"/>
        <w:numPr>
          <w:ilvl w:val="0"/>
          <w:numId w:val="14"/>
        </w:numPr>
        <w:jc w:val="center"/>
        <w:rPr>
          <w:rFonts w:hAnsi="宋体"/>
          <w:color w:val="auto"/>
          <w:highlight w:val="none"/>
        </w:rPr>
      </w:pPr>
      <w:bookmarkStart w:id="69" w:name="_Toc5065"/>
      <w:r>
        <w:rPr>
          <w:rFonts w:hint="eastAsia" w:hAnsi="宋体"/>
          <w:color w:val="auto"/>
          <w:highlight w:val="none"/>
        </w:rPr>
        <w:t>注意事项</w:t>
      </w:r>
      <w:bookmarkEnd w:id="69"/>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pPr>
        <w:pStyle w:val="51"/>
        <w:numPr>
          <w:ilvl w:val="0"/>
          <w:numId w:val="15"/>
        </w:numPr>
        <w:jc w:val="center"/>
        <w:rPr>
          <w:rFonts w:hAnsi="宋体"/>
          <w:color w:val="auto"/>
          <w:highlight w:val="none"/>
        </w:rPr>
      </w:pPr>
      <w:bookmarkStart w:id="70" w:name="_Toc25899"/>
      <w:r>
        <w:rPr>
          <w:rFonts w:hint="eastAsia" w:hAnsi="宋体"/>
          <w:color w:val="auto"/>
          <w:highlight w:val="none"/>
        </w:rPr>
        <w:t>评分细则</w:t>
      </w:r>
      <w:bookmarkEnd w:id="70"/>
      <w:r>
        <w:rPr>
          <w:rFonts w:hint="eastAsia" w:hAnsi="宋体"/>
          <w:color w:val="auto"/>
          <w:highlight w:val="none"/>
        </w:rPr>
        <w:t xml:space="preserve">  </w:t>
      </w:r>
    </w:p>
    <w:p>
      <w:pPr>
        <w:spacing w:line="360" w:lineRule="auto"/>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一、报价文件评分标准（</w:t>
      </w:r>
      <w:r>
        <w:rPr>
          <w:rFonts w:hint="eastAsia" w:ascii="宋体" w:hAnsi="宋体"/>
          <w:b/>
          <w:bCs/>
          <w:color w:val="auto"/>
          <w:sz w:val="24"/>
          <w:szCs w:val="21"/>
          <w:highlight w:val="none"/>
          <w:u w:val="single"/>
        </w:rPr>
        <w:t xml:space="preserve"> 30 </w:t>
      </w:r>
      <w:r>
        <w:rPr>
          <w:rFonts w:hint="eastAsia" w:ascii="宋体" w:hAnsi="宋体"/>
          <w:b/>
          <w:bCs/>
          <w:color w:val="auto"/>
          <w:sz w:val="24"/>
          <w:szCs w:val="21"/>
          <w:highlight w:val="none"/>
        </w:rPr>
        <w:t>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报价文件主要是对供应商的有效报价进行评议，其评分标准及分值设置规则如下：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1、本次采购最高限价规定如下：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本项目投标报价的最高限价</w:t>
      </w:r>
      <w:r>
        <w:rPr>
          <w:rFonts w:hint="eastAsia" w:ascii="宋体" w:hAnsi="宋体"/>
          <w:b/>
          <w:bCs/>
          <w:color w:val="auto"/>
          <w:sz w:val="24"/>
          <w:highlight w:val="none"/>
        </w:rPr>
        <w:t>为人民币</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壹佰零捌万元</w:t>
      </w:r>
      <w:r>
        <w:rPr>
          <w:rFonts w:hint="eastAsia" w:ascii="宋体" w:hAnsi="宋体"/>
          <w:b/>
          <w:bCs/>
          <w:color w:val="auto"/>
          <w:sz w:val="24"/>
          <w:highlight w:val="none"/>
          <w:u w:val="single"/>
        </w:rPr>
        <w:t xml:space="preserve">整 </w:t>
      </w:r>
      <w:r>
        <w:rPr>
          <w:rFonts w:hint="eastAsia" w:ascii="宋体" w:hAnsi="宋体"/>
          <w:b/>
          <w:bCs/>
          <w:color w:val="auto"/>
          <w:sz w:val="24"/>
          <w:highlight w:val="none"/>
        </w:rPr>
        <w:t>（小写</w:t>
      </w:r>
      <w:r>
        <w:rPr>
          <w:rFonts w:hint="eastAsia" w:ascii="宋体" w:hAnsi="宋体"/>
          <w:b/>
          <w:bCs/>
          <w:color w:val="auto"/>
          <w:sz w:val="24"/>
          <w:highlight w:val="none"/>
          <w:u w:val="single"/>
        </w:rPr>
        <w:t xml:space="preserve"> 1080000.00</w:t>
      </w:r>
      <w:r>
        <w:rPr>
          <w:rFonts w:ascii="宋体" w:hAnsi="宋体"/>
          <w:b/>
          <w:bCs/>
          <w:color w:val="auto"/>
          <w:sz w:val="24"/>
          <w:highlight w:val="none"/>
          <w:u w:val="single"/>
        </w:rPr>
        <w:t xml:space="preserve"> </w:t>
      </w:r>
      <w:r>
        <w:rPr>
          <w:rFonts w:hint="eastAsia" w:ascii="宋体" w:hAnsi="宋体"/>
          <w:b/>
          <w:bCs/>
          <w:color w:val="auto"/>
          <w:sz w:val="24"/>
          <w:highlight w:val="none"/>
        </w:rPr>
        <w:t>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2、供应商的投标报价在最高限价内的，为有效报价。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3、本次评标设有最佳报价。最佳报价确定方式：根据所有入围供应商有效报价中的最低报价作为最佳报价。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4、最佳报价者的报价分为满分，其他供应商的有效报价与最佳报价相比，按下列方法计算其报价分：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投标报价得分=(最佳报价/投标报价)*价格权值*100。</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5、当报价一览表与磋商报价明细表报价不一致时，以报价一览表为准，磋商报价明细表报价予以修正并由授权代表签字确认，拒绝修正或确认的，则做无效标处理。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6、响应文件只允许有一个报价，磋商报价应按磋商文件中相关附表格式填报，该磋商报价应与明细报价汇总相等，且不允许出现报价优惠、赠送等字样（明细出现“0”元，视同赠送）,如出现则做无效响应处理。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投标价格的合理性：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8、价格扣除：</w:t>
      </w:r>
      <w:r>
        <w:rPr>
          <w:rFonts w:hint="eastAsia" w:ascii="宋体" w:hAnsi="宋体"/>
          <w:color w:val="auto"/>
          <w:sz w:val="24"/>
          <w:szCs w:val="21"/>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符合中小企业划分标准的个体工商户，在政府采购活动中视同中小企业。</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在服务采购项目中，服务由小微企业承接，即提供服务的人员为小微企业依照《中华人民共和国劳动合同法》订立劳动合同的从业人员。</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联合体各方均为小型、微型企业的，联合体视同为小型、微型企业。</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符合上述条件的中小微型企业应按照磋商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组成联合体或者接受分包的小微企业与联合体内其他企业、分包企业之间存在直接控股、管理关系的，不享受价格扣除优惠政策。</w:t>
      </w:r>
    </w:p>
    <w:p>
      <w:pPr>
        <w:pStyle w:val="48"/>
        <w:rPr>
          <w:rFonts w:ascii="宋体" w:hAnsi="宋体"/>
          <w:color w:val="auto"/>
          <w:highlight w:val="none"/>
        </w:rPr>
      </w:pPr>
    </w:p>
    <w:p>
      <w:pPr>
        <w:numPr>
          <w:ilvl w:val="0"/>
          <w:numId w:val="16"/>
        </w:numPr>
        <w:spacing w:line="360" w:lineRule="auto"/>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商务技术文件评标内容及标准（70分）</w:t>
      </w:r>
    </w:p>
    <w:p>
      <w:pPr>
        <w:spacing w:line="360" w:lineRule="auto"/>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1、评分细则</w:t>
      </w:r>
    </w:p>
    <w:tbl>
      <w:tblPr>
        <w:tblStyle w:val="17"/>
        <w:tblW w:w="95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1679"/>
        <w:gridCol w:w="617"/>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2" w:type="dxa"/>
            <w:gridSpan w:val="2"/>
            <w:vAlign w:val="center"/>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评分项目</w:t>
            </w:r>
          </w:p>
        </w:tc>
        <w:tc>
          <w:tcPr>
            <w:tcW w:w="617" w:type="dxa"/>
            <w:vAlign w:val="center"/>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分值</w:t>
            </w:r>
          </w:p>
        </w:tc>
        <w:tc>
          <w:tcPr>
            <w:tcW w:w="6108" w:type="dxa"/>
            <w:vAlign w:val="center"/>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评标要点及说明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restart"/>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技术</w:t>
            </w:r>
          </w:p>
          <w:p>
            <w:pPr>
              <w:spacing w:line="360" w:lineRule="auto"/>
              <w:jc w:val="center"/>
              <w:rPr>
                <w:rFonts w:ascii="宋体" w:hAnsi="宋体"/>
                <w:color w:val="auto"/>
                <w:sz w:val="24"/>
                <w:highlight w:val="none"/>
              </w:rPr>
            </w:pPr>
            <w:r>
              <w:rPr>
                <w:rFonts w:hint="eastAsia" w:ascii="宋体" w:hAnsi="宋体"/>
                <w:color w:val="auto"/>
                <w:sz w:val="24"/>
                <w:highlight w:val="none"/>
              </w:rPr>
              <w:t>（60分）</w:t>
            </w:r>
          </w:p>
        </w:tc>
        <w:tc>
          <w:tcPr>
            <w:tcW w:w="1679" w:type="dxa"/>
            <w:vMerge w:val="restart"/>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综合实力</w:t>
            </w:r>
          </w:p>
        </w:tc>
        <w:tc>
          <w:tcPr>
            <w:tcW w:w="617" w:type="dxa"/>
            <w:vAlign w:val="center"/>
          </w:tcPr>
          <w:p>
            <w:pPr>
              <w:widowControl/>
              <w:jc w:val="center"/>
              <w:rPr>
                <w:rFonts w:ascii="宋体" w:hAnsi="宋体"/>
                <w:color w:val="auto"/>
                <w:kern w:val="0"/>
                <w:sz w:val="24"/>
                <w:highlight w:val="none"/>
              </w:rPr>
            </w:pPr>
            <w:r>
              <w:rPr>
                <w:rFonts w:hint="eastAsia" w:ascii="宋体" w:hAnsi="宋体"/>
                <w:color w:val="auto"/>
                <w:kern w:val="0"/>
                <w:sz w:val="24"/>
                <w:highlight w:val="none"/>
                <w:lang w:val="en-US" w:eastAsia="zh-CN"/>
              </w:rPr>
              <w:t>5</w:t>
            </w:r>
          </w:p>
        </w:tc>
        <w:tc>
          <w:tcPr>
            <w:tcW w:w="6108" w:type="dxa"/>
            <w:shd w:val="clear" w:color="auto" w:fill="auto"/>
            <w:vAlign w:val="center"/>
          </w:tcPr>
          <w:p>
            <w:pPr>
              <w:spacing w:line="360" w:lineRule="auto"/>
              <w:ind w:firstLine="480" w:firstLineChars="200"/>
              <w:jc w:val="left"/>
              <w:rPr>
                <w:rFonts w:hint="eastAsia" w:ascii="宋体" w:hAnsi="宋体" w:cs="Times New Roman"/>
                <w:b w:val="0"/>
                <w:bCs w:val="0"/>
                <w:color w:val="auto"/>
                <w:sz w:val="24"/>
                <w:highlight w:val="none"/>
                <w:lang w:eastAsia="zh-CN"/>
              </w:rPr>
            </w:pPr>
            <w:r>
              <w:rPr>
                <w:rFonts w:hint="eastAsia" w:ascii="宋体" w:hAnsi="宋体" w:eastAsia="宋体" w:cs="Times New Roman"/>
                <w:b w:val="0"/>
                <w:bCs w:val="0"/>
                <w:color w:val="auto"/>
                <w:sz w:val="24"/>
                <w:highlight w:val="none"/>
                <w:lang w:eastAsia="zh-CN"/>
              </w:rPr>
              <w:t>评委根据投标人提供的保安管理师等级</w:t>
            </w:r>
            <w:r>
              <w:rPr>
                <w:rFonts w:hint="eastAsia" w:ascii="宋体" w:hAnsi="宋体" w:cs="Times New Roman"/>
                <w:b w:val="0"/>
                <w:bCs w:val="0"/>
                <w:color w:val="auto"/>
                <w:sz w:val="24"/>
                <w:highlight w:val="none"/>
                <w:lang w:val="en-US" w:eastAsia="zh-CN"/>
              </w:rPr>
              <w:t>及</w:t>
            </w:r>
            <w:r>
              <w:rPr>
                <w:rFonts w:hint="eastAsia" w:ascii="宋体" w:hAnsi="宋体"/>
                <w:color w:val="auto"/>
                <w:sz w:val="24"/>
                <w:highlight w:val="none"/>
              </w:rPr>
              <w:t>高级清洁管理师</w:t>
            </w:r>
            <w:r>
              <w:rPr>
                <w:rFonts w:hint="eastAsia" w:ascii="宋体" w:hAnsi="宋体" w:eastAsia="宋体" w:cs="Times New Roman"/>
                <w:b w:val="0"/>
                <w:bCs w:val="0"/>
                <w:color w:val="auto"/>
                <w:sz w:val="24"/>
                <w:highlight w:val="none"/>
                <w:lang w:eastAsia="zh-CN"/>
              </w:rPr>
              <w:t>证书数量进行打分</w:t>
            </w:r>
            <w:r>
              <w:rPr>
                <w:rFonts w:hint="eastAsia" w:ascii="宋体" w:hAnsi="宋体" w:cs="Times New Roman"/>
                <w:b w:val="0"/>
                <w:bCs w:val="0"/>
                <w:color w:val="auto"/>
                <w:sz w:val="24"/>
                <w:highlight w:val="none"/>
                <w:lang w:eastAsia="zh-CN"/>
              </w:rPr>
              <w:t>。</w:t>
            </w:r>
          </w:p>
          <w:p>
            <w:pPr>
              <w:spacing w:line="360" w:lineRule="auto"/>
              <w:ind w:firstLine="482" w:firstLineChars="200"/>
              <w:jc w:val="left"/>
              <w:rPr>
                <w:rFonts w:hint="default" w:ascii="宋体" w:hAnsi="宋体" w:eastAsia="宋体" w:cs="Times New Roman"/>
                <w:b w:val="0"/>
                <w:bCs w:val="0"/>
                <w:color w:val="auto"/>
                <w:sz w:val="24"/>
                <w:highlight w:val="none"/>
                <w:lang w:val="en-US" w:eastAsia="zh-CN"/>
              </w:rPr>
            </w:pPr>
            <w:r>
              <w:rPr>
                <w:rFonts w:hint="eastAsia" w:ascii="宋体" w:hAnsi="宋体" w:cs="Times New Roman"/>
                <w:b/>
                <w:bCs/>
                <w:color w:val="auto"/>
                <w:sz w:val="24"/>
                <w:highlight w:val="none"/>
                <w:lang w:val="en-US" w:eastAsia="zh-CN"/>
              </w:rPr>
              <w:t>须</w:t>
            </w:r>
            <w:r>
              <w:rPr>
                <w:rFonts w:hint="eastAsia" w:ascii="宋体" w:hAnsi="宋体" w:eastAsia="宋体" w:cs="Times New Roman"/>
                <w:b/>
                <w:bCs/>
                <w:color w:val="auto"/>
                <w:sz w:val="24"/>
                <w:highlight w:val="none"/>
                <w:lang w:eastAsia="zh-CN"/>
              </w:rPr>
              <w:t>提供证书</w:t>
            </w:r>
            <w:r>
              <w:rPr>
                <w:rFonts w:hint="eastAsia" w:ascii="宋体" w:hAnsi="宋体" w:eastAsia="宋体" w:cs="Times New Roman"/>
                <w:b/>
                <w:bCs/>
                <w:color w:val="auto"/>
                <w:sz w:val="24"/>
                <w:highlight w:val="none"/>
                <w:lang w:val="en-US" w:eastAsia="zh-CN"/>
              </w:rPr>
              <w:t>材料</w:t>
            </w:r>
            <w:r>
              <w:rPr>
                <w:rFonts w:hint="eastAsia" w:ascii="宋体" w:hAnsi="宋体" w:eastAsia="宋体" w:cs="Times New Roman"/>
                <w:b/>
                <w:bCs/>
                <w:color w:val="auto"/>
                <w:sz w:val="24"/>
                <w:highlight w:val="none"/>
                <w:lang w:eastAsia="zh-CN"/>
              </w:rPr>
              <w:t>扫描件、社保人员缴纳证明并加盖投标人公章</w:t>
            </w:r>
            <w:r>
              <w:rPr>
                <w:rFonts w:hint="eastAsia" w:ascii="宋体" w:hAnsi="宋体" w:cs="Times New Roman"/>
                <w:b/>
                <w:bCs/>
                <w:color w:val="auto"/>
                <w:sz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Merge w:val="continue"/>
            <w:vAlign w:val="center"/>
          </w:tcPr>
          <w:p>
            <w:pPr>
              <w:spacing w:line="360" w:lineRule="auto"/>
              <w:jc w:val="center"/>
              <w:rPr>
                <w:rFonts w:ascii="宋体" w:hAnsi="宋体"/>
                <w:color w:val="auto"/>
                <w:sz w:val="24"/>
                <w:highlight w:val="none"/>
              </w:rPr>
            </w:pPr>
          </w:p>
        </w:tc>
        <w:tc>
          <w:tcPr>
            <w:tcW w:w="617" w:type="dxa"/>
            <w:vAlign w:val="center"/>
          </w:tcPr>
          <w:p>
            <w:pPr>
              <w:widowControl/>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5</w:t>
            </w:r>
          </w:p>
        </w:tc>
        <w:tc>
          <w:tcPr>
            <w:tcW w:w="6108" w:type="dxa"/>
            <w:shd w:val="clear" w:color="auto" w:fill="auto"/>
            <w:vAlign w:val="center"/>
          </w:tcPr>
          <w:p>
            <w:pPr>
              <w:spacing w:line="360" w:lineRule="auto"/>
              <w:ind w:firstLine="480" w:firstLineChars="200"/>
              <w:jc w:val="left"/>
              <w:rPr>
                <w:rFonts w:hint="eastAsia" w:ascii="宋体" w:hAnsi="宋体" w:cs="Times New Roman"/>
                <w:b w:val="0"/>
                <w:bCs w:val="0"/>
                <w:color w:val="auto"/>
                <w:sz w:val="24"/>
                <w:highlight w:val="none"/>
                <w:lang w:eastAsia="zh-CN"/>
              </w:rPr>
            </w:pPr>
            <w:r>
              <w:rPr>
                <w:rFonts w:hint="eastAsia" w:ascii="宋体" w:hAnsi="宋体" w:eastAsia="宋体" w:cs="Times New Roman"/>
                <w:b w:val="0"/>
                <w:bCs w:val="0"/>
                <w:color w:val="auto"/>
                <w:sz w:val="24"/>
                <w:highlight w:val="none"/>
                <w:lang w:eastAsia="zh-CN"/>
              </w:rPr>
              <w:t>评委根据投标人</w:t>
            </w:r>
            <w:r>
              <w:rPr>
                <w:rFonts w:hint="eastAsia" w:ascii="宋体" w:hAnsi="宋体" w:eastAsia="宋体" w:cs="宋体"/>
                <w:color w:val="auto"/>
                <w:kern w:val="0"/>
                <w:sz w:val="24"/>
                <w:szCs w:val="24"/>
                <w:highlight w:val="none"/>
                <w:lang w:eastAsia="zh-CN"/>
              </w:rPr>
              <w:t>拟派的</w:t>
            </w:r>
            <w:r>
              <w:rPr>
                <w:rFonts w:hint="eastAsia" w:ascii="宋体" w:hAnsi="宋体" w:eastAsia="宋体" w:cs="宋体"/>
                <w:color w:val="auto"/>
                <w:kern w:val="0"/>
                <w:sz w:val="24"/>
                <w:szCs w:val="24"/>
                <w:highlight w:val="none"/>
                <w:lang w:val="en-US" w:eastAsia="zh-CN"/>
              </w:rPr>
              <w:t>项目经理</w:t>
            </w:r>
            <w:r>
              <w:rPr>
                <w:rFonts w:hint="eastAsia" w:ascii="宋体" w:hAnsi="宋体" w:cs="宋体"/>
                <w:color w:val="auto"/>
                <w:kern w:val="0"/>
                <w:sz w:val="24"/>
                <w:szCs w:val="24"/>
                <w:highlight w:val="none"/>
                <w:lang w:val="en-US" w:eastAsia="zh-CN"/>
              </w:rPr>
              <w:t>及</w:t>
            </w:r>
            <w:r>
              <w:rPr>
                <w:rFonts w:hint="eastAsia" w:ascii="宋体" w:hAnsi="宋体" w:eastAsia="宋体" w:cs="Times New Roman"/>
                <w:b w:val="0"/>
                <w:bCs w:val="0"/>
                <w:color w:val="auto"/>
                <w:sz w:val="24"/>
                <w:highlight w:val="none"/>
                <w:lang w:eastAsia="zh-CN"/>
              </w:rPr>
              <w:t>提供的区物业项目经理证书数量进行打分</w:t>
            </w:r>
            <w:r>
              <w:rPr>
                <w:rFonts w:hint="eastAsia" w:ascii="宋体" w:hAnsi="宋体" w:cs="Times New Roman"/>
                <w:b w:val="0"/>
                <w:bCs w:val="0"/>
                <w:color w:val="auto"/>
                <w:sz w:val="24"/>
                <w:highlight w:val="none"/>
                <w:lang w:eastAsia="zh-CN"/>
              </w:rPr>
              <w:t>。</w:t>
            </w:r>
          </w:p>
          <w:p>
            <w:pPr>
              <w:spacing w:line="360" w:lineRule="auto"/>
              <w:ind w:firstLine="482" w:firstLineChars="200"/>
              <w:jc w:val="left"/>
              <w:rPr>
                <w:rFonts w:hint="eastAsia" w:ascii="宋体" w:hAnsi="宋体" w:eastAsia="宋体" w:cs="Times New Roman"/>
                <w:b w:val="0"/>
                <w:bCs w:val="0"/>
                <w:color w:val="auto"/>
                <w:sz w:val="24"/>
                <w:highlight w:val="none"/>
                <w:lang w:eastAsia="zh-CN"/>
              </w:rPr>
            </w:pPr>
            <w:r>
              <w:rPr>
                <w:rFonts w:hint="eastAsia" w:ascii="宋体" w:hAnsi="宋体" w:cs="Times New Roman"/>
                <w:b/>
                <w:bCs/>
                <w:color w:val="auto"/>
                <w:sz w:val="24"/>
                <w:highlight w:val="none"/>
                <w:lang w:val="en-US" w:eastAsia="zh-CN"/>
              </w:rPr>
              <w:t>须</w:t>
            </w:r>
            <w:r>
              <w:rPr>
                <w:rFonts w:hint="eastAsia" w:ascii="宋体" w:hAnsi="宋体" w:eastAsia="宋体" w:cs="Times New Roman"/>
                <w:b/>
                <w:bCs/>
                <w:color w:val="auto"/>
                <w:sz w:val="24"/>
                <w:highlight w:val="none"/>
                <w:lang w:eastAsia="zh-CN"/>
              </w:rPr>
              <w:t>提供证书</w:t>
            </w:r>
            <w:r>
              <w:rPr>
                <w:rFonts w:hint="eastAsia" w:ascii="宋体" w:hAnsi="宋体" w:eastAsia="宋体" w:cs="Times New Roman"/>
                <w:b/>
                <w:bCs/>
                <w:color w:val="auto"/>
                <w:sz w:val="24"/>
                <w:highlight w:val="none"/>
                <w:lang w:val="en-US" w:eastAsia="zh-CN"/>
              </w:rPr>
              <w:t>材料</w:t>
            </w:r>
            <w:r>
              <w:rPr>
                <w:rFonts w:hint="eastAsia" w:ascii="宋体" w:hAnsi="宋体" w:eastAsia="宋体" w:cs="Times New Roman"/>
                <w:b/>
                <w:bCs/>
                <w:color w:val="auto"/>
                <w:sz w:val="24"/>
                <w:highlight w:val="none"/>
                <w:lang w:eastAsia="zh-CN"/>
              </w:rPr>
              <w:t>扫描件、社保人员缴纳证明并加盖投标人公章。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管理制度</w:t>
            </w: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5</w:t>
            </w:r>
          </w:p>
        </w:tc>
        <w:tc>
          <w:tcPr>
            <w:tcW w:w="6108" w:type="dxa"/>
            <w:vAlign w:val="center"/>
          </w:tcPr>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评委根据投标人针对本项目制定的各项管理制度进行打分，包括仪表仪容、语言规范、工作纪律、巡查监督、作息制度。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人员考勤制度</w:t>
            </w:r>
          </w:p>
        </w:tc>
        <w:tc>
          <w:tcPr>
            <w:tcW w:w="617" w:type="dxa"/>
            <w:vAlign w:val="center"/>
          </w:tcPr>
          <w:p>
            <w:pPr>
              <w:widowControl/>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w:t>
            </w:r>
          </w:p>
        </w:tc>
        <w:tc>
          <w:tcPr>
            <w:tcW w:w="6108" w:type="dxa"/>
            <w:vAlign w:val="center"/>
          </w:tcPr>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评委根据投标人针对本项目制定的人员考勤制度进行打分。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Merge w:val="restart"/>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服务方案</w:t>
            </w: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4</w:t>
            </w:r>
          </w:p>
        </w:tc>
        <w:tc>
          <w:tcPr>
            <w:tcW w:w="6108" w:type="dxa"/>
            <w:vAlign w:val="center"/>
          </w:tcPr>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评委根据投标人针对本项目制定的保洁服务方案进行打分。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Merge w:val="continue"/>
            <w:vAlign w:val="center"/>
          </w:tcPr>
          <w:p>
            <w:pPr>
              <w:spacing w:line="360" w:lineRule="auto"/>
              <w:jc w:val="center"/>
              <w:rPr>
                <w:rFonts w:ascii="宋体" w:hAnsi="宋体"/>
                <w:color w:val="auto"/>
                <w:sz w:val="24"/>
                <w:highlight w:val="none"/>
              </w:rPr>
            </w:pP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4</w:t>
            </w:r>
          </w:p>
        </w:tc>
        <w:tc>
          <w:tcPr>
            <w:tcW w:w="6108" w:type="dxa"/>
            <w:vAlign w:val="center"/>
          </w:tcPr>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评委根据投标人针对本项目制定的消控服务方案进行打分。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Merge w:val="continue"/>
            <w:vAlign w:val="center"/>
          </w:tcPr>
          <w:p>
            <w:pPr>
              <w:spacing w:line="360" w:lineRule="auto"/>
              <w:jc w:val="center"/>
              <w:rPr>
                <w:rFonts w:ascii="宋体" w:hAnsi="宋体"/>
                <w:color w:val="auto"/>
                <w:sz w:val="24"/>
                <w:highlight w:val="none"/>
              </w:rPr>
            </w:pP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4</w:t>
            </w:r>
          </w:p>
        </w:tc>
        <w:tc>
          <w:tcPr>
            <w:tcW w:w="6108" w:type="dxa"/>
            <w:vAlign w:val="center"/>
          </w:tcPr>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评委根据投标人针对本项目制定的安保服务方案进行打分。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Merge w:val="continue"/>
            <w:vAlign w:val="center"/>
          </w:tcPr>
          <w:p>
            <w:pPr>
              <w:spacing w:line="360" w:lineRule="auto"/>
              <w:jc w:val="center"/>
              <w:rPr>
                <w:rFonts w:ascii="宋体" w:hAnsi="宋体"/>
                <w:color w:val="auto"/>
                <w:sz w:val="24"/>
                <w:highlight w:val="none"/>
              </w:rPr>
            </w:pP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4</w:t>
            </w:r>
          </w:p>
        </w:tc>
        <w:tc>
          <w:tcPr>
            <w:tcW w:w="6108" w:type="dxa"/>
            <w:vAlign w:val="center"/>
          </w:tcPr>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评委根据投标人针对本项目制定的综合服务岗位的方案进行打分。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Merge w:val="continue"/>
            <w:vAlign w:val="center"/>
          </w:tcPr>
          <w:p>
            <w:pPr>
              <w:spacing w:line="360" w:lineRule="auto"/>
              <w:jc w:val="center"/>
              <w:rPr>
                <w:rFonts w:ascii="宋体" w:hAnsi="宋体"/>
                <w:color w:val="auto"/>
                <w:sz w:val="24"/>
                <w:highlight w:val="none"/>
              </w:rPr>
            </w:pP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4</w:t>
            </w:r>
          </w:p>
        </w:tc>
        <w:tc>
          <w:tcPr>
            <w:tcW w:w="6108" w:type="dxa"/>
            <w:vAlign w:val="center"/>
          </w:tcPr>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评委根据投标人针对本项目制定的绿化养护服务方案进行打分。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突发应急预案</w:t>
            </w: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4</w:t>
            </w:r>
          </w:p>
        </w:tc>
        <w:tc>
          <w:tcPr>
            <w:tcW w:w="6108" w:type="dxa"/>
            <w:vAlign w:val="center"/>
          </w:tcPr>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评委根据投标人针对本项目制定的应对各类突发事件的预案及详细的保障措施进行打分。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Align w:val="center"/>
          </w:tcPr>
          <w:p>
            <w:pPr>
              <w:widowControl/>
              <w:spacing w:line="360" w:lineRule="auto"/>
              <w:jc w:val="center"/>
              <w:rPr>
                <w:color w:val="auto"/>
                <w:sz w:val="24"/>
                <w:highlight w:val="none"/>
              </w:rPr>
            </w:pPr>
            <w:r>
              <w:rPr>
                <w:rFonts w:hint="eastAsia" w:ascii="宋体" w:hAnsi="宋体" w:cs="宋体"/>
                <w:color w:val="auto"/>
                <w:sz w:val="24"/>
                <w:highlight w:val="none"/>
              </w:rPr>
              <w:t>应急保障车辆</w:t>
            </w:r>
          </w:p>
        </w:tc>
        <w:tc>
          <w:tcPr>
            <w:tcW w:w="617" w:type="dxa"/>
            <w:vAlign w:val="center"/>
          </w:tcPr>
          <w:p>
            <w:pPr>
              <w:widowControl/>
              <w:jc w:val="center"/>
              <w:rPr>
                <w:rFonts w:ascii="宋体" w:hAnsi="宋体"/>
                <w:color w:val="auto"/>
                <w:kern w:val="0"/>
                <w:sz w:val="24"/>
                <w:highlight w:val="none"/>
              </w:rPr>
            </w:pPr>
            <w:r>
              <w:rPr>
                <w:rFonts w:hint="eastAsia" w:ascii="宋体" w:hAnsi="宋体"/>
                <w:color w:val="auto"/>
                <w:kern w:val="0"/>
                <w:sz w:val="24"/>
                <w:highlight w:val="none"/>
              </w:rPr>
              <w:t>5</w:t>
            </w:r>
          </w:p>
        </w:tc>
        <w:tc>
          <w:tcPr>
            <w:tcW w:w="6108" w:type="dxa"/>
            <w:vAlign w:val="center"/>
          </w:tcPr>
          <w:p>
            <w:pPr>
              <w:spacing w:line="360" w:lineRule="auto"/>
              <w:ind w:firstLine="480" w:firstLineChars="200"/>
              <w:jc w:val="left"/>
              <w:rPr>
                <w:rFonts w:hint="eastAsia" w:ascii="宋体" w:hAnsi="宋体"/>
                <w:color w:val="auto"/>
                <w:sz w:val="24"/>
                <w:highlight w:val="none"/>
                <w:lang w:eastAsia="zh-CN"/>
              </w:rPr>
            </w:pPr>
            <w:r>
              <w:rPr>
                <w:rFonts w:hint="eastAsia" w:ascii="宋体" w:hAnsi="宋体"/>
                <w:color w:val="auto"/>
                <w:sz w:val="24"/>
                <w:highlight w:val="none"/>
              </w:rPr>
              <w:t>根据投标人</w:t>
            </w:r>
            <w:r>
              <w:rPr>
                <w:rFonts w:hint="eastAsia" w:ascii="宋体" w:hAnsi="宋体"/>
                <w:color w:val="auto"/>
                <w:sz w:val="24"/>
                <w:highlight w:val="none"/>
                <w:lang w:val="en-US" w:eastAsia="zh-CN"/>
              </w:rPr>
              <w:t>提供</w:t>
            </w:r>
            <w:r>
              <w:rPr>
                <w:rFonts w:hint="eastAsia" w:ascii="宋体" w:hAnsi="宋体"/>
                <w:color w:val="auto"/>
                <w:sz w:val="24"/>
                <w:highlight w:val="none"/>
              </w:rPr>
              <w:t>的应急保障车辆数量、配置等情况进行打分</w:t>
            </w:r>
            <w:r>
              <w:rPr>
                <w:rFonts w:hint="eastAsia" w:ascii="宋体" w:hAnsi="宋体"/>
                <w:color w:val="auto"/>
                <w:sz w:val="24"/>
                <w:highlight w:val="none"/>
                <w:lang w:eastAsia="zh-CN"/>
              </w:rPr>
              <w:t>；</w:t>
            </w:r>
          </w:p>
          <w:p>
            <w:pPr>
              <w:numPr>
                <w:ilvl w:val="0"/>
                <w:numId w:val="17"/>
              </w:numPr>
              <w:spacing w:line="360" w:lineRule="auto"/>
              <w:ind w:firstLine="480" w:firstLineChars="200"/>
              <w:jc w:val="left"/>
              <w:rPr>
                <w:highlight w:val="none"/>
              </w:rPr>
            </w:pPr>
            <w:r>
              <w:rPr>
                <w:rFonts w:hint="eastAsia" w:ascii="宋体" w:hAnsi="宋体"/>
                <w:color w:val="auto"/>
                <w:sz w:val="24"/>
                <w:highlight w:val="none"/>
                <w:lang w:val="en-US" w:eastAsia="zh-CN"/>
              </w:rPr>
              <w:t>若为自有车辆：</w:t>
            </w:r>
            <w:r>
              <w:rPr>
                <w:rFonts w:hint="eastAsia" w:ascii="宋体" w:hAnsi="宋体"/>
                <w:color w:val="auto"/>
                <w:sz w:val="24"/>
                <w:highlight w:val="none"/>
              </w:rPr>
              <w:t>七座小型客车每辆</w:t>
            </w:r>
            <w:r>
              <w:rPr>
                <w:rFonts w:hint="eastAsia" w:ascii="宋体" w:hAnsi="宋体"/>
                <w:color w:val="auto"/>
                <w:sz w:val="24"/>
                <w:highlight w:val="none"/>
                <w:lang w:val="en-US" w:eastAsia="zh-CN"/>
              </w:rPr>
              <w:t>最高</w:t>
            </w:r>
            <w:r>
              <w:rPr>
                <w:rFonts w:hint="eastAsia" w:ascii="宋体" w:hAnsi="宋体"/>
                <w:color w:val="auto"/>
                <w:sz w:val="24"/>
                <w:highlight w:val="none"/>
              </w:rPr>
              <w:t>得1分，</w:t>
            </w:r>
            <w:r>
              <w:rPr>
                <w:rFonts w:hint="eastAsia" w:ascii="宋体" w:hAnsi="宋体"/>
                <w:color w:val="auto"/>
                <w:sz w:val="24"/>
                <w:highlight w:val="none"/>
                <w:lang w:val="en-US" w:eastAsia="zh-CN"/>
              </w:rPr>
              <w:t>总分不超过</w:t>
            </w:r>
            <w:r>
              <w:rPr>
                <w:rFonts w:hint="eastAsia" w:ascii="宋体" w:hAnsi="宋体"/>
                <w:color w:val="auto"/>
                <w:sz w:val="24"/>
                <w:highlight w:val="none"/>
              </w:rPr>
              <w:t>1分；皮卡车每辆</w:t>
            </w:r>
            <w:r>
              <w:rPr>
                <w:rFonts w:hint="eastAsia" w:ascii="宋体" w:hAnsi="宋体"/>
                <w:color w:val="auto"/>
                <w:sz w:val="24"/>
                <w:highlight w:val="none"/>
                <w:lang w:val="en-US" w:eastAsia="zh-CN"/>
              </w:rPr>
              <w:t>最高</w:t>
            </w:r>
            <w:r>
              <w:rPr>
                <w:rFonts w:hint="eastAsia" w:ascii="宋体" w:hAnsi="宋体"/>
                <w:color w:val="auto"/>
                <w:sz w:val="24"/>
                <w:highlight w:val="none"/>
              </w:rPr>
              <w:t>得1分，</w:t>
            </w:r>
            <w:r>
              <w:rPr>
                <w:rFonts w:hint="eastAsia" w:ascii="宋体" w:hAnsi="宋体"/>
                <w:color w:val="auto"/>
                <w:sz w:val="24"/>
                <w:highlight w:val="none"/>
                <w:lang w:val="en-US" w:eastAsia="zh-CN"/>
              </w:rPr>
              <w:t>总分不超过</w:t>
            </w:r>
            <w:r>
              <w:rPr>
                <w:rFonts w:hint="eastAsia" w:ascii="宋体" w:hAnsi="宋体"/>
                <w:color w:val="auto"/>
                <w:sz w:val="24"/>
                <w:highlight w:val="none"/>
              </w:rPr>
              <w:t>3分；五座小型客车每辆</w:t>
            </w:r>
            <w:r>
              <w:rPr>
                <w:rFonts w:hint="eastAsia" w:ascii="宋体" w:hAnsi="宋体"/>
                <w:color w:val="auto"/>
                <w:sz w:val="24"/>
                <w:highlight w:val="none"/>
                <w:lang w:val="en-US" w:eastAsia="zh-CN"/>
              </w:rPr>
              <w:t>最高</w:t>
            </w:r>
            <w:r>
              <w:rPr>
                <w:rFonts w:hint="eastAsia" w:ascii="宋体" w:hAnsi="宋体"/>
                <w:color w:val="auto"/>
                <w:sz w:val="24"/>
                <w:highlight w:val="none"/>
              </w:rPr>
              <w:t>得0.5分，</w:t>
            </w:r>
            <w:r>
              <w:rPr>
                <w:rFonts w:hint="eastAsia" w:ascii="宋体" w:hAnsi="宋体"/>
                <w:color w:val="auto"/>
                <w:sz w:val="24"/>
                <w:highlight w:val="none"/>
                <w:lang w:val="en-US" w:eastAsia="zh-CN"/>
              </w:rPr>
              <w:t>总分不超过</w:t>
            </w:r>
            <w:r>
              <w:rPr>
                <w:rFonts w:hint="eastAsia" w:ascii="宋体" w:hAnsi="宋体"/>
                <w:color w:val="auto"/>
                <w:sz w:val="24"/>
                <w:highlight w:val="none"/>
              </w:rPr>
              <w:t>1分。不提供不得分。</w:t>
            </w:r>
            <w:r>
              <w:rPr>
                <w:rFonts w:hint="eastAsia" w:ascii="宋体" w:hAnsi="宋体" w:cs="宋体"/>
                <w:b/>
                <w:bCs/>
                <w:color w:val="auto"/>
                <w:sz w:val="24"/>
                <w:highlight w:val="none"/>
              </w:rPr>
              <w:t>（</w:t>
            </w:r>
            <w:r>
              <w:rPr>
                <w:rFonts w:hint="eastAsia" w:ascii="宋体" w:hAnsi="宋体" w:cs="Times New Roman"/>
                <w:b/>
                <w:bCs/>
                <w:color w:val="auto"/>
                <w:sz w:val="24"/>
                <w:highlight w:val="none"/>
                <w:lang w:val="en-US" w:eastAsia="zh-CN"/>
              </w:rPr>
              <w:t>须</w:t>
            </w:r>
            <w:r>
              <w:rPr>
                <w:rFonts w:hint="eastAsia" w:ascii="宋体" w:hAnsi="宋体" w:cs="宋体"/>
                <w:b/>
                <w:bCs/>
                <w:color w:val="auto"/>
                <w:sz w:val="24"/>
                <w:highlight w:val="none"/>
              </w:rPr>
              <w:t>提供车辆照片、行驶证</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保险单</w:t>
            </w:r>
            <w:r>
              <w:rPr>
                <w:rFonts w:hint="eastAsia" w:ascii="宋体" w:hAnsi="宋体" w:cs="宋体"/>
                <w:b/>
                <w:bCs/>
                <w:color w:val="auto"/>
                <w:sz w:val="24"/>
                <w:highlight w:val="none"/>
              </w:rPr>
              <w:t>等扫描件并加盖投标人公章）</w:t>
            </w:r>
          </w:p>
          <w:p>
            <w:pPr>
              <w:numPr>
                <w:ilvl w:val="0"/>
                <w:numId w:val="17"/>
              </w:numPr>
              <w:spacing w:line="360" w:lineRule="auto"/>
              <w:ind w:firstLine="480" w:firstLineChars="200"/>
              <w:jc w:val="left"/>
            </w:pPr>
            <w:r>
              <w:rPr>
                <w:rFonts w:hint="eastAsia" w:ascii="宋体" w:hAnsi="宋体"/>
                <w:color w:val="auto"/>
                <w:sz w:val="24"/>
                <w:highlight w:val="none"/>
                <w:lang w:val="en-US" w:eastAsia="zh-CN"/>
              </w:rPr>
              <w:t>若为租赁车辆：</w:t>
            </w:r>
            <w:r>
              <w:rPr>
                <w:rFonts w:hint="eastAsia" w:ascii="宋体" w:hAnsi="宋体"/>
                <w:color w:val="auto"/>
                <w:sz w:val="24"/>
                <w:highlight w:val="none"/>
              </w:rPr>
              <w:t>七座小型客车每辆</w:t>
            </w:r>
            <w:r>
              <w:rPr>
                <w:rFonts w:hint="eastAsia" w:ascii="宋体" w:hAnsi="宋体"/>
                <w:color w:val="auto"/>
                <w:sz w:val="24"/>
                <w:highlight w:val="none"/>
                <w:lang w:val="en-US" w:eastAsia="zh-CN"/>
              </w:rPr>
              <w:t>最高</w:t>
            </w:r>
            <w:r>
              <w:rPr>
                <w:rFonts w:hint="eastAsia" w:ascii="宋体" w:hAnsi="宋体"/>
                <w:color w:val="auto"/>
                <w:sz w:val="24"/>
                <w:highlight w:val="none"/>
              </w:rPr>
              <w:t>得</w:t>
            </w:r>
            <w:r>
              <w:rPr>
                <w:rFonts w:hint="eastAsia" w:ascii="宋体" w:hAnsi="宋体"/>
                <w:color w:val="auto"/>
                <w:sz w:val="24"/>
                <w:highlight w:val="none"/>
                <w:lang w:val="en-US" w:eastAsia="zh-CN"/>
              </w:rPr>
              <w:t>0.5</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总分不超过0.5</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皮卡车每辆</w:t>
            </w:r>
            <w:r>
              <w:rPr>
                <w:rFonts w:hint="eastAsia" w:ascii="宋体" w:hAnsi="宋体"/>
                <w:color w:val="auto"/>
                <w:sz w:val="24"/>
                <w:highlight w:val="none"/>
                <w:lang w:val="en-US" w:eastAsia="zh-CN"/>
              </w:rPr>
              <w:t>最高</w:t>
            </w:r>
            <w:r>
              <w:rPr>
                <w:rFonts w:hint="eastAsia" w:ascii="宋体" w:hAnsi="宋体"/>
                <w:color w:val="auto"/>
                <w:sz w:val="24"/>
                <w:highlight w:val="none"/>
              </w:rPr>
              <w:t>得</w:t>
            </w:r>
            <w:r>
              <w:rPr>
                <w:rFonts w:hint="eastAsia" w:ascii="宋体" w:hAnsi="宋体"/>
                <w:color w:val="auto"/>
                <w:sz w:val="24"/>
                <w:highlight w:val="none"/>
                <w:lang w:val="en-US" w:eastAsia="zh-CN"/>
              </w:rPr>
              <w:t>0.5</w:t>
            </w:r>
            <w:r>
              <w:rPr>
                <w:rFonts w:hint="eastAsia" w:ascii="宋体" w:hAnsi="宋体"/>
                <w:color w:val="auto"/>
                <w:sz w:val="24"/>
                <w:highlight w:val="none"/>
              </w:rPr>
              <w:t>分，</w:t>
            </w:r>
            <w:r>
              <w:rPr>
                <w:rFonts w:hint="eastAsia" w:ascii="宋体" w:hAnsi="宋体"/>
                <w:color w:val="auto"/>
                <w:sz w:val="24"/>
                <w:highlight w:val="none"/>
                <w:lang w:val="en-US" w:eastAsia="zh-CN"/>
              </w:rPr>
              <w:t>总分不超过1.5</w:t>
            </w:r>
            <w:r>
              <w:rPr>
                <w:rFonts w:hint="eastAsia" w:ascii="宋体" w:hAnsi="宋体"/>
                <w:color w:val="auto"/>
                <w:sz w:val="24"/>
                <w:highlight w:val="none"/>
              </w:rPr>
              <w:t>分；五座小型客车每辆</w:t>
            </w:r>
            <w:r>
              <w:rPr>
                <w:rFonts w:hint="eastAsia" w:ascii="宋体" w:hAnsi="宋体"/>
                <w:color w:val="auto"/>
                <w:sz w:val="24"/>
                <w:highlight w:val="none"/>
                <w:lang w:val="en-US" w:eastAsia="zh-CN"/>
              </w:rPr>
              <w:t>最高</w:t>
            </w:r>
            <w:r>
              <w:rPr>
                <w:rFonts w:hint="eastAsia" w:ascii="宋体" w:hAnsi="宋体"/>
                <w:color w:val="auto"/>
                <w:sz w:val="24"/>
                <w:highlight w:val="none"/>
              </w:rPr>
              <w:t>得0.</w:t>
            </w:r>
            <w:r>
              <w:rPr>
                <w:rFonts w:hint="eastAsia" w:ascii="宋体" w:hAnsi="宋体"/>
                <w:color w:val="auto"/>
                <w:sz w:val="24"/>
                <w:highlight w:val="none"/>
                <w:lang w:val="en-US" w:eastAsia="zh-CN"/>
              </w:rPr>
              <w:t>25</w:t>
            </w:r>
            <w:r>
              <w:rPr>
                <w:rFonts w:hint="eastAsia" w:ascii="宋体" w:hAnsi="宋体"/>
                <w:color w:val="auto"/>
                <w:sz w:val="24"/>
                <w:highlight w:val="none"/>
              </w:rPr>
              <w:t>分，</w:t>
            </w:r>
            <w:r>
              <w:rPr>
                <w:rFonts w:hint="eastAsia" w:ascii="宋体" w:hAnsi="宋体"/>
                <w:color w:val="auto"/>
                <w:sz w:val="24"/>
                <w:highlight w:val="none"/>
                <w:lang w:val="en-US" w:eastAsia="zh-CN"/>
              </w:rPr>
              <w:t>总分不超过0.5</w:t>
            </w:r>
            <w:r>
              <w:rPr>
                <w:rFonts w:hint="eastAsia" w:ascii="宋体" w:hAnsi="宋体"/>
                <w:color w:val="auto"/>
                <w:sz w:val="24"/>
                <w:highlight w:val="none"/>
              </w:rPr>
              <w:t>分。不提供不得分。</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须</w:t>
            </w:r>
            <w:r>
              <w:rPr>
                <w:rFonts w:hint="eastAsia" w:ascii="宋体" w:hAnsi="宋体" w:eastAsia="宋体" w:cs="宋体"/>
                <w:b/>
                <w:bCs/>
                <w:color w:val="auto"/>
                <w:sz w:val="24"/>
                <w:highlight w:val="none"/>
              </w:rPr>
              <w:t>提供车辆照片、</w:t>
            </w:r>
            <w:r>
              <w:rPr>
                <w:rFonts w:hint="eastAsia" w:ascii="宋体" w:hAnsi="宋体" w:eastAsia="宋体" w:cs="宋体"/>
                <w:b/>
                <w:bCs/>
                <w:color w:val="auto"/>
                <w:sz w:val="24"/>
                <w:highlight w:val="none"/>
                <w:lang w:val="zh-TW"/>
              </w:rPr>
              <w:t>租赁合同</w:t>
            </w:r>
            <w:r>
              <w:rPr>
                <w:rFonts w:hint="eastAsia" w:ascii="宋体" w:hAnsi="宋体" w:eastAsia="宋体" w:cs="宋体"/>
                <w:b/>
                <w:bCs/>
                <w:color w:val="auto"/>
                <w:sz w:val="24"/>
                <w:highlight w:val="none"/>
              </w:rPr>
              <w:t>扫描件并加盖投标人公章）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Align w:val="center"/>
          </w:tcPr>
          <w:p>
            <w:pPr>
              <w:widowControl/>
              <w:spacing w:line="360" w:lineRule="auto"/>
              <w:jc w:val="center"/>
              <w:rPr>
                <w:color w:val="auto"/>
                <w:sz w:val="24"/>
                <w:highlight w:val="none"/>
              </w:rPr>
            </w:pPr>
            <w:r>
              <w:rPr>
                <w:rFonts w:hint="eastAsia"/>
                <w:color w:val="auto"/>
                <w:sz w:val="24"/>
                <w:highlight w:val="none"/>
              </w:rPr>
              <w:t>重大活动保障</w:t>
            </w: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5</w:t>
            </w:r>
          </w:p>
        </w:tc>
        <w:tc>
          <w:tcPr>
            <w:tcW w:w="6108" w:type="dxa"/>
            <w:vAlign w:val="center"/>
          </w:tcPr>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根据投标人提供的重大活动保障方案</w:t>
            </w:r>
            <w:r>
              <w:rPr>
                <w:rFonts w:hint="eastAsia" w:ascii="宋体" w:hAnsi="宋体"/>
                <w:color w:val="auto"/>
                <w:sz w:val="24"/>
                <w:highlight w:val="none"/>
                <w:lang w:val="en-US" w:eastAsia="zh-CN"/>
              </w:rPr>
              <w:t>进行打分</w:t>
            </w:r>
            <w:r>
              <w:rPr>
                <w:rFonts w:hint="eastAsia" w:ascii="宋体" w:hAnsi="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培训方案</w:t>
            </w: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4</w:t>
            </w:r>
          </w:p>
        </w:tc>
        <w:tc>
          <w:tcPr>
            <w:tcW w:w="6108" w:type="dxa"/>
            <w:vAlign w:val="center"/>
          </w:tcPr>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评委根据投标人针对本项目制定的培训方案</w:t>
            </w:r>
            <w:r>
              <w:rPr>
                <w:rFonts w:hint="eastAsia" w:ascii="宋体" w:hAnsi="宋体"/>
                <w:color w:val="auto"/>
                <w:sz w:val="24"/>
                <w:highlight w:val="none"/>
                <w:lang w:val="en-US" w:eastAsia="zh-CN"/>
              </w:rPr>
              <w:t>及以往培训经验</w:t>
            </w:r>
            <w:r>
              <w:rPr>
                <w:rFonts w:hint="eastAsia" w:ascii="宋体" w:hAnsi="宋体"/>
                <w:color w:val="auto"/>
                <w:sz w:val="24"/>
                <w:highlight w:val="none"/>
              </w:rPr>
              <w:t>进行打分，内容包括但不限于培训类别、频次、培训案例（标明培训时间、培训主题、内容、现场照片等）。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进退场交接方案</w:t>
            </w: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3</w:t>
            </w:r>
          </w:p>
        </w:tc>
        <w:tc>
          <w:tcPr>
            <w:tcW w:w="6108" w:type="dxa"/>
            <w:vAlign w:val="center"/>
          </w:tcPr>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评委根据投标人提供的进退场交接方案情况进行打分。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restart"/>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资信</w:t>
            </w:r>
          </w:p>
          <w:p>
            <w:pPr>
              <w:spacing w:line="360" w:lineRule="auto"/>
              <w:jc w:val="center"/>
              <w:rPr>
                <w:rFonts w:ascii="宋体" w:hAnsi="宋体"/>
                <w:color w:val="auto"/>
                <w:sz w:val="24"/>
                <w:highlight w:val="none"/>
              </w:rPr>
            </w:pPr>
            <w:r>
              <w:rPr>
                <w:rFonts w:hint="eastAsia" w:ascii="宋体" w:hAnsi="宋体"/>
                <w:color w:val="auto"/>
                <w:sz w:val="24"/>
                <w:highlight w:val="none"/>
              </w:rPr>
              <w:t>（10分）</w:t>
            </w:r>
          </w:p>
        </w:tc>
        <w:tc>
          <w:tcPr>
            <w:tcW w:w="1679" w:type="dxa"/>
            <w:vAlign w:val="center"/>
          </w:tcPr>
          <w:p>
            <w:pPr>
              <w:autoSpaceDE w:val="0"/>
              <w:autoSpaceDN w:val="0"/>
              <w:jc w:val="center"/>
              <w:rPr>
                <w:rFonts w:ascii="宋体" w:hAnsi="宋体"/>
                <w:color w:val="auto"/>
                <w:sz w:val="24"/>
                <w:highlight w:val="none"/>
              </w:rPr>
            </w:pPr>
            <w:r>
              <w:rPr>
                <w:rFonts w:hint="eastAsia" w:ascii="宋体" w:hAnsi="宋体"/>
                <w:color w:val="auto"/>
                <w:sz w:val="24"/>
                <w:highlight w:val="none"/>
              </w:rPr>
              <w:t>业绩</w:t>
            </w: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2</w:t>
            </w:r>
          </w:p>
        </w:tc>
        <w:tc>
          <w:tcPr>
            <w:tcW w:w="6108" w:type="dxa"/>
            <w:vAlign w:val="center"/>
          </w:tcPr>
          <w:p>
            <w:pPr>
              <w:autoSpaceDE w:val="0"/>
              <w:autoSpaceDN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具体详见商务要求表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Align w:val="center"/>
          </w:tcPr>
          <w:p>
            <w:pPr>
              <w:autoSpaceDE w:val="0"/>
              <w:autoSpaceDN w:val="0"/>
              <w:jc w:val="center"/>
              <w:rPr>
                <w:rFonts w:ascii="宋体" w:hAnsi="宋体"/>
                <w:color w:val="auto"/>
                <w:sz w:val="24"/>
                <w:highlight w:val="none"/>
              </w:rPr>
            </w:pPr>
            <w:r>
              <w:rPr>
                <w:rFonts w:hint="eastAsia" w:ascii="宋体" w:hAnsi="宋体"/>
                <w:color w:val="auto"/>
                <w:sz w:val="24"/>
                <w:highlight w:val="none"/>
              </w:rPr>
              <w:t>证书</w:t>
            </w: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6</w:t>
            </w:r>
          </w:p>
        </w:tc>
        <w:tc>
          <w:tcPr>
            <w:tcW w:w="6108" w:type="dxa"/>
            <w:vAlign w:val="center"/>
          </w:tcPr>
          <w:p>
            <w:pPr>
              <w:autoSpaceDE w:val="0"/>
              <w:autoSpaceDN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具体详见商务要求表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3" w:type="dxa"/>
            <w:vMerge w:val="continue"/>
            <w:vAlign w:val="center"/>
          </w:tcPr>
          <w:p>
            <w:pPr>
              <w:spacing w:line="360" w:lineRule="auto"/>
              <w:jc w:val="center"/>
              <w:rPr>
                <w:rFonts w:ascii="宋体" w:hAnsi="宋体"/>
                <w:color w:val="auto"/>
                <w:sz w:val="24"/>
                <w:highlight w:val="none"/>
              </w:rPr>
            </w:pPr>
          </w:p>
        </w:tc>
        <w:tc>
          <w:tcPr>
            <w:tcW w:w="1679" w:type="dxa"/>
            <w:vAlign w:val="center"/>
          </w:tcPr>
          <w:p>
            <w:pPr>
              <w:autoSpaceDE w:val="0"/>
              <w:autoSpaceDN w:val="0"/>
              <w:jc w:val="center"/>
              <w:rPr>
                <w:rFonts w:ascii="宋体" w:hAnsi="宋体"/>
                <w:color w:val="auto"/>
                <w:sz w:val="24"/>
                <w:highlight w:val="none"/>
              </w:rPr>
            </w:pPr>
            <w:r>
              <w:rPr>
                <w:rFonts w:hint="eastAsia" w:ascii="宋体" w:hAnsi="宋体"/>
                <w:color w:val="auto"/>
                <w:sz w:val="24"/>
                <w:highlight w:val="none"/>
              </w:rPr>
              <w:t>荣誉</w:t>
            </w:r>
          </w:p>
        </w:tc>
        <w:tc>
          <w:tcPr>
            <w:tcW w:w="617" w:type="dxa"/>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2</w:t>
            </w:r>
          </w:p>
        </w:tc>
        <w:tc>
          <w:tcPr>
            <w:tcW w:w="6108" w:type="dxa"/>
            <w:vAlign w:val="center"/>
          </w:tcPr>
          <w:p>
            <w:pPr>
              <w:autoSpaceDE w:val="0"/>
              <w:autoSpaceDN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具体详见商务要求表</w:t>
            </w:r>
          </w:p>
        </w:tc>
      </w:tr>
    </w:tbl>
    <w:p>
      <w:pPr>
        <w:spacing w:line="360" w:lineRule="auto"/>
        <w:ind w:firstLine="480" w:firstLineChars="200"/>
        <w:rPr>
          <w:rFonts w:ascii="宋体" w:hAnsi="宋体"/>
          <w:color w:val="auto"/>
          <w:sz w:val="24"/>
          <w:szCs w:val="21"/>
          <w:highlight w:val="none"/>
        </w:rPr>
      </w:pPr>
    </w:p>
    <w:p>
      <w:pPr>
        <w:spacing w:line="360" w:lineRule="auto"/>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2、商务要求表</w:t>
      </w:r>
      <w:r>
        <w:rPr>
          <w:rFonts w:hint="eastAsia" w:ascii="宋体" w:hAnsi="宋体"/>
          <w:color w:val="auto"/>
          <w:sz w:val="24"/>
          <w:szCs w:val="21"/>
          <w:highlight w:val="none"/>
        </w:rPr>
        <w:t>（对应评分标准）</w:t>
      </w:r>
    </w:p>
    <w:tbl>
      <w:tblPr>
        <w:tblStyle w:val="1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984"/>
        <w:gridCol w:w="6767"/>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61" w:type="dxa"/>
            <w:vMerge w:val="restart"/>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资信（10）</w:t>
            </w:r>
          </w:p>
        </w:tc>
        <w:tc>
          <w:tcPr>
            <w:tcW w:w="984" w:type="dxa"/>
            <w:vAlign w:val="center"/>
          </w:tcPr>
          <w:p>
            <w:pPr>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业绩</w:t>
            </w:r>
          </w:p>
        </w:tc>
        <w:tc>
          <w:tcPr>
            <w:tcW w:w="6767" w:type="dxa"/>
            <w:vAlign w:val="center"/>
          </w:tcPr>
          <w:p>
            <w:pPr>
              <w:widowControl/>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投标人自2022年1月1日以来（以合同签订时间为准）实施的类似项目每个得</w:t>
            </w:r>
            <w:r>
              <w:rPr>
                <w:rFonts w:hint="eastAsia" w:ascii="宋体" w:hAnsi="宋体"/>
                <w:color w:val="auto"/>
                <w:sz w:val="24"/>
                <w:highlight w:val="none"/>
                <w:lang w:val="en-US" w:eastAsia="zh-CN"/>
              </w:rPr>
              <w:t>1</w:t>
            </w:r>
            <w:r>
              <w:rPr>
                <w:rFonts w:hint="eastAsia" w:ascii="宋体" w:hAnsi="宋体"/>
                <w:color w:val="auto"/>
                <w:sz w:val="24"/>
                <w:highlight w:val="none"/>
              </w:rPr>
              <w:t>分，最高得</w:t>
            </w:r>
            <w:r>
              <w:rPr>
                <w:rFonts w:hint="eastAsia" w:ascii="宋体" w:hAnsi="宋体"/>
                <w:color w:val="auto"/>
                <w:sz w:val="24"/>
                <w:highlight w:val="none"/>
                <w:lang w:val="en-US" w:eastAsia="zh-CN"/>
              </w:rPr>
              <w:t>2</w:t>
            </w:r>
            <w:r>
              <w:rPr>
                <w:rFonts w:hint="eastAsia" w:ascii="宋体" w:hAnsi="宋体"/>
                <w:color w:val="auto"/>
                <w:sz w:val="24"/>
                <w:highlight w:val="none"/>
              </w:rPr>
              <w:t>分，没有不得分</w:t>
            </w:r>
            <w:r>
              <w:rPr>
                <w:rFonts w:hint="eastAsia" w:ascii="宋体" w:hAnsi="宋体"/>
                <w:color w:val="auto"/>
                <w:sz w:val="24"/>
                <w:highlight w:val="none"/>
                <w:lang w:eastAsia="zh-CN"/>
              </w:rPr>
              <w:t>。</w:t>
            </w:r>
          </w:p>
          <w:p>
            <w:pPr>
              <w:widowControl/>
              <w:spacing w:line="360" w:lineRule="auto"/>
              <w:ind w:firstLine="482" w:firstLineChars="200"/>
              <w:rPr>
                <w:rFonts w:hint="default" w:ascii="宋体" w:hAnsi="宋体" w:eastAsia="宋体"/>
                <w:color w:val="auto"/>
                <w:sz w:val="24"/>
                <w:highlight w:val="none"/>
                <w:lang w:val="en-US" w:eastAsia="zh-CN"/>
              </w:rPr>
            </w:pPr>
            <w:r>
              <w:rPr>
                <w:rFonts w:hint="eastAsia" w:ascii="宋体" w:hAnsi="宋体"/>
                <w:b/>
                <w:bCs/>
                <w:color w:val="auto"/>
                <w:sz w:val="24"/>
                <w:highlight w:val="none"/>
              </w:rPr>
              <w:t>须提供合同扫描件（包括合同首页、合同金额所在页、签字盖章页及合同标的页）并加盖投标人公章</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不提供不得分。</w:t>
            </w:r>
          </w:p>
        </w:tc>
        <w:tc>
          <w:tcPr>
            <w:tcW w:w="695" w:type="dxa"/>
            <w:vAlign w:val="center"/>
          </w:tcPr>
          <w:p>
            <w:pPr>
              <w:autoSpaceDE w:val="0"/>
              <w:autoSpaceDN w:val="0"/>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061" w:type="dxa"/>
            <w:vMerge w:val="continue"/>
            <w:vAlign w:val="center"/>
          </w:tcPr>
          <w:p>
            <w:pPr>
              <w:widowControl/>
              <w:spacing w:line="360" w:lineRule="auto"/>
              <w:jc w:val="center"/>
              <w:rPr>
                <w:rFonts w:ascii="宋体" w:hAnsi="宋体"/>
                <w:color w:val="auto"/>
                <w:szCs w:val="21"/>
                <w:highlight w:val="none"/>
              </w:rPr>
            </w:pPr>
          </w:p>
        </w:tc>
        <w:tc>
          <w:tcPr>
            <w:tcW w:w="984" w:type="dxa"/>
            <w:vMerge w:val="restart"/>
            <w:vAlign w:val="center"/>
          </w:tcPr>
          <w:p>
            <w:pPr>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证书</w:t>
            </w:r>
          </w:p>
        </w:tc>
        <w:tc>
          <w:tcPr>
            <w:tcW w:w="6767" w:type="dxa"/>
            <w:vAlign w:val="center"/>
          </w:tcPr>
          <w:p>
            <w:pPr>
              <w:widowControl/>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投标人具有在有效期内的质量管理体系认证证书、环境管理体系认证证书、职业健康安全管理体系认证证书的每个得0.5分，最高得1.5分</w:t>
            </w:r>
            <w:r>
              <w:rPr>
                <w:rFonts w:hint="eastAsia" w:ascii="宋体" w:hAnsi="宋体" w:cs="宋体"/>
                <w:color w:val="auto"/>
                <w:sz w:val="24"/>
                <w:highlight w:val="none"/>
                <w:lang w:eastAsia="zh-CN"/>
              </w:rPr>
              <w:t>。</w:t>
            </w:r>
          </w:p>
          <w:p>
            <w:pPr>
              <w:widowControl/>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须</w:t>
            </w:r>
            <w:r>
              <w:rPr>
                <w:rFonts w:hint="eastAsia" w:ascii="宋体" w:hAnsi="宋体" w:cs="宋体"/>
                <w:b/>
                <w:bCs/>
                <w:color w:val="auto"/>
                <w:sz w:val="24"/>
                <w:highlight w:val="none"/>
              </w:rPr>
              <w:t>提供</w:t>
            </w:r>
            <w:r>
              <w:rPr>
                <w:rFonts w:hint="eastAsia" w:ascii="宋体" w:hAnsi="宋体" w:cs="宋体"/>
                <w:b/>
                <w:bCs/>
                <w:color w:val="auto"/>
                <w:sz w:val="24"/>
                <w:highlight w:val="none"/>
                <w:lang w:val="en-US" w:eastAsia="zh-CN"/>
              </w:rPr>
              <w:t>认证</w:t>
            </w:r>
            <w:r>
              <w:rPr>
                <w:rFonts w:hint="eastAsia" w:ascii="宋体" w:hAnsi="宋体" w:cs="宋体"/>
                <w:b/>
                <w:bCs/>
                <w:color w:val="auto"/>
                <w:sz w:val="24"/>
                <w:highlight w:val="none"/>
              </w:rPr>
              <w:t>证书扫描件并加盖投标人公章</w:t>
            </w:r>
            <w:r>
              <w:rPr>
                <w:rFonts w:hint="eastAsia" w:ascii="宋体" w:hAnsi="宋体" w:cs="宋体"/>
                <w:b/>
                <w:bCs/>
                <w:color w:val="auto"/>
                <w:sz w:val="24"/>
                <w:highlight w:val="none"/>
                <w:lang w:eastAsia="zh-CN"/>
              </w:rPr>
              <w:t>，</w:t>
            </w:r>
            <w:r>
              <w:rPr>
                <w:rFonts w:hint="eastAsia" w:ascii="宋体" w:hAnsi="宋体"/>
                <w:b/>
                <w:bCs/>
                <w:color w:val="auto"/>
                <w:sz w:val="24"/>
                <w:highlight w:val="none"/>
                <w:lang w:val="en-US" w:eastAsia="zh-CN"/>
              </w:rPr>
              <w:t>不提供不得分。</w:t>
            </w:r>
          </w:p>
        </w:tc>
        <w:tc>
          <w:tcPr>
            <w:tcW w:w="695" w:type="dxa"/>
            <w:vAlign w:val="center"/>
          </w:tcPr>
          <w:p>
            <w:pPr>
              <w:autoSpaceDE w:val="0"/>
              <w:autoSpaceDN w:val="0"/>
              <w:spacing w:line="360" w:lineRule="auto"/>
              <w:jc w:val="center"/>
              <w:rPr>
                <w:rFonts w:ascii="宋体" w:hAnsi="宋体"/>
                <w:color w:val="auto"/>
                <w:sz w:val="24"/>
                <w:highlight w:val="none"/>
              </w:rPr>
            </w:pPr>
            <w:r>
              <w:rPr>
                <w:rFonts w:hint="eastAsia" w:ascii="宋体" w:hAnsi="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61" w:type="dxa"/>
            <w:vMerge w:val="continue"/>
            <w:vAlign w:val="center"/>
          </w:tcPr>
          <w:p>
            <w:pPr>
              <w:widowControl/>
              <w:spacing w:line="360" w:lineRule="auto"/>
              <w:jc w:val="center"/>
              <w:rPr>
                <w:rFonts w:ascii="宋体" w:hAnsi="宋体"/>
                <w:color w:val="auto"/>
                <w:szCs w:val="21"/>
                <w:highlight w:val="none"/>
              </w:rPr>
            </w:pPr>
          </w:p>
        </w:tc>
        <w:tc>
          <w:tcPr>
            <w:tcW w:w="984" w:type="dxa"/>
            <w:vMerge w:val="continue"/>
            <w:vAlign w:val="center"/>
          </w:tcPr>
          <w:p>
            <w:pPr>
              <w:autoSpaceDE w:val="0"/>
              <w:autoSpaceDN w:val="0"/>
              <w:spacing w:line="360" w:lineRule="auto"/>
              <w:jc w:val="center"/>
              <w:rPr>
                <w:rFonts w:ascii="宋体" w:hAnsi="宋体"/>
                <w:color w:val="auto"/>
                <w:szCs w:val="21"/>
                <w:highlight w:val="none"/>
              </w:rPr>
            </w:pPr>
          </w:p>
        </w:tc>
        <w:tc>
          <w:tcPr>
            <w:tcW w:w="6767" w:type="dxa"/>
            <w:vAlign w:val="center"/>
          </w:tcPr>
          <w:p>
            <w:pPr>
              <w:widowControl/>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投标人具有在有效期内的省级及以上保安服务企业信用评价等级中等以上的得2.5分，中等的得1.5分，中等以下的得0.5分，没有不得分</w:t>
            </w:r>
            <w:r>
              <w:rPr>
                <w:rFonts w:hint="eastAsia" w:ascii="宋体" w:hAnsi="宋体" w:cs="宋体"/>
                <w:color w:val="auto"/>
                <w:sz w:val="24"/>
                <w:highlight w:val="none"/>
                <w:lang w:eastAsia="zh-CN"/>
              </w:rPr>
              <w:t>。</w:t>
            </w:r>
          </w:p>
          <w:p>
            <w:pPr>
              <w:widowControl/>
              <w:spacing w:line="360" w:lineRule="auto"/>
              <w:ind w:firstLine="482" w:firstLineChars="200"/>
              <w:rPr>
                <w:rFonts w:hint="eastAsia" w:ascii="宋体" w:hAnsi="宋体" w:eastAsia="宋体"/>
                <w:color w:val="auto"/>
                <w:sz w:val="24"/>
                <w:highlight w:val="none"/>
                <w:lang w:eastAsia="zh-CN"/>
              </w:rPr>
            </w:pPr>
            <w:r>
              <w:rPr>
                <w:rFonts w:hint="eastAsia" w:ascii="宋体" w:hAnsi="宋体" w:cs="宋体"/>
                <w:b/>
                <w:bCs/>
                <w:color w:val="auto"/>
                <w:sz w:val="24"/>
                <w:highlight w:val="none"/>
                <w:lang w:val="en-US" w:eastAsia="zh-CN"/>
              </w:rPr>
              <w:t>须</w:t>
            </w:r>
            <w:r>
              <w:rPr>
                <w:rFonts w:hint="eastAsia" w:ascii="宋体" w:hAnsi="宋体" w:cs="宋体"/>
                <w:b/>
                <w:bCs/>
                <w:color w:val="auto"/>
                <w:sz w:val="24"/>
                <w:highlight w:val="none"/>
              </w:rPr>
              <w:t>提供证书或官方文件或官方网站截图并加盖投标人公章。（例：中等即ABC等级中的B级，ABCDE中的C级）需提供证书扫描件并加盖投标人公章</w:t>
            </w:r>
            <w:r>
              <w:rPr>
                <w:rFonts w:hint="eastAsia" w:ascii="宋体" w:hAnsi="宋体" w:cs="宋体"/>
                <w:b/>
                <w:bCs/>
                <w:color w:val="auto"/>
                <w:sz w:val="24"/>
                <w:highlight w:val="none"/>
                <w:lang w:eastAsia="zh-CN"/>
              </w:rPr>
              <w:t>，</w:t>
            </w:r>
            <w:r>
              <w:rPr>
                <w:rFonts w:hint="eastAsia" w:ascii="宋体" w:hAnsi="宋体"/>
                <w:b/>
                <w:bCs/>
                <w:color w:val="auto"/>
                <w:sz w:val="24"/>
                <w:highlight w:val="none"/>
                <w:lang w:val="en-US" w:eastAsia="zh-CN"/>
              </w:rPr>
              <w:t>不提供不得分。</w:t>
            </w:r>
          </w:p>
        </w:tc>
        <w:tc>
          <w:tcPr>
            <w:tcW w:w="695" w:type="dxa"/>
            <w:vAlign w:val="center"/>
          </w:tcPr>
          <w:p>
            <w:pPr>
              <w:autoSpaceDE w:val="0"/>
              <w:autoSpaceDN w:val="0"/>
              <w:spacing w:line="360" w:lineRule="auto"/>
              <w:jc w:val="center"/>
              <w:rPr>
                <w:rFonts w:ascii="宋体" w:hAnsi="宋体"/>
                <w:color w:val="auto"/>
                <w:sz w:val="24"/>
                <w:highlight w:val="none"/>
              </w:rPr>
            </w:pPr>
            <w:r>
              <w:rPr>
                <w:rFonts w:hint="eastAsia" w:ascii="宋体" w:hAnsi="宋体"/>
                <w:color w:val="auto"/>
                <w:sz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61" w:type="dxa"/>
            <w:vMerge w:val="continue"/>
            <w:vAlign w:val="center"/>
          </w:tcPr>
          <w:p>
            <w:pPr>
              <w:widowControl/>
              <w:spacing w:line="360" w:lineRule="auto"/>
              <w:jc w:val="center"/>
              <w:rPr>
                <w:rFonts w:ascii="宋体" w:hAnsi="宋体"/>
                <w:color w:val="auto"/>
                <w:szCs w:val="21"/>
                <w:highlight w:val="none"/>
              </w:rPr>
            </w:pPr>
          </w:p>
        </w:tc>
        <w:tc>
          <w:tcPr>
            <w:tcW w:w="984" w:type="dxa"/>
            <w:vMerge w:val="continue"/>
            <w:vAlign w:val="center"/>
          </w:tcPr>
          <w:p>
            <w:pPr>
              <w:autoSpaceDE w:val="0"/>
              <w:autoSpaceDN w:val="0"/>
              <w:spacing w:line="360" w:lineRule="auto"/>
              <w:jc w:val="center"/>
              <w:rPr>
                <w:rFonts w:ascii="宋体" w:hAnsi="宋体"/>
                <w:color w:val="auto"/>
                <w:szCs w:val="21"/>
                <w:highlight w:val="none"/>
              </w:rPr>
            </w:pPr>
          </w:p>
        </w:tc>
        <w:tc>
          <w:tcPr>
            <w:tcW w:w="6767" w:type="dxa"/>
            <w:vAlign w:val="center"/>
          </w:tcPr>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投标人具有保安服务许可证</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2</w:t>
            </w:r>
            <w:r>
              <w:rPr>
                <w:rFonts w:hint="eastAsia" w:ascii="宋体" w:hAnsi="宋体"/>
                <w:color w:val="auto"/>
                <w:sz w:val="24"/>
                <w:highlight w:val="none"/>
              </w:rPr>
              <w:t>分。</w:t>
            </w:r>
          </w:p>
          <w:p>
            <w:pPr>
              <w:spacing w:line="360" w:lineRule="auto"/>
              <w:ind w:left="479" w:leftChars="228" w:firstLine="0" w:firstLineChars="0"/>
              <w:jc w:val="left"/>
              <w:rPr>
                <w:rFonts w:hint="eastAsia" w:ascii="宋体" w:hAnsi="宋体" w:eastAsia="宋体" w:cs="宋体"/>
                <w:color w:val="auto"/>
                <w:sz w:val="24"/>
                <w:highlight w:val="none"/>
                <w:lang w:eastAsia="zh-CN"/>
              </w:rPr>
            </w:pPr>
            <w:r>
              <w:rPr>
                <w:rFonts w:hint="eastAsia" w:ascii="宋体" w:hAnsi="宋体"/>
                <w:b/>
                <w:bCs/>
                <w:color w:val="auto"/>
                <w:sz w:val="24"/>
                <w:highlight w:val="none"/>
                <w:lang w:val="en-US" w:eastAsia="zh-CN"/>
              </w:rPr>
              <w:t>须</w:t>
            </w:r>
            <w:r>
              <w:rPr>
                <w:rFonts w:hint="eastAsia" w:ascii="宋体" w:hAnsi="宋体"/>
                <w:b/>
                <w:bCs/>
                <w:color w:val="auto"/>
                <w:sz w:val="24"/>
                <w:highlight w:val="none"/>
              </w:rPr>
              <w:t>提供</w:t>
            </w:r>
            <w:r>
              <w:rPr>
                <w:rFonts w:hint="eastAsia" w:ascii="宋体" w:hAnsi="宋体"/>
                <w:b/>
                <w:bCs/>
                <w:color w:val="auto"/>
                <w:sz w:val="24"/>
                <w:highlight w:val="none"/>
                <w:lang w:val="en-US" w:eastAsia="zh-CN"/>
              </w:rPr>
              <w:t>许可证</w:t>
            </w:r>
            <w:r>
              <w:rPr>
                <w:rFonts w:hint="eastAsia" w:ascii="宋体" w:hAnsi="宋体"/>
                <w:b/>
                <w:bCs/>
                <w:color w:val="auto"/>
                <w:sz w:val="24"/>
                <w:highlight w:val="none"/>
              </w:rPr>
              <w:t>扫描件并加盖投标人公章</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不提供不得分。</w:t>
            </w:r>
          </w:p>
        </w:tc>
        <w:tc>
          <w:tcPr>
            <w:tcW w:w="695" w:type="dxa"/>
            <w:vAlign w:val="center"/>
          </w:tcPr>
          <w:p>
            <w:pPr>
              <w:autoSpaceDE w:val="0"/>
              <w:autoSpaceDN w:val="0"/>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061" w:type="dxa"/>
            <w:vMerge w:val="continue"/>
            <w:vAlign w:val="center"/>
          </w:tcPr>
          <w:p>
            <w:pPr>
              <w:widowControl/>
              <w:spacing w:line="360" w:lineRule="auto"/>
              <w:jc w:val="center"/>
              <w:rPr>
                <w:rFonts w:ascii="宋体" w:hAnsi="宋体"/>
                <w:color w:val="auto"/>
                <w:szCs w:val="21"/>
                <w:highlight w:val="none"/>
              </w:rPr>
            </w:pPr>
          </w:p>
        </w:tc>
        <w:tc>
          <w:tcPr>
            <w:tcW w:w="984" w:type="dxa"/>
            <w:vAlign w:val="center"/>
          </w:tcPr>
          <w:p>
            <w:pPr>
              <w:autoSpaceDE w:val="0"/>
              <w:autoSpaceDN w:val="0"/>
              <w:spacing w:line="360" w:lineRule="auto"/>
              <w:jc w:val="center"/>
              <w:rPr>
                <w:rFonts w:ascii="宋体" w:hAnsi="宋体"/>
                <w:color w:val="auto"/>
                <w:szCs w:val="21"/>
                <w:highlight w:val="none"/>
              </w:rPr>
            </w:pPr>
            <w:r>
              <w:rPr>
                <w:rFonts w:hint="eastAsia" w:ascii="宋体" w:hAnsi="宋体"/>
                <w:color w:val="auto"/>
                <w:szCs w:val="21"/>
                <w:highlight w:val="none"/>
              </w:rPr>
              <w:t>荣誉</w:t>
            </w:r>
          </w:p>
        </w:tc>
        <w:tc>
          <w:tcPr>
            <w:tcW w:w="6767" w:type="dxa"/>
            <w:vAlign w:val="center"/>
          </w:tcPr>
          <w:p>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投标人自202</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年1月1日以来获得区级及以上党委或政府颁发荣誉的每个得</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分，本项最高得</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分，没有不得分。</w:t>
            </w:r>
          </w:p>
          <w:p>
            <w:pPr>
              <w:spacing w:line="360" w:lineRule="auto"/>
              <w:ind w:firstLine="482" w:firstLineChars="200"/>
              <w:jc w:val="left"/>
              <w:rPr>
                <w:rFonts w:ascii="宋体" w:hAnsi="宋体"/>
                <w:color w:val="auto"/>
                <w:sz w:val="24"/>
                <w:highlight w:val="none"/>
              </w:rPr>
            </w:pPr>
            <w:r>
              <w:rPr>
                <w:rFonts w:hint="default" w:ascii="宋体" w:hAnsi="宋体"/>
                <w:b/>
                <w:bCs/>
                <w:color w:val="auto"/>
                <w:sz w:val="24"/>
                <w:highlight w:val="none"/>
                <w:lang w:val="en-US" w:eastAsia="zh-CN"/>
              </w:rPr>
              <w:t>须提供证书或荣誉证明资料复印件并加盖投标人公章</w:t>
            </w:r>
            <w:r>
              <w:rPr>
                <w:rFonts w:hint="eastAsia" w:ascii="宋体" w:hAnsi="宋体"/>
                <w:b/>
                <w:bCs/>
                <w:color w:val="auto"/>
                <w:sz w:val="24"/>
                <w:highlight w:val="none"/>
                <w:lang w:val="en-US" w:eastAsia="zh-CN"/>
              </w:rPr>
              <w:t>，不提供不得分。</w:t>
            </w:r>
            <w:r>
              <w:rPr>
                <w:rFonts w:hint="eastAsia" w:ascii="宋体" w:hAnsi="宋体" w:cs="宋体"/>
                <w:color w:val="auto"/>
                <w:sz w:val="24"/>
                <w:szCs w:val="24"/>
                <w:highlight w:val="none"/>
                <w:lang w:val="en-US" w:eastAsia="zh-CN"/>
              </w:rPr>
              <w:t xml:space="preserve">         </w:t>
            </w:r>
          </w:p>
        </w:tc>
        <w:tc>
          <w:tcPr>
            <w:tcW w:w="695" w:type="dxa"/>
            <w:vAlign w:val="center"/>
          </w:tcPr>
          <w:p>
            <w:pPr>
              <w:autoSpaceDE w:val="0"/>
              <w:autoSpaceDN w:val="0"/>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p>
        </w:tc>
      </w:tr>
    </w:tbl>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注：</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1、评标委员会各成员应当独立对每个供应商的响应文件进行评价，并汇总每个供应商的得分。资信分为客观分，也需独立进行评价并核对分值，最终分值需一致。</w:t>
      </w:r>
    </w:p>
    <w:p>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2、所有文件、合同、证书、资质等需要真实有效。成交供应商在中标后签订合同时需提供以上证明文件原件，若发现资料作假的取消中标资格。</w:t>
      </w:r>
    </w:p>
    <w:p>
      <w:pPr>
        <w:pStyle w:val="43"/>
        <w:jc w:val="center"/>
        <w:rPr>
          <w:rFonts w:ascii="宋体" w:hAnsi="宋体"/>
          <w:b w:val="0"/>
          <w:color w:val="auto"/>
          <w:sz w:val="36"/>
          <w:szCs w:val="21"/>
          <w:highlight w:val="none"/>
        </w:rPr>
      </w:pPr>
      <w:bookmarkStart w:id="71" w:name="_Toc8033"/>
      <w:r>
        <w:rPr>
          <w:rFonts w:hint="eastAsia" w:ascii="宋体" w:hAnsi="宋体"/>
          <w:b w:val="0"/>
          <w:color w:val="auto"/>
          <w:sz w:val="36"/>
          <w:szCs w:val="21"/>
          <w:highlight w:val="none"/>
        </w:rPr>
        <w:br w:type="page"/>
      </w:r>
      <w:bookmarkStart w:id="72" w:name="_Toc5048"/>
      <w:r>
        <w:rPr>
          <w:rFonts w:hint="eastAsia" w:ascii="宋体" w:hAnsi="宋体"/>
          <w:b w:val="0"/>
          <w:color w:val="auto"/>
          <w:sz w:val="36"/>
          <w:szCs w:val="21"/>
          <w:highlight w:val="none"/>
        </w:rPr>
        <w:t>第五部分 采购合</w:t>
      </w:r>
      <w:bookmarkEnd w:id="71"/>
      <w:bookmarkEnd w:id="72"/>
      <w:r>
        <w:rPr>
          <w:rFonts w:hint="eastAsia" w:ascii="宋体" w:hAnsi="宋体"/>
          <w:b w:val="0"/>
          <w:color w:val="auto"/>
          <w:sz w:val="36"/>
          <w:szCs w:val="21"/>
          <w:highlight w:val="none"/>
        </w:rPr>
        <w:t>同</w:t>
      </w:r>
    </w:p>
    <w:p>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合同编号：</w:t>
      </w:r>
      <w:r>
        <w:rPr>
          <w:rFonts w:hint="eastAsia" w:ascii="宋体" w:hAnsi="宋体"/>
          <w:color w:val="auto"/>
          <w:kern w:val="0"/>
          <w:sz w:val="24"/>
          <w:highlight w:val="none"/>
          <w:u w:val="single"/>
        </w:rPr>
        <w:t xml:space="preserve">                </w:t>
      </w:r>
    </w:p>
    <w:p>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签订日期：2025年</w:t>
      </w:r>
      <w:r>
        <w:rPr>
          <w:rFonts w:hint="eastAsia" w:ascii="宋体" w:hAnsi="宋体"/>
          <w:color w:val="auto"/>
          <w:kern w:val="0"/>
          <w:sz w:val="24"/>
          <w:highlight w:val="none"/>
          <w:u w:val="single"/>
        </w:rPr>
        <w:t>　　</w:t>
      </w:r>
      <w:r>
        <w:rPr>
          <w:rFonts w:hint="eastAsia" w:ascii="宋体" w:hAnsi="宋体"/>
          <w:color w:val="auto"/>
          <w:kern w:val="0"/>
          <w:sz w:val="24"/>
          <w:highlight w:val="none"/>
        </w:rPr>
        <w:t>月</w:t>
      </w:r>
      <w:r>
        <w:rPr>
          <w:rFonts w:hint="eastAsia" w:ascii="宋体" w:hAnsi="宋体"/>
          <w:color w:val="auto"/>
          <w:kern w:val="0"/>
          <w:sz w:val="24"/>
          <w:highlight w:val="none"/>
          <w:u w:val="single"/>
        </w:rPr>
        <w:t>　　</w:t>
      </w:r>
      <w:r>
        <w:rPr>
          <w:rFonts w:hint="eastAsia" w:ascii="宋体" w:hAnsi="宋体"/>
          <w:color w:val="auto"/>
          <w:kern w:val="0"/>
          <w:sz w:val="24"/>
          <w:highlight w:val="none"/>
        </w:rPr>
        <w:t>日</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采购单位：</w:t>
      </w:r>
      <w:r>
        <w:rPr>
          <w:rFonts w:hint="eastAsia" w:ascii="宋体" w:hAnsi="宋体"/>
          <w:color w:val="auto"/>
          <w:sz w:val="24"/>
          <w:highlight w:val="none"/>
          <w:u w:val="single"/>
        </w:rPr>
        <w:t>　绍兴市上虞区东关街道办事处　</w:t>
      </w:r>
      <w:r>
        <w:rPr>
          <w:rFonts w:hint="eastAsia" w:ascii="宋体" w:hAnsi="宋体"/>
          <w:color w:val="auto"/>
          <w:sz w:val="24"/>
          <w:highlight w:val="none"/>
        </w:rPr>
        <w:t>（甲方）</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中标单位：</w:t>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rPr>
        <w:t>（乙方）</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根据《中华人民共和国民法典》、《中华人民共和国政府采购法》，关于成交确认书采购编号为</w:t>
      </w:r>
      <w:r>
        <w:rPr>
          <w:rFonts w:hint="eastAsia" w:ascii="宋体" w:hAnsi="宋体"/>
          <w:color w:val="auto"/>
          <w:sz w:val="24"/>
          <w:highlight w:val="none"/>
          <w:u w:val="single"/>
        </w:rPr>
        <w:t xml:space="preserve">                 </w:t>
      </w:r>
      <w:r>
        <w:rPr>
          <w:rFonts w:hint="eastAsia" w:ascii="宋体" w:hAnsi="宋体"/>
          <w:color w:val="auto"/>
          <w:sz w:val="24"/>
          <w:highlight w:val="none"/>
        </w:rPr>
        <w:t>的项目结果，签订本合同。</w:t>
      </w:r>
    </w:p>
    <w:p>
      <w:pPr>
        <w:pStyle w:val="55"/>
        <w:tabs>
          <w:tab w:val="clear" w:pos="4153"/>
          <w:tab w:val="clear" w:pos="8306"/>
        </w:tabs>
        <w:rPr>
          <w:rFonts w:ascii="宋体" w:hAnsi="宋体"/>
          <w:color w:val="auto"/>
          <w:highlight w:val="none"/>
        </w:rPr>
      </w:pP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一、项目概况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绍兴市上虞区东关街道办事处各班子领导办公室、街道机关大院内所有公共场所及其他指定区域的环境卫生保洁，全区域安保、指定办公区域盆栽摆放、养护（大中小盆栽合计不低于360盆）。</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二、服务期限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本次采购的物业管理服务年限定为2年（合同一年一签），</w:t>
      </w:r>
      <w:r>
        <w:rPr>
          <w:rFonts w:hint="eastAsia" w:ascii="宋体" w:hAnsi="宋体"/>
          <w:color w:val="auto"/>
          <w:sz w:val="24"/>
          <w:highlight w:val="none"/>
          <w:lang w:val="en-US" w:eastAsia="zh-CN"/>
        </w:rPr>
        <w:t xml:space="preserve">即 </w:t>
      </w:r>
      <w:r>
        <w:rPr>
          <w:rFonts w:hint="eastAsia" w:ascii="宋体" w:hAnsi="宋体"/>
          <w:color w:val="auto"/>
          <w:sz w:val="24"/>
          <w:highlight w:val="none"/>
          <w:u w:val="single"/>
          <w:lang w:val="en-US" w:eastAsia="zh-CN"/>
        </w:rPr>
        <w:t xml:space="preserve">     年     月   日至     年     月     日</w:t>
      </w:r>
      <w:r>
        <w:rPr>
          <w:rFonts w:hint="eastAsia" w:ascii="宋体" w:hAnsi="宋体"/>
          <w:color w:val="auto"/>
          <w:sz w:val="24"/>
          <w:highlight w:val="none"/>
        </w:rPr>
        <w:t>。</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三、服务范围</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（一）保洁服务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保洁服务范围：包括但不限于各班子领导办公室、街道机关大院内所有公共场所及其他指定区域的环境卫生保洁，包括1号楼（主楼）、2号楼（会议中心）、3号楼（党群服务中心）、4号楼（矛调中心）、5号楼（纪工委人武部）、司法所、东鑫公司项目部（原土管所）、应急消防管理站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保洁服务要求为：在合同期内按照街道工作的服务需要，每天必须打扫办公大楼的大厅、走廊、扶梯、厕所、各个会议室、值班室及其他指定办公室等区域，做好规定的日常保洁工作，备好各个会议室及指定办公室的开水，准备好茶叶、茶杯等会议用品，做好大型会议及临时性会议的相关会务准备工作。保障街道日常工作正常运行。</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（二）保安服务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1.保安服务范围：街道机关大院范围内。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2.安保服务要求为：在合同期内按照街道工作的服务需要，负责办公大楼及周围、停车场等场所的巡逻，维护单位内部道路交通秩序，指挥停车场的车辆有序停放，保证道路畅通，秩序有序。</w:t>
      </w:r>
      <w:r>
        <w:rPr>
          <w:rFonts w:hint="eastAsia" w:ascii="宋体" w:hAnsi="宋体"/>
          <w:bCs/>
          <w:color w:val="auto"/>
          <w:sz w:val="24"/>
          <w:highlight w:val="none"/>
        </w:rPr>
        <w:t>为外来办事人员提供服务，做好进出登记和贵重物资、危化物品登记查验工作，信件、包裹、报刊杂志等物品的登记收发工作，来宾来访文明耐心接待，并及时联系报告相关科室，办公区域非工作时间内，非本单位工作人员、车辆未经许可不准入内，做到登记、收发无差错，文明值班管理。</w:t>
      </w:r>
      <w:r>
        <w:rPr>
          <w:rFonts w:hint="eastAsia" w:ascii="宋体" w:hAnsi="宋体"/>
          <w:color w:val="auto"/>
          <w:sz w:val="24"/>
          <w:highlight w:val="none"/>
        </w:rPr>
        <w:t>其中一</w:t>
      </w:r>
      <w:r>
        <w:rPr>
          <w:rFonts w:hint="eastAsia" w:ascii="宋体" w:hAnsi="宋体"/>
          <w:color w:val="auto"/>
          <w:sz w:val="24"/>
          <w:highlight w:val="none"/>
          <w:lang w:eastAsia="zh-CN"/>
        </w:rPr>
        <w:t>岗</w:t>
      </w:r>
      <w:r>
        <w:rPr>
          <w:rFonts w:hint="eastAsia" w:ascii="宋体" w:hAnsi="宋体"/>
          <w:color w:val="auto"/>
          <w:sz w:val="24"/>
          <w:highlight w:val="none"/>
        </w:rPr>
        <w:t>要求大专以上学历，具有物业服务管理经验，全面负责员工的招聘、培训、考勤、考核、工作安排等，并做好与</w:t>
      </w:r>
      <w:r>
        <w:rPr>
          <w:rFonts w:hint="eastAsia" w:ascii="宋体" w:hAnsi="宋体"/>
          <w:color w:val="auto"/>
          <w:sz w:val="24"/>
          <w:highlight w:val="none"/>
          <w:lang w:eastAsia="zh-CN"/>
        </w:rPr>
        <w:t>甲方</w:t>
      </w:r>
      <w:r>
        <w:rPr>
          <w:rFonts w:hint="eastAsia" w:ascii="宋体" w:hAnsi="宋体"/>
          <w:color w:val="auto"/>
          <w:sz w:val="24"/>
          <w:highlight w:val="none"/>
        </w:rPr>
        <w:t>的沟通、协调工作。</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（二）盆栽租赁、摆放、养护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1．服务范围：包括但不限于东关街道办事处机关大院、东关派出所、行政执法大楼、竺可桢故居、东关司法所等指定区域不少于360盆盆栽。具体详见下表：</w:t>
      </w:r>
    </w:p>
    <w:tbl>
      <w:tblPr>
        <w:tblStyle w:val="18"/>
        <w:tblpPr w:leftFromText="180" w:rightFromText="180" w:vertAnchor="text" w:horzAnchor="page" w:tblpX="1956" w:tblpY="419"/>
        <w:tblOverlap w:val="never"/>
        <w:tblW w:w="8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20"/>
        <w:gridCol w:w="775"/>
        <w:gridCol w:w="429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55" w:type="dxa"/>
          </w:tcPr>
          <w:p>
            <w:pPr>
              <w:spacing w:line="360" w:lineRule="auto"/>
              <w:jc w:val="center"/>
              <w:rPr>
                <w:rFonts w:ascii="宋体" w:hAnsi="宋体"/>
                <w:color w:val="auto"/>
                <w:sz w:val="24"/>
                <w:highlight w:val="none"/>
              </w:rPr>
            </w:pPr>
            <w:r>
              <w:rPr>
                <w:rFonts w:hint="eastAsia" w:ascii="宋体" w:hAnsi="宋体"/>
                <w:color w:val="auto"/>
                <w:sz w:val="24"/>
                <w:highlight w:val="none"/>
              </w:rPr>
              <w:t>摆放地点</w:t>
            </w:r>
          </w:p>
        </w:tc>
        <w:tc>
          <w:tcPr>
            <w:tcW w:w="820" w:type="dxa"/>
          </w:tcPr>
          <w:p>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775" w:type="dxa"/>
          </w:tcPr>
          <w:p>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4294" w:type="dxa"/>
          </w:tcPr>
          <w:p>
            <w:pPr>
              <w:spacing w:line="360" w:lineRule="auto"/>
              <w:jc w:val="center"/>
              <w:rPr>
                <w:rFonts w:ascii="宋体" w:hAnsi="宋体"/>
                <w:color w:val="auto"/>
                <w:sz w:val="24"/>
                <w:highlight w:val="none"/>
              </w:rPr>
            </w:pPr>
            <w:r>
              <w:rPr>
                <w:rFonts w:hint="eastAsia" w:ascii="宋体" w:hAnsi="宋体"/>
                <w:color w:val="auto"/>
                <w:sz w:val="24"/>
                <w:highlight w:val="none"/>
              </w:rPr>
              <w:t>品名</w:t>
            </w:r>
          </w:p>
        </w:tc>
        <w:tc>
          <w:tcPr>
            <w:tcW w:w="714" w:type="dxa"/>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55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东关街道办事处机关大院（含1、2、3、4、5号楼）</w:t>
            </w:r>
          </w:p>
        </w:tc>
        <w:tc>
          <w:tcPr>
            <w:tcW w:w="82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163</w:t>
            </w:r>
          </w:p>
        </w:tc>
        <w:tc>
          <w:tcPr>
            <w:tcW w:w="77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42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发财树、绿萝、万年青、棕竹、绿宝、白掌、绿萝、幸福树等</w:t>
            </w:r>
          </w:p>
        </w:tc>
        <w:tc>
          <w:tcPr>
            <w:tcW w:w="71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5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东关派出所</w:t>
            </w:r>
          </w:p>
        </w:tc>
        <w:tc>
          <w:tcPr>
            <w:tcW w:w="82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124</w:t>
            </w:r>
          </w:p>
        </w:tc>
        <w:tc>
          <w:tcPr>
            <w:tcW w:w="77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42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发财树、绿萝、万年青、棕竹、绿宝等</w:t>
            </w:r>
          </w:p>
        </w:tc>
        <w:tc>
          <w:tcPr>
            <w:tcW w:w="71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5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应急消防管理站</w:t>
            </w:r>
          </w:p>
        </w:tc>
        <w:tc>
          <w:tcPr>
            <w:tcW w:w="82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30</w:t>
            </w:r>
          </w:p>
        </w:tc>
        <w:tc>
          <w:tcPr>
            <w:tcW w:w="77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42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广东万年青、棕竹、绿宝等</w:t>
            </w:r>
          </w:p>
        </w:tc>
        <w:tc>
          <w:tcPr>
            <w:tcW w:w="71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5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竺可桢故居</w:t>
            </w:r>
          </w:p>
        </w:tc>
        <w:tc>
          <w:tcPr>
            <w:tcW w:w="82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23</w:t>
            </w:r>
          </w:p>
        </w:tc>
        <w:tc>
          <w:tcPr>
            <w:tcW w:w="77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42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吊绿萝、也门铁</w:t>
            </w:r>
          </w:p>
        </w:tc>
        <w:tc>
          <w:tcPr>
            <w:tcW w:w="71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5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东关司法所</w:t>
            </w:r>
          </w:p>
        </w:tc>
        <w:tc>
          <w:tcPr>
            <w:tcW w:w="82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20</w:t>
            </w:r>
          </w:p>
        </w:tc>
        <w:tc>
          <w:tcPr>
            <w:tcW w:w="77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42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绿宝、吊绿萝、也门铁等</w:t>
            </w:r>
          </w:p>
        </w:tc>
        <w:tc>
          <w:tcPr>
            <w:tcW w:w="71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5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合计</w:t>
            </w:r>
          </w:p>
        </w:tc>
        <w:tc>
          <w:tcPr>
            <w:tcW w:w="82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360</w:t>
            </w:r>
          </w:p>
        </w:tc>
        <w:tc>
          <w:tcPr>
            <w:tcW w:w="77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盆</w:t>
            </w:r>
          </w:p>
        </w:tc>
        <w:tc>
          <w:tcPr>
            <w:tcW w:w="42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c>
          <w:tcPr>
            <w:tcW w:w="71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szCs w:val="24"/>
                <w:highlight w:val="none"/>
              </w:rPr>
            </w:pPr>
          </w:p>
        </w:tc>
      </w:tr>
    </w:tbl>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2．盆栽摆放、养护工作职责：根据摆放要求，保证盆栽一年四季长势旺盛，花色常换常鲜，定期更换品种、浇水、施肥、修剪、除病除虫等。</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四、服务内容要求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物业管理</w:t>
      </w:r>
      <w:r>
        <w:rPr>
          <w:rFonts w:hint="eastAsia" w:ascii="宋体" w:hAnsi="宋体"/>
          <w:color w:val="auto"/>
          <w:sz w:val="24"/>
          <w:highlight w:val="none"/>
          <w:lang w:eastAsia="zh-CN"/>
        </w:rPr>
        <w:t>乙方</w:t>
      </w:r>
      <w:r>
        <w:rPr>
          <w:rFonts w:hint="eastAsia" w:ascii="宋体" w:hAnsi="宋体"/>
          <w:color w:val="auto"/>
          <w:sz w:val="24"/>
          <w:highlight w:val="none"/>
        </w:rPr>
        <w:t>应按本次招标的范围及内容，并结合自身的实际情况，按专业、工种配备相关的人员。</w:t>
      </w:r>
    </w:p>
    <w:p>
      <w:pPr>
        <w:pStyle w:val="62"/>
        <w:ind w:left="0" w:leftChars="0" w:firstLine="0" w:firstLineChars="0"/>
        <w:jc w:val="center"/>
        <w:rPr>
          <w:rFonts w:hAnsi="宋体"/>
          <w:b/>
          <w:bCs/>
          <w:color w:val="auto"/>
          <w:sz w:val="24"/>
          <w:highlight w:val="none"/>
        </w:rPr>
      </w:pPr>
      <w:r>
        <w:rPr>
          <w:rFonts w:hint="eastAsia" w:hAnsi="宋体"/>
          <w:b/>
          <w:bCs/>
          <w:color w:val="auto"/>
          <w:sz w:val="24"/>
          <w:highlight w:val="none"/>
        </w:rPr>
        <w:t>岗位需求表</w:t>
      </w:r>
    </w:p>
    <w:tbl>
      <w:tblPr>
        <w:tblStyle w:val="17"/>
        <w:tblpPr w:leftFromText="180" w:rightFromText="180" w:vertAnchor="text" w:horzAnchor="page" w:tblpX="1822" w:tblpY="295"/>
        <w:tblOverlap w:val="never"/>
        <w:tblW w:w="873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7"/>
        <w:gridCol w:w="1973"/>
        <w:gridCol w:w="583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27" w:type="dxa"/>
            <w:vAlign w:val="center"/>
          </w:tcPr>
          <w:p>
            <w:pPr>
              <w:jc w:val="center"/>
              <w:rPr>
                <w:rFonts w:ascii="宋体" w:hAnsi="宋体"/>
                <w:b/>
                <w:color w:val="auto"/>
                <w:sz w:val="24"/>
                <w:highlight w:val="none"/>
              </w:rPr>
            </w:pPr>
            <w:r>
              <w:rPr>
                <w:rFonts w:hint="eastAsia" w:ascii="宋体" w:hAnsi="宋体"/>
                <w:b/>
                <w:color w:val="auto"/>
                <w:sz w:val="24"/>
                <w:highlight w:val="none"/>
              </w:rPr>
              <w:t>序号</w:t>
            </w:r>
          </w:p>
        </w:tc>
        <w:tc>
          <w:tcPr>
            <w:tcW w:w="1973" w:type="dxa"/>
            <w:vAlign w:val="center"/>
          </w:tcPr>
          <w:p>
            <w:pPr>
              <w:jc w:val="center"/>
              <w:rPr>
                <w:rFonts w:ascii="宋体" w:hAnsi="宋体"/>
                <w:b/>
                <w:color w:val="auto"/>
                <w:sz w:val="24"/>
                <w:highlight w:val="none"/>
              </w:rPr>
            </w:pPr>
            <w:r>
              <w:rPr>
                <w:rFonts w:hint="eastAsia" w:ascii="宋体" w:hAnsi="宋体"/>
                <w:b/>
                <w:color w:val="auto"/>
                <w:sz w:val="24"/>
                <w:highlight w:val="none"/>
              </w:rPr>
              <w:t>岗位需求</w:t>
            </w:r>
          </w:p>
        </w:tc>
        <w:tc>
          <w:tcPr>
            <w:tcW w:w="5839" w:type="dxa"/>
            <w:vAlign w:val="center"/>
          </w:tcPr>
          <w:p>
            <w:pPr>
              <w:jc w:val="center"/>
              <w:rPr>
                <w:rFonts w:ascii="宋体" w:hAnsi="宋体"/>
                <w:b/>
                <w:color w:val="auto"/>
                <w:sz w:val="24"/>
                <w:highlight w:val="none"/>
              </w:rPr>
            </w:pPr>
            <w:r>
              <w:rPr>
                <w:rFonts w:hint="eastAsia" w:ascii="宋体" w:hAnsi="宋体"/>
                <w:b/>
                <w:color w:val="auto"/>
                <w:sz w:val="24"/>
                <w:highlight w:val="none"/>
              </w:rPr>
              <w:t>岗位职责要求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8739" w:type="dxa"/>
            <w:gridSpan w:val="3"/>
            <w:vAlign w:val="center"/>
          </w:tcPr>
          <w:p>
            <w:pPr>
              <w:keepNext w:val="0"/>
              <w:keepLines w:val="0"/>
              <w:pageBreakBefore w:val="0"/>
              <w:widowControl w:val="0"/>
              <w:tabs>
                <w:tab w:val="left" w:pos="5129"/>
              </w:tabs>
              <w:kinsoku/>
              <w:wordWrap/>
              <w:overflowPunct/>
              <w:topLinePunct w:val="0"/>
              <w:autoSpaceDE/>
              <w:autoSpaceDN/>
              <w:bidi w:val="0"/>
              <w:adjustRightInd/>
              <w:snapToGrid/>
              <w:spacing w:line="440" w:lineRule="exact"/>
              <w:jc w:val="left"/>
              <w:textAlignment w:val="auto"/>
              <w:rPr>
                <w:rFonts w:ascii="宋体" w:hAnsi="宋体"/>
                <w:color w:val="auto"/>
                <w:sz w:val="24"/>
                <w:highlight w:val="none"/>
              </w:rPr>
            </w:pPr>
            <w:r>
              <w:rPr>
                <w:rFonts w:hint="eastAsia" w:ascii="宋体" w:hAnsi="宋体"/>
                <w:color w:val="auto"/>
                <w:sz w:val="24"/>
                <w:highlight w:val="none"/>
              </w:rPr>
              <w:t>一、服务岗</w:t>
            </w:r>
            <w:r>
              <w:rPr>
                <w:rFonts w:hint="eastAsia" w:ascii="宋体" w:hAnsi="宋体"/>
                <w:color w:val="auto"/>
                <w:sz w:val="24"/>
                <w:highlight w:val="none"/>
              </w:rPr>
              <w:tab/>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0"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highlight w:val="none"/>
              </w:rPr>
            </w:pPr>
            <w:r>
              <w:rPr>
                <w:rFonts w:hint="eastAsia" w:ascii="宋体" w:hAnsi="宋体"/>
                <w:color w:val="auto"/>
                <w:sz w:val="24"/>
                <w:highlight w:val="none"/>
              </w:rPr>
              <w:t>1</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highlight w:val="none"/>
              </w:rPr>
            </w:pPr>
            <w:r>
              <w:rPr>
                <w:rFonts w:hint="eastAsia" w:ascii="宋体" w:hAnsi="宋体"/>
                <w:color w:val="auto"/>
                <w:sz w:val="24"/>
                <w:highlight w:val="none"/>
              </w:rPr>
              <w:t>保洁岗（不少于5</w:t>
            </w:r>
            <w:r>
              <w:rPr>
                <w:rFonts w:hint="eastAsia" w:ascii="宋体" w:hAnsi="宋体"/>
                <w:color w:val="auto"/>
                <w:sz w:val="24"/>
                <w:highlight w:val="none"/>
                <w:lang w:eastAsia="zh-CN"/>
              </w:rPr>
              <w:t>岗</w:t>
            </w:r>
            <w:r>
              <w:rPr>
                <w:rFonts w:hint="eastAsia" w:ascii="宋体" w:hAnsi="宋体"/>
                <w:color w:val="auto"/>
                <w:sz w:val="24"/>
                <w:highlight w:val="none"/>
              </w:rPr>
              <w:t>）</w:t>
            </w:r>
          </w:p>
        </w:tc>
        <w:tc>
          <w:tcPr>
            <w:tcW w:w="583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auto"/>
                <w:sz w:val="24"/>
                <w:highlight w:val="none"/>
              </w:rPr>
            </w:pPr>
            <w:r>
              <w:rPr>
                <w:rFonts w:ascii="宋体" w:hAnsi="宋体"/>
                <w:color w:val="auto"/>
                <w:sz w:val="24"/>
                <w:highlight w:val="none"/>
              </w:rPr>
              <w:t>大院内所有公共场所及其他</w:t>
            </w:r>
            <w:r>
              <w:rPr>
                <w:rFonts w:hint="eastAsia" w:ascii="宋体" w:hAnsi="宋体"/>
                <w:color w:val="auto"/>
                <w:sz w:val="24"/>
                <w:highlight w:val="none"/>
              </w:rPr>
              <w:t>指定</w:t>
            </w:r>
            <w:r>
              <w:rPr>
                <w:rFonts w:ascii="宋体" w:hAnsi="宋体"/>
                <w:color w:val="auto"/>
                <w:sz w:val="24"/>
                <w:highlight w:val="none"/>
              </w:rPr>
              <w:t>区域的环境卫生保洁，包括1号楼（主楼）、2号楼（会议中心）、3号楼（党群服务中心）、4号楼（矛调中心）、5号楼（纪工委人武部）、司法所、东鑫公司项目部（原土管所）、应急消防管理站</w:t>
            </w:r>
            <w:r>
              <w:rPr>
                <w:rFonts w:hint="eastAsia" w:ascii="宋体" w:hAnsi="宋体"/>
                <w:color w:val="auto"/>
                <w:sz w:val="24"/>
                <w:highlight w:val="none"/>
              </w:rPr>
              <w:t>每天必须打扫办公大楼的大厅、走廊、扶梯、厕所、各个会议室、值班室及其他指定办公室等区域，做好规定的日常保洁工作，备好各个会议室及指定办公室的开水，准备好茶叶、茶杯等会议用品，做好大型会议及临时性会议的相关会务准备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highlight w:val="none"/>
              </w:rPr>
            </w:pPr>
            <w:r>
              <w:rPr>
                <w:rFonts w:hint="eastAsia" w:ascii="宋体" w:hAnsi="宋体"/>
                <w:color w:val="auto"/>
                <w:sz w:val="24"/>
                <w:highlight w:val="none"/>
              </w:rPr>
              <w:t>2</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highlight w:val="none"/>
              </w:rPr>
            </w:pPr>
            <w:r>
              <w:rPr>
                <w:rFonts w:hint="eastAsia" w:ascii="宋体" w:hAnsi="宋体"/>
                <w:color w:val="auto"/>
                <w:sz w:val="24"/>
                <w:highlight w:val="none"/>
              </w:rPr>
              <w:t>保安门卫岗（不少于3</w:t>
            </w:r>
            <w:r>
              <w:rPr>
                <w:rFonts w:hint="eastAsia" w:ascii="宋体" w:hAnsi="宋体"/>
                <w:color w:val="auto"/>
                <w:sz w:val="24"/>
                <w:highlight w:val="none"/>
                <w:lang w:eastAsia="zh-CN"/>
              </w:rPr>
              <w:t>岗</w:t>
            </w:r>
            <w:r>
              <w:rPr>
                <w:rFonts w:hint="eastAsia" w:ascii="宋体" w:hAnsi="宋体"/>
                <w:color w:val="auto"/>
                <w:sz w:val="24"/>
                <w:highlight w:val="none"/>
              </w:rPr>
              <w:t>）</w:t>
            </w:r>
          </w:p>
        </w:tc>
        <w:tc>
          <w:tcPr>
            <w:tcW w:w="583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auto"/>
                <w:sz w:val="24"/>
                <w:highlight w:val="none"/>
              </w:rPr>
            </w:pPr>
            <w:r>
              <w:rPr>
                <w:rFonts w:hint="eastAsia" w:ascii="宋体" w:hAnsi="宋体"/>
                <w:color w:val="auto"/>
                <w:sz w:val="24"/>
                <w:highlight w:val="none"/>
              </w:rPr>
              <w:t>全区域日常安保，来访人员与车辆的管理等工作。其中一</w:t>
            </w:r>
            <w:r>
              <w:rPr>
                <w:rFonts w:hint="eastAsia" w:ascii="宋体" w:hAnsi="宋体"/>
                <w:color w:val="auto"/>
                <w:sz w:val="24"/>
                <w:highlight w:val="none"/>
                <w:lang w:eastAsia="zh-CN"/>
              </w:rPr>
              <w:t>岗</w:t>
            </w:r>
            <w:r>
              <w:rPr>
                <w:rFonts w:hint="eastAsia" w:ascii="宋体" w:hAnsi="宋体"/>
                <w:color w:val="auto"/>
                <w:sz w:val="24"/>
                <w:highlight w:val="none"/>
              </w:rPr>
              <w:t>要求大专以上学历，具有物业服务管理经验，全面负责员工的招聘、培训、考勤、考核、工作安排等，并做好与</w:t>
            </w:r>
            <w:r>
              <w:rPr>
                <w:rFonts w:hint="eastAsia" w:ascii="宋体" w:hAnsi="宋体"/>
                <w:color w:val="auto"/>
                <w:sz w:val="24"/>
                <w:highlight w:val="none"/>
                <w:lang w:eastAsia="zh-CN"/>
              </w:rPr>
              <w:t>甲方</w:t>
            </w:r>
            <w:r>
              <w:rPr>
                <w:rFonts w:hint="eastAsia" w:ascii="宋体" w:hAnsi="宋体"/>
                <w:color w:val="auto"/>
                <w:sz w:val="24"/>
                <w:highlight w:val="none"/>
              </w:rPr>
              <w:t>的沟通、协调工作。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9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highlight w:val="none"/>
              </w:rPr>
            </w:pPr>
            <w:r>
              <w:rPr>
                <w:rFonts w:hint="eastAsia" w:ascii="宋体" w:hAnsi="宋体"/>
                <w:color w:val="auto"/>
                <w:sz w:val="24"/>
                <w:highlight w:val="none"/>
              </w:rPr>
              <w:t>3</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 w:val="24"/>
                <w:highlight w:val="none"/>
              </w:rPr>
            </w:pPr>
            <w:r>
              <w:rPr>
                <w:rFonts w:hint="eastAsia" w:ascii="宋体" w:hAnsi="宋体"/>
                <w:color w:val="auto"/>
                <w:sz w:val="24"/>
                <w:highlight w:val="none"/>
              </w:rPr>
              <w:t>盆栽养护岗</w:t>
            </w:r>
          </w:p>
        </w:tc>
        <w:tc>
          <w:tcPr>
            <w:tcW w:w="583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auto"/>
                <w:sz w:val="24"/>
                <w:highlight w:val="none"/>
              </w:rPr>
            </w:pPr>
            <w:r>
              <w:rPr>
                <w:rFonts w:hint="eastAsia" w:ascii="宋体" w:hAnsi="宋体"/>
                <w:color w:val="auto"/>
                <w:sz w:val="24"/>
                <w:highlight w:val="none"/>
              </w:rPr>
              <w:t>根据摆放要求，保证盆栽一年四季长势旺盛，花色常换常鲜，定期更换品种、浇水、施肥、修剪、除病除虫等。（定期养护，可不安排专人驻场）</w:t>
            </w:r>
          </w:p>
        </w:tc>
      </w:tr>
    </w:tbl>
    <w:p>
      <w:pPr>
        <w:pStyle w:val="48"/>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注:以上服务岗之间不可兼任（特别注明的除外），</w:t>
      </w:r>
      <w:r>
        <w:rPr>
          <w:rFonts w:hint="eastAsia" w:ascii="宋体" w:hAnsi="宋体"/>
          <w:color w:val="auto"/>
          <w:sz w:val="24"/>
          <w:highlight w:val="none"/>
          <w:lang w:eastAsia="zh-CN"/>
        </w:rPr>
        <w:t>乙方</w:t>
      </w:r>
      <w:r>
        <w:rPr>
          <w:rFonts w:hint="eastAsia" w:ascii="宋体" w:hAnsi="宋体"/>
          <w:color w:val="auto"/>
          <w:sz w:val="24"/>
          <w:highlight w:val="none"/>
        </w:rPr>
        <w:t>可对本表的人员岗位安排分配进行优化完善。</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五、人员要求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（一）总体要求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1．建立质量管理体系和管理制度，严格按照ISO9001质量管理体系要求进行管理和运作。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2．有从事相关物业管理的经验和完善的物业管理实施方案。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3．有本企业的形象识别系统、服务理念、行为规范（专业着装、佩戴标志、语言规范、文明服务）、现场标识等。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4．建立了完善的档案管理制度（物业管理设备管理档案、日常管理档案等）。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5．建立了健全的财务管理制度，依法做好财务管理工作。</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（二）人员基本要求</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1．所有物业工作人员应身体健康，形象端正，具有一定的政治文化素养，基本的服务素质和相应的服务技能。所有人员要求政治上可靠，身体素质好，无不良行为记录。</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2．保安岗人员要求（3</w:t>
      </w:r>
      <w:r>
        <w:rPr>
          <w:rFonts w:hint="eastAsia" w:ascii="宋体" w:hAnsi="宋体"/>
          <w:color w:val="auto"/>
          <w:sz w:val="24"/>
          <w:szCs w:val="24"/>
          <w:highlight w:val="none"/>
          <w:lang w:eastAsia="zh-CN"/>
        </w:rPr>
        <w:t>岗</w:t>
      </w:r>
      <w:r>
        <w:rPr>
          <w:rFonts w:hint="eastAsia" w:ascii="宋体" w:hAnsi="宋体"/>
          <w:color w:val="auto"/>
          <w:sz w:val="24"/>
          <w:szCs w:val="24"/>
          <w:highlight w:val="none"/>
        </w:rPr>
        <w:t>）：男性，年龄原则上要求60周岁及以下，具体根据国家相关部门印发的《实施弹性退休制度暂行办法》规定执行；其中一</w:t>
      </w:r>
      <w:r>
        <w:rPr>
          <w:rFonts w:hint="eastAsia" w:ascii="宋体" w:hAnsi="宋体"/>
          <w:color w:val="auto"/>
          <w:sz w:val="24"/>
          <w:szCs w:val="24"/>
          <w:highlight w:val="none"/>
          <w:lang w:eastAsia="zh-CN"/>
        </w:rPr>
        <w:t>岗</w:t>
      </w:r>
      <w:r>
        <w:rPr>
          <w:rFonts w:hint="eastAsia" w:ascii="宋体" w:hAnsi="宋体"/>
          <w:color w:val="auto"/>
          <w:sz w:val="24"/>
          <w:szCs w:val="24"/>
          <w:highlight w:val="none"/>
        </w:rPr>
        <w:t>要求大专及以上学历，年龄原则上55周岁及以下，从事物业管理服务工作3年以上，具备丰富的物业管理与服务经验，须经</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考核、政治审查通过方可录用。保安岗要求持证上岗，品貌端正，身体健康，朴实肯干，注重个人仪表，礼貌待人。</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3．保洁岗人员：要求女性，年龄原则上要求60周岁及以下。具体根据国家相关部门印发的《实施弹性退休制度暂行办法》规定执行；品貌端正，身体健康，朴实肯干，注重个人仪表，礼貌待人。</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4．所用人员必须符合劳动部门有关用工规定，所有工作人员在工作时间必须根据不同岗位分别穿着工作服，佩戴胸牌。相关人员的配备如需获得相关主管部门认证的，均需配证并持证上岗。</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5．保持员工队伍相对稳定，调动技术骨干，须提前告知</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。按招标、投标文件岗位配置配足员工，不得擅自减少、变更综合协调岗。经抽查，发现员工数减少，且无正当理由，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有权按考核办法执行，同时要求</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补足规定人数。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（三）工作时间要求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提供24小时的后勤服务值班调度，维持街道正常工作及处理突发事件的所需服务。卫生保洁为早上7：00到下午5：00；上班时间保洁以不影响街道工作人员工作为要求作安排；门卫保安岗为24小时工作制，其中一</w:t>
      </w:r>
      <w:r>
        <w:rPr>
          <w:rFonts w:hint="eastAsia" w:ascii="宋体" w:hAnsi="宋体"/>
          <w:color w:val="auto"/>
          <w:sz w:val="24"/>
          <w:highlight w:val="none"/>
          <w:lang w:eastAsia="zh-CN"/>
        </w:rPr>
        <w:t>岗</w:t>
      </w:r>
      <w:r>
        <w:rPr>
          <w:rFonts w:hint="eastAsia" w:ascii="宋体" w:hAnsi="宋体"/>
          <w:color w:val="auto"/>
          <w:sz w:val="24"/>
          <w:highlight w:val="none"/>
        </w:rPr>
        <w:t>为工作日早上8:00-下午5：00。</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工作时间必须满足</w:t>
      </w:r>
      <w:r>
        <w:rPr>
          <w:rFonts w:hint="eastAsia" w:ascii="宋体" w:hAnsi="宋体"/>
          <w:color w:val="auto"/>
          <w:sz w:val="24"/>
          <w:highlight w:val="none"/>
          <w:lang w:eastAsia="zh-CN"/>
        </w:rPr>
        <w:t>甲方</w:t>
      </w:r>
      <w:r>
        <w:rPr>
          <w:rFonts w:hint="eastAsia" w:ascii="宋体" w:hAnsi="宋体"/>
          <w:color w:val="auto"/>
          <w:sz w:val="24"/>
          <w:highlight w:val="none"/>
        </w:rPr>
        <w:t>的工作要求，包括星期六、星期日及公众假期。如遇特殊情况发生，</w:t>
      </w:r>
      <w:r>
        <w:rPr>
          <w:rFonts w:hint="eastAsia" w:ascii="宋体" w:hAnsi="宋体"/>
          <w:color w:val="auto"/>
          <w:sz w:val="24"/>
          <w:highlight w:val="none"/>
          <w:lang w:eastAsia="zh-CN"/>
        </w:rPr>
        <w:t>乙方</w:t>
      </w:r>
      <w:r>
        <w:rPr>
          <w:rFonts w:hint="eastAsia" w:ascii="宋体" w:hAnsi="宋体"/>
          <w:color w:val="auto"/>
          <w:sz w:val="24"/>
          <w:highlight w:val="none"/>
        </w:rPr>
        <w:t>须在任何时间段配合街道调配相关人员调整工作时间处理应急突发事件，产生的包括但不限于加班费等相关费用由</w:t>
      </w:r>
      <w:r>
        <w:rPr>
          <w:rFonts w:hint="eastAsia" w:ascii="宋体" w:hAnsi="宋体"/>
          <w:color w:val="auto"/>
          <w:sz w:val="24"/>
          <w:highlight w:val="none"/>
          <w:lang w:eastAsia="zh-CN"/>
        </w:rPr>
        <w:t>乙方</w:t>
      </w:r>
      <w:r>
        <w:rPr>
          <w:rFonts w:hint="eastAsia" w:ascii="宋体" w:hAnsi="宋体"/>
          <w:color w:val="auto"/>
          <w:sz w:val="24"/>
          <w:highlight w:val="none"/>
        </w:rPr>
        <w:t>承担。</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六、服务工作要求</w:t>
      </w:r>
    </w:p>
    <w:p>
      <w:pPr>
        <w:pStyle w:val="48"/>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（1）保洁岗</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1．室外场所：路面整齐、干净、无垃圾纸屑、无脏杂物、无积水、无碎渣土及枯草落叶；下水道、雨污水井、隔 油池、化粪池及时疏通，不堵塞。</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2．室内场所：地面无垃圾、杂物、无废物、无明显积水和积尘、无痰迹、无脚印；墙面的踢脚线、安全指示灯、各种标牌表面干净；所有卫生区域的门保持干净、无灰尘、污迹。</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卫生间及开水间：大小便池、水斗面盆保持内外光洁、无污垢、无尿碱、无水垢、无脏物、无积尘、无异味、无积水，墙面及门窗无灰尘、无污渍，废物箱无垃圾满溢、无污渍，定期消毒，放卫生球、清新剂，保持地面干燥。</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4．楼梯及扶手：每天上班前清扫擦干净扶手，平时随时清扫。栏杆及门窗、楼梯走廊保持无杂物、无灰尘、无蜘 蛛网、无污迹、无堆放物品。</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5．卫生消杀：消杀包括办公楼内外的公共部位的消杀，夏秋季每月至少六次，春季每月至少二次，冬季每月至少一 次，达到无蝇，无蚊，无虫，无鼠害。同时做好特殊（比如 疫情）期间做好对卫生间、会议室等区域的消毒工作。</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6．各种设施：如标识牌、灯具、消防栓及箱、开关插座、废物箱等，外表清洁干净、无积尘、污迹。</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7．保洁耗材：需按要求放置包括但不限于擦手纸、卷纸、洗手液、檀香、厕所除臭球等一应保洁用品，以保证公共区域卫生干净整洁，相关耗材及公共区域保洁所需物资均由</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负责提供。</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工作时间及保洁次数：以不影响正常办公为前提，合理安排工作时间。原则上在上班前半小时完成保洁工作，在办公时间内加强卫生巡查，发现杂物及时清除，实行全天候保洁。公共部位每天至少拖洗三次，定期消毒除味；公共场所每天至少清扫二次，早晨、中午各一次，并实行全天候保洁。</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9．垃圾分类：做好所有公共区域的垃圾分类及迎检工作，以及垃圾清运至垃圾集置点，垃圾处置费用包含在投标报价内，协助</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做好垃圾分类等相关工作。</w:t>
      </w:r>
    </w:p>
    <w:p>
      <w:pPr>
        <w:pStyle w:val="48"/>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（2）保安岗</w:t>
      </w:r>
    </w:p>
    <w:p>
      <w:pPr>
        <w:pStyle w:val="48"/>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及时应对各种紧急大型会议，为贵宾来访做好前期准备工作。承担24小时全天候消防监控、消防巡查、设备报警处置及联动、发生火灾后第一时间应急处置和灭火疏散，负责办公大楼及周围、停车场等场所的巡逻，维护单位内部道路交通秩序，指挥停车场的车辆有序停放，保证道路畅通，秩序有序。</w:t>
      </w:r>
      <w:r>
        <w:rPr>
          <w:rFonts w:hint="eastAsia" w:ascii="宋体" w:hAnsi="宋体"/>
          <w:bCs/>
          <w:color w:val="auto"/>
          <w:sz w:val="24"/>
          <w:highlight w:val="none"/>
        </w:rPr>
        <w:t>为外来办事人员提供服务，做好进出登记和贵重物资、危化物品登记查验工作，信件、包裹、报刊杂志等物品的登记收发工作，来宾来访文明耐心接待，文明值班管理，</w:t>
      </w:r>
      <w:r>
        <w:rPr>
          <w:rFonts w:hint="eastAsia" w:ascii="宋体" w:hAnsi="宋体"/>
          <w:color w:val="auto"/>
          <w:sz w:val="24"/>
          <w:szCs w:val="24"/>
          <w:highlight w:val="none"/>
        </w:rPr>
        <w:t>保障街道日常工作正常运行。其中一</w:t>
      </w:r>
      <w:r>
        <w:rPr>
          <w:rFonts w:hint="eastAsia" w:ascii="宋体" w:hAnsi="宋体"/>
          <w:color w:val="auto"/>
          <w:sz w:val="24"/>
          <w:szCs w:val="24"/>
          <w:highlight w:val="none"/>
          <w:lang w:eastAsia="zh-CN"/>
        </w:rPr>
        <w:t>岗</w:t>
      </w:r>
      <w:r>
        <w:rPr>
          <w:rFonts w:hint="eastAsia" w:ascii="宋体" w:hAnsi="宋体"/>
          <w:color w:val="auto"/>
          <w:sz w:val="24"/>
          <w:szCs w:val="24"/>
          <w:highlight w:val="none"/>
        </w:rPr>
        <w:t>须承担下列工作分配：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1．配合采购方统筹物业内务管理工作，协调各员工之间的工作关系；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2．负责组织制定、修订各员工工作的分工及相关管理制度，与每个岗位人员签订劳动合同，并监督实施；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3．主持召开日常工作例会、政治和业务学习，每月至少1次；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4．负责对本部门人员的考核及奖罚制度的落实，经常巡视标的，检查标的设施及卫生状况，发现问题及时处理，并记录；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5．负责物业员工的日常作业安排，作业量的考核，并现场指导；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6．加强监督检查，注意听取和收集各方对物业工作的意见和建议，及时发现、处理问题，化解各种矛盾；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7．项目负责人的手机必须24小时开机状态，3次电话未接当1次旷缺处理，如遇急事外出，需向街道相关领导请假获批方可外出；</w:t>
      </w:r>
    </w:p>
    <w:p>
      <w:pPr>
        <w:spacing w:line="360" w:lineRule="auto"/>
        <w:ind w:firstLine="480" w:firstLineChars="200"/>
        <w:rPr>
          <w:rFonts w:ascii="宋体" w:hAnsi="宋体"/>
          <w:b/>
          <w:bCs/>
          <w:color w:val="auto"/>
          <w:sz w:val="24"/>
          <w:highlight w:val="none"/>
        </w:rPr>
      </w:pPr>
      <w:r>
        <w:rPr>
          <w:rFonts w:hint="eastAsia" w:ascii="宋体" w:hAnsi="宋体"/>
          <w:color w:val="auto"/>
          <w:sz w:val="24"/>
          <w:highlight w:val="none"/>
        </w:rPr>
        <w:t>8．根据管理工作需要做好突击性、临时性工作，完成采购方交办的其他工作。</w:t>
      </w:r>
    </w:p>
    <w:p>
      <w:pPr>
        <w:pStyle w:val="65"/>
        <w:numPr>
          <w:ilvl w:val="0"/>
          <w:numId w:val="18"/>
        </w:numPr>
        <w:ind w:left="0" w:leftChars="0"/>
        <w:rPr>
          <w:rFonts w:ascii="宋体" w:hAnsi="宋体"/>
          <w:b/>
          <w:bCs/>
          <w:color w:val="auto"/>
          <w:sz w:val="24"/>
          <w:highlight w:val="none"/>
        </w:rPr>
      </w:pPr>
      <w:r>
        <w:rPr>
          <w:rFonts w:hint="eastAsia" w:ascii="宋体" w:hAnsi="宋体"/>
          <w:b/>
          <w:bCs/>
          <w:color w:val="auto"/>
          <w:sz w:val="24"/>
          <w:highlight w:val="none"/>
        </w:rPr>
        <w:t>盆栽摆放、养护岗</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根据摆放要求及数量，定期养护，保证盆栽一年四季长势旺盛，花色常换常鲜，定期更换品种、浇水、施肥、修剪、除病除虫等。</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七、其他要求</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应依法用人，负责支付上岗人员的工资、津贴、社会保险及根据国家规定应支付的各项费用。承担体检、培训、服装费用，并负责办理上岗人员的暂住证、计划生育证明、健康证等有关证件。</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必须认真履行职责，严格按符合招标文件服务要求的质量保证体系实施管理，做好街道内的清卫、运送等工作，每日进行检查，发现问题及时整改。</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对各工作岗位的服务质量随时进行抽查，发现问题，及时口头或书面通知整改。</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应定期对上岗人员进行职业道德教育和职业技能培训，教育其端正服务态度，提高服务质量，遵守街道的各项规章制度及工作规范，维护街道形象。</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应对所有岗位建立岗位责任制与运作程序、工作质量标准。街道根据考核标准作为考核依据，</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须积极配合</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对其进行的物业服务综合考评。根据综合考评或工作情况，</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有权要求</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在一个星期内更换经理（负责人）、相关骨干人员。</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应加强能源和用水管理，节约公用场所用水用电，无长明灯、长流水。对发现供电、给排水设施损坏及时报修。</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在街道的应急事件中，应积极配合采取相应的措施。遇突发事件或安全检查时，</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必须配合有关部门执行任务，并指定专职人员协助工作，直至完成。</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8．不以任何形式转租、转让、抵押承包区域，在承包区域只从事</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认可的服务工作。在承包期间，</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的任何股份配置变动应通知</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。未经</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书面批准，任何占有支配地位的股份转让都将视为</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出租、转让的行为，采购方有权追究违约责任。</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9．未经</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同意，</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 xml:space="preserve">无权在承包区域中从事任何广告活动或类似宣传， </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有权依照广告法和</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相关的规定责令</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限期改正，并接受处罚；但</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在该区域发布的广告宣传保证不致影响</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的正常工作；</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10．</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不得以</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的名义从事任何经济活动，且由此发生的一切债权、债务与</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无关。</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11．在承包期内</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应保证承包区域内的设施、设备良好的运营状况和环境状况，并接受</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或其授权人员的检查，对由</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引起或造成设施、设备的损坏及环境卫生不理想状况，</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将书面通知</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修复或整改，在书面通知下达一周后，仍未按要求修复或整改，</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将负责完成这一工作，所需费用连同15%行政附加费全部由</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承担。</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在承包区域因作业所需增加机械、电力设备及设施应征得</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同意，并聘请有资格的第三方进行安装、保养，并将施工安装保养记录手册等相关材料交由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备案。</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八、禁止事项</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不得以任何理由向</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工作人员支付费用或赠送实物，违者将终止合同。</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人员也不得以任何形式向</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相关人员索取小费或钱物等。</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2．不得在承包区域住宿或从事非法活动，也不得从事有损</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利益的活动，同时不允许在承包区域对</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经营活动进行滋扰性的行为。</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3．除经</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批准进行必要的维修工程外，</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不得损毁承包区域原有的设施和装潢，不得更改已铺设的电缆、电线等电力装置。同时，也不得安装任何可能造成电缆负载过大的电器设备，以免无线电受干扰。</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4．未获</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书面同意，</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任何时候都不能在承包区域存放易燃物品、挥发性大或气味浓烈的液体等。</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九、安全事宜</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1．在承包期间，</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所有人员仅与</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建立劳动合同关系，按《中华人民共和国劳动合同法》和政府有关各部门规定为全体服务人员交纳所有相关的社会保险及其他相关费用。</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人员发生任何事故或与</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发生劳动争议均由</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自行全权负责，相关费用</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自行承担，以保证</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在</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人员索赔时不受任何责任的约束。</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的责任区内由于</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原因导致第三方的事故，由</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负责，</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不承担任何责任。</w:t>
      </w:r>
    </w:p>
    <w:p>
      <w:pPr>
        <w:pStyle w:val="4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及其员工遵守行政大楼内的一切行政管理、消防安全等规定和制度，保证承包区域的消防设施能正常使用，消防通道畅通，同时承担违规责任。</w:t>
      </w:r>
    </w:p>
    <w:p>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考核及其他要求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为加强</w:t>
      </w:r>
      <w:r>
        <w:rPr>
          <w:rFonts w:hint="eastAsia" w:ascii="宋体" w:hAnsi="宋体"/>
          <w:color w:val="auto"/>
          <w:sz w:val="24"/>
          <w:highlight w:val="none"/>
          <w:u w:val="single"/>
        </w:rPr>
        <w:t>绍兴市上虞区东关街道办事处</w:t>
      </w:r>
      <w:r>
        <w:rPr>
          <w:rFonts w:hint="eastAsia" w:ascii="宋体" w:hAnsi="宋体"/>
          <w:color w:val="auto"/>
          <w:sz w:val="24"/>
          <w:highlight w:val="none"/>
        </w:rPr>
        <w:t>的管理，达到管理工作的制度化、规范化、标准化目标，确保街道办事处工作规范、高效、安全运行，结合街道办事处管理实际，制定以下考核办法：</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一、考核时间及评定方法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本项目考核采用百分制，每月考核一次，并按以下原则评定考核等级，具体如下：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优秀：考核分＞95分，</w:t>
      </w:r>
      <w:r>
        <w:rPr>
          <w:rFonts w:hint="eastAsia" w:ascii="宋体" w:hAnsi="宋体"/>
          <w:color w:val="auto"/>
          <w:sz w:val="24"/>
          <w:highlight w:val="none"/>
          <w:lang w:eastAsia="zh-CN"/>
        </w:rPr>
        <w:t>甲方</w:t>
      </w:r>
      <w:r>
        <w:rPr>
          <w:rFonts w:hint="eastAsia" w:ascii="宋体" w:hAnsi="宋体"/>
          <w:color w:val="auto"/>
          <w:sz w:val="24"/>
          <w:highlight w:val="none"/>
        </w:rPr>
        <w:t>不作扣罚；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良好：90分≤考核分≤95分，按所扣分值乘以200元/分在当期物业管理服务费用中扣除；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中等：85分≤考核分＜90分，按所扣分值乘以300元/分在当期物业管理服务费用中扣除；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合格：80分≤考核分＜85分，按所扣分值乘以500元/分在当期物业管理服务费用中扣除；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不合格：考核分＜80分，按所扣分值乘以800元/分在当期物业管理服务费用中扣除并予以口头警告；连续两个月属于不合格的，除以上处罚外，</w:t>
      </w:r>
      <w:r>
        <w:rPr>
          <w:rFonts w:hint="eastAsia" w:ascii="宋体" w:hAnsi="宋体"/>
          <w:color w:val="auto"/>
          <w:sz w:val="24"/>
          <w:highlight w:val="none"/>
          <w:lang w:eastAsia="zh-CN"/>
        </w:rPr>
        <w:t>甲方</w:t>
      </w:r>
      <w:r>
        <w:rPr>
          <w:rFonts w:hint="eastAsia" w:ascii="宋体" w:hAnsi="宋体"/>
          <w:color w:val="auto"/>
          <w:sz w:val="24"/>
          <w:highlight w:val="none"/>
        </w:rPr>
        <w:t>有权单方面与服务单位终止服务合同。</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二、特别条款：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1．签订合同后，15天内必须向</w:t>
      </w:r>
      <w:r>
        <w:rPr>
          <w:rFonts w:hint="eastAsia" w:ascii="宋体" w:hAnsi="宋体"/>
          <w:color w:val="auto"/>
          <w:sz w:val="24"/>
          <w:highlight w:val="none"/>
          <w:lang w:eastAsia="zh-CN"/>
        </w:rPr>
        <w:t>甲方</w:t>
      </w:r>
      <w:r>
        <w:rPr>
          <w:rFonts w:hint="eastAsia" w:ascii="宋体" w:hAnsi="宋体"/>
          <w:color w:val="auto"/>
          <w:sz w:val="24"/>
          <w:highlight w:val="none"/>
        </w:rPr>
        <w:t>递交所有人员清单，包括名字、性别、年龄、身份证号、照片、相关人员证书、岗位等，岗位需满足采购要求，否则均视为未递交人员清单，在履约保证金中按500元/天扣除，履约保证金全部扣没后，</w:t>
      </w:r>
      <w:r>
        <w:rPr>
          <w:rFonts w:hint="eastAsia" w:ascii="宋体" w:hAnsi="宋体"/>
          <w:color w:val="auto"/>
          <w:sz w:val="24"/>
          <w:highlight w:val="none"/>
          <w:lang w:eastAsia="zh-CN"/>
        </w:rPr>
        <w:t>甲方</w:t>
      </w:r>
      <w:r>
        <w:rPr>
          <w:rFonts w:hint="eastAsia" w:ascii="宋体" w:hAnsi="宋体"/>
          <w:color w:val="auto"/>
          <w:sz w:val="24"/>
          <w:highlight w:val="none"/>
        </w:rPr>
        <w:t>有权单方面终止合同。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2．服务期间如有人员更换或调动的，需提前7天递交申请，并及时补足符合本项目要求的岗位人员。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甲方</w:t>
      </w:r>
      <w:r>
        <w:rPr>
          <w:rFonts w:hint="eastAsia" w:ascii="宋体" w:hAnsi="宋体"/>
          <w:color w:val="auto"/>
          <w:sz w:val="24"/>
          <w:highlight w:val="none"/>
        </w:rPr>
        <w:t>不定期抽查</w:t>
      </w:r>
      <w:r>
        <w:rPr>
          <w:rFonts w:hint="eastAsia" w:ascii="宋体" w:hAnsi="宋体"/>
          <w:color w:val="auto"/>
          <w:sz w:val="24"/>
          <w:highlight w:val="none"/>
          <w:lang w:eastAsia="zh-CN"/>
        </w:rPr>
        <w:t>乙方</w:t>
      </w:r>
      <w:r>
        <w:rPr>
          <w:rFonts w:hint="eastAsia" w:ascii="宋体" w:hAnsi="宋体"/>
          <w:color w:val="auto"/>
          <w:sz w:val="24"/>
          <w:highlight w:val="none"/>
        </w:rPr>
        <w:t>投入的人员数量，如果抽查时发现</w:t>
      </w:r>
      <w:r>
        <w:rPr>
          <w:rFonts w:hint="eastAsia" w:ascii="宋体" w:hAnsi="宋体"/>
          <w:color w:val="auto"/>
          <w:sz w:val="24"/>
          <w:highlight w:val="none"/>
          <w:lang w:eastAsia="zh-CN"/>
        </w:rPr>
        <w:t>乙方</w:t>
      </w:r>
      <w:r>
        <w:rPr>
          <w:rFonts w:hint="eastAsia" w:ascii="宋体" w:hAnsi="宋体"/>
          <w:color w:val="auto"/>
          <w:sz w:val="24"/>
          <w:highlight w:val="none"/>
        </w:rPr>
        <w:t>安排在岗的人员数量少于投标承诺的数量，</w:t>
      </w:r>
      <w:r>
        <w:rPr>
          <w:rFonts w:hint="eastAsia" w:ascii="宋体" w:hAnsi="宋体"/>
          <w:color w:val="auto"/>
          <w:sz w:val="24"/>
          <w:highlight w:val="none"/>
          <w:lang w:eastAsia="zh-CN"/>
        </w:rPr>
        <w:t>甲方</w:t>
      </w:r>
      <w:r>
        <w:rPr>
          <w:rFonts w:hint="eastAsia" w:ascii="宋体" w:hAnsi="宋体"/>
          <w:color w:val="auto"/>
          <w:sz w:val="24"/>
          <w:highlight w:val="none"/>
        </w:rPr>
        <w:t>可以按中标单价累计在应付款中扣除。如遇因事假、病假等特殊情况的，</w:t>
      </w:r>
      <w:r>
        <w:rPr>
          <w:rFonts w:hint="eastAsia" w:ascii="宋体" w:hAnsi="宋体"/>
          <w:color w:val="auto"/>
          <w:sz w:val="24"/>
          <w:highlight w:val="none"/>
          <w:lang w:eastAsia="zh-CN"/>
        </w:rPr>
        <w:t>乙方</w:t>
      </w:r>
      <w:r>
        <w:rPr>
          <w:rFonts w:hint="eastAsia" w:ascii="宋体" w:hAnsi="宋体"/>
          <w:color w:val="auto"/>
          <w:sz w:val="24"/>
          <w:highlight w:val="none"/>
        </w:rPr>
        <w:t>需及时向</w:t>
      </w:r>
      <w:r>
        <w:rPr>
          <w:rFonts w:hint="eastAsia" w:ascii="宋体" w:hAnsi="宋体"/>
          <w:color w:val="auto"/>
          <w:sz w:val="24"/>
          <w:highlight w:val="none"/>
          <w:lang w:eastAsia="zh-CN"/>
        </w:rPr>
        <w:t>甲方</w:t>
      </w:r>
      <w:r>
        <w:rPr>
          <w:rFonts w:hint="eastAsia" w:ascii="宋体" w:hAnsi="宋体"/>
          <w:color w:val="auto"/>
          <w:sz w:val="24"/>
          <w:highlight w:val="none"/>
        </w:rPr>
        <w:t>报备，否则视为缺岗。</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三、考核方式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1．检查形式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月度考核检查由</w:t>
      </w:r>
      <w:r>
        <w:rPr>
          <w:rFonts w:hint="eastAsia" w:ascii="宋体" w:hAnsi="宋体"/>
          <w:color w:val="auto"/>
          <w:sz w:val="24"/>
          <w:highlight w:val="none"/>
          <w:lang w:eastAsia="zh-CN"/>
        </w:rPr>
        <w:t>甲方</w:t>
      </w:r>
      <w:r>
        <w:rPr>
          <w:rFonts w:hint="eastAsia" w:ascii="宋体" w:hAnsi="宋体"/>
          <w:color w:val="auto"/>
          <w:sz w:val="24"/>
          <w:highlight w:val="none"/>
        </w:rPr>
        <w:t>组织相关人员每月对现场检查发现的问题为依据进行考核，平时巡查考核、月度考核相结合，对工作台账进行抽查，对热点难点解决情况进行督察，对上级主要工作、重大活动安排及有关创建评比活动有针对性地开展检查，对发现的问题进行告知，要求落实整改，并根据相关考核细则进行评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2．评分依据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评分依据为考核细则。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3．成绩计算方式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按照考核细则，实行分级分类考核，考核基准分为100分，实行倒扣分制，通过每月的不定期巡查、综合考评进行打分，以平均分作为最终得分。</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四、考核结果的运用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考核成绩将作为每月物业服务费付款依据。</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五、考核细则</w:t>
      </w:r>
    </w:p>
    <w:p>
      <w:p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注：本办法由</w:t>
      </w:r>
      <w:r>
        <w:rPr>
          <w:rFonts w:hint="eastAsia" w:ascii="宋体" w:hAnsi="宋体"/>
          <w:color w:val="auto"/>
          <w:sz w:val="24"/>
          <w:highlight w:val="none"/>
          <w:lang w:eastAsia="zh-CN"/>
        </w:rPr>
        <w:t>甲方</w:t>
      </w:r>
      <w:r>
        <w:rPr>
          <w:rFonts w:hint="eastAsia" w:ascii="宋体" w:hAnsi="宋体"/>
          <w:color w:val="auto"/>
          <w:sz w:val="24"/>
          <w:highlight w:val="none"/>
        </w:rPr>
        <w:t>负责解释，可根据实际情况调整。</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04"/>
        <w:gridCol w:w="4230"/>
        <w:gridCol w:w="288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jc w:val="center"/>
              <w:rPr>
                <w:rFonts w:ascii="宋体" w:hAnsi="宋体"/>
                <w:color w:val="auto"/>
                <w:szCs w:val="21"/>
                <w:highlight w:val="none"/>
              </w:rPr>
            </w:pPr>
            <w:r>
              <w:rPr>
                <w:rFonts w:hint="eastAsia" w:ascii="宋体" w:hAnsi="宋体"/>
                <w:color w:val="auto"/>
                <w:szCs w:val="21"/>
                <w:highlight w:val="none"/>
              </w:rPr>
              <w:t>项目</w:t>
            </w: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内容</w:t>
            </w:r>
          </w:p>
        </w:tc>
        <w:tc>
          <w:tcPr>
            <w:tcW w:w="4230" w:type="dxa"/>
            <w:vAlign w:val="center"/>
          </w:tcPr>
          <w:p>
            <w:pPr>
              <w:jc w:val="center"/>
              <w:rPr>
                <w:rFonts w:ascii="宋体" w:hAnsi="宋体"/>
                <w:color w:val="auto"/>
                <w:szCs w:val="21"/>
                <w:highlight w:val="none"/>
              </w:rPr>
            </w:pPr>
            <w:r>
              <w:rPr>
                <w:rFonts w:hint="eastAsia" w:ascii="宋体" w:hAnsi="宋体"/>
                <w:color w:val="auto"/>
                <w:szCs w:val="21"/>
                <w:highlight w:val="none"/>
              </w:rPr>
              <w:t>标准</w:t>
            </w:r>
          </w:p>
        </w:tc>
        <w:tc>
          <w:tcPr>
            <w:tcW w:w="2880" w:type="dxa"/>
            <w:vAlign w:val="center"/>
          </w:tcPr>
          <w:p>
            <w:pPr>
              <w:jc w:val="center"/>
              <w:rPr>
                <w:rFonts w:ascii="宋体" w:hAnsi="宋体"/>
                <w:color w:val="auto"/>
                <w:szCs w:val="21"/>
                <w:highlight w:val="none"/>
              </w:rPr>
            </w:pPr>
            <w:r>
              <w:rPr>
                <w:rFonts w:hint="eastAsia" w:ascii="宋体" w:hAnsi="宋体"/>
                <w:color w:val="auto"/>
                <w:szCs w:val="21"/>
                <w:highlight w:val="none"/>
              </w:rPr>
              <w:t>扣分标准</w:t>
            </w:r>
          </w:p>
        </w:tc>
        <w:tc>
          <w:tcPr>
            <w:tcW w:w="735" w:type="dxa"/>
            <w:vAlign w:val="center"/>
          </w:tcPr>
          <w:p>
            <w:pPr>
              <w:jc w:val="center"/>
              <w:rPr>
                <w:rFonts w:ascii="宋体" w:hAnsi="宋体"/>
                <w:color w:val="auto"/>
                <w:szCs w:val="21"/>
                <w:highlight w:val="none"/>
              </w:rPr>
            </w:pPr>
            <w:r>
              <w:rPr>
                <w:rFonts w:hint="eastAsia" w:ascii="宋体" w:hAnsi="宋体"/>
                <w:color w:val="auto"/>
                <w:szCs w:val="21"/>
                <w:highlight w:val="none"/>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员工管理</w:t>
            </w: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招录培训</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按要求招录人员，并对人员进行上岗培训和考核。</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人员资质要求</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人员年龄、素质、资质证书按招标文件要求配备到位、落实到人，每天上下班必须脸谱考勤机打卡。</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1.未按人数上岗的，每发现一</w:t>
            </w:r>
            <w:r>
              <w:rPr>
                <w:rFonts w:hint="eastAsia" w:ascii="宋体" w:hAnsi="宋体"/>
                <w:color w:val="auto"/>
                <w:szCs w:val="21"/>
                <w:highlight w:val="none"/>
                <w:lang w:eastAsia="zh-CN"/>
              </w:rPr>
              <w:t>岗</w:t>
            </w:r>
            <w:r>
              <w:rPr>
                <w:rFonts w:hint="eastAsia" w:ascii="宋体" w:hAnsi="宋体"/>
                <w:color w:val="auto"/>
                <w:szCs w:val="21"/>
                <w:highlight w:val="none"/>
              </w:rPr>
              <w:t>扣1分；</w:t>
            </w:r>
          </w:p>
          <w:p>
            <w:pPr>
              <w:jc w:val="left"/>
              <w:rPr>
                <w:rFonts w:ascii="宋体" w:hAnsi="宋体"/>
                <w:color w:val="auto"/>
                <w:szCs w:val="21"/>
                <w:highlight w:val="none"/>
              </w:rPr>
            </w:pPr>
            <w:r>
              <w:rPr>
                <w:rFonts w:hint="eastAsia" w:ascii="宋体" w:hAnsi="宋体"/>
                <w:color w:val="auto"/>
                <w:szCs w:val="21"/>
                <w:highlight w:val="none"/>
              </w:rPr>
              <w:t>2.上岗人员与清单人员不符的，每发现一</w:t>
            </w:r>
            <w:r>
              <w:rPr>
                <w:rFonts w:hint="eastAsia" w:ascii="宋体" w:hAnsi="宋体"/>
                <w:color w:val="auto"/>
                <w:szCs w:val="21"/>
                <w:highlight w:val="none"/>
                <w:lang w:eastAsia="zh-CN"/>
              </w:rPr>
              <w:t>岗</w:t>
            </w:r>
            <w:r>
              <w:rPr>
                <w:rFonts w:hint="eastAsia" w:ascii="宋体" w:hAnsi="宋体"/>
                <w:color w:val="auto"/>
                <w:szCs w:val="21"/>
                <w:highlight w:val="none"/>
              </w:rPr>
              <w:t>扣1分；</w:t>
            </w:r>
          </w:p>
          <w:p>
            <w:pPr>
              <w:jc w:val="left"/>
              <w:rPr>
                <w:rFonts w:ascii="宋体" w:hAnsi="宋体"/>
                <w:color w:val="auto"/>
                <w:szCs w:val="21"/>
                <w:highlight w:val="none"/>
              </w:rPr>
            </w:pPr>
            <w:r>
              <w:rPr>
                <w:rFonts w:hint="eastAsia" w:ascii="宋体" w:hAnsi="宋体"/>
                <w:color w:val="auto"/>
                <w:szCs w:val="21"/>
                <w:highlight w:val="none"/>
              </w:rPr>
              <w:t>3.无证上岗的，每发现一起扣2分；</w:t>
            </w:r>
          </w:p>
          <w:p>
            <w:pPr>
              <w:jc w:val="left"/>
              <w:rPr>
                <w:rFonts w:ascii="宋体" w:hAnsi="宋体"/>
                <w:color w:val="auto"/>
                <w:szCs w:val="21"/>
                <w:highlight w:val="none"/>
              </w:rPr>
            </w:pPr>
            <w:r>
              <w:rPr>
                <w:rFonts w:hint="eastAsia" w:ascii="宋体" w:hAnsi="宋体"/>
                <w:color w:val="auto"/>
                <w:szCs w:val="21"/>
                <w:highlight w:val="none"/>
              </w:rPr>
              <w:t>4.其他不符合招标要求的每发现一起扣1分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仪表仪容</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在岗时穿戴统一制服，仪容仪表规范整齐。文明工作，训练有素，认真负责。</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未按规定着装，发现一次扣1分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语言规范</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工作时需保证言语规范，不得态度蛮横、说话粗鲁，不服从管理指令，当面顶撞、拒绝，与服务对象无理吵架，造成不良影响。</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工作纪律</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工作积极主动，不迟到、早退、串岗、睡岗、闲坐偷懒、聊天、吃零食、在岗抽烟、玩手机、大声喧哗现象，私自挪用他人工具和财物、私拆他人信件快递、干私活，当班期间喝酒或酒后上岗等行为。</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巡查监督</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落实项目巡查监督制度，每周不少于两次巡查监督，自行及时查处纠正。</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 xml:space="preserve">作息制度 </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按</w:t>
            </w:r>
            <w:r>
              <w:rPr>
                <w:rFonts w:hint="eastAsia" w:ascii="宋体" w:hAnsi="宋体"/>
                <w:color w:val="auto"/>
                <w:szCs w:val="21"/>
                <w:highlight w:val="none"/>
                <w:lang w:eastAsia="zh-CN"/>
              </w:rPr>
              <w:t>甲方</w:t>
            </w:r>
            <w:r>
              <w:rPr>
                <w:rFonts w:hint="eastAsia" w:ascii="宋体" w:hAnsi="宋体"/>
                <w:color w:val="auto"/>
                <w:szCs w:val="21"/>
                <w:highlight w:val="none"/>
              </w:rPr>
              <w:t>规定时间落实作息制度，同时做好交接班工作。</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vAlign w:val="center"/>
          </w:tcPr>
          <w:p>
            <w:pPr>
              <w:jc w:val="center"/>
              <w:rPr>
                <w:rFonts w:ascii="宋体" w:hAnsi="宋体"/>
                <w:bCs/>
                <w:color w:val="auto"/>
                <w:szCs w:val="21"/>
                <w:highlight w:val="none"/>
              </w:rPr>
            </w:pPr>
            <w:r>
              <w:rPr>
                <w:rFonts w:hint="eastAsia" w:ascii="宋体" w:hAnsi="宋体"/>
                <w:bCs/>
                <w:color w:val="auto"/>
                <w:szCs w:val="21"/>
                <w:highlight w:val="none"/>
              </w:rPr>
              <w:t>保洁服务</w:t>
            </w: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保洁时间</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按要求至少提前半小时做好卫生保洁工作。</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保洁耗材</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需按要求放置擦手纸、卷纸、洗手液、檀香等保洁耗材，如使用完毕，需立即更换</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室内区域清洁</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室内公共区域的地面、墙面、楼梯、扶手、大厅、玻璃、门及门窗框、天花板、栏杆、走廊等整洁干净，无垃圾、无积灰、无污渍、无水迹、无手印。</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continue"/>
            <w:vAlign w:val="center"/>
          </w:tcPr>
          <w:p>
            <w:pPr>
              <w:jc w:val="center"/>
              <w:rPr>
                <w:rFonts w:ascii="宋体" w:hAnsi="宋体"/>
                <w:color w:val="auto"/>
                <w:szCs w:val="21"/>
                <w:highlight w:val="none"/>
              </w:rPr>
            </w:pP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室内卫生间、茶水间清洁，无垃圾、无污渍、无积水、无异味、无堆积杂物，洁具、台面、镜面光洁无水渍，电器设施外观清洁，物品摆放有序。室内卫生间符合厕所洁净美丽标准，包括标识、挂钩、绿植等设施。</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室外区域清洁</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室外广场、道路、停车场（库）、屋面等公共区域的地面干净，无杂物、无积水、无淤泥、无污垢。绿化内无生活垃圾、建筑垃圾。</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continue"/>
            <w:vAlign w:val="center"/>
          </w:tcPr>
          <w:p>
            <w:pPr>
              <w:jc w:val="center"/>
              <w:rPr>
                <w:rFonts w:ascii="宋体" w:hAnsi="宋体"/>
                <w:color w:val="auto"/>
                <w:szCs w:val="21"/>
                <w:highlight w:val="none"/>
              </w:rPr>
            </w:pP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外墙应保持清洁，无明显污迹。</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continue"/>
            <w:vAlign w:val="center"/>
          </w:tcPr>
          <w:p>
            <w:pPr>
              <w:jc w:val="center"/>
              <w:rPr>
                <w:rFonts w:ascii="宋体" w:hAnsi="宋体"/>
                <w:color w:val="auto"/>
                <w:szCs w:val="21"/>
                <w:highlight w:val="none"/>
              </w:rPr>
            </w:pP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定期对玻璃长廊、景观、照明等设施设备进行清洁，确保表面干净无污渍。</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垃圾分类</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垃圾、废弃物按分类要求及时收集、日产日清，化粪池、隔油池及时清掏，垃圾箱（房）外侧表面清洁、内侧无残留物、无异味。</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continue"/>
            <w:vAlign w:val="center"/>
          </w:tcPr>
          <w:p>
            <w:pPr>
              <w:jc w:val="center"/>
              <w:rPr>
                <w:rFonts w:ascii="宋体" w:hAnsi="宋体"/>
                <w:color w:val="auto"/>
                <w:szCs w:val="21"/>
                <w:highlight w:val="none"/>
              </w:rPr>
            </w:pP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垃圾应按照可回收物、有害垃圾、易腐垃圾和其他垃圾进行分类，对应垃圾桶颜色分别为蓝色、红色、绿色和灰色。</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未按要求，每次一次扣1分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除“四害”</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建立“四害”消杀工作管理制度，根据实际情况定期开展消杀工作，有效控制鼠、蟑、蝇、蚊等害虫滋生，定期对各类病虫害进行预防控制，适时投放消杀药物和设施；“除四害”实施单位须具有病媒生物消杀专业机构资质证书，提供的服务不得低于绍兴市爱卫会“除四害”相关规定及验收标准，并视特殊情况增加次数，无明显蚊蝇滋生地、鼠迹。</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未按要求，每发现一次扣1分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其他</w:t>
            </w: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紧急响应</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及时落实</w:t>
            </w:r>
            <w:r>
              <w:rPr>
                <w:rFonts w:hint="eastAsia" w:ascii="宋体" w:hAnsi="宋体"/>
                <w:color w:val="auto"/>
                <w:szCs w:val="21"/>
                <w:highlight w:val="none"/>
                <w:lang w:eastAsia="zh-CN"/>
              </w:rPr>
              <w:t>甲方</w:t>
            </w:r>
            <w:r>
              <w:rPr>
                <w:rFonts w:hint="eastAsia" w:ascii="宋体" w:hAnsi="宋体"/>
                <w:color w:val="auto"/>
                <w:szCs w:val="21"/>
                <w:highlight w:val="none"/>
              </w:rPr>
              <w:t>提出的整改要求，对某些需紧急处置的情况，在接到通知后，乙方应无条件在规定时间内突击完成。</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未按要求，每次扣1分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曝光投诉</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不发生新闻曝光、区级以上部门通报批评。</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每发生，通报一次扣10分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Pr>
          <w:p>
            <w:pPr>
              <w:jc w:val="center"/>
              <w:rPr>
                <w:rFonts w:ascii="宋体" w:hAnsi="宋体"/>
                <w:color w:val="auto"/>
                <w:szCs w:val="21"/>
                <w:highlight w:val="none"/>
              </w:rPr>
            </w:pPr>
          </w:p>
        </w:tc>
        <w:tc>
          <w:tcPr>
            <w:tcW w:w="1204" w:type="dxa"/>
            <w:vMerge w:val="continue"/>
            <w:vAlign w:val="center"/>
          </w:tcPr>
          <w:p>
            <w:pPr>
              <w:jc w:val="center"/>
              <w:rPr>
                <w:rFonts w:ascii="宋体" w:hAnsi="宋体"/>
                <w:color w:val="auto"/>
                <w:szCs w:val="21"/>
                <w:highlight w:val="none"/>
              </w:rPr>
            </w:pP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不发生群众信访投诉事件，在各类迎检中被通报批评、扣分。</w:t>
            </w:r>
          </w:p>
        </w:tc>
        <w:tc>
          <w:tcPr>
            <w:tcW w:w="2880" w:type="dxa"/>
            <w:vAlign w:val="center"/>
          </w:tcPr>
          <w:p>
            <w:pPr>
              <w:jc w:val="left"/>
              <w:rPr>
                <w:rFonts w:ascii="宋体" w:hAnsi="宋体"/>
                <w:color w:val="auto"/>
                <w:szCs w:val="21"/>
                <w:highlight w:val="none"/>
              </w:rPr>
            </w:pPr>
            <w:r>
              <w:rPr>
                <w:rFonts w:hint="eastAsia" w:ascii="宋体" w:hAnsi="宋体"/>
                <w:color w:val="auto"/>
                <w:szCs w:val="21"/>
                <w:highlight w:val="none"/>
              </w:rPr>
              <w:t>每发生、通报一起扣2分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总结上报</w:t>
            </w:r>
          </w:p>
        </w:tc>
        <w:tc>
          <w:tcPr>
            <w:tcW w:w="4230" w:type="dxa"/>
            <w:vAlign w:val="center"/>
          </w:tcPr>
          <w:p>
            <w:pPr>
              <w:jc w:val="left"/>
              <w:rPr>
                <w:rFonts w:hint="eastAsia" w:ascii="宋体" w:hAnsi="宋体" w:eastAsia="宋体"/>
                <w:color w:val="auto"/>
                <w:szCs w:val="21"/>
                <w:highlight w:val="none"/>
                <w:lang w:eastAsia="zh-CN"/>
              </w:rPr>
            </w:pPr>
            <w:r>
              <w:rPr>
                <w:rFonts w:hint="eastAsia" w:ascii="宋体" w:hAnsi="宋体"/>
                <w:color w:val="auto"/>
                <w:szCs w:val="21"/>
                <w:highlight w:val="none"/>
              </w:rPr>
              <w:t>每月做好月总结上报</w:t>
            </w:r>
            <w:r>
              <w:rPr>
                <w:rFonts w:hint="eastAsia" w:ascii="宋体" w:hAnsi="宋体"/>
                <w:color w:val="auto"/>
                <w:szCs w:val="21"/>
                <w:highlight w:val="none"/>
                <w:lang w:eastAsia="zh-CN"/>
              </w:rPr>
              <w:t>甲方</w:t>
            </w:r>
          </w:p>
        </w:tc>
        <w:tc>
          <w:tcPr>
            <w:tcW w:w="2880" w:type="dxa"/>
          </w:tcPr>
          <w:p>
            <w:pPr>
              <w:jc w:val="left"/>
              <w:rPr>
                <w:rFonts w:ascii="宋体" w:hAnsi="宋体"/>
                <w:color w:val="auto"/>
                <w:szCs w:val="21"/>
                <w:highlight w:val="none"/>
              </w:rPr>
            </w:pPr>
            <w:r>
              <w:rPr>
                <w:rFonts w:hint="eastAsia" w:ascii="宋体" w:hAnsi="宋体"/>
                <w:color w:val="auto"/>
                <w:szCs w:val="21"/>
                <w:highlight w:val="none"/>
              </w:rPr>
              <w:t>未及时上报总结的，每次扣1分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案件事件</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不发生由公司管理不当造成的刑事案件、治安案件、违法犯罪行为和影响社会稳定的群体性事件。</w:t>
            </w:r>
          </w:p>
        </w:tc>
        <w:tc>
          <w:tcPr>
            <w:tcW w:w="2880" w:type="dxa"/>
            <w:vAlign w:val="center"/>
          </w:tcPr>
          <w:p>
            <w:pPr>
              <w:rPr>
                <w:rFonts w:ascii="宋体" w:hAnsi="宋体"/>
                <w:color w:val="auto"/>
                <w:szCs w:val="21"/>
                <w:highlight w:val="none"/>
              </w:rPr>
            </w:pPr>
            <w:r>
              <w:rPr>
                <w:rFonts w:hint="eastAsia" w:ascii="宋体" w:hAnsi="宋体"/>
                <w:color w:val="auto"/>
                <w:szCs w:val="21"/>
                <w:highlight w:val="none"/>
              </w:rPr>
              <w:t>每发生一起根据严重程度，扣3-10分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Pr>
          <w:p>
            <w:pPr>
              <w:jc w:val="center"/>
              <w:rPr>
                <w:rFonts w:ascii="宋体" w:hAnsi="宋体"/>
                <w:color w:val="auto"/>
                <w:szCs w:val="21"/>
                <w:highlight w:val="none"/>
              </w:rPr>
            </w:pPr>
          </w:p>
        </w:tc>
        <w:tc>
          <w:tcPr>
            <w:tcW w:w="1204" w:type="dxa"/>
            <w:vAlign w:val="center"/>
          </w:tcPr>
          <w:p>
            <w:pPr>
              <w:jc w:val="center"/>
              <w:rPr>
                <w:rFonts w:ascii="宋体" w:hAnsi="宋体"/>
                <w:color w:val="auto"/>
                <w:szCs w:val="21"/>
                <w:highlight w:val="none"/>
              </w:rPr>
            </w:pPr>
            <w:r>
              <w:rPr>
                <w:rFonts w:hint="eastAsia" w:ascii="宋体" w:hAnsi="宋体"/>
                <w:color w:val="auto"/>
                <w:szCs w:val="21"/>
                <w:highlight w:val="none"/>
              </w:rPr>
              <w:t>安全事故</w:t>
            </w:r>
          </w:p>
        </w:tc>
        <w:tc>
          <w:tcPr>
            <w:tcW w:w="4230" w:type="dxa"/>
            <w:vAlign w:val="center"/>
          </w:tcPr>
          <w:p>
            <w:pPr>
              <w:jc w:val="left"/>
              <w:rPr>
                <w:rFonts w:ascii="宋体" w:hAnsi="宋体"/>
                <w:color w:val="auto"/>
                <w:szCs w:val="21"/>
                <w:highlight w:val="none"/>
              </w:rPr>
            </w:pPr>
            <w:r>
              <w:rPr>
                <w:rFonts w:hint="eastAsia" w:ascii="宋体" w:hAnsi="宋体"/>
                <w:color w:val="auto"/>
                <w:szCs w:val="21"/>
                <w:highlight w:val="none"/>
              </w:rPr>
              <w:t>需做好安全事故的预防工作</w:t>
            </w:r>
          </w:p>
        </w:tc>
        <w:tc>
          <w:tcPr>
            <w:tcW w:w="2880" w:type="dxa"/>
          </w:tcPr>
          <w:p>
            <w:pPr>
              <w:jc w:val="left"/>
              <w:rPr>
                <w:rFonts w:ascii="宋体" w:hAnsi="宋体"/>
                <w:color w:val="auto"/>
                <w:szCs w:val="21"/>
                <w:highlight w:val="none"/>
              </w:rPr>
            </w:pPr>
            <w:r>
              <w:rPr>
                <w:rFonts w:hint="eastAsia" w:ascii="宋体" w:hAnsi="宋体"/>
                <w:color w:val="auto"/>
                <w:szCs w:val="21"/>
                <w:highlight w:val="none"/>
              </w:rPr>
              <w:t>如因工作不力引起的安全事故，每次扣5分。</w:t>
            </w: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jc w:val="center"/>
              <w:rPr>
                <w:rFonts w:ascii="宋体" w:hAnsi="宋体"/>
                <w:color w:val="auto"/>
                <w:szCs w:val="21"/>
                <w:highlight w:val="none"/>
              </w:rPr>
            </w:pPr>
          </w:p>
        </w:tc>
        <w:tc>
          <w:tcPr>
            <w:tcW w:w="1204" w:type="dxa"/>
            <w:vAlign w:val="center"/>
          </w:tcPr>
          <w:p>
            <w:pPr>
              <w:widowControl/>
              <w:snapToGrid w:val="0"/>
              <w:jc w:val="center"/>
              <w:rPr>
                <w:rFonts w:ascii="新宋体" w:hAnsi="新宋体" w:eastAsia="新宋体"/>
                <w:color w:val="auto"/>
                <w:kern w:val="0"/>
                <w:szCs w:val="21"/>
                <w:highlight w:val="none"/>
              </w:rPr>
            </w:pPr>
            <w:r>
              <w:rPr>
                <w:rFonts w:hint="eastAsia" w:ascii="新宋体" w:hAnsi="新宋体" w:eastAsia="新宋体"/>
                <w:color w:val="auto"/>
                <w:kern w:val="0"/>
                <w:szCs w:val="21"/>
                <w:highlight w:val="none"/>
              </w:rPr>
              <w:t>突击任务</w:t>
            </w:r>
          </w:p>
        </w:tc>
        <w:tc>
          <w:tcPr>
            <w:tcW w:w="4230" w:type="dxa"/>
            <w:vAlign w:val="center"/>
          </w:tcPr>
          <w:p>
            <w:pPr>
              <w:widowControl/>
              <w:snapToGrid w:val="0"/>
              <w:jc w:val="left"/>
              <w:rPr>
                <w:rFonts w:ascii="新宋体" w:hAnsi="新宋体" w:eastAsia="新宋体"/>
                <w:color w:val="auto"/>
                <w:szCs w:val="21"/>
                <w:highlight w:val="none"/>
              </w:rPr>
            </w:pPr>
            <w:r>
              <w:rPr>
                <w:rFonts w:hint="eastAsia" w:ascii="新宋体" w:hAnsi="新宋体" w:eastAsia="新宋体"/>
                <w:color w:val="auto"/>
                <w:szCs w:val="21"/>
                <w:highlight w:val="none"/>
              </w:rPr>
              <w:t>配合</w:t>
            </w:r>
            <w:r>
              <w:rPr>
                <w:rFonts w:hint="eastAsia" w:ascii="新宋体" w:hAnsi="新宋体" w:eastAsia="新宋体"/>
                <w:color w:val="auto"/>
                <w:szCs w:val="21"/>
                <w:highlight w:val="none"/>
                <w:lang w:eastAsia="zh-CN"/>
              </w:rPr>
              <w:t>甲方</w:t>
            </w:r>
            <w:r>
              <w:rPr>
                <w:rFonts w:hint="eastAsia" w:ascii="新宋体" w:hAnsi="新宋体" w:eastAsia="新宋体"/>
                <w:color w:val="auto"/>
                <w:szCs w:val="21"/>
                <w:highlight w:val="none"/>
              </w:rPr>
              <w:t>做好上级布置的额外的突击性任务的，可视任务轻重加分。</w:t>
            </w:r>
          </w:p>
        </w:tc>
        <w:tc>
          <w:tcPr>
            <w:tcW w:w="2880" w:type="dxa"/>
            <w:vAlign w:val="center"/>
          </w:tcPr>
          <w:p>
            <w:pPr>
              <w:widowControl/>
              <w:snapToGrid w:val="0"/>
              <w:jc w:val="left"/>
              <w:rPr>
                <w:rFonts w:ascii="新宋体" w:hAnsi="新宋体" w:eastAsia="新宋体"/>
                <w:color w:val="auto"/>
                <w:kern w:val="0"/>
                <w:szCs w:val="21"/>
                <w:highlight w:val="none"/>
              </w:rPr>
            </w:pPr>
          </w:p>
        </w:tc>
        <w:tc>
          <w:tcPr>
            <w:tcW w:w="73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Pr>
          <w:p>
            <w:pPr>
              <w:jc w:val="center"/>
              <w:rPr>
                <w:rFonts w:ascii="宋体" w:hAnsi="宋体"/>
                <w:color w:val="auto"/>
                <w:szCs w:val="21"/>
                <w:highlight w:val="none"/>
              </w:rPr>
            </w:pPr>
          </w:p>
        </w:tc>
        <w:tc>
          <w:tcPr>
            <w:tcW w:w="1204" w:type="dxa"/>
            <w:vAlign w:val="center"/>
          </w:tcPr>
          <w:p>
            <w:pPr>
              <w:widowControl/>
              <w:snapToGrid w:val="0"/>
              <w:jc w:val="center"/>
              <w:rPr>
                <w:rFonts w:ascii="新宋体" w:hAnsi="新宋体" w:eastAsia="新宋体"/>
                <w:color w:val="auto"/>
                <w:kern w:val="0"/>
                <w:szCs w:val="21"/>
                <w:highlight w:val="none"/>
              </w:rPr>
            </w:pPr>
            <w:r>
              <w:rPr>
                <w:rFonts w:hint="eastAsia" w:ascii="新宋体" w:hAnsi="新宋体" w:eastAsia="新宋体"/>
                <w:color w:val="auto"/>
                <w:kern w:val="0"/>
                <w:szCs w:val="21"/>
                <w:highlight w:val="none"/>
              </w:rPr>
              <w:t>工作实绩</w:t>
            </w:r>
          </w:p>
        </w:tc>
        <w:tc>
          <w:tcPr>
            <w:tcW w:w="4230" w:type="dxa"/>
            <w:vAlign w:val="center"/>
          </w:tcPr>
          <w:p>
            <w:pPr>
              <w:widowControl/>
              <w:snapToGrid w:val="0"/>
              <w:jc w:val="left"/>
              <w:rPr>
                <w:rFonts w:ascii="新宋体" w:hAnsi="新宋体" w:eastAsia="新宋体"/>
                <w:color w:val="auto"/>
                <w:szCs w:val="21"/>
                <w:highlight w:val="none"/>
              </w:rPr>
            </w:pPr>
            <w:r>
              <w:rPr>
                <w:rFonts w:hint="eastAsia" w:ascii="新宋体" w:hAnsi="新宋体" w:eastAsia="新宋体"/>
                <w:color w:val="auto"/>
                <w:szCs w:val="21"/>
                <w:highlight w:val="none"/>
              </w:rPr>
              <w:t>其他经工作考核小组认定可以加分的事项，按情况予以加分。</w:t>
            </w:r>
          </w:p>
        </w:tc>
        <w:tc>
          <w:tcPr>
            <w:tcW w:w="2880" w:type="dxa"/>
            <w:vAlign w:val="center"/>
          </w:tcPr>
          <w:p>
            <w:pPr>
              <w:widowControl/>
              <w:snapToGrid w:val="0"/>
              <w:jc w:val="left"/>
              <w:rPr>
                <w:rFonts w:ascii="新宋体" w:hAnsi="新宋体" w:eastAsia="新宋体"/>
                <w:color w:val="auto"/>
                <w:kern w:val="0"/>
                <w:szCs w:val="21"/>
                <w:highlight w:val="none"/>
              </w:rPr>
            </w:pPr>
          </w:p>
        </w:tc>
        <w:tc>
          <w:tcPr>
            <w:tcW w:w="735" w:type="dxa"/>
          </w:tcPr>
          <w:p>
            <w:pPr>
              <w:jc w:val="center"/>
              <w:rPr>
                <w:rFonts w:ascii="宋体" w:hAnsi="宋体"/>
                <w:color w:val="auto"/>
                <w:szCs w:val="21"/>
                <w:highlight w:val="none"/>
              </w:rPr>
            </w:pPr>
          </w:p>
        </w:tc>
      </w:tr>
    </w:tbl>
    <w:p>
      <w:pPr>
        <w:pStyle w:val="64"/>
        <w:numPr>
          <w:ilvl w:val="0"/>
          <w:numId w:val="0"/>
        </w:numPr>
        <w:ind w:left="615"/>
        <w:rPr>
          <w:color w:val="auto"/>
          <w:highlight w:val="none"/>
        </w:rPr>
      </w:pPr>
    </w:p>
    <w:p>
      <w:pPr>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十一、付款方式及要求</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一、付款方式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在合同生效以及具备实施条件后7个工作日内向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支付20%的合同款作为预付款；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剩余服务费</w:t>
      </w:r>
      <w:r>
        <w:rPr>
          <w:rFonts w:hint="eastAsia" w:ascii="宋体" w:hAnsi="宋体"/>
          <w:color w:val="auto"/>
          <w:sz w:val="24"/>
          <w:highlight w:val="none"/>
        </w:rPr>
        <w:t>按合同约定的价款按季度平均支付，应先做后付，以每月考核结果来确定当季度支付款额，在次季度底前支付上季度经考核后的服务费。（其中合同终止期最后一个月的经费支付应同时递交保洁员、保安人员工资已发放清单）。</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二、付款要求</w:t>
      </w:r>
    </w:p>
    <w:p>
      <w:pPr>
        <w:spacing w:line="360" w:lineRule="auto"/>
        <w:ind w:firstLine="480" w:firstLineChars="200"/>
        <w:rPr>
          <w:rFonts w:ascii="宋体"/>
          <w:color w:val="auto"/>
          <w:kern w:val="0"/>
          <w:sz w:val="24"/>
          <w:highlight w:val="none"/>
        </w:rPr>
      </w:pPr>
      <w:r>
        <w:rPr>
          <w:rFonts w:hint="eastAsia" w:ascii="宋体" w:hAnsi="宋体"/>
          <w:color w:val="auto"/>
          <w:sz w:val="24"/>
          <w:highlight w:val="none"/>
          <w:lang w:eastAsia="zh-CN"/>
        </w:rPr>
        <w:t>乙方</w:t>
      </w:r>
      <w:r>
        <w:rPr>
          <w:rFonts w:hint="eastAsia" w:ascii="宋体" w:hAnsi="宋体"/>
          <w:color w:val="auto"/>
          <w:sz w:val="24"/>
          <w:highlight w:val="none"/>
        </w:rPr>
        <w:t>在收款之前，应向</w:t>
      </w:r>
      <w:r>
        <w:rPr>
          <w:rFonts w:hint="eastAsia" w:ascii="宋体" w:hAnsi="宋体"/>
          <w:color w:val="auto"/>
          <w:sz w:val="24"/>
          <w:highlight w:val="none"/>
          <w:lang w:eastAsia="zh-CN"/>
        </w:rPr>
        <w:t>甲方</w:t>
      </w:r>
      <w:r>
        <w:rPr>
          <w:rFonts w:hint="eastAsia" w:ascii="宋体" w:hAnsi="宋体"/>
          <w:color w:val="auto"/>
          <w:sz w:val="24"/>
          <w:highlight w:val="none"/>
        </w:rPr>
        <w:t>提供等额、合法、有效的发票，</w:t>
      </w:r>
      <w:r>
        <w:rPr>
          <w:rFonts w:hint="eastAsia" w:ascii="宋体" w:hAnsi="宋体"/>
          <w:color w:val="auto"/>
          <w:sz w:val="24"/>
          <w:highlight w:val="none"/>
          <w:lang w:eastAsia="zh-CN"/>
        </w:rPr>
        <w:t>甲方</w:t>
      </w:r>
      <w:r>
        <w:rPr>
          <w:rFonts w:hint="eastAsia" w:ascii="宋体" w:hAnsi="宋体"/>
          <w:color w:val="auto"/>
          <w:sz w:val="24"/>
          <w:highlight w:val="none"/>
        </w:rPr>
        <w:t>凭发票付款。如</w:t>
      </w:r>
      <w:r>
        <w:rPr>
          <w:rFonts w:hint="eastAsia" w:ascii="宋体" w:hAnsi="宋体"/>
          <w:color w:val="auto"/>
          <w:sz w:val="24"/>
          <w:highlight w:val="none"/>
          <w:lang w:eastAsia="zh-CN"/>
        </w:rPr>
        <w:t>乙方</w:t>
      </w:r>
      <w:r>
        <w:rPr>
          <w:rFonts w:hint="eastAsia" w:ascii="宋体" w:hAnsi="宋体"/>
          <w:color w:val="auto"/>
          <w:sz w:val="24"/>
          <w:highlight w:val="none"/>
        </w:rPr>
        <w:t>未按约定提供发票的，</w:t>
      </w:r>
      <w:r>
        <w:rPr>
          <w:rFonts w:hint="eastAsia" w:ascii="宋体" w:hAnsi="宋体"/>
          <w:color w:val="auto"/>
          <w:sz w:val="24"/>
          <w:highlight w:val="none"/>
          <w:lang w:eastAsia="zh-CN"/>
        </w:rPr>
        <w:t>甲方</w:t>
      </w:r>
      <w:r>
        <w:rPr>
          <w:rFonts w:hint="eastAsia" w:ascii="宋体" w:hAnsi="宋体"/>
          <w:color w:val="auto"/>
          <w:sz w:val="24"/>
          <w:highlight w:val="none"/>
        </w:rPr>
        <w:t>有权拒绝付款，直至收到</w:t>
      </w:r>
      <w:r>
        <w:rPr>
          <w:rFonts w:hint="eastAsia" w:ascii="宋体" w:hAnsi="宋体"/>
          <w:color w:val="auto"/>
          <w:sz w:val="24"/>
          <w:highlight w:val="none"/>
          <w:lang w:eastAsia="zh-CN"/>
        </w:rPr>
        <w:t>乙方</w:t>
      </w:r>
      <w:r>
        <w:rPr>
          <w:rFonts w:hint="eastAsia" w:ascii="宋体"/>
          <w:color w:val="auto"/>
          <w:kern w:val="0"/>
          <w:sz w:val="24"/>
          <w:highlight w:val="none"/>
        </w:rPr>
        <w:t>提交的相应发票为止，在此情况下，</w:t>
      </w:r>
      <w:r>
        <w:rPr>
          <w:rFonts w:hint="eastAsia" w:ascii="宋体"/>
          <w:color w:val="auto"/>
          <w:kern w:val="0"/>
          <w:sz w:val="24"/>
          <w:highlight w:val="none"/>
          <w:lang w:eastAsia="zh-CN"/>
        </w:rPr>
        <w:t>甲方</w:t>
      </w:r>
      <w:r>
        <w:rPr>
          <w:rFonts w:hint="eastAsia" w:ascii="宋体"/>
          <w:color w:val="auto"/>
          <w:kern w:val="0"/>
          <w:sz w:val="24"/>
          <w:highlight w:val="none"/>
        </w:rPr>
        <w:t>不承担逾期付款违约责任。</w:t>
      </w:r>
    </w:p>
    <w:p>
      <w:pPr>
        <w:spacing w:line="360" w:lineRule="auto"/>
        <w:ind w:left="420" w:leftChars="200"/>
        <w:rPr>
          <w:rFonts w:ascii="宋体" w:hAnsi="宋体"/>
          <w:color w:val="auto"/>
          <w:sz w:val="24"/>
          <w:highlight w:val="none"/>
        </w:rPr>
      </w:pPr>
      <w:r>
        <w:rPr>
          <w:rFonts w:hint="eastAsia" w:ascii="宋体" w:hAnsi="宋体"/>
          <w:bCs/>
          <w:color w:val="auto"/>
          <w:sz w:val="24"/>
          <w:highlight w:val="none"/>
        </w:rPr>
        <w:t>（三）、履约保证金</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1.乙方在收到中标通知书后，需向甲方提供合同总价</w:t>
      </w:r>
      <w:r>
        <w:rPr>
          <w:rFonts w:hint="eastAsia" w:ascii="宋体" w:hAnsi="宋体"/>
          <w:b/>
          <w:bCs/>
          <w:color w:val="auto"/>
          <w:sz w:val="24"/>
          <w:highlight w:val="none"/>
          <w:lang w:val="en-US" w:eastAsia="zh-CN"/>
        </w:rPr>
        <w:t>1</w:t>
      </w:r>
      <w:r>
        <w:rPr>
          <w:rFonts w:hint="eastAsia" w:ascii="宋体" w:hAnsi="宋体"/>
          <w:b/>
          <w:bCs/>
          <w:color w:val="auto"/>
          <w:sz w:val="24"/>
          <w:highlight w:val="none"/>
        </w:rPr>
        <w:t>%的履约保证金，在乙方与甲方签订合同前应当以支票、汇票、本票或者金融机构、保险公司、担保机构出具的保函等非现金形式提交。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2.甲方在服务期结束后向乙方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无息</w:t>
      </w:r>
      <w:r>
        <w:rPr>
          <w:rFonts w:hint="eastAsia" w:ascii="宋体" w:hAnsi="宋体"/>
          <w:color w:val="auto"/>
          <w:sz w:val="24"/>
          <w:highlight w:val="none"/>
          <w:lang w:eastAsia="zh-CN"/>
        </w:rPr>
        <w:t>）</w:t>
      </w:r>
      <w:r>
        <w:rPr>
          <w:rFonts w:hint="eastAsia" w:ascii="宋体" w:hAnsi="宋体"/>
          <w:color w:val="auto"/>
          <w:sz w:val="24"/>
          <w:highlight w:val="none"/>
        </w:rPr>
        <w:t>退还履约保证金</w:t>
      </w:r>
    </w:p>
    <w:p>
      <w:pPr>
        <w:spacing w:line="360" w:lineRule="auto"/>
        <w:ind w:left="420" w:leftChars="200"/>
        <w:rPr>
          <w:rFonts w:ascii="宋体" w:hAnsi="宋体"/>
          <w:b/>
          <w:color w:val="auto"/>
          <w:sz w:val="24"/>
          <w:highlight w:val="none"/>
        </w:rPr>
      </w:pPr>
      <w:r>
        <w:rPr>
          <w:rFonts w:hint="eastAsia" w:ascii="宋体" w:hAnsi="宋体"/>
          <w:b/>
          <w:color w:val="auto"/>
          <w:sz w:val="24"/>
          <w:highlight w:val="none"/>
        </w:rPr>
        <w:t>十二、双方权利义务</w:t>
      </w:r>
    </w:p>
    <w:p>
      <w:pPr>
        <w:numPr>
          <w:ilvl w:val="0"/>
          <w:numId w:val="19"/>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甲方权利义务</w:t>
      </w:r>
    </w:p>
    <w:p>
      <w:pPr>
        <w:numPr>
          <w:ilvl w:val="0"/>
          <w:numId w:val="0"/>
        </w:numPr>
        <w:spacing w:line="360" w:lineRule="auto"/>
        <w:ind w:leftChars="200"/>
        <w:jc w:val="left"/>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1</w:t>
      </w:r>
      <w:r>
        <w:rPr>
          <w:rFonts w:hint="eastAsia" w:ascii="宋体"/>
          <w:color w:val="auto"/>
          <w:kern w:val="0"/>
          <w:sz w:val="24"/>
          <w:highlight w:val="none"/>
          <w:lang w:eastAsia="zh-CN"/>
        </w:rPr>
        <w:t>）</w:t>
      </w:r>
      <w:r>
        <w:rPr>
          <w:rFonts w:hint="eastAsia" w:ascii="宋体"/>
          <w:color w:val="auto"/>
          <w:kern w:val="0"/>
          <w:sz w:val="24"/>
          <w:highlight w:val="none"/>
        </w:rPr>
        <w:t>代表和维护产权人、使用人的合法权益；</w:t>
      </w:r>
    </w:p>
    <w:p>
      <w:pPr>
        <w:numPr>
          <w:ilvl w:val="0"/>
          <w:numId w:val="0"/>
        </w:numPr>
        <w:spacing w:line="360" w:lineRule="auto"/>
        <w:ind w:leftChars="200"/>
        <w:jc w:val="left"/>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2</w:t>
      </w:r>
      <w:r>
        <w:rPr>
          <w:rFonts w:hint="eastAsia" w:ascii="宋体"/>
          <w:color w:val="auto"/>
          <w:kern w:val="0"/>
          <w:sz w:val="24"/>
          <w:highlight w:val="none"/>
          <w:lang w:eastAsia="zh-CN"/>
        </w:rPr>
        <w:t>）</w:t>
      </w:r>
      <w:r>
        <w:rPr>
          <w:rFonts w:hint="eastAsia" w:ascii="宋体"/>
          <w:color w:val="auto"/>
          <w:kern w:val="0"/>
          <w:sz w:val="24"/>
          <w:highlight w:val="none"/>
        </w:rPr>
        <w:t>审定乙方拟定的物业管理制度；</w:t>
      </w:r>
    </w:p>
    <w:p>
      <w:pPr>
        <w:numPr>
          <w:ilvl w:val="0"/>
          <w:numId w:val="0"/>
        </w:numPr>
        <w:spacing w:line="360" w:lineRule="auto"/>
        <w:ind w:leftChars="200"/>
        <w:jc w:val="left"/>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3</w:t>
      </w:r>
      <w:r>
        <w:rPr>
          <w:rFonts w:hint="eastAsia" w:ascii="宋体"/>
          <w:color w:val="auto"/>
          <w:kern w:val="0"/>
          <w:sz w:val="24"/>
          <w:highlight w:val="none"/>
          <w:lang w:eastAsia="zh-CN"/>
        </w:rPr>
        <w:t>）</w:t>
      </w:r>
      <w:r>
        <w:rPr>
          <w:rFonts w:hint="eastAsia" w:ascii="宋体"/>
          <w:color w:val="auto"/>
          <w:kern w:val="0"/>
          <w:sz w:val="24"/>
          <w:highlight w:val="none"/>
        </w:rPr>
        <w:t>检查监督乙方管理工作的实施及制度的执行情况；</w:t>
      </w:r>
    </w:p>
    <w:p>
      <w:pPr>
        <w:numPr>
          <w:ilvl w:val="0"/>
          <w:numId w:val="0"/>
        </w:numPr>
        <w:spacing w:line="360" w:lineRule="auto"/>
        <w:ind w:leftChars="200"/>
        <w:jc w:val="left"/>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4</w:t>
      </w:r>
      <w:r>
        <w:rPr>
          <w:rFonts w:hint="eastAsia" w:ascii="宋体"/>
          <w:color w:val="auto"/>
          <w:kern w:val="0"/>
          <w:sz w:val="24"/>
          <w:highlight w:val="none"/>
          <w:lang w:eastAsia="zh-CN"/>
        </w:rPr>
        <w:t>）</w:t>
      </w:r>
      <w:r>
        <w:rPr>
          <w:rFonts w:hint="eastAsia" w:ascii="宋体"/>
          <w:color w:val="auto"/>
          <w:kern w:val="0"/>
          <w:sz w:val="24"/>
          <w:highlight w:val="none"/>
        </w:rPr>
        <w:t>负责收集、整理物业管理所需全部图纸、档案、资料，根据管理需要向乙方提供房屋相关资料和设备、设施的安装、使用和维护保养技术资料；</w:t>
      </w:r>
    </w:p>
    <w:p>
      <w:pPr>
        <w:numPr>
          <w:ilvl w:val="0"/>
          <w:numId w:val="0"/>
        </w:numPr>
        <w:spacing w:line="360" w:lineRule="auto"/>
        <w:ind w:leftChars="200"/>
        <w:jc w:val="left"/>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5</w:t>
      </w:r>
      <w:r>
        <w:rPr>
          <w:rFonts w:hint="eastAsia" w:ascii="宋体"/>
          <w:color w:val="auto"/>
          <w:kern w:val="0"/>
          <w:sz w:val="24"/>
          <w:highlight w:val="none"/>
          <w:lang w:eastAsia="zh-CN"/>
        </w:rPr>
        <w:t>）</w:t>
      </w:r>
      <w:r>
        <w:rPr>
          <w:rFonts w:hint="eastAsia" w:ascii="宋体"/>
          <w:color w:val="auto"/>
          <w:kern w:val="0"/>
          <w:sz w:val="24"/>
          <w:highlight w:val="none"/>
        </w:rPr>
        <w:t>按期支付物业管理费用；</w:t>
      </w:r>
    </w:p>
    <w:p>
      <w:pPr>
        <w:numPr>
          <w:ilvl w:val="0"/>
          <w:numId w:val="0"/>
        </w:numPr>
        <w:spacing w:line="360" w:lineRule="auto"/>
        <w:ind w:leftChars="200"/>
        <w:jc w:val="left"/>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6</w:t>
      </w:r>
      <w:r>
        <w:rPr>
          <w:rFonts w:hint="eastAsia" w:ascii="宋体"/>
          <w:color w:val="auto"/>
          <w:kern w:val="0"/>
          <w:sz w:val="24"/>
          <w:highlight w:val="none"/>
          <w:lang w:eastAsia="zh-CN"/>
        </w:rPr>
        <w:t>）</w:t>
      </w:r>
      <w:r>
        <w:rPr>
          <w:rFonts w:hint="eastAsia" w:ascii="宋体"/>
          <w:color w:val="auto"/>
          <w:kern w:val="0"/>
          <w:sz w:val="24"/>
          <w:highlight w:val="none"/>
        </w:rPr>
        <w:t>在不可预见的情况下，如发生煤气泄漏、漏电、火灾、救助人命、协助公安机关执行任务等突发事件的， 甲方应积极配合乙方采取必要的紧急避险措施。</w:t>
      </w:r>
    </w:p>
    <w:p>
      <w:pPr>
        <w:numPr>
          <w:ilvl w:val="0"/>
          <w:numId w:val="0"/>
        </w:numPr>
        <w:spacing w:line="360" w:lineRule="auto"/>
        <w:ind w:leftChars="200"/>
        <w:jc w:val="left"/>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7</w:t>
      </w:r>
      <w:r>
        <w:rPr>
          <w:rFonts w:hint="eastAsia" w:ascii="宋体"/>
          <w:color w:val="auto"/>
          <w:kern w:val="0"/>
          <w:sz w:val="24"/>
          <w:highlight w:val="none"/>
          <w:lang w:eastAsia="zh-CN"/>
        </w:rPr>
        <w:t>）</w:t>
      </w:r>
      <w:r>
        <w:rPr>
          <w:rFonts w:hint="eastAsia" w:ascii="宋体"/>
          <w:color w:val="auto"/>
          <w:kern w:val="0"/>
          <w:sz w:val="24"/>
          <w:highlight w:val="none"/>
        </w:rPr>
        <w:t>提供乙方所需的办公用房。</w:t>
      </w:r>
    </w:p>
    <w:p>
      <w:pPr>
        <w:numPr>
          <w:ilvl w:val="0"/>
          <w:numId w:val="0"/>
        </w:numPr>
        <w:spacing w:line="360" w:lineRule="auto"/>
        <w:ind w:leftChars="200"/>
        <w:jc w:val="left"/>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8</w:t>
      </w:r>
      <w:r>
        <w:rPr>
          <w:rFonts w:hint="eastAsia" w:ascii="宋体"/>
          <w:color w:val="auto"/>
          <w:kern w:val="0"/>
          <w:sz w:val="24"/>
          <w:highlight w:val="none"/>
          <w:lang w:eastAsia="zh-CN"/>
        </w:rPr>
        <w:t>）</w:t>
      </w:r>
      <w:r>
        <w:rPr>
          <w:rFonts w:hint="eastAsia" w:ascii="宋体"/>
          <w:color w:val="auto"/>
          <w:kern w:val="0"/>
          <w:sz w:val="24"/>
          <w:highlight w:val="none"/>
        </w:rPr>
        <w:t>甲方监督乙方依照本合同规定内容所进行的管理和服务活动，组织对乙方工作综合考评，如出现乙方管理不善造成甲方重大经济损失的情况，甲方有权终止合同并要求乙方给予赔偿。</w:t>
      </w:r>
    </w:p>
    <w:p>
      <w:pPr>
        <w:numPr>
          <w:ilvl w:val="0"/>
          <w:numId w:val="19"/>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乙方权利义务</w:t>
      </w:r>
    </w:p>
    <w:p>
      <w:pPr>
        <w:numPr>
          <w:ilvl w:val="0"/>
          <w:numId w:val="0"/>
        </w:numPr>
        <w:spacing w:line="360" w:lineRule="auto"/>
        <w:ind w:leftChars="200"/>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1</w:t>
      </w:r>
      <w:r>
        <w:rPr>
          <w:rFonts w:hint="eastAsia" w:ascii="宋体"/>
          <w:color w:val="auto"/>
          <w:kern w:val="0"/>
          <w:sz w:val="24"/>
          <w:highlight w:val="none"/>
          <w:lang w:eastAsia="zh-CN"/>
        </w:rPr>
        <w:t>）</w:t>
      </w:r>
      <w:r>
        <w:rPr>
          <w:rFonts w:hint="eastAsia" w:ascii="宋体"/>
          <w:color w:val="auto"/>
          <w:kern w:val="0"/>
          <w:sz w:val="24"/>
          <w:highlight w:val="none"/>
        </w:rPr>
        <w:t>根据有关法律法规、投标文件及本合同的约定，制订物业管理制度、方案，根据甲方核定的物业管理制度、方案自主开展物业日常管理服务活动；</w:t>
      </w:r>
    </w:p>
    <w:p>
      <w:pPr>
        <w:numPr>
          <w:ilvl w:val="0"/>
          <w:numId w:val="0"/>
        </w:numPr>
        <w:spacing w:line="360" w:lineRule="auto"/>
        <w:ind w:leftChars="200"/>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2</w:t>
      </w:r>
      <w:r>
        <w:rPr>
          <w:rFonts w:hint="eastAsia" w:ascii="宋体"/>
          <w:color w:val="auto"/>
          <w:kern w:val="0"/>
          <w:sz w:val="24"/>
          <w:highlight w:val="none"/>
          <w:lang w:eastAsia="zh-CN"/>
        </w:rPr>
        <w:t>）</w:t>
      </w:r>
      <w:r>
        <w:rPr>
          <w:rFonts w:hint="eastAsia" w:ascii="宋体"/>
          <w:color w:val="auto"/>
          <w:kern w:val="0"/>
          <w:sz w:val="24"/>
          <w:highlight w:val="none"/>
        </w:rPr>
        <w:t>按甲方要求及时如实向甲方报告物业管理服务实施情况；</w:t>
      </w:r>
    </w:p>
    <w:p>
      <w:pPr>
        <w:numPr>
          <w:ilvl w:val="0"/>
          <w:numId w:val="0"/>
        </w:numPr>
        <w:spacing w:line="360" w:lineRule="auto"/>
        <w:ind w:leftChars="200"/>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3</w:t>
      </w:r>
      <w:r>
        <w:rPr>
          <w:rFonts w:hint="eastAsia" w:ascii="宋体"/>
          <w:color w:val="auto"/>
          <w:kern w:val="0"/>
          <w:sz w:val="24"/>
          <w:highlight w:val="none"/>
          <w:lang w:eastAsia="zh-CN"/>
        </w:rPr>
        <w:t>）</w:t>
      </w:r>
      <w:r>
        <w:rPr>
          <w:rFonts w:hint="eastAsia" w:ascii="宋体"/>
          <w:color w:val="auto"/>
          <w:kern w:val="0"/>
          <w:sz w:val="24"/>
          <w:highlight w:val="none"/>
        </w:rPr>
        <w:t>征得甲方同意可选聘专营公司承担本物业的专项管理业务，但不得将本物业的管理责任转让给第三方；</w:t>
      </w:r>
    </w:p>
    <w:p>
      <w:pPr>
        <w:numPr>
          <w:ilvl w:val="0"/>
          <w:numId w:val="0"/>
        </w:numPr>
        <w:spacing w:line="360" w:lineRule="auto"/>
        <w:ind w:leftChars="200"/>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4</w:t>
      </w:r>
      <w:r>
        <w:rPr>
          <w:rFonts w:hint="eastAsia" w:ascii="宋体"/>
          <w:color w:val="auto"/>
          <w:kern w:val="0"/>
          <w:sz w:val="24"/>
          <w:highlight w:val="none"/>
          <w:lang w:eastAsia="zh-CN"/>
        </w:rPr>
        <w:t>）</w:t>
      </w:r>
      <w:r>
        <w:rPr>
          <w:rFonts w:hint="eastAsia" w:ascii="宋体"/>
          <w:color w:val="auto"/>
          <w:kern w:val="0"/>
          <w:sz w:val="24"/>
          <w:highlight w:val="none"/>
        </w:rPr>
        <w:t>向甲方工作人员和其他使用人告知物业使用的有关规定，并负责监督；</w:t>
      </w:r>
    </w:p>
    <w:p>
      <w:pPr>
        <w:numPr>
          <w:ilvl w:val="0"/>
          <w:numId w:val="0"/>
        </w:numPr>
        <w:spacing w:line="360" w:lineRule="auto"/>
        <w:ind w:leftChars="200"/>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5</w:t>
      </w:r>
      <w:r>
        <w:rPr>
          <w:rFonts w:hint="eastAsia" w:ascii="宋体"/>
          <w:color w:val="auto"/>
          <w:kern w:val="0"/>
          <w:sz w:val="24"/>
          <w:highlight w:val="none"/>
          <w:lang w:eastAsia="zh-CN"/>
        </w:rPr>
        <w:t>）</w:t>
      </w:r>
      <w:r>
        <w:rPr>
          <w:rFonts w:hint="eastAsia" w:ascii="宋体"/>
          <w:color w:val="auto"/>
          <w:kern w:val="0"/>
          <w:sz w:val="24"/>
          <w:highlight w:val="none"/>
        </w:rPr>
        <w:t>建立、妥善保管和正确使用本物业相关的管理档案，并负责及时记载有关变更情况；</w:t>
      </w:r>
    </w:p>
    <w:p>
      <w:pPr>
        <w:numPr>
          <w:ilvl w:val="0"/>
          <w:numId w:val="0"/>
        </w:numPr>
        <w:spacing w:line="360" w:lineRule="auto"/>
        <w:ind w:leftChars="200"/>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6</w:t>
      </w:r>
      <w:r>
        <w:rPr>
          <w:rFonts w:hint="eastAsia" w:ascii="宋体"/>
          <w:color w:val="auto"/>
          <w:kern w:val="0"/>
          <w:sz w:val="24"/>
          <w:highlight w:val="none"/>
          <w:lang w:eastAsia="zh-CN"/>
        </w:rPr>
        <w:t>）</w:t>
      </w:r>
      <w:r>
        <w:rPr>
          <w:rFonts w:hint="eastAsia" w:ascii="宋体"/>
          <w:color w:val="auto"/>
          <w:kern w:val="0"/>
          <w:sz w:val="24"/>
          <w:highlight w:val="none"/>
        </w:rPr>
        <w:t>对本物业的公用设施不得擅自占用和改变使用功能；</w:t>
      </w:r>
    </w:p>
    <w:p>
      <w:pPr>
        <w:numPr>
          <w:ilvl w:val="0"/>
          <w:numId w:val="0"/>
        </w:numPr>
        <w:spacing w:line="360" w:lineRule="auto"/>
        <w:ind w:leftChars="200"/>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7</w:t>
      </w:r>
      <w:r>
        <w:rPr>
          <w:rFonts w:hint="eastAsia" w:ascii="宋体"/>
          <w:color w:val="auto"/>
          <w:kern w:val="0"/>
          <w:sz w:val="24"/>
          <w:highlight w:val="none"/>
          <w:lang w:eastAsia="zh-CN"/>
        </w:rPr>
        <w:t>）</w:t>
      </w:r>
      <w:r>
        <w:rPr>
          <w:rFonts w:hint="eastAsia" w:ascii="宋体"/>
          <w:color w:val="auto"/>
          <w:kern w:val="0"/>
          <w:sz w:val="24"/>
          <w:highlight w:val="none"/>
        </w:rPr>
        <w:t>因乙方在管理中的过错或违反本合同的约定进行管理造成甲方或第三人损失的，乙方应依法承担赔偿责任；</w:t>
      </w:r>
    </w:p>
    <w:p>
      <w:pPr>
        <w:numPr>
          <w:ilvl w:val="0"/>
          <w:numId w:val="0"/>
        </w:numPr>
        <w:spacing w:line="360" w:lineRule="auto"/>
        <w:ind w:leftChars="200"/>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8</w:t>
      </w:r>
      <w:r>
        <w:rPr>
          <w:rFonts w:hint="eastAsia" w:ascii="宋体"/>
          <w:color w:val="auto"/>
          <w:kern w:val="0"/>
          <w:sz w:val="24"/>
          <w:highlight w:val="none"/>
          <w:lang w:eastAsia="zh-CN"/>
        </w:rPr>
        <w:t>）</w:t>
      </w:r>
      <w:r>
        <w:rPr>
          <w:rFonts w:hint="eastAsia" w:ascii="宋体"/>
          <w:color w:val="auto"/>
          <w:kern w:val="0"/>
          <w:sz w:val="24"/>
          <w:highlight w:val="none"/>
        </w:rPr>
        <w:t>乙方自行承担办公桌、电脑、打印机、文件柜等自身使用的办公用品， 自行承担所有人员服装费用，但服装样式需经过甲方认可，办公、生活用水、电、通讯费用由乙方自行承担。</w:t>
      </w:r>
    </w:p>
    <w:p>
      <w:pPr>
        <w:numPr>
          <w:ilvl w:val="0"/>
          <w:numId w:val="0"/>
        </w:numPr>
        <w:spacing w:line="360" w:lineRule="auto"/>
        <w:ind w:leftChars="200"/>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9</w:t>
      </w:r>
      <w:r>
        <w:rPr>
          <w:rFonts w:hint="eastAsia" w:ascii="宋体"/>
          <w:color w:val="auto"/>
          <w:kern w:val="0"/>
          <w:sz w:val="24"/>
          <w:highlight w:val="none"/>
          <w:lang w:eastAsia="zh-CN"/>
        </w:rPr>
        <w:t>）</w:t>
      </w:r>
      <w:r>
        <w:rPr>
          <w:rFonts w:hint="eastAsia" w:ascii="宋体"/>
          <w:color w:val="auto"/>
          <w:kern w:val="0"/>
          <w:sz w:val="24"/>
          <w:highlight w:val="none"/>
        </w:rPr>
        <w:t>本合同终止时，乙方必须向甲方移交全部管理用房及物业管理的全部档案资料，确保移交的资料和设备、设施完好无缺。</w:t>
      </w:r>
    </w:p>
    <w:p>
      <w:pPr>
        <w:spacing w:line="360" w:lineRule="auto"/>
        <w:ind w:left="420" w:leftChars="200"/>
        <w:rPr>
          <w:rFonts w:ascii="宋体" w:hAnsi="宋体"/>
          <w:b/>
          <w:color w:val="auto"/>
          <w:sz w:val="24"/>
          <w:highlight w:val="none"/>
        </w:rPr>
      </w:pPr>
      <w:r>
        <w:rPr>
          <w:rFonts w:hint="eastAsia" w:ascii="宋体" w:hAnsi="宋体"/>
          <w:b/>
          <w:color w:val="auto"/>
          <w:sz w:val="24"/>
          <w:highlight w:val="none"/>
        </w:rPr>
        <w:t>十三、乙方的人员配置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1、乙方的人员配置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（1）乙方的项目总负责人</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（2）乙方必须采取措施，确保乙方人员稳定，特别是骨干人员。骨干人员变动须经甲方同意，其他人员变动须甲方备案。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（3）乙方项目总负责人及各主管须及时与甲方沟通，第一时间报告重大、紧急事件；每月须向甲方汇报上月工作情况，并提供相关报告。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2、物业人员要求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（1）所有相关人员的配备须获得相关主管部门认证的，须招标文件规定配证并持证上岗，且根据不同岗位统一着装。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（2）所有相关人员要求政治上可靠，身体素质好，无不良行为记录，根据不同岗位分别着装。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（3）重要岗位人员必须由甲方人事部门考核、政治审查通过方可录用。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（4）为提高物业服务水平，所有物业人员还需进行相关的培训。除乙方对服务人员的培训外，需接受甲方对服务人员的集中进行培训，培训费用由乙方承担。</w:t>
      </w:r>
    </w:p>
    <w:p>
      <w:pPr>
        <w:spacing w:line="360" w:lineRule="auto"/>
        <w:ind w:left="420" w:leftChars="200"/>
        <w:rPr>
          <w:rFonts w:ascii="宋体" w:hAnsi="宋体"/>
          <w:b/>
          <w:color w:val="auto"/>
          <w:sz w:val="24"/>
          <w:highlight w:val="none"/>
        </w:rPr>
      </w:pPr>
      <w:r>
        <w:rPr>
          <w:rFonts w:hint="eastAsia" w:ascii="宋体" w:hAnsi="宋体"/>
          <w:b/>
          <w:color w:val="auto"/>
          <w:sz w:val="24"/>
          <w:highlight w:val="none"/>
        </w:rPr>
        <w:t>十四、履约</w:t>
      </w:r>
      <w:r>
        <w:rPr>
          <w:rFonts w:hint="eastAsia" w:ascii="宋体" w:hAnsi="宋体"/>
          <w:b/>
          <w:color w:val="auto"/>
          <w:sz w:val="24"/>
          <w:highlight w:val="none"/>
          <w:lang w:val="zh-CN"/>
        </w:rPr>
        <w:t>验收</w:t>
      </w:r>
    </w:p>
    <w:p>
      <w:pPr>
        <w:numPr>
          <w:ilvl w:val="0"/>
          <w:numId w:val="20"/>
        </w:numPr>
        <w:spacing w:line="348" w:lineRule="auto"/>
        <w:ind w:firstLine="480" w:firstLineChars="200"/>
        <w:jc w:val="left"/>
        <w:rPr>
          <w:rFonts w:ascii="宋体" w:hAnsi="宋体"/>
          <w:color w:val="auto"/>
          <w:sz w:val="24"/>
          <w:highlight w:val="none"/>
        </w:rPr>
      </w:pPr>
      <w:r>
        <w:rPr>
          <w:rFonts w:hint="eastAsia" w:ascii="宋体" w:hAnsi="宋体"/>
          <w:color w:val="auto"/>
          <w:sz w:val="24"/>
          <w:highlight w:val="none"/>
        </w:rPr>
        <w:t>甲方对乙方安排的各岗位人员依据磋商文件上的要求进行现场验收。</w:t>
      </w:r>
    </w:p>
    <w:p>
      <w:pPr>
        <w:numPr>
          <w:ilvl w:val="0"/>
          <w:numId w:val="20"/>
        </w:numPr>
        <w:wordWrap w:val="0"/>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签订合同后，15天内必须向甲方递交所有人员清单，包括名字、性别、年龄、身份证号、照片、相关人员证书、岗位等，岗位需满足采购要求，否则均视为未递交人员清单，在履约保证金中按500元/天扣除，履约保证金全部扣没后，甲方有权单方面终止合同。</w:t>
      </w:r>
    </w:p>
    <w:p>
      <w:pPr>
        <w:numPr>
          <w:ilvl w:val="0"/>
          <w:numId w:val="20"/>
        </w:numPr>
        <w:wordWrap w:val="0"/>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服务期间如有人员更换或调动的，需提前7天递交申请，并及时补足符合本项目要求的岗位人员。</w:t>
      </w:r>
    </w:p>
    <w:p>
      <w:pPr>
        <w:numPr>
          <w:ilvl w:val="0"/>
          <w:numId w:val="20"/>
        </w:numPr>
        <w:wordWrap w:val="0"/>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不定期抽查乙方投入的人员数量，如果抽查时发现乙方安排在岗的人员数量少于投标承诺的数量，甲方可以按中标单价累计在应付款中扣除。如遇因事假、病假等特殊情况的，乙方需及时向甲方报备，否则视为缺岗。</w:t>
      </w:r>
    </w:p>
    <w:p>
      <w:pPr>
        <w:numPr>
          <w:ilvl w:val="0"/>
          <w:numId w:val="20"/>
        </w:numPr>
        <w:wordWrap w:val="0"/>
        <w:topLinePunct/>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由于政策或不可抗力等因素引起承包中断，甲方终止承包合同应提前15天通知乙方。</w:t>
      </w:r>
    </w:p>
    <w:p>
      <w:pPr>
        <w:spacing w:line="360" w:lineRule="auto"/>
        <w:ind w:left="420" w:leftChars="200"/>
        <w:rPr>
          <w:rFonts w:ascii="宋体" w:hAnsi="宋体"/>
          <w:b/>
          <w:color w:val="auto"/>
          <w:sz w:val="24"/>
          <w:highlight w:val="none"/>
        </w:rPr>
      </w:pPr>
      <w:r>
        <w:rPr>
          <w:rFonts w:hint="eastAsia" w:ascii="宋体" w:hAnsi="宋体"/>
          <w:b/>
          <w:color w:val="auto"/>
          <w:sz w:val="24"/>
          <w:highlight w:val="none"/>
        </w:rPr>
        <w:t>十五、合同生效和终止</w:t>
      </w:r>
    </w:p>
    <w:p>
      <w:pPr>
        <w:numPr>
          <w:ilvl w:val="0"/>
          <w:numId w:val="2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本合同经甲乙双方法定代表人或其委托人签字盖章，由乙方向甲方缴纳合同总价</w:t>
      </w:r>
      <w:r>
        <w:rPr>
          <w:rFonts w:hint="eastAsia" w:ascii="宋体" w:hAnsi="宋体"/>
          <w:color w:val="auto"/>
          <w:sz w:val="24"/>
          <w:highlight w:val="none"/>
          <w:lang w:val="en-US" w:eastAsia="zh-CN"/>
        </w:rPr>
        <w:t>1</w:t>
      </w:r>
      <w:r>
        <w:rPr>
          <w:rFonts w:hint="eastAsia" w:ascii="宋体" w:hAnsi="宋体"/>
          <w:color w:val="auto"/>
          <w:sz w:val="24"/>
          <w:highlight w:val="none"/>
        </w:rPr>
        <w:t>%金额的履约保证金后生效。</w:t>
      </w:r>
    </w:p>
    <w:p>
      <w:pPr>
        <w:numPr>
          <w:ilvl w:val="0"/>
          <w:numId w:val="2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终止</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2.1  提前终止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 因乙方在服务期内连续两次物业服务综合考评不合格，甲方可以单方面终止承包。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 如果乙方在服务期内无理由终止合同，乙方须提前三个月向甲方发出书面通知终止承包，乙方须支付甲方月度承包服务款二倍金额的赔偿金；如果乙方在服务期内突然无理由终止合同，未提前三个月向甲方发出书面通知终止承包，乙方须支付给甲方月度承包服务款三倍金额的赔偿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 如果乙方在服务期内由于乙方原因造成重大责任事故或安全事故，甲方可以单方面终止承包，且乙方须赔偿给甲方造成的经济损失，并须支付给甲方月度承包服务款五倍金额的赔偿金。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2.1.4 乙方未能履行合同和遵守有关规定，在甲方发出书面警告后一周内乙方仍无采取补救措施，甲方可立即终止承包。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2.1.5 乙方破产清理、重组及兼并等事实发生，或被债权人接管经营，甲方不必通知乙方即可终止承包。</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2.2  协议终止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经双方协商同意，可在任何时候终止协议。</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2.3  自然终止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合同规定的承包服务期满，承包自然终止。</w:t>
      </w:r>
    </w:p>
    <w:p>
      <w:pPr>
        <w:numPr>
          <w:ilvl w:val="0"/>
          <w:numId w:val="21"/>
        </w:num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不可抗力终止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服务期内如遇政府原因等不可抗力因素，可终止合同，费用按实结算。</w:t>
      </w:r>
    </w:p>
    <w:p>
      <w:pPr>
        <w:numPr>
          <w:ilvl w:val="0"/>
          <w:numId w:val="21"/>
        </w:num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承包终止后果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  终止承包，不影响根据合同规定进行的赔偿、补偿，也不影响履约保证金的效力。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4.2  上述2.1条款的终止，乙方的履约保证金作为违约金支付给甲方。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4.3  承包终止时，双方应进行结算，甲方同时进行乙方承包区域设施、设备状况检查并要求乙方三天内将乙方物品撤离承包区域。</w:t>
      </w:r>
    </w:p>
    <w:p>
      <w:pPr>
        <w:numPr>
          <w:ilvl w:val="0"/>
          <w:numId w:val="21"/>
        </w:num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不放弃权利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甲方接受乙方的服务，但不放弃对乙方违约行为进行追究的权利；同时，若甲方对乙方某一违约行为放弃进行追究的权利，但不放弃对乙方其他违约行为进行追究的权利。</w:t>
      </w:r>
    </w:p>
    <w:p>
      <w:pPr>
        <w:spacing w:line="360" w:lineRule="auto"/>
        <w:ind w:left="420" w:leftChars="200"/>
        <w:rPr>
          <w:rFonts w:ascii="宋体" w:hAnsi="宋体"/>
          <w:b/>
          <w:color w:val="auto"/>
          <w:sz w:val="24"/>
          <w:highlight w:val="none"/>
        </w:rPr>
      </w:pPr>
      <w:r>
        <w:rPr>
          <w:rFonts w:hint="eastAsia" w:ascii="宋体" w:hAnsi="宋体"/>
          <w:b/>
          <w:color w:val="auto"/>
          <w:sz w:val="24"/>
          <w:highlight w:val="none"/>
        </w:rPr>
        <w:t>十六、争议解决</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1．因本合同及合同有关事项发生的争议，由甲乙双方友好协商解决。协商不成时，可以向有关组织申请调解。合同一方或双方不愿调解或调解不成的，可以通过第</w:t>
      </w:r>
      <w:r>
        <w:rPr>
          <w:rFonts w:hint="eastAsia" w:ascii="宋体" w:hAnsi="宋体"/>
          <w:color w:val="auto"/>
          <w:sz w:val="24"/>
          <w:highlight w:val="none"/>
          <w:u w:val="single"/>
        </w:rPr>
        <w:t xml:space="preserve"> ② </w:t>
      </w:r>
      <w:r>
        <w:rPr>
          <w:rFonts w:hint="eastAsia" w:ascii="宋体" w:hAnsi="宋体"/>
          <w:color w:val="auto"/>
          <w:sz w:val="24"/>
          <w:highlight w:val="none"/>
        </w:rPr>
        <w:t>种方式解决争议。</w:t>
      </w:r>
    </w:p>
    <w:p>
      <w:pPr>
        <w:numPr>
          <w:ilvl w:val="0"/>
          <w:numId w:val="22"/>
        </w:numPr>
        <w:spacing w:line="360" w:lineRule="auto"/>
        <w:rPr>
          <w:rFonts w:ascii="宋体" w:hAnsi="宋体"/>
          <w:color w:val="auto"/>
          <w:sz w:val="24"/>
          <w:highlight w:val="none"/>
        </w:rPr>
      </w:pPr>
      <w:r>
        <w:rPr>
          <w:rFonts w:hint="eastAsia" w:ascii="宋体" w:hAnsi="宋体"/>
          <w:color w:val="auto"/>
          <w:sz w:val="24"/>
          <w:highlight w:val="none"/>
        </w:rPr>
        <w:t>选择仲裁的，向上虞区的仲裁机构申请仲裁；</w:t>
      </w:r>
    </w:p>
    <w:p>
      <w:pPr>
        <w:numPr>
          <w:ilvl w:val="0"/>
          <w:numId w:val="22"/>
        </w:numPr>
        <w:spacing w:line="360" w:lineRule="auto"/>
        <w:rPr>
          <w:rFonts w:ascii="宋体" w:hAnsi="宋体"/>
          <w:color w:val="auto"/>
          <w:sz w:val="24"/>
          <w:highlight w:val="none"/>
        </w:rPr>
      </w:pPr>
      <w:r>
        <w:rPr>
          <w:rFonts w:hint="eastAsia" w:ascii="宋体" w:hAnsi="宋体"/>
          <w:color w:val="auto"/>
          <w:sz w:val="24"/>
          <w:highlight w:val="none"/>
        </w:rPr>
        <w:t>通过诉讼方式解决的，向上虞区人民法院起诉。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2.如甲乙双方有争议的事项不影响合同其他部分的履行，在争议解决期间，合同其他部分应当继续履行。</w:t>
      </w:r>
    </w:p>
    <w:p>
      <w:pPr>
        <w:spacing w:line="360" w:lineRule="auto"/>
        <w:ind w:left="420" w:leftChars="200"/>
        <w:rPr>
          <w:rFonts w:ascii="宋体" w:hAnsi="宋体"/>
          <w:b/>
          <w:color w:val="auto"/>
          <w:sz w:val="24"/>
          <w:highlight w:val="none"/>
        </w:rPr>
      </w:pPr>
      <w:r>
        <w:rPr>
          <w:rFonts w:hint="eastAsia" w:ascii="宋体" w:hAnsi="宋体"/>
          <w:b/>
          <w:color w:val="auto"/>
          <w:sz w:val="24"/>
          <w:highlight w:val="none"/>
        </w:rPr>
        <w:t>十七、合同签订</w:t>
      </w:r>
    </w:p>
    <w:p>
      <w:pPr>
        <w:numPr>
          <w:ilvl w:val="0"/>
          <w:numId w:val="23"/>
        </w:numPr>
        <w:tabs>
          <w:tab w:val="clear" w:pos="312"/>
        </w:tabs>
        <w:spacing w:line="348" w:lineRule="auto"/>
        <w:ind w:firstLine="480" w:firstLineChars="200"/>
        <w:jc w:val="left"/>
        <w:rPr>
          <w:rFonts w:ascii="宋体" w:hAnsi="宋体"/>
          <w:color w:val="auto"/>
          <w:sz w:val="24"/>
          <w:highlight w:val="none"/>
        </w:rPr>
      </w:pPr>
      <w:r>
        <w:rPr>
          <w:rFonts w:hint="eastAsia" w:ascii="宋体" w:hAnsi="宋体"/>
          <w:color w:val="auto"/>
          <w:sz w:val="24"/>
          <w:highlight w:val="none"/>
        </w:rPr>
        <w:t>合同经甲、乙两方签字并加盖单位公章后生效。</w:t>
      </w:r>
    </w:p>
    <w:p>
      <w:pPr>
        <w:numPr>
          <w:ilvl w:val="0"/>
          <w:numId w:val="23"/>
        </w:numPr>
        <w:tabs>
          <w:tab w:val="clear" w:pos="312"/>
        </w:tabs>
        <w:spacing w:line="348" w:lineRule="auto"/>
        <w:ind w:firstLine="480" w:firstLineChars="200"/>
        <w:jc w:val="left"/>
        <w:rPr>
          <w:rFonts w:ascii="宋体" w:hAnsi="宋体"/>
          <w:color w:val="auto"/>
          <w:sz w:val="24"/>
          <w:highlight w:val="none"/>
        </w:rPr>
      </w:pPr>
      <w:r>
        <w:rPr>
          <w:rFonts w:hint="eastAsia" w:ascii="宋体" w:hAnsi="宋体"/>
          <w:color w:val="auto"/>
          <w:sz w:val="24"/>
          <w:highlight w:val="none"/>
        </w:rPr>
        <w:t>招标文件、投标文件与本合同具有同等法律效力。</w:t>
      </w:r>
    </w:p>
    <w:p>
      <w:pPr>
        <w:numPr>
          <w:ilvl w:val="0"/>
          <w:numId w:val="23"/>
        </w:numPr>
        <w:tabs>
          <w:tab w:val="clear" w:pos="312"/>
        </w:tabs>
        <w:spacing w:line="348" w:lineRule="auto"/>
        <w:ind w:firstLine="480" w:firstLineChars="200"/>
        <w:jc w:val="left"/>
        <w:rPr>
          <w:rFonts w:ascii="宋体" w:hAnsi="宋体"/>
          <w:color w:val="auto"/>
          <w:sz w:val="24"/>
          <w:highlight w:val="none"/>
        </w:rPr>
      </w:pPr>
      <w:r>
        <w:rPr>
          <w:rFonts w:hint="eastAsia" w:ascii="宋体" w:hAnsi="宋体"/>
          <w:color w:val="auto"/>
          <w:sz w:val="24"/>
          <w:highlight w:val="none"/>
        </w:rPr>
        <w:t>本合同未尽事宜，遵照《中华人民共和国民法典》有关条文执行。</w:t>
      </w:r>
    </w:p>
    <w:p>
      <w:pPr>
        <w:numPr>
          <w:ilvl w:val="0"/>
          <w:numId w:val="23"/>
        </w:numPr>
        <w:tabs>
          <w:tab w:val="clear" w:pos="312"/>
        </w:tabs>
        <w:spacing w:line="348" w:lineRule="auto"/>
        <w:ind w:firstLine="482" w:firstLineChars="200"/>
        <w:jc w:val="left"/>
        <w:rPr>
          <w:rFonts w:ascii="宋体" w:hAnsi="宋体"/>
          <w:b/>
          <w:bCs/>
          <w:color w:val="auto"/>
          <w:kern w:val="0"/>
          <w:sz w:val="24"/>
          <w:highlight w:val="none"/>
        </w:rPr>
      </w:pPr>
      <w:r>
        <w:rPr>
          <w:rFonts w:hint="eastAsia" w:ascii="宋体" w:hAnsi="宋体"/>
          <w:b/>
          <w:bCs/>
          <w:color w:val="auto"/>
          <w:kern w:val="0"/>
          <w:sz w:val="24"/>
          <w:highlight w:val="none"/>
        </w:rPr>
        <w:t>本项目所供货物如涉及柴油动力移动源，柴油动力移动源应当符合低排放要求。</w:t>
      </w:r>
    </w:p>
    <w:p>
      <w:pPr>
        <w:numPr>
          <w:ilvl w:val="0"/>
          <w:numId w:val="23"/>
        </w:numPr>
        <w:tabs>
          <w:tab w:val="clear" w:pos="312"/>
        </w:tabs>
        <w:spacing w:line="348" w:lineRule="auto"/>
        <w:ind w:firstLine="482" w:firstLineChars="200"/>
        <w:jc w:val="left"/>
        <w:rPr>
          <w:rFonts w:ascii="宋体" w:hAnsi="宋体"/>
          <w:b/>
          <w:bCs/>
          <w:color w:val="auto"/>
          <w:kern w:val="0"/>
          <w:sz w:val="24"/>
          <w:highlight w:val="none"/>
        </w:rPr>
      </w:pPr>
      <w:r>
        <w:rPr>
          <w:rFonts w:hint="eastAsia" w:ascii="宋体" w:hAnsi="宋体"/>
          <w:b/>
          <w:bCs/>
          <w:color w:val="auto"/>
          <w:kern w:val="0"/>
          <w:sz w:val="24"/>
          <w:highlight w:val="none"/>
        </w:rPr>
        <w:t>本合同一式</w:t>
      </w:r>
      <w:r>
        <w:rPr>
          <w:rFonts w:hint="eastAsia" w:ascii="宋体" w:hAnsi="宋体"/>
          <w:b/>
          <w:bCs/>
          <w:color w:val="auto"/>
          <w:kern w:val="0"/>
          <w:sz w:val="24"/>
          <w:highlight w:val="none"/>
          <w:u w:val="single"/>
        </w:rPr>
        <w:t xml:space="preserve"> </w:t>
      </w:r>
      <w:r>
        <w:rPr>
          <w:rFonts w:hint="eastAsia" w:ascii="宋体" w:hAnsi="宋体"/>
          <w:b/>
          <w:bCs/>
          <w:color w:val="auto"/>
          <w:kern w:val="0"/>
          <w:sz w:val="24"/>
          <w:highlight w:val="none"/>
          <w:u w:val="single"/>
          <w:lang w:val="en-US" w:eastAsia="zh-CN"/>
        </w:rPr>
        <w:t>肆</w:t>
      </w:r>
      <w:r>
        <w:rPr>
          <w:rFonts w:hint="eastAsia" w:ascii="宋体" w:hAnsi="宋体"/>
          <w:b/>
          <w:bCs/>
          <w:color w:val="auto"/>
          <w:kern w:val="0"/>
          <w:sz w:val="24"/>
          <w:highlight w:val="none"/>
        </w:rPr>
        <w:t>份，甲方和乙方各执</w:t>
      </w:r>
      <w:r>
        <w:rPr>
          <w:rFonts w:hint="eastAsia" w:ascii="宋体" w:hAnsi="宋体"/>
          <w:b/>
          <w:bCs/>
          <w:color w:val="auto"/>
          <w:kern w:val="0"/>
          <w:sz w:val="24"/>
          <w:highlight w:val="none"/>
          <w:u w:val="single"/>
        </w:rPr>
        <w:t xml:space="preserve"> </w:t>
      </w:r>
      <w:r>
        <w:rPr>
          <w:rFonts w:hint="eastAsia" w:ascii="宋体" w:hAnsi="宋体"/>
          <w:b/>
          <w:bCs/>
          <w:color w:val="auto"/>
          <w:kern w:val="0"/>
          <w:sz w:val="24"/>
          <w:highlight w:val="none"/>
          <w:u w:val="single"/>
          <w:lang w:val="en-US" w:eastAsia="zh-CN"/>
        </w:rPr>
        <w:t>贰</w:t>
      </w:r>
      <w:r>
        <w:rPr>
          <w:rFonts w:hint="eastAsia" w:ascii="宋体" w:hAnsi="宋体"/>
          <w:b/>
          <w:bCs/>
          <w:color w:val="auto"/>
          <w:kern w:val="0"/>
          <w:sz w:val="24"/>
          <w:highlight w:val="none"/>
          <w:u w:val="single"/>
        </w:rPr>
        <w:t xml:space="preserve"> </w:t>
      </w:r>
      <w:r>
        <w:rPr>
          <w:rFonts w:hint="eastAsia" w:ascii="宋体" w:hAnsi="宋体"/>
          <w:b/>
          <w:bCs/>
          <w:color w:val="auto"/>
          <w:kern w:val="0"/>
          <w:sz w:val="24"/>
          <w:highlight w:val="none"/>
        </w:rPr>
        <w:t>份，并由甲方在30日内做好政采云平台网上合同创建及备案。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908"/>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691"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甲方</w:t>
            </w:r>
          </w:p>
        </w:tc>
        <w:tc>
          <w:tcPr>
            <w:tcW w:w="2908"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（盖章）</w:t>
            </w:r>
          </w:p>
        </w:tc>
        <w:tc>
          <w:tcPr>
            <w:tcW w:w="1620"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乙方</w:t>
            </w:r>
          </w:p>
        </w:tc>
        <w:tc>
          <w:tcPr>
            <w:tcW w:w="2700"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691"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代表签名</w:t>
            </w:r>
          </w:p>
        </w:tc>
        <w:tc>
          <w:tcPr>
            <w:tcW w:w="2908" w:type="dxa"/>
            <w:vAlign w:val="center"/>
          </w:tcPr>
          <w:p>
            <w:pPr>
              <w:spacing w:line="360" w:lineRule="auto"/>
              <w:jc w:val="center"/>
              <w:rPr>
                <w:rFonts w:ascii="宋体" w:hAnsi="宋体"/>
                <w:color w:val="auto"/>
                <w:kern w:val="0"/>
                <w:sz w:val="24"/>
                <w:highlight w:val="none"/>
              </w:rPr>
            </w:pPr>
          </w:p>
        </w:tc>
        <w:tc>
          <w:tcPr>
            <w:tcW w:w="1620"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代表签名</w:t>
            </w:r>
          </w:p>
        </w:tc>
        <w:tc>
          <w:tcPr>
            <w:tcW w:w="2700" w:type="dxa"/>
            <w:vAlign w:val="center"/>
          </w:tcPr>
          <w:p>
            <w:pPr>
              <w:spacing w:line="360" w:lineRule="auto"/>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691"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地址</w:t>
            </w:r>
          </w:p>
        </w:tc>
        <w:tc>
          <w:tcPr>
            <w:tcW w:w="2908" w:type="dxa"/>
            <w:vAlign w:val="center"/>
          </w:tcPr>
          <w:p>
            <w:pPr>
              <w:spacing w:line="360" w:lineRule="auto"/>
              <w:jc w:val="center"/>
              <w:rPr>
                <w:rFonts w:ascii="宋体" w:hAnsi="宋体"/>
                <w:color w:val="auto"/>
                <w:kern w:val="0"/>
                <w:sz w:val="24"/>
                <w:highlight w:val="none"/>
              </w:rPr>
            </w:pPr>
          </w:p>
        </w:tc>
        <w:tc>
          <w:tcPr>
            <w:tcW w:w="1620"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地址</w:t>
            </w:r>
          </w:p>
        </w:tc>
        <w:tc>
          <w:tcPr>
            <w:tcW w:w="2700" w:type="dxa"/>
            <w:vAlign w:val="center"/>
          </w:tcPr>
          <w:p>
            <w:pPr>
              <w:spacing w:line="360" w:lineRule="auto"/>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691"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电话</w:t>
            </w:r>
          </w:p>
        </w:tc>
        <w:tc>
          <w:tcPr>
            <w:tcW w:w="2908" w:type="dxa"/>
            <w:vAlign w:val="center"/>
          </w:tcPr>
          <w:p>
            <w:pPr>
              <w:spacing w:line="360" w:lineRule="auto"/>
              <w:jc w:val="center"/>
              <w:rPr>
                <w:rFonts w:ascii="宋体" w:hAnsi="宋体"/>
                <w:color w:val="auto"/>
                <w:kern w:val="0"/>
                <w:sz w:val="24"/>
                <w:highlight w:val="none"/>
              </w:rPr>
            </w:pPr>
          </w:p>
        </w:tc>
        <w:tc>
          <w:tcPr>
            <w:tcW w:w="1620"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电话</w:t>
            </w:r>
          </w:p>
        </w:tc>
        <w:tc>
          <w:tcPr>
            <w:tcW w:w="2700" w:type="dxa"/>
            <w:vAlign w:val="center"/>
          </w:tcPr>
          <w:p>
            <w:pPr>
              <w:spacing w:line="360" w:lineRule="auto"/>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691"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开户银行</w:t>
            </w:r>
          </w:p>
        </w:tc>
        <w:tc>
          <w:tcPr>
            <w:tcW w:w="2908" w:type="dxa"/>
            <w:vAlign w:val="center"/>
          </w:tcPr>
          <w:p>
            <w:pPr>
              <w:spacing w:line="360" w:lineRule="auto"/>
              <w:jc w:val="center"/>
              <w:rPr>
                <w:rFonts w:ascii="宋体" w:hAnsi="宋体"/>
                <w:color w:val="auto"/>
                <w:kern w:val="0"/>
                <w:sz w:val="24"/>
                <w:highlight w:val="none"/>
              </w:rPr>
            </w:pPr>
          </w:p>
        </w:tc>
        <w:tc>
          <w:tcPr>
            <w:tcW w:w="1620"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开户银行</w:t>
            </w:r>
          </w:p>
        </w:tc>
        <w:tc>
          <w:tcPr>
            <w:tcW w:w="2700" w:type="dxa"/>
            <w:vAlign w:val="center"/>
          </w:tcPr>
          <w:p>
            <w:pPr>
              <w:spacing w:line="360" w:lineRule="auto"/>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691"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账号</w:t>
            </w:r>
          </w:p>
        </w:tc>
        <w:tc>
          <w:tcPr>
            <w:tcW w:w="2908" w:type="dxa"/>
            <w:vAlign w:val="center"/>
          </w:tcPr>
          <w:p>
            <w:pPr>
              <w:spacing w:line="360" w:lineRule="auto"/>
              <w:jc w:val="center"/>
              <w:rPr>
                <w:rFonts w:ascii="宋体" w:hAnsi="宋体"/>
                <w:color w:val="auto"/>
                <w:kern w:val="0"/>
                <w:sz w:val="24"/>
                <w:highlight w:val="none"/>
              </w:rPr>
            </w:pPr>
          </w:p>
        </w:tc>
        <w:tc>
          <w:tcPr>
            <w:tcW w:w="1620"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账号</w:t>
            </w:r>
          </w:p>
        </w:tc>
        <w:tc>
          <w:tcPr>
            <w:tcW w:w="2700" w:type="dxa"/>
            <w:vAlign w:val="center"/>
          </w:tcPr>
          <w:p>
            <w:pPr>
              <w:spacing w:line="360" w:lineRule="auto"/>
              <w:jc w:val="center"/>
              <w:rPr>
                <w:rFonts w:ascii="宋体" w:hAnsi="宋体"/>
                <w:color w:val="auto"/>
                <w:kern w:val="0"/>
                <w:sz w:val="24"/>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3"/>
        <w:ind w:firstLine="1446" w:firstLineChars="400"/>
        <w:rPr>
          <w:rFonts w:ascii="宋体" w:hAnsi="宋体"/>
          <w:color w:val="auto"/>
          <w:sz w:val="36"/>
          <w:szCs w:val="21"/>
          <w:highlight w:val="none"/>
        </w:rPr>
      </w:pPr>
      <w:bookmarkStart w:id="73" w:name="_Toc5819"/>
      <w:r>
        <w:rPr>
          <w:rFonts w:hint="eastAsia" w:ascii="宋体" w:hAnsi="宋体"/>
          <w:color w:val="auto"/>
          <w:sz w:val="36"/>
          <w:szCs w:val="21"/>
          <w:highlight w:val="none"/>
        </w:rPr>
        <w:t>第六部分 应提交的有关格式范例</w:t>
      </w:r>
      <w:bookmarkEnd w:id="73"/>
    </w:p>
    <w:p>
      <w:pPr>
        <w:spacing w:line="360" w:lineRule="auto"/>
        <w:ind w:firstLine="480" w:firstLineChars="200"/>
        <w:outlineLvl w:val="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供应商按照以下格式编制响应文件，</w:t>
      </w:r>
      <w:r>
        <w:rPr>
          <w:rFonts w:hint="eastAsia" w:ascii="宋体" w:hAnsi="宋体"/>
          <w:b/>
          <w:bCs/>
          <w:color w:val="auto"/>
          <w:sz w:val="24"/>
          <w:highlight w:val="none"/>
        </w:rPr>
        <w:t>“资格文件”、“商务技术文件”、“报价文件”须分3个PDF格式分别导入。</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此格式内容仅为参考模板，具体内容供应商应根据磋商文件要求进行调整。未按以下格式编制响应文件或因格式不规范、页码不清等原因引发的一切后果由供应商自行承担。</w:t>
      </w:r>
    </w:p>
    <w:p>
      <w:pPr>
        <w:spacing w:line="360" w:lineRule="auto"/>
        <w:jc w:val="center"/>
        <w:rPr>
          <w:rFonts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kern w:val="0"/>
          <w:sz w:val="36"/>
          <w:szCs w:val="36"/>
          <w:highlight w:val="none"/>
        </w:rPr>
        <w:t>资格文件部分</w:t>
      </w:r>
    </w:p>
    <w:p>
      <w:pPr>
        <w:spacing w:line="360" w:lineRule="auto"/>
        <w:jc w:val="center"/>
        <w:rPr>
          <w:rFonts w:ascii="宋体" w:hAnsi="宋体"/>
          <w:b/>
          <w:color w:val="auto"/>
          <w:kern w:val="0"/>
          <w:sz w:val="36"/>
          <w:szCs w:val="36"/>
          <w:highlight w:val="none"/>
        </w:rPr>
      </w:pPr>
    </w:p>
    <w:p>
      <w:pPr>
        <w:spacing w:line="360" w:lineRule="auto"/>
        <w:jc w:val="center"/>
        <w:rPr>
          <w:rFonts w:ascii="宋体" w:hAnsi="宋体"/>
          <w:b/>
          <w:color w:val="auto"/>
          <w:kern w:val="0"/>
          <w:sz w:val="36"/>
          <w:szCs w:val="36"/>
          <w:highlight w:val="none"/>
        </w:rPr>
      </w:pPr>
      <w:r>
        <w:rPr>
          <w:rFonts w:hint="eastAsia" w:ascii="宋体" w:hAnsi="宋体"/>
          <w:b/>
          <w:color w:val="auto"/>
          <w:kern w:val="0"/>
          <w:sz w:val="36"/>
          <w:szCs w:val="36"/>
          <w:highlight w:val="none"/>
        </w:rPr>
        <w:t>目录</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w:t>
      </w:r>
      <w:r>
        <w:rPr>
          <w:rFonts w:hint="eastAsia" w:ascii="宋体" w:hAnsi="宋体"/>
          <w:color w:val="auto"/>
          <w:szCs w:val="24"/>
          <w:highlight w:val="none"/>
        </w:rPr>
        <w:t>法定代表人授权书（格式见附件）；如法定代表人直接参加谈判并对相应文件签字的（签字是指线下签字扫描后上传或者线上进行电子签章），只需提供其身份证复印件，否则则应提供授权代表身份证复印件；</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2）</w:t>
      </w:r>
      <w:r>
        <w:rPr>
          <w:rFonts w:hint="eastAsia" w:ascii="宋体" w:hAnsi="宋体"/>
          <w:color w:val="auto"/>
          <w:szCs w:val="24"/>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pPr>
        <w:pStyle w:val="61"/>
        <w:spacing w:before="0"/>
        <w:ind w:firstLine="720" w:firstLineChars="300"/>
        <w:rPr>
          <w:rFonts w:ascii="宋体" w:hAnsi="宋体"/>
          <w:color w:val="auto"/>
          <w:szCs w:val="24"/>
          <w:highlight w:val="none"/>
        </w:rPr>
      </w:pPr>
      <w:r>
        <w:rPr>
          <w:rFonts w:hint="eastAsia" w:ascii="宋体" w:hAnsi="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谈判响应文件中提供相关材料），证明其具备实际承担责任的能力和法定的缔结合同能力，可以独立参加政府采购活动，由单位负责人签署相关文件材料；</w:t>
      </w:r>
    </w:p>
    <w:p>
      <w:pPr>
        <w:pStyle w:val="61"/>
        <w:spacing w:before="0"/>
        <w:ind w:firstLine="480"/>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3）</w:t>
      </w:r>
      <w:r>
        <w:rPr>
          <w:rFonts w:hint="eastAsia" w:ascii="宋体" w:hAnsi="宋体"/>
          <w:color w:val="auto"/>
          <w:szCs w:val="24"/>
          <w:highlight w:val="none"/>
          <w:lang w:eastAsia="zh-CN"/>
        </w:rPr>
        <w:t>具有履行合同所必需的产品和专业技术能力的承诺函（格式自拟）；</w:t>
      </w:r>
    </w:p>
    <w:p>
      <w:pPr>
        <w:pStyle w:val="61"/>
        <w:spacing w:before="0"/>
        <w:ind w:firstLine="480"/>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4</w:t>
      </w:r>
      <w:r>
        <w:rPr>
          <w:rFonts w:hint="eastAsia" w:ascii="宋体" w:hAnsi="宋体"/>
          <w:color w:val="auto"/>
          <w:szCs w:val="24"/>
          <w:highlight w:val="none"/>
          <w:lang w:eastAsia="zh-CN"/>
        </w:rPr>
        <w:t>）投标人承诺函（格式见附件）；</w:t>
      </w:r>
    </w:p>
    <w:p>
      <w:pPr>
        <w:pStyle w:val="61"/>
        <w:spacing w:before="0"/>
        <w:ind w:firstLine="480"/>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5</w:t>
      </w:r>
      <w:r>
        <w:rPr>
          <w:rFonts w:hint="eastAsia" w:ascii="宋体" w:hAnsi="宋体"/>
          <w:color w:val="auto"/>
          <w:szCs w:val="24"/>
          <w:highlight w:val="none"/>
          <w:lang w:eastAsia="zh-CN"/>
        </w:rPr>
        <w:t>）中小企业声明函（格式见附件）；</w:t>
      </w:r>
    </w:p>
    <w:p>
      <w:pPr>
        <w:pStyle w:val="61"/>
        <w:spacing w:before="0"/>
        <w:ind w:firstLine="480"/>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6</w:t>
      </w:r>
      <w:r>
        <w:rPr>
          <w:rFonts w:hint="eastAsia" w:ascii="宋体" w:hAnsi="宋体"/>
          <w:color w:val="auto"/>
          <w:szCs w:val="24"/>
          <w:highlight w:val="none"/>
          <w:lang w:eastAsia="zh-CN"/>
        </w:rPr>
        <w:t>）残疾人福利性单位声明函(如有)（格式见附件）；</w:t>
      </w:r>
    </w:p>
    <w:p>
      <w:pPr>
        <w:pStyle w:val="61"/>
        <w:spacing w:before="0"/>
        <w:ind w:firstLine="480"/>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7</w:t>
      </w:r>
      <w:r>
        <w:rPr>
          <w:rFonts w:hint="eastAsia" w:ascii="宋体" w:hAnsi="宋体"/>
          <w:color w:val="auto"/>
          <w:szCs w:val="24"/>
          <w:highlight w:val="none"/>
          <w:lang w:eastAsia="zh-CN"/>
        </w:rPr>
        <w:t>）监狱企业证明文件(如有)（格式见附件）。</w:t>
      </w:r>
    </w:p>
    <w:p>
      <w:pPr>
        <w:rPr>
          <w:rFonts w:ascii="宋体" w:hAnsi="宋体"/>
          <w:b/>
          <w:bCs/>
          <w:color w:val="auto"/>
          <w:sz w:val="24"/>
          <w:highlight w:val="none"/>
          <w:lang w:val="zh-CN"/>
        </w:rPr>
      </w:pPr>
      <w:r>
        <w:rPr>
          <w:rFonts w:hint="eastAsia" w:ascii="宋体" w:hAnsi="宋体"/>
          <w:b/>
          <w:bCs/>
          <w:color w:val="auto"/>
          <w:sz w:val="24"/>
          <w:highlight w:val="none"/>
          <w:lang w:val="zh-CN"/>
        </w:rPr>
        <w:br w:type="page"/>
      </w:r>
      <w:r>
        <w:rPr>
          <w:rFonts w:hint="eastAsia" w:ascii="宋体" w:hAnsi="宋体"/>
          <w:b/>
          <w:bCs/>
          <w:color w:val="auto"/>
          <w:sz w:val="24"/>
          <w:highlight w:val="none"/>
          <w:lang w:val="zh-CN"/>
        </w:rPr>
        <w:t>附件一：</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法定代表人授权书</w:t>
      </w:r>
    </w:p>
    <w:p>
      <w:pPr>
        <w:pStyle w:val="48"/>
        <w:spacing w:line="360" w:lineRule="auto"/>
        <w:rPr>
          <w:rFonts w:ascii="宋体" w:hAnsi="宋体"/>
          <w:color w:val="auto"/>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绍兴市上虞区东关街道办事处</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lang w:eastAsia="zh-CN"/>
        </w:rPr>
        <w:t>绍兴市上虞区公共资源交易中心</w:t>
      </w:r>
      <w:r>
        <w:rPr>
          <w:rFonts w:hint="eastAsia" w:ascii="宋体" w:hAnsi="宋体"/>
          <w:color w:val="auto"/>
          <w:sz w:val="24"/>
          <w:highlight w:val="none"/>
          <w:u w:val="single"/>
        </w:rPr>
        <w:t>：</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  （供应商全称） </w:t>
      </w: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授权</w:t>
      </w:r>
      <w:r>
        <w:rPr>
          <w:rFonts w:hint="eastAsia" w:ascii="宋体" w:hAnsi="宋体"/>
          <w:color w:val="auto"/>
          <w:sz w:val="24"/>
          <w:highlight w:val="none"/>
          <w:u w:val="single"/>
        </w:rPr>
        <w:t>（授权代表名称）</w:t>
      </w:r>
      <w:r>
        <w:rPr>
          <w:rFonts w:hint="eastAsia" w:ascii="宋体" w:hAnsi="宋体"/>
          <w:color w:val="auto"/>
          <w:sz w:val="24"/>
          <w:highlight w:val="none"/>
        </w:rPr>
        <w:t>为授权代表，参加贵处组织的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w:t>
      </w:r>
      <w:r>
        <w:rPr>
          <w:rFonts w:hint="eastAsia" w:ascii="宋体" w:hAnsi="宋体"/>
          <w:color w:val="auto"/>
          <w:sz w:val="24"/>
          <w:highlight w:val="none"/>
          <w:u w:val="single"/>
        </w:rPr>
        <w:t xml:space="preserve">         </w:t>
      </w:r>
      <w:r>
        <w:rPr>
          <w:rFonts w:hint="eastAsia" w:ascii="宋体" w:hAnsi="宋体"/>
          <w:color w:val="auto"/>
          <w:sz w:val="24"/>
          <w:highlight w:val="none"/>
        </w:rPr>
        <w:t>），授权处理招投标活动中的一切事宜。</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法定代表人签字：</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供应商全称：（盖章）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日期：</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授权代表姓名：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职务：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详细通讯地址：</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邮政编码：</w:t>
      </w:r>
    </w:p>
    <w:p>
      <w:pPr>
        <w:pStyle w:val="58"/>
        <w:snapToGrid w:val="0"/>
        <w:spacing w:line="360" w:lineRule="auto"/>
        <w:rPr>
          <w:rFonts w:hAnsi="宋体"/>
          <w:color w:val="auto"/>
          <w:sz w:val="24"/>
          <w:highlight w:val="none"/>
        </w:rPr>
      </w:pPr>
    </w:p>
    <w:p>
      <w:pPr>
        <w:pStyle w:val="58"/>
        <w:snapToGrid w:val="0"/>
        <w:spacing w:line="360" w:lineRule="auto"/>
        <w:rPr>
          <w:rFonts w:hAnsi="宋体"/>
          <w:color w:val="auto"/>
          <w:sz w:val="24"/>
          <w:highlight w:val="none"/>
        </w:rPr>
      </w:pPr>
    </w:p>
    <w:p>
      <w:pPr>
        <w:pStyle w:val="58"/>
        <w:snapToGrid w:val="0"/>
        <w:spacing w:line="360" w:lineRule="auto"/>
        <w:rPr>
          <w:rFonts w:hAnsi="宋体"/>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附：授权代表身份证复印件（正反面）</w:t>
      </w:r>
    </w:p>
    <w:p>
      <w:pPr>
        <w:spacing w:line="360" w:lineRule="auto"/>
        <w:rPr>
          <w:rFonts w:ascii="宋体" w:hAnsi="宋体"/>
          <w:b/>
          <w:color w:val="auto"/>
          <w:sz w:val="24"/>
          <w:highlight w:val="none"/>
        </w:rPr>
      </w:pPr>
    </w:p>
    <w:p>
      <w:pPr>
        <w:pStyle w:val="50"/>
        <w:ind w:firstLine="486"/>
        <w:rPr>
          <w:rFonts w:hint="default"/>
          <w:color w:val="auto"/>
          <w:highlight w:val="none"/>
        </w:rPr>
      </w:pPr>
    </w:p>
    <w:p>
      <w:pPr>
        <w:snapToGrid w:val="0"/>
        <w:spacing w:before="50" w:after="162"/>
        <w:jc w:val="left"/>
        <w:rPr>
          <w:rFonts w:ascii="宋体" w:hAnsi="宋体"/>
          <w:b/>
          <w:bCs/>
          <w:color w:val="auto"/>
          <w:sz w:val="24"/>
          <w:highlight w:val="none"/>
        </w:rPr>
      </w:pPr>
      <w:r>
        <w:rPr>
          <w:rFonts w:hint="eastAsia" w:ascii="宋体" w:hAnsi="宋体"/>
          <w:b/>
          <w:bCs/>
          <w:color w:val="auto"/>
          <w:sz w:val="24"/>
          <w:highlight w:val="none"/>
        </w:rPr>
        <w:br w:type="page"/>
      </w:r>
      <w:r>
        <w:rPr>
          <w:rFonts w:hint="eastAsia" w:ascii="宋体" w:hAnsi="宋体"/>
          <w:b/>
          <w:bCs/>
          <w:color w:val="auto"/>
          <w:sz w:val="24"/>
          <w:highlight w:val="none"/>
          <w:lang w:val="zh-CN"/>
        </w:rPr>
        <w:t>附件二：</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投标人承诺函</w:t>
      </w:r>
    </w:p>
    <w:p>
      <w:pPr>
        <w:spacing w:line="360" w:lineRule="auto"/>
        <w:ind w:firstLine="420" w:firstLineChars="200"/>
        <w:rPr>
          <w:rFonts w:ascii="宋体" w:hAnsi="宋体"/>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绍兴市上虞区东关街道办事</w:t>
      </w:r>
      <w:r>
        <w:rPr>
          <w:rFonts w:hint="eastAsia" w:ascii="宋体" w:hAnsi="宋体"/>
          <w:color w:val="auto"/>
          <w:sz w:val="24"/>
          <w:highlight w:val="none"/>
          <w:u w:val="single"/>
          <w:lang w:val="en-US" w:eastAsia="zh-CN"/>
        </w:rPr>
        <w:t>处</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eastAsia="zh-CN"/>
        </w:rPr>
        <w:t>绍兴市上虞区公共资源交易中心</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（投标人名称）</w:t>
      </w:r>
      <w:r>
        <w:rPr>
          <w:rFonts w:hint="eastAsia" w:ascii="宋体" w:hAnsi="宋体"/>
          <w:color w:val="auto"/>
          <w:sz w:val="24"/>
          <w:highlight w:val="none"/>
        </w:rPr>
        <w:t>系中华人民共和国合法企业，经营地址。</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（姓名）</w:t>
      </w: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的法定代表人，我方愿意参加贵方组织的</w:t>
      </w:r>
      <w:r>
        <w:rPr>
          <w:rFonts w:hint="eastAsia" w:ascii="宋体" w:hAnsi="宋体"/>
          <w:color w:val="auto"/>
          <w:sz w:val="24"/>
          <w:highlight w:val="none"/>
          <w:u w:val="single"/>
        </w:rPr>
        <w:t>（项目名称）</w:t>
      </w:r>
      <w:r>
        <w:rPr>
          <w:rFonts w:hint="eastAsia" w:ascii="宋体" w:hAnsi="宋体"/>
          <w:color w:val="auto"/>
          <w:sz w:val="24"/>
          <w:highlight w:val="none"/>
        </w:rPr>
        <w:t>（采购编号：</w:t>
      </w:r>
      <w:r>
        <w:rPr>
          <w:rFonts w:hint="eastAsia" w:ascii="宋体" w:hAnsi="宋体"/>
          <w:color w:val="auto"/>
          <w:sz w:val="24"/>
          <w:highlight w:val="none"/>
          <w:u w:val="single"/>
        </w:rPr>
        <w:t>TSZZ0001</w:t>
      </w:r>
      <w:r>
        <w:rPr>
          <w:rFonts w:hint="eastAsia" w:ascii="宋体" w:hAnsi="宋体"/>
          <w:color w:val="auto"/>
          <w:sz w:val="24"/>
          <w:highlight w:val="none"/>
        </w:rPr>
        <w:t>）的投标，为此，我方就本次投标有关事项郑重承诺如下：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1、我方已详细审查全部磋商文件，同意磋商文件的各项要求。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2、我方向贵方提交的所有投标文件、资料都是准确的和真实的。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3、若中标，我方将按磋商文件规定履行合同责任和义务。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5、投标文件自开标日起有效期为90天。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6、我方参与本项目前3年内的经营活动中没有重大违法记录；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pPr>
        <w:pStyle w:val="61"/>
        <w:spacing w:before="0"/>
        <w:ind w:firstLine="480"/>
        <w:jc w:val="left"/>
        <w:rPr>
          <w:rFonts w:ascii="宋体" w:hAnsi="宋体"/>
          <w:color w:val="auto"/>
          <w:highlight w:val="none"/>
        </w:rPr>
      </w:pPr>
      <w:r>
        <w:rPr>
          <w:rFonts w:hint="eastAsia" w:ascii="宋体" w:hAnsi="宋体"/>
          <w:color w:val="auto"/>
          <w:highlight w:val="none"/>
        </w:rPr>
        <w:t>8、</w:t>
      </w:r>
      <w:r>
        <w:rPr>
          <w:rFonts w:hint="eastAsia" w:ascii="宋体" w:hAnsi="宋体"/>
          <w:color w:val="auto"/>
          <w:szCs w:val="24"/>
          <w:highlight w:val="none"/>
        </w:rPr>
        <w:t>具有良好的商业信誉和健全的财务会计制度；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9、具有依法缴纳税收和社会保障资金的良好记录；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10、以上事项如有虚假或隐瞒，我方愿意承担一切后果，并不再寻求任何旨在减轻或免除法律责任的辩解。</w:t>
      </w:r>
    </w:p>
    <w:p>
      <w:pPr>
        <w:pStyle w:val="50"/>
        <w:rPr>
          <w:rFonts w:hint="default"/>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法定代表人或被授权委托人签名（或签名章）：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r>
        <w:rPr>
          <w:rFonts w:hint="eastAsia" w:ascii="宋体" w:hAnsi="宋体"/>
          <w:color w:val="auto"/>
          <w:sz w:val="24"/>
          <w:highlight w:val="none"/>
        </w:rPr>
        <w:t>供应商全称（公章）：</w:t>
      </w:r>
    </w:p>
    <w:p>
      <w:pPr>
        <w:spacing w:line="360" w:lineRule="auto"/>
        <w:jc w:val="left"/>
        <w:rPr>
          <w:rFonts w:ascii="宋体" w:hAnsi="宋体"/>
          <w:b/>
          <w:bCs/>
          <w:color w:val="auto"/>
          <w:sz w:val="24"/>
          <w:highlight w:val="none"/>
          <w:lang w:val="zh-CN"/>
        </w:rPr>
      </w:pPr>
      <w:r>
        <w:rPr>
          <w:rFonts w:hint="eastAsia" w:ascii="宋体" w:hAnsi="宋体"/>
          <w:b/>
          <w:bCs/>
          <w:color w:val="auto"/>
          <w:sz w:val="24"/>
          <w:highlight w:val="none"/>
          <w:lang w:val="zh-CN"/>
        </w:rPr>
        <w:br w:type="page"/>
      </w:r>
      <w:r>
        <w:rPr>
          <w:rFonts w:hint="eastAsia" w:ascii="宋体" w:hAnsi="宋体"/>
          <w:b/>
          <w:bCs/>
          <w:color w:val="auto"/>
          <w:sz w:val="24"/>
          <w:highlight w:val="none"/>
          <w:lang w:val="zh-CN"/>
        </w:rPr>
        <w:t>附件</w:t>
      </w:r>
      <w:r>
        <w:rPr>
          <w:rFonts w:hint="eastAsia" w:ascii="宋体" w:hAnsi="宋体"/>
          <w:b/>
          <w:bCs/>
          <w:color w:val="auto"/>
          <w:sz w:val="24"/>
          <w:highlight w:val="none"/>
        </w:rPr>
        <w:t>三</w:t>
      </w:r>
      <w:r>
        <w:rPr>
          <w:rFonts w:hint="eastAsia" w:ascii="宋体" w:hAnsi="宋体"/>
          <w:b/>
          <w:bCs/>
          <w:color w:val="auto"/>
          <w:sz w:val="24"/>
          <w:highlight w:val="none"/>
          <w:lang w:val="zh-CN"/>
        </w:rPr>
        <w:t>：</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中小企业声明函</w:t>
      </w: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 （财库﹝2020﹞46 号）的规定，本公司（联合体）参加</w:t>
      </w:r>
      <w:r>
        <w:rPr>
          <w:rFonts w:hint="eastAsia" w:ascii="宋体" w:hAnsi="宋体"/>
          <w:color w:val="auto"/>
          <w:sz w:val="24"/>
          <w:highlight w:val="none"/>
          <w:u w:val="single"/>
        </w:rPr>
        <w:t xml:space="preserve"> （采购人名称） </w:t>
      </w:r>
      <w:r>
        <w:rPr>
          <w:rFonts w:hint="eastAsia" w:ascii="宋体" w:hAnsi="宋体"/>
          <w:color w:val="auto"/>
          <w:sz w:val="24"/>
          <w:highlight w:val="none"/>
        </w:rPr>
        <w:t>的</w:t>
      </w:r>
      <w:r>
        <w:rPr>
          <w:rFonts w:hint="eastAsia" w:ascii="宋体" w:hAnsi="宋体"/>
          <w:color w:val="auto"/>
          <w:sz w:val="24"/>
          <w:highlight w:val="none"/>
          <w:u w:val="single"/>
        </w:rPr>
        <w:t xml:space="preserve"> （项目名称）     </w:t>
      </w:r>
      <w:r>
        <w:rPr>
          <w:rFonts w:hint="eastAsia" w:ascii="宋体" w:hAnsi="宋体"/>
          <w:color w:val="auto"/>
          <w:sz w:val="24"/>
          <w:highlight w:val="none"/>
        </w:rPr>
        <w:t>采购活动，</w:t>
      </w:r>
      <w:r>
        <w:rPr>
          <w:rFonts w:hint="eastAsia" w:ascii="宋体" w:hAnsi="宋体"/>
          <w:b/>
          <w:bCs/>
          <w:color w:val="auto"/>
          <w:sz w:val="24"/>
          <w:highlight w:val="none"/>
        </w:rPr>
        <w:t>服务全部由符合政策要求的中小企业承接。</w:t>
      </w:r>
      <w:r>
        <w:rPr>
          <w:rFonts w:hint="eastAsia" w:ascii="宋体" w:hAnsi="宋体"/>
          <w:color w:val="auto"/>
          <w:sz w:val="24"/>
          <w:highlight w:val="none"/>
        </w:rPr>
        <w:t>相关企业（含联合体中的中小企业、签订分包意向协议的中小企业）的具体情况如下：</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（项目名称）</w:t>
      </w:r>
      <w:r>
        <w:rPr>
          <w:rFonts w:hint="eastAsia" w:ascii="宋体" w:hAnsi="宋体"/>
          <w:color w:val="auto"/>
          <w:sz w:val="24"/>
          <w:highlight w:val="none"/>
        </w:rPr>
        <w:t>，属于</w:t>
      </w:r>
      <w:r>
        <w:rPr>
          <w:rFonts w:hint="eastAsia" w:ascii="宋体" w:hAnsi="宋体"/>
          <w:color w:val="auto"/>
          <w:sz w:val="24"/>
          <w:highlight w:val="none"/>
          <w:u w:val="single"/>
        </w:rPr>
        <w:t xml:space="preserve"> 物业管理  </w:t>
      </w:r>
      <w:r>
        <w:rPr>
          <w:rFonts w:hint="eastAsia" w:ascii="宋体" w:hAnsi="宋体"/>
          <w:color w:val="auto"/>
          <w:sz w:val="24"/>
          <w:highlight w:val="none"/>
        </w:rPr>
        <w:t>行业 ；承接企业为</w:t>
      </w:r>
      <w:r>
        <w:rPr>
          <w:rFonts w:hint="eastAsia" w:ascii="宋体" w:hAnsi="宋体"/>
          <w:color w:val="auto"/>
          <w:sz w:val="24"/>
          <w:highlight w:val="none"/>
          <w:u w:val="single"/>
        </w:rPr>
        <w:t xml:space="preserve"> （企业名称） </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 ，属于</w:t>
      </w:r>
      <w:r>
        <w:rPr>
          <w:rFonts w:hint="eastAsia" w:ascii="宋体" w:hAnsi="宋体"/>
          <w:color w:val="auto"/>
          <w:sz w:val="24"/>
          <w:highlight w:val="none"/>
          <w:u w:val="single"/>
        </w:rPr>
        <w:t xml:space="preserve"> （中型企业、小型企业、微型企业）</w:t>
      </w:r>
      <w:r>
        <w:rPr>
          <w:rFonts w:hint="eastAsia" w:ascii="宋体" w:hAnsi="宋体"/>
          <w:color w:val="auto"/>
          <w:sz w:val="24"/>
          <w:highlight w:val="none"/>
        </w:rPr>
        <w:t xml:space="preserve">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（项目名称）</w:t>
      </w:r>
      <w:r>
        <w:rPr>
          <w:rFonts w:hint="eastAsia" w:ascii="宋体" w:hAnsi="宋体"/>
          <w:color w:val="auto"/>
          <w:sz w:val="24"/>
          <w:highlight w:val="none"/>
        </w:rPr>
        <w:t>，属于</w:t>
      </w:r>
      <w:r>
        <w:rPr>
          <w:rFonts w:hint="eastAsia" w:ascii="宋体" w:hAnsi="宋体"/>
          <w:color w:val="auto"/>
          <w:sz w:val="24"/>
          <w:highlight w:val="none"/>
          <w:u w:val="single"/>
        </w:rPr>
        <w:t xml:space="preserve"> 物业管理  </w:t>
      </w:r>
      <w:r>
        <w:rPr>
          <w:rFonts w:hint="eastAsia" w:ascii="宋体" w:hAnsi="宋体"/>
          <w:color w:val="auto"/>
          <w:sz w:val="24"/>
          <w:highlight w:val="none"/>
        </w:rPr>
        <w:t>行业 ；承接企业为</w:t>
      </w:r>
      <w:r>
        <w:rPr>
          <w:rFonts w:hint="eastAsia" w:ascii="宋体" w:hAnsi="宋体"/>
          <w:color w:val="auto"/>
          <w:sz w:val="24"/>
          <w:highlight w:val="none"/>
          <w:u w:val="single"/>
        </w:rPr>
        <w:t xml:space="preserve">  （企业名称） </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 ，属于</w:t>
      </w:r>
      <w:r>
        <w:rPr>
          <w:rFonts w:hint="eastAsia" w:ascii="宋体" w:hAnsi="宋体"/>
          <w:color w:val="auto"/>
          <w:sz w:val="24"/>
          <w:highlight w:val="none"/>
          <w:u w:val="single"/>
        </w:rPr>
        <w:t xml:space="preserve"> （中型企业、小型企业、微型企业）</w:t>
      </w:r>
      <w:r>
        <w:rPr>
          <w:rFonts w:hint="eastAsia" w:ascii="宋体" w:hAnsi="宋体"/>
          <w:color w:val="auto"/>
          <w:sz w:val="24"/>
          <w:highlight w:val="none"/>
        </w:rPr>
        <w:t xml:space="preserve">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spacing w:line="288" w:lineRule="auto"/>
        <w:ind w:right="420" w:firstLine="4320" w:firstLineChars="1800"/>
        <w:rPr>
          <w:rFonts w:ascii="宋体" w:hAnsi="宋体"/>
          <w:color w:val="auto"/>
          <w:sz w:val="24"/>
          <w:highlight w:val="none"/>
        </w:rPr>
      </w:pPr>
    </w:p>
    <w:p>
      <w:pPr>
        <w:spacing w:line="288" w:lineRule="auto"/>
        <w:ind w:right="420" w:firstLine="4320" w:firstLineChars="1800"/>
        <w:rPr>
          <w:rFonts w:ascii="宋体" w:hAnsi="宋体"/>
          <w:color w:val="auto"/>
          <w:sz w:val="24"/>
          <w:highlight w:val="none"/>
        </w:rPr>
      </w:pPr>
    </w:p>
    <w:p>
      <w:pPr>
        <w:spacing w:line="288" w:lineRule="auto"/>
        <w:ind w:right="420" w:firstLine="4800" w:firstLineChars="2000"/>
        <w:rPr>
          <w:rFonts w:ascii="宋体" w:hAnsi="宋体"/>
          <w:color w:val="auto"/>
          <w:sz w:val="24"/>
          <w:highlight w:val="none"/>
        </w:rPr>
      </w:pPr>
      <w:r>
        <w:rPr>
          <w:rFonts w:hint="eastAsia" w:ascii="宋体" w:hAnsi="宋体"/>
          <w:color w:val="auto"/>
          <w:sz w:val="24"/>
          <w:highlight w:val="none"/>
        </w:rPr>
        <w:t xml:space="preserve">企业名称（盖章）： </w:t>
      </w:r>
    </w:p>
    <w:p>
      <w:pPr>
        <w:spacing w:line="288" w:lineRule="auto"/>
        <w:ind w:left="3780" w:leftChars="1800" w:firstLine="960" w:firstLineChars="400"/>
        <w:rPr>
          <w:rFonts w:ascii="宋体" w:hAnsi="宋体"/>
          <w:color w:val="auto"/>
          <w:sz w:val="24"/>
          <w:highlight w:val="none"/>
        </w:rPr>
      </w:pPr>
      <w:r>
        <w:rPr>
          <w:rFonts w:hint="eastAsia" w:ascii="宋体" w:hAnsi="宋体"/>
          <w:color w:val="auto"/>
          <w:sz w:val="24"/>
          <w:highlight w:val="none"/>
        </w:rPr>
        <w:t>日期：   年     月     日</w:t>
      </w:r>
    </w:p>
    <w:p>
      <w:pPr>
        <w:pStyle w:val="48"/>
        <w:spacing w:line="288" w:lineRule="auto"/>
        <w:rPr>
          <w:rFonts w:ascii="宋体" w:hAnsi="宋体"/>
          <w:color w:val="auto"/>
          <w:sz w:val="24"/>
          <w:szCs w:val="24"/>
          <w:highlight w:val="none"/>
        </w:rPr>
      </w:pPr>
    </w:p>
    <w:p>
      <w:pPr>
        <w:spacing w:line="288" w:lineRule="auto"/>
        <w:ind w:firstLine="480" w:firstLineChars="200"/>
        <w:jc w:val="left"/>
        <w:rPr>
          <w:rFonts w:ascii="宋体" w:hAnsi="宋体"/>
          <w:color w:val="auto"/>
          <w:sz w:val="24"/>
          <w:highlight w:val="none"/>
        </w:rPr>
      </w:pPr>
    </w:p>
    <w:p>
      <w:pPr>
        <w:spacing w:line="288" w:lineRule="auto"/>
        <w:ind w:firstLine="480" w:firstLineChars="200"/>
        <w:jc w:val="left"/>
        <w:rPr>
          <w:rFonts w:ascii="宋体" w:hAnsi="宋体"/>
          <w:color w:val="auto"/>
          <w:sz w:val="24"/>
          <w:highlight w:val="none"/>
        </w:rPr>
      </w:pPr>
    </w:p>
    <w:p>
      <w:pPr>
        <w:spacing w:line="288" w:lineRule="auto"/>
        <w:ind w:firstLine="480" w:firstLineChars="200"/>
        <w:jc w:val="left"/>
        <w:rPr>
          <w:rFonts w:ascii="宋体" w:hAnsi="宋体"/>
          <w:color w:val="auto"/>
          <w:sz w:val="24"/>
          <w:highlight w:val="none"/>
        </w:rPr>
      </w:pPr>
    </w:p>
    <w:p>
      <w:pPr>
        <w:spacing w:line="288" w:lineRule="auto"/>
        <w:ind w:firstLine="480" w:firstLineChars="200"/>
        <w:jc w:val="left"/>
        <w:rPr>
          <w:rFonts w:ascii="宋体" w:hAnsi="宋体"/>
          <w:color w:val="auto"/>
          <w:sz w:val="24"/>
          <w:highlight w:val="none"/>
        </w:rPr>
      </w:pPr>
      <w:r>
        <w:rPr>
          <w:rFonts w:hint="eastAsia" w:ascii="宋体" w:hAnsi="宋体"/>
          <w:color w:val="auto"/>
          <w:sz w:val="24"/>
          <w:highlight w:val="none"/>
        </w:rPr>
        <w:t>注：从业人员、营业收入、资产总额填报上一年度数据，无上一年度数据的新成立企业可不填报。</w:t>
      </w:r>
    </w:p>
    <w:p>
      <w:pPr>
        <w:rPr>
          <w:rFonts w:ascii="宋体" w:hAnsi="宋体"/>
          <w:b/>
          <w:bCs/>
          <w:color w:val="auto"/>
          <w:sz w:val="24"/>
          <w:szCs w:val="32"/>
          <w:highlight w:val="none"/>
          <w:lang w:val="zh-CN"/>
        </w:rPr>
      </w:pPr>
      <w:r>
        <w:rPr>
          <w:rFonts w:hint="eastAsia" w:ascii="宋体" w:hAnsi="宋体"/>
          <w:b/>
          <w:bCs/>
          <w:color w:val="auto"/>
          <w:sz w:val="24"/>
          <w:szCs w:val="32"/>
          <w:highlight w:val="none"/>
          <w:lang w:val="zh-CN"/>
        </w:rPr>
        <w:br w:type="page"/>
      </w:r>
      <w:r>
        <w:rPr>
          <w:rFonts w:hint="eastAsia" w:ascii="宋体" w:hAnsi="宋体"/>
          <w:b/>
          <w:bCs/>
          <w:color w:val="auto"/>
          <w:sz w:val="24"/>
          <w:szCs w:val="32"/>
          <w:highlight w:val="none"/>
          <w:lang w:val="zh-CN"/>
        </w:rPr>
        <w:t>附件</w:t>
      </w:r>
      <w:r>
        <w:rPr>
          <w:rFonts w:hint="eastAsia" w:ascii="宋体" w:hAnsi="宋体"/>
          <w:b/>
          <w:bCs/>
          <w:color w:val="auto"/>
          <w:sz w:val="24"/>
          <w:szCs w:val="32"/>
          <w:highlight w:val="none"/>
        </w:rPr>
        <w:t>四：</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残疾人福利性单位声明函</w:t>
      </w:r>
    </w:p>
    <w:p>
      <w:pPr>
        <w:widowControl/>
        <w:snapToGrid w:val="0"/>
        <w:spacing w:line="324" w:lineRule="auto"/>
        <w:ind w:firstLine="480" w:firstLineChars="200"/>
        <w:jc w:val="center"/>
        <w:rPr>
          <w:rFonts w:ascii="宋体" w:hAnsi="宋体"/>
          <w:color w:val="auto"/>
          <w:kern w:val="0"/>
          <w:sz w:val="24"/>
          <w:highlight w:val="none"/>
        </w:rPr>
      </w:pPr>
      <w:r>
        <w:rPr>
          <w:rFonts w:hint="eastAsia" w:ascii="宋体" w:hAnsi="宋体"/>
          <w:color w:val="auto"/>
          <w:kern w:val="0"/>
          <w:sz w:val="24"/>
          <w:highlight w:val="none"/>
        </w:rPr>
        <w:t>【不属于残疾人福利性单位的无需填写、递交】</w:t>
      </w:r>
    </w:p>
    <w:p>
      <w:pPr>
        <w:spacing w:line="588" w:lineRule="exact"/>
        <w:rPr>
          <w:rFonts w:ascii="宋体" w:hAnsi="宋体"/>
          <w:b/>
          <w:color w:val="auto"/>
          <w:spacing w:val="6"/>
          <w:sz w:val="30"/>
          <w:szCs w:val="30"/>
          <w:highlight w:val="none"/>
        </w:rPr>
      </w:pPr>
    </w:p>
    <w:p>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pPr>
        <w:pStyle w:val="51"/>
        <w:rPr>
          <w:rFonts w:hAnsi="宋体"/>
          <w:color w:val="auto"/>
          <w:highlight w:val="none"/>
        </w:rPr>
      </w:pPr>
    </w:p>
    <w:p>
      <w:pPr>
        <w:pStyle w:val="48"/>
        <w:rPr>
          <w:rFonts w:ascii="宋体" w:hAnsi="宋体"/>
          <w:color w:val="auto"/>
          <w:highlight w:val="none"/>
        </w:rPr>
      </w:pPr>
    </w:p>
    <w:p>
      <w:pPr>
        <w:spacing w:line="588" w:lineRule="exact"/>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法定代表人或被授权委托人签名（或签名章）：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r>
        <w:rPr>
          <w:rFonts w:hint="eastAsia" w:ascii="宋体" w:hAnsi="宋体"/>
          <w:color w:val="auto"/>
          <w:sz w:val="24"/>
          <w:highlight w:val="none"/>
        </w:rPr>
        <w:t>供应商全称（公章）：</w:t>
      </w:r>
    </w:p>
    <w:p>
      <w:pPr>
        <w:rPr>
          <w:rFonts w:ascii="宋体" w:hAnsi="宋体"/>
          <w:color w:val="auto"/>
          <w:sz w:val="24"/>
          <w:szCs w:val="18"/>
          <w:highlight w:val="none"/>
          <w:lang w:val="zh-CN"/>
        </w:rPr>
      </w:pPr>
      <w:r>
        <w:rPr>
          <w:rFonts w:hint="eastAsia" w:ascii="宋体" w:hAnsi="宋体"/>
          <w:color w:val="auto"/>
          <w:sz w:val="24"/>
          <w:szCs w:val="18"/>
          <w:highlight w:val="none"/>
          <w:lang w:val="zh-CN"/>
        </w:rPr>
        <w:br w:type="page"/>
      </w:r>
      <w:r>
        <w:rPr>
          <w:rFonts w:hint="eastAsia" w:ascii="宋体" w:hAnsi="宋体"/>
          <w:b/>
          <w:bCs/>
          <w:color w:val="auto"/>
          <w:sz w:val="24"/>
          <w:szCs w:val="18"/>
          <w:highlight w:val="none"/>
          <w:lang w:val="zh-CN"/>
        </w:rPr>
        <w:t>附件</w:t>
      </w:r>
      <w:r>
        <w:rPr>
          <w:rFonts w:hint="eastAsia" w:ascii="宋体" w:hAnsi="宋体"/>
          <w:b/>
          <w:bCs/>
          <w:color w:val="auto"/>
          <w:sz w:val="24"/>
          <w:szCs w:val="18"/>
          <w:highlight w:val="none"/>
        </w:rPr>
        <w:t>五：</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监狱企业证明文件</w:t>
      </w:r>
    </w:p>
    <w:p>
      <w:pPr>
        <w:widowControl/>
        <w:snapToGrid w:val="0"/>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【不属于监狱企业的无需填写、递交】</w:t>
      </w:r>
    </w:p>
    <w:p>
      <w:pPr>
        <w:widowControl/>
        <w:snapToGrid w:val="0"/>
        <w:spacing w:line="324" w:lineRule="auto"/>
        <w:jc w:val="center"/>
        <w:rPr>
          <w:rFonts w:ascii="宋体" w:hAnsi="宋体"/>
          <w:color w:val="auto"/>
          <w:kern w:val="0"/>
          <w:sz w:val="24"/>
          <w:highlight w:val="none"/>
        </w:rPr>
      </w:pPr>
    </w:p>
    <w:p>
      <w:pPr>
        <w:spacing w:line="588" w:lineRule="exact"/>
        <w:ind w:firstLine="480" w:firstLineChars="200"/>
        <w:rPr>
          <w:rFonts w:ascii="宋体" w:hAnsi="宋体"/>
          <w:color w:val="auto"/>
          <w:sz w:val="24"/>
          <w:highlight w:val="none"/>
        </w:rPr>
      </w:pPr>
    </w:p>
    <w:p>
      <w:pPr>
        <w:snapToGrid w:val="0"/>
        <w:spacing w:before="162"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监狱企业需提供省级以上的监狱管理局、戒毒管理局（含新疆生产建设兵团）出具的属于监狱企业的证明文件。  </w:t>
      </w:r>
    </w:p>
    <w:p>
      <w:pPr>
        <w:pStyle w:val="51"/>
        <w:rPr>
          <w:rFonts w:hAnsi="宋体"/>
          <w:color w:val="auto"/>
          <w:highlight w:val="none"/>
        </w:rPr>
      </w:pPr>
    </w:p>
    <w:p>
      <w:pPr>
        <w:pStyle w:val="48"/>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法定代表人或被授权委托人签名（或签名章）：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r>
        <w:rPr>
          <w:rFonts w:hint="eastAsia" w:ascii="宋体" w:hAnsi="宋体"/>
          <w:color w:val="auto"/>
          <w:sz w:val="24"/>
          <w:highlight w:val="none"/>
        </w:rPr>
        <w:t>供应商全称（公章）：</w:t>
      </w:r>
    </w:p>
    <w:p>
      <w:pPr>
        <w:spacing w:line="360" w:lineRule="auto"/>
        <w:jc w:val="center"/>
        <w:rPr>
          <w:rFonts w:ascii="宋体" w:hAnsi="宋体"/>
          <w:b/>
          <w:color w:val="auto"/>
          <w:sz w:val="24"/>
          <w:highlight w:val="none"/>
        </w:rPr>
      </w:pPr>
    </w:p>
    <w:p>
      <w:pPr>
        <w:spacing w:line="360" w:lineRule="auto"/>
        <w:rPr>
          <w:rFonts w:ascii="宋体" w:hAnsi="宋体"/>
          <w:color w:val="auto"/>
          <w:sz w:val="36"/>
          <w:highlight w:val="none"/>
        </w:rPr>
      </w:pPr>
    </w:p>
    <w:p>
      <w:pPr>
        <w:rPr>
          <w:rFonts w:ascii="宋体" w:hAnsi="宋体"/>
          <w:color w:val="auto"/>
          <w:highlight w:val="none"/>
        </w:rPr>
      </w:pPr>
    </w:p>
    <w:p>
      <w:pPr>
        <w:pStyle w:val="48"/>
        <w:ind w:firstLine="0"/>
        <w:rPr>
          <w:color w:val="auto"/>
          <w:highlight w:val="none"/>
        </w:rPr>
      </w:pPr>
    </w:p>
    <w:p>
      <w:pPr>
        <w:pStyle w:val="50"/>
        <w:ind w:firstLine="566"/>
        <w:rPr>
          <w:rFonts w:hint="default"/>
          <w:color w:val="auto"/>
          <w:sz w:val="28"/>
          <w:szCs w:val="28"/>
          <w:highlight w:val="none"/>
        </w:rPr>
      </w:pPr>
    </w:p>
    <w:p>
      <w:pPr>
        <w:spacing w:line="360" w:lineRule="auto"/>
        <w:jc w:val="center"/>
        <w:rPr>
          <w:rFonts w:ascii="宋体" w:hAnsi="宋体"/>
          <w:b/>
          <w:bCs/>
          <w:color w:val="auto"/>
          <w:sz w:val="24"/>
          <w:highlight w:val="none"/>
          <w:lang w:val="zh-CN"/>
        </w:rPr>
      </w:pPr>
      <w:r>
        <w:rPr>
          <w:rFonts w:hint="eastAsia" w:ascii="宋体" w:hAnsi="宋体"/>
          <w:b/>
          <w:bCs/>
          <w:color w:val="auto"/>
          <w:sz w:val="24"/>
          <w:highlight w:val="none"/>
          <w:lang w:val="zh-CN"/>
        </w:rPr>
        <w:br w:type="page"/>
      </w:r>
      <w:r>
        <w:rPr>
          <w:rFonts w:hint="eastAsia" w:ascii="宋体" w:hAnsi="宋体"/>
          <w:b/>
          <w:color w:val="auto"/>
          <w:kern w:val="0"/>
          <w:sz w:val="36"/>
          <w:szCs w:val="36"/>
          <w:highlight w:val="none"/>
        </w:rPr>
        <w:t>商务技术文件</w:t>
      </w:r>
    </w:p>
    <w:p>
      <w:pPr>
        <w:spacing w:line="360" w:lineRule="auto"/>
        <w:jc w:val="center"/>
        <w:rPr>
          <w:rFonts w:ascii="宋体" w:hAnsi="宋体"/>
          <w:b/>
          <w:color w:val="auto"/>
          <w:kern w:val="0"/>
          <w:sz w:val="36"/>
          <w:szCs w:val="36"/>
          <w:highlight w:val="none"/>
        </w:rPr>
      </w:pPr>
      <w:r>
        <w:rPr>
          <w:rFonts w:hint="eastAsia" w:ascii="宋体" w:hAnsi="宋体"/>
          <w:b/>
          <w:color w:val="auto"/>
          <w:kern w:val="0"/>
          <w:sz w:val="36"/>
          <w:szCs w:val="36"/>
          <w:highlight w:val="none"/>
        </w:rPr>
        <w:t>目录</w:t>
      </w:r>
    </w:p>
    <w:p>
      <w:pPr>
        <w:pStyle w:val="50"/>
        <w:ind w:left="426" w:firstLine="486"/>
        <w:rPr>
          <w:rFonts w:hint="default"/>
          <w:color w:val="auto"/>
          <w:highlight w:val="none"/>
        </w:rPr>
      </w:pP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w:t>
      </w:r>
      <w:r>
        <w:rPr>
          <w:rFonts w:hint="eastAsia" w:ascii="宋体" w:hAnsi="宋体"/>
          <w:color w:val="auto"/>
          <w:szCs w:val="24"/>
          <w:highlight w:val="none"/>
          <w:lang w:eastAsia="zh-CN"/>
        </w:rPr>
        <w:t>）</w:t>
      </w:r>
      <w:r>
        <w:rPr>
          <w:rFonts w:hint="eastAsia" w:ascii="宋体" w:hAnsi="宋体"/>
          <w:color w:val="auto"/>
          <w:szCs w:val="24"/>
          <w:highlight w:val="none"/>
        </w:rPr>
        <w:t>评分对应表（格式见附件，主要用于评委对应评分内容）</w:t>
      </w:r>
    </w:p>
    <w:p>
      <w:pPr>
        <w:pStyle w:val="61"/>
        <w:numPr>
          <w:ilvl w:val="0"/>
          <w:numId w:val="0"/>
        </w:numPr>
        <w:spacing w:before="0"/>
        <w:ind w:firstLine="480" w:firstLineChars="200"/>
        <w:rPr>
          <w:rFonts w:hint="eastAsia"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2</w:t>
      </w:r>
      <w:r>
        <w:rPr>
          <w:rFonts w:hint="eastAsia" w:ascii="宋体" w:hAnsi="宋体"/>
          <w:color w:val="auto"/>
          <w:szCs w:val="24"/>
          <w:highlight w:val="none"/>
          <w:lang w:eastAsia="zh-CN"/>
        </w:rPr>
        <w:t>）</w:t>
      </w:r>
      <w:r>
        <w:rPr>
          <w:rFonts w:hint="eastAsia" w:ascii="宋体" w:hAnsi="宋体"/>
          <w:color w:val="auto"/>
          <w:szCs w:val="24"/>
          <w:highlight w:val="none"/>
        </w:rPr>
        <w:t>资信分自评表（格式见附件）；</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3</w:t>
      </w:r>
      <w:r>
        <w:rPr>
          <w:rFonts w:hint="eastAsia" w:ascii="宋体" w:hAnsi="宋体"/>
          <w:color w:val="auto"/>
          <w:szCs w:val="24"/>
          <w:highlight w:val="none"/>
          <w:lang w:eastAsia="zh-CN"/>
        </w:rPr>
        <w:t>）综合实力；</w:t>
      </w:r>
    </w:p>
    <w:p>
      <w:pPr>
        <w:pStyle w:val="61"/>
        <w:numPr>
          <w:ilvl w:val="0"/>
          <w:numId w:val="0"/>
        </w:numPr>
        <w:spacing w:before="0"/>
        <w:ind w:firstLine="480" w:firstLineChars="200"/>
        <w:rPr>
          <w:rFonts w:hint="eastAsia"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4</w:t>
      </w:r>
      <w:r>
        <w:rPr>
          <w:rFonts w:hint="eastAsia" w:ascii="宋体" w:hAnsi="宋体"/>
          <w:color w:val="auto"/>
          <w:szCs w:val="24"/>
          <w:highlight w:val="none"/>
          <w:lang w:eastAsia="zh-CN"/>
        </w:rPr>
        <w:t>）管理制度</w:t>
      </w:r>
      <w:r>
        <w:rPr>
          <w:rFonts w:hint="eastAsia" w:ascii="宋体" w:hAnsi="宋体"/>
          <w:color w:val="auto"/>
          <w:szCs w:val="24"/>
          <w:highlight w:val="none"/>
        </w:rPr>
        <w:t>；</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5</w:t>
      </w:r>
      <w:r>
        <w:rPr>
          <w:rFonts w:hint="eastAsia" w:ascii="宋体" w:hAnsi="宋体"/>
          <w:color w:val="auto"/>
          <w:szCs w:val="24"/>
          <w:highlight w:val="none"/>
          <w:lang w:eastAsia="zh-CN"/>
        </w:rPr>
        <w:t>）人员考勤制度</w:t>
      </w:r>
      <w:r>
        <w:rPr>
          <w:rFonts w:hint="eastAsia" w:ascii="宋体" w:hAnsi="宋体"/>
          <w:color w:val="auto"/>
          <w:szCs w:val="24"/>
          <w:highlight w:val="none"/>
        </w:rPr>
        <w:t>；</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服务方案</w:t>
      </w:r>
      <w:r>
        <w:rPr>
          <w:rFonts w:hint="eastAsia" w:ascii="宋体" w:hAnsi="宋体"/>
          <w:color w:val="auto"/>
          <w:szCs w:val="24"/>
          <w:highlight w:val="none"/>
        </w:rPr>
        <w:t>；</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7</w:t>
      </w:r>
      <w:r>
        <w:rPr>
          <w:rFonts w:hint="eastAsia" w:ascii="宋体" w:hAnsi="宋体"/>
          <w:color w:val="auto"/>
          <w:szCs w:val="24"/>
          <w:highlight w:val="none"/>
          <w:lang w:eastAsia="zh-CN"/>
        </w:rPr>
        <w:t>）</w:t>
      </w:r>
      <w:r>
        <w:rPr>
          <w:rFonts w:hint="eastAsia" w:ascii="宋体" w:hAnsi="宋体"/>
          <w:color w:val="auto"/>
          <w:sz w:val="24"/>
          <w:highlight w:val="none"/>
        </w:rPr>
        <w:t>突发应急预案</w:t>
      </w:r>
      <w:r>
        <w:rPr>
          <w:rFonts w:hint="eastAsia" w:ascii="宋体" w:hAnsi="宋体"/>
          <w:color w:val="auto"/>
          <w:szCs w:val="24"/>
          <w:highlight w:val="none"/>
        </w:rPr>
        <w:t>；</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8</w:t>
      </w:r>
      <w:r>
        <w:rPr>
          <w:rFonts w:hint="eastAsia" w:ascii="宋体" w:hAnsi="宋体"/>
          <w:color w:val="auto"/>
          <w:szCs w:val="24"/>
          <w:highlight w:val="none"/>
          <w:lang w:eastAsia="zh-CN"/>
        </w:rPr>
        <w:t>）</w:t>
      </w:r>
      <w:r>
        <w:rPr>
          <w:rFonts w:hint="eastAsia" w:ascii="宋体" w:hAnsi="宋体"/>
          <w:color w:val="auto"/>
          <w:szCs w:val="24"/>
          <w:highlight w:val="none"/>
        </w:rPr>
        <w:t>应急车辆情况表；</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9</w:t>
      </w:r>
      <w:r>
        <w:rPr>
          <w:rFonts w:hint="eastAsia" w:ascii="宋体" w:hAnsi="宋体"/>
          <w:color w:val="auto"/>
          <w:szCs w:val="24"/>
          <w:highlight w:val="none"/>
          <w:lang w:eastAsia="zh-CN"/>
        </w:rPr>
        <w:t>）</w:t>
      </w:r>
      <w:r>
        <w:rPr>
          <w:rFonts w:hint="eastAsia" w:ascii="宋体" w:hAnsi="宋体"/>
          <w:color w:val="auto"/>
          <w:szCs w:val="24"/>
          <w:highlight w:val="none"/>
        </w:rPr>
        <w:t>重大活动保障；</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10</w:t>
      </w:r>
      <w:r>
        <w:rPr>
          <w:rFonts w:hint="eastAsia" w:ascii="宋体" w:hAnsi="宋体"/>
          <w:color w:val="auto"/>
          <w:szCs w:val="24"/>
          <w:highlight w:val="none"/>
          <w:lang w:eastAsia="zh-CN"/>
        </w:rPr>
        <w:t>）</w:t>
      </w:r>
      <w:r>
        <w:rPr>
          <w:rFonts w:hint="eastAsia" w:ascii="宋体" w:hAnsi="宋体"/>
          <w:color w:val="auto"/>
          <w:sz w:val="24"/>
          <w:highlight w:val="none"/>
        </w:rPr>
        <w:t>培训方案</w:t>
      </w:r>
      <w:r>
        <w:rPr>
          <w:rFonts w:hint="eastAsia" w:ascii="宋体" w:hAnsi="宋体"/>
          <w:color w:val="auto"/>
          <w:sz w:val="24"/>
          <w:highlight w:val="none"/>
          <w:lang w:eastAsia="zh-CN"/>
        </w:rPr>
        <w:t>；</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11</w:t>
      </w:r>
      <w:r>
        <w:rPr>
          <w:rFonts w:hint="eastAsia" w:ascii="宋体" w:hAnsi="宋体"/>
          <w:color w:val="auto"/>
          <w:szCs w:val="24"/>
          <w:highlight w:val="none"/>
          <w:lang w:eastAsia="zh-CN"/>
        </w:rPr>
        <w:t>）</w:t>
      </w:r>
      <w:r>
        <w:rPr>
          <w:rFonts w:hint="eastAsia" w:ascii="宋体" w:hAnsi="宋体"/>
          <w:color w:val="auto"/>
          <w:szCs w:val="24"/>
          <w:highlight w:val="none"/>
        </w:rPr>
        <w:t>进退场交接方案；</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12</w:t>
      </w:r>
      <w:r>
        <w:rPr>
          <w:rFonts w:hint="eastAsia" w:ascii="宋体" w:hAnsi="宋体"/>
          <w:color w:val="auto"/>
          <w:szCs w:val="24"/>
          <w:highlight w:val="none"/>
          <w:lang w:eastAsia="zh-CN"/>
        </w:rPr>
        <w:t>）</w:t>
      </w:r>
      <w:r>
        <w:rPr>
          <w:rFonts w:hint="eastAsia" w:ascii="宋体" w:hAnsi="宋体"/>
          <w:color w:val="auto"/>
          <w:szCs w:val="24"/>
          <w:highlight w:val="none"/>
        </w:rPr>
        <w:t>商务响应表（格式见附件）；</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13</w:t>
      </w:r>
      <w:r>
        <w:rPr>
          <w:rFonts w:hint="eastAsia" w:ascii="宋体" w:hAnsi="宋体"/>
          <w:color w:val="auto"/>
          <w:szCs w:val="24"/>
          <w:highlight w:val="none"/>
          <w:lang w:eastAsia="zh-CN"/>
        </w:rPr>
        <w:t>）</w:t>
      </w:r>
      <w:r>
        <w:rPr>
          <w:rFonts w:hint="eastAsia" w:ascii="宋体" w:hAnsi="宋体"/>
          <w:color w:val="auto"/>
          <w:szCs w:val="24"/>
          <w:highlight w:val="none"/>
        </w:rPr>
        <w:t>业绩；</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14</w:t>
      </w:r>
      <w:r>
        <w:rPr>
          <w:rFonts w:hint="eastAsia" w:ascii="宋体" w:hAnsi="宋体"/>
          <w:color w:val="auto"/>
          <w:szCs w:val="24"/>
          <w:highlight w:val="none"/>
          <w:lang w:eastAsia="zh-CN"/>
        </w:rPr>
        <w:t>）</w:t>
      </w:r>
      <w:r>
        <w:rPr>
          <w:rFonts w:hint="eastAsia" w:ascii="宋体" w:hAnsi="宋体"/>
          <w:color w:val="auto"/>
          <w:szCs w:val="24"/>
          <w:highlight w:val="none"/>
        </w:rPr>
        <w:t>证书；</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15</w:t>
      </w:r>
      <w:r>
        <w:rPr>
          <w:rFonts w:hint="eastAsia" w:ascii="宋体" w:hAnsi="宋体"/>
          <w:color w:val="auto"/>
          <w:szCs w:val="24"/>
          <w:highlight w:val="none"/>
          <w:lang w:eastAsia="zh-CN"/>
        </w:rPr>
        <w:t>）</w:t>
      </w:r>
      <w:r>
        <w:rPr>
          <w:rFonts w:hint="eastAsia" w:ascii="宋体" w:hAnsi="宋体"/>
          <w:color w:val="auto"/>
          <w:szCs w:val="24"/>
          <w:highlight w:val="none"/>
        </w:rPr>
        <w:t>荣誉；</w:t>
      </w:r>
    </w:p>
    <w:p>
      <w:pPr>
        <w:pStyle w:val="61"/>
        <w:numPr>
          <w:ilvl w:val="0"/>
          <w:numId w:val="0"/>
        </w:numPr>
        <w:spacing w:before="0"/>
        <w:ind w:firstLine="480" w:firstLineChars="200"/>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16</w:t>
      </w:r>
      <w:r>
        <w:rPr>
          <w:rFonts w:hint="eastAsia" w:ascii="宋体" w:hAnsi="宋体"/>
          <w:color w:val="auto"/>
          <w:szCs w:val="24"/>
          <w:highlight w:val="none"/>
          <w:lang w:eastAsia="zh-CN"/>
        </w:rPr>
        <w:t>）</w:t>
      </w:r>
      <w:r>
        <w:rPr>
          <w:rFonts w:hint="eastAsia" w:ascii="宋体" w:hAnsi="宋体"/>
          <w:color w:val="auto"/>
          <w:szCs w:val="24"/>
          <w:highlight w:val="none"/>
        </w:rPr>
        <w:t>投标人认为需要的其他文件资料。</w:t>
      </w:r>
    </w:p>
    <w:p>
      <w:pPr>
        <w:pStyle w:val="58"/>
        <w:spacing w:line="500" w:lineRule="exact"/>
        <w:ind w:firstLine="480" w:firstLineChars="200"/>
        <w:rPr>
          <w:rFonts w:hAnsi="宋体"/>
          <w:color w:val="auto"/>
          <w:sz w:val="24"/>
          <w:highlight w:val="none"/>
        </w:rPr>
      </w:pPr>
    </w:p>
    <w:p>
      <w:pPr>
        <w:spacing w:line="360" w:lineRule="auto"/>
        <w:ind w:firstLine="480" w:firstLineChars="200"/>
        <w:rPr>
          <w:rFonts w:ascii="宋体" w:hAnsi="宋体"/>
          <w:color w:val="auto"/>
          <w:sz w:val="24"/>
          <w:highlight w:val="none"/>
        </w:rPr>
      </w:pPr>
    </w:p>
    <w:p>
      <w:pPr>
        <w:snapToGrid w:val="0"/>
        <w:spacing w:before="50" w:after="50"/>
        <w:jc w:val="left"/>
        <w:rPr>
          <w:rFonts w:ascii="宋体" w:hAnsi="宋体"/>
          <w:b/>
          <w:bCs/>
          <w:color w:val="auto"/>
          <w:sz w:val="24"/>
          <w:highlight w:val="none"/>
          <w:lang w:val="zh-CN"/>
        </w:rPr>
      </w:pPr>
      <w:r>
        <w:rPr>
          <w:rFonts w:hint="eastAsia" w:ascii="宋体" w:hAnsi="宋体"/>
          <w:b/>
          <w:bCs/>
          <w:color w:val="auto"/>
          <w:sz w:val="24"/>
          <w:highlight w:val="none"/>
          <w:lang w:val="zh-CN"/>
        </w:rPr>
        <w:br w:type="page"/>
      </w:r>
      <w:r>
        <w:rPr>
          <w:rFonts w:hint="eastAsia" w:ascii="宋体" w:hAnsi="宋体"/>
          <w:b/>
          <w:bCs/>
          <w:color w:val="auto"/>
          <w:sz w:val="24"/>
          <w:highlight w:val="none"/>
          <w:lang w:val="zh-CN"/>
        </w:rPr>
        <w:t>附件</w:t>
      </w:r>
      <w:r>
        <w:rPr>
          <w:rFonts w:hint="eastAsia" w:ascii="宋体" w:hAnsi="宋体"/>
          <w:b/>
          <w:bCs/>
          <w:color w:val="auto"/>
          <w:sz w:val="24"/>
          <w:highlight w:val="none"/>
        </w:rPr>
        <w:t>六</w:t>
      </w:r>
      <w:r>
        <w:rPr>
          <w:rFonts w:hint="eastAsia" w:ascii="宋体" w:hAnsi="宋体"/>
          <w:b/>
          <w:bCs/>
          <w:color w:val="auto"/>
          <w:sz w:val="24"/>
          <w:highlight w:val="none"/>
          <w:lang w:val="zh-CN"/>
        </w:rPr>
        <w:t>：</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评分对应表</w:t>
      </w:r>
    </w:p>
    <w:p>
      <w:pPr>
        <w:snapToGrid w:val="0"/>
        <w:spacing w:before="50"/>
        <w:jc w:val="center"/>
        <w:rPr>
          <w:rFonts w:ascii="宋体" w:hAnsi="宋体"/>
          <w:b/>
          <w:color w:val="auto"/>
          <w:sz w:val="32"/>
          <w:szCs w:val="32"/>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采购编号：</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评分项目</w:t>
            </w:r>
          </w:p>
        </w:tc>
        <w:tc>
          <w:tcPr>
            <w:tcW w:w="3060" w:type="dxa"/>
            <w:tcBorders>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响应文件对应资料</w:t>
            </w:r>
          </w:p>
        </w:tc>
        <w:tc>
          <w:tcPr>
            <w:tcW w:w="1977" w:type="dxa"/>
            <w:tcBorders>
              <w:left w:val="single" w:color="auto" w:sz="4" w:space="0"/>
              <w:bottom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对应评分办法及评分标准</w:t>
            </w:r>
          </w:p>
          <w:p>
            <w:pPr>
              <w:jc w:val="center"/>
              <w:rPr>
                <w:rFonts w:ascii="宋体" w:hAnsi="宋体"/>
                <w:color w:val="auto"/>
                <w:sz w:val="24"/>
                <w:highlight w:val="none"/>
              </w:rPr>
            </w:pPr>
            <w:r>
              <w:rPr>
                <w:rFonts w:hint="eastAsia" w:ascii="宋体" w:hAnsi="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1977" w:type="dxa"/>
            <w:tcBorders>
              <w:top w:val="single" w:color="auto" w:sz="4" w:space="0"/>
              <w:left w:val="single" w:color="auto" w:sz="4" w:space="0"/>
              <w:bottom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olor w:val="auto"/>
                <w:sz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olor w:val="auto"/>
                <w:sz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olor w:val="auto"/>
                <w:sz w:val="24"/>
                <w:highlight w:val="none"/>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right w:val="single" w:color="auto" w:sz="4" w:space="0"/>
            </w:tcBorders>
            <w:vAlign w:val="center"/>
          </w:tcPr>
          <w:p>
            <w:pPr>
              <w:spacing w:line="360" w:lineRule="auto"/>
              <w:ind w:firstLine="480" w:firstLineChars="200"/>
              <w:jc w:val="center"/>
              <w:rPr>
                <w:rFonts w:ascii="宋体" w:hAnsi="宋体"/>
                <w:color w:val="auto"/>
                <w:sz w:val="24"/>
                <w:highlight w:val="none"/>
              </w:rPr>
            </w:pPr>
          </w:p>
        </w:tc>
        <w:tc>
          <w:tcPr>
            <w:tcW w:w="3060" w:type="dxa"/>
            <w:tcBorders>
              <w:top w:val="single" w:color="auto" w:sz="4" w:space="0"/>
              <w:left w:val="single" w:color="auto" w:sz="4" w:space="0"/>
              <w:right w:val="single" w:color="auto" w:sz="4" w:space="0"/>
            </w:tcBorders>
            <w:vAlign w:val="center"/>
          </w:tcPr>
          <w:p>
            <w:pPr>
              <w:spacing w:line="360" w:lineRule="auto"/>
              <w:ind w:firstLine="480" w:firstLineChars="200"/>
              <w:jc w:val="center"/>
              <w:rPr>
                <w:rFonts w:ascii="宋体" w:hAnsi="宋体"/>
                <w:color w:val="auto"/>
                <w:sz w:val="24"/>
                <w:highlight w:val="none"/>
              </w:rPr>
            </w:pPr>
          </w:p>
        </w:tc>
        <w:tc>
          <w:tcPr>
            <w:tcW w:w="1977" w:type="dxa"/>
            <w:tcBorders>
              <w:top w:val="single" w:color="auto" w:sz="4" w:space="0"/>
              <w:left w:val="single" w:color="auto" w:sz="4" w:space="0"/>
            </w:tcBorders>
            <w:vAlign w:val="center"/>
          </w:tcPr>
          <w:p>
            <w:pPr>
              <w:spacing w:line="360" w:lineRule="auto"/>
              <w:ind w:firstLine="480" w:firstLineChars="200"/>
              <w:jc w:val="center"/>
              <w:rPr>
                <w:rFonts w:ascii="宋体" w:hAnsi="宋体"/>
                <w:color w:val="auto"/>
                <w:sz w:val="24"/>
                <w:highlight w:val="none"/>
              </w:rPr>
            </w:pPr>
          </w:p>
        </w:tc>
      </w:tr>
    </w:tbl>
    <w:p>
      <w:pPr>
        <w:spacing w:line="360" w:lineRule="auto"/>
        <w:ind w:firstLine="480" w:firstLineChars="200"/>
        <w:rPr>
          <w:rFonts w:ascii="宋体" w:hAnsi="宋体"/>
          <w:color w:val="auto"/>
          <w:sz w:val="24"/>
          <w:highlight w:val="none"/>
        </w:rPr>
      </w:pPr>
    </w:p>
    <w:p>
      <w:pPr>
        <w:spacing w:line="360" w:lineRule="auto"/>
        <w:ind w:left="3780" w:leftChars="1800" w:firstLine="480" w:firstLineChars="200"/>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法定代表人或被授权委托人签名（或签名章）：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r>
        <w:rPr>
          <w:rFonts w:hint="eastAsia" w:ascii="宋体" w:hAnsi="宋体"/>
          <w:color w:val="auto"/>
          <w:sz w:val="24"/>
          <w:highlight w:val="none"/>
        </w:rPr>
        <w:t>供应商全称（公章）：</w:t>
      </w:r>
    </w:p>
    <w:p>
      <w:pPr>
        <w:rPr>
          <w:rFonts w:ascii="宋体" w:hAnsi="宋体"/>
          <w:color w:val="auto"/>
          <w:highlight w:val="none"/>
          <w:lang w:val="zh-CN"/>
        </w:rPr>
      </w:pPr>
      <w:r>
        <w:rPr>
          <w:rFonts w:hint="eastAsia" w:ascii="宋体" w:hAnsi="宋体"/>
          <w:color w:val="auto"/>
          <w:highlight w:val="none"/>
          <w:lang w:val="zh-CN"/>
        </w:rPr>
        <w:br w:type="page"/>
      </w:r>
      <w:r>
        <w:rPr>
          <w:rFonts w:hint="eastAsia" w:ascii="宋体" w:hAnsi="宋体"/>
          <w:b/>
          <w:bCs/>
          <w:color w:val="auto"/>
          <w:sz w:val="24"/>
          <w:szCs w:val="32"/>
          <w:highlight w:val="none"/>
          <w:lang w:val="zh-CN"/>
        </w:rPr>
        <w:t>附件</w:t>
      </w:r>
      <w:r>
        <w:rPr>
          <w:rFonts w:hint="eastAsia" w:ascii="宋体" w:hAnsi="宋体"/>
          <w:b/>
          <w:bCs/>
          <w:color w:val="auto"/>
          <w:sz w:val="24"/>
          <w:szCs w:val="32"/>
          <w:highlight w:val="none"/>
        </w:rPr>
        <w:t>七：</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资信分自评表</w:t>
      </w:r>
    </w:p>
    <w:p>
      <w:pPr>
        <w:snapToGrid w:val="0"/>
        <w:spacing w:before="50"/>
        <w:jc w:val="center"/>
        <w:rPr>
          <w:rFonts w:ascii="宋体" w:hAnsi="宋体"/>
          <w:b/>
          <w:color w:val="auto"/>
          <w:sz w:val="32"/>
          <w:szCs w:val="32"/>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采购编号：</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387" w:type="dxa"/>
            <w:vAlign w:val="center"/>
          </w:tcPr>
          <w:p>
            <w:pPr>
              <w:jc w:val="center"/>
              <w:rPr>
                <w:rFonts w:ascii="宋体" w:hAnsi="宋体"/>
                <w:color w:val="auto"/>
                <w:sz w:val="24"/>
                <w:highlight w:val="none"/>
              </w:rPr>
            </w:pPr>
            <w:r>
              <w:rPr>
                <w:rFonts w:hint="eastAsia" w:ascii="宋体" w:hAnsi="宋体"/>
                <w:color w:val="auto"/>
                <w:sz w:val="24"/>
                <w:highlight w:val="none"/>
              </w:rPr>
              <w:t>资信分内容</w:t>
            </w:r>
          </w:p>
        </w:tc>
        <w:tc>
          <w:tcPr>
            <w:tcW w:w="1462" w:type="dxa"/>
            <w:vAlign w:val="center"/>
          </w:tcPr>
          <w:p>
            <w:pPr>
              <w:jc w:val="center"/>
              <w:rPr>
                <w:rFonts w:ascii="宋体" w:hAnsi="宋体"/>
                <w:color w:val="auto"/>
                <w:sz w:val="24"/>
                <w:highlight w:val="none"/>
              </w:rPr>
            </w:pPr>
            <w:r>
              <w:rPr>
                <w:rFonts w:hint="eastAsia" w:ascii="宋体" w:hAnsi="宋体"/>
                <w:color w:val="auto"/>
                <w:sz w:val="24"/>
                <w:highlight w:val="none"/>
              </w:rPr>
              <w:t>自评得分</w:t>
            </w:r>
          </w:p>
        </w:tc>
        <w:tc>
          <w:tcPr>
            <w:tcW w:w="2415" w:type="dxa"/>
            <w:vAlign w:val="center"/>
          </w:tcPr>
          <w:p>
            <w:pPr>
              <w:jc w:val="center"/>
              <w:rPr>
                <w:rFonts w:ascii="宋体" w:hAnsi="宋体"/>
                <w:color w:val="auto"/>
                <w:sz w:val="24"/>
                <w:highlight w:val="none"/>
              </w:rPr>
            </w:pPr>
            <w:r>
              <w:rPr>
                <w:rFonts w:hint="eastAsia" w:ascii="宋体" w:hAnsi="宋体"/>
                <w:color w:val="auto"/>
                <w:sz w:val="24"/>
                <w:highlight w:val="none"/>
              </w:rPr>
              <w:t>响应文件对应资料</w:t>
            </w:r>
          </w:p>
        </w:tc>
        <w:tc>
          <w:tcPr>
            <w:tcW w:w="1746" w:type="dxa"/>
            <w:vAlign w:val="center"/>
          </w:tcPr>
          <w:p>
            <w:pPr>
              <w:jc w:val="center"/>
              <w:rPr>
                <w:rFonts w:ascii="宋体" w:hAnsi="宋体"/>
                <w:color w:val="auto"/>
                <w:sz w:val="24"/>
                <w:highlight w:val="none"/>
              </w:rPr>
            </w:pPr>
            <w:r>
              <w:rPr>
                <w:rFonts w:hint="eastAsia" w:ascii="宋体" w:hAnsi="宋体"/>
                <w:color w:val="auto"/>
                <w:sz w:val="24"/>
                <w:highlight w:val="none"/>
              </w:rPr>
              <w:t>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2387" w:type="dxa"/>
          </w:tcPr>
          <w:p>
            <w:pPr>
              <w:jc w:val="center"/>
              <w:rPr>
                <w:rFonts w:ascii="宋体" w:hAnsi="宋体"/>
                <w:color w:val="auto"/>
                <w:sz w:val="24"/>
                <w:highlight w:val="none"/>
              </w:rPr>
            </w:pPr>
          </w:p>
        </w:tc>
        <w:tc>
          <w:tcPr>
            <w:tcW w:w="1462" w:type="dxa"/>
          </w:tcPr>
          <w:p>
            <w:pPr>
              <w:jc w:val="center"/>
              <w:rPr>
                <w:rFonts w:ascii="宋体" w:hAnsi="宋体"/>
                <w:color w:val="auto"/>
                <w:sz w:val="24"/>
                <w:highlight w:val="none"/>
              </w:rPr>
            </w:pPr>
          </w:p>
        </w:tc>
        <w:tc>
          <w:tcPr>
            <w:tcW w:w="2415" w:type="dxa"/>
          </w:tcPr>
          <w:p>
            <w:pPr>
              <w:jc w:val="center"/>
              <w:rPr>
                <w:rFonts w:ascii="宋体" w:hAnsi="宋体"/>
                <w:color w:val="auto"/>
                <w:sz w:val="24"/>
                <w:highlight w:val="none"/>
              </w:rPr>
            </w:pPr>
          </w:p>
        </w:tc>
        <w:tc>
          <w:tcPr>
            <w:tcW w:w="1746" w:type="dxa"/>
          </w:tcPr>
          <w:p>
            <w:pPr>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olor w:val="auto"/>
                <w:sz w:val="24"/>
                <w:highlight w:val="none"/>
              </w:rPr>
            </w:pPr>
            <w:r>
              <w:rPr>
                <w:rFonts w:hint="eastAsia" w:ascii="宋体" w:hAnsi="宋体"/>
                <w:color w:val="auto"/>
                <w:sz w:val="24"/>
                <w:highlight w:val="none"/>
              </w:rPr>
              <w:t>2</w:t>
            </w:r>
          </w:p>
        </w:tc>
        <w:tc>
          <w:tcPr>
            <w:tcW w:w="2387" w:type="dxa"/>
          </w:tcPr>
          <w:p>
            <w:pPr>
              <w:jc w:val="center"/>
              <w:rPr>
                <w:rFonts w:ascii="宋体" w:hAnsi="宋体"/>
                <w:color w:val="auto"/>
                <w:sz w:val="24"/>
                <w:highlight w:val="none"/>
              </w:rPr>
            </w:pPr>
          </w:p>
        </w:tc>
        <w:tc>
          <w:tcPr>
            <w:tcW w:w="1462" w:type="dxa"/>
          </w:tcPr>
          <w:p>
            <w:pPr>
              <w:jc w:val="center"/>
              <w:rPr>
                <w:rFonts w:ascii="宋体" w:hAnsi="宋体"/>
                <w:color w:val="auto"/>
                <w:sz w:val="24"/>
                <w:highlight w:val="none"/>
              </w:rPr>
            </w:pPr>
          </w:p>
        </w:tc>
        <w:tc>
          <w:tcPr>
            <w:tcW w:w="2415" w:type="dxa"/>
          </w:tcPr>
          <w:p>
            <w:pPr>
              <w:jc w:val="center"/>
              <w:rPr>
                <w:rFonts w:ascii="宋体" w:hAnsi="宋体"/>
                <w:color w:val="auto"/>
                <w:sz w:val="24"/>
                <w:highlight w:val="none"/>
              </w:rPr>
            </w:pPr>
          </w:p>
        </w:tc>
        <w:tc>
          <w:tcPr>
            <w:tcW w:w="1746" w:type="dxa"/>
          </w:tcPr>
          <w:p>
            <w:pPr>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olor w:val="auto"/>
                <w:sz w:val="24"/>
                <w:highlight w:val="none"/>
              </w:rPr>
            </w:pPr>
            <w:r>
              <w:rPr>
                <w:rFonts w:hint="eastAsia" w:ascii="宋体" w:hAnsi="宋体"/>
                <w:color w:val="auto"/>
                <w:sz w:val="24"/>
                <w:highlight w:val="none"/>
              </w:rPr>
              <w:t>3</w:t>
            </w:r>
          </w:p>
        </w:tc>
        <w:tc>
          <w:tcPr>
            <w:tcW w:w="2387" w:type="dxa"/>
          </w:tcPr>
          <w:p>
            <w:pPr>
              <w:jc w:val="center"/>
              <w:rPr>
                <w:rFonts w:ascii="宋体" w:hAnsi="宋体"/>
                <w:color w:val="auto"/>
                <w:sz w:val="24"/>
                <w:highlight w:val="none"/>
              </w:rPr>
            </w:pPr>
          </w:p>
        </w:tc>
        <w:tc>
          <w:tcPr>
            <w:tcW w:w="1462" w:type="dxa"/>
          </w:tcPr>
          <w:p>
            <w:pPr>
              <w:jc w:val="center"/>
              <w:rPr>
                <w:rFonts w:ascii="宋体" w:hAnsi="宋体"/>
                <w:color w:val="auto"/>
                <w:sz w:val="24"/>
                <w:highlight w:val="none"/>
              </w:rPr>
            </w:pPr>
          </w:p>
        </w:tc>
        <w:tc>
          <w:tcPr>
            <w:tcW w:w="2415" w:type="dxa"/>
          </w:tcPr>
          <w:p>
            <w:pPr>
              <w:jc w:val="center"/>
              <w:rPr>
                <w:rFonts w:ascii="宋体" w:hAnsi="宋体"/>
                <w:color w:val="auto"/>
                <w:sz w:val="24"/>
                <w:highlight w:val="none"/>
              </w:rPr>
            </w:pPr>
          </w:p>
        </w:tc>
        <w:tc>
          <w:tcPr>
            <w:tcW w:w="1746" w:type="dxa"/>
          </w:tcPr>
          <w:p>
            <w:pPr>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olor w:val="auto"/>
                <w:sz w:val="24"/>
                <w:highlight w:val="none"/>
              </w:rPr>
            </w:pPr>
            <w:r>
              <w:rPr>
                <w:rFonts w:hint="eastAsia" w:ascii="宋体" w:hAnsi="宋体"/>
                <w:color w:val="auto"/>
                <w:sz w:val="24"/>
                <w:highlight w:val="none"/>
              </w:rPr>
              <w:t>4</w:t>
            </w:r>
          </w:p>
        </w:tc>
        <w:tc>
          <w:tcPr>
            <w:tcW w:w="2387" w:type="dxa"/>
          </w:tcPr>
          <w:p>
            <w:pPr>
              <w:jc w:val="center"/>
              <w:rPr>
                <w:rFonts w:ascii="宋体" w:hAnsi="宋体"/>
                <w:color w:val="auto"/>
                <w:sz w:val="24"/>
                <w:highlight w:val="none"/>
              </w:rPr>
            </w:pPr>
          </w:p>
        </w:tc>
        <w:tc>
          <w:tcPr>
            <w:tcW w:w="1462" w:type="dxa"/>
          </w:tcPr>
          <w:p>
            <w:pPr>
              <w:jc w:val="center"/>
              <w:rPr>
                <w:rFonts w:ascii="宋体" w:hAnsi="宋体"/>
                <w:color w:val="auto"/>
                <w:sz w:val="24"/>
                <w:highlight w:val="none"/>
              </w:rPr>
            </w:pPr>
          </w:p>
        </w:tc>
        <w:tc>
          <w:tcPr>
            <w:tcW w:w="2415" w:type="dxa"/>
          </w:tcPr>
          <w:p>
            <w:pPr>
              <w:jc w:val="center"/>
              <w:rPr>
                <w:rFonts w:ascii="宋体" w:hAnsi="宋体"/>
                <w:color w:val="auto"/>
                <w:sz w:val="24"/>
                <w:highlight w:val="none"/>
              </w:rPr>
            </w:pPr>
          </w:p>
        </w:tc>
        <w:tc>
          <w:tcPr>
            <w:tcW w:w="1746" w:type="dxa"/>
          </w:tcPr>
          <w:p>
            <w:pPr>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olor w:val="auto"/>
                <w:sz w:val="24"/>
                <w:highlight w:val="none"/>
              </w:rPr>
            </w:pPr>
            <w:r>
              <w:rPr>
                <w:rFonts w:hint="eastAsia" w:ascii="宋体" w:hAnsi="宋体"/>
                <w:color w:val="auto"/>
                <w:sz w:val="24"/>
                <w:highlight w:val="none"/>
              </w:rPr>
              <w:t>5</w:t>
            </w:r>
          </w:p>
        </w:tc>
        <w:tc>
          <w:tcPr>
            <w:tcW w:w="2387" w:type="dxa"/>
          </w:tcPr>
          <w:p>
            <w:pPr>
              <w:jc w:val="center"/>
              <w:rPr>
                <w:rFonts w:ascii="宋体" w:hAnsi="宋体"/>
                <w:color w:val="auto"/>
                <w:sz w:val="24"/>
                <w:highlight w:val="none"/>
              </w:rPr>
            </w:pPr>
          </w:p>
        </w:tc>
        <w:tc>
          <w:tcPr>
            <w:tcW w:w="1462" w:type="dxa"/>
          </w:tcPr>
          <w:p>
            <w:pPr>
              <w:jc w:val="center"/>
              <w:rPr>
                <w:rFonts w:ascii="宋体" w:hAnsi="宋体"/>
                <w:color w:val="auto"/>
                <w:sz w:val="24"/>
                <w:highlight w:val="none"/>
              </w:rPr>
            </w:pPr>
          </w:p>
        </w:tc>
        <w:tc>
          <w:tcPr>
            <w:tcW w:w="2415" w:type="dxa"/>
          </w:tcPr>
          <w:p>
            <w:pPr>
              <w:jc w:val="center"/>
              <w:rPr>
                <w:rFonts w:ascii="宋体" w:hAnsi="宋体"/>
                <w:color w:val="auto"/>
                <w:sz w:val="24"/>
                <w:highlight w:val="none"/>
              </w:rPr>
            </w:pPr>
          </w:p>
        </w:tc>
        <w:tc>
          <w:tcPr>
            <w:tcW w:w="1746" w:type="dxa"/>
          </w:tcPr>
          <w:p>
            <w:pPr>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olor w:val="auto"/>
                <w:sz w:val="24"/>
                <w:highlight w:val="none"/>
              </w:rPr>
            </w:pPr>
            <w:r>
              <w:rPr>
                <w:rFonts w:hint="eastAsia" w:ascii="宋体" w:hAnsi="宋体"/>
                <w:color w:val="auto"/>
                <w:sz w:val="24"/>
                <w:highlight w:val="none"/>
              </w:rPr>
              <w:t>6</w:t>
            </w:r>
          </w:p>
        </w:tc>
        <w:tc>
          <w:tcPr>
            <w:tcW w:w="2387" w:type="dxa"/>
          </w:tcPr>
          <w:p>
            <w:pPr>
              <w:jc w:val="center"/>
              <w:rPr>
                <w:rFonts w:ascii="宋体" w:hAnsi="宋体"/>
                <w:color w:val="auto"/>
                <w:sz w:val="24"/>
                <w:highlight w:val="none"/>
              </w:rPr>
            </w:pPr>
          </w:p>
        </w:tc>
        <w:tc>
          <w:tcPr>
            <w:tcW w:w="1462" w:type="dxa"/>
          </w:tcPr>
          <w:p>
            <w:pPr>
              <w:jc w:val="center"/>
              <w:rPr>
                <w:rFonts w:ascii="宋体" w:hAnsi="宋体"/>
                <w:color w:val="auto"/>
                <w:sz w:val="24"/>
                <w:highlight w:val="none"/>
              </w:rPr>
            </w:pPr>
          </w:p>
        </w:tc>
        <w:tc>
          <w:tcPr>
            <w:tcW w:w="2415" w:type="dxa"/>
          </w:tcPr>
          <w:p>
            <w:pPr>
              <w:jc w:val="center"/>
              <w:rPr>
                <w:rFonts w:ascii="宋体" w:hAnsi="宋体"/>
                <w:color w:val="auto"/>
                <w:sz w:val="24"/>
                <w:highlight w:val="none"/>
              </w:rPr>
            </w:pPr>
          </w:p>
        </w:tc>
        <w:tc>
          <w:tcPr>
            <w:tcW w:w="1746" w:type="dxa"/>
          </w:tcPr>
          <w:p>
            <w:pPr>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olor w:val="auto"/>
                <w:sz w:val="24"/>
                <w:highlight w:val="none"/>
              </w:rPr>
            </w:pPr>
            <w:r>
              <w:rPr>
                <w:rFonts w:hint="eastAsia" w:ascii="宋体" w:hAnsi="宋体"/>
                <w:color w:val="auto"/>
                <w:sz w:val="24"/>
                <w:highlight w:val="none"/>
              </w:rPr>
              <w:t>7</w:t>
            </w:r>
          </w:p>
        </w:tc>
        <w:tc>
          <w:tcPr>
            <w:tcW w:w="2387" w:type="dxa"/>
          </w:tcPr>
          <w:p>
            <w:pPr>
              <w:jc w:val="center"/>
              <w:rPr>
                <w:rFonts w:ascii="宋体" w:hAnsi="宋体"/>
                <w:color w:val="auto"/>
                <w:sz w:val="24"/>
                <w:highlight w:val="none"/>
              </w:rPr>
            </w:pPr>
          </w:p>
        </w:tc>
        <w:tc>
          <w:tcPr>
            <w:tcW w:w="1462" w:type="dxa"/>
          </w:tcPr>
          <w:p>
            <w:pPr>
              <w:jc w:val="center"/>
              <w:rPr>
                <w:rFonts w:ascii="宋体" w:hAnsi="宋体"/>
                <w:color w:val="auto"/>
                <w:sz w:val="24"/>
                <w:highlight w:val="none"/>
              </w:rPr>
            </w:pPr>
          </w:p>
        </w:tc>
        <w:tc>
          <w:tcPr>
            <w:tcW w:w="2415" w:type="dxa"/>
          </w:tcPr>
          <w:p>
            <w:pPr>
              <w:jc w:val="center"/>
              <w:rPr>
                <w:rFonts w:ascii="宋体" w:hAnsi="宋体"/>
                <w:color w:val="auto"/>
                <w:sz w:val="24"/>
                <w:highlight w:val="none"/>
              </w:rPr>
            </w:pPr>
          </w:p>
        </w:tc>
        <w:tc>
          <w:tcPr>
            <w:tcW w:w="1746" w:type="dxa"/>
          </w:tcPr>
          <w:p>
            <w:pPr>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olor w:val="auto"/>
                <w:sz w:val="24"/>
                <w:highlight w:val="none"/>
              </w:rPr>
            </w:pPr>
            <w:r>
              <w:rPr>
                <w:rFonts w:hint="eastAsia" w:ascii="宋体" w:hAnsi="宋体"/>
                <w:color w:val="auto"/>
                <w:sz w:val="24"/>
                <w:highlight w:val="none"/>
              </w:rPr>
              <w:t>8</w:t>
            </w:r>
          </w:p>
        </w:tc>
        <w:tc>
          <w:tcPr>
            <w:tcW w:w="2387" w:type="dxa"/>
          </w:tcPr>
          <w:p>
            <w:pPr>
              <w:jc w:val="center"/>
              <w:rPr>
                <w:rFonts w:ascii="宋体" w:hAnsi="宋体"/>
                <w:color w:val="auto"/>
                <w:sz w:val="24"/>
                <w:highlight w:val="none"/>
              </w:rPr>
            </w:pPr>
          </w:p>
        </w:tc>
        <w:tc>
          <w:tcPr>
            <w:tcW w:w="1462" w:type="dxa"/>
          </w:tcPr>
          <w:p>
            <w:pPr>
              <w:jc w:val="center"/>
              <w:rPr>
                <w:rFonts w:ascii="宋体" w:hAnsi="宋体"/>
                <w:color w:val="auto"/>
                <w:sz w:val="24"/>
                <w:highlight w:val="none"/>
              </w:rPr>
            </w:pPr>
          </w:p>
        </w:tc>
        <w:tc>
          <w:tcPr>
            <w:tcW w:w="2415" w:type="dxa"/>
          </w:tcPr>
          <w:p>
            <w:pPr>
              <w:jc w:val="center"/>
              <w:rPr>
                <w:rFonts w:ascii="宋体" w:hAnsi="宋体"/>
                <w:color w:val="auto"/>
                <w:sz w:val="24"/>
                <w:highlight w:val="none"/>
              </w:rPr>
            </w:pPr>
          </w:p>
        </w:tc>
        <w:tc>
          <w:tcPr>
            <w:tcW w:w="1746" w:type="dxa"/>
          </w:tcPr>
          <w:p>
            <w:pPr>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olor w:val="auto"/>
                <w:sz w:val="24"/>
                <w:highlight w:val="none"/>
              </w:rPr>
            </w:pPr>
            <w:r>
              <w:rPr>
                <w:rFonts w:hint="eastAsia" w:ascii="宋体" w:hAnsi="宋体"/>
                <w:color w:val="auto"/>
                <w:sz w:val="24"/>
                <w:highlight w:val="none"/>
              </w:rPr>
              <w:t>合计</w:t>
            </w:r>
          </w:p>
        </w:tc>
        <w:tc>
          <w:tcPr>
            <w:tcW w:w="2387" w:type="dxa"/>
          </w:tcPr>
          <w:p>
            <w:pPr>
              <w:jc w:val="center"/>
              <w:rPr>
                <w:rFonts w:ascii="宋体" w:hAnsi="宋体"/>
                <w:color w:val="auto"/>
                <w:sz w:val="24"/>
                <w:highlight w:val="none"/>
              </w:rPr>
            </w:pPr>
          </w:p>
        </w:tc>
        <w:tc>
          <w:tcPr>
            <w:tcW w:w="1462" w:type="dxa"/>
          </w:tcPr>
          <w:p>
            <w:pPr>
              <w:jc w:val="center"/>
              <w:rPr>
                <w:rFonts w:ascii="宋体" w:hAnsi="宋体"/>
                <w:color w:val="auto"/>
                <w:sz w:val="24"/>
                <w:highlight w:val="none"/>
              </w:rPr>
            </w:pPr>
          </w:p>
        </w:tc>
        <w:tc>
          <w:tcPr>
            <w:tcW w:w="2415" w:type="dxa"/>
          </w:tcPr>
          <w:p>
            <w:pPr>
              <w:jc w:val="center"/>
              <w:rPr>
                <w:rFonts w:ascii="宋体" w:hAnsi="宋体"/>
                <w:color w:val="auto"/>
                <w:sz w:val="24"/>
                <w:highlight w:val="none"/>
              </w:rPr>
            </w:pPr>
          </w:p>
        </w:tc>
        <w:tc>
          <w:tcPr>
            <w:tcW w:w="1746" w:type="dxa"/>
          </w:tcPr>
          <w:p>
            <w:pPr>
              <w:jc w:val="center"/>
              <w:rPr>
                <w:rFonts w:ascii="宋体" w:hAnsi="宋体"/>
                <w:color w:val="auto"/>
                <w:sz w:val="24"/>
                <w:highlight w:val="none"/>
              </w:rPr>
            </w:pPr>
          </w:p>
        </w:tc>
      </w:tr>
    </w:tbl>
    <w:p>
      <w:pPr>
        <w:spacing w:line="360" w:lineRule="auto"/>
        <w:ind w:firstLine="480" w:firstLineChars="200"/>
        <w:rPr>
          <w:rFonts w:ascii="宋体" w:hAnsi="宋体"/>
          <w:color w:val="auto"/>
          <w:sz w:val="24"/>
          <w:highlight w:val="none"/>
        </w:rPr>
      </w:pPr>
    </w:p>
    <w:p>
      <w:pPr>
        <w:spacing w:line="360" w:lineRule="auto"/>
        <w:ind w:left="3780" w:leftChars="1800" w:firstLine="480" w:firstLineChars="200"/>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法定代表人或被授权委托人签名（或签名章）：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r>
        <w:rPr>
          <w:rFonts w:hint="eastAsia" w:ascii="宋体" w:hAnsi="宋体"/>
          <w:color w:val="auto"/>
          <w:sz w:val="24"/>
          <w:highlight w:val="none"/>
        </w:rPr>
        <w:t>供应商全称（公章）：</w:t>
      </w:r>
    </w:p>
    <w:p>
      <w:pPr>
        <w:snapToGrid w:val="0"/>
        <w:spacing w:before="50" w:after="162"/>
        <w:jc w:val="left"/>
        <w:rPr>
          <w:rFonts w:ascii="宋体" w:hAnsi="宋体"/>
          <w:b/>
          <w:bCs/>
          <w:color w:val="auto"/>
          <w:sz w:val="24"/>
          <w:highlight w:val="none"/>
          <w:lang w:val="zh-CN"/>
        </w:rPr>
      </w:pPr>
    </w:p>
    <w:p>
      <w:pPr>
        <w:rPr>
          <w:rFonts w:ascii="宋体" w:hAnsi="宋体"/>
          <w:color w:val="auto"/>
          <w:sz w:val="24"/>
          <w:szCs w:val="18"/>
          <w:highlight w:val="none"/>
        </w:rPr>
      </w:pPr>
      <w:bookmarkStart w:id="74" w:name="_Toc2823"/>
      <w:r>
        <w:rPr>
          <w:rFonts w:hint="eastAsia" w:ascii="宋体" w:hAnsi="宋体"/>
          <w:color w:val="auto"/>
          <w:sz w:val="24"/>
          <w:szCs w:val="18"/>
          <w:highlight w:val="none"/>
        </w:rPr>
        <w:br w:type="page"/>
      </w:r>
      <w:bookmarkEnd w:id="74"/>
      <w:r>
        <w:rPr>
          <w:rFonts w:hint="eastAsia" w:ascii="宋体" w:hAnsi="宋体"/>
          <w:b/>
          <w:bCs/>
          <w:color w:val="auto"/>
          <w:sz w:val="24"/>
          <w:szCs w:val="32"/>
          <w:highlight w:val="none"/>
        </w:rPr>
        <w:t>附件八：</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商务响应表</w:t>
      </w:r>
    </w:p>
    <w:p>
      <w:pPr>
        <w:snapToGrid w:val="0"/>
        <w:spacing w:before="50"/>
        <w:jc w:val="center"/>
        <w:rPr>
          <w:rFonts w:ascii="宋体" w:hAnsi="宋体"/>
          <w:b/>
          <w:color w:val="auto"/>
          <w:sz w:val="32"/>
          <w:szCs w:val="32"/>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采购编号：</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项目</w:t>
            </w:r>
          </w:p>
        </w:tc>
        <w:tc>
          <w:tcPr>
            <w:tcW w:w="2700" w:type="dxa"/>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磋商文件要求</w:t>
            </w:r>
          </w:p>
        </w:tc>
        <w:tc>
          <w:tcPr>
            <w:tcW w:w="1260" w:type="dxa"/>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是否</w:t>
            </w:r>
          </w:p>
          <w:p>
            <w:pPr>
              <w:snapToGrid w:val="0"/>
              <w:spacing w:before="50" w:after="50"/>
              <w:jc w:val="center"/>
              <w:rPr>
                <w:rFonts w:ascii="宋体" w:hAnsi="宋体"/>
                <w:color w:val="auto"/>
                <w:sz w:val="24"/>
                <w:highlight w:val="none"/>
              </w:rPr>
            </w:pPr>
            <w:r>
              <w:rPr>
                <w:rFonts w:hint="eastAsia" w:ascii="宋体" w:hAnsi="宋体"/>
                <w:color w:val="auto"/>
                <w:sz w:val="24"/>
                <w:highlight w:val="none"/>
              </w:rPr>
              <w:t>响应</w:t>
            </w:r>
          </w:p>
        </w:tc>
        <w:tc>
          <w:tcPr>
            <w:tcW w:w="3020" w:type="dxa"/>
            <w:tcBorders>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w:t>
            </w:r>
          </w:p>
        </w:tc>
        <w:tc>
          <w:tcPr>
            <w:tcW w:w="2700" w:type="dxa"/>
            <w:tcBorders>
              <w:top w:val="single" w:color="auto" w:sz="4" w:space="0"/>
              <w:left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60" w:type="dxa"/>
            <w:tcBorders>
              <w:top w:val="single" w:color="auto" w:sz="4" w:space="0"/>
              <w:left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3020" w:type="dxa"/>
            <w:tcBorders>
              <w:top w:val="single" w:color="auto" w:sz="4" w:space="0"/>
              <w:left w:val="single" w:color="auto" w:sz="4" w:space="0"/>
            </w:tcBorders>
            <w:vAlign w:val="center"/>
          </w:tcPr>
          <w:p>
            <w:pPr>
              <w:snapToGrid w:val="0"/>
              <w:spacing w:before="50" w:after="50"/>
              <w:jc w:val="center"/>
              <w:rPr>
                <w:rFonts w:ascii="宋体" w:hAnsi="宋体"/>
                <w:color w:val="auto"/>
                <w:sz w:val="24"/>
                <w:highlight w:val="none"/>
              </w:rPr>
            </w:pPr>
          </w:p>
        </w:tc>
      </w:tr>
    </w:tbl>
    <w:p>
      <w:pPr>
        <w:spacing w:line="360" w:lineRule="auto"/>
        <w:ind w:left="3780" w:leftChars="1800" w:firstLine="480" w:firstLineChars="200"/>
        <w:rPr>
          <w:rFonts w:ascii="宋体" w:hAnsi="宋体"/>
          <w:color w:val="auto"/>
          <w:sz w:val="24"/>
          <w:highlight w:val="none"/>
        </w:rPr>
      </w:pPr>
    </w:p>
    <w:p>
      <w:pPr>
        <w:spacing w:line="360" w:lineRule="auto"/>
        <w:ind w:left="3780" w:leftChars="1800" w:firstLine="480" w:firstLineChars="200"/>
        <w:rPr>
          <w:rFonts w:ascii="宋体" w:hAnsi="宋体"/>
          <w:color w:val="auto"/>
          <w:sz w:val="24"/>
          <w:highlight w:val="none"/>
        </w:rPr>
      </w:pPr>
    </w:p>
    <w:p>
      <w:pPr>
        <w:spacing w:line="360" w:lineRule="auto"/>
        <w:ind w:left="3780" w:leftChars="1800" w:firstLine="480" w:firstLineChars="200"/>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法定代表人或被授权委托人签名（或签名章）：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r>
        <w:rPr>
          <w:rFonts w:hint="eastAsia" w:ascii="宋体" w:hAnsi="宋体"/>
          <w:color w:val="auto"/>
          <w:sz w:val="24"/>
          <w:highlight w:val="none"/>
        </w:rPr>
        <w:t>供应商全称（公章）：</w:t>
      </w:r>
    </w:p>
    <w:p>
      <w:pPr>
        <w:snapToGrid w:val="0"/>
        <w:spacing w:before="50" w:after="50"/>
        <w:rPr>
          <w:rFonts w:ascii="宋体" w:hAnsi="宋体"/>
          <w:color w:val="auto"/>
          <w:sz w:val="24"/>
          <w:highlight w:val="none"/>
        </w:rPr>
      </w:pPr>
      <w:r>
        <w:rPr>
          <w:rFonts w:hint="eastAsia" w:ascii="宋体" w:hAnsi="宋体"/>
          <w:color w:val="auto"/>
          <w:sz w:val="24"/>
          <w:highlight w:val="none"/>
        </w:rPr>
        <w:br w:type="page"/>
      </w:r>
      <w:r>
        <w:rPr>
          <w:rFonts w:hint="eastAsia" w:ascii="宋体" w:hAnsi="宋体"/>
          <w:b/>
          <w:bCs/>
          <w:color w:val="auto"/>
          <w:sz w:val="24"/>
          <w:highlight w:val="none"/>
          <w:lang w:val="zh-CN"/>
        </w:rPr>
        <w:t>附件</w:t>
      </w:r>
      <w:r>
        <w:rPr>
          <w:rFonts w:hint="eastAsia" w:ascii="宋体" w:hAnsi="宋体"/>
          <w:b/>
          <w:bCs/>
          <w:color w:val="auto"/>
          <w:sz w:val="24"/>
          <w:highlight w:val="none"/>
        </w:rPr>
        <w:t>九</w:t>
      </w:r>
      <w:r>
        <w:rPr>
          <w:rFonts w:hint="eastAsia" w:ascii="宋体" w:hAnsi="宋体"/>
          <w:b/>
          <w:bCs/>
          <w:color w:val="auto"/>
          <w:sz w:val="24"/>
          <w:highlight w:val="none"/>
          <w:lang w:val="zh-CN"/>
        </w:rPr>
        <w:t>：</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人员清单</w:t>
      </w:r>
    </w:p>
    <w:p>
      <w:pPr>
        <w:snapToGrid w:val="0"/>
        <w:spacing w:before="162" w:after="50"/>
        <w:jc w:val="center"/>
        <w:rPr>
          <w:rFonts w:ascii="宋体" w:hAnsi="宋体"/>
          <w:b/>
          <w:color w:val="auto"/>
          <w:sz w:val="30"/>
          <w:szCs w:val="30"/>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采购编号：</w:t>
      </w:r>
    </w:p>
    <w:tbl>
      <w:tblPr>
        <w:tblStyle w:val="17"/>
        <w:tblW w:w="95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
        <w:gridCol w:w="885"/>
        <w:gridCol w:w="1081"/>
        <w:gridCol w:w="1663"/>
        <w:gridCol w:w="1663"/>
        <w:gridCol w:w="809"/>
        <w:gridCol w:w="1215"/>
        <w:gridCol w:w="12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5" w:type="dxa"/>
            <w:tcBorders>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姓名</w:t>
            </w:r>
          </w:p>
        </w:tc>
        <w:tc>
          <w:tcPr>
            <w:tcW w:w="885" w:type="dxa"/>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性别</w:t>
            </w:r>
          </w:p>
        </w:tc>
        <w:tc>
          <w:tcPr>
            <w:tcW w:w="1081" w:type="dxa"/>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年龄</w:t>
            </w:r>
          </w:p>
        </w:tc>
        <w:tc>
          <w:tcPr>
            <w:tcW w:w="1663" w:type="dxa"/>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身份证号</w:t>
            </w:r>
          </w:p>
        </w:tc>
        <w:tc>
          <w:tcPr>
            <w:tcW w:w="1663" w:type="dxa"/>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照片</w:t>
            </w:r>
          </w:p>
        </w:tc>
        <w:tc>
          <w:tcPr>
            <w:tcW w:w="809" w:type="dxa"/>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岗位</w:t>
            </w:r>
          </w:p>
        </w:tc>
        <w:tc>
          <w:tcPr>
            <w:tcW w:w="1215" w:type="dxa"/>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相关人员证书</w:t>
            </w:r>
          </w:p>
        </w:tc>
        <w:tc>
          <w:tcPr>
            <w:tcW w:w="1245" w:type="dxa"/>
            <w:tcBorders>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5" w:type="dxa"/>
            <w:tcBorders>
              <w:top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09"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45" w:type="dxa"/>
            <w:tcBorders>
              <w:top w:val="single" w:color="auto" w:sz="4" w:space="0"/>
              <w:left w:val="single" w:color="auto" w:sz="4" w:space="0"/>
              <w:bottom w:val="single" w:color="auto" w:sz="4" w:space="0"/>
            </w:tcBorders>
          </w:tcPr>
          <w:p>
            <w:pPr>
              <w:snapToGrid w:val="0"/>
              <w:spacing w:before="162" w:after="50" w:line="46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5" w:type="dxa"/>
            <w:tcBorders>
              <w:top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09"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45" w:type="dxa"/>
            <w:tcBorders>
              <w:top w:val="single" w:color="auto" w:sz="4" w:space="0"/>
              <w:left w:val="single" w:color="auto" w:sz="4" w:space="0"/>
              <w:bottom w:val="single" w:color="auto" w:sz="4" w:space="0"/>
            </w:tcBorders>
          </w:tcPr>
          <w:p>
            <w:pPr>
              <w:snapToGrid w:val="0"/>
              <w:spacing w:before="162" w:after="50" w:line="46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5" w:type="dxa"/>
            <w:tcBorders>
              <w:top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66"/>
              <w:snapToGrid w:val="0"/>
              <w:spacing w:before="162" w:after="50" w:line="460" w:lineRule="exact"/>
              <w:ind w:left="5250"/>
              <w:rPr>
                <w:color w:val="auto"/>
                <w:highlight w:val="none"/>
              </w:rPr>
            </w:pPr>
          </w:p>
        </w:tc>
        <w:tc>
          <w:tcPr>
            <w:tcW w:w="809"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45" w:type="dxa"/>
            <w:tcBorders>
              <w:top w:val="single" w:color="auto" w:sz="4" w:space="0"/>
              <w:left w:val="single" w:color="auto" w:sz="4" w:space="0"/>
              <w:bottom w:val="single" w:color="auto" w:sz="4" w:space="0"/>
            </w:tcBorders>
          </w:tcPr>
          <w:p>
            <w:pPr>
              <w:snapToGrid w:val="0"/>
              <w:spacing w:before="162" w:after="50" w:line="46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5" w:type="dxa"/>
            <w:tcBorders>
              <w:top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09"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45" w:type="dxa"/>
            <w:tcBorders>
              <w:top w:val="single" w:color="auto" w:sz="4" w:space="0"/>
              <w:left w:val="single" w:color="auto" w:sz="4" w:space="0"/>
              <w:bottom w:val="single" w:color="auto" w:sz="4" w:space="0"/>
            </w:tcBorders>
          </w:tcPr>
          <w:p>
            <w:pPr>
              <w:snapToGrid w:val="0"/>
              <w:spacing w:before="162" w:after="50" w:line="46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5" w:type="dxa"/>
            <w:tcBorders>
              <w:top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09"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45" w:type="dxa"/>
            <w:tcBorders>
              <w:top w:val="single" w:color="auto" w:sz="4" w:space="0"/>
              <w:left w:val="single" w:color="auto" w:sz="4" w:space="0"/>
              <w:bottom w:val="single" w:color="auto" w:sz="4" w:space="0"/>
            </w:tcBorders>
          </w:tcPr>
          <w:p>
            <w:pPr>
              <w:snapToGrid w:val="0"/>
              <w:spacing w:before="162" w:after="50" w:line="46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5" w:type="dxa"/>
            <w:tcBorders>
              <w:top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5" w:type="dxa"/>
            <w:tcBorders>
              <w:top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09"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45" w:type="dxa"/>
            <w:tcBorders>
              <w:top w:val="single" w:color="auto" w:sz="4" w:space="0"/>
              <w:left w:val="single" w:color="auto" w:sz="4" w:space="0"/>
              <w:bottom w:val="single" w:color="auto" w:sz="4" w:space="0"/>
            </w:tcBorders>
          </w:tcPr>
          <w:p>
            <w:pPr>
              <w:snapToGrid w:val="0"/>
              <w:spacing w:before="162" w:after="50" w:line="46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5" w:type="dxa"/>
            <w:tcBorders>
              <w:top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09"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45" w:type="dxa"/>
            <w:tcBorders>
              <w:top w:val="single" w:color="auto" w:sz="4" w:space="0"/>
              <w:left w:val="single" w:color="auto" w:sz="4" w:space="0"/>
              <w:bottom w:val="single" w:color="auto" w:sz="4" w:space="0"/>
            </w:tcBorders>
          </w:tcPr>
          <w:p>
            <w:pPr>
              <w:snapToGrid w:val="0"/>
              <w:spacing w:before="162" w:after="50" w:line="46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5" w:type="dxa"/>
            <w:tcBorders>
              <w:top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85" w:type="dxa"/>
            <w:tcBorders>
              <w:top w:val="single" w:color="auto" w:sz="4" w:space="0"/>
              <w:left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081" w:type="dxa"/>
            <w:tcBorders>
              <w:top w:val="single" w:color="auto" w:sz="4" w:space="0"/>
              <w:left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663" w:type="dxa"/>
            <w:tcBorders>
              <w:top w:val="single" w:color="auto" w:sz="4" w:space="0"/>
              <w:left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809" w:type="dxa"/>
            <w:tcBorders>
              <w:top w:val="single" w:color="auto" w:sz="4" w:space="0"/>
              <w:left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15" w:type="dxa"/>
            <w:tcBorders>
              <w:top w:val="single" w:color="auto" w:sz="4" w:space="0"/>
              <w:left w:val="single" w:color="auto" w:sz="4" w:space="0"/>
              <w:right w:val="single" w:color="auto" w:sz="4" w:space="0"/>
            </w:tcBorders>
          </w:tcPr>
          <w:p>
            <w:pPr>
              <w:snapToGrid w:val="0"/>
              <w:spacing w:before="162" w:after="50" w:line="460" w:lineRule="exact"/>
              <w:rPr>
                <w:rFonts w:ascii="宋体" w:hAnsi="宋体"/>
                <w:color w:val="auto"/>
                <w:sz w:val="24"/>
                <w:highlight w:val="none"/>
              </w:rPr>
            </w:pPr>
          </w:p>
        </w:tc>
        <w:tc>
          <w:tcPr>
            <w:tcW w:w="1245" w:type="dxa"/>
            <w:tcBorders>
              <w:top w:val="single" w:color="auto" w:sz="4" w:space="0"/>
              <w:left w:val="single" w:color="auto" w:sz="4" w:space="0"/>
            </w:tcBorders>
          </w:tcPr>
          <w:p>
            <w:pPr>
              <w:snapToGrid w:val="0"/>
              <w:spacing w:before="162" w:after="50" w:line="460" w:lineRule="exact"/>
              <w:rPr>
                <w:rFonts w:ascii="宋体" w:hAnsi="宋体"/>
                <w:color w:val="auto"/>
                <w:sz w:val="24"/>
                <w:highlight w:val="none"/>
              </w:rPr>
            </w:pPr>
          </w:p>
        </w:tc>
      </w:tr>
    </w:tbl>
    <w:p>
      <w:pPr>
        <w:snapToGrid w:val="0"/>
        <w:spacing w:line="360" w:lineRule="auto"/>
        <w:jc w:val="left"/>
        <w:rPr>
          <w:rFonts w:ascii="宋体" w:hAnsi="宋体"/>
          <w:color w:val="auto"/>
          <w:sz w:val="24"/>
          <w:highlight w:val="none"/>
        </w:rPr>
      </w:pP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注：附以上人员身份证、人员证书、社保等相应佐证材料扫描件。 </w:t>
      </w:r>
    </w:p>
    <w:p>
      <w:pPr>
        <w:snapToGrid w:val="0"/>
        <w:spacing w:before="50" w:after="162" w:line="460" w:lineRule="exact"/>
        <w:jc w:val="left"/>
        <w:rPr>
          <w:rFonts w:ascii="宋体" w:hAnsi="宋体"/>
          <w:color w:val="auto"/>
          <w:sz w:val="24"/>
          <w:highlight w:val="none"/>
        </w:rPr>
      </w:pPr>
    </w:p>
    <w:p>
      <w:pPr>
        <w:pStyle w:val="50"/>
        <w:rPr>
          <w:rFonts w:hint="default"/>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法定代表人或被授权委托人签名（或签名章）：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r>
        <w:rPr>
          <w:rFonts w:hint="eastAsia" w:ascii="宋体" w:hAnsi="宋体"/>
          <w:color w:val="auto"/>
          <w:sz w:val="24"/>
          <w:highlight w:val="none"/>
        </w:rPr>
        <w:t>供应商全称（公章）：</w:t>
      </w:r>
    </w:p>
    <w:p>
      <w:pPr>
        <w:spacing w:line="360" w:lineRule="auto"/>
        <w:jc w:val="center"/>
        <w:rPr>
          <w:rFonts w:ascii="宋体" w:hAnsi="宋体"/>
          <w:b/>
          <w:color w:val="auto"/>
          <w:kern w:val="0"/>
          <w:sz w:val="36"/>
          <w:szCs w:val="36"/>
          <w:highlight w:val="none"/>
        </w:rPr>
      </w:pPr>
      <w:r>
        <w:rPr>
          <w:rFonts w:hint="eastAsia" w:ascii="宋体" w:hAnsi="宋体"/>
          <w:b/>
          <w:color w:val="auto"/>
          <w:kern w:val="0"/>
          <w:sz w:val="36"/>
          <w:szCs w:val="36"/>
          <w:highlight w:val="none"/>
        </w:rPr>
        <w:br w:type="page"/>
      </w:r>
      <w:r>
        <w:rPr>
          <w:rFonts w:hint="eastAsia" w:ascii="宋体" w:hAnsi="宋体"/>
          <w:b/>
          <w:color w:val="auto"/>
          <w:kern w:val="0"/>
          <w:sz w:val="36"/>
          <w:szCs w:val="36"/>
          <w:highlight w:val="none"/>
        </w:rPr>
        <w:t>报价文件</w:t>
      </w:r>
    </w:p>
    <w:p>
      <w:pPr>
        <w:spacing w:line="360" w:lineRule="auto"/>
        <w:jc w:val="center"/>
        <w:rPr>
          <w:rFonts w:ascii="宋体" w:hAnsi="宋体"/>
          <w:b/>
          <w:color w:val="auto"/>
          <w:kern w:val="0"/>
          <w:sz w:val="36"/>
          <w:szCs w:val="36"/>
          <w:highlight w:val="none"/>
        </w:rPr>
      </w:pPr>
    </w:p>
    <w:p>
      <w:pPr>
        <w:spacing w:line="360" w:lineRule="auto"/>
        <w:jc w:val="center"/>
        <w:rPr>
          <w:rFonts w:ascii="宋体" w:hAnsi="宋体"/>
          <w:b/>
          <w:color w:val="auto"/>
          <w:kern w:val="0"/>
          <w:sz w:val="36"/>
          <w:szCs w:val="36"/>
          <w:highlight w:val="none"/>
        </w:rPr>
      </w:pPr>
      <w:r>
        <w:rPr>
          <w:rFonts w:hint="eastAsia" w:ascii="宋体" w:hAnsi="宋体"/>
          <w:b/>
          <w:color w:val="auto"/>
          <w:kern w:val="0"/>
          <w:sz w:val="36"/>
          <w:szCs w:val="36"/>
          <w:highlight w:val="none"/>
        </w:rPr>
        <w:t>目录</w:t>
      </w:r>
    </w:p>
    <w:p>
      <w:pPr>
        <w:pStyle w:val="61"/>
        <w:numPr>
          <w:ilvl w:val="0"/>
          <w:numId w:val="0"/>
        </w:numPr>
        <w:spacing w:before="0"/>
        <w:ind w:firstLine="480" w:firstLineChars="200"/>
        <w:rPr>
          <w:rFonts w:hint="default" w:ascii="宋体" w:hAnsi="宋体"/>
          <w:color w:val="auto"/>
          <w:sz w:val="24"/>
          <w:highlight w:val="none"/>
          <w:lang w:eastAsia="zh-CN"/>
        </w:rPr>
      </w:pPr>
    </w:p>
    <w:p>
      <w:pPr>
        <w:pStyle w:val="61"/>
        <w:numPr>
          <w:ilvl w:val="0"/>
          <w:numId w:val="0"/>
        </w:numPr>
        <w:spacing w:before="0"/>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）磋商函（格式见附件）；</w:t>
      </w:r>
    </w:p>
    <w:p>
      <w:pPr>
        <w:pStyle w:val="61"/>
        <w:numPr>
          <w:ilvl w:val="0"/>
          <w:numId w:val="0"/>
        </w:numPr>
        <w:spacing w:before="0"/>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）报价一览表（格式见附件）；</w:t>
      </w:r>
    </w:p>
    <w:p>
      <w:pPr>
        <w:pStyle w:val="61"/>
        <w:numPr>
          <w:ilvl w:val="0"/>
          <w:numId w:val="0"/>
        </w:numPr>
        <w:spacing w:before="0"/>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）磋商报价明细表（格式见附件）。</w:t>
      </w:r>
    </w:p>
    <w:p>
      <w:pPr>
        <w:rPr>
          <w:rFonts w:ascii="宋体" w:hAnsi="宋体"/>
          <w:color w:val="auto"/>
          <w:highlight w:val="none"/>
        </w:rPr>
      </w:pPr>
      <w:r>
        <w:rPr>
          <w:rFonts w:hint="eastAsia" w:ascii="宋体" w:hAnsi="宋体"/>
          <w:color w:val="auto"/>
          <w:highlight w:val="none"/>
        </w:rPr>
        <w:br w:type="page"/>
      </w:r>
      <w:r>
        <w:rPr>
          <w:rFonts w:hint="eastAsia" w:ascii="宋体" w:hAnsi="宋体"/>
          <w:b/>
          <w:bCs/>
          <w:color w:val="auto"/>
          <w:sz w:val="24"/>
          <w:szCs w:val="32"/>
          <w:highlight w:val="none"/>
          <w:lang w:val="zh-CN"/>
        </w:rPr>
        <w:t>附件</w:t>
      </w:r>
      <w:r>
        <w:rPr>
          <w:rFonts w:hint="eastAsia" w:ascii="宋体" w:hAnsi="宋体"/>
          <w:b/>
          <w:bCs/>
          <w:color w:val="auto"/>
          <w:sz w:val="24"/>
          <w:szCs w:val="32"/>
          <w:highlight w:val="none"/>
        </w:rPr>
        <w:t>十：</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磋 商 函</w:t>
      </w:r>
    </w:p>
    <w:p>
      <w:pPr>
        <w:spacing w:line="360" w:lineRule="auto"/>
        <w:ind w:firstLine="480" w:firstLineChars="200"/>
        <w:rPr>
          <w:rFonts w:ascii="宋体" w:hAnsi="宋体"/>
          <w:color w:val="auto"/>
          <w:sz w:val="24"/>
          <w:highlight w:val="none"/>
          <w:u w:val="singl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绍兴市上虞区东关街道办事处：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绍兴市上虞区公共资源交易中心</w:t>
      </w:r>
      <w:r>
        <w:rPr>
          <w:rFonts w:hint="eastAsia" w:ascii="宋体" w:hAnsi="宋体"/>
          <w:color w:val="auto"/>
          <w:sz w:val="24"/>
          <w:highlight w:val="none"/>
        </w:rPr>
        <w:t>：</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我单位认真研究了关于</w:t>
      </w:r>
      <w:r>
        <w:rPr>
          <w:rFonts w:hint="eastAsia" w:ascii="宋体" w:hAnsi="宋体"/>
          <w:color w:val="auto"/>
          <w:sz w:val="24"/>
          <w:highlight w:val="none"/>
          <w:u w:val="single"/>
        </w:rPr>
        <w:t xml:space="preserve">                      </w:t>
      </w:r>
      <w:r>
        <w:rPr>
          <w:rFonts w:hint="eastAsia" w:ascii="宋体" w:hAnsi="宋体"/>
          <w:color w:val="auto"/>
          <w:sz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pPr>
        <w:spacing w:line="360" w:lineRule="auto"/>
        <w:ind w:firstLine="576" w:firstLineChars="240"/>
        <w:rPr>
          <w:rFonts w:ascii="宋体" w:hAnsi="宋体"/>
          <w:color w:val="auto"/>
          <w:sz w:val="24"/>
          <w:highlight w:val="none"/>
        </w:rPr>
      </w:pPr>
      <w:r>
        <w:rPr>
          <w:rFonts w:ascii="宋体" w:hAnsi="宋体"/>
          <w:color w:val="auto"/>
          <w:sz w:val="24"/>
          <w:highlight w:val="none"/>
        </w:rPr>
        <w:pict>
          <v:line id="_x0000_s1026" o:spid="_x0000_s1026" o:spt="20" style="position:absolute;left:0pt;margin-left:0pt;margin-top:0pt;height:1pt;width:0.05pt;z-index:251659264;mso-width-relative:page;mso-height-relative:page;" stroked="t" coordsize="21600,21600" o:gfxdata="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qu0sNAAAAAAAQAADwAAAAAA&#10;AAABACAAAAAiAAAAZHJzL2Rvd25yZXYueG1sUEsBAhQAFAAAAAgAh07iQKJvfBziAQAAyQMAAA4A&#10;AAAAAAAAAQAgAAAAHwEAAGRycy9lMm9Eb2MueG1sUEsFBgAAAAAGAAYAWQEAAHMFAAAAAA==&#10;">
            <v:path arrowok="t"/>
            <v:fill focussize="0,0"/>
            <v:stroke weight="1pt" color="#FFFFFF"/>
            <v:imagedata o:title=""/>
            <o:lock v:ext="edit"/>
          </v:line>
        </w:pict>
      </w:r>
      <w:r>
        <w:rPr>
          <w:rFonts w:hint="eastAsia" w:ascii="宋体" w:hAnsi="宋体"/>
          <w:color w:val="auto"/>
          <w:sz w:val="24"/>
          <w:highlight w:val="none"/>
        </w:rPr>
        <w:t>1、一旦我单位中标，我单位愿意承接报价一览表中所列的技术服务，服务期为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2、我单位同意提供按照</w:t>
      </w:r>
      <w:r>
        <w:rPr>
          <w:rFonts w:hint="eastAsia" w:ascii="宋体" w:hAnsi="宋体"/>
          <w:bCs/>
          <w:color w:val="auto"/>
          <w:sz w:val="24"/>
          <w:highlight w:val="none"/>
        </w:rPr>
        <w:t>采购人的可能要求与其投标有关的一切数据和资料，完全理解采购人不一定要接受最低价者作为成交供应商</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3、一旦我单位中标，我们保证按照磋商文件的要求，完成服务。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4、如果我单位中标，我方将按照要求提交履约保证金，严格履行合同义务。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5、除非另行达成协议并生效，你方的成交通知书和本磋商函将构成约束你我双方的合同。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6、我单位承诺，一旦发生磋商文件第二部分第11条规定情形之一的，承担该条款约定的责任。</w:t>
      </w:r>
    </w:p>
    <w:p>
      <w:pPr>
        <w:pStyle w:val="58"/>
        <w:snapToGrid w:val="0"/>
        <w:spacing w:line="360" w:lineRule="auto"/>
        <w:ind w:left="480"/>
        <w:jc w:val="left"/>
        <w:rPr>
          <w:rFonts w:hAnsi="宋体"/>
          <w:color w:val="auto"/>
          <w:sz w:val="24"/>
          <w:highlight w:val="none"/>
        </w:rPr>
      </w:pPr>
      <w:r>
        <w:rPr>
          <w:rFonts w:hint="eastAsia" w:hAnsi="宋体"/>
          <w:color w:val="auto"/>
          <w:sz w:val="24"/>
          <w:highlight w:val="none"/>
        </w:rPr>
        <w:t xml:space="preserve"> </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地址：</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邮编：</w:t>
      </w:r>
      <w:r>
        <w:rPr>
          <w:rFonts w:hint="eastAsia" w:ascii="宋体" w:hAnsi="宋体"/>
          <w:bCs/>
          <w:color w:val="auto"/>
          <w:sz w:val="24"/>
          <w:szCs w:val="21"/>
          <w:highlight w:val="none"/>
          <w:u w:val="single"/>
        </w:rPr>
        <w:t xml:space="preserve">                 </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电话：</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传真：</w:t>
      </w:r>
      <w:r>
        <w:rPr>
          <w:rFonts w:hint="eastAsia" w:ascii="宋体" w:hAnsi="宋体"/>
          <w:bCs/>
          <w:color w:val="auto"/>
          <w:sz w:val="24"/>
          <w:szCs w:val="21"/>
          <w:highlight w:val="none"/>
          <w:u w:val="single"/>
        </w:rPr>
        <w:t xml:space="preserve">                 </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供应商代表姓名：</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职务：</w:t>
      </w:r>
      <w:r>
        <w:rPr>
          <w:rFonts w:hint="eastAsia" w:ascii="宋体" w:hAnsi="宋体"/>
          <w:bCs/>
          <w:color w:val="auto"/>
          <w:sz w:val="24"/>
          <w:szCs w:val="21"/>
          <w:highlight w:val="none"/>
          <w:u w:val="single"/>
        </w:rPr>
        <w:t xml:space="preserve">                 </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供应商名称</w:t>
      </w:r>
      <w:r>
        <w:rPr>
          <w:rFonts w:hint="eastAsia" w:ascii="宋体" w:hAnsi="宋体"/>
          <w:bCs/>
          <w:color w:val="auto"/>
          <w:sz w:val="24"/>
          <w:szCs w:val="21"/>
          <w:highlight w:val="none"/>
          <w:u w:val="single"/>
        </w:rPr>
        <w:t>：                   　　　</w:t>
      </w:r>
    </w:p>
    <w:p>
      <w:pPr>
        <w:spacing w:line="36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 xml:space="preserve">（公章）：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法定代表人或被授权委托人签名（或签名章）：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rPr>
          <w:rFonts w:ascii="宋体" w:hAnsi="宋体"/>
          <w:color w:val="auto"/>
          <w:sz w:val="24"/>
          <w:szCs w:val="18"/>
          <w:highlight w:val="none"/>
          <w:lang w:val="zh-CN"/>
        </w:rPr>
      </w:pPr>
      <w:r>
        <w:rPr>
          <w:rFonts w:hint="eastAsia" w:ascii="宋体" w:hAnsi="宋体"/>
          <w:color w:val="auto"/>
          <w:sz w:val="24"/>
          <w:szCs w:val="18"/>
          <w:highlight w:val="none"/>
          <w:lang w:val="zh-CN"/>
        </w:rPr>
        <w:br w:type="page"/>
      </w:r>
      <w:r>
        <w:rPr>
          <w:rFonts w:hint="eastAsia" w:ascii="宋体" w:hAnsi="宋体"/>
          <w:b/>
          <w:bCs/>
          <w:color w:val="auto"/>
          <w:sz w:val="24"/>
          <w:szCs w:val="32"/>
          <w:highlight w:val="none"/>
          <w:lang w:val="zh-CN"/>
        </w:rPr>
        <w:t>附件</w:t>
      </w:r>
      <w:r>
        <w:rPr>
          <w:rFonts w:hint="eastAsia" w:ascii="宋体" w:hAnsi="宋体"/>
          <w:b/>
          <w:bCs/>
          <w:color w:val="auto"/>
          <w:sz w:val="24"/>
          <w:szCs w:val="32"/>
          <w:highlight w:val="none"/>
        </w:rPr>
        <w:t>十一：</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报价一览表</w:t>
      </w:r>
    </w:p>
    <w:p>
      <w:pPr>
        <w:pStyle w:val="58"/>
        <w:spacing w:line="360" w:lineRule="auto"/>
        <w:rPr>
          <w:rFonts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采购编号：               </w:t>
      </w:r>
    </w:p>
    <w:tbl>
      <w:tblPr>
        <w:tblStyle w:val="17"/>
        <w:tblpPr w:leftFromText="180" w:rightFromText="180" w:vertAnchor="text" w:horzAnchor="page" w:tblpX="1656" w:tblpY="489"/>
        <w:tblOverlap w:val="neve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9" w:hRule="atLeast"/>
        </w:trPr>
        <w:tc>
          <w:tcPr>
            <w:tcW w:w="2089" w:type="dxa"/>
            <w:vAlign w:val="center"/>
          </w:tcPr>
          <w:p>
            <w:pPr>
              <w:pStyle w:val="58"/>
              <w:spacing w:line="360" w:lineRule="auto"/>
              <w:jc w:val="center"/>
              <w:rPr>
                <w:rFonts w:hAnsi="宋体"/>
                <w:b/>
                <w:bCs/>
                <w:color w:val="auto"/>
                <w:sz w:val="24"/>
                <w:highlight w:val="none"/>
              </w:rPr>
            </w:pPr>
            <w:r>
              <w:rPr>
                <w:rFonts w:hint="eastAsia" w:hAnsi="宋体"/>
                <w:b/>
                <w:bCs/>
                <w:color w:val="auto"/>
                <w:sz w:val="24"/>
                <w:highlight w:val="none"/>
              </w:rPr>
              <w:t>投标报价</w:t>
            </w:r>
          </w:p>
        </w:tc>
        <w:tc>
          <w:tcPr>
            <w:tcW w:w="6707" w:type="dxa"/>
            <w:vAlign w:val="center"/>
          </w:tcPr>
          <w:p>
            <w:pPr>
              <w:pStyle w:val="58"/>
              <w:spacing w:line="360" w:lineRule="auto"/>
              <w:jc w:val="center"/>
              <w:rPr>
                <w:rFonts w:hAnsi="宋体"/>
                <w:b/>
                <w:bCs/>
                <w:color w:val="auto"/>
                <w:sz w:val="24"/>
                <w:highlight w:val="none"/>
              </w:rPr>
            </w:pPr>
            <w:r>
              <w:rPr>
                <w:rFonts w:hint="eastAsia" w:hAnsi="宋体"/>
                <w:b/>
                <w:bCs/>
                <w:color w:val="auto"/>
                <w:sz w:val="24"/>
                <w:highlight w:val="none"/>
              </w:rPr>
              <w:t>大写：</w:t>
            </w:r>
            <w:r>
              <w:rPr>
                <w:rFonts w:hint="eastAsia" w:hAnsi="宋体"/>
                <w:b/>
                <w:bCs/>
                <w:color w:val="auto"/>
                <w:sz w:val="24"/>
                <w:highlight w:val="none"/>
                <w:u w:val="single"/>
              </w:rPr>
              <w:t xml:space="preserve">　       　      　　 </w:t>
            </w:r>
            <w:r>
              <w:rPr>
                <w:rFonts w:hint="eastAsia" w:hAnsi="宋体"/>
                <w:b/>
                <w:bCs/>
                <w:color w:val="auto"/>
                <w:sz w:val="24"/>
                <w:highlight w:val="none"/>
              </w:rPr>
              <w:t>元</w:t>
            </w:r>
          </w:p>
          <w:p>
            <w:pPr>
              <w:pStyle w:val="58"/>
              <w:spacing w:line="360" w:lineRule="auto"/>
              <w:jc w:val="center"/>
              <w:rPr>
                <w:rFonts w:hAnsi="宋体"/>
                <w:b/>
                <w:bCs/>
                <w:color w:val="auto"/>
                <w:sz w:val="24"/>
                <w:highlight w:val="none"/>
              </w:rPr>
            </w:pPr>
            <w:r>
              <w:rPr>
                <w:rFonts w:hint="eastAsia" w:hAnsi="宋体"/>
                <w:b/>
                <w:bCs/>
                <w:color w:val="auto"/>
                <w:sz w:val="24"/>
                <w:highlight w:val="none"/>
              </w:rPr>
              <w:t>（小写：</w:t>
            </w:r>
            <w:r>
              <w:rPr>
                <w:rFonts w:hint="eastAsia" w:hAnsi="宋体"/>
                <w:b/>
                <w:bCs/>
                <w:color w:val="auto"/>
                <w:sz w:val="24"/>
                <w:highlight w:val="none"/>
                <w:u w:val="single"/>
              </w:rPr>
              <w:t>　    　　</w:t>
            </w:r>
            <w:r>
              <w:rPr>
                <w:rFonts w:hint="eastAsia" w:hAnsi="宋体"/>
                <w:b/>
                <w:bCs/>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3" w:hRule="atLeast"/>
        </w:trPr>
        <w:tc>
          <w:tcPr>
            <w:tcW w:w="8796" w:type="dxa"/>
            <w:gridSpan w:val="2"/>
            <w:vAlign w:val="center"/>
          </w:tcPr>
          <w:p>
            <w:pPr>
              <w:spacing w:line="360" w:lineRule="auto"/>
              <w:ind w:firstLine="480" w:firstLineChars="200"/>
              <w:rPr>
                <w:color w:val="auto"/>
                <w:sz w:val="24"/>
                <w:highlight w:val="none"/>
              </w:rPr>
            </w:pPr>
            <w:r>
              <w:rPr>
                <w:rFonts w:hint="eastAsia"/>
                <w:color w:val="auto"/>
                <w:sz w:val="24"/>
                <w:highlight w:val="none"/>
              </w:rPr>
              <w:t>投标报价统一为人民币计价，包括但不限于人员工资（包括加班费）、福利、奖金（过节费、高温费、伙食费、住宿费等）、保洁工具及部分耗材、工程维修设备工具、机械及车辆、绿化养护、垃圾清运、保险、服装、办公用品、利润、管理、税金及不可预见费用（如突击工作费等）等完成本项目的全部费用。凡供应商在报价中未列明但又为本次采购所必备的项目或遗漏项目，采购人将一律视为已包括在合同价中，在合同执行中将不予考虑。</w:t>
            </w:r>
          </w:p>
        </w:tc>
      </w:tr>
    </w:tbl>
    <w:p>
      <w:pPr>
        <w:pStyle w:val="58"/>
        <w:spacing w:line="360" w:lineRule="auto"/>
        <w:rPr>
          <w:rFonts w:hAnsi="宋体"/>
          <w:color w:val="auto"/>
          <w:sz w:val="24"/>
          <w:highlight w:val="none"/>
        </w:rPr>
      </w:pPr>
    </w:p>
    <w:p>
      <w:pPr>
        <w:pStyle w:val="58"/>
        <w:spacing w:line="360" w:lineRule="auto"/>
        <w:rPr>
          <w:rFonts w:hAnsi="宋体"/>
          <w:color w:val="auto"/>
          <w:sz w:val="24"/>
          <w:highlight w:val="none"/>
        </w:rPr>
      </w:pPr>
    </w:p>
    <w:p>
      <w:pPr>
        <w:pStyle w:val="58"/>
        <w:spacing w:line="360" w:lineRule="auto"/>
        <w:rPr>
          <w:rFonts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法定代表人或被授权委托人签名（或签名章）：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r>
        <w:rPr>
          <w:rFonts w:hint="eastAsia" w:ascii="宋体" w:hAnsi="宋体"/>
          <w:color w:val="auto"/>
          <w:sz w:val="24"/>
          <w:highlight w:val="none"/>
        </w:rPr>
        <w:t>供应商全称（公章）：</w:t>
      </w:r>
    </w:p>
    <w:p>
      <w:pPr>
        <w:snapToGrid w:val="0"/>
        <w:spacing w:line="360" w:lineRule="auto"/>
        <w:ind w:firstLine="435"/>
        <w:rPr>
          <w:rFonts w:ascii="宋体" w:hAnsi="宋体"/>
          <w:color w:val="auto"/>
          <w:highlight w:val="none"/>
        </w:rPr>
      </w:pPr>
    </w:p>
    <w:p>
      <w:pPr>
        <w:pStyle w:val="49"/>
        <w:rPr>
          <w:rFonts w:hint="default"/>
          <w:color w:val="auto"/>
          <w:highlight w:val="none"/>
        </w:rPr>
      </w:pPr>
    </w:p>
    <w:p>
      <w:pPr>
        <w:pStyle w:val="52"/>
        <w:rPr>
          <w:rFonts w:ascii="宋体" w:hAnsi="宋体"/>
          <w:color w:val="auto"/>
          <w:highlight w:val="none"/>
        </w:rPr>
      </w:pPr>
    </w:p>
    <w:p>
      <w:pPr>
        <w:pStyle w:val="53"/>
        <w:tabs>
          <w:tab w:val="clear" w:pos="1275"/>
        </w:tabs>
        <w:ind w:firstLine="210"/>
        <w:rPr>
          <w:rFonts w:ascii="宋体" w:hAnsi="宋体"/>
          <w:color w:val="auto"/>
          <w:highlight w:val="none"/>
        </w:rPr>
      </w:pPr>
    </w:p>
    <w:p>
      <w:pPr>
        <w:pStyle w:val="53"/>
        <w:tabs>
          <w:tab w:val="clear" w:pos="1275"/>
        </w:tabs>
        <w:ind w:firstLine="210"/>
        <w:rPr>
          <w:rFonts w:ascii="宋体" w:hAnsi="宋体"/>
          <w:color w:val="auto"/>
          <w:highlight w:val="none"/>
        </w:rPr>
      </w:pPr>
    </w:p>
    <w:p>
      <w:pPr>
        <w:pStyle w:val="53"/>
        <w:tabs>
          <w:tab w:val="clear" w:pos="1275"/>
        </w:tabs>
        <w:ind w:firstLine="210"/>
        <w:rPr>
          <w:rFonts w:ascii="宋体" w:hAnsi="宋体"/>
          <w:color w:val="auto"/>
          <w:highlight w:val="none"/>
        </w:rPr>
      </w:pPr>
    </w:p>
    <w:p>
      <w:pPr>
        <w:pStyle w:val="53"/>
        <w:tabs>
          <w:tab w:val="clear" w:pos="1275"/>
        </w:tabs>
        <w:ind w:firstLine="210"/>
        <w:rPr>
          <w:rFonts w:ascii="宋体" w:hAnsi="宋体"/>
          <w:color w:val="auto"/>
          <w:highlight w:val="none"/>
        </w:rPr>
      </w:pPr>
    </w:p>
    <w:p>
      <w:pPr>
        <w:pStyle w:val="53"/>
        <w:tabs>
          <w:tab w:val="clear" w:pos="1275"/>
        </w:tabs>
        <w:ind w:firstLine="210"/>
        <w:rPr>
          <w:rFonts w:ascii="宋体" w:hAnsi="宋体"/>
          <w:color w:val="auto"/>
          <w:highlight w:val="none"/>
        </w:rPr>
      </w:pPr>
    </w:p>
    <w:p>
      <w:pPr>
        <w:pStyle w:val="53"/>
        <w:tabs>
          <w:tab w:val="clear" w:pos="1275"/>
        </w:tabs>
        <w:ind w:firstLine="210"/>
        <w:rPr>
          <w:rFonts w:ascii="宋体" w:hAnsi="宋体"/>
          <w:color w:val="auto"/>
          <w:highlight w:val="none"/>
        </w:rPr>
      </w:pPr>
    </w:p>
    <w:p>
      <w:pPr>
        <w:pStyle w:val="53"/>
        <w:tabs>
          <w:tab w:val="clear" w:pos="1275"/>
        </w:tabs>
        <w:ind w:firstLine="210"/>
        <w:rPr>
          <w:rFonts w:ascii="宋体" w:hAnsi="宋体"/>
          <w:color w:val="auto"/>
          <w:highlight w:val="none"/>
        </w:rPr>
      </w:pPr>
    </w:p>
    <w:p>
      <w:pPr>
        <w:pStyle w:val="53"/>
        <w:tabs>
          <w:tab w:val="clear" w:pos="1275"/>
        </w:tabs>
        <w:ind w:firstLine="210"/>
        <w:rPr>
          <w:rFonts w:ascii="宋体" w:hAnsi="宋体"/>
          <w:color w:val="auto"/>
          <w:highlight w:val="none"/>
        </w:rPr>
      </w:pPr>
    </w:p>
    <w:p>
      <w:pPr>
        <w:spacing w:line="360" w:lineRule="auto"/>
        <w:jc w:val="left"/>
        <w:rPr>
          <w:rFonts w:ascii="宋体" w:hAnsi="宋体"/>
          <w:b/>
          <w:bCs/>
          <w:color w:val="auto"/>
          <w:sz w:val="24"/>
          <w:highlight w:val="none"/>
          <w:lang w:val="zh-CN"/>
        </w:rPr>
        <w:sectPr>
          <w:headerReference r:id="rId5" w:type="default"/>
          <w:footerReference r:id="rId6" w:type="default"/>
          <w:pgSz w:w="11906" w:h="16838"/>
          <w:pgMar w:top="1440" w:right="1803" w:bottom="1440" w:left="1803" w:header="851" w:footer="992" w:gutter="0"/>
          <w:cols w:space="720" w:num="1"/>
          <w:docGrid w:type="lines" w:linePitch="325" w:charSpace="0"/>
        </w:sectPr>
      </w:pPr>
    </w:p>
    <w:p>
      <w:pPr>
        <w:spacing w:line="360" w:lineRule="auto"/>
        <w:jc w:val="left"/>
        <w:rPr>
          <w:rFonts w:ascii="宋体" w:hAnsi="宋体"/>
          <w:b/>
          <w:bCs/>
          <w:color w:val="auto"/>
          <w:sz w:val="24"/>
          <w:highlight w:val="none"/>
          <w:lang w:val="zh-CN"/>
        </w:rPr>
      </w:pPr>
      <w:r>
        <w:rPr>
          <w:rFonts w:hint="eastAsia" w:ascii="宋体" w:hAnsi="宋体"/>
          <w:b/>
          <w:bCs/>
          <w:color w:val="auto"/>
          <w:sz w:val="24"/>
          <w:highlight w:val="none"/>
          <w:lang w:val="zh-CN"/>
        </w:rPr>
        <w:t>附件十</w:t>
      </w:r>
      <w:r>
        <w:rPr>
          <w:rFonts w:hint="eastAsia" w:ascii="宋体" w:hAnsi="宋体"/>
          <w:b/>
          <w:bCs/>
          <w:color w:val="auto"/>
          <w:sz w:val="24"/>
          <w:highlight w:val="none"/>
        </w:rPr>
        <w:t>二</w:t>
      </w:r>
      <w:r>
        <w:rPr>
          <w:rFonts w:hint="eastAsia" w:ascii="宋体" w:hAnsi="宋体"/>
          <w:b/>
          <w:bCs/>
          <w:color w:val="auto"/>
          <w:sz w:val="24"/>
          <w:highlight w:val="none"/>
          <w:lang w:val="zh-CN"/>
        </w:rPr>
        <w:t>：</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磋商报价明细表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采购编号：         </w:t>
      </w:r>
    </w:p>
    <w:tbl>
      <w:tblPr>
        <w:tblStyle w:val="17"/>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936"/>
        <w:gridCol w:w="1620"/>
        <w:gridCol w:w="1410"/>
        <w:gridCol w:w="495"/>
        <w:gridCol w:w="498"/>
        <w:gridCol w:w="114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vMerge w:val="restart"/>
            <w:vAlign w:val="center"/>
          </w:tcPr>
          <w:p>
            <w:pPr>
              <w:pStyle w:val="58"/>
              <w:spacing w:line="360" w:lineRule="auto"/>
              <w:jc w:val="center"/>
              <w:rPr>
                <w:rFonts w:hAnsi="宋体"/>
                <w:color w:val="auto"/>
                <w:sz w:val="22"/>
                <w:szCs w:val="22"/>
                <w:highlight w:val="none"/>
              </w:rPr>
            </w:pPr>
            <w:r>
              <w:rPr>
                <w:rFonts w:hint="eastAsia" w:hAnsi="宋体"/>
                <w:color w:val="auto"/>
                <w:sz w:val="22"/>
                <w:szCs w:val="22"/>
                <w:highlight w:val="none"/>
              </w:rPr>
              <w:t>序号</w:t>
            </w:r>
          </w:p>
        </w:tc>
        <w:tc>
          <w:tcPr>
            <w:tcW w:w="1936" w:type="dxa"/>
            <w:vMerge w:val="restart"/>
            <w:vAlign w:val="center"/>
          </w:tcPr>
          <w:p>
            <w:pPr>
              <w:pStyle w:val="58"/>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1620" w:type="dxa"/>
            <w:vMerge w:val="restart"/>
            <w:vAlign w:val="center"/>
          </w:tcPr>
          <w:p>
            <w:pPr>
              <w:pStyle w:val="58"/>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410" w:type="dxa"/>
            <w:vMerge w:val="restart"/>
            <w:vAlign w:val="center"/>
          </w:tcPr>
          <w:p>
            <w:pPr>
              <w:pStyle w:val="58"/>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95" w:type="dxa"/>
            <w:vMerge w:val="restart"/>
            <w:vAlign w:val="center"/>
          </w:tcPr>
          <w:p>
            <w:pPr>
              <w:pStyle w:val="58"/>
              <w:spacing w:line="360" w:lineRule="auto"/>
              <w:jc w:val="center"/>
              <w:rPr>
                <w:rFonts w:hAnsi="宋体"/>
                <w:color w:val="auto"/>
                <w:sz w:val="22"/>
                <w:szCs w:val="22"/>
                <w:highlight w:val="none"/>
              </w:rPr>
            </w:pPr>
            <w:r>
              <w:rPr>
                <w:rFonts w:hint="eastAsia" w:hAnsi="宋体"/>
                <w:color w:val="auto"/>
                <w:sz w:val="22"/>
                <w:szCs w:val="22"/>
                <w:highlight w:val="none"/>
              </w:rPr>
              <w:t>单</w:t>
            </w:r>
          </w:p>
          <w:p>
            <w:pPr>
              <w:pStyle w:val="58"/>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498" w:type="dxa"/>
            <w:vMerge w:val="restart"/>
            <w:vAlign w:val="center"/>
          </w:tcPr>
          <w:p>
            <w:pPr>
              <w:pStyle w:val="58"/>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0" w:type="dxa"/>
            <w:gridSpan w:val="2"/>
            <w:vAlign w:val="center"/>
          </w:tcPr>
          <w:p>
            <w:pPr>
              <w:pStyle w:val="58"/>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vMerge w:val="continue"/>
            <w:vAlign w:val="center"/>
          </w:tcPr>
          <w:p>
            <w:pPr>
              <w:pStyle w:val="58"/>
              <w:spacing w:line="360" w:lineRule="auto"/>
              <w:jc w:val="center"/>
              <w:rPr>
                <w:rFonts w:hAnsi="宋体"/>
                <w:color w:val="auto"/>
                <w:sz w:val="22"/>
                <w:szCs w:val="22"/>
                <w:highlight w:val="none"/>
              </w:rPr>
            </w:pPr>
          </w:p>
        </w:tc>
        <w:tc>
          <w:tcPr>
            <w:tcW w:w="1936" w:type="dxa"/>
            <w:vMerge w:val="continue"/>
            <w:vAlign w:val="center"/>
          </w:tcPr>
          <w:p>
            <w:pPr>
              <w:pStyle w:val="58"/>
              <w:spacing w:line="360" w:lineRule="auto"/>
              <w:jc w:val="center"/>
              <w:rPr>
                <w:rFonts w:hAnsi="宋体"/>
                <w:color w:val="auto"/>
                <w:sz w:val="22"/>
                <w:szCs w:val="22"/>
                <w:highlight w:val="none"/>
              </w:rPr>
            </w:pPr>
          </w:p>
        </w:tc>
        <w:tc>
          <w:tcPr>
            <w:tcW w:w="1620" w:type="dxa"/>
            <w:vMerge w:val="continue"/>
            <w:vAlign w:val="center"/>
          </w:tcPr>
          <w:p>
            <w:pPr>
              <w:pStyle w:val="58"/>
              <w:spacing w:line="360" w:lineRule="auto"/>
              <w:jc w:val="center"/>
              <w:rPr>
                <w:rFonts w:hAnsi="宋体"/>
                <w:color w:val="auto"/>
                <w:sz w:val="22"/>
                <w:szCs w:val="22"/>
                <w:highlight w:val="none"/>
              </w:rPr>
            </w:pPr>
          </w:p>
        </w:tc>
        <w:tc>
          <w:tcPr>
            <w:tcW w:w="1410" w:type="dxa"/>
            <w:vMerge w:val="continue"/>
            <w:vAlign w:val="center"/>
          </w:tcPr>
          <w:p>
            <w:pPr>
              <w:pStyle w:val="58"/>
              <w:spacing w:line="360" w:lineRule="auto"/>
              <w:jc w:val="center"/>
              <w:rPr>
                <w:rFonts w:hAnsi="宋体"/>
                <w:color w:val="auto"/>
                <w:sz w:val="22"/>
                <w:szCs w:val="22"/>
                <w:highlight w:val="none"/>
              </w:rPr>
            </w:pPr>
          </w:p>
        </w:tc>
        <w:tc>
          <w:tcPr>
            <w:tcW w:w="495" w:type="dxa"/>
            <w:vMerge w:val="continue"/>
            <w:vAlign w:val="center"/>
          </w:tcPr>
          <w:p>
            <w:pPr>
              <w:pStyle w:val="58"/>
              <w:spacing w:line="360" w:lineRule="auto"/>
              <w:jc w:val="center"/>
              <w:rPr>
                <w:rFonts w:hAnsi="宋体"/>
                <w:color w:val="auto"/>
                <w:sz w:val="22"/>
                <w:szCs w:val="22"/>
                <w:highlight w:val="none"/>
              </w:rPr>
            </w:pPr>
          </w:p>
        </w:tc>
        <w:tc>
          <w:tcPr>
            <w:tcW w:w="498" w:type="dxa"/>
            <w:vMerge w:val="continue"/>
            <w:vAlign w:val="center"/>
          </w:tcPr>
          <w:p>
            <w:pPr>
              <w:pStyle w:val="58"/>
              <w:spacing w:line="360" w:lineRule="auto"/>
              <w:jc w:val="center"/>
              <w:rPr>
                <w:rFonts w:hAnsi="宋体"/>
                <w:color w:val="auto"/>
                <w:sz w:val="22"/>
                <w:szCs w:val="22"/>
                <w:highlight w:val="none"/>
              </w:rPr>
            </w:pPr>
          </w:p>
        </w:tc>
        <w:tc>
          <w:tcPr>
            <w:tcW w:w="1147" w:type="dxa"/>
            <w:vAlign w:val="center"/>
          </w:tcPr>
          <w:p>
            <w:pPr>
              <w:pStyle w:val="58"/>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3" w:type="dxa"/>
            <w:vAlign w:val="center"/>
          </w:tcPr>
          <w:p>
            <w:pPr>
              <w:pStyle w:val="58"/>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vAlign w:val="center"/>
          </w:tcPr>
          <w:p>
            <w:pPr>
              <w:pStyle w:val="58"/>
              <w:jc w:val="center"/>
              <w:rPr>
                <w:rFonts w:hAnsi="宋体"/>
                <w:color w:val="auto"/>
                <w:sz w:val="22"/>
                <w:szCs w:val="22"/>
                <w:highlight w:val="none"/>
              </w:rPr>
            </w:pPr>
            <w:r>
              <w:rPr>
                <w:rFonts w:hint="eastAsia" w:hAnsi="宋体"/>
                <w:color w:val="auto"/>
                <w:sz w:val="22"/>
                <w:szCs w:val="22"/>
                <w:highlight w:val="none"/>
              </w:rPr>
              <w:t>1</w:t>
            </w:r>
          </w:p>
        </w:tc>
        <w:tc>
          <w:tcPr>
            <w:tcW w:w="1936" w:type="dxa"/>
            <w:vAlign w:val="center"/>
          </w:tcPr>
          <w:p>
            <w:pPr>
              <w:pStyle w:val="58"/>
              <w:jc w:val="center"/>
              <w:rPr>
                <w:rFonts w:hAnsi="宋体"/>
                <w:color w:val="auto"/>
                <w:sz w:val="22"/>
                <w:szCs w:val="22"/>
                <w:highlight w:val="none"/>
              </w:rPr>
            </w:pPr>
            <w:r>
              <w:rPr>
                <w:rFonts w:hint="eastAsia" w:hAnsi="宋体"/>
                <w:color w:val="auto"/>
                <w:sz w:val="22"/>
                <w:szCs w:val="22"/>
                <w:highlight w:val="none"/>
              </w:rPr>
              <w:t>（</w:t>
            </w:r>
            <w:r>
              <w:rPr>
                <w:rFonts w:hint="eastAsia" w:hAnsi="宋体"/>
                <w:color w:val="auto"/>
                <w:sz w:val="24"/>
                <w:highlight w:val="none"/>
              </w:rPr>
              <w:t>须按招标文件的</w:t>
            </w:r>
            <w:r>
              <w:rPr>
                <w:rFonts w:hint="eastAsia" w:hAnsi="宋体"/>
                <w:b/>
                <w:bCs/>
                <w:color w:val="auto"/>
                <w:sz w:val="24"/>
                <w:highlight w:val="none"/>
              </w:rPr>
              <w:t>岗位职责要求表</w:t>
            </w:r>
            <w:r>
              <w:rPr>
                <w:rFonts w:hint="eastAsia" w:hAnsi="宋体"/>
                <w:color w:val="auto"/>
                <w:sz w:val="24"/>
                <w:highlight w:val="none"/>
              </w:rPr>
              <w:t>中所提供的岗位清单逐一报价）</w:t>
            </w:r>
          </w:p>
        </w:tc>
        <w:tc>
          <w:tcPr>
            <w:tcW w:w="1620" w:type="dxa"/>
            <w:vAlign w:val="center"/>
          </w:tcPr>
          <w:p>
            <w:pPr>
              <w:pStyle w:val="58"/>
              <w:spacing w:line="360" w:lineRule="auto"/>
              <w:jc w:val="center"/>
              <w:rPr>
                <w:rFonts w:hAnsi="宋体"/>
                <w:b/>
                <w:bCs/>
                <w:color w:val="auto"/>
                <w:sz w:val="22"/>
                <w:szCs w:val="22"/>
                <w:highlight w:val="none"/>
              </w:rPr>
            </w:pPr>
          </w:p>
        </w:tc>
        <w:tc>
          <w:tcPr>
            <w:tcW w:w="1410" w:type="dxa"/>
            <w:vAlign w:val="center"/>
          </w:tcPr>
          <w:p>
            <w:pPr>
              <w:pStyle w:val="58"/>
              <w:spacing w:line="360" w:lineRule="auto"/>
              <w:jc w:val="center"/>
              <w:rPr>
                <w:rFonts w:hAnsi="宋体"/>
                <w:b/>
                <w:bCs/>
                <w:color w:val="auto"/>
                <w:sz w:val="22"/>
                <w:szCs w:val="22"/>
                <w:highlight w:val="none"/>
              </w:rPr>
            </w:pPr>
          </w:p>
        </w:tc>
        <w:tc>
          <w:tcPr>
            <w:tcW w:w="495" w:type="dxa"/>
            <w:vAlign w:val="center"/>
          </w:tcPr>
          <w:p>
            <w:pPr>
              <w:pStyle w:val="58"/>
              <w:spacing w:line="360" w:lineRule="auto"/>
              <w:jc w:val="center"/>
              <w:rPr>
                <w:rFonts w:hAnsi="宋体"/>
                <w:b/>
                <w:bCs/>
                <w:color w:val="auto"/>
                <w:sz w:val="22"/>
                <w:szCs w:val="22"/>
                <w:highlight w:val="none"/>
              </w:rPr>
            </w:pPr>
          </w:p>
        </w:tc>
        <w:tc>
          <w:tcPr>
            <w:tcW w:w="498" w:type="dxa"/>
            <w:vAlign w:val="center"/>
          </w:tcPr>
          <w:p>
            <w:pPr>
              <w:pStyle w:val="58"/>
              <w:spacing w:line="360" w:lineRule="auto"/>
              <w:jc w:val="center"/>
              <w:rPr>
                <w:rFonts w:hAnsi="宋体"/>
                <w:b/>
                <w:bCs/>
                <w:color w:val="auto"/>
                <w:sz w:val="22"/>
                <w:szCs w:val="22"/>
                <w:highlight w:val="none"/>
              </w:rPr>
            </w:pPr>
          </w:p>
        </w:tc>
        <w:tc>
          <w:tcPr>
            <w:tcW w:w="1147" w:type="dxa"/>
            <w:vAlign w:val="center"/>
          </w:tcPr>
          <w:p>
            <w:pPr>
              <w:pStyle w:val="58"/>
              <w:spacing w:line="360" w:lineRule="auto"/>
              <w:jc w:val="center"/>
              <w:rPr>
                <w:rFonts w:hAnsi="宋体"/>
                <w:color w:val="auto"/>
                <w:sz w:val="22"/>
                <w:szCs w:val="22"/>
                <w:highlight w:val="none"/>
              </w:rPr>
            </w:pPr>
          </w:p>
        </w:tc>
        <w:tc>
          <w:tcPr>
            <w:tcW w:w="1123" w:type="dxa"/>
            <w:vAlign w:val="center"/>
          </w:tcPr>
          <w:p>
            <w:pPr>
              <w:pStyle w:val="58"/>
              <w:spacing w:line="360" w:lineRule="auto"/>
              <w:jc w:val="center"/>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vAlign w:val="center"/>
          </w:tcPr>
          <w:p>
            <w:pPr>
              <w:pStyle w:val="58"/>
              <w:jc w:val="center"/>
              <w:rPr>
                <w:rFonts w:hAnsi="宋体"/>
                <w:color w:val="auto"/>
                <w:sz w:val="22"/>
                <w:szCs w:val="22"/>
                <w:highlight w:val="none"/>
              </w:rPr>
            </w:pPr>
            <w:r>
              <w:rPr>
                <w:rFonts w:hint="eastAsia" w:hAnsi="宋体"/>
                <w:color w:val="auto"/>
                <w:sz w:val="22"/>
                <w:szCs w:val="22"/>
                <w:highlight w:val="none"/>
              </w:rPr>
              <w:t>2</w:t>
            </w:r>
          </w:p>
        </w:tc>
        <w:tc>
          <w:tcPr>
            <w:tcW w:w="1936" w:type="dxa"/>
            <w:vAlign w:val="center"/>
          </w:tcPr>
          <w:p>
            <w:pPr>
              <w:pStyle w:val="58"/>
              <w:jc w:val="center"/>
              <w:rPr>
                <w:rFonts w:hAnsi="宋体"/>
                <w:color w:val="auto"/>
                <w:sz w:val="22"/>
                <w:szCs w:val="22"/>
                <w:highlight w:val="none"/>
              </w:rPr>
            </w:pPr>
          </w:p>
        </w:tc>
        <w:tc>
          <w:tcPr>
            <w:tcW w:w="1620" w:type="dxa"/>
            <w:vAlign w:val="center"/>
          </w:tcPr>
          <w:p>
            <w:pPr>
              <w:pStyle w:val="58"/>
              <w:spacing w:line="360" w:lineRule="auto"/>
              <w:jc w:val="center"/>
              <w:rPr>
                <w:rFonts w:hAnsi="宋体"/>
                <w:b/>
                <w:bCs/>
                <w:color w:val="auto"/>
                <w:sz w:val="22"/>
                <w:szCs w:val="22"/>
                <w:highlight w:val="none"/>
              </w:rPr>
            </w:pPr>
          </w:p>
        </w:tc>
        <w:tc>
          <w:tcPr>
            <w:tcW w:w="1410" w:type="dxa"/>
            <w:vAlign w:val="center"/>
          </w:tcPr>
          <w:p>
            <w:pPr>
              <w:pStyle w:val="58"/>
              <w:spacing w:line="360" w:lineRule="auto"/>
              <w:jc w:val="center"/>
              <w:rPr>
                <w:rFonts w:hAnsi="宋体"/>
                <w:b/>
                <w:bCs/>
                <w:color w:val="auto"/>
                <w:sz w:val="22"/>
                <w:szCs w:val="22"/>
                <w:highlight w:val="none"/>
              </w:rPr>
            </w:pPr>
          </w:p>
        </w:tc>
        <w:tc>
          <w:tcPr>
            <w:tcW w:w="495" w:type="dxa"/>
            <w:vAlign w:val="center"/>
          </w:tcPr>
          <w:p>
            <w:pPr>
              <w:pStyle w:val="58"/>
              <w:spacing w:line="360" w:lineRule="auto"/>
              <w:jc w:val="center"/>
              <w:rPr>
                <w:rFonts w:hAnsi="宋体"/>
                <w:b/>
                <w:bCs/>
                <w:color w:val="auto"/>
                <w:sz w:val="22"/>
                <w:szCs w:val="22"/>
                <w:highlight w:val="none"/>
              </w:rPr>
            </w:pPr>
          </w:p>
        </w:tc>
        <w:tc>
          <w:tcPr>
            <w:tcW w:w="498" w:type="dxa"/>
            <w:vAlign w:val="center"/>
          </w:tcPr>
          <w:p>
            <w:pPr>
              <w:pStyle w:val="58"/>
              <w:spacing w:line="360" w:lineRule="auto"/>
              <w:jc w:val="center"/>
              <w:rPr>
                <w:rFonts w:hAnsi="宋体"/>
                <w:b/>
                <w:bCs/>
                <w:color w:val="auto"/>
                <w:sz w:val="22"/>
                <w:szCs w:val="22"/>
                <w:highlight w:val="none"/>
              </w:rPr>
            </w:pPr>
          </w:p>
        </w:tc>
        <w:tc>
          <w:tcPr>
            <w:tcW w:w="1147" w:type="dxa"/>
            <w:vAlign w:val="center"/>
          </w:tcPr>
          <w:p>
            <w:pPr>
              <w:pStyle w:val="58"/>
              <w:spacing w:line="360" w:lineRule="auto"/>
              <w:jc w:val="center"/>
              <w:rPr>
                <w:rFonts w:hAnsi="宋体"/>
                <w:color w:val="auto"/>
                <w:sz w:val="22"/>
                <w:szCs w:val="22"/>
                <w:highlight w:val="none"/>
              </w:rPr>
            </w:pPr>
          </w:p>
        </w:tc>
        <w:tc>
          <w:tcPr>
            <w:tcW w:w="1123" w:type="dxa"/>
            <w:vAlign w:val="center"/>
          </w:tcPr>
          <w:p>
            <w:pPr>
              <w:pStyle w:val="58"/>
              <w:spacing w:line="360" w:lineRule="auto"/>
              <w:jc w:val="center"/>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58"/>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1936" w:type="dxa"/>
            <w:vAlign w:val="center"/>
          </w:tcPr>
          <w:p>
            <w:pPr>
              <w:pStyle w:val="58"/>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1620" w:type="dxa"/>
            <w:vAlign w:val="center"/>
          </w:tcPr>
          <w:p>
            <w:pPr>
              <w:jc w:val="center"/>
              <w:rPr>
                <w:rFonts w:ascii="宋体" w:hAnsi="宋体"/>
                <w:color w:val="auto"/>
                <w:sz w:val="22"/>
                <w:szCs w:val="22"/>
                <w:highlight w:val="none"/>
              </w:rPr>
            </w:pPr>
          </w:p>
        </w:tc>
        <w:tc>
          <w:tcPr>
            <w:tcW w:w="1410" w:type="dxa"/>
            <w:vAlign w:val="center"/>
          </w:tcPr>
          <w:p>
            <w:pPr>
              <w:jc w:val="center"/>
              <w:rPr>
                <w:rFonts w:ascii="宋体" w:hAnsi="宋体"/>
                <w:color w:val="auto"/>
                <w:sz w:val="22"/>
                <w:szCs w:val="22"/>
                <w:highlight w:val="none"/>
              </w:rPr>
            </w:pPr>
          </w:p>
        </w:tc>
        <w:tc>
          <w:tcPr>
            <w:tcW w:w="495" w:type="dxa"/>
            <w:vAlign w:val="center"/>
          </w:tcPr>
          <w:p>
            <w:pPr>
              <w:pStyle w:val="58"/>
              <w:spacing w:line="360" w:lineRule="auto"/>
              <w:jc w:val="center"/>
              <w:rPr>
                <w:rFonts w:hAnsi="宋体"/>
                <w:color w:val="auto"/>
                <w:sz w:val="22"/>
                <w:szCs w:val="22"/>
                <w:highlight w:val="none"/>
              </w:rPr>
            </w:pPr>
          </w:p>
        </w:tc>
        <w:tc>
          <w:tcPr>
            <w:tcW w:w="498" w:type="dxa"/>
            <w:vAlign w:val="center"/>
          </w:tcPr>
          <w:p>
            <w:pPr>
              <w:pStyle w:val="58"/>
              <w:spacing w:line="360" w:lineRule="auto"/>
              <w:jc w:val="center"/>
              <w:rPr>
                <w:rFonts w:hAnsi="宋体"/>
                <w:color w:val="auto"/>
                <w:sz w:val="22"/>
                <w:szCs w:val="22"/>
                <w:highlight w:val="none"/>
              </w:rPr>
            </w:pPr>
          </w:p>
        </w:tc>
        <w:tc>
          <w:tcPr>
            <w:tcW w:w="1147" w:type="dxa"/>
            <w:vAlign w:val="center"/>
          </w:tcPr>
          <w:p>
            <w:pPr>
              <w:pStyle w:val="58"/>
              <w:spacing w:line="360" w:lineRule="auto"/>
              <w:jc w:val="center"/>
              <w:rPr>
                <w:rFonts w:hAnsi="宋体"/>
                <w:color w:val="auto"/>
                <w:sz w:val="22"/>
                <w:szCs w:val="22"/>
                <w:highlight w:val="none"/>
              </w:rPr>
            </w:pPr>
          </w:p>
        </w:tc>
        <w:tc>
          <w:tcPr>
            <w:tcW w:w="1123" w:type="dxa"/>
            <w:vAlign w:val="center"/>
          </w:tcPr>
          <w:p>
            <w:pPr>
              <w:pStyle w:val="58"/>
              <w:spacing w:line="360" w:lineRule="auto"/>
              <w:jc w:val="center"/>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2739" w:type="dxa"/>
            <w:gridSpan w:val="2"/>
            <w:vAlign w:val="center"/>
          </w:tcPr>
          <w:p>
            <w:pPr>
              <w:pStyle w:val="58"/>
              <w:spacing w:line="360" w:lineRule="auto"/>
              <w:jc w:val="center"/>
              <w:rPr>
                <w:rFonts w:hAnsi="宋体"/>
                <w:b/>
                <w:bCs/>
                <w:color w:val="auto"/>
                <w:sz w:val="22"/>
                <w:szCs w:val="22"/>
                <w:highlight w:val="none"/>
              </w:rPr>
            </w:pPr>
            <w:r>
              <w:rPr>
                <w:rFonts w:hint="eastAsia" w:hAnsi="宋体"/>
                <w:b/>
                <w:bCs/>
                <w:color w:val="auto"/>
                <w:sz w:val="22"/>
                <w:szCs w:val="22"/>
                <w:highlight w:val="none"/>
              </w:rPr>
              <w:t>投标总价</w:t>
            </w:r>
          </w:p>
        </w:tc>
        <w:tc>
          <w:tcPr>
            <w:tcW w:w="6293" w:type="dxa"/>
            <w:gridSpan w:val="6"/>
            <w:vAlign w:val="center"/>
          </w:tcPr>
          <w:p>
            <w:pPr>
              <w:pStyle w:val="58"/>
              <w:spacing w:line="360" w:lineRule="auto"/>
              <w:jc w:val="center"/>
              <w:rPr>
                <w:rFonts w:hAnsi="宋体"/>
                <w:b/>
                <w:bCs/>
                <w:color w:val="auto"/>
                <w:sz w:val="22"/>
                <w:szCs w:val="22"/>
                <w:highlight w:val="none"/>
              </w:rPr>
            </w:pPr>
            <w:r>
              <w:rPr>
                <w:rFonts w:hint="eastAsia" w:hAnsi="宋体"/>
                <w:b/>
                <w:bCs/>
                <w:color w:val="auto"/>
                <w:sz w:val="22"/>
                <w:szCs w:val="22"/>
                <w:highlight w:val="none"/>
              </w:rPr>
              <w:t>大写：</w:t>
            </w:r>
            <w:r>
              <w:rPr>
                <w:rFonts w:hint="eastAsia" w:hAnsi="宋体"/>
                <w:b/>
                <w:bCs/>
                <w:color w:val="auto"/>
                <w:sz w:val="22"/>
                <w:szCs w:val="22"/>
                <w:highlight w:val="none"/>
                <w:u w:val="single"/>
              </w:rPr>
              <w:t xml:space="preserve">　　   　    　 </w:t>
            </w:r>
            <w:r>
              <w:rPr>
                <w:rFonts w:hint="eastAsia" w:hAnsi="宋体"/>
                <w:b/>
                <w:bCs/>
                <w:color w:val="auto"/>
                <w:sz w:val="24"/>
                <w:highlight w:val="none"/>
              </w:rPr>
              <w:t>元</w:t>
            </w:r>
            <w:r>
              <w:rPr>
                <w:rFonts w:hint="eastAsia" w:hAnsi="宋体"/>
                <w:b/>
                <w:bCs/>
                <w:color w:val="auto"/>
                <w:sz w:val="22"/>
                <w:szCs w:val="22"/>
                <w:highlight w:val="none"/>
              </w:rPr>
              <w:t>（小写：</w:t>
            </w:r>
            <w:r>
              <w:rPr>
                <w:rFonts w:hint="eastAsia" w:hAnsi="宋体"/>
                <w:b/>
                <w:bCs/>
                <w:color w:val="auto"/>
                <w:sz w:val="22"/>
                <w:szCs w:val="22"/>
                <w:highlight w:val="none"/>
                <w:u w:val="single"/>
              </w:rPr>
              <w:t>　 　　</w:t>
            </w:r>
            <w:r>
              <w:rPr>
                <w:rFonts w:hint="eastAsia" w:hAnsi="宋体"/>
                <w:b/>
                <w:bCs/>
                <w:color w:val="auto"/>
                <w:sz w:val="24"/>
                <w:highlight w:val="none"/>
              </w:rPr>
              <w:t>元</w:t>
            </w:r>
            <w:r>
              <w:rPr>
                <w:rFonts w:hint="eastAsia" w:hAnsi="宋体"/>
                <w:b/>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9032" w:type="dxa"/>
            <w:gridSpan w:val="8"/>
            <w:vAlign w:val="center"/>
          </w:tcPr>
          <w:p>
            <w:pPr>
              <w:pStyle w:val="58"/>
              <w:spacing w:line="360" w:lineRule="auto"/>
              <w:ind w:firstLine="480" w:firstLineChars="200"/>
              <w:rPr>
                <w:color w:val="auto"/>
                <w:sz w:val="24"/>
                <w:szCs w:val="24"/>
                <w:highlight w:val="none"/>
              </w:rPr>
            </w:pPr>
            <w:r>
              <w:rPr>
                <w:rFonts w:hint="eastAsia"/>
                <w:color w:val="auto"/>
                <w:sz w:val="24"/>
                <w:szCs w:val="24"/>
                <w:highlight w:val="none"/>
              </w:rPr>
              <w:t>投标报价统一为人民币计价，包括但不限于人员工资（包括加班费）、福利、奖金（过节费、高温费、伙食费、住宿费等）、保洁工具及部分耗材、工程维修设备工具、机械及车辆、绿化养护、垃圾清运、保险、服装、办公用品、利润、管理、税金及不可预见费用（如突击工作费等）等完成本项目的全部费用。凡供应商在报价中未列明但又为本次采购所必备的项目或遗漏项目，采购人将一律视为已包括在合同价中，在合同执行中将不予考虑。</w:t>
            </w:r>
          </w:p>
        </w:tc>
      </w:tr>
    </w:tbl>
    <w:p>
      <w:pPr>
        <w:pStyle w:val="58"/>
        <w:spacing w:line="360" w:lineRule="auto"/>
        <w:ind w:firstLine="480" w:firstLineChars="200"/>
        <w:rPr>
          <w:rFonts w:hAnsi="宋体"/>
          <w:color w:val="auto"/>
          <w:sz w:val="24"/>
          <w:szCs w:val="24"/>
          <w:highlight w:val="none"/>
        </w:rPr>
      </w:pPr>
      <w:r>
        <w:rPr>
          <w:rFonts w:hint="eastAsia" w:hAnsi="宋体"/>
          <w:color w:val="auto"/>
          <w:sz w:val="24"/>
          <w:szCs w:val="24"/>
          <w:highlight w:val="none"/>
        </w:rPr>
        <w:t>注：内容可根据供应商实际情况自行调整。</w:t>
      </w:r>
    </w:p>
    <w:p>
      <w:pPr>
        <w:rPr>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法定代表人或被授权委托人签名（或签名章）：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r>
        <w:rPr>
          <w:rFonts w:hint="eastAsia" w:ascii="宋体" w:hAnsi="宋体"/>
          <w:color w:val="auto"/>
          <w:sz w:val="24"/>
          <w:highlight w:val="none"/>
        </w:rPr>
        <w:t>供应商全称（公章）：</w:t>
      </w:r>
    </w:p>
    <w:p>
      <w:pPr>
        <w:rPr>
          <w:color w:val="auto"/>
          <w:highlight w:val="none"/>
        </w:rPr>
      </w:pPr>
    </w:p>
    <w:sectPr>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tabs>
        <w:tab w:val="clear" w:pos="4153"/>
        <w:tab w:val="clear" w:pos="8306"/>
      </w:tabs>
    </w:pPr>
    <w:r>
      <w:pict>
        <v:rect id="_x0000_s2049" o:spid="_x0000_s2049"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2c02roBAACGAwAADgAAAAAAAAABACAAAAAiAQAAZHJzL2Uyb0RvYy54bWxQSwUGAAAA&#10;AAYABgBZAQAATgUAAAAA&#10;">
          <v:path/>
          <v:fill on="f" focussize="0,0"/>
          <v:stroke on="f"/>
          <v:imagedata o:title=""/>
          <o:lock v:ext="edit"/>
          <v:textbox>
            <w:txbxContent>
              <w:p>
                <w:pPr>
                  <w:pStyle w:val="55"/>
                  <w:tabs>
                    <w:tab w:val="clear" w:pos="4153"/>
                    <w:tab w:val="clear" w:pos="8306"/>
                  </w:tabs>
                </w:pPr>
                <w:r>
                  <w:fldChar w:fldCharType="begin"/>
                </w:r>
                <w:r>
                  <w:instrText xml:space="preserve"> PAGE  \* MERGEFORMAT </w:instrText>
                </w:r>
                <w:r>
                  <w:fldChar w:fldCharType="separate"/>
                </w:r>
                <w:r>
                  <w:t>20</w:t>
                </w:r>
                <w:r>
                  <w:fldChar w:fldCharType="end"/>
                </w:r>
              </w:p>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tabs>
        <w:tab w:val="clear" w:pos="4153"/>
        <w:tab w:val="clear" w:pos="8306"/>
      </w:tabs>
      <w:ind w:right="360"/>
    </w:pPr>
    <w:r>
      <w:pict>
        <v:rect id="_x0000_s2050" o:spid="_x0000_s2050"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cUFBaLoBAACGAwAADgAAAAAAAAABACAAAAAiAQAAZHJzL2Uyb0RvYy54bWxQSwUGAAAA&#10;AAYABgBZAQAATgUAAAAA&#10;">
          <v:path/>
          <v:fill on="f" focussize="0,0"/>
          <v:stroke on="f"/>
          <v:imagedata o:title=""/>
          <o:lock v:ext="edit"/>
          <v:textbox>
            <w:txbxContent>
              <w:p>
                <w:pPr>
                  <w:pStyle w:val="55"/>
                  <w:tabs>
                    <w:tab w:val="clear" w:pos="4153"/>
                    <w:tab w:val="clear" w:pos="8306"/>
                  </w:tabs>
                </w:pPr>
                <w:r>
                  <w:fldChar w:fldCharType="begin"/>
                </w:r>
                <w:r>
                  <w:instrText xml:space="preserve"> PAGE  \* MERGEFORMAT </w:instrText>
                </w:r>
                <w:r>
                  <w:fldChar w:fldCharType="separate"/>
                </w:r>
                <w:r>
                  <w:t>24</w:t>
                </w:r>
                <w:r>
                  <w:fldChar w:fldCharType="end"/>
                </w:r>
              </w:p>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Bdr>
        <w:bottom w:val="none" w:color="auto" w:sz="0" w:space="1"/>
      </w:pBdr>
      <w:tabs>
        <w:tab w:val="clear" w:pos="4153"/>
        <w:tab w:val="clear" w:pos="8306"/>
      </w:tabs>
      <w:ind w:left="1080" w:hanging="1080" w:hangingChars="600"/>
      <w:jc w:val="both"/>
      <w:rPr>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A70F8"/>
    <w:multiLevelType w:val="singleLevel"/>
    <w:tmpl w:val="82AA70F8"/>
    <w:lvl w:ilvl="0" w:tentative="0">
      <w:start w:val="1"/>
      <w:numFmt w:val="decimal"/>
      <w:suff w:val="nothing"/>
      <w:lvlText w:val="%1．"/>
      <w:lvlJc w:val="left"/>
      <w:pPr>
        <w:ind w:left="0" w:firstLine="400"/>
      </w:pPr>
    </w:lvl>
  </w:abstractNum>
  <w:abstractNum w:abstractNumId="1">
    <w:nsid w:val="83546E10"/>
    <w:multiLevelType w:val="singleLevel"/>
    <w:tmpl w:val="83546E10"/>
    <w:lvl w:ilvl="0" w:tentative="0">
      <w:start w:val="1"/>
      <w:numFmt w:val="decimal"/>
      <w:suff w:val="nothing"/>
      <w:lvlText w:val="%1．"/>
      <w:lvlJc w:val="left"/>
      <w:pPr>
        <w:ind w:left="0" w:firstLine="400"/>
      </w:pPr>
    </w:lvl>
  </w:abstractNum>
  <w:abstractNum w:abstractNumId="2">
    <w:nsid w:val="960C84E7"/>
    <w:multiLevelType w:val="singleLevel"/>
    <w:tmpl w:val="960C84E7"/>
    <w:lvl w:ilvl="0" w:tentative="0">
      <w:start w:val="1"/>
      <w:numFmt w:val="decimal"/>
      <w:suff w:val="nothing"/>
      <w:lvlText w:val="14.%1 "/>
      <w:lvlJc w:val="left"/>
      <w:pPr>
        <w:tabs>
          <w:tab w:val="left" w:pos="0"/>
        </w:tabs>
        <w:ind w:left="0" w:firstLine="40"/>
      </w:pPr>
      <w:rPr>
        <w:rFonts w:ascii="宋体" w:hAnsi="宋体" w:eastAsia="宋体"/>
      </w:rPr>
    </w:lvl>
  </w:abstractNum>
  <w:abstractNum w:abstractNumId="3">
    <w:nsid w:val="99DB4D2F"/>
    <w:multiLevelType w:val="singleLevel"/>
    <w:tmpl w:val="99DB4D2F"/>
    <w:lvl w:ilvl="0" w:tentative="0">
      <w:start w:val="3"/>
      <w:numFmt w:val="decimal"/>
      <w:suff w:val="nothing"/>
      <w:lvlText w:val="（%1）"/>
      <w:lvlJc w:val="left"/>
    </w:lvl>
  </w:abstractNum>
  <w:abstractNum w:abstractNumId="4">
    <w:nsid w:val="9BB01B17"/>
    <w:multiLevelType w:val="singleLevel"/>
    <w:tmpl w:val="9BB01B17"/>
    <w:lvl w:ilvl="0" w:tentative="0">
      <w:start w:val="2"/>
      <w:numFmt w:val="chineseCounting"/>
      <w:suff w:val="nothing"/>
      <w:lvlText w:val="%1、"/>
      <w:lvlJc w:val="left"/>
      <w:rPr>
        <w:rFonts w:hint="eastAsia"/>
      </w:rPr>
    </w:lvl>
  </w:abstractNum>
  <w:abstractNum w:abstractNumId="5">
    <w:nsid w:val="9E7D436F"/>
    <w:multiLevelType w:val="singleLevel"/>
    <w:tmpl w:val="9E7D436F"/>
    <w:lvl w:ilvl="0" w:tentative="0">
      <w:start w:val="1"/>
      <w:numFmt w:val="chineseCounting"/>
      <w:suff w:val="nothing"/>
      <w:lvlText w:val="%1、"/>
      <w:lvlJc w:val="left"/>
      <w:rPr>
        <w:rFonts w:hint="eastAsia"/>
      </w:rPr>
    </w:lvl>
  </w:abstractNum>
  <w:abstractNum w:abstractNumId="6">
    <w:nsid w:val="AAFB5AB0"/>
    <w:multiLevelType w:val="singleLevel"/>
    <w:tmpl w:val="AAFB5AB0"/>
    <w:lvl w:ilvl="0" w:tentative="0">
      <w:start w:val="1"/>
      <w:numFmt w:val="decimal"/>
      <w:suff w:val="nothing"/>
      <w:lvlText w:val="%1．"/>
      <w:lvlJc w:val="left"/>
      <w:pPr>
        <w:ind w:left="0" w:firstLine="400"/>
      </w:pPr>
    </w:lvl>
  </w:abstractNum>
  <w:abstractNum w:abstractNumId="7">
    <w:nsid w:val="D398E9E8"/>
    <w:multiLevelType w:val="singleLevel"/>
    <w:tmpl w:val="D398E9E8"/>
    <w:lvl w:ilvl="0" w:tentative="0">
      <w:start w:val="3"/>
      <w:numFmt w:val="chineseCounting"/>
      <w:suff w:val="space"/>
      <w:lvlText w:val="第%1部分"/>
      <w:lvlJc w:val="left"/>
      <w:rPr>
        <w:rFonts w:hint="eastAsia"/>
      </w:rPr>
    </w:lvl>
  </w:abstractNum>
  <w:abstractNum w:abstractNumId="8">
    <w:nsid w:val="D72BC4DF"/>
    <w:multiLevelType w:val="singleLevel"/>
    <w:tmpl w:val="D72BC4DF"/>
    <w:lvl w:ilvl="0" w:tentative="0">
      <w:start w:val="1"/>
      <w:numFmt w:val="chineseCounting"/>
      <w:suff w:val="space"/>
      <w:lvlText w:val="%1．"/>
      <w:lvlJc w:val="left"/>
      <w:rPr>
        <w:rFonts w:hint="eastAsia"/>
      </w:rPr>
    </w:lvl>
  </w:abstractNum>
  <w:abstractNum w:abstractNumId="9">
    <w:nsid w:val="F6B56090"/>
    <w:multiLevelType w:val="singleLevel"/>
    <w:tmpl w:val="F6B56090"/>
    <w:lvl w:ilvl="0" w:tentative="0">
      <w:start w:val="1"/>
      <w:numFmt w:val="chineseCounting"/>
      <w:suff w:val="nothing"/>
      <w:lvlText w:val="%1、"/>
      <w:lvlJc w:val="left"/>
      <w:pPr>
        <w:ind w:left="0" w:firstLine="397"/>
      </w:pPr>
      <w:rPr>
        <w:rFonts w:hint="eastAsia"/>
      </w:rPr>
    </w:lvl>
  </w:abstractNum>
  <w:abstractNum w:abstractNumId="10">
    <w:nsid w:val="FE0CD8BA"/>
    <w:multiLevelType w:val="singleLevel"/>
    <w:tmpl w:val="FE0CD8BA"/>
    <w:lvl w:ilvl="0" w:tentative="0">
      <w:start w:val="1"/>
      <w:numFmt w:val="decimal"/>
      <w:suff w:val="nothing"/>
      <w:lvlText w:val="%1．"/>
      <w:lvlJc w:val="left"/>
      <w:pPr>
        <w:ind w:left="0" w:firstLine="400"/>
      </w:pPr>
    </w:lvl>
  </w:abstractNum>
  <w:abstractNum w:abstractNumId="11">
    <w:nsid w:val="00000021"/>
    <w:multiLevelType w:val="singleLevel"/>
    <w:tmpl w:val="00000021"/>
    <w:lvl w:ilvl="0" w:tentative="0">
      <w:start w:val="1"/>
      <w:numFmt w:val="decimal"/>
      <w:lvlText w:val="%1."/>
      <w:lvlJc w:val="left"/>
      <w:pPr>
        <w:tabs>
          <w:tab w:val="left" w:pos="312"/>
        </w:tabs>
      </w:pPr>
    </w:lvl>
  </w:abstractNum>
  <w:abstractNum w:abstractNumId="12">
    <w:nsid w:val="12F353C5"/>
    <w:multiLevelType w:val="singleLevel"/>
    <w:tmpl w:val="12F353C5"/>
    <w:lvl w:ilvl="0" w:tentative="0">
      <w:start w:val="1"/>
      <w:numFmt w:val="chineseCounting"/>
      <w:suff w:val="nothing"/>
      <w:lvlText w:val="%1、"/>
      <w:lvlJc w:val="left"/>
      <w:rPr>
        <w:rFonts w:hint="eastAsia"/>
      </w:rPr>
    </w:lvl>
  </w:abstractNum>
  <w:abstractNum w:abstractNumId="13">
    <w:nsid w:val="139B6DF6"/>
    <w:multiLevelType w:val="singleLevel"/>
    <w:tmpl w:val="139B6DF6"/>
    <w:lvl w:ilvl="0" w:tentative="0">
      <w:start w:val="1"/>
      <w:numFmt w:val="decimal"/>
      <w:suff w:val="nothing"/>
      <w:lvlText w:val="9.%1 "/>
      <w:lvlJc w:val="left"/>
      <w:pPr>
        <w:tabs>
          <w:tab w:val="left" w:pos="0"/>
        </w:tabs>
        <w:ind w:left="0" w:firstLine="40"/>
      </w:pPr>
      <w:rPr>
        <w:rFonts w:ascii="宋体" w:hAnsi="宋体" w:eastAsia="宋体"/>
      </w:rPr>
    </w:lvl>
  </w:abstractNum>
  <w:abstractNum w:abstractNumId="14">
    <w:nsid w:val="1DBCF645"/>
    <w:multiLevelType w:val="singleLevel"/>
    <w:tmpl w:val="1DBCF645"/>
    <w:lvl w:ilvl="0" w:tentative="0">
      <w:start w:val="1"/>
      <w:numFmt w:val="none"/>
      <w:suff w:val="nothing"/>
      <w:lvlText w:val="%1　"/>
      <w:lvlJc w:val="left"/>
      <w:pPr>
        <w:ind w:left="0" w:firstLine="397"/>
      </w:pPr>
      <w:rPr>
        <w:rFonts w:hint="eastAsia"/>
      </w:rPr>
    </w:lvl>
  </w:abstractNum>
  <w:abstractNum w:abstractNumId="15">
    <w:nsid w:val="1EC1A361"/>
    <w:multiLevelType w:val="singleLevel"/>
    <w:tmpl w:val="1EC1A361"/>
    <w:lvl w:ilvl="0" w:tentative="0">
      <w:start w:val="1"/>
      <w:numFmt w:val="none"/>
      <w:suff w:val="nothing"/>
      <w:lvlText w:val="%1　"/>
      <w:lvlJc w:val="left"/>
      <w:pPr>
        <w:ind w:left="0" w:firstLine="397"/>
      </w:pPr>
      <w:rPr>
        <w:rFonts w:hint="eastAsia"/>
      </w:rPr>
    </w:lvl>
  </w:abstractNum>
  <w:abstractNum w:abstractNumId="16">
    <w:nsid w:val="25F33ADD"/>
    <w:multiLevelType w:val="singleLevel"/>
    <w:tmpl w:val="25F33ADD"/>
    <w:lvl w:ilvl="0" w:tentative="0">
      <w:start w:val="1"/>
      <w:numFmt w:val="none"/>
      <w:suff w:val="nothing"/>
      <w:lvlText w:val="%1　"/>
      <w:lvlJc w:val="left"/>
      <w:pPr>
        <w:ind w:left="0" w:firstLine="1134"/>
      </w:pPr>
      <w:rPr>
        <w:rFonts w:hint="eastAsia"/>
      </w:rPr>
    </w:lvl>
  </w:abstractNum>
  <w:abstractNum w:abstractNumId="17">
    <w:nsid w:val="31213A5A"/>
    <w:multiLevelType w:val="singleLevel"/>
    <w:tmpl w:val="31213A5A"/>
    <w:lvl w:ilvl="0" w:tentative="0">
      <w:start w:val="4"/>
      <w:numFmt w:val="chineseCounting"/>
      <w:suff w:val="nothing"/>
      <w:lvlText w:val="%1、"/>
      <w:lvlJc w:val="left"/>
      <w:rPr>
        <w:rFonts w:hint="eastAsia"/>
      </w:rPr>
    </w:lvl>
  </w:abstractNum>
  <w:abstractNum w:abstractNumId="18">
    <w:nsid w:val="4D4A2151"/>
    <w:multiLevelType w:val="singleLevel"/>
    <w:tmpl w:val="4D4A2151"/>
    <w:lvl w:ilvl="0" w:tentative="0">
      <w:start w:val="1"/>
      <w:numFmt w:val="decimal"/>
      <w:suff w:val="nothing"/>
      <w:lvlText w:val="%1．"/>
      <w:lvlJc w:val="left"/>
      <w:pPr>
        <w:ind w:left="0" w:firstLine="397"/>
      </w:pPr>
    </w:lvl>
  </w:abstractNum>
  <w:abstractNum w:abstractNumId="19">
    <w:nsid w:val="4E500E78"/>
    <w:multiLevelType w:val="singleLevel"/>
    <w:tmpl w:val="4E500E78"/>
    <w:lvl w:ilvl="0" w:tentative="0">
      <w:start w:val="1"/>
      <w:numFmt w:val="decimalEnclosedCircleChinese"/>
      <w:suff w:val="nothing"/>
      <w:lvlText w:val="%1　"/>
      <w:lvlJc w:val="left"/>
      <w:pPr>
        <w:ind w:left="0" w:firstLine="400"/>
      </w:pPr>
      <w:rPr>
        <w:rFonts w:hint="eastAsia"/>
      </w:rPr>
    </w:lvl>
  </w:abstractNum>
  <w:abstractNum w:abstractNumId="20">
    <w:nsid w:val="63557B35"/>
    <w:multiLevelType w:val="singleLevel"/>
    <w:tmpl w:val="63557B35"/>
    <w:lvl w:ilvl="0" w:tentative="0">
      <w:start w:val="1"/>
      <w:numFmt w:val="upperLetter"/>
      <w:pStyle w:val="64"/>
      <w:lvlText w:val="%1、"/>
      <w:lvlJc w:val="left"/>
      <w:pPr>
        <w:tabs>
          <w:tab w:val="left" w:pos="1035"/>
        </w:tabs>
        <w:ind w:left="840" w:hanging="420"/>
      </w:pPr>
      <w:rPr>
        <w:rFonts w:hint="eastAsia"/>
      </w:rPr>
    </w:lvl>
  </w:abstractNum>
  <w:abstractNum w:abstractNumId="21">
    <w:nsid w:val="704103D5"/>
    <w:multiLevelType w:val="singleLevel"/>
    <w:tmpl w:val="704103D5"/>
    <w:lvl w:ilvl="0" w:tentative="0">
      <w:start w:val="1"/>
      <w:numFmt w:val="decimal"/>
      <w:suff w:val="nothing"/>
      <w:lvlText w:val="%1、"/>
      <w:lvlJc w:val="left"/>
    </w:lvl>
  </w:abstractNum>
  <w:abstractNum w:abstractNumId="22">
    <w:nsid w:val="7B2826C6"/>
    <w:multiLevelType w:val="singleLevel"/>
    <w:tmpl w:val="7B2826C6"/>
    <w:lvl w:ilvl="0" w:tentative="0">
      <w:start w:val="1"/>
      <w:numFmt w:val="decimal"/>
      <w:suff w:val="nothing"/>
      <w:lvlText w:val="%1．"/>
      <w:lvlJc w:val="left"/>
      <w:pPr>
        <w:ind w:left="0" w:firstLine="397"/>
      </w:pPr>
    </w:lvl>
  </w:abstractNum>
  <w:num w:numId="1">
    <w:abstractNumId w:val="20"/>
  </w:num>
  <w:num w:numId="2">
    <w:abstractNumId w:val="8"/>
  </w:num>
  <w:num w:numId="3">
    <w:abstractNumId w:val="1"/>
  </w:num>
  <w:num w:numId="4">
    <w:abstractNumId w:val="18"/>
  </w:num>
  <w:num w:numId="5">
    <w:abstractNumId w:val="14"/>
  </w:num>
  <w:num w:numId="6">
    <w:abstractNumId w:val="22"/>
  </w:num>
  <w:num w:numId="7">
    <w:abstractNumId w:val="15"/>
  </w:num>
  <w:num w:numId="8">
    <w:abstractNumId w:val="12"/>
  </w:num>
  <w:num w:numId="9">
    <w:abstractNumId w:val="13"/>
  </w:num>
  <w:num w:numId="10">
    <w:abstractNumId w:val="2"/>
  </w:num>
  <w:num w:numId="11">
    <w:abstractNumId w:val="16"/>
  </w:num>
  <w:num w:numId="12">
    <w:abstractNumId w:val="9"/>
  </w:num>
  <w:num w:numId="13">
    <w:abstractNumId w:val="7"/>
  </w:num>
  <w:num w:numId="14">
    <w:abstractNumId w:val="5"/>
  </w:num>
  <w:num w:numId="15">
    <w:abstractNumId w:val="17"/>
  </w:num>
  <w:num w:numId="16">
    <w:abstractNumId w:val="4"/>
  </w:num>
  <w:num w:numId="17">
    <w:abstractNumId w:val="21"/>
  </w:num>
  <w:num w:numId="18">
    <w:abstractNumId w:val="3"/>
  </w:num>
  <w:num w:numId="19">
    <w:abstractNumId w:val="10"/>
  </w:num>
  <w:num w:numId="20">
    <w:abstractNumId w:val="6"/>
  </w:num>
  <w:num w:numId="21">
    <w:abstractNumId w:val="0"/>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WIxZmMxMmJiYmExODA3MDgxOGMxYjNkNTE3YWYxOTgifQ=="/>
  </w:docVars>
  <w:rsids>
    <w:rsidRoot w:val="00172A27"/>
    <w:rsid w:val="00001E0A"/>
    <w:rsid w:val="00005455"/>
    <w:rsid w:val="00013554"/>
    <w:rsid w:val="00014827"/>
    <w:rsid w:val="00014BC2"/>
    <w:rsid w:val="00024D27"/>
    <w:rsid w:val="00042BEC"/>
    <w:rsid w:val="00044411"/>
    <w:rsid w:val="0004469E"/>
    <w:rsid w:val="00052118"/>
    <w:rsid w:val="00054743"/>
    <w:rsid w:val="0007243C"/>
    <w:rsid w:val="000818EC"/>
    <w:rsid w:val="00082EA1"/>
    <w:rsid w:val="00091581"/>
    <w:rsid w:val="00093133"/>
    <w:rsid w:val="000A2B61"/>
    <w:rsid w:val="000B0DE8"/>
    <w:rsid w:val="000B1BC1"/>
    <w:rsid w:val="000B1D1F"/>
    <w:rsid w:val="000C1B23"/>
    <w:rsid w:val="000C3C67"/>
    <w:rsid w:val="000D3E98"/>
    <w:rsid w:val="000E69C0"/>
    <w:rsid w:val="000F01D6"/>
    <w:rsid w:val="000F0EFB"/>
    <w:rsid w:val="000F6F9D"/>
    <w:rsid w:val="000F7B0E"/>
    <w:rsid w:val="001020C7"/>
    <w:rsid w:val="001120AB"/>
    <w:rsid w:val="00117003"/>
    <w:rsid w:val="001211B9"/>
    <w:rsid w:val="00124A87"/>
    <w:rsid w:val="0013056A"/>
    <w:rsid w:val="00132A63"/>
    <w:rsid w:val="00135166"/>
    <w:rsid w:val="00142A4B"/>
    <w:rsid w:val="00146835"/>
    <w:rsid w:val="00147163"/>
    <w:rsid w:val="00161D26"/>
    <w:rsid w:val="00166D20"/>
    <w:rsid w:val="001719E8"/>
    <w:rsid w:val="00172A27"/>
    <w:rsid w:val="00177244"/>
    <w:rsid w:val="00184CFC"/>
    <w:rsid w:val="00190B9E"/>
    <w:rsid w:val="0019718A"/>
    <w:rsid w:val="001A00D0"/>
    <w:rsid w:val="001A4AF2"/>
    <w:rsid w:val="001A6283"/>
    <w:rsid w:val="001A72E6"/>
    <w:rsid w:val="001B5D61"/>
    <w:rsid w:val="001C2FCD"/>
    <w:rsid w:val="001C374B"/>
    <w:rsid w:val="001C5B0B"/>
    <w:rsid w:val="001C603C"/>
    <w:rsid w:val="001E24E4"/>
    <w:rsid w:val="001E71A3"/>
    <w:rsid w:val="001F73A9"/>
    <w:rsid w:val="00203A31"/>
    <w:rsid w:val="0020423B"/>
    <w:rsid w:val="00206050"/>
    <w:rsid w:val="00206897"/>
    <w:rsid w:val="00230223"/>
    <w:rsid w:val="002319E8"/>
    <w:rsid w:val="0023391C"/>
    <w:rsid w:val="002342FD"/>
    <w:rsid w:val="002401DD"/>
    <w:rsid w:val="00242045"/>
    <w:rsid w:val="00243D02"/>
    <w:rsid w:val="002600B8"/>
    <w:rsid w:val="00261BD1"/>
    <w:rsid w:val="00261EE9"/>
    <w:rsid w:val="002624CF"/>
    <w:rsid w:val="00274CB6"/>
    <w:rsid w:val="00276E55"/>
    <w:rsid w:val="00281777"/>
    <w:rsid w:val="00282C57"/>
    <w:rsid w:val="00290133"/>
    <w:rsid w:val="00297E71"/>
    <w:rsid w:val="002A294D"/>
    <w:rsid w:val="002A2EA0"/>
    <w:rsid w:val="002A64D2"/>
    <w:rsid w:val="002A7A1C"/>
    <w:rsid w:val="002C1EBB"/>
    <w:rsid w:val="002C3E22"/>
    <w:rsid w:val="002C5ABB"/>
    <w:rsid w:val="002C631B"/>
    <w:rsid w:val="002C66F7"/>
    <w:rsid w:val="002C778A"/>
    <w:rsid w:val="002D1E90"/>
    <w:rsid w:val="002D2D98"/>
    <w:rsid w:val="002D3391"/>
    <w:rsid w:val="002E0AEF"/>
    <w:rsid w:val="002F59FD"/>
    <w:rsid w:val="002F5E72"/>
    <w:rsid w:val="00300073"/>
    <w:rsid w:val="003059BE"/>
    <w:rsid w:val="00305D31"/>
    <w:rsid w:val="003100FD"/>
    <w:rsid w:val="0031421C"/>
    <w:rsid w:val="0032052E"/>
    <w:rsid w:val="00320DC0"/>
    <w:rsid w:val="0032146D"/>
    <w:rsid w:val="00325475"/>
    <w:rsid w:val="003274D0"/>
    <w:rsid w:val="0033130B"/>
    <w:rsid w:val="0033346F"/>
    <w:rsid w:val="003348C4"/>
    <w:rsid w:val="00335F93"/>
    <w:rsid w:val="003368D4"/>
    <w:rsid w:val="00341397"/>
    <w:rsid w:val="003618FB"/>
    <w:rsid w:val="00366804"/>
    <w:rsid w:val="0038053E"/>
    <w:rsid w:val="00384B23"/>
    <w:rsid w:val="0038579D"/>
    <w:rsid w:val="00390EEC"/>
    <w:rsid w:val="003922D8"/>
    <w:rsid w:val="003924E4"/>
    <w:rsid w:val="00392BB5"/>
    <w:rsid w:val="00394F33"/>
    <w:rsid w:val="00395AB4"/>
    <w:rsid w:val="0039705D"/>
    <w:rsid w:val="003A1142"/>
    <w:rsid w:val="003A571E"/>
    <w:rsid w:val="003A6785"/>
    <w:rsid w:val="003A6892"/>
    <w:rsid w:val="003B2C43"/>
    <w:rsid w:val="003D0800"/>
    <w:rsid w:val="003D0B5B"/>
    <w:rsid w:val="003D285D"/>
    <w:rsid w:val="003D3771"/>
    <w:rsid w:val="003D5748"/>
    <w:rsid w:val="003D6B97"/>
    <w:rsid w:val="003F2048"/>
    <w:rsid w:val="003F4A04"/>
    <w:rsid w:val="0040034A"/>
    <w:rsid w:val="00400DEC"/>
    <w:rsid w:val="0040226A"/>
    <w:rsid w:val="00423D97"/>
    <w:rsid w:val="00426BE9"/>
    <w:rsid w:val="00430690"/>
    <w:rsid w:val="004328AA"/>
    <w:rsid w:val="004336CF"/>
    <w:rsid w:val="004501CC"/>
    <w:rsid w:val="00450C31"/>
    <w:rsid w:val="00451E12"/>
    <w:rsid w:val="0045559D"/>
    <w:rsid w:val="004568FA"/>
    <w:rsid w:val="00461098"/>
    <w:rsid w:val="00462724"/>
    <w:rsid w:val="004728FD"/>
    <w:rsid w:val="00481134"/>
    <w:rsid w:val="0048383B"/>
    <w:rsid w:val="00483DE1"/>
    <w:rsid w:val="0049063F"/>
    <w:rsid w:val="004924BD"/>
    <w:rsid w:val="004936E9"/>
    <w:rsid w:val="00495520"/>
    <w:rsid w:val="004A4AA6"/>
    <w:rsid w:val="004A6B8F"/>
    <w:rsid w:val="004B2322"/>
    <w:rsid w:val="004B3CDF"/>
    <w:rsid w:val="004B79E4"/>
    <w:rsid w:val="004D022C"/>
    <w:rsid w:val="004D316B"/>
    <w:rsid w:val="004D7BD0"/>
    <w:rsid w:val="004E4C68"/>
    <w:rsid w:val="004E683C"/>
    <w:rsid w:val="004F07AA"/>
    <w:rsid w:val="004F0C52"/>
    <w:rsid w:val="004F4A80"/>
    <w:rsid w:val="004F5D82"/>
    <w:rsid w:val="00500484"/>
    <w:rsid w:val="005062FC"/>
    <w:rsid w:val="00521483"/>
    <w:rsid w:val="00526558"/>
    <w:rsid w:val="00530FC1"/>
    <w:rsid w:val="00540719"/>
    <w:rsid w:val="00542003"/>
    <w:rsid w:val="0054596D"/>
    <w:rsid w:val="00547F86"/>
    <w:rsid w:val="0055467C"/>
    <w:rsid w:val="00562659"/>
    <w:rsid w:val="00565F42"/>
    <w:rsid w:val="005662B2"/>
    <w:rsid w:val="0056792B"/>
    <w:rsid w:val="005703A5"/>
    <w:rsid w:val="00574671"/>
    <w:rsid w:val="0058447B"/>
    <w:rsid w:val="005862B5"/>
    <w:rsid w:val="00591006"/>
    <w:rsid w:val="00597FF7"/>
    <w:rsid w:val="005A123F"/>
    <w:rsid w:val="005A3AEE"/>
    <w:rsid w:val="005B1BD0"/>
    <w:rsid w:val="005B3CC9"/>
    <w:rsid w:val="005B5D59"/>
    <w:rsid w:val="005C743A"/>
    <w:rsid w:val="005D528A"/>
    <w:rsid w:val="005D6A1B"/>
    <w:rsid w:val="005F1B27"/>
    <w:rsid w:val="005F6971"/>
    <w:rsid w:val="005F7041"/>
    <w:rsid w:val="0060441D"/>
    <w:rsid w:val="00623A03"/>
    <w:rsid w:val="006338EC"/>
    <w:rsid w:val="00635E84"/>
    <w:rsid w:val="006409B5"/>
    <w:rsid w:val="00646D41"/>
    <w:rsid w:val="00651121"/>
    <w:rsid w:val="00651DD9"/>
    <w:rsid w:val="0065611A"/>
    <w:rsid w:val="00660341"/>
    <w:rsid w:val="00672159"/>
    <w:rsid w:val="006753E5"/>
    <w:rsid w:val="00686457"/>
    <w:rsid w:val="006901FA"/>
    <w:rsid w:val="006A0ADA"/>
    <w:rsid w:val="006A600C"/>
    <w:rsid w:val="006B0602"/>
    <w:rsid w:val="006B1EC6"/>
    <w:rsid w:val="006B57E7"/>
    <w:rsid w:val="006C071D"/>
    <w:rsid w:val="006C136C"/>
    <w:rsid w:val="006C39EF"/>
    <w:rsid w:val="006C6388"/>
    <w:rsid w:val="006D1498"/>
    <w:rsid w:val="006D3A40"/>
    <w:rsid w:val="006E382A"/>
    <w:rsid w:val="006E3E59"/>
    <w:rsid w:val="006E4889"/>
    <w:rsid w:val="006F3CED"/>
    <w:rsid w:val="006F7337"/>
    <w:rsid w:val="00700D7F"/>
    <w:rsid w:val="00701B37"/>
    <w:rsid w:val="00702B6F"/>
    <w:rsid w:val="00707733"/>
    <w:rsid w:val="0070776D"/>
    <w:rsid w:val="007110C2"/>
    <w:rsid w:val="00715FA1"/>
    <w:rsid w:val="00717FA9"/>
    <w:rsid w:val="00720D65"/>
    <w:rsid w:val="007459C4"/>
    <w:rsid w:val="00756C5B"/>
    <w:rsid w:val="00757390"/>
    <w:rsid w:val="00764D50"/>
    <w:rsid w:val="0076659C"/>
    <w:rsid w:val="00773BFB"/>
    <w:rsid w:val="00774310"/>
    <w:rsid w:val="0077727D"/>
    <w:rsid w:val="00781F5A"/>
    <w:rsid w:val="00786C14"/>
    <w:rsid w:val="00787950"/>
    <w:rsid w:val="00792FE8"/>
    <w:rsid w:val="007938BC"/>
    <w:rsid w:val="00797C6F"/>
    <w:rsid w:val="007A07B5"/>
    <w:rsid w:val="007A0EF6"/>
    <w:rsid w:val="007A26F0"/>
    <w:rsid w:val="007A665C"/>
    <w:rsid w:val="007A6B56"/>
    <w:rsid w:val="007B1461"/>
    <w:rsid w:val="007B26F0"/>
    <w:rsid w:val="007B2742"/>
    <w:rsid w:val="007B5F8C"/>
    <w:rsid w:val="007B71FF"/>
    <w:rsid w:val="007C0CA9"/>
    <w:rsid w:val="007C4146"/>
    <w:rsid w:val="007C5957"/>
    <w:rsid w:val="007C78E1"/>
    <w:rsid w:val="007C7A3A"/>
    <w:rsid w:val="007D7398"/>
    <w:rsid w:val="007E7D7E"/>
    <w:rsid w:val="007F3B6B"/>
    <w:rsid w:val="007F7F39"/>
    <w:rsid w:val="008019BB"/>
    <w:rsid w:val="00802662"/>
    <w:rsid w:val="00803803"/>
    <w:rsid w:val="00807DA1"/>
    <w:rsid w:val="00811777"/>
    <w:rsid w:val="00813020"/>
    <w:rsid w:val="00813882"/>
    <w:rsid w:val="00821102"/>
    <w:rsid w:val="008237D5"/>
    <w:rsid w:val="00833B0F"/>
    <w:rsid w:val="00840198"/>
    <w:rsid w:val="00846B9A"/>
    <w:rsid w:val="00850B3B"/>
    <w:rsid w:val="00850E8A"/>
    <w:rsid w:val="00852044"/>
    <w:rsid w:val="00854373"/>
    <w:rsid w:val="0086031A"/>
    <w:rsid w:val="00867FD4"/>
    <w:rsid w:val="00872E82"/>
    <w:rsid w:val="00873251"/>
    <w:rsid w:val="008745EF"/>
    <w:rsid w:val="00874644"/>
    <w:rsid w:val="00877FB4"/>
    <w:rsid w:val="00880F2A"/>
    <w:rsid w:val="00891B42"/>
    <w:rsid w:val="0089523B"/>
    <w:rsid w:val="008A29D3"/>
    <w:rsid w:val="008B09EA"/>
    <w:rsid w:val="008B0EF9"/>
    <w:rsid w:val="008B5D03"/>
    <w:rsid w:val="008C3E76"/>
    <w:rsid w:val="008C49FF"/>
    <w:rsid w:val="008C59E8"/>
    <w:rsid w:val="008D1F5F"/>
    <w:rsid w:val="008D2CFE"/>
    <w:rsid w:val="008D38AE"/>
    <w:rsid w:val="008D5430"/>
    <w:rsid w:val="008E4664"/>
    <w:rsid w:val="008E50A7"/>
    <w:rsid w:val="008F6900"/>
    <w:rsid w:val="008F77F3"/>
    <w:rsid w:val="00903A3D"/>
    <w:rsid w:val="00904E4D"/>
    <w:rsid w:val="0091144F"/>
    <w:rsid w:val="00915752"/>
    <w:rsid w:val="0092209D"/>
    <w:rsid w:val="00923D9D"/>
    <w:rsid w:val="0093164B"/>
    <w:rsid w:val="00934355"/>
    <w:rsid w:val="00941FAA"/>
    <w:rsid w:val="009443EE"/>
    <w:rsid w:val="009540B5"/>
    <w:rsid w:val="0095635B"/>
    <w:rsid w:val="009647A0"/>
    <w:rsid w:val="009739C4"/>
    <w:rsid w:val="0097535A"/>
    <w:rsid w:val="00987559"/>
    <w:rsid w:val="00987F74"/>
    <w:rsid w:val="0099100B"/>
    <w:rsid w:val="00991FE8"/>
    <w:rsid w:val="00996C00"/>
    <w:rsid w:val="00997FE4"/>
    <w:rsid w:val="009A7E2E"/>
    <w:rsid w:val="009B2104"/>
    <w:rsid w:val="009B318D"/>
    <w:rsid w:val="009C0AB0"/>
    <w:rsid w:val="009C5BA7"/>
    <w:rsid w:val="009C61AD"/>
    <w:rsid w:val="009C6549"/>
    <w:rsid w:val="009C691C"/>
    <w:rsid w:val="009D0DC3"/>
    <w:rsid w:val="009D135C"/>
    <w:rsid w:val="009D5839"/>
    <w:rsid w:val="009E38F1"/>
    <w:rsid w:val="009E3ED7"/>
    <w:rsid w:val="009E7579"/>
    <w:rsid w:val="009F5CC5"/>
    <w:rsid w:val="009F65DA"/>
    <w:rsid w:val="00A13475"/>
    <w:rsid w:val="00A15F4A"/>
    <w:rsid w:val="00A25A86"/>
    <w:rsid w:val="00A270D8"/>
    <w:rsid w:val="00A30DF2"/>
    <w:rsid w:val="00A40D8F"/>
    <w:rsid w:val="00A41C17"/>
    <w:rsid w:val="00A42890"/>
    <w:rsid w:val="00A50843"/>
    <w:rsid w:val="00A60943"/>
    <w:rsid w:val="00A623E9"/>
    <w:rsid w:val="00A67B1E"/>
    <w:rsid w:val="00A67D62"/>
    <w:rsid w:val="00A70138"/>
    <w:rsid w:val="00A71BE4"/>
    <w:rsid w:val="00A72DE7"/>
    <w:rsid w:val="00A7428F"/>
    <w:rsid w:val="00A75984"/>
    <w:rsid w:val="00A767EA"/>
    <w:rsid w:val="00A80E13"/>
    <w:rsid w:val="00A8320C"/>
    <w:rsid w:val="00A94423"/>
    <w:rsid w:val="00A95238"/>
    <w:rsid w:val="00AB1201"/>
    <w:rsid w:val="00AB5DB6"/>
    <w:rsid w:val="00AB6489"/>
    <w:rsid w:val="00AC7A6B"/>
    <w:rsid w:val="00AD62F9"/>
    <w:rsid w:val="00AF1D0F"/>
    <w:rsid w:val="00AF3281"/>
    <w:rsid w:val="00AF398B"/>
    <w:rsid w:val="00AF7B73"/>
    <w:rsid w:val="00B02A99"/>
    <w:rsid w:val="00B0340A"/>
    <w:rsid w:val="00B04B5D"/>
    <w:rsid w:val="00B06615"/>
    <w:rsid w:val="00B06DA1"/>
    <w:rsid w:val="00B07896"/>
    <w:rsid w:val="00B21197"/>
    <w:rsid w:val="00B2362E"/>
    <w:rsid w:val="00B24A35"/>
    <w:rsid w:val="00B25DD9"/>
    <w:rsid w:val="00B431FA"/>
    <w:rsid w:val="00B50274"/>
    <w:rsid w:val="00B53F14"/>
    <w:rsid w:val="00B54947"/>
    <w:rsid w:val="00B54B59"/>
    <w:rsid w:val="00B561B7"/>
    <w:rsid w:val="00B57E57"/>
    <w:rsid w:val="00B71704"/>
    <w:rsid w:val="00B76A57"/>
    <w:rsid w:val="00B830B1"/>
    <w:rsid w:val="00B85AE1"/>
    <w:rsid w:val="00B92319"/>
    <w:rsid w:val="00B97FED"/>
    <w:rsid w:val="00BA3BB7"/>
    <w:rsid w:val="00BC058B"/>
    <w:rsid w:val="00BC38B2"/>
    <w:rsid w:val="00BC41B9"/>
    <w:rsid w:val="00BC75AC"/>
    <w:rsid w:val="00BD799F"/>
    <w:rsid w:val="00BE2E6E"/>
    <w:rsid w:val="00BF22DE"/>
    <w:rsid w:val="00BF3000"/>
    <w:rsid w:val="00BF31B8"/>
    <w:rsid w:val="00BF7535"/>
    <w:rsid w:val="00C10A93"/>
    <w:rsid w:val="00C12E54"/>
    <w:rsid w:val="00C1354D"/>
    <w:rsid w:val="00C2076E"/>
    <w:rsid w:val="00C2356C"/>
    <w:rsid w:val="00C36289"/>
    <w:rsid w:val="00C64FA7"/>
    <w:rsid w:val="00C7771E"/>
    <w:rsid w:val="00C80869"/>
    <w:rsid w:val="00C8252E"/>
    <w:rsid w:val="00C82E1F"/>
    <w:rsid w:val="00C87595"/>
    <w:rsid w:val="00C9057B"/>
    <w:rsid w:val="00C95578"/>
    <w:rsid w:val="00CA62E4"/>
    <w:rsid w:val="00CA7515"/>
    <w:rsid w:val="00CA7C22"/>
    <w:rsid w:val="00CB0837"/>
    <w:rsid w:val="00CB2D5C"/>
    <w:rsid w:val="00CB56CA"/>
    <w:rsid w:val="00CC03A6"/>
    <w:rsid w:val="00CC46EC"/>
    <w:rsid w:val="00CC4E17"/>
    <w:rsid w:val="00CC7E98"/>
    <w:rsid w:val="00CE7205"/>
    <w:rsid w:val="00CF156E"/>
    <w:rsid w:val="00D01406"/>
    <w:rsid w:val="00D03772"/>
    <w:rsid w:val="00D10223"/>
    <w:rsid w:val="00D170A4"/>
    <w:rsid w:val="00D25133"/>
    <w:rsid w:val="00D42CCC"/>
    <w:rsid w:val="00D445C6"/>
    <w:rsid w:val="00D45FD7"/>
    <w:rsid w:val="00D46761"/>
    <w:rsid w:val="00D47876"/>
    <w:rsid w:val="00D545D4"/>
    <w:rsid w:val="00D67D6A"/>
    <w:rsid w:val="00D7314B"/>
    <w:rsid w:val="00D75029"/>
    <w:rsid w:val="00D76036"/>
    <w:rsid w:val="00D8399A"/>
    <w:rsid w:val="00D8611D"/>
    <w:rsid w:val="00D96B44"/>
    <w:rsid w:val="00DA1465"/>
    <w:rsid w:val="00DA1F09"/>
    <w:rsid w:val="00DB1A28"/>
    <w:rsid w:val="00DB44FD"/>
    <w:rsid w:val="00DB7FB1"/>
    <w:rsid w:val="00DC6BCA"/>
    <w:rsid w:val="00DC6DE4"/>
    <w:rsid w:val="00DC7B0D"/>
    <w:rsid w:val="00DD01A8"/>
    <w:rsid w:val="00DD2F8D"/>
    <w:rsid w:val="00DD530A"/>
    <w:rsid w:val="00DF1F87"/>
    <w:rsid w:val="00DF6997"/>
    <w:rsid w:val="00DF7D7C"/>
    <w:rsid w:val="00E1026F"/>
    <w:rsid w:val="00E12D2F"/>
    <w:rsid w:val="00E1437A"/>
    <w:rsid w:val="00E177C6"/>
    <w:rsid w:val="00E274E4"/>
    <w:rsid w:val="00E4158C"/>
    <w:rsid w:val="00E43815"/>
    <w:rsid w:val="00E4620A"/>
    <w:rsid w:val="00E52290"/>
    <w:rsid w:val="00E54F86"/>
    <w:rsid w:val="00E60DD1"/>
    <w:rsid w:val="00E61342"/>
    <w:rsid w:val="00E73F25"/>
    <w:rsid w:val="00E75608"/>
    <w:rsid w:val="00E821B5"/>
    <w:rsid w:val="00E865E4"/>
    <w:rsid w:val="00E87027"/>
    <w:rsid w:val="00E8770D"/>
    <w:rsid w:val="00E87A26"/>
    <w:rsid w:val="00E95F47"/>
    <w:rsid w:val="00EA0D0F"/>
    <w:rsid w:val="00EA1693"/>
    <w:rsid w:val="00EA24EA"/>
    <w:rsid w:val="00EA31EC"/>
    <w:rsid w:val="00EB440F"/>
    <w:rsid w:val="00EB5735"/>
    <w:rsid w:val="00EC26B9"/>
    <w:rsid w:val="00ED0B50"/>
    <w:rsid w:val="00ED134D"/>
    <w:rsid w:val="00ED6B3A"/>
    <w:rsid w:val="00EE0129"/>
    <w:rsid w:val="00EE3AAB"/>
    <w:rsid w:val="00EF4325"/>
    <w:rsid w:val="00EF44BB"/>
    <w:rsid w:val="00F154C3"/>
    <w:rsid w:val="00F23B2B"/>
    <w:rsid w:val="00F26C10"/>
    <w:rsid w:val="00F3189A"/>
    <w:rsid w:val="00F34148"/>
    <w:rsid w:val="00F36F11"/>
    <w:rsid w:val="00F403D5"/>
    <w:rsid w:val="00F4103C"/>
    <w:rsid w:val="00F4776E"/>
    <w:rsid w:val="00F646FC"/>
    <w:rsid w:val="00F64C82"/>
    <w:rsid w:val="00F66661"/>
    <w:rsid w:val="00F715FF"/>
    <w:rsid w:val="00F72D01"/>
    <w:rsid w:val="00F824C5"/>
    <w:rsid w:val="00F865B9"/>
    <w:rsid w:val="00FA6BE5"/>
    <w:rsid w:val="00FD75FE"/>
    <w:rsid w:val="00FE5DCB"/>
    <w:rsid w:val="00FF5A19"/>
    <w:rsid w:val="00FF6E7B"/>
    <w:rsid w:val="01085094"/>
    <w:rsid w:val="010F4582"/>
    <w:rsid w:val="014C7940"/>
    <w:rsid w:val="02535CBD"/>
    <w:rsid w:val="025F0B06"/>
    <w:rsid w:val="02704AC1"/>
    <w:rsid w:val="02BF3353"/>
    <w:rsid w:val="02FA082F"/>
    <w:rsid w:val="032F04D8"/>
    <w:rsid w:val="039E740C"/>
    <w:rsid w:val="0507115F"/>
    <w:rsid w:val="054D10EA"/>
    <w:rsid w:val="054F1507"/>
    <w:rsid w:val="05CF0277"/>
    <w:rsid w:val="062C0CFF"/>
    <w:rsid w:val="0680729D"/>
    <w:rsid w:val="06BC02D5"/>
    <w:rsid w:val="06EC2A40"/>
    <w:rsid w:val="070868F7"/>
    <w:rsid w:val="074107DA"/>
    <w:rsid w:val="07D050E5"/>
    <w:rsid w:val="08D14FA8"/>
    <w:rsid w:val="090917CB"/>
    <w:rsid w:val="09A3752A"/>
    <w:rsid w:val="09C64AAB"/>
    <w:rsid w:val="0A2C17A5"/>
    <w:rsid w:val="0A984BB5"/>
    <w:rsid w:val="0A9D7B88"/>
    <w:rsid w:val="0AB319EF"/>
    <w:rsid w:val="0B5F2341"/>
    <w:rsid w:val="0BE43E2A"/>
    <w:rsid w:val="0C28640C"/>
    <w:rsid w:val="0C8F1FE8"/>
    <w:rsid w:val="0CAE6912"/>
    <w:rsid w:val="0CD12600"/>
    <w:rsid w:val="0D1E538D"/>
    <w:rsid w:val="0DF1591A"/>
    <w:rsid w:val="0E3A5F83"/>
    <w:rsid w:val="0E910299"/>
    <w:rsid w:val="0EAF4BC3"/>
    <w:rsid w:val="0EB61AAE"/>
    <w:rsid w:val="0EFD592E"/>
    <w:rsid w:val="0F512918"/>
    <w:rsid w:val="0F587009"/>
    <w:rsid w:val="0FA062BA"/>
    <w:rsid w:val="0FAD59BE"/>
    <w:rsid w:val="0FB3423F"/>
    <w:rsid w:val="10234F21"/>
    <w:rsid w:val="1042358C"/>
    <w:rsid w:val="107C2883"/>
    <w:rsid w:val="10AC13BA"/>
    <w:rsid w:val="10B2297D"/>
    <w:rsid w:val="114D134F"/>
    <w:rsid w:val="11513D10"/>
    <w:rsid w:val="11743B70"/>
    <w:rsid w:val="11C93F37"/>
    <w:rsid w:val="11E0109D"/>
    <w:rsid w:val="11EE77B0"/>
    <w:rsid w:val="12045226"/>
    <w:rsid w:val="120B6FD0"/>
    <w:rsid w:val="122D2087"/>
    <w:rsid w:val="12436181"/>
    <w:rsid w:val="127001C5"/>
    <w:rsid w:val="12A03F5C"/>
    <w:rsid w:val="12B10726"/>
    <w:rsid w:val="12B409FA"/>
    <w:rsid w:val="12C624DB"/>
    <w:rsid w:val="12C95751"/>
    <w:rsid w:val="12E7373C"/>
    <w:rsid w:val="13E7095B"/>
    <w:rsid w:val="145F2B82"/>
    <w:rsid w:val="147E306D"/>
    <w:rsid w:val="154970B3"/>
    <w:rsid w:val="155B7633"/>
    <w:rsid w:val="157437EC"/>
    <w:rsid w:val="15AF0A5B"/>
    <w:rsid w:val="15B42303"/>
    <w:rsid w:val="15E36BC1"/>
    <w:rsid w:val="160E0421"/>
    <w:rsid w:val="162C6AF9"/>
    <w:rsid w:val="165C73DE"/>
    <w:rsid w:val="166B13D0"/>
    <w:rsid w:val="16710696"/>
    <w:rsid w:val="16F110E9"/>
    <w:rsid w:val="17612369"/>
    <w:rsid w:val="17684B2F"/>
    <w:rsid w:val="17793FC0"/>
    <w:rsid w:val="178923C0"/>
    <w:rsid w:val="17E95F6F"/>
    <w:rsid w:val="180E64B6"/>
    <w:rsid w:val="18131D1F"/>
    <w:rsid w:val="185540E5"/>
    <w:rsid w:val="187153F2"/>
    <w:rsid w:val="189C52A7"/>
    <w:rsid w:val="18D72D4C"/>
    <w:rsid w:val="18E45469"/>
    <w:rsid w:val="18F71640"/>
    <w:rsid w:val="19940C3D"/>
    <w:rsid w:val="19A60971"/>
    <w:rsid w:val="19C808E7"/>
    <w:rsid w:val="1AA11864"/>
    <w:rsid w:val="1AB33B6C"/>
    <w:rsid w:val="1B391A9C"/>
    <w:rsid w:val="1B8721AA"/>
    <w:rsid w:val="1BAF4101"/>
    <w:rsid w:val="1C3B1844"/>
    <w:rsid w:val="1CC7757C"/>
    <w:rsid w:val="1D19047B"/>
    <w:rsid w:val="1D3D5BF7"/>
    <w:rsid w:val="1D8265DD"/>
    <w:rsid w:val="1DAB47A7"/>
    <w:rsid w:val="1E1B192D"/>
    <w:rsid w:val="1E5B7F7C"/>
    <w:rsid w:val="1F6410B2"/>
    <w:rsid w:val="1FBA5176"/>
    <w:rsid w:val="1FD30DCD"/>
    <w:rsid w:val="20235125"/>
    <w:rsid w:val="20A91472"/>
    <w:rsid w:val="219D08AB"/>
    <w:rsid w:val="222A65E3"/>
    <w:rsid w:val="22460F43"/>
    <w:rsid w:val="22BD1205"/>
    <w:rsid w:val="22E12473"/>
    <w:rsid w:val="22E22A19"/>
    <w:rsid w:val="22F8223D"/>
    <w:rsid w:val="22F95FB5"/>
    <w:rsid w:val="24B52569"/>
    <w:rsid w:val="24D82326"/>
    <w:rsid w:val="24E707BB"/>
    <w:rsid w:val="24F13333"/>
    <w:rsid w:val="25284930"/>
    <w:rsid w:val="252A6A53"/>
    <w:rsid w:val="254C4AC2"/>
    <w:rsid w:val="25535E50"/>
    <w:rsid w:val="25DF1492"/>
    <w:rsid w:val="25EC3BAF"/>
    <w:rsid w:val="261D1FBA"/>
    <w:rsid w:val="26502E99"/>
    <w:rsid w:val="26CB1A16"/>
    <w:rsid w:val="26D20FF7"/>
    <w:rsid w:val="27225ADA"/>
    <w:rsid w:val="27321A96"/>
    <w:rsid w:val="27840543"/>
    <w:rsid w:val="27A6670B"/>
    <w:rsid w:val="27F56D06"/>
    <w:rsid w:val="280E605F"/>
    <w:rsid w:val="283D091B"/>
    <w:rsid w:val="28435D4C"/>
    <w:rsid w:val="28EA2628"/>
    <w:rsid w:val="290731DA"/>
    <w:rsid w:val="291E49C7"/>
    <w:rsid w:val="29477A7A"/>
    <w:rsid w:val="296E14AB"/>
    <w:rsid w:val="29FD396C"/>
    <w:rsid w:val="2A063491"/>
    <w:rsid w:val="2A4468E8"/>
    <w:rsid w:val="2A740A53"/>
    <w:rsid w:val="2B2A31B0"/>
    <w:rsid w:val="2B3C1135"/>
    <w:rsid w:val="2B911481"/>
    <w:rsid w:val="2B940425"/>
    <w:rsid w:val="2BEE4C55"/>
    <w:rsid w:val="2BFD1D55"/>
    <w:rsid w:val="2C4464F3"/>
    <w:rsid w:val="2C5A3F68"/>
    <w:rsid w:val="2C8B2374"/>
    <w:rsid w:val="2CFC0B7C"/>
    <w:rsid w:val="2D2118F8"/>
    <w:rsid w:val="2D662499"/>
    <w:rsid w:val="2D796670"/>
    <w:rsid w:val="2DA01E4F"/>
    <w:rsid w:val="2DA03BFD"/>
    <w:rsid w:val="2DA521FC"/>
    <w:rsid w:val="2E6E142A"/>
    <w:rsid w:val="2E8426EE"/>
    <w:rsid w:val="2EC57291"/>
    <w:rsid w:val="2EFA733D"/>
    <w:rsid w:val="2F4575EA"/>
    <w:rsid w:val="2F527179"/>
    <w:rsid w:val="2F7E1D1C"/>
    <w:rsid w:val="2F7F0633"/>
    <w:rsid w:val="2FEF49C8"/>
    <w:rsid w:val="3002294D"/>
    <w:rsid w:val="302454E4"/>
    <w:rsid w:val="304C1E1A"/>
    <w:rsid w:val="305F38FB"/>
    <w:rsid w:val="307C66DA"/>
    <w:rsid w:val="308B2942"/>
    <w:rsid w:val="30AD6A75"/>
    <w:rsid w:val="30E3452C"/>
    <w:rsid w:val="30F24C4E"/>
    <w:rsid w:val="315947EF"/>
    <w:rsid w:val="315E1E05"/>
    <w:rsid w:val="317414E8"/>
    <w:rsid w:val="31745184"/>
    <w:rsid w:val="31CD655A"/>
    <w:rsid w:val="324C6101"/>
    <w:rsid w:val="327D62BB"/>
    <w:rsid w:val="32BB6DE3"/>
    <w:rsid w:val="32BF2D77"/>
    <w:rsid w:val="32F522F5"/>
    <w:rsid w:val="331A7FAD"/>
    <w:rsid w:val="332854C6"/>
    <w:rsid w:val="334E5EA9"/>
    <w:rsid w:val="33BE6B8B"/>
    <w:rsid w:val="33C148CD"/>
    <w:rsid w:val="33DB773D"/>
    <w:rsid w:val="348558FB"/>
    <w:rsid w:val="349B6ECC"/>
    <w:rsid w:val="34B94F84"/>
    <w:rsid w:val="34BC2BAE"/>
    <w:rsid w:val="34D8334B"/>
    <w:rsid w:val="351B26D2"/>
    <w:rsid w:val="35B75F88"/>
    <w:rsid w:val="35C57FEF"/>
    <w:rsid w:val="35D86C1A"/>
    <w:rsid w:val="360443E9"/>
    <w:rsid w:val="363A27BB"/>
    <w:rsid w:val="366559E4"/>
    <w:rsid w:val="36CC3AA1"/>
    <w:rsid w:val="37070849"/>
    <w:rsid w:val="371371EE"/>
    <w:rsid w:val="37444B4C"/>
    <w:rsid w:val="378620B5"/>
    <w:rsid w:val="378E4097"/>
    <w:rsid w:val="395B77AF"/>
    <w:rsid w:val="39B60304"/>
    <w:rsid w:val="39E176ED"/>
    <w:rsid w:val="39E76710"/>
    <w:rsid w:val="39EF4225"/>
    <w:rsid w:val="39F235FE"/>
    <w:rsid w:val="3A6A0CCC"/>
    <w:rsid w:val="3A742699"/>
    <w:rsid w:val="3AA60379"/>
    <w:rsid w:val="3AEA4709"/>
    <w:rsid w:val="3AF37A62"/>
    <w:rsid w:val="3B4262F3"/>
    <w:rsid w:val="3B464036"/>
    <w:rsid w:val="3B5878C5"/>
    <w:rsid w:val="3BE11708"/>
    <w:rsid w:val="3C860462"/>
    <w:rsid w:val="3CCC056A"/>
    <w:rsid w:val="3CDC62D4"/>
    <w:rsid w:val="3D167A38"/>
    <w:rsid w:val="3D233F03"/>
    <w:rsid w:val="3D402D06"/>
    <w:rsid w:val="3D70539A"/>
    <w:rsid w:val="3DA6700D"/>
    <w:rsid w:val="3DF8538F"/>
    <w:rsid w:val="3E1A3557"/>
    <w:rsid w:val="3EC518FB"/>
    <w:rsid w:val="3ED71449"/>
    <w:rsid w:val="3EE80F60"/>
    <w:rsid w:val="3F1B30E3"/>
    <w:rsid w:val="3F767B2C"/>
    <w:rsid w:val="3FEA0D08"/>
    <w:rsid w:val="406867FC"/>
    <w:rsid w:val="408C5437"/>
    <w:rsid w:val="41832E9B"/>
    <w:rsid w:val="42391FC3"/>
    <w:rsid w:val="42832629"/>
    <w:rsid w:val="42872501"/>
    <w:rsid w:val="42BA2C13"/>
    <w:rsid w:val="43827065"/>
    <w:rsid w:val="43B43B06"/>
    <w:rsid w:val="43CF28BC"/>
    <w:rsid w:val="440F6F8F"/>
    <w:rsid w:val="449A2CFC"/>
    <w:rsid w:val="44B57B36"/>
    <w:rsid w:val="44E346A3"/>
    <w:rsid w:val="44E7657C"/>
    <w:rsid w:val="459D4152"/>
    <w:rsid w:val="45C9305D"/>
    <w:rsid w:val="45CA13BF"/>
    <w:rsid w:val="45F12DF0"/>
    <w:rsid w:val="46A936CA"/>
    <w:rsid w:val="47060B1D"/>
    <w:rsid w:val="4708507B"/>
    <w:rsid w:val="47841A42"/>
    <w:rsid w:val="479559FD"/>
    <w:rsid w:val="47B42948"/>
    <w:rsid w:val="47E726FC"/>
    <w:rsid w:val="48142DC6"/>
    <w:rsid w:val="481E3C44"/>
    <w:rsid w:val="487903F7"/>
    <w:rsid w:val="48822425"/>
    <w:rsid w:val="48897310"/>
    <w:rsid w:val="48F7696F"/>
    <w:rsid w:val="49630ABC"/>
    <w:rsid w:val="49967232"/>
    <w:rsid w:val="49B605D8"/>
    <w:rsid w:val="4A6873F9"/>
    <w:rsid w:val="4A9F0DE8"/>
    <w:rsid w:val="4B1F03FF"/>
    <w:rsid w:val="4B1F08EE"/>
    <w:rsid w:val="4C1635B0"/>
    <w:rsid w:val="4C1D1E6F"/>
    <w:rsid w:val="4C8D1398"/>
    <w:rsid w:val="4D00367C"/>
    <w:rsid w:val="4D916F95"/>
    <w:rsid w:val="4DC43ADA"/>
    <w:rsid w:val="4DE84AD8"/>
    <w:rsid w:val="4DEA011A"/>
    <w:rsid w:val="4DFC67D6"/>
    <w:rsid w:val="4E056539"/>
    <w:rsid w:val="4E1753BE"/>
    <w:rsid w:val="4E226F4E"/>
    <w:rsid w:val="4E880069"/>
    <w:rsid w:val="4EAA0A8E"/>
    <w:rsid w:val="4EC015B1"/>
    <w:rsid w:val="4EDB63EB"/>
    <w:rsid w:val="4EE01C53"/>
    <w:rsid w:val="4F38383D"/>
    <w:rsid w:val="4F905428"/>
    <w:rsid w:val="500E27F0"/>
    <w:rsid w:val="507942A1"/>
    <w:rsid w:val="507C775A"/>
    <w:rsid w:val="50E943E5"/>
    <w:rsid w:val="51404C2B"/>
    <w:rsid w:val="514C35D0"/>
    <w:rsid w:val="519F7DC1"/>
    <w:rsid w:val="51B50942"/>
    <w:rsid w:val="51B66C9C"/>
    <w:rsid w:val="51CA6FF4"/>
    <w:rsid w:val="521A547C"/>
    <w:rsid w:val="524F7E05"/>
    <w:rsid w:val="525C5A95"/>
    <w:rsid w:val="52706A0C"/>
    <w:rsid w:val="52A35472"/>
    <w:rsid w:val="52A64E63"/>
    <w:rsid w:val="532E1C22"/>
    <w:rsid w:val="540E1011"/>
    <w:rsid w:val="546D5D37"/>
    <w:rsid w:val="54C85664"/>
    <w:rsid w:val="558D41B7"/>
    <w:rsid w:val="55FA184D"/>
    <w:rsid w:val="565A74E2"/>
    <w:rsid w:val="56834EB8"/>
    <w:rsid w:val="56B06EA6"/>
    <w:rsid w:val="56E1255B"/>
    <w:rsid w:val="57297951"/>
    <w:rsid w:val="57CD03D7"/>
    <w:rsid w:val="580A1AEF"/>
    <w:rsid w:val="5822393B"/>
    <w:rsid w:val="587C29ED"/>
    <w:rsid w:val="58810003"/>
    <w:rsid w:val="58E4608D"/>
    <w:rsid w:val="59140E77"/>
    <w:rsid w:val="59556DC6"/>
    <w:rsid w:val="59934492"/>
    <w:rsid w:val="59AD4E28"/>
    <w:rsid w:val="59D831D0"/>
    <w:rsid w:val="5A040EEC"/>
    <w:rsid w:val="5A4E03B9"/>
    <w:rsid w:val="5AA004B1"/>
    <w:rsid w:val="5AE20B01"/>
    <w:rsid w:val="5B0E7B48"/>
    <w:rsid w:val="5B1E5FDD"/>
    <w:rsid w:val="5B24111A"/>
    <w:rsid w:val="5B55086C"/>
    <w:rsid w:val="5BDC50C3"/>
    <w:rsid w:val="5BFD3E45"/>
    <w:rsid w:val="5C6A7000"/>
    <w:rsid w:val="5D0C00B7"/>
    <w:rsid w:val="5D4A001E"/>
    <w:rsid w:val="5D4C7AF4"/>
    <w:rsid w:val="5D55380D"/>
    <w:rsid w:val="5D641CA2"/>
    <w:rsid w:val="5D79399F"/>
    <w:rsid w:val="5D7B0ED0"/>
    <w:rsid w:val="5D9A3915"/>
    <w:rsid w:val="5E3B6027"/>
    <w:rsid w:val="5E59557E"/>
    <w:rsid w:val="5E5B30A5"/>
    <w:rsid w:val="5E655CD1"/>
    <w:rsid w:val="5E8E1902"/>
    <w:rsid w:val="5EBD78BB"/>
    <w:rsid w:val="5F8A2CF5"/>
    <w:rsid w:val="600339F4"/>
    <w:rsid w:val="60566219"/>
    <w:rsid w:val="60A60F93"/>
    <w:rsid w:val="60DB04CD"/>
    <w:rsid w:val="6109136F"/>
    <w:rsid w:val="61454618"/>
    <w:rsid w:val="6186668A"/>
    <w:rsid w:val="61BA6334"/>
    <w:rsid w:val="6239194F"/>
    <w:rsid w:val="625C73EB"/>
    <w:rsid w:val="628F156F"/>
    <w:rsid w:val="6291499E"/>
    <w:rsid w:val="62E23D94"/>
    <w:rsid w:val="631A34ED"/>
    <w:rsid w:val="63357338"/>
    <w:rsid w:val="633D0FCB"/>
    <w:rsid w:val="63B514A9"/>
    <w:rsid w:val="63CD67F3"/>
    <w:rsid w:val="63E94675"/>
    <w:rsid w:val="64151F48"/>
    <w:rsid w:val="642A59F3"/>
    <w:rsid w:val="64845CAE"/>
    <w:rsid w:val="64AF7CA6"/>
    <w:rsid w:val="64CB3370"/>
    <w:rsid w:val="651915C4"/>
    <w:rsid w:val="652266CA"/>
    <w:rsid w:val="656B62C3"/>
    <w:rsid w:val="659D21F5"/>
    <w:rsid w:val="65A672FB"/>
    <w:rsid w:val="65F4277A"/>
    <w:rsid w:val="664F32EE"/>
    <w:rsid w:val="665705F5"/>
    <w:rsid w:val="672F507F"/>
    <w:rsid w:val="67A3717C"/>
    <w:rsid w:val="67D068B1"/>
    <w:rsid w:val="67F278AA"/>
    <w:rsid w:val="683D381B"/>
    <w:rsid w:val="687A681D"/>
    <w:rsid w:val="68EF2D67"/>
    <w:rsid w:val="690A594E"/>
    <w:rsid w:val="699C0F17"/>
    <w:rsid w:val="6A5512F0"/>
    <w:rsid w:val="6AA838F0"/>
    <w:rsid w:val="6ABE50E7"/>
    <w:rsid w:val="6B1765A5"/>
    <w:rsid w:val="6B3E7FD6"/>
    <w:rsid w:val="6B4D1FC7"/>
    <w:rsid w:val="6B5B46E4"/>
    <w:rsid w:val="6B6D4417"/>
    <w:rsid w:val="6B827EC3"/>
    <w:rsid w:val="6B833FA7"/>
    <w:rsid w:val="6B8754D9"/>
    <w:rsid w:val="6BB169FA"/>
    <w:rsid w:val="6C467142"/>
    <w:rsid w:val="6CAE5145"/>
    <w:rsid w:val="6CDE381E"/>
    <w:rsid w:val="6CF3094C"/>
    <w:rsid w:val="6D433682"/>
    <w:rsid w:val="6DA00AD4"/>
    <w:rsid w:val="6DB30807"/>
    <w:rsid w:val="6DCA78FF"/>
    <w:rsid w:val="6DD62748"/>
    <w:rsid w:val="6DF80910"/>
    <w:rsid w:val="6E2642A3"/>
    <w:rsid w:val="6E8126B3"/>
    <w:rsid w:val="6EBD1446"/>
    <w:rsid w:val="6EF70F48"/>
    <w:rsid w:val="6F196D90"/>
    <w:rsid w:val="6F490CF7"/>
    <w:rsid w:val="6FED3D79"/>
    <w:rsid w:val="6FF3138F"/>
    <w:rsid w:val="70496B7A"/>
    <w:rsid w:val="707029DF"/>
    <w:rsid w:val="70933A58"/>
    <w:rsid w:val="70C76378"/>
    <w:rsid w:val="70D96DA8"/>
    <w:rsid w:val="714125CE"/>
    <w:rsid w:val="714A76D4"/>
    <w:rsid w:val="71CD5C10"/>
    <w:rsid w:val="71D46F9E"/>
    <w:rsid w:val="73102258"/>
    <w:rsid w:val="731955B0"/>
    <w:rsid w:val="732E0930"/>
    <w:rsid w:val="733F2B3D"/>
    <w:rsid w:val="73530396"/>
    <w:rsid w:val="73C372CA"/>
    <w:rsid w:val="73F25E01"/>
    <w:rsid w:val="745208D6"/>
    <w:rsid w:val="74714F78"/>
    <w:rsid w:val="74975458"/>
    <w:rsid w:val="74F0564D"/>
    <w:rsid w:val="75752846"/>
    <w:rsid w:val="757E5B9F"/>
    <w:rsid w:val="75AA6994"/>
    <w:rsid w:val="7657019E"/>
    <w:rsid w:val="765B7C8E"/>
    <w:rsid w:val="76B31878"/>
    <w:rsid w:val="76C64EAF"/>
    <w:rsid w:val="76E9529A"/>
    <w:rsid w:val="77132317"/>
    <w:rsid w:val="774676FB"/>
    <w:rsid w:val="777432DE"/>
    <w:rsid w:val="7791148D"/>
    <w:rsid w:val="77980A6E"/>
    <w:rsid w:val="78371678"/>
    <w:rsid w:val="78F46178"/>
    <w:rsid w:val="7919798C"/>
    <w:rsid w:val="792118DD"/>
    <w:rsid w:val="79444A09"/>
    <w:rsid w:val="799D05BD"/>
    <w:rsid w:val="79D0427D"/>
    <w:rsid w:val="79E24222"/>
    <w:rsid w:val="7A230AC3"/>
    <w:rsid w:val="7A526F79"/>
    <w:rsid w:val="7AEA6A8B"/>
    <w:rsid w:val="7B734183"/>
    <w:rsid w:val="7B8B629A"/>
    <w:rsid w:val="7BCB7664"/>
    <w:rsid w:val="7BFC5A6F"/>
    <w:rsid w:val="7C1C3A1B"/>
    <w:rsid w:val="7CCB71F0"/>
    <w:rsid w:val="7D2012E9"/>
    <w:rsid w:val="7D871368"/>
    <w:rsid w:val="7D935485"/>
    <w:rsid w:val="7DB87774"/>
    <w:rsid w:val="7E0B01EB"/>
    <w:rsid w:val="7E31538D"/>
    <w:rsid w:val="7EA85A3A"/>
    <w:rsid w:val="7EEC3D97"/>
    <w:rsid w:val="7FC93DF1"/>
    <w:rsid w:val="DFF258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6"/>
    <w:basedOn w:val="1"/>
    <w:next w:val="1"/>
    <w:qFormat/>
    <w:locked/>
    <w:uiPriority w:val="0"/>
    <w:pPr>
      <w:keepNext/>
      <w:keepLines/>
      <w:spacing w:before="240" w:after="64" w:line="317" w:lineRule="auto"/>
      <w:outlineLvl w:val="5"/>
    </w:pPr>
    <w:rPr>
      <w:rFonts w:ascii="Cambria" w:hAnsi="Cambria"/>
      <w:b/>
      <w:bCs/>
      <w:sz w:val="24"/>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jc w:val="left"/>
    </w:pPr>
    <w:rPr>
      <w:rFonts w:eastAsia="Times New Roman"/>
      <w:color w:val="000000"/>
      <w:kern w:val="0"/>
      <w:sz w:val="24"/>
      <w:lang w:eastAsia="en-US" w:bidi="en-US"/>
    </w:rPr>
  </w:style>
  <w:style w:type="paragraph" w:styleId="6">
    <w:name w:val="Body Text"/>
    <w:basedOn w:val="1"/>
    <w:link w:val="25"/>
    <w:qFormat/>
    <w:uiPriority w:val="99"/>
    <w:pPr>
      <w:spacing w:after="120"/>
    </w:pPr>
    <w:rPr>
      <w:szCs w:val="21"/>
    </w:rPr>
  </w:style>
  <w:style w:type="paragraph" w:styleId="7">
    <w:name w:val="Body Text Indent"/>
    <w:basedOn w:val="1"/>
    <w:link w:val="40"/>
    <w:semiHidden/>
    <w:qFormat/>
    <w:uiPriority w:val="99"/>
    <w:pPr>
      <w:spacing w:after="120"/>
      <w:ind w:left="420" w:leftChars="200"/>
    </w:pPr>
  </w:style>
  <w:style w:type="paragraph" w:styleId="8">
    <w:name w:val="Plain Text"/>
    <w:basedOn w:val="1"/>
    <w:link w:val="26"/>
    <w:qFormat/>
    <w:uiPriority w:val="99"/>
    <w:rPr>
      <w:rFonts w:ascii="宋体" w:hAnsi="Courier New"/>
      <w:kern w:val="21"/>
      <w:szCs w:val="20"/>
    </w:rPr>
  </w:style>
  <w:style w:type="paragraph" w:styleId="9">
    <w:name w:val="Date"/>
    <w:basedOn w:val="1"/>
    <w:next w:val="1"/>
    <w:link w:val="27"/>
    <w:qFormat/>
    <w:uiPriority w:val="99"/>
    <w:pPr>
      <w:ind w:left="100" w:leftChars="2500"/>
    </w:pPr>
  </w:style>
  <w:style w:type="paragraph" w:styleId="10">
    <w:name w:val="Balloon Text"/>
    <w:basedOn w:val="1"/>
    <w:link w:val="28"/>
    <w:semiHidden/>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rFonts w:ascii="Calibri" w:hAnsi="Calibri"/>
      <w:sz w:val="18"/>
      <w:szCs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Body Text 2"/>
    <w:basedOn w:val="1"/>
    <w:link w:val="31"/>
    <w:qFormat/>
    <w:uiPriority w:val="99"/>
    <w:pPr>
      <w:jc w:val="center"/>
    </w:pPr>
    <w:rPr>
      <w:rFonts w:ascii="方正小标宋简体" w:hAnsi="Calibri" w:eastAsia="方正小标宋简体"/>
      <w:color w:val="FF0000"/>
      <w:kern w:val="0"/>
      <w:sz w:val="7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7"/>
    <w:link w:val="41"/>
    <w:qFormat/>
    <w:uiPriority w:val="99"/>
    <w:pPr>
      <w:spacing w:line="336" w:lineRule="auto"/>
      <w:jc w:val="left"/>
    </w:pPr>
    <w:rPr>
      <w:rFonts w:ascii="Arial" w:hAnsi="Arial"/>
      <w:kern w:val="0"/>
      <w:szCs w:val="20"/>
    </w:rPr>
  </w:style>
  <w:style w:type="paragraph" w:styleId="16">
    <w:name w:val="Body Text First Indent 2"/>
    <w:basedOn w:val="7"/>
    <w:link w:val="44"/>
    <w:semiHidden/>
    <w:unhideWhenUsed/>
    <w:qFormat/>
    <w:uiPriority w:val="99"/>
    <w:pPr>
      <w:ind w:firstLine="420" w:firstLineChars="200"/>
    </w:pPr>
  </w:style>
  <w:style w:type="table" w:styleId="18">
    <w:name w:val="Table Grid"/>
    <w:basedOn w:val="1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99"/>
    <w:rPr>
      <w:rFonts w:cs="Times New Roman"/>
      <w:b/>
      <w:bCs/>
    </w:rPr>
  </w:style>
  <w:style w:type="character" w:styleId="21">
    <w:name w:val="page number"/>
    <w:basedOn w:val="19"/>
    <w:qFormat/>
    <w:uiPriority w:val="99"/>
    <w:rPr>
      <w:rFonts w:cs="Times New Roman"/>
    </w:rPr>
  </w:style>
  <w:style w:type="character" w:styleId="22">
    <w:name w:val="Emphasis"/>
    <w:basedOn w:val="19"/>
    <w:qFormat/>
    <w:uiPriority w:val="99"/>
    <w:rPr>
      <w:rFonts w:cs="Times New Roman"/>
      <w:i/>
      <w:iCs/>
    </w:rPr>
  </w:style>
  <w:style w:type="character" w:styleId="23">
    <w:name w:val="Hyperlink"/>
    <w:basedOn w:val="19"/>
    <w:semiHidden/>
    <w:qFormat/>
    <w:uiPriority w:val="99"/>
    <w:rPr>
      <w:rFonts w:cs="Times New Roman"/>
      <w:color w:val="0000FF"/>
      <w:u w:val="single"/>
    </w:rPr>
  </w:style>
  <w:style w:type="character" w:customStyle="1" w:styleId="24">
    <w:name w:val="标题 2 Char"/>
    <w:basedOn w:val="19"/>
    <w:link w:val="3"/>
    <w:qFormat/>
    <w:locked/>
    <w:uiPriority w:val="99"/>
    <w:rPr>
      <w:rFonts w:ascii="宋体" w:hAnsi="宋体" w:eastAsia="宋体" w:cs="宋体"/>
      <w:b/>
      <w:bCs/>
      <w:kern w:val="0"/>
      <w:sz w:val="36"/>
      <w:szCs w:val="36"/>
    </w:rPr>
  </w:style>
  <w:style w:type="character" w:customStyle="1" w:styleId="25">
    <w:name w:val="正文文本 Char"/>
    <w:basedOn w:val="19"/>
    <w:link w:val="6"/>
    <w:qFormat/>
    <w:locked/>
    <w:uiPriority w:val="99"/>
    <w:rPr>
      <w:rFonts w:ascii="Times New Roman" w:hAnsi="Times New Roman" w:eastAsia="宋体" w:cs="Times New Roman"/>
      <w:sz w:val="21"/>
      <w:szCs w:val="21"/>
    </w:rPr>
  </w:style>
  <w:style w:type="character" w:customStyle="1" w:styleId="26">
    <w:name w:val="纯文本 Char"/>
    <w:basedOn w:val="19"/>
    <w:link w:val="8"/>
    <w:qFormat/>
    <w:locked/>
    <w:uiPriority w:val="99"/>
    <w:rPr>
      <w:rFonts w:ascii="宋体" w:hAnsi="Courier New" w:cs="Times New Roman"/>
      <w:kern w:val="21"/>
      <w:sz w:val="20"/>
      <w:szCs w:val="20"/>
    </w:rPr>
  </w:style>
  <w:style w:type="character" w:customStyle="1" w:styleId="27">
    <w:name w:val="日期 Char"/>
    <w:basedOn w:val="19"/>
    <w:link w:val="9"/>
    <w:semiHidden/>
    <w:qFormat/>
    <w:locked/>
    <w:uiPriority w:val="99"/>
    <w:rPr>
      <w:rFonts w:ascii="Times New Roman" w:hAnsi="Times New Roman" w:eastAsia="宋体" w:cs="Times New Roman"/>
      <w:sz w:val="24"/>
      <w:szCs w:val="24"/>
    </w:rPr>
  </w:style>
  <w:style w:type="character" w:customStyle="1" w:styleId="28">
    <w:name w:val="批注框文本 Char"/>
    <w:basedOn w:val="19"/>
    <w:link w:val="10"/>
    <w:semiHidden/>
    <w:qFormat/>
    <w:locked/>
    <w:uiPriority w:val="99"/>
    <w:rPr>
      <w:rFonts w:ascii="Times New Roman" w:hAnsi="Times New Roman" w:eastAsia="宋体" w:cs="Times New Roman"/>
      <w:sz w:val="18"/>
      <w:szCs w:val="18"/>
    </w:rPr>
  </w:style>
  <w:style w:type="character" w:customStyle="1" w:styleId="29">
    <w:name w:val="页脚 Char"/>
    <w:basedOn w:val="19"/>
    <w:link w:val="11"/>
    <w:qFormat/>
    <w:locked/>
    <w:uiPriority w:val="99"/>
    <w:rPr>
      <w:rFonts w:cs="Times New Roman"/>
      <w:sz w:val="18"/>
      <w:szCs w:val="18"/>
    </w:rPr>
  </w:style>
  <w:style w:type="character" w:customStyle="1" w:styleId="30">
    <w:name w:val="页眉 Char"/>
    <w:basedOn w:val="19"/>
    <w:link w:val="12"/>
    <w:qFormat/>
    <w:locked/>
    <w:uiPriority w:val="99"/>
    <w:rPr>
      <w:rFonts w:cs="Times New Roman"/>
      <w:sz w:val="18"/>
      <w:szCs w:val="18"/>
    </w:rPr>
  </w:style>
  <w:style w:type="character" w:customStyle="1" w:styleId="31">
    <w:name w:val="正文文本 2 Char1"/>
    <w:basedOn w:val="19"/>
    <w:link w:val="13"/>
    <w:semiHidden/>
    <w:qFormat/>
    <w:locked/>
    <w:uiPriority w:val="99"/>
    <w:rPr>
      <w:rFonts w:ascii="Times New Roman" w:hAnsi="Times New Roman" w:eastAsia="宋体" w:cs="Times New Roman"/>
      <w:sz w:val="24"/>
      <w:szCs w:val="24"/>
    </w:rPr>
  </w:style>
  <w:style w:type="character" w:customStyle="1" w:styleId="32">
    <w:name w:val="rich_media_meta"/>
    <w:basedOn w:val="19"/>
    <w:qFormat/>
    <w:uiPriority w:val="99"/>
    <w:rPr>
      <w:rFonts w:cs="Times New Roman"/>
    </w:rPr>
  </w:style>
  <w:style w:type="character" w:customStyle="1" w:styleId="33">
    <w:name w:val="apple-converted-space"/>
    <w:basedOn w:val="19"/>
    <w:qFormat/>
    <w:uiPriority w:val="99"/>
    <w:rPr>
      <w:rFonts w:cs="Times New Roman"/>
    </w:rPr>
  </w:style>
  <w:style w:type="paragraph" w:styleId="34">
    <w:name w:val="List Paragraph"/>
    <w:basedOn w:val="1"/>
    <w:qFormat/>
    <w:uiPriority w:val="34"/>
    <w:pPr>
      <w:ind w:firstLine="420" w:firstLineChars="200"/>
    </w:pPr>
  </w:style>
  <w:style w:type="character" w:customStyle="1" w:styleId="35">
    <w:name w:val="NormalCharacter"/>
    <w:semiHidden/>
    <w:qFormat/>
    <w:uiPriority w:val="99"/>
  </w:style>
  <w:style w:type="paragraph" w:customStyle="1" w:styleId="36">
    <w:name w:val="UserStyle_2"/>
    <w:basedOn w:val="1"/>
    <w:qFormat/>
    <w:uiPriority w:val="99"/>
    <w:pPr>
      <w:widowControl/>
      <w:ind w:firstLine="420" w:firstLineChars="200"/>
      <w:textAlignment w:val="baseline"/>
    </w:pPr>
    <w:rPr>
      <w:rFonts w:ascii="Calibri" w:hAnsi="Calibri" w:eastAsia="仿宋" w:cs="Calibri"/>
      <w:sz w:val="28"/>
      <w:szCs w:val="28"/>
    </w:rPr>
  </w:style>
  <w:style w:type="paragraph" w:customStyle="1" w:styleId="37">
    <w:name w:val="正文1"/>
    <w:basedOn w:val="1"/>
    <w:qFormat/>
    <w:uiPriority w:val="99"/>
    <w:pPr>
      <w:suppressAutoHyphens/>
    </w:pPr>
    <w:rPr>
      <w:color w:val="000000"/>
      <w:kern w:val="1"/>
      <w:szCs w:val="21"/>
      <w:lang w:eastAsia="ar-SA"/>
    </w:rPr>
  </w:style>
  <w:style w:type="character" w:customStyle="1" w:styleId="38">
    <w:name w:val="bt_content1"/>
    <w:qFormat/>
    <w:uiPriority w:val="99"/>
    <w:rPr>
      <w:color w:val="000000"/>
      <w:sz w:val="21"/>
      <w:u w:val="none"/>
    </w:rPr>
  </w:style>
  <w:style w:type="character" w:customStyle="1" w:styleId="39">
    <w:name w:val="正文文本 2 Char"/>
    <w:qFormat/>
    <w:uiPriority w:val="99"/>
    <w:rPr>
      <w:rFonts w:ascii="方正小标宋简体" w:eastAsia="方正小标宋简体"/>
      <w:color w:val="FF0000"/>
      <w:sz w:val="24"/>
    </w:rPr>
  </w:style>
  <w:style w:type="character" w:customStyle="1" w:styleId="40">
    <w:name w:val="正文文本缩进 Char"/>
    <w:basedOn w:val="19"/>
    <w:link w:val="7"/>
    <w:semiHidden/>
    <w:qFormat/>
    <w:locked/>
    <w:uiPriority w:val="99"/>
    <w:rPr>
      <w:rFonts w:ascii="Times New Roman" w:hAnsi="Times New Roman" w:eastAsia="宋体" w:cs="Times New Roman"/>
      <w:kern w:val="2"/>
      <w:sz w:val="24"/>
      <w:szCs w:val="24"/>
    </w:rPr>
  </w:style>
  <w:style w:type="character" w:customStyle="1" w:styleId="41">
    <w:name w:val="标题 Char"/>
    <w:basedOn w:val="19"/>
    <w:link w:val="15"/>
    <w:qFormat/>
    <w:locked/>
    <w:uiPriority w:val="99"/>
    <w:rPr>
      <w:rFonts w:ascii="Arial" w:hAnsi="Arial" w:eastAsia="宋体" w:cs="Times New Roman"/>
      <w:sz w:val="21"/>
    </w:rPr>
  </w:style>
  <w:style w:type="character" w:customStyle="1" w:styleId="42">
    <w:name w:val="标题 1 Char"/>
    <w:link w:val="43"/>
    <w:qFormat/>
    <w:uiPriority w:val="0"/>
    <w:rPr>
      <w:b/>
      <w:kern w:val="44"/>
      <w:sz w:val="44"/>
    </w:rPr>
  </w:style>
  <w:style w:type="paragraph" w:customStyle="1" w:styleId="43">
    <w:name w:val="标题 11"/>
    <w:basedOn w:val="1"/>
    <w:link w:val="42"/>
    <w:qFormat/>
    <w:uiPriority w:val="0"/>
    <w:pPr>
      <w:keepNext/>
      <w:keepLines/>
      <w:spacing w:line="576" w:lineRule="auto"/>
      <w:outlineLvl w:val="0"/>
    </w:pPr>
    <w:rPr>
      <w:b/>
      <w:kern w:val="44"/>
      <w:sz w:val="44"/>
    </w:rPr>
  </w:style>
  <w:style w:type="character" w:customStyle="1" w:styleId="44">
    <w:name w:val="正文首行缩进 2 Char"/>
    <w:basedOn w:val="40"/>
    <w:link w:val="16"/>
    <w:semiHidden/>
    <w:qFormat/>
    <w:uiPriority w:val="99"/>
    <w:rPr>
      <w:sz w:val="21"/>
    </w:rPr>
  </w:style>
  <w:style w:type="paragraph" w:customStyle="1" w:styleId="45">
    <w:name w:val="Body text|1"/>
    <w:basedOn w:val="1"/>
    <w:qFormat/>
    <w:uiPriority w:val="0"/>
    <w:pPr>
      <w:spacing w:line="394" w:lineRule="auto"/>
      <w:ind w:firstLine="400"/>
      <w:jc w:val="left"/>
    </w:pPr>
    <w:rPr>
      <w:rFonts w:ascii="宋体" w:hAnsi="宋体" w:cs="宋体"/>
      <w:color w:val="000000"/>
      <w:kern w:val="0"/>
      <w:sz w:val="30"/>
      <w:szCs w:val="30"/>
      <w:lang w:val="zh-TW" w:eastAsia="zh-TW" w:bidi="zh-TW"/>
    </w:rPr>
  </w:style>
  <w:style w:type="paragraph" w:customStyle="1" w:styleId="46">
    <w:name w:val="二级条标题"/>
    <w:basedOn w:val="1"/>
    <w:next w:val="1"/>
    <w:qFormat/>
    <w:uiPriority w:val="99"/>
    <w:pPr>
      <w:widowControl/>
      <w:spacing w:beforeLines="50" w:afterLines="50"/>
      <w:jc w:val="left"/>
      <w:outlineLvl w:val="3"/>
    </w:pPr>
    <w:rPr>
      <w:rFonts w:ascii="黑体" w:eastAsia="黑体" w:cs="黑体"/>
      <w:kern w:val="0"/>
    </w:rPr>
  </w:style>
  <w:style w:type="paragraph" w:customStyle="1" w:styleId="47">
    <w:name w:val="Char"/>
    <w:basedOn w:val="1"/>
    <w:unhideWhenUsed/>
    <w:qFormat/>
    <w:uiPriority w:val="99"/>
    <w:rPr>
      <w:rFonts w:eastAsia="仿宋_GB2312"/>
      <w:sz w:val="24"/>
    </w:rPr>
  </w:style>
  <w:style w:type="paragraph" w:customStyle="1" w:styleId="48">
    <w:name w:val="正文缩进1"/>
    <w:basedOn w:val="1"/>
    <w:qFormat/>
    <w:uiPriority w:val="0"/>
    <w:pPr>
      <w:ind w:firstLine="420"/>
    </w:pPr>
    <w:rPr>
      <w:szCs w:val="20"/>
    </w:rPr>
  </w:style>
  <w:style w:type="paragraph" w:customStyle="1" w:styleId="49">
    <w:name w:val="表格文字"/>
    <w:basedOn w:val="50"/>
    <w:qFormat/>
    <w:uiPriority w:val="0"/>
    <w:pPr>
      <w:spacing w:line="420" w:lineRule="atLeast"/>
    </w:pPr>
  </w:style>
  <w:style w:type="paragraph" w:customStyle="1" w:styleId="50">
    <w:name w:val="正文文本缩进1"/>
    <w:basedOn w:val="1"/>
    <w:qFormat/>
    <w:uiPriority w:val="0"/>
    <w:pPr>
      <w:spacing w:line="360" w:lineRule="auto"/>
      <w:ind w:firstLine="490"/>
      <w:jc w:val="left"/>
    </w:pPr>
    <w:rPr>
      <w:rFonts w:hint="eastAsia" w:ascii="宋体" w:hAnsi="宋体"/>
      <w:sz w:val="24"/>
    </w:rPr>
  </w:style>
  <w:style w:type="paragraph" w:customStyle="1" w:styleId="51">
    <w:name w:val="标题 21"/>
    <w:basedOn w:val="1"/>
    <w:qFormat/>
    <w:uiPriority w:val="0"/>
    <w:pPr>
      <w:keepNext/>
      <w:spacing w:line="216" w:lineRule="auto"/>
      <w:outlineLvl w:val="1"/>
    </w:pPr>
    <w:rPr>
      <w:rFonts w:ascii="宋体"/>
      <w:b/>
      <w:sz w:val="28"/>
      <w:szCs w:val="20"/>
    </w:rPr>
  </w:style>
  <w:style w:type="paragraph" w:customStyle="1" w:styleId="52">
    <w:name w:val="正文文本1"/>
    <w:basedOn w:val="1"/>
    <w:qFormat/>
    <w:uiPriority w:val="0"/>
  </w:style>
  <w:style w:type="paragraph" w:customStyle="1" w:styleId="53">
    <w:name w:val="Body Text First Indent1"/>
    <w:basedOn w:val="52"/>
    <w:qFormat/>
    <w:uiPriority w:val="0"/>
    <w:pPr>
      <w:tabs>
        <w:tab w:val="left" w:pos="1275"/>
      </w:tabs>
      <w:ind w:firstLine="420" w:firstLineChars="100"/>
    </w:pPr>
  </w:style>
  <w:style w:type="paragraph" w:customStyle="1" w:styleId="54">
    <w:name w:val="正文首行缩进1"/>
    <w:basedOn w:val="52"/>
    <w:qFormat/>
    <w:uiPriority w:val="0"/>
    <w:pPr>
      <w:ind w:firstLine="420" w:firstLineChars="100"/>
    </w:pPr>
  </w:style>
  <w:style w:type="paragraph" w:customStyle="1" w:styleId="55">
    <w:name w:val="页脚1"/>
    <w:basedOn w:val="1"/>
    <w:qFormat/>
    <w:uiPriority w:val="0"/>
    <w:pPr>
      <w:tabs>
        <w:tab w:val="center" w:pos="4153"/>
        <w:tab w:val="right" w:pos="8306"/>
      </w:tabs>
      <w:snapToGrid w:val="0"/>
      <w:jc w:val="left"/>
    </w:pPr>
    <w:rPr>
      <w:sz w:val="18"/>
      <w:szCs w:val="18"/>
    </w:rPr>
  </w:style>
  <w:style w:type="paragraph" w:customStyle="1" w:styleId="56">
    <w:name w:val="目录 11"/>
    <w:basedOn w:val="1"/>
    <w:qFormat/>
    <w:uiPriority w:val="0"/>
  </w:style>
  <w:style w:type="paragraph" w:customStyle="1" w:styleId="57">
    <w:name w:val="目录 21"/>
    <w:basedOn w:val="1"/>
    <w:qFormat/>
    <w:uiPriority w:val="0"/>
    <w:pPr>
      <w:ind w:left="420" w:leftChars="200"/>
    </w:pPr>
  </w:style>
  <w:style w:type="paragraph" w:customStyle="1" w:styleId="58">
    <w:name w:val="纯文本1"/>
    <w:basedOn w:val="1"/>
    <w:qFormat/>
    <w:uiPriority w:val="0"/>
    <w:rPr>
      <w:rFonts w:ascii="宋体" w:hAnsi="Courier New"/>
      <w:szCs w:val="21"/>
    </w:rPr>
  </w:style>
  <w:style w:type="paragraph" w:customStyle="1" w:styleId="59">
    <w:name w:val="普通(网站)1"/>
    <w:basedOn w:val="1"/>
    <w:qFormat/>
    <w:uiPriority w:val="0"/>
    <w:pPr>
      <w:widowControl/>
      <w:spacing w:before="100" w:beforeAutospacing="1" w:after="100" w:afterAutospacing="1"/>
      <w:jc w:val="left"/>
    </w:pPr>
    <w:rPr>
      <w:rFonts w:ascii="宋体" w:hAnsi="宋体"/>
      <w:sz w:val="24"/>
    </w:rPr>
  </w:style>
  <w:style w:type="paragraph" w:customStyle="1" w:styleId="60">
    <w:name w:val="正文首行缩进 21"/>
    <w:basedOn w:val="50"/>
    <w:qFormat/>
    <w:uiPriority w:val="0"/>
    <w:pPr>
      <w:spacing w:after="120" w:line="240" w:lineRule="auto"/>
      <w:ind w:left="420" w:leftChars="200" w:firstLine="420" w:firstLineChars="200"/>
      <w:jc w:val="both"/>
    </w:pPr>
    <w:rPr>
      <w:rFonts w:ascii="Times New Roman" w:hAnsi="Times New Roman"/>
      <w:sz w:val="21"/>
    </w:rPr>
  </w:style>
  <w:style w:type="paragraph" w:customStyle="1" w:styleId="61">
    <w:name w:val="正文2"/>
    <w:basedOn w:val="1"/>
    <w:qFormat/>
    <w:uiPriority w:val="0"/>
    <w:pPr>
      <w:spacing w:before="156" w:line="360" w:lineRule="auto"/>
      <w:ind w:firstLine="510" w:firstLineChars="200"/>
    </w:pPr>
    <w:rPr>
      <w:sz w:val="24"/>
      <w:szCs w:val="20"/>
    </w:rPr>
  </w:style>
  <w:style w:type="paragraph" w:customStyle="1" w:styleId="62">
    <w:name w:val="Body Text First Indent 21"/>
    <w:basedOn w:val="63"/>
    <w:qFormat/>
    <w:uiPriority w:val="0"/>
    <w:pPr>
      <w:spacing w:after="120" w:line="240" w:lineRule="auto"/>
      <w:ind w:left="420" w:leftChars="200" w:firstLine="420" w:firstLineChars="200"/>
    </w:pPr>
    <w:rPr>
      <w:sz w:val="21"/>
    </w:rPr>
  </w:style>
  <w:style w:type="paragraph" w:customStyle="1" w:styleId="63">
    <w:name w:val="Body Text Indent1"/>
    <w:basedOn w:val="1"/>
    <w:qFormat/>
    <w:uiPriority w:val="0"/>
    <w:pPr>
      <w:spacing w:line="200" w:lineRule="exact"/>
      <w:ind w:firstLine="301"/>
    </w:pPr>
    <w:rPr>
      <w:rFonts w:ascii="宋体" w:hAnsi="Courier New"/>
      <w:spacing w:val="-4"/>
      <w:sz w:val="18"/>
    </w:rPr>
  </w:style>
  <w:style w:type="paragraph" w:customStyle="1" w:styleId="64">
    <w:name w:val="标题 41"/>
    <w:basedOn w:val="1"/>
    <w:qFormat/>
    <w:uiPriority w:val="0"/>
    <w:pPr>
      <w:keepNext/>
      <w:numPr>
        <w:ilvl w:val="0"/>
        <w:numId w:val="1"/>
      </w:numPr>
      <w:tabs>
        <w:tab w:val="clear" w:pos="1035"/>
      </w:tabs>
      <w:spacing w:line="216" w:lineRule="auto"/>
      <w:outlineLvl w:val="3"/>
    </w:pPr>
    <w:rPr>
      <w:rFonts w:ascii="黑体" w:eastAsia="黑体"/>
      <w:b/>
      <w:sz w:val="24"/>
      <w:szCs w:val="20"/>
    </w:rPr>
  </w:style>
  <w:style w:type="paragraph" w:customStyle="1" w:styleId="65">
    <w:name w:val="目录 41"/>
    <w:basedOn w:val="1"/>
    <w:semiHidden/>
    <w:qFormat/>
    <w:uiPriority w:val="0"/>
    <w:pPr>
      <w:ind w:left="1260" w:leftChars="600"/>
    </w:pPr>
  </w:style>
  <w:style w:type="paragraph" w:customStyle="1" w:styleId="66">
    <w:name w:val="日期1"/>
    <w:basedOn w:val="1"/>
    <w:qFormat/>
    <w:uiPriority w:val="0"/>
    <w:pPr>
      <w:ind w:left="100" w:leftChars="2500"/>
    </w:pPr>
    <w:rPr>
      <w:rFonts w:ascii="宋体" w:hAnsi="宋体"/>
      <w:color w:val="000000"/>
      <w:sz w:val="24"/>
    </w:rPr>
  </w:style>
  <w:style w:type="paragraph" w:customStyle="1" w:styleId="67">
    <w:name w:val="页眉1"/>
    <w:basedOn w:val="1"/>
    <w:qFormat/>
    <w:uiPriority w:val="0"/>
    <w:pPr>
      <w:pBdr>
        <w:bottom w:val="single" w:color="auto" w:sz="6" w:space="1"/>
      </w:pBdr>
      <w:tabs>
        <w:tab w:val="center" w:pos="4153"/>
        <w:tab w:val="right" w:pos="8306"/>
      </w:tabs>
      <w:snapToGrid w:val="0"/>
      <w:spacing w:line="240" w:lineRule="atLeast"/>
      <w:jc w:val="center"/>
    </w:pPr>
    <w:rPr>
      <w:rFonts w:asci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24124</Words>
  <Characters>25361</Characters>
  <Lines>332</Lines>
  <Paragraphs>93</Paragraphs>
  <TotalTime>10</TotalTime>
  <ScaleCrop>false</ScaleCrop>
  <LinksUpToDate>false</LinksUpToDate>
  <CharactersWithSpaces>25540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2025-05-12T06:02:00Z</dcterms:created>
  <dc:creator>微软用户</dc:creator>
  <cp:lastModifiedBy>Administrator</cp:lastModifiedBy>
  <cp:lastPrinted>2025-01-20T08:52:00Z</cp:lastPrinted>
  <dcterms:modified xsi:type="dcterms:W3CDTF">2025-06-19T07:31:06Z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6DDB94A75F1044218FF2E52D279E9F91_13</vt:lpwstr>
  </property>
  <property fmtid="{D5CDD505-2E9C-101B-9397-08002B2CF9AE}" pid="4" name="KSOTemplateDocerSaveRecord">
    <vt:lpwstr>eyJoZGlkIjoiYTc5YmE1ZDMyZWU4ZWEwZWRiNjNkMzcyZmFiMmFiNjEifQ==</vt:lpwstr>
  </property>
</Properties>
</file>