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hint="eastAsia" w:ascii="宋体" w:hAnsi="宋体" w:eastAsia="宋体" w:cs="宋体"/>
          <w:b/>
          <w:color w:val="FF0000"/>
          <w:sz w:val="48"/>
          <w:szCs w:val="48"/>
          <w:u w:val="single"/>
        </w:rPr>
      </w:pPr>
      <w:bookmarkStart w:id="466" w:name="_GoBack"/>
      <w:bookmarkEnd w:id="466"/>
    </w:p>
    <w:p>
      <w:pPr>
        <w:spacing w:line="360" w:lineRule="auto"/>
        <w:ind w:firstLine="1325" w:firstLineChars="300"/>
        <w:rPr>
          <w:rFonts w:hint="default" w:ascii="宋体" w:hAnsi="宋体" w:eastAsia="宋体" w:cs="宋体"/>
          <w:b/>
          <w:iCs/>
          <w:color w:val="000000"/>
          <w:sz w:val="36"/>
          <w:szCs w:val="36"/>
          <w:u w:val="single"/>
          <w:lang w:val="en-US" w:eastAsia="zh-CN"/>
        </w:rPr>
      </w:pPr>
      <w:r>
        <w:rPr>
          <w:rFonts w:hint="eastAsia" w:ascii="宋体" w:hAnsi="宋体" w:cs="宋体"/>
          <w:b/>
          <w:iCs/>
          <w:color w:val="000000"/>
          <w:sz w:val="44"/>
          <w:szCs w:val="44"/>
          <w:u w:val="none"/>
          <w:lang w:eastAsia="zh-CN"/>
        </w:rPr>
        <w:t>项目名称</w:t>
      </w:r>
      <w:r>
        <w:rPr>
          <w:rFonts w:hint="eastAsia" w:ascii="宋体" w:hAnsi="宋体" w:cs="宋体"/>
          <w:b/>
          <w:iCs/>
          <w:color w:val="000000"/>
          <w:sz w:val="44"/>
          <w:szCs w:val="44"/>
          <w:u w:val="single"/>
          <w:lang w:eastAsia="zh-CN"/>
        </w:rPr>
        <w:t>：</w:t>
      </w:r>
      <w:r>
        <w:rPr>
          <w:rFonts w:hint="eastAsia" w:ascii="宋体" w:hAnsi="宋体" w:cs="宋体"/>
          <w:b/>
          <w:iCs/>
          <w:color w:val="000000"/>
          <w:sz w:val="44"/>
          <w:szCs w:val="44"/>
          <w:u w:val="single"/>
          <w:lang w:val="en-US" w:eastAsia="zh-CN"/>
        </w:rPr>
        <w:t xml:space="preserve"> </w:t>
      </w:r>
      <w:r>
        <w:rPr>
          <w:rFonts w:hint="eastAsia" w:ascii="宋体" w:hAnsi="宋体" w:cs="宋体"/>
          <w:b/>
          <w:iCs/>
          <w:color w:val="000000"/>
          <w:sz w:val="44"/>
          <w:szCs w:val="44"/>
          <w:u w:val="single"/>
        </w:rPr>
        <w:t>检验检测外送</w:t>
      </w:r>
      <w:r>
        <w:rPr>
          <w:rFonts w:hint="eastAsia" w:ascii="宋体" w:hAnsi="宋体" w:cs="宋体"/>
          <w:b/>
          <w:iCs/>
          <w:color w:val="000000"/>
          <w:sz w:val="44"/>
          <w:szCs w:val="44"/>
          <w:u w:val="single"/>
          <w:lang w:eastAsia="zh-CN"/>
        </w:rPr>
        <w:t>服务</w:t>
      </w:r>
      <w:r>
        <w:rPr>
          <w:rFonts w:hint="eastAsia" w:ascii="宋体" w:hAnsi="宋体" w:cs="宋体"/>
          <w:b/>
          <w:iCs/>
          <w:color w:val="000000"/>
          <w:sz w:val="44"/>
          <w:szCs w:val="44"/>
          <w:u w:val="single"/>
        </w:rPr>
        <w:t>项目</w:t>
      </w:r>
      <w:r>
        <w:rPr>
          <w:rFonts w:hint="eastAsia" w:ascii="宋体" w:hAnsi="宋体" w:cs="宋体"/>
          <w:b/>
          <w:iCs/>
          <w:color w:val="000000"/>
          <w:sz w:val="44"/>
          <w:szCs w:val="44"/>
          <w:u w:val="single"/>
          <w:lang w:val="en-US" w:eastAsia="zh-CN"/>
        </w:rPr>
        <w:t xml:space="preserve">   </w:t>
      </w:r>
    </w:p>
    <w:p>
      <w:pPr>
        <w:spacing w:line="360" w:lineRule="auto"/>
        <w:jc w:val="center"/>
        <w:rPr>
          <w:rFonts w:hint="eastAsia" w:ascii="宋体" w:hAnsi="宋体"/>
          <w:b/>
          <w:bCs/>
          <w:i/>
          <w:iCs/>
          <w:color w:val="000000"/>
          <w:sz w:val="44"/>
          <w:szCs w:val="44"/>
        </w:rPr>
      </w:pPr>
    </w:p>
    <w:p>
      <w:pPr>
        <w:adjustRightInd/>
        <w:spacing w:line="360" w:lineRule="auto"/>
        <w:jc w:val="center"/>
        <w:rPr>
          <w:rFonts w:hint="eastAsia" w:ascii="宋体" w:hAnsi="宋体" w:eastAsia="宋体" w:cs="宋体"/>
          <w:b/>
          <w:color w:val="FF0000"/>
          <w:sz w:val="48"/>
          <w:szCs w:val="48"/>
          <w:u w:val="single"/>
        </w:rPr>
      </w:pPr>
    </w:p>
    <w:p>
      <w:pPr>
        <w:adjustRightInd/>
        <w:jc w:val="center"/>
        <w:rPr>
          <w:rFonts w:hint="eastAsia" w:ascii="宋体" w:hAnsi="宋体" w:eastAsia="宋体" w:cs="宋体"/>
          <w:b/>
          <w:sz w:val="44"/>
          <w:szCs w:val="44"/>
        </w:rPr>
      </w:pPr>
    </w:p>
    <w:p>
      <w:pPr>
        <w:adjustRightInd/>
        <w:jc w:val="center"/>
        <w:rPr>
          <w:rFonts w:hint="eastAsia" w:ascii="宋体" w:hAnsi="宋体" w:eastAsia="宋体" w:cs="宋体"/>
          <w:b/>
          <w:sz w:val="44"/>
          <w:szCs w:val="44"/>
        </w:rPr>
      </w:pPr>
    </w:p>
    <w:p>
      <w:pPr>
        <w:adjustRightInd/>
        <w:spacing w:line="360" w:lineRule="auto"/>
        <w:jc w:val="center"/>
        <w:rPr>
          <w:rFonts w:hint="eastAsia" w:ascii="宋体" w:hAnsi="宋体" w:eastAsia="宋体" w:cs="宋体"/>
          <w:b/>
          <w:sz w:val="72"/>
          <w:szCs w:val="72"/>
          <w:lang w:eastAsia="zh-CN"/>
        </w:rPr>
      </w:pPr>
      <w:r>
        <w:rPr>
          <w:rFonts w:hint="eastAsia" w:ascii="宋体" w:hAnsi="宋体" w:eastAsia="宋体" w:cs="宋体"/>
          <w:b/>
          <w:sz w:val="72"/>
          <w:szCs w:val="72"/>
        </w:rPr>
        <w:t>招标文件</w:t>
      </w:r>
      <w:r>
        <w:rPr>
          <w:rFonts w:hint="eastAsia" w:ascii="宋体" w:hAnsi="宋体" w:eastAsia="宋体" w:cs="宋体"/>
          <w:b/>
          <w:sz w:val="72"/>
          <w:szCs w:val="72"/>
          <w:lang w:eastAsia="zh-CN"/>
        </w:rPr>
        <w:t>（服务）</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snapToGrid w:val="0"/>
        <w:spacing w:line="360" w:lineRule="auto"/>
        <w:ind w:firstLine="2301" w:firstLineChars="767"/>
        <w:jc w:val="left"/>
        <w:rPr>
          <w:rFonts w:hint="eastAsia" w:ascii="宋体" w:hAnsi="宋体" w:eastAsia="宋体" w:cs="宋体"/>
          <w:color w:val="FF0000"/>
          <w:sz w:val="30"/>
          <w:szCs w:val="30"/>
          <w:u w:val="single"/>
        </w:rPr>
      </w:pPr>
      <w:r>
        <w:rPr>
          <w:rFonts w:hint="eastAsia" w:ascii="宋体" w:hAnsi="宋体" w:eastAsia="宋体" w:cs="宋体"/>
          <w:sz w:val="30"/>
          <w:szCs w:val="30"/>
        </w:rPr>
        <w:t>招标编号：</w:t>
      </w:r>
      <w:r>
        <w:rPr>
          <w:rFonts w:ascii="宋体" w:hAnsi="宋体"/>
          <w:b/>
          <w:color w:val="FF0000"/>
          <w:sz w:val="32"/>
          <w:szCs w:val="44"/>
        </w:rPr>
        <w:t xml:space="preserve"> </w:t>
      </w:r>
      <w:r>
        <w:rPr>
          <w:rFonts w:hint="eastAsia" w:ascii="宋体" w:hAnsi="宋体" w:cs="宋体"/>
          <w:b/>
          <w:sz w:val="32"/>
          <w:szCs w:val="44"/>
          <w:lang w:val="en-US" w:eastAsia="zh-CN"/>
        </w:rPr>
        <w:t>GZ2020005</w:t>
      </w:r>
    </w:p>
    <w:p>
      <w:pPr>
        <w:snapToGrid w:val="0"/>
        <w:spacing w:line="360" w:lineRule="auto"/>
        <w:ind w:firstLine="2301" w:firstLineChars="767"/>
        <w:jc w:val="left"/>
        <w:rPr>
          <w:rFonts w:hint="eastAsia" w:ascii="宋体" w:hAnsi="宋体" w:eastAsia="宋体" w:cs="宋体"/>
          <w:sz w:val="30"/>
          <w:szCs w:val="30"/>
        </w:rPr>
      </w:pPr>
      <w:r>
        <w:rPr>
          <w:rFonts w:hint="eastAsia" w:ascii="宋体" w:hAnsi="宋体" w:eastAsia="宋体" w:cs="宋体"/>
          <w:sz w:val="30"/>
          <w:szCs w:val="30"/>
        </w:rPr>
        <w:t>采购方式：公开招标</w:t>
      </w:r>
    </w:p>
    <w:p>
      <w:pPr>
        <w:adjustRightInd/>
        <w:spacing w:line="360" w:lineRule="auto"/>
        <w:rPr>
          <w:rFonts w:hint="eastAsia" w:ascii="宋体" w:hAnsi="宋体" w:eastAsia="宋体" w:cs="宋体"/>
          <w:sz w:val="28"/>
          <w:szCs w:val="20"/>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ind w:firstLine="1800" w:firstLineChars="600"/>
        <w:jc w:val="both"/>
        <w:rPr>
          <w:rFonts w:hint="eastAsia" w:ascii="宋体" w:hAnsi="宋体" w:eastAsia="宋体" w:cs="宋体"/>
          <w:sz w:val="30"/>
        </w:rPr>
      </w:pPr>
      <w:r>
        <w:rPr>
          <w:rFonts w:hint="eastAsia" w:ascii="宋体" w:hAnsi="宋体" w:eastAsia="宋体" w:cs="宋体"/>
          <w:sz w:val="30"/>
        </w:rPr>
        <w:t>采   购   人</w:t>
      </w:r>
      <w:r>
        <w:rPr>
          <w:rFonts w:hint="eastAsia" w:ascii="宋体" w:hAnsi="宋体" w:eastAsia="宋体" w:cs="宋体"/>
          <w:sz w:val="30"/>
          <w:lang w:val="en-US" w:eastAsia="zh-CN"/>
        </w:rPr>
        <w:t xml:space="preserve"> : </w:t>
      </w:r>
      <w:r>
        <w:rPr>
          <w:rFonts w:hint="eastAsia" w:ascii="宋体" w:hAnsi="宋体" w:eastAsia="宋体" w:cs="宋体"/>
          <w:sz w:val="30"/>
          <w:u w:val="single"/>
        </w:rPr>
        <w:t>绍兴市上虞人民医院</w:t>
      </w:r>
    </w:p>
    <w:p>
      <w:pPr>
        <w:spacing w:line="360" w:lineRule="auto"/>
        <w:jc w:val="center"/>
        <w:rPr>
          <w:rFonts w:hint="eastAsia" w:ascii="宋体" w:hAnsi="宋体" w:eastAsia="宋体" w:cs="宋体"/>
          <w:sz w:val="30"/>
          <w:u w:val="single"/>
        </w:rPr>
      </w:pPr>
      <w:r>
        <w:rPr>
          <w:rFonts w:hint="eastAsia" w:ascii="宋体" w:hAnsi="宋体" w:eastAsia="宋体" w:cs="宋体"/>
          <w:sz w:val="30"/>
          <w:lang w:val="en-US" w:eastAsia="zh-CN"/>
        </w:rPr>
        <w:t xml:space="preserve">          </w:t>
      </w:r>
      <w:r>
        <w:rPr>
          <w:rFonts w:hint="eastAsia" w:ascii="宋体" w:hAnsi="宋体" w:eastAsia="宋体" w:cs="宋体"/>
          <w:sz w:val="30"/>
        </w:rPr>
        <w:t>采购代理机构：</w:t>
      </w:r>
      <w:r>
        <w:rPr>
          <w:rFonts w:hint="eastAsia" w:ascii="宋体" w:hAnsi="宋体" w:eastAsia="宋体" w:cs="宋体"/>
          <w:sz w:val="30"/>
          <w:u w:val="single"/>
        </w:rPr>
        <w:t>绍兴市上虞区公共资源交易中心</w:t>
      </w:r>
    </w:p>
    <w:p>
      <w:pPr>
        <w:snapToGrid w:val="0"/>
        <w:spacing w:line="360" w:lineRule="auto"/>
        <w:jc w:val="center"/>
        <w:rPr>
          <w:rFonts w:hint="eastAsia" w:ascii="宋体" w:hAnsi="宋体" w:eastAsia="宋体" w:cs="宋体"/>
          <w:bCs/>
          <w:sz w:val="32"/>
          <w:szCs w:val="32"/>
        </w:rPr>
      </w:pPr>
      <w:r>
        <w:rPr>
          <w:rFonts w:hint="eastAsia" w:ascii="宋体" w:hAnsi="宋体" w:eastAsia="宋体" w:cs="宋体"/>
          <w:sz w:val="24"/>
        </w:rPr>
        <w:t xml:space="preserve">       </w:t>
      </w:r>
    </w:p>
    <w:p>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pPr>
        <w:spacing w:line="360" w:lineRule="auto"/>
        <w:rPr>
          <w:rFonts w:hint="eastAsia" w:ascii="宋体" w:hAnsi="宋体" w:eastAsia="宋体" w:cs="宋体"/>
          <w:sz w:val="32"/>
          <w:szCs w:val="32"/>
        </w:rPr>
      </w:pPr>
    </w:p>
    <w:p>
      <w:pPr>
        <w:pStyle w:val="19"/>
        <w:tabs>
          <w:tab w:val="right" w:leader="dot" w:pos="8306"/>
        </w:tabs>
      </w:pPr>
      <w:bookmarkStart w:id="1" w:name="_Hlt91233176"/>
      <w:bookmarkEnd w:id="1"/>
      <w:bookmarkStart w:id="2" w:name="_Toc91899869"/>
      <w:r>
        <w:rPr>
          <w:rFonts w:hint="eastAsia" w:ascii="宋体" w:hAnsi="宋体" w:eastAsia="宋体" w:cs="宋体"/>
          <w:b/>
          <w:snapToGrid w:val="0"/>
          <w:kern w:val="0"/>
          <w:sz w:val="21"/>
          <w:szCs w:val="21"/>
        </w:rPr>
        <w:fldChar w:fldCharType="begin"/>
      </w:r>
      <w:r>
        <w:rPr>
          <w:rFonts w:hint="eastAsia" w:ascii="宋体" w:hAnsi="宋体" w:eastAsia="宋体" w:cs="宋体"/>
          <w:b/>
          <w:snapToGrid w:val="0"/>
          <w:kern w:val="0"/>
          <w:sz w:val="21"/>
          <w:szCs w:val="21"/>
        </w:rPr>
        <w:instrText xml:space="preserve"> TOC \o "1-1" \h \z \u </w:instrText>
      </w:r>
      <w:r>
        <w:rPr>
          <w:rFonts w:hint="eastAsia" w:ascii="宋体" w:hAnsi="宋体" w:eastAsia="宋体" w:cs="宋体"/>
          <w:b/>
          <w:snapToGrid w:val="0"/>
          <w:kern w:val="0"/>
          <w:sz w:val="21"/>
          <w:szCs w:val="21"/>
        </w:rPr>
        <w:fldChar w:fldCharType="separate"/>
      </w:r>
      <w:r>
        <w:rPr>
          <w:rFonts w:hint="eastAsia" w:ascii="宋体" w:hAnsi="宋体" w:eastAsia="宋体" w:cs="宋体"/>
          <w:snapToGrid w:val="0"/>
          <w:kern w:val="0"/>
          <w:szCs w:val="21"/>
        </w:rPr>
        <w:fldChar w:fldCharType="begin"/>
      </w:r>
      <w:r>
        <w:rPr>
          <w:rFonts w:hint="eastAsia" w:ascii="宋体" w:hAnsi="宋体" w:eastAsia="宋体" w:cs="宋体"/>
          <w:snapToGrid w:val="0"/>
          <w:kern w:val="0"/>
          <w:szCs w:val="21"/>
        </w:rPr>
        <w:instrText xml:space="preserve"> HYPERLINK \l _Toc8205 </w:instrText>
      </w:r>
      <w:r>
        <w:rPr>
          <w:rFonts w:hint="eastAsia" w:ascii="宋体" w:hAnsi="宋体" w:eastAsia="宋体" w:cs="宋体"/>
          <w:snapToGrid w:val="0"/>
          <w:kern w:val="0"/>
          <w:szCs w:val="21"/>
        </w:rPr>
        <w:fldChar w:fldCharType="separate"/>
      </w:r>
      <w:r>
        <w:rPr>
          <w:rFonts w:hint="eastAsia" w:ascii="宋体" w:hAnsi="宋体" w:eastAsia="宋体" w:cs="宋体"/>
          <w:szCs w:val="20"/>
        </w:rPr>
        <w:t>第一部分 招标公告</w:t>
      </w:r>
      <w:r>
        <w:tab/>
      </w:r>
      <w:r>
        <w:fldChar w:fldCharType="begin"/>
      </w:r>
      <w:r>
        <w:instrText xml:space="preserve"> PAGEREF _Toc8205 </w:instrText>
      </w:r>
      <w:r>
        <w:fldChar w:fldCharType="separate"/>
      </w:r>
      <w:r>
        <w:t>3</w:t>
      </w:r>
      <w:r>
        <w:fldChar w:fldCharType="end"/>
      </w:r>
      <w:r>
        <w:rPr>
          <w:rFonts w:hint="eastAsia" w:ascii="宋体" w:hAnsi="宋体" w:eastAsia="宋体" w:cs="宋体"/>
          <w:snapToGrid w:val="0"/>
          <w:kern w:val="0"/>
          <w:szCs w:val="21"/>
        </w:rPr>
        <w:fldChar w:fldCharType="end"/>
      </w:r>
    </w:p>
    <w:p>
      <w:pPr>
        <w:pStyle w:val="19"/>
        <w:tabs>
          <w:tab w:val="right" w:leader="dot" w:pos="8306"/>
        </w:tabs>
      </w:pPr>
      <w:r>
        <w:rPr>
          <w:rFonts w:hint="eastAsia" w:ascii="宋体" w:hAnsi="宋体" w:eastAsia="宋体" w:cs="宋体"/>
          <w:snapToGrid w:val="0"/>
          <w:kern w:val="0"/>
          <w:szCs w:val="21"/>
        </w:rPr>
        <w:fldChar w:fldCharType="begin"/>
      </w:r>
      <w:r>
        <w:rPr>
          <w:rFonts w:hint="eastAsia" w:ascii="宋体" w:hAnsi="宋体" w:eastAsia="宋体" w:cs="宋体"/>
          <w:snapToGrid w:val="0"/>
          <w:kern w:val="0"/>
          <w:szCs w:val="21"/>
        </w:rPr>
        <w:instrText xml:space="preserve"> HYPERLINK \l _Toc18469 </w:instrText>
      </w:r>
      <w:r>
        <w:rPr>
          <w:rFonts w:hint="eastAsia" w:ascii="宋体" w:hAnsi="宋体" w:eastAsia="宋体" w:cs="宋体"/>
          <w:snapToGrid w:val="0"/>
          <w:kern w:val="0"/>
          <w:szCs w:val="21"/>
        </w:rPr>
        <w:fldChar w:fldCharType="separate"/>
      </w:r>
      <w:r>
        <w:rPr>
          <w:rFonts w:hint="eastAsia" w:ascii="宋体" w:hAnsi="宋体" w:eastAsia="宋体" w:cs="宋体"/>
          <w:szCs w:val="20"/>
        </w:rPr>
        <w:t xml:space="preserve">第二部分 </w:t>
      </w:r>
      <w:r>
        <w:rPr>
          <w:rFonts w:hint="eastAsia" w:ascii="宋体" w:hAnsi="宋体" w:eastAsia="宋体" w:cs="宋体"/>
          <w:szCs w:val="20"/>
          <w:lang w:val="en-US" w:eastAsia="zh-CN"/>
        </w:rPr>
        <w:t>投标</w:t>
      </w:r>
      <w:r>
        <w:rPr>
          <w:rFonts w:hint="eastAsia" w:ascii="宋体" w:hAnsi="宋体" w:eastAsia="宋体" w:cs="宋体"/>
          <w:szCs w:val="20"/>
        </w:rPr>
        <w:t>须知</w:t>
      </w:r>
      <w:r>
        <w:tab/>
      </w:r>
      <w:r>
        <w:fldChar w:fldCharType="begin"/>
      </w:r>
      <w:r>
        <w:instrText xml:space="preserve"> PAGEREF _Toc18469 </w:instrText>
      </w:r>
      <w:r>
        <w:fldChar w:fldCharType="separate"/>
      </w:r>
      <w:r>
        <w:t>7</w:t>
      </w:r>
      <w:r>
        <w:fldChar w:fldCharType="end"/>
      </w:r>
      <w:r>
        <w:rPr>
          <w:rFonts w:hint="eastAsia" w:ascii="宋体" w:hAnsi="宋体" w:eastAsia="宋体" w:cs="宋体"/>
          <w:snapToGrid w:val="0"/>
          <w:kern w:val="0"/>
          <w:szCs w:val="21"/>
        </w:rPr>
        <w:fldChar w:fldCharType="end"/>
      </w:r>
    </w:p>
    <w:p>
      <w:pPr>
        <w:pStyle w:val="19"/>
        <w:tabs>
          <w:tab w:val="right" w:leader="dot" w:pos="8306"/>
        </w:tabs>
      </w:pPr>
      <w:r>
        <w:rPr>
          <w:rFonts w:hint="eastAsia" w:ascii="宋体" w:hAnsi="宋体" w:eastAsia="宋体" w:cs="宋体"/>
          <w:snapToGrid w:val="0"/>
          <w:kern w:val="0"/>
          <w:szCs w:val="21"/>
        </w:rPr>
        <w:fldChar w:fldCharType="begin"/>
      </w:r>
      <w:r>
        <w:rPr>
          <w:rFonts w:hint="eastAsia" w:ascii="宋体" w:hAnsi="宋体" w:eastAsia="宋体" w:cs="宋体"/>
          <w:snapToGrid w:val="0"/>
          <w:kern w:val="0"/>
          <w:szCs w:val="21"/>
        </w:rPr>
        <w:instrText xml:space="preserve"> HYPERLINK \l _Toc7335 </w:instrText>
      </w:r>
      <w:r>
        <w:rPr>
          <w:rFonts w:hint="eastAsia" w:ascii="宋体" w:hAnsi="宋体" w:eastAsia="宋体" w:cs="宋体"/>
          <w:snapToGrid w:val="0"/>
          <w:kern w:val="0"/>
          <w:szCs w:val="21"/>
        </w:rPr>
        <w:fldChar w:fldCharType="separate"/>
      </w:r>
      <w:r>
        <w:rPr>
          <w:rFonts w:hint="eastAsia" w:ascii="宋体" w:hAnsi="宋体" w:eastAsia="宋体" w:cs="宋体"/>
        </w:rPr>
        <w:t>一、总则</w:t>
      </w:r>
      <w:r>
        <w:tab/>
      </w:r>
      <w:r>
        <w:fldChar w:fldCharType="begin"/>
      </w:r>
      <w:r>
        <w:instrText xml:space="preserve"> PAGEREF _Toc7335 </w:instrText>
      </w:r>
      <w:r>
        <w:fldChar w:fldCharType="separate"/>
      </w:r>
      <w:r>
        <w:t>10</w:t>
      </w:r>
      <w:r>
        <w:fldChar w:fldCharType="end"/>
      </w:r>
      <w:r>
        <w:rPr>
          <w:rFonts w:hint="eastAsia" w:ascii="宋体" w:hAnsi="宋体" w:eastAsia="宋体" w:cs="宋体"/>
          <w:snapToGrid w:val="0"/>
          <w:kern w:val="0"/>
          <w:szCs w:val="21"/>
        </w:rPr>
        <w:fldChar w:fldCharType="end"/>
      </w:r>
    </w:p>
    <w:p>
      <w:pPr>
        <w:pStyle w:val="19"/>
        <w:tabs>
          <w:tab w:val="right" w:leader="dot" w:pos="8306"/>
        </w:tabs>
      </w:pPr>
      <w:r>
        <w:rPr>
          <w:rFonts w:hint="eastAsia" w:ascii="宋体" w:hAnsi="宋体" w:eastAsia="宋体" w:cs="宋体"/>
          <w:snapToGrid w:val="0"/>
          <w:kern w:val="0"/>
          <w:szCs w:val="21"/>
        </w:rPr>
        <w:fldChar w:fldCharType="begin"/>
      </w:r>
      <w:r>
        <w:rPr>
          <w:rFonts w:hint="eastAsia" w:ascii="宋体" w:hAnsi="宋体" w:eastAsia="宋体" w:cs="宋体"/>
          <w:snapToGrid w:val="0"/>
          <w:kern w:val="0"/>
          <w:szCs w:val="21"/>
        </w:rPr>
        <w:instrText xml:space="preserve"> HYPERLINK \l _Toc10037 </w:instrText>
      </w:r>
      <w:r>
        <w:rPr>
          <w:rFonts w:hint="eastAsia" w:ascii="宋体" w:hAnsi="宋体" w:eastAsia="宋体" w:cs="宋体"/>
          <w:snapToGrid w:val="0"/>
          <w:kern w:val="0"/>
          <w:szCs w:val="21"/>
        </w:rPr>
        <w:fldChar w:fldCharType="separate"/>
      </w:r>
      <w:r>
        <w:rPr>
          <w:rFonts w:hint="eastAsia" w:ascii="宋体" w:hAnsi="宋体" w:eastAsia="宋体" w:cs="宋体"/>
        </w:rPr>
        <w:t>二、招标文件</w:t>
      </w:r>
      <w:r>
        <w:tab/>
      </w:r>
      <w:r>
        <w:fldChar w:fldCharType="begin"/>
      </w:r>
      <w:r>
        <w:instrText xml:space="preserve"> PAGEREF _Toc10037 </w:instrText>
      </w:r>
      <w:r>
        <w:fldChar w:fldCharType="separate"/>
      </w:r>
      <w:r>
        <w:t>10</w:t>
      </w:r>
      <w:r>
        <w:fldChar w:fldCharType="end"/>
      </w:r>
      <w:r>
        <w:rPr>
          <w:rFonts w:hint="eastAsia" w:ascii="宋体" w:hAnsi="宋体" w:eastAsia="宋体" w:cs="宋体"/>
          <w:snapToGrid w:val="0"/>
          <w:kern w:val="0"/>
          <w:szCs w:val="21"/>
        </w:rPr>
        <w:fldChar w:fldCharType="end"/>
      </w:r>
    </w:p>
    <w:p>
      <w:pPr>
        <w:pStyle w:val="19"/>
        <w:tabs>
          <w:tab w:val="right" w:leader="dot" w:pos="8306"/>
        </w:tabs>
      </w:pPr>
      <w:r>
        <w:rPr>
          <w:rFonts w:hint="eastAsia" w:ascii="宋体" w:hAnsi="宋体" w:eastAsia="宋体" w:cs="宋体"/>
          <w:snapToGrid w:val="0"/>
          <w:kern w:val="0"/>
          <w:szCs w:val="21"/>
        </w:rPr>
        <w:fldChar w:fldCharType="begin"/>
      </w:r>
      <w:r>
        <w:rPr>
          <w:rFonts w:hint="eastAsia" w:ascii="宋体" w:hAnsi="宋体" w:eastAsia="宋体" w:cs="宋体"/>
          <w:snapToGrid w:val="0"/>
          <w:kern w:val="0"/>
          <w:szCs w:val="21"/>
        </w:rPr>
        <w:instrText xml:space="preserve"> HYPERLINK \l _Toc25594 </w:instrText>
      </w:r>
      <w:r>
        <w:rPr>
          <w:rFonts w:hint="eastAsia" w:ascii="宋体" w:hAnsi="宋体" w:eastAsia="宋体" w:cs="宋体"/>
          <w:snapToGrid w:val="0"/>
          <w:kern w:val="0"/>
          <w:szCs w:val="21"/>
        </w:rPr>
        <w:fldChar w:fldCharType="separate"/>
      </w:r>
      <w:r>
        <w:rPr>
          <w:rFonts w:hint="eastAsia" w:ascii="宋体" w:hAnsi="宋体" w:eastAsia="宋体" w:cs="宋体"/>
        </w:rPr>
        <w:t>三、投标文件的编制</w:t>
      </w:r>
      <w:r>
        <w:tab/>
      </w:r>
      <w:r>
        <w:fldChar w:fldCharType="begin"/>
      </w:r>
      <w:r>
        <w:instrText xml:space="preserve"> PAGEREF _Toc25594 </w:instrText>
      </w:r>
      <w:r>
        <w:fldChar w:fldCharType="separate"/>
      </w:r>
      <w:r>
        <w:t>12</w:t>
      </w:r>
      <w:r>
        <w:fldChar w:fldCharType="end"/>
      </w:r>
      <w:r>
        <w:rPr>
          <w:rFonts w:hint="eastAsia" w:ascii="宋体" w:hAnsi="宋体" w:eastAsia="宋体" w:cs="宋体"/>
          <w:snapToGrid w:val="0"/>
          <w:kern w:val="0"/>
          <w:szCs w:val="21"/>
        </w:rPr>
        <w:fldChar w:fldCharType="end"/>
      </w:r>
    </w:p>
    <w:p>
      <w:pPr>
        <w:pStyle w:val="19"/>
        <w:tabs>
          <w:tab w:val="right" w:leader="dot" w:pos="8306"/>
        </w:tabs>
      </w:pPr>
      <w:r>
        <w:rPr>
          <w:rFonts w:hint="eastAsia" w:ascii="宋体" w:hAnsi="宋体" w:eastAsia="宋体" w:cs="宋体"/>
          <w:snapToGrid w:val="0"/>
          <w:kern w:val="0"/>
          <w:szCs w:val="21"/>
        </w:rPr>
        <w:fldChar w:fldCharType="begin"/>
      </w:r>
      <w:r>
        <w:rPr>
          <w:rFonts w:hint="eastAsia" w:ascii="宋体" w:hAnsi="宋体" w:eastAsia="宋体" w:cs="宋体"/>
          <w:snapToGrid w:val="0"/>
          <w:kern w:val="0"/>
          <w:szCs w:val="21"/>
        </w:rPr>
        <w:instrText xml:space="preserve"> HYPERLINK \l _Toc31310 </w:instrText>
      </w:r>
      <w:r>
        <w:rPr>
          <w:rFonts w:hint="eastAsia" w:ascii="宋体" w:hAnsi="宋体" w:eastAsia="宋体" w:cs="宋体"/>
          <w:snapToGrid w:val="0"/>
          <w:kern w:val="0"/>
          <w:szCs w:val="21"/>
        </w:rPr>
        <w:fldChar w:fldCharType="separate"/>
      </w:r>
      <w:r>
        <w:rPr>
          <w:rFonts w:hint="eastAsia" w:ascii="宋体" w:hAnsi="宋体" w:eastAsia="宋体" w:cs="宋体"/>
        </w:rPr>
        <w:t>四、投标文件的递交</w:t>
      </w:r>
      <w:r>
        <w:tab/>
      </w:r>
      <w:r>
        <w:fldChar w:fldCharType="begin"/>
      </w:r>
      <w:r>
        <w:instrText xml:space="preserve"> PAGEREF _Toc31310 </w:instrText>
      </w:r>
      <w:r>
        <w:fldChar w:fldCharType="separate"/>
      </w:r>
      <w:r>
        <w:t>15</w:t>
      </w:r>
      <w:r>
        <w:fldChar w:fldCharType="end"/>
      </w:r>
      <w:r>
        <w:rPr>
          <w:rFonts w:hint="eastAsia" w:ascii="宋体" w:hAnsi="宋体" w:eastAsia="宋体" w:cs="宋体"/>
          <w:snapToGrid w:val="0"/>
          <w:kern w:val="0"/>
          <w:szCs w:val="21"/>
        </w:rPr>
        <w:fldChar w:fldCharType="end"/>
      </w:r>
    </w:p>
    <w:p>
      <w:pPr>
        <w:pStyle w:val="19"/>
        <w:tabs>
          <w:tab w:val="right" w:leader="dot" w:pos="8306"/>
        </w:tabs>
      </w:pPr>
      <w:r>
        <w:rPr>
          <w:rFonts w:hint="eastAsia" w:ascii="宋体" w:hAnsi="宋体" w:eastAsia="宋体" w:cs="宋体"/>
          <w:snapToGrid w:val="0"/>
          <w:kern w:val="0"/>
          <w:szCs w:val="21"/>
        </w:rPr>
        <w:fldChar w:fldCharType="begin"/>
      </w:r>
      <w:r>
        <w:rPr>
          <w:rFonts w:hint="eastAsia" w:ascii="宋体" w:hAnsi="宋体" w:eastAsia="宋体" w:cs="宋体"/>
          <w:snapToGrid w:val="0"/>
          <w:kern w:val="0"/>
          <w:szCs w:val="21"/>
        </w:rPr>
        <w:instrText xml:space="preserve"> HYPERLINK \l _Toc27551 </w:instrText>
      </w:r>
      <w:r>
        <w:rPr>
          <w:rFonts w:hint="eastAsia" w:ascii="宋体" w:hAnsi="宋体" w:eastAsia="宋体" w:cs="宋体"/>
          <w:snapToGrid w:val="0"/>
          <w:kern w:val="0"/>
          <w:szCs w:val="21"/>
        </w:rPr>
        <w:fldChar w:fldCharType="separate"/>
      </w:r>
      <w:r>
        <w:rPr>
          <w:rFonts w:hint="eastAsia" w:ascii="宋体" w:hAnsi="宋体" w:eastAsia="宋体" w:cs="宋体"/>
        </w:rPr>
        <w:t>五、开标</w:t>
      </w:r>
      <w:r>
        <w:tab/>
      </w:r>
      <w:r>
        <w:fldChar w:fldCharType="begin"/>
      </w:r>
      <w:r>
        <w:instrText xml:space="preserve"> PAGEREF _Toc27551 </w:instrText>
      </w:r>
      <w:r>
        <w:fldChar w:fldCharType="separate"/>
      </w:r>
      <w:r>
        <w:t>16</w:t>
      </w:r>
      <w:r>
        <w:fldChar w:fldCharType="end"/>
      </w:r>
      <w:r>
        <w:rPr>
          <w:rFonts w:hint="eastAsia" w:ascii="宋体" w:hAnsi="宋体" w:eastAsia="宋体" w:cs="宋体"/>
          <w:snapToGrid w:val="0"/>
          <w:kern w:val="0"/>
          <w:szCs w:val="21"/>
        </w:rPr>
        <w:fldChar w:fldCharType="end"/>
      </w:r>
    </w:p>
    <w:p>
      <w:pPr>
        <w:pStyle w:val="19"/>
        <w:tabs>
          <w:tab w:val="right" w:leader="dot" w:pos="8306"/>
        </w:tabs>
      </w:pPr>
      <w:r>
        <w:rPr>
          <w:rFonts w:hint="eastAsia" w:ascii="宋体" w:hAnsi="宋体" w:eastAsia="宋体" w:cs="宋体"/>
          <w:snapToGrid w:val="0"/>
          <w:kern w:val="0"/>
          <w:szCs w:val="21"/>
        </w:rPr>
        <w:fldChar w:fldCharType="begin"/>
      </w:r>
      <w:r>
        <w:rPr>
          <w:rFonts w:hint="eastAsia" w:ascii="宋体" w:hAnsi="宋体" w:eastAsia="宋体" w:cs="宋体"/>
          <w:snapToGrid w:val="0"/>
          <w:kern w:val="0"/>
          <w:szCs w:val="21"/>
        </w:rPr>
        <w:instrText xml:space="preserve"> HYPERLINK \l _Toc27698 </w:instrText>
      </w:r>
      <w:r>
        <w:rPr>
          <w:rFonts w:hint="eastAsia" w:ascii="宋体" w:hAnsi="宋体" w:eastAsia="宋体" w:cs="宋体"/>
          <w:snapToGrid w:val="0"/>
          <w:kern w:val="0"/>
          <w:szCs w:val="21"/>
        </w:rPr>
        <w:fldChar w:fldCharType="separate"/>
      </w:r>
      <w:r>
        <w:rPr>
          <w:rFonts w:hint="eastAsia" w:ascii="宋体" w:hAnsi="宋体" w:eastAsia="宋体" w:cs="宋体"/>
        </w:rPr>
        <w:t>六、资格审查</w:t>
      </w:r>
      <w:r>
        <w:tab/>
      </w:r>
      <w:r>
        <w:fldChar w:fldCharType="begin"/>
      </w:r>
      <w:r>
        <w:instrText xml:space="preserve"> PAGEREF _Toc27698 </w:instrText>
      </w:r>
      <w:r>
        <w:fldChar w:fldCharType="separate"/>
      </w:r>
      <w:r>
        <w:t>16</w:t>
      </w:r>
      <w:r>
        <w:fldChar w:fldCharType="end"/>
      </w:r>
      <w:r>
        <w:rPr>
          <w:rFonts w:hint="eastAsia" w:ascii="宋体" w:hAnsi="宋体" w:eastAsia="宋体" w:cs="宋体"/>
          <w:snapToGrid w:val="0"/>
          <w:kern w:val="0"/>
          <w:szCs w:val="21"/>
        </w:rPr>
        <w:fldChar w:fldCharType="end"/>
      </w:r>
    </w:p>
    <w:p>
      <w:pPr>
        <w:pStyle w:val="19"/>
        <w:tabs>
          <w:tab w:val="right" w:leader="dot" w:pos="8306"/>
        </w:tabs>
      </w:pPr>
      <w:r>
        <w:rPr>
          <w:rFonts w:hint="eastAsia" w:ascii="宋体" w:hAnsi="宋体" w:eastAsia="宋体" w:cs="宋体"/>
          <w:snapToGrid w:val="0"/>
          <w:kern w:val="0"/>
          <w:szCs w:val="21"/>
        </w:rPr>
        <w:fldChar w:fldCharType="begin"/>
      </w:r>
      <w:r>
        <w:rPr>
          <w:rFonts w:hint="eastAsia" w:ascii="宋体" w:hAnsi="宋体" w:eastAsia="宋体" w:cs="宋体"/>
          <w:snapToGrid w:val="0"/>
          <w:kern w:val="0"/>
          <w:szCs w:val="21"/>
        </w:rPr>
        <w:instrText xml:space="preserve"> HYPERLINK \l _Toc22675 </w:instrText>
      </w:r>
      <w:r>
        <w:rPr>
          <w:rFonts w:hint="eastAsia" w:ascii="宋体" w:hAnsi="宋体" w:eastAsia="宋体" w:cs="宋体"/>
          <w:snapToGrid w:val="0"/>
          <w:kern w:val="0"/>
          <w:szCs w:val="21"/>
        </w:rPr>
        <w:fldChar w:fldCharType="separate"/>
      </w:r>
      <w:r>
        <w:rPr>
          <w:rFonts w:hint="eastAsia" w:ascii="宋体" w:hAnsi="宋体" w:eastAsia="宋体" w:cs="宋体"/>
        </w:rPr>
        <w:t>七、评标</w:t>
      </w:r>
      <w:r>
        <w:tab/>
      </w:r>
      <w:r>
        <w:fldChar w:fldCharType="begin"/>
      </w:r>
      <w:r>
        <w:instrText xml:space="preserve"> PAGEREF _Toc22675 </w:instrText>
      </w:r>
      <w:r>
        <w:fldChar w:fldCharType="separate"/>
      </w:r>
      <w:r>
        <w:t>17</w:t>
      </w:r>
      <w:r>
        <w:fldChar w:fldCharType="end"/>
      </w:r>
      <w:r>
        <w:rPr>
          <w:rFonts w:hint="eastAsia" w:ascii="宋体" w:hAnsi="宋体" w:eastAsia="宋体" w:cs="宋体"/>
          <w:snapToGrid w:val="0"/>
          <w:kern w:val="0"/>
          <w:szCs w:val="21"/>
        </w:rPr>
        <w:fldChar w:fldCharType="end"/>
      </w:r>
    </w:p>
    <w:p>
      <w:pPr>
        <w:pStyle w:val="19"/>
        <w:tabs>
          <w:tab w:val="right" w:leader="dot" w:pos="8306"/>
        </w:tabs>
      </w:pPr>
      <w:r>
        <w:rPr>
          <w:rFonts w:hint="eastAsia" w:ascii="宋体" w:hAnsi="宋体" w:eastAsia="宋体" w:cs="宋体"/>
          <w:snapToGrid w:val="0"/>
          <w:kern w:val="0"/>
          <w:szCs w:val="21"/>
        </w:rPr>
        <w:fldChar w:fldCharType="begin"/>
      </w:r>
      <w:r>
        <w:rPr>
          <w:rFonts w:hint="eastAsia" w:ascii="宋体" w:hAnsi="宋体" w:eastAsia="宋体" w:cs="宋体"/>
          <w:snapToGrid w:val="0"/>
          <w:kern w:val="0"/>
          <w:szCs w:val="21"/>
        </w:rPr>
        <w:instrText xml:space="preserve"> HYPERLINK \l _Toc17938 </w:instrText>
      </w:r>
      <w:r>
        <w:rPr>
          <w:rFonts w:hint="eastAsia" w:ascii="宋体" w:hAnsi="宋体" w:eastAsia="宋体" w:cs="宋体"/>
          <w:snapToGrid w:val="0"/>
          <w:kern w:val="0"/>
          <w:szCs w:val="21"/>
        </w:rPr>
        <w:fldChar w:fldCharType="separate"/>
      </w:r>
      <w:r>
        <w:rPr>
          <w:rFonts w:hint="eastAsia" w:ascii="宋体" w:hAnsi="宋体" w:eastAsia="宋体" w:cs="宋体"/>
        </w:rPr>
        <w:t>八、定 标</w:t>
      </w:r>
      <w:r>
        <w:tab/>
      </w:r>
      <w:r>
        <w:rPr>
          <w:rFonts w:hint="eastAsia" w:ascii="宋体" w:hAnsi="宋体" w:eastAsia="宋体" w:cs="宋体"/>
          <w:snapToGrid w:val="0"/>
          <w:kern w:val="0"/>
          <w:szCs w:val="21"/>
        </w:rPr>
        <w:fldChar w:fldCharType="end"/>
      </w:r>
      <w:r>
        <w:rPr>
          <w:rFonts w:hint="eastAsia" w:ascii="宋体" w:hAnsi="宋体" w:eastAsia="宋体" w:cs="宋体"/>
          <w:snapToGrid w:val="0"/>
          <w:kern w:val="0"/>
          <w:szCs w:val="21"/>
        </w:rPr>
        <w:fldChar w:fldCharType="begin"/>
      </w:r>
      <w:r>
        <w:rPr>
          <w:rFonts w:hint="eastAsia" w:ascii="宋体" w:hAnsi="宋体" w:eastAsia="宋体" w:cs="宋体"/>
          <w:snapToGrid w:val="0"/>
          <w:kern w:val="0"/>
          <w:szCs w:val="21"/>
        </w:rPr>
        <w:instrText xml:space="preserve"> HYPERLINK \l _Toc12001 </w:instrText>
      </w:r>
      <w:r>
        <w:rPr>
          <w:rFonts w:hint="eastAsia" w:ascii="宋体" w:hAnsi="宋体" w:eastAsia="宋体" w:cs="宋体"/>
          <w:snapToGrid w:val="0"/>
          <w:kern w:val="0"/>
          <w:szCs w:val="21"/>
        </w:rPr>
        <w:fldChar w:fldCharType="separate"/>
      </w:r>
      <w:r>
        <w:fldChar w:fldCharType="begin"/>
      </w:r>
      <w:r>
        <w:instrText xml:space="preserve"> PAGEREF _Toc12001 </w:instrText>
      </w:r>
      <w:r>
        <w:fldChar w:fldCharType="separate"/>
      </w:r>
      <w:r>
        <w:t>21</w:t>
      </w:r>
      <w:r>
        <w:fldChar w:fldCharType="end"/>
      </w:r>
      <w:r>
        <w:rPr>
          <w:rFonts w:hint="eastAsia" w:ascii="宋体" w:hAnsi="宋体" w:eastAsia="宋体" w:cs="宋体"/>
          <w:snapToGrid w:val="0"/>
          <w:kern w:val="0"/>
          <w:szCs w:val="21"/>
        </w:rPr>
        <w:fldChar w:fldCharType="end"/>
      </w:r>
    </w:p>
    <w:p>
      <w:pPr>
        <w:pStyle w:val="19"/>
        <w:tabs>
          <w:tab w:val="right" w:leader="dot" w:pos="8306"/>
        </w:tabs>
      </w:pPr>
      <w:r>
        <w:rPr>
          <w:rFonts w:hint="eastAsia" w:ascii="宋体" w:hAnsi="宋体" w:eastAsia="宋体" w:cs="宋体"/>
          <w:snapToGrid w:val="0"/>
          <w:kern w:val="0"/>
          <w:szCs w:val="21"/>
        </w:rPr>
        <w:fldChar w:fldCharType="begin"/>
      </w:r>
      <w:r>
        <w:rPr>
          <w:rFonts w:hint="eastAsia" w:ascii="宋体" w:hAnsi="宋体" w:eastAsia="宋体" w:cs="宋体"/>
          <w:snapToGrid w:val="0"/>
          <w:kern w:val="0"/>
          <w:szCs w:val="21"/>
        </w:rPr>
        <w:instrText xml:space="preserve"> HYPERLINK \l _Toc17658 </w:instrText>
      </w:r>
      <w:r>
        <w:rPr>
          <w:rFonts w:hint="eastAsia" w:ascii="宋体" w:hAnsi="宋体" w:eastAsia="宋体" w:cs="宋体"/>
          <w:snapToGrid w:val="0"/>
          <w:kern w:val="0"/>
          <w:szCs w:val="21"/>
        </w:rPr>
        <w:fldChar w:fldCharType="separate"/>
      </w:r>
      <w:r>
        <w:rPr>
          <w:rFonts w:hint="eastAsia" w:ascii="宋体" w:hAnsi="宋体" w:eastAsia="宋体" w:cs="宋体"/>
        </w:rPr>
        <w:t>九、合同签订及其他</w:t>
      </w:r>
      <w:r>
        <w:tab/>
      </w:r>
      <w:r>
        <w:fldChar w:fldCharType="begin"/>
      </w:r>
      <w:r>
        <w:instrText xml:space="preserve"> PAGEREF _Toc17658 </w:instrText>
      </w:r>
      <w:r>
        <w:fldChar w:fldCharType="separate"/>
      </w:r>
      <w:r>
        <w:t>22</w:t>
      </w:r>
      <w:r>
        <w:fldChar w:fldCharType="end"/>
      </w:r>
      <w:r>
        <w:rPr>
          <w:rFonts w:hint="eastAsia" w:ascii="宋体" w:hAnsi="宋体" w:eastAsia="宋体" w:cs="宋体"/>
          <w:snapToGrid w:val="0"/>
          <w:kern w:val="0"/>
          <w:szCs w:val="21"/>
        </w:rPr>
        <w:fldChar w:fldCharType="end"/>
      </w:r>
    </w:p>
    <w:p>
      <w:pPr>
        <w:pStyle w:val="19"/>
        <w:tabs>
          <w:tab w:val="right" w:leader="dot" w:pos="8306"/>
        </w:tabs>
      </w:pPr>
      <w:r>
        <w:rPr>
          <w:rFonts w:hint="eastAsia" w:ascii="宋体" w:hAnsi="宋体" w:eastAsia="宋体" w:cs="宋体"/>
          <w:snapToGrid w:val="0"/>
          <w:kern w:val="0"/>
          <w:szCs w:val="21"/>
        </w:rPr>
        <w:fldChar w:fldCharType="begin"/>
      </w:r>
      <w:r>
        <w:rPr>
          <w:rFonts w:hint="eastAsia" w:ascii="宋体" w:hAnsi="宋体" w:eastAsia="宋体" w:cs="宋体"/>
          <w:snapToGrid w:val="0"/>
          <w:kern w:val="0"/>
          <w:szCs w:val="21"/>
        </w:rPr>
        <w:instrText xml:space="preserve"> HYPERLINK \l _Toc9168 </w:instrText>
      </w:r>
      <w:r>
        <w:rPr>
          <w:rFonts w:hint="eastAsia" w:ascii="宋体" w:hAnsi="宋体" w:eastAsia="宋体" w:cs="宋体"/>
          <w:snapToGrid w:val="0"/>
          <w:kern w:val="0"/>
          <w:szCs w:val="21"/>
        </w:rPr>
        <w:fldChar w:fldCharType="separate"/>
      </w:r>
      <w:r>
        <w:rPr>
          <w:rFonts w:hint="eastAsia" w:ascii="宋体" w:hAnsi="宋体" w:eastAsia="宋体" w:cs="宋体"/>
        </w:rPr>
        <w:t>十、质疑与投诉</w:t>
      </w:r>
      <w:r>
        <w:tab/>
      </w:r>
      <w:r>
        <w:fldChar w:fldCharType="begin"/>
      </w:r>
      <w:r>
        <w:instrText xml:space="preserve"> PAGEREF _Toc9168 </w:instrText>
      </w:r>
      <w:r>
        <w:fldChar w:fldCharType="separate"/>
      </w:r>
      <w:r>
        <w:t>23</w:t>
      </w:r>
      <w:r>
        <w:fldChar w:fldCharType="end"/>
      </w:r>
      <w:r>
        <w:rPr>
          <w:rFonts w:hint="eastAsia" w:ascii="宋体" w:hAnsi="宋体" w:eastAsia="宋体" w:cs="宋体"/>
          <w:snapToGrid w:val="0"/>
          <w:kern w:val="0"/>
          <w:szCs w:val="21"/>
        </w:rPr>
        <w:fldChar w:fldCharType="end"/>
      </w:r>
    </w:p>
    <w:p>
      <w:pPr>
        <w:pStyle w:val="19"/>
        <w:tabs>
          <w:tab w:val="right" w:leader="dot" w:pos="8306"/>
        </w:tabs>
      </w:pPr>
      <w:r>
        <w:rPr>
          <w:rFonts w:hint="eastAsia" w:ascii="宋体" w:hAnsi="宋体" w:eastAsia="宋体" w:cs="宋体"/>
          <w:snapToGrid w:val="0"/>
          <w:kern w:val="0"/>
          <w:szCs w:val="21"/>
        </w:rPr>
        <w:fldChar w:fldCharType="begin"/>
      </w:r>
      <w:r>
        <w:rPr>
          <w:rFonts w:hint="eastAsia" w:ascii="宋体" w:hAnsi="宋体" w:eastAsia="宋体" w:cs="宋体"/>
          <w:snapToGrid w:val="0"/>
          <w:kern w:val="0"/>
          <w:szCs w:val="21"/>
        </w:rPr>
        <w:instrText xml:space="preserve"> HYPERLINK \l _Toc11226 </w:instrText>
      </w:r>
      <w:r>
        <w:rPr>
          <w:rFonts w:hint="eastAsia" w:ascii="宋体" w:hAnsi="宋体" w:eastAsia="宋体" w:cs="宋体"/>
          <w:snapToGrid w:val="0"/>
          <w:kern w:val="0"/>
          <w:szCs w:val="21"/>
        </w:rPr>
        <w:fldChar w:fldCharType="separate"/>
      </w:r>
      <w:r>
        <w:rPr>
          <w:rFonts w:hint="eastAsia" w:ascii="宋体" w:hAnsi="宋体" w:eastAsia="宋体" w:cs="宋体"/>
          <w:szCs w:val="36"/>
        </w:rPr>
        <w:t>第三部分   评标办法及评分标准</w:t>
      </w:r>
      <w:r>
        <w:tab/>
      </w:r>
      <w:r>
        <w:fldChar w:fldCharType="begin"/>
      </w:r>
      <w:r>
        <w:instrText xml:space="preserve"> PAGEREF _Toc11226 </w:instrText>
      </w:r>
      <w:r>
        <w:fldChar w:fldCharType="separate"/>
      </w:r>
      <w:r>
        <w:t>25</w:t>
      </w:r>
      <w:r>
        <w:fldChar w:fldCharType="end"/>
      </w:r>
      <w:r>
        <w:rPr>
          <w:rFonts w:hint="eastAsia" w:ascii="宋体" w:hAnsi="宋体" w:eastAsia="宋体" w:cs="宋体"/>
          <w:snapToGrid w:val="0"/>
          <w:kern w:val="0"/>
          <w:szCs w:val="21"/>
        </w:rPr>
        <w:fldChar w:fldCharType="end"/>
      </w:r>
    </w:p>
    <w:p>
      <w:pPr>
        <w:pStyle w:val="19"/>
        <w:tabs>
          <w:tab w:val="right" w:leader="dot" w:pos="8306"/>
        </w:tabs>
      </w:pPr>
      <w:r>
        <w:rPr>
          <w:rFonts w:hint="eastAsia" w:ascii="宋体" w:hAnsi="宋体" w:eastAsia="宋体" w:cs="宋体"/>
          <w:snapToGrid w:val="0"/>
          <w:kern w:val="0"/>
          <w:szCs w:val="21"/>
        </w:rPr>
        <w:fldChar w:fldCharType="begin"/>
      </w:r>
      <w:r>
        <w:rPr>
          <w:rFonts w:hint="eastAsia" w:ascii="宋体" w:hAnsi="宋体" w:eastAsia="宋体" w:cs="宋体"/>
          <w:snapToGrid w:val="0"/>
          <w:kern w:val="0"/>
          <w:szCs w:val="21"/>
        </w:rPr>
        <w:instrText xml:space="preserve"> HYPERLINK \l _Toc20040 </w:instrText>
      </w:r>
      <w:r>
        <w:rPr>
          <w:rFonts w:hint="eastAsia" w:ascii="宋体" w:hAnsi="宋体" w:eastAsia="宋体" w:cs="宋体"/>
          <w:snapToGrid w:val="0"/>
          <w:kern w:val="0"/>
          <w:szCs w:val="21"/>
        </w:rPr>
        <w:fldChar w:fldCharType="separate"/>
      </w:r>
      <w:r>
        <w:rPr>
          <w:rFonts w:hint="eastAsia" w:ascii="宋体" w:hAnsi="宋体" w:eastAsia="宋体" w:cs="宋体"/>
          <w:szCs w:val="36"/>
        </w:rPr>
        <w:t>第</w:t>
      </w:r>
      <w:r>
        <w:rPr>
          <w:rFonts w:hint="eastAsia" w:ascii="宋体" w:hAnsi="宋体" w:eastAsia="宋体" w:cs="宋体"/>
          <w:szCs w:val="36"/>
          <w:lang w:eastAsia="zh-CN"/>
        </w:rPr>
        <w:t>四</w:t>
      </w:r>
      <w:r>
        <w:rPr>
          <w:rFonts w:hint="eastAsia" w:ascii="宋体" w:hAnsi="宋体" w:eastAsia="宋体" w:cs="宋体"/>
          <w:szCs w:val="36"/>
        </w:rPr>
        <w:t>部分   采购需求</w:t>
      </w:r>
      <w:r>
        <w:tab/>
      </w:r>
      <w:r>
        <w:fldChar w:fldCharType="begin"/>
      </w:r>
      <w:r>
        <w:instrText xml:space="preserve"> PAGEREF _Toc20040 </w:instrText>
      </w:r>
      <w:r>
        <w:fldChar w:fldCharType="separate"/>
      </w:r>
      <w:r>
        <w:t>29</w:t>
      </w:r>
      <w:r>
        <w:fldChar w:fldCharType="end"/>
      </w:r>
      <w:r>
        <w:rPr>
          <w:rFonts w:hint="eastAsia" w:ascii="宋体" w:hAnsi="宋体" w:eastAsia="宋体" w:cs="宋体"/>
          <w:snapToGrid w:val="0"/>
          <w:kern w:val="0"/>
          <w:szCs w:val="21"/>
        </w:rPr>
        <w:fldChar w:fldCharType="end"/>
      </w:r>
    </w:p>
    <w:p>
      <w:pPr>
        <w:pStyle w:val="19"/>
        <w:tabs>
          <w:tab w:val="right" w:leader="dot" w:pos="8306"/>
        </w:tabs>
      </w:pPr>
      <w:r>
        <w:rPr>
          <w:rFonts w:hint="eastAsia" w:ascii="宋体" w:hAnsi="宋体" w:eastAsia="宋体" w:cs="宋体"/>
          <w:snapToGrid w:val="0"/>
          <w:kern w:val="0"/>
          <w:szCs w:val="21"/>
        </w:rPr>
        <w:fldChar w:fldCharType="begin"/>
      </w:r>
      <w:r>
        <w:rPr>
          <w:rFonts w:hint="eastAsia" w:ascii="宋体" w:hAnsi="宋体" w:eastAsia="宋体" w:cs="宋体"/>
          <w:snapToGrid w:val="0"/>
          <w:kern w:val="0"/>
          <w:szCs w:val="21"/>
        </w:rPr>
        <w:instrText xml:space="preserve"> HYPERLINK \l _Toc32460 </w:instrText>
      </w:r>
      <w:r>
        <w:rPr>
          <w:rFonts w:hint="eastAsia" w:ascii="宋体" w:hAnsi="宋体" w:eastAsia="宋体" w:cs="宋体"/>
          <w:snapToGrid w:val="0"/>
          <w:kern w:val="0"/>
          <w:szCs w:val="21"/>
        </w:rPr>
        <w:fldChar w:fldCharType="separate"/>
      </w:r>
      <w:r>
        <w:rPr>
          <w:rFonts w:hint="eastAsia" w:ascii="宋体" w:hAnsi="宋体" w:eastAsia="宋体" w:cs="宋体"/>
          <w:szCs w:val="36"/>
        </w:rPr>
        <w:t>第五部分 采购合同</w:t>
      </w:r>
      <w:r>
        <w:tab/>
      </w:r>
      <w:r>
        <w:fldChar w:fldCharType="begin"/>
      </w:r>
      <w:r>
        <w:instrText xml:space="preserve"> PAGEREF _Toc32460 </w:instrText>
      </w:r>
      <w:r>
        <w:fldChar w:fldCharType="separate"/>
      </w:r>
      <w:r>
        <w:t>37</w:t>
      </w:r>
      <w:r>
        <w:fldChar w:fldCharType="end"/>
      </w:r>
      <w:r>
        <w:rPr>
          <w:rFonts w:hint="eastAsia" w:ascii="宋体" w:hAnsi="宋体" w:eastAsia="宋体" w:cs="宋体"/>
          <w:snapToGrid w:val="0"/>
          <w:kern w:val="0"/>
          <w:szCs w:val="21"/>
        </w:rPr>
        <w:fldChar w:fldCharType="end"/>
      </w:r>
    </w:p>
    <w:p>
      <w:pPr>
        <w:pStyle w:val="19"/>
        <w:tabs>
          <w:tab w:val="right" w:leader="dot" w:pos="8306"/>
        </w:tabs>
      </w:pPr>
      <w:r>
        <w:rPr>
          <w:rFonts w:hint="eastAsia" w:ascii="宋体" w:hAnsi="宋体" w:eastAsia="宋体" w:cs="宋体"/>
          <w:snapToGrid w:val="0"/>
          <w:kern w:val="0"/>
          <w:szCs w:val="21"/>
        </w:rPr>
        <w:fldChar w:fldCharType="begin"/>
      </w:r>
      <w:r>
        <w:rPr>
          <w:rFonts w:hint="eastAsia" w:ascii="宋体" w:hAnsi="宋体" w:eastAsia="宋体" w:cs="宋体"/>
          <w:snapToGrid w:val="0"/>
          <w:kern w:val="0"/>
          <w:szCs w:val="21"/>
        </w:rPr>
        <w:instrText xml:space="preserve"> HYPERLINK \l _Toc31100 </w:instrText>
      </w:r>
      <w:r>
        <w:rPr>
          <w:rFonts w:hint="eastAsia" w:ascii="宋体" w:hAnsi="宋体" w:eastAsia="宋体" w:cs="宋体"/>
          <w:snapToGrid w:val="0"/>
          <w:kern w:val="0"/>
          <w:szCs w:val="21"/>
        </w:rPr>
        <w:fldChar w:fldCharType="separate"/>
      </w:r>
      <w:r>
        <w:rPr>
          <w:rFonts w:hint="eastAsia" w:ascii="宋体" w:hAnsi="宋体" w:eastAsia="宋体" w:cs="宋体"/>
          <w:szCs w:val="36"/>
        </w:rPr>
        <w:t>第六部分 应提交的有关格式范例</w:t>
      </w:r>
      <w:r>
        <w:tab/>
      </w:r>
      <w:r>
        <w:fldChar w:fldCharType="begin"/>
      </w:r>
      <w:r>
        <w:instrText xml:space="preserve"> PAGEREF _Toc31100 </w:instrText>
      </w:r>
      <w:r>
        <w:fldChar w:fldCharType="separate"/>
      </w:r>
      <w:r>
        <w:t>43</w:t>
      </w:r>
      <w:r>
        <w:fldChar w:fldCharType="end"/>
      </w:r>
      <w:r>
        <w:rPr>
          <w:rFonts w:hint="eastAsia" w:ascii="宋体" w:hAnsi="宋体" w:eastAsia="宋体" w:cs="宋体"/>
          <w:snapToGrid w:val="0"/>
          <w:kern w:val="0"/>
          <w:szCs w:val="21"/>
        </w:rPr>
        <w:fldChar w:fldCharType="end"/>
      </w:r>
    </w:p>
    <w:p>
      <w:pPr>
        <w:spacing w:line="360" w:lineRule="auto"/>
        <w:ind w:firstLine="480" w:firstLineChars="229"/>
        <w:rPr>
          <w:rFonts w:hint="eastAsia" w:ascii="宋体" w:hAnsi="宋体" w:eastAsia="宋体" w:cs="宋体"/>
          <w:sz w:val="24"/>
        </w:rPr>
      </w:pPr>
      <w:r>
        <w:rPr>
          <w:rFonts w:hint="eastAsia" w:ascii="宋体" w:hAnsi="宋体" w:eastAsia="宋体" w:cs="宋体"/>
          <w:snapToGrid w:val="0"/>
          <w:kern w:val="0"/>
          <w:szCs w:val="21"/>
        </w:rPr>
        <w:fldChar w:fldCharType="end"/>
      </w:r>
    </w:p>
    <w:p>
      <w:pPr>
        <w:spacing w:line="360" w:lineRule="auto"/>
        <w:ind w:firstLine="549" w:firstLineChars="229"/>
        <w:rPr>
          <w:rFonts w:hint="eastAsia" w:ascii="宋体" w:hAnsi="宋体" w:eastAsia="宋体" w:cs="宋体"/>
          <w:sz w:val="24"/>
        </w:rPr>
      </w:pPr>
    </w:p>
    <w:p>
      <w:pPr>
        <w:spacing w:line="360" w:lineRule="auto"/>
        <w:rPr>
          <w:rFonts w:hint="eastAsia" w:ascii="宋体" w:hAnsi="宋体" w:eastAsia="宋体" w:cs="宋体"/>
          <w:sz w:val="24"/>
        </w:rPr>
      </w:pPr>
    </w:p>
    <w:p>
      <w:pPr>
        <w:adjustRightInd/>
        <w:spacing w:line="360" w:lineRule="auto"/>
        <w:jc w:val="center"/>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_Toc8205"/>
      <w:bookmarkStart w:id="9" w:name="第二部分"/>
      <w:bookmarkStart w:id="10" w:name="_Toc91899870"/>
      <w:bookmarkStart w:id="11" w:name="_Toc91899871"/>
      <w:r>
        <w:rPr>
          <w:rFonts w:hint="eastAsia" w:ascii="宋体" w:hAnsi="宋体" w:eastAsia="宋体" w:cs="宋体"/>
          <w:b/>
          <w:sz w:val="36"/>
          <w:szCs w:val="20"/>
        </w:rPr>
        <w:t>第一部分 招标公告</w:t>
      </w:r>
      <w:bookmarkEnd w:id="8"/>
    </w:p>
    <w:p>
      <w:pPr>
        <w:keepNext w:val="0"/>
        <w:keepLines w:val="0"/>
        <w:pageBreakBefore w:val="0"/>
        <w:widowControl w:val="0"/>
        <w:kinsoku/>
        <w:overflowPunct/>
        <w:topLinePunct w:val="0"/>
        <w:autoSpaceDE/>
        <w:autoSpaceDN/>
        <w:bidi w:val="0"/>
        <w:adjustRightInd w:val="0"/>
        <w:spacing w:line="360" w:lineRule="auto"/>
        <w:jc w:val="center"/>
        <w:textAlignment w:val="auto"/>
        <w:rPr>
          <w:rFonts w:hint="eastAsia" w:ascii="宋体" w:hAnsi="宋体" w:eastAsia="宋体" w:cs="宋体"/>
          <w:sz w:val="28"/>
          <w:szCs w:val="28"/>
          <w:u w:val="none"/>
        </w:rPr>
      </w:pPr>
      <w:r>
        <w:rPr>
          <w:rFonts w:hint="eastAsia" w:ascii="宋体" w:hAnsi="宋体" w:eastAsia="宋体" w:cs="宋体"/>
          <w:sz w:val="28"/>
          <w:szCs w:val="28"/>
          <w:u w:val="none"/>
        </w:rPr>
        <w:t>绍兴市上虞区公共资源交易中心关于绍兴市上虞人民医院检验检测外送</w:t>
      </w:r>
      <w:r>
        <w:rPr>
          <w:rFonts w:hint="eastAsia" w:ascii="宋体" w:hAnsi="宋体" w:eastAsia="宋体" w:cs="宋体"/>
          <w:sz w:val="28"/>
          <w:szCs w:val="28"/>
          <w:u w:val="none"/>
          <w:lang w:eastAsia="zh-CN"/>
        </w:rPr>
        <w:t>服务</w:t>
      </w:r>
      <w:r>
        <w:rPr>
          <w:rFonts w:hint="eastAsia" w:ascii="宋体" w:hAnsi="宋体" w:eastAsia="宋体" w:cs="宋体"/>
          <w:sz w:val="28"/>
          <w:szCs w:val="28"/>
          <w:u w:val="none"/>
        </w:rPr>
        <w:t>项目公开招标的公告</w:t>
      </w:r>
    </w:p>
    <w:p>
      <w:pPr>
        <w:keepNext w:val="0"/>
        <w:keepLines w:val="0"/>
        <w:pageBreakBefore w:val="0"/>
        <w:widowControl w:val="0"/>
        <w:kinsoku/>
        <w:overflowPunct/>
        <w:topLinePunct w:val="0"/>
        <w:autoSpaceDE/>
        <w:autoSpaceDN/>
        <w:bidi w:val="0"/>
        <w:adjustRightInd w:val="0"/>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公告日期：</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2020年5月18日</w:t>
      </w:r>
      <w:r>
        <w:rPr>
          <w:rFonts w:hint="eastAsia" w:ascii="宋体" w:hAnsi="宋体" w:eastAsia="宋体" w:cs="宋体"/>
          <w:color w:val="FF0000"/>
          <w:sz w:val="28"/>
          <w:szCs w:val="28"/>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根据《中华人民共和国政府采购法》等有关规定，</w:t>
      </w:r>
      <w:r>
        <w:rPr>
          <w:rFonts w:hint="eastAsia" w:ascii="宋体" w:hAnsi="宋体" w:eastAsia="宋体" w:cs="宋体"/>
          <w:sz w:val="28"/>
          <w:szCs w:val="28"/>
          <w:u w:val="none"/>
        </w:rPr>
        <w:t>绍兴市上虞区公共资源交易中心</w:t>
      </w:r>
      <w:r>
        <w:rPr>
          <w:rFonts w:hint="eastAsia" w:ascii="宋体" w:hAnsi="宋体" w:eastAsia="宋体" w:cs="宋体"/>
          <w:sz w:val="24"/>
          <w:szCs w:val="24"/>
        </w:rPr>
        <w:t>受</w:t>
      </w:r>
      <w:r>
        <w:rPr>
          <w:rFonts w:hint="eastAsia" w:ascii="宋体" w:hAnsi="宋体" w:eastAsia="宋体" w:cs="宋体"/>
          <w:sz w:val="28"/>
          <w:szCs w:val="28"/>
          <w:u w:val="none"/>
        </w:rPr>
        <w:t>绍兴市上虞人民医院</w:t>
      </w:r>
      <w:r>
        <w:rPr>
          <w:rFonts w:hint="eastAsia" w:ascii="宋体" w:hAnsi="宋体" w:eastAsia="宋体" w:cs="宋体"/>
          <w:sz w:val="24"/>
          <w:szCs w:val="24"/>
        </w:rPr>
        <w:t>委托，现就</w:t>
      </w:r>
      <w:bookmarkStart w:id="12" w:name="B05_项目名称"/>
      <w:r>
        <w:rPr>
          <w:rFonts w:hint="eastAsia" w:ascii="宋体" w:hAnsi="宋体" w:eastAsia="宋体" w:cs="宋体"/>
          <w:sz w:val="28"/>
          <w:szCs w:val="28"/>
          <w:u w:val="none"/>
        </w:rPr>
        <w:t>检验检测外送</w:t>
      </w:r>
      <w:r>
        <w:rPr>
          <w:rFonts w:hint="eastAsia" w:ascii="宋体" w:hAnsi="宋体" w:eastAsia="宋体" w:cs="宋体"/>
          <w:sz w:val="28"/>
          <w:szCs w:val="28"/>
          <w:u w:val="none"/>
          <w:lang w:eastAsia="zh-CN"/>
        </w:rPr>
        <w:t>服务</w:t>
      </w:r>
      <w:r>
        <w:rPr>
          <w:rFonts w:hint="eastAsia" w:ascii="宋体" w:hAnsi="宋体" w:eastAsia="宋体" w:cs="宋体"/>
          <w:sz w:val="28"/>
          <w:szCs w:val="28"/>
          <w:u w:val="none"/>
        </w:rPr>
        <w:t>项目</w:t>
      </w:r>
      <w:bookmarkEnd w:id="12"/>
      <w:r>
        <w:rPr>
          <w:rFonts w:hint="eastAsia" w:ascii="宋体" w:hAnsi="宋体" w:eastAsia="宋体" w:cs="宋体"/>
          <w:sz w:val="24"/>
          <w:szCs w:val="24"/>
        </w:rPr>
        <w:t>进行公开招标，欢迎国内合格的供应商前来投标。</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一． 招标项目编号：</w:t>
      </w:r>
      <w:r>
        <w:rPr>
          <w:rFonts w:ascii="宋体" w:hAnsi="宋体"/>
          <w:b/>
          <w:color w:val="auto"/>
          <w:sz w:val="32"/>
          <w:szCs w:val="44"/>
          <w:u w:val="single"/>
        </w:rPr>
        <w:t xml:space="preserve"> </w:t>
      </w:r>
      <w:r>
        <w:rPr>
          <w:rFonts w:hint="eastAsia" w:ascii="宋体" w:hAnsi="宋体" w:eastAsia="宋体" w:cs="宋体"/>
          <w:color w:val="auto"/>
          <w:sz w:val="24"/>
          <w:szCs w:val="24"/>
          <w:u w:val="single"/>
          <w:lang w:val="en-US" w:eastAsia="zh-CN"/>
        </w:rPr>
        <w:t>GZ2020005</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 采购组织类型：政府集中采购-</w:t>
      </w:r>
      <w:r>
        <w:rPr>
          <w:rFonts w:hint="eastAsia" w:ascii="宋体" w:hAnsi="宋体" w:eastAsia="宋体" w:cs="宋体"/>
          <w:sz w:val="24"/>
          <w:szCs w:val="24"/>
          <w:lang w:val="en-US" w:eastAsia="zh-CN"/>
        </w:rPr>
        <w:t>-</w:t>
      </w:r>
      <w:r>
        <w:rPr>
          <w:rFonts w:hint="eastAsia" w:ascii="宋体" w:hAnsi="宋体" w:eastAsia="宋体" w:cs="宋体"/>
          <w:sz w:val="24"/>
          <w:szCs w:val="24"/>
        </w:rPr>
        <w:t>委托本级集采</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 招标项目概况:</w:t>
      </w:r>
    </w:p>
    <w:tbl>
      <w:tblPr>
        <w:tblStyle w:val="28"/>
        <w:tblW w:w="8998"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581"/>
        <w:gridCol w:w="1255"/>
        <w:gridCol w:w="800"/>
        <w:gridCol w:w="840"/>
        <w:gridCol w:w="1350"/>
        <w:gridCol w:w="2220"/>
        <w:gridCol w:w="1243"/>
        <w:gridCol w:w="709"/>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58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25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80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预算金额(万元)</w:t>
            </w:r>
          </w:p>
        </w:tc>
        <w:tc>
          <w:tcPr>
            <w:tcW w:w="222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简要规格描述或标项基本概况介绍</w:t>
            </w:r>
          </w:p>
        </w:tc>
        <w:tc>
          <w:tcPr>
            <w:tcW w:w="1243"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最高限价</w:t>
            </w:r>
          </w:p>
        </w:tc>
        <w:tc>
          <w:tcPr>
            <w:tcW w:w="709"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581" w:type="dxa"/>
            <w:noWrap w:val="0"/>
            <w:vAlign w:val="center"/>
          </w:tcPr>
          <w:p>
            <w:pPr>
              <w:widowControl/>
              <w:spacing w:before="100" w:after="100"/>
              <w:jc w:val="center"/>
              <w:rPr>
                <w:rFonts w:hint="eastAsia" w:ascii="Calibri" w:hAnsi="Calibri"/>
                <w:color w:val="333333"/>
                <w:kern w:val="0"/>
                <w:sz w:val="21"/>
                <w:szCs w:val="21"/>
                <w:lang w:val="en-US" w:eastAsia="zh-CN" w:bidi="ar-SA"/>
              </w:rPr>
            </w:pPr>
            <w:r>
              <w:rPr>
                <w:rFonts w:ascii="Segoe UI" w:hAnsi="Segoe UI" w:cs="Segoe UI"/>
                <w:color w:val="333333"/>
                <w:kern w:val="0"/>
                <w:szCs w:val="21"/>
              </w:rPr>
              <w:t>1</w:t>
            </w:r>
          </w:p>
        </w:tc>
        <w:tc>
          <w:tcPr>
            <w:tcW w:w="1255" w:type="dxa"/>
            <w:noWrap w:val="0"/>
            <w:vAlign w:val="center"/>
          </w:tcPr>
          <w:p>
            <w:pPr>
              <w:widowControl/>
              <w:spacing w:before="100" w:after="100"/>
              <w:jc w:val="center"/>
              <w:rPr>
                <w:rFonts w:hint="eastAsia" w:ascii="Calibri" w:hAnsi="Calibri" w:eastAsia="宋体"/>
                <w:color w:val="333333"/>
                <w:kern w:val="0"/>
                <w:sz w:val="21"/>
                <w:szCs w:val="21"/>
                <w:lang w:val="en-US" w:eastAsia="zh-CN" w:bidi="ar-SA"/>
              </w:rPr>
            </w:pPr>
            <w:r>
              <w:rPr>
                <w:rFonts w:hint="eastAsia" w:ascii="Calibri" w:hAnsi="Calibri"/>
                <w:color w:val="333333"/>
                <w:kern w:val="0"/>
                <w:szCs w:val="21"/>
                <w:lang w:eastAsia="zh-CN"/>
              </w:rPr>
              <w:t>检验检测外送服务</w:t>
            </w:r>
          </w:p>
        </w:tc>
        <w:tc>
          <w:tcPr>
            <w:tcW w:w="800" w:type="dxa"/>
            <w:noWrap w:val="0"/>
            <w:vAlign w:val="center"/>
          </w:tcPr>
          <w:p>
            <w:pPr>
              <w:widowControl/>
              <w:spacing w:before="100" w:after="100"/>
              <w:jc w:val="center"/>
              <w:rPr>
                <w:rFonts w:hint="eastAsia" w:ascii="Calibri" w:hAnsi="Calibri" w:eastAsia="宋体"/>
                <w:color w:val="333333"/>
                <w:kern w:val="0"/>
                <w:sz w:val="21"/>
                <w:szCs w:val="21"/>
                <w:lang w:val="en-US" w:eastAsia="zh-CN" w:bidi="ar-SA"/>
              </w:rPr>
            </w:pPr>
            <w:r>
              <w:rPr>
                <w:rFonts w:hint="eastAsia" w:ascii="Calibri" w:hAnsi="Calibri"/>
                <w:color w:val="333333"/>
                <w:kern w:val="0"/>
                <w:szCs w:val="21"/>
                <w:lang w:val="en-US" w:eastAsia="zh-CN"/>
              </w:rPr>
              <w:t>2</w:t>
            </w:r>
          </w:p>
        </w:tc>
        <w:tc>
          <w:tcPr>
            <w:tcW w:w="840" w:type="dxa"/>
            <w:noWrap w:val="0"/>
            <w:vAlign w:val="center"/>
          </w:tcPr>
          <w:p>
            <w:pPr>
              <w:widowControl/>
              <w:spacing w:before="100" w:after="100"/>
              <w:jc w:val="center"/>
              <w:rPr>
                <w:rFonts w:hint="eastAsia" w:ascii="Calibri" w:hAnsi="Calibri" w:eastAsia="宋体"/>
                <w:color w:val="333333"/>
                <w:kern w:val="0"/>
                <w:sz w:val="21"/>
                <w:szCs w:val="21"/>
                <w:lang w:val="en-US" w:eastAsia="zh-CN" w:bidi="ar-SA"/>
              </w:rPr>
            </w:pPr>
            <w:r>
              <w:rPr>
                <w:rFonts w:hint="eastAsia" w:ascii="Calibri" w:hAnsi="Calibri"/>
                <w:color w:val="333333"/>
                <w:kern w:val="0"/>
                <w:szCs w:val="21"/>
                <w:lang w:eastAsia="zh-CN"/>
              </w:rPr>
              <w:t>年</w:t>
            </w:r>
          </w:p>
        </w:tc>
        <w:tc>
          <w:tcPr>
            <w:tcW w:w="1350" w:type="dxa"/>
            <w:noWrap w:val="0"/>
            <w:vAlign w:val="center"/>
          </w:tcPr>
          <w:p>
            <w:pPr>
              <w:widowControl/>
              <w:spacing w:before="100" w:after="100"/>
              <w:jc w:val="center"/>
              <w:rPr>
                <w:rFonts w:hint="eastAsia" w:ascii="Calibri" w:hAnsi="Calibri" w:eastAsia="宋体"/>
                <w:color w:val="333333"/>
                <w:kern w:val="0"/>
                <w:sz w:val="21"/>
                <w:szCs w:val="21"/>
                <w:lang w:val="en-US" w:eastAsia="zh-CN" w:bidi="ar-SA"/>
              </w:rPr>
            </w:pPr>
            <w:r>
              <w:rPr>
                <w:rFonts w:hint="eastAsia" w:ascii="Calibri" w:hAnsi="Calibri"/>
                <w:color w:val="333333"/>
                <w:kern w:val="0"/>
                <w:szCs w:val="21"/>
                <w:lang w:val="en-US" w:eastAsia="zh-CN"/>
              </w:rPr>
              <w:t>1300万元</w:t>
            </w:r>
          </w:p>
        </w:tc>
        <w:tc>
          <w:tcPr>
            <w:tcW w:w="2220" w:type="dxa"/>
            <w:noWrap w:val="0"/>
            <w:vAlign w:val="center"/>
          </w:tcPr>
          <w:p>
            <w:pPr>
              <w:pStyle w:val="10"/>
              <w:spacing w:line="500" w:lineRule="exact"/>
              <w:ind w:firstLine="240" w:firstLineChars="100"/>
              <w:jc w:val="both"/>
              <w:rPr>
                <w:rFonts w:hint="eastAsia" w:ascii="新宋体" w:hAnsi="新宋体" w:eastAsia="新宋体"/>
                <w:bCs/>
                <w:sz w:val="24"/>
              </w:rPr>
            </w:pPr>
            <w:r>
              <w:rPr>
                <w:rFonts w:hint="eastAsia" w:ascii="新宋体" w:hAnsi="新宋体" w:eastAsia="新宋体"/>
                <w:bCs/>
                <w:sz w:val="24"/>
              </w:rPr>
              <w:t>临床科室有需求，但医院目前又无法开展的需要长期外送的检验检测项目。</w:t>
            </w:r>
          </w:p>
          <w:p>
            <w:pPr>
              <w:widowControl/>
              <w:jc w:val="center"/>
              <w:rPr>
                <w:rFonts w:hint="eastAsia" w:ascii="Calibri" w:hAnsi="Calibri" w:eastAsia="宋体"/>
                <w:color w:val="333333"/>
                <w:kern w:val="0"/>
                <w:sz w:val="21"/>
                <w:szCs w:val="21"/>
                <w:lang w:val="en-US" w:eastAsia="zh-CN" w:bidi="ar-SA"/>
              </w:rPr>
            </w:pPr>
            <w:r>
              <w:rPr>
                <w:rFonts w:ascii="Calibri" w:hAnsi="Calibri"/>
                <w:color w:val="333333"/>
                <w:kern w:val="0"/>
                <w:szCs w:val="21"/>
              </w:rPr>
              <w:t> </w:t>
            </w:r>
          </w:p>
        </w:tc>
        <w:tc>
          <w:tcPr>
            <w:tcW w:w="1243" w:type="dxa"/>
            <w:noWrap w:val="0"/>
            <w:vAlign w:val="center"/>
          </w:tcPr>
          <w:p>
            <w:pPr>
              <w:widowControl/>
              <w:jc w:val="center"/>
              <w:rPr>
                <w:rFonts w:hint="default" w:ascii="Calibri" w:hAnsi="Calibri" w:eastAsia="宋体"/>
                <w:color w:val="333333"/>
                <w:kern w:val="0"/>
                <w:sz w:val="21"/>
                <w:szCs w:val="21"/>
                <w:lang w:val="en-US" w:eastAsia="zh-CN" w:bidi="ar-SA"/>
              </w:rPr>
            </w:pPr>
            <w:r>
              <w:rPr>
                <w:rFonts w:ascii="Calibri" w:hAnsi="Calibri"/>
                <w:color w:val="333333"/>
                <w:kern w:val="0"/>
                <w:szCs w:val="21"/>
              </w:rPr>
              <w:t> </w:t>
            </w:r>
            <w:r>
              <w:rPr>
                <w:rFonts w:hint="eastAsia" w:ascii="Calibri" w:hAnsi="Calibri"/>
                <w:color w:val="333333"/>
                <w:kern w:val="0"/>
                <w:szCs w:val="21"/>
                <w:lang w:val="en-US" w:eastAsia="zh-CN"/>
              </w:rPr>
              <w:t>50%折扣</w:t>
            </w:r>
          </w:p>
        </w:tc>
        <w:tc>
          <w:tcPr>
            <w:tcW w:w="709"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FF0000"/>
                <w:sz w:val="24"/>
                <w:szCs w:val="24"/>
              </w:rPr>
            </w:pPr>
            <w:r>
              <w:rPr>
                <w:rFonts w:ascii="Calibri" w:hAnsi="Calibri"/>
                <w:color w:val="333333"/>
                <w:kern w:val="0"/>
                <w:szCs w:val="21"/>
              </w:rPr>
              <w:t> </w:t>
            </w:r>
            <w:r>
              <w:rPr>
                <w:rFonts w:hint="eastAsia" w:ascii="Calibri" w:hAnsi="Calibri"/>
                <w:color w:val="333333"/>
                <w:kern w:val="0"/>
                <w:szCs w:val="21"/>
                <w:lang w:val="en-US" w:eastAsia="zh-CN"/>
              </w:rPr>
              <w:t>/</w:t>
            </w:r>
          </w:p>
        </w:tc>
      </w:tr>
    </w:tbl>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 投标供应商资格要求:</w:t>
      </w:r>
    </w:p>
    <w:p>
      <w:pPr>
        <w:keepNext w:val="0"/>
        <w:keepLines w:val="0"/>
        <w:pageBreakBefore w:val="0"/>
        <w:widowControl w:val="0"/>
        <w:numPr>
          <w:ilvl w:val="0"/>
          <w:numId w:val="3"/>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符合政府采购法第二十二条</w:t>
      </w:r>
      <w:r>
        <w:rPr>
          <w:rFonts w:hint="eastAsia" w:ascii="宋体" w:hAnsi="宋体" w:eastAsia="宋体" w:cs="宋体"/>
          <w:sz w:val="24"/>
          <w:szCs w:val="24"/>
          <w:lang w:eastAsia="zh-CN"/>
        </w:rPr>
        <w:t>，</w:t>
      </w:r>
      <w:r>
        <w:rPr>
          <w:rFonts w:hint="eastAsia" w:ascii="宋体" w:hAnsi="宋体" w:eastAsia="宋体" w:cs="宋体"/>
          <w:sz w:val="24"/>
          <w:szCs w:val="24"/>
        </w:rPr>
        <w:t>且未被“信用中国”（www.creditchina.gov.cn）、中国政府采购网（www.ccgp.gov.cn）列入失信被执行人、重大税收违法案件当事人名单、政府采购严重违法失信行为记录名单。 </w:t>
      </w:r>
    </w:p>
    <w:p>
      <w:pPr>
        <w:keepNext w:val="0"/>
        <w:keepLines w:val="0"/>
        <w:pageBreakBefore w:val="0"/>
        <w:widowControl w:val="0"/>
        <w:numPr>
          <w:ilvl w:val="0"/>
          <w:numId w:val="3"/>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完成</w:t>
      </w:r>
      <w:r>
        <w:rPr>
          <w:rFonts w:hint="eastAsia" w:ascii="宋体" w:hAnsi="宋体" w:eastAsia="宋体" w:cs="宋体"/>
          <w:sz w:val="24"/>
          <w:szCs w:val="24"/>
          <w:lang w:eastAsia="zh-CN"/>
        </w:rPr>
        <w:t>政采云平台正式供应商</w:t>
      </w:r>
      <w:r>
        <w:rPr>
          <w:rFonts w:hint="eastAsia" w:ascii="宋体" w:hAnsi="宋体" w:eastAsia="宋体" w:cs="宋体"/>
          <w:sz w:val="24"/>
          <w:szCs w:val="24"/>
        </w:rPr>
        <w:t>注册登记</w:t>
      </w:r>
      <w:r>
        <w:rPr>
          <w:rFonts w:hint="eastAsia" w:ascii="宋体" w:hAnsi="宋体" w:eastAsia="宋体" w:cs="宋体"/>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投标人须为</w:t>
      </w:r>
      <w:bookmarkStart w:id="13" w:name="_Hlk10463310"/>
      <w:r>
        <w:rPr>
          <w:rFonts w:hint="eastAsia" w:ascii="宋体" w:hAnsi="宋体" w:eastAsia="宋体" w:cs="宋体"/>
          <w:sz w:val="24"/>
          <w:szCs w:val="24"/>
        </w:rPr>
        <w:t>独立医学诊断中心实验室</w:t>
      </w:r>
      <w:bookmarkEnd w:id="13"/>
      <w:r>
        <w:rPr>
          <w:rFonts w:hint="eastAsia" w:ascii="宋体" w:hAnsi="宋体" w:eastAsia="宋体" w:cs="宋体"/>
          <w:sz w:val="24"/>
          <w:szCs w:val="24"/>
        </w:rPr>
        <w:t>，并具有有效的医疗机构执业许可证</w:t>
      </w:r>
      <w:r>
        <w:rPr>
          <w:rFonts w:hint="eastAsia" w:ascii="宋体" w:hAnsi="宋体" w:eastAsia="宋体" w:cs="宋体"/>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本次招标</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不接受</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sz w:val="24"/>
          <w:szCs w:val="24"/>
        </w:rPr>
        <w:t>联合体投标。</w:t>
      </w:r>
    </w:p>
    <w:p>
      <w:pPr>
        <w:keepNext w:val="0"/>
        <w:keepLines w:val="0"/>
        <w:pageBreakBefore w:val="0"/>
        <w:widowControl w:val="0"/>
        <w:numPr>
          <w:ilvl w:val="0"/>
          <w:numId w:val="3"/>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本次招标采用资格后审的审查方式，由采购人负责审查。</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五．投标获取采购文件</w:t>
      </w:r>
    </w:p>
    <w:p>
      <w:pPr>
        <w:keepNext w:val="0"/>
        <w:keepLines w:val="0"/>
        <w:pageBreakBefore w:val="0"/>
        <w:widowControl w:val="0"/>
        <w:numPr>
          <w:ilvl w:val="0"/>
          <w:numId w:val="4"/>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FF0000"/>
          <w:sz w:val="24"/>
          <w:szCs w:val="24"/>
        </w:rPr>
      </w:pPr>
      <w:bookmarkStart w:id="14" w:name="报名开始时间1"/>
      <w:r>
        <w:rPr>
          <w:rFonts w:hint="eastAsia" w:ascii="宋体" w:hAnsi="宋体" w:eastAsia="宋体" w:cs="宋体"/>
          <w:sz w:val="24"/>
          <w:szCs w:val="24"/>
        </w:rPr>
        <w:t>获取采购文件时间:</w:t>
      </w:r>
      <w:bookmarkEnd w:id="14"/>
      <w:r>
        <w:rPr>
          <w:rFonts w:hint="eastAsia" w:ascii="宋体" w:hAnsi="宋体" w:eastAsia="宋体" w:cs="宋体"/>
          <w:sz w:val="24"/>
          <w:szCs w:val="24"/>
          <w:lang w:eastAsia="zh-CN"/>
        </w:rPr>
        <w:t>2020年</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日上午9:30之前获取。</w:t>
      </w:r>
    </w:p>
    <w:p>
      <w:pPr>
        <w:keepNext w:val="0"/>
        <w:keepLines w:val="0"/>
        <w:pageBreakBefore w:val="0"/>
        <w:widowControl w:val="0"/>
        <w:numPr>
          <w:ilvl w:val="0"/>
          <w:numId w:val="4"/>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获取采购文件方式：供应商登陆政采云平台http://www.zcygov.cn/，在线申请获取采购文件（进入“项目采购”应用，在获取采购文件菜单中选择项目，申请获取采购文件）。</w:t>
      </w:r>
    </w:p>
    <w:p>
      <w:pPr>
        <w:keepNext w:val="0"/>
        <w:keepLines w:val="0"/>
        <w:pageBreakBefore w:val="0"/>
        <w:widowControl w:val="0"/>
        <w:numPr>
          <w:ilvl w:val="0"/>
          <w:numId w:val="4"/>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提示：</w:t>
      </w:r>
    </w:p>
    <w:p>
      <w:pPr>
        <w:keepNext w:val="0"/>
        <w:keepLines w:val="0"/>
        <w:pageBreakBefore w:val="0"/>
        <w:widowControl w:val="0"/>
        <w:numPr>
          <w:ilvl w:val="0"/>
          <w:numId w:val="5"/>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将拒绝接受</w:t>
      </w:r>
      <w:r>
        <w:rPr>
          <w:rFonts w:hint="eastAsia" w:ascii="宋体" w:hAnsi="宋体" w:eastAsia="宋体" w:cs="宋体"/>
          <w:sz w:val="24"/>
          <w:szCs w:val="24"/>
          <w:lang w:eastAsia="zh-CN"/>
        </w:rPr>
        <w:t>未</w:t>
      </w:r>
      <w:r>
        <w:rPr>
          <w:rFonts w:hint="eastAsia" w:ascii="宋体" w:hAnsi="宋体" w:eastAsia="宋体" w:cs="宋体"/>
          <w:sz w:val="24"/>
          <w:szCs w:val="24"/>
        </w:rPr>
        <w:t>获取采购文件供应商的投标文件。</w:t>
      </w:r>
    </w:p>
    <w:p>
      <w:pPr>
        <w:keepNext w:val="0"/>
        <w:keepLines w:val="0"/>
        <w:pageBreakBefore w:val="0"/>
        <w:widowControl w:val="0"/>
        <w:numPr>
          <w:ilvl w:val="0"/>
          <w:numId w:val="5"/>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招标文件及更正补充公告请自行登录浙江政府采购网或绍兴市上虞区公共资源交易中心网站，在采购公告页面中下载。</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、投标与开标注意事项：</w:t>
      </w:r>
    </w:p>
    <w:p>
      <w:pPr>
        <w:keepNext w:val="0"/>
        <w:keepLines w:val="0"/>
        <w:pageBreakBefore w:val="0"/>
        <w:widowControl w:val="0"/>
        <w:numPr>
          <w:ilvl w:val="0"/>
          <w:numId w:val="6"/>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本项目实行</w:t>
      </w:r>
      <w:r>
        <w:rPr>
          <w:rFonts w:hint="eastAsia" w:ascii="宋体" w:hAnsi="宋体" w:eastAsia="宋体" w:cs="宋体"/>
          <w:b/>
          <w:bCs/>
          <w:color w:val="FF0000"/>
          <w:sz w:val="24"/>
          <w:szCs w:val="24"/>
        </w:rPr>
        <w:t>网上投标</w:t>
      </w:r>
      <w:r>
        <w:rPr>
          <w:rFonts w:hint="eastAsia" w:ascii="宋体" w:hAnsi="宋体" w:eastAsia="宋体" w:cs="宋体"/>
          <w:color w:val="FF0000"/>
          <w:sz w:val="24"/>
          <w:szCs w:val="24"/>
        </w:rPr>
        <w:t>，采用电子投标文件</w:t>
      </w:r>
      <w:r>
        <w:rPr>
          <w:rFonts w:hint="eastAsia" w:ascii="宋体" w:hAnsi="宋体" w:eastAsia="宋体" w:cs="宋体"/>
          <w:color w:val="FF0000"/>
          <w:sz w:val="24"/>
          <w:szCs w:val="24"/>
          <w:lang w:eastAsia="zh-CN"/>
        </w:rPr>
        <w:t>，若供应商参与投标，自行承担投标一切费用。</w:t>
      </w:r>
    </w:p>
    <w:p>
      <w:pPr>
        <w:keepNext w:val="0"/>
        <w:keepLines w:val="0"/>
        <w:pageBreakBefore w:val="0"/>
        <w:widowControl w:val="0"/>
        <w:numPr>
          <w:ilvl w:val="0"/>
          <w:numId w:val="6"/>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标前准备：各供应商应在开标前应确保成为浙江省政府采购网正式注册入库供应商，并完成CA数字证书办理。因未注册入库、未办理CA数字证书等原因造成无法投标或投标失败等后果由供应商自行承担。</w:t>
      </w:r>
    </w:p>
    <w:p>
      <w:pPr>
        <w:autoSpaceDE w:val="0"/>
        <w:autoSpaceDN w:val="0"/>
        <w:spacing w:line="360" w:lineRule="auto"/>
        <w:ind w:firstLine="480" w:firstLineChars="200"/>
        <w:textAlignment w:val="bottom"/>
        <w:rPr>
          <w:rFonts w:hint="eastAsia" w:ascii="宋体" w:hAnsi="宋体" w:eastAsia="宋体" w:cs="宋体"/>
          <w:color w:val="FF0000"/>
          <w:sz w:val="24"/>
          <w:szCs w:val="21"/>
        </w:rPr>
      </w:pPr>
      <w:r>
        <w:rPr>
          <w:rFonts w:hint="eastAsia" w:ascii="宋体" w:hAnsi="宋体" w:eastAsia="宋体" w:cs="宋体"/>
          <w:color w:val="FF0000"/>
          <w:sz w:val="24"/>
          <w:szCs w:val="21"/>
        </w:rPr>
        <w:t>供应商将政采云电子交易客户端下载、安装完成后，可通过账号密码或CA登录客户端进行投标文件制作。在使用政采云投标客户端时，建议使用WIN7及以上操作系统。</w:t>
      </w:r>
    </w:p>
    <w:p>
      <w:pPr>
        <w:autoSpaceDE w:val="0"/>
        <w:autoSpaceDN w:val="0"/>
        <w:spacing w:line="360" w:lineRule="auto"/>
        <w:ind w:firstLine="480" w:firstLineChars="200"/>
        <w:textAlignment w:val="bottom"/>
        <w:rPr>
          <w:rFonts w:hint="eastAsia" w:ascii="宋体" w:hAnsi="宋体" w:eastAsia="宋体" w:cs="宋体"/>
          <w:color w:val="FF0000"/>
          <w:sz w:val="24"/>
          <w:szCs w:val="21"/>
        </w:rPr>
      </w:pPr>
      <w:r>
        <w:rPr>
          <w:rFonts w:hint="eastAsia" w:ascii="宋体" w:hAnsi="宋体" w:eastAsia="宋体" w:cs="宋体"/>
          <w:color w:val="FF0000"/>
          <w:sz w:val="24"/>
          <w:szCs w:val="21"/>
        </w:rPr>
        <w:t>注：供应商先要申领CA，取得CA后需要在政采云平台进行绑定，CA相关操作可参考《CA申领操作指南》和《CA管理操作指南》。完成CA数字证书办理在资料齐全的情况下预计7个工作日左右，建议供应商获取招标文件后立即办理。</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200"/>
        <w:textAlignment w:val="auto"/>
        <w:rPr>
          <w:rFonts w:hint="eastAsia" w:ascii="宋体" w:hAnsi="宋体" w:eastAsia="宋体" w:cs="宋体"/>
          <w:color w:val="FF0000"/>
          <w:sz w:val="24"/>
          <w:szCs w:val="21"/>
        </w:rPr>
      </w:pPr>
      <w:r>
        <w:rPr>
          <w:rFonts w:hint="eastAsia" w:ascii="宋体" w:hAnsi="宋体" w:eastAsia="宋体" w:cs="宋体"/>
          <w:color w:val="FF0000"/>
          <w:sz w:val="24"/>
          <w:szCs w:val="21"/>
        </w:rPr>
        <w:t>《CA申领操作指南》：</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200"/>
        <w:textAlignment w:val="auto"/>
        <w:rPr>
          <w:rFonts w:hint="eastAsia" w:ascii="宋体" w:hAnsi="宋体" w:eastAsia="宋体" w:cs="宋体"/>
          <w:color w:val="FF0000"/>
          <w:sz w:val="24"/>
          <w:szCs w:val="21"/>
          <w:lang w:val="en-US" w:eastAsia="zh-CN"/>
        </w:rPr>
      </w:pPr>
      <w:r>
        <w:rPr>
          <w:rFonts w:hint="eastAsia" w:ascii="宋体" w:hAnsi="宋体" w:eastAsia="宋体" w:cs="宋体"/>
          <w:color w:val="FF0000"/>
          <w:sz w:val="24"/>
          <w:szCs w:val="21"/>
        </w:rPr>
        <w:fldChar w:fldCharType="begin"/>
      </w:r>
      <w:r>
        <w:rPr>
          <w:rFonts w:hint="eastAsia" w:ascii="宋体" w:hAnsi="宋体" w:eastAsia="宋体" w:cs="宋体"/>
          <w:color w:val="FF0000"/>
          <w:sz w:val="24"/>
          <w:szCs w:val="21"/>
        </w:rPr>
        <w:instrText xml:space="preserve"> HYPERLINK "https://help.zcygov.cn/web/site_2/2018/11-29/2452.html" </w:instrText>
      </w:r>
      <w:r>
        <w:rPr>
          <w:rFonts w:hint="eastAsia" w:ascii="宋体" w:hAnsi="宋体" w:eastAsia="宋体" w:cs="宋体"/>
          <w:color w:val="FF0000"/>
          <w:sz w:val="24"/>
          <w:szCs w:val="21"/>
        </w:rPr>
        <w:fldChar w:fldCharType="separate"/>
      </w:r>
      <w:r>
        <w:rPr>
          <w:rFonts w:hint="eastAsia" w:ascii="宋体" w:hAnsi="宋体" w:eastAsia="宋体" w:cs="宋体"/>
          <w:color w:val="FF0000"/>
          <w:sz w:val="24"/>
          <w:szCs w:val="21"/>
        </w:rPr>
        <w:t>https://help.zcygov.cn/web/site_2/2018/11-29/2452.html</w:t>
      </w:r>
      <w:r>
        <w:rPr>
          <w:rFonts w:hint="eastAsia" w:ascii="宋体" w:hAnsi="宋体" w:eastAsia="宋体" w:cs="宋体"/>
          <w:color w:val="FF0000"/>
          <w:sz w:val="24"/>
          <w:szCs w:val="21"/>
        </w:rPr>
        <w:fldChar w:fldCharType="end"/>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200"/>
        <w:textAlignment w:val="auto"/>
        <w:rPr>
          <w:rFonts w:hint="eastAsia" w:ascii="宋体" w:hAnsi="宋体" w:eastAsia="宋体" w:cs="宋体"/>
          <w:color w:val="FF0000"/>
          <w:sz w:val="24"/>
          <w:szCs w:val="21"/>
        </w:rPr>
      </w:pPr>
      <w:r>
        <w:rPr>
          <w:rFonts w:hint="eastAsia" w:ascii="宋体" w:hAnsi="宋体" w:eastAsia="宋体" w:cs="宋体"/>
          <w:color w:val="FF0000"/>
          <w:sz w:val="24"/>
          <w:szCs w:val="21"/>
        </w:rPr>
        <w:t>《CA管理操作指南》：</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200"/>
        <w:textAlignment w:val="auto"/>
        <w:rPr>
          <w:rFonts w:hint="eastAsia" w:ascii="宋体" w:hAnsi="宋体" w:eastAsia="宋体" w:cs="宋体"/>
          <w:color w:val="FF0000"/>
          <w:sz w:val="24"/>
          <w:szCs w:val="21"/>
        </w:rPr>
      </w:pPr>
      <w:r>
        <w:rPr>
          <w:rFonts w:hint="eastAsia" w:ascii="宋体" w:hAnsi="宋体" w:eastAsia="宋体" w:cs="宋体"/>
          <w:color w:val="FF0000"/>
          <w:sz w:val="24"/>
          <w:szCs w:val="21"/>
        </w:rPr>
        <w:fldChar w:fldCharType="begin"/>
      </w:r>
      <w:r>
        <w:rPr>
          <w:rFonts w:hint="eastAsia" w:ascii="宋体" w:hAnsi="宋体" w:eastAsia="宋体" w:cs="宋体"/>
          <w:color w:val="FF0000"/>
          <w:sz w:val="24"/>
          <w:szCs w:val="21"/>
        </w:rPr>
        <w:instrText xml:space="preserve"> HYPERLINK "https://help.zcygov.cn/web/site_2/2019/08-20/3405.html" </w:instrText>
      </w:r>
      <w:r>
        <w:rPr>
          <w:rFonts w:hint="eastAsia" w:ascii="宋体" w:hAnsi="宋体" w:eastAsia="宋体" w:cs="宋体"/>
          <w:color w:val="FF0000"/>
          <w:sz w:val="24"/>
          <w:szCs w:val="21"/>
        </w:rPr>
        <w:fldChar w:fldCharType="separate"/>
      </w:r>
      <w:r>
        <w:rPr>
          <w:rFonts w:hint="eastAsia" w:ascii="宋体" w:hAnsi="宋体" w:eastAsia="宋体" w:cs="宋体"/>
          <w:color w:val="FF0000"/>
          <w:sz w:val="24"/>
          <w:szCs w:val="21"/>
        </w:rPr>
        <w:t>https://help.zcygov.cn/web/site_2/2019/08-20/3405.html</w:t>
      </w:r>
      <w:r>
        <w:rPr>
          <w:rFonts w:hint="eastAsia" w:ascii="宋体" w:hAnsi="宋体" w:eastAsia="宋体" w:cs="宋体"/>
          <w:color w:val="FF0000"/>
          <w:sz w:val="24"/>
          <w:szCs w:val="21"/>
        </w:rPr>
        <w:fldChar w:fldCharType="end"/>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200"/>
        <w:textAlignment w:val="auto"/>
        <w:rPr>
          <w:rFonts w:hint="eastAsia" w:ascii="宋体" w:hAnsi="宋体" w:eastAsia="宋体" w:cs="宋体"/>
          <w:color w:val="FF0000"/>
          <w:sz w:val="24"/>
          <w:szCs w:val="21"/>
        </w:rPr>
      </w:pPr>
      <w:r>
        <w:rPr>
          <w:rFonts w:hint="eastAsia" w:ascii="宋体" w:hAnsi="宋体" w:eastAsia="宋体" w:cs="宋体"/>
          <w:color w:val="FF0000"/>
          <w:sz w:val="24"/>
          <w:szCs w:val="21"/>
        </w:rPr>
        <w:t>《CA驱动和申领流程》:</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1"/>
        </w:rPr>
        <w:fldChar w:fldCharType="begin"/>
      </w:r>
      <w:r>
        <w:rPr>
          <w:rFonts w:hint="eastAsia" w:ascii="宋体" w:hAnsi="宋体" w:eastAsia="宋体" w:cs="宋体"/>
          <w:color w:val="FF0000"/>
          <w:sz w:val="24"/>
          <w:szCs w:val="21"/>
        </w:rPr>
        <w:instrText xml:space="preserve"> HYPERLINK "http://zfcg.czt.zj.gov.cn/bidClientTemplate/2019-05-27/12945.html" </w:instrText>
      </w:r>
      <w:r>
        <w:rPr>
          <w:rFonts w:hint="eastAsia" w:ascii="宋体" w:hAnsi="宋体" w:eastAsia="宋体" w:cs="宋体"/>
          <w:color w:val="FF0000"/>
          <w:sz w:val="24"/>
          <w:szCs w:val="21"/>
        </w:rPr>
        <w:fldChar w:fldCharType="separate"/>
      </w:r>
      <w:r>
        <w:rPr>
          <w:rFonts w:hint="eastAsia" w:ascii="宋体" w:hAnsi="宋体" w:eastAsia="宋体" w:cs="宋体"/>
          <w:color w:val="FF0000"/>
          <w:sz w:val="24"/>
          <w:szCs w:val="21"/>
        </w:rPr>
        <w:t>http://zfcg.czt.zj.gov.cn/bidClientTemplate/2019-05-27/12945.html</w:t>
      </w:r>
      <w:r>
        <w:rPr>
          <w:rFonts w:hint="eastAsia" w:ascii="宋体" w:hAnsi="宋体" w:eastAsia="宋体" w:cs="宋体"/>
          <w:color w:val="FF0000"/>
          <w:sz w:val="24"/>
          <w:szCs w:val="21"/>
        </w:rPr>
        <w:fldChar w:fldCharType="end"/>
      </w:r>
    </w:p>
    <w:p>
      <w:pPr>
        <w:keepNext w:val="0"/>
        <w:keepLines w:val="0"/>
        <w:pageBreakBefore w:val="0"/>
        <w:widowControl w:val="0"/>
        <w:numPr>
          <w:ilvl w:val="0"/>
          <w:numId w:val="6"/>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投标文件制作：</w:t>
      </w:r>
    </w:p>
    <w:p>
      <w:pPr>
        <w:keepNext w:val="0"/>
        <w:keepLines w:val="0"/>
        <w:pageBreakBefore w:val="0"/>
        <w:widowControl w:val="0"/>
        <w:numPr>
          <w:ilvl w:val="0"/>
          <w:numId w:val="7"/>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b w:val="0"/>
          <w:bCs w:val="0"/>
          <w:color w:val="FF0000"/>
          <w:sz w:val="24"/>
          <w:szCs w:val="24"/>
        </w:rPr>
      </w:pPr>
      <w:r>
        <w:rPr>
          <w:rFonts w:hint="eastAsia" w:ascii="宋体" w:hAnsi="宋体" w:eastAsia="宋体" w:cs="宋体"/>
          <w:color w:val="FF0000"/>
          <w:sz w:val="24"/>
          <w:szCs w:val="24"/>
        </w:rPr>
        <w:t>应按照本项目招标文件和政采云平台的要求编制、加密并递交投标文件。供应商在使用系统进行投标的过程中遇到涉及平台使用的任何问题，可致电政采云平台技术支持热</w:t>
      </w:r>
      <w:r>
        <w:rPr>
          <w:rFonts w:hint="eastAsia" w:ascii="宋体" w:hAnsi="宋体" w:eastAsia="宋体" w:cs="宋体"/>
          <w:b w:val="0"/>
          <w:bCs w:val="0"/>
          <w:color w:val="FF0000"/>
          <w:sz w:val="24"/>
          <w:szCs w:val="24"/>
        </w:rPr>
        <w:t>线咨询，联系方式：400-881-7190。</w:t>
      </w:r>
    </w:p>
    <w:p>
      <w:pPr>
        <w:keepNext w:val="0"/>
        <w:keepLines w:val="0"/>
        <w:pageBreakBefore w:val="0"/>
        <w:widowControl w:val="0"/>
        <w:numPr>
          <w:ilvl w:val="0"/>
          <w:numId w:val="7"/>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FF0000"/>
          <w:sz w:val="24"/>
          <w:szCs w:val="24"/>
        </w:rPr>
      </w:pPr>
      <w:r>
        <w:rPr>
          <w:rFonts w:hint="eastAsia" w:ascii="宋体" w:hAnsi="宋体" w:eastAsia="宋体" w:cs="宋体"/>
          <w:b w:val="0"/>
          <w:bCs w:val="0"/>
          <w:color w:val="FF0000"/>
          <w:sz w:val="24"/>
          <w:szCs w:val="24"/>
        </w:rPr>
        <w:t>投标人通过“政采云”平台电子</w:t>
      </w:r>
      <w:r>
        <w:rPr>
          <w:rFonts w:hint="eastAsia" w:ascii="宋体" w:hAnsi="宋体" w:eastAsia="宋体" w:cs="宋体"/>
          <w:color w:val="FF0000"/>
          <w:sz w:val="24"/>
          <w:szCs w:val="24"/>
        </w:rPr>
        <w:t>投标工具制作投标文件</w:t>
      </w:r>
      <w:r>
        <w:rPr>
          <w:rFonts w:hint="eastAsia" w:ascii="宋体" w:hAnsi="宋体" w:eastAsia="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eastAsia="zh-CN"/>
        </w:rPr>
        <w:t>《电子投标工具》：</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eastAsia="zh-CN"/>
        </w:rPr>
        <w:fldChar w:fldCharType="begin"/>
      </w:r>
      <w:r>
        <w:rPr>
          <w:rFonts w:hint="eastAsia" w:ascii="宋体" w:hAnsi="宋体" w:eastAsia="宋体" w:cs="宋体"/>
          <w:color w:val="FF0000"/>
          <w:sz w:val="24"/>
          <w:szCs w:val="24"/>
          <w:lang w:eastAsia="zh-CN"/>
        </w:rPr>
        <w:instrText xml:space="preserve"> HYPERLINK "http://zfcg.czt.zj.gov.cn/bidClientTemplate/2019-09-24/12975.html" </w:instrText>
      </w:r>
      <w:r>
        <w:rPr>
          <w:rFonts w:hint="eastAsia" w:ascii="宋体" w:hAnsi="宋体" w:eastAsia="宋体" w:cs="宋体"/>
          <w:color w:val="FF0000"/>
          <w:sz w:val="24"/>
          <w:szCs w:val="24"/>
          <w:lang w:eastAsia="zh-CN"/>
        </w:rPr>
        <w:fldChar w:fldCharType="separate"/>
      </w:r>
      <w:r>
        <w:rPr>
          <w:rFonts w:hint="eastAsia" w:ascii="宋体" w:hAnsi="宋体" w:eastAsia="宋体" w:cs="宋体"/>
          <w:color w:val="FF0000"/>
          <w:sz w:val="24"/>
          <w:szCs w:val="24"/>
          <w:lang w:eastAsia="zh-CN"/>
        </w:rPr>
        <w:t>http://zfcg.czt.zj.gov.cn/bidClientTemplate/2019-09-24/12975.html</w:t>
      </w:r>
      <w:r>
        <w:rPr>
          <w:rFonts w:hint="eastAsia" w:ascii="宋体" w:hAnsi="宋体" w:eastAsia="宋体" w:cs="宋体"/>
          <w:color w:val="FF0000"/>
          <w:sz w:val="24"/>
          <w:szCs w:val="24"/>
          <w:lang w:eastAsia="zh-CN"/>
        </w:rPr>
        <w:fldChar w:fldCharType="end"/>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eastAsia="zh-CN"/>
        </w:rPr>
        <w:t>《供应商-政府采购项目电子交易操作指南》：</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eastAsia="zh-CN"/>
        </w:rPr>
        <w:fldChar w:fldCharType="begin"/>
      </w:r>
      <w:r>
        <w:rPr>
          <w:rFonts w:hint="eastAsia" w:ascii="宋体" w:hAnsi="宋体" w:eastAsia="宋体" w:cs="宋体"/>
          <w:color w:val="FF0000"/>
          <w:sz w:val="24"/>
          <w:szCs w:val="24"/>
          <w:lang w:eastAsia="zh-CN"/>
        </w:rPr>
        <w:instrText xml:space="preserve"> HYPERLINK "https://help.zcygov.cn/web/site_2/2020/12-28/2573.html" </w:instrText>
      </w:r>
      <w:r>
        <w:rPr>
          <w:rFonts w:hint="eastAsia" w:ascii="宋体" w:hAnsi="宋体" w:eastAsia="宋体" w:cs="宋体"/>
          <w:color w:val="FF0000"/>
          <w:sz w:val="24"/>
          <w:szCs w:val="24"/>
          <w:lang w:eastAsia="zh-CN"/>
        </w:rPr>
        <w:fldChar w:fldCharType="separate"/>
      </w:r>
      <w:r>
        <w:rPr>
          <w:rFonts w:hint="eastAsia" w:ascii="宋体" w:hAnsi="宋体" w:eastAsia="宋体" w:cs="宋体"/>
          <w:color w:val="FF0000"/>
          <w:sz w:val="24"/>
          <w:szCs w:val="24"/>
          <w:lang w:eastAsia="zh-CN"/>
        </w:rPr>
        <w:t>https://help.zcygov.cn/web/site_2/2018/12-28/2573.html</w:t>
      </w:r>
      <w:r>
        <w:rPr>
          <w:rFonts w:hint="eastAsia" w:ascii="宋体" w:hAnsi="宋体" w:eastAsia="宋体" w:cs="宋体"/>
          <w:color w:val="FF0000"/>
          <w:sz w:val="24"/>
          <w:szCs w:val="24"/>
          <w:lang w:eastAsia="zh-CN"/>
        </w:rPr>
        <w:fldChar w:fldCharType="end"/>
      </w:r>
    </w:p>
    <w:p>
      <w:pPr>
        <w:keepNext w:val="0"/>
        <w:keepLines w:val="0"/>
        <w:pageBreakBefore w:val="0"/>
        <w:widowControl w:val="0"/>
        <w:kinsoku/>
        <w:wordWrap/>
        <w:overflowPunct/>
        <w:topLinePunct w:val="0"/>
        <w:autoSpaceDE/>
        <w:autoSpaceDN/>
        <w:bidi w:val="0"/>
        <w:adjustRightInd w:val="0"/>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、投标截止时间及要求：</w:t>
      </w:r>
      <w:r>
        <w:rPr>
          <w:rFonts w:hint="eastAsia" w:ascii="宋体" w:hAnsi="宋体" w:eastAsia="宋体" w:cs="宋体"/>
          <w:sz w:val="24"/>
          <w:szCs w:val="24"/>
          <w:u w:val="single"/>
        </w:rPr>
        <w:t xml:space="preserve"> 2020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10 </w:t>
      </w:r>
      <w:r>
        <w:rPr>
          <w:rFonts w:hint="eastAsia" w:ascii="宋体" w:hAnsi="宋体" w:eastAsia="宋体" w:cs="宋体"/>
          <w:sz w:val="24"/>
          <w:szCs w:val="24"/>
        </w:rPr>
        <w:t>日 上 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9</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分整</w:t>
      </w:r>
      <w:r>
        <w:rPr>
          <w:rFonts w:hint="eastAsia" w:ascii="宋体" w:hAnsi="宋体" w:eastAsia="宋体" w:cs="宋体"/>
          <w:bCs/>
          <w:color w:val="000000"/>
          <w:kern w:val="0"/>
          <w:sz w:val="24"/>
          <w:szCs w:val="24"/>
        </w:rPr>
        <w:t>之前将电子投标文件上传到“政采云”平台。</w:t>
      </w:r>
    </w:p>
    <w:p>
      <w:pPr>
        <w:keepNext w:val="0"/>
        <w:keepLines w:val="0"/>
        <w:pageBreakBefore w:val="0"/>
        <w:widowControl w:val="0"/>
        <w:kinsoku/>
        <w:wordWrap/>
        <w:overflowPunct/>
        <w:topLinePunct w:val="0"/>
        <w:autoSpaceDE/>
        <w:autoSpaceDN/>
        <w:bidi w:val="0"/>
        <w:adjustRightInd w:val="0"/>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lang w:eastAsia="zh-CN"/>
        </w:rPr>
        <w:t>八</w:t>
      </w:r>
      <w:r>
        <w:rPr>
          <w:rFonts w:hint="eastAsia" w:ascii="宋体" w:hAnsi="宋体" w:eastAsia="宋体" w:cs="宋体"/>
          <w:b/>
          <w:sz w:val="24"/>
          <w:szCs w:val="24"/>
        </w:rPr>
        <w:t>、开标时间及地点：</w:t>
      </w:r>
      <w:r>
        <w:rPr>
          <w:rFonts w:hint="eastAsia" w:ascii="宋体" w:hAnsi="宋体" w:eastAsia="宋体" w:cs="宋体"/>
          <w:sz w:val="24"/>
          <w:szCs w:val="24"/>
          <w:u w:val="single"/>
        </w:rPr>
        <w:t xml:space="preserve"> 2020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6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10 </w:t>
      </w:r>
      <w:r>
        <w:rPr>
          <w:rFonts w:hint="eastAsia" w:ascii="宋体" w:hAnsi="宋体" w:eastAsia="宋体" w:cs="宋体"/>
          <w:sz w:val="24"/>
          <w:szCs w:val="24"/>
        </w:rPr>
        <w:t>日 上 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9</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bookmarkStart w:id="15" w:name="B30_开标地点"/>
      <w:r>
        <w:rPr>
          <w:rFonts w:hint="eastAsia" w:ascii="宋体" w:hAnsi="宋体" w:eastAsia="宋体" w:cs="宋体"/>
          <w:sz w:val="24"/>
          <w:szCs w:val="24"/>
        </w:rPr>
        <w:t>整在绍兴市</w:t>
      </w:r>
      <w:r>
        <w:rPr>
          <w:rFonts w:hint="eastAsia" w:ascii="宋体" w:hAnsi="宋体" w:eastAsia="宋体" w:cs="宋体"/>
          <w:sz w:val="24"/>
          <w:szCs w:val="24"/>
          <w:lang w:eastAsia="zh-CN"/>
        </w:rPr>
        <w:t>上虞区</w:t>
      </w:r>
      <w:r>
        <w:rPr>
          <w:rFonts w:hint="eastAsia" w:ascii="宋体" w:hAnsi="宋体" w:eastAsia="宋体" w:cs="宋体"/>
          <w:sz w:val="24"/>
          <w:szCs w:val="24"/>
        </w:rPr>
        <w:t>公共资源交易中心三楼</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375 </w:t>
      </w:r>
      <w:r>
        <w:rPr>
          <w:rFonts w:hint="eastAsia" w:ascii="宋体" w:hAnsi="宋体" w:eastAsia="宋体" w:cs="宋体"/>
          <w:sz w:val="24"/>
          <w:szCs w:val="24"/>
          <w:lang w:eastAsia="zh-CN"/>
        </w:rPr>
        <w:t>开标</w:t>
      </w:r>
      <w:r>
        <w:rPr>
          <w:rFonts w:hint="eastAsia" w:ascii="宋体" w:hAnsi="宋体" w:eastAsia="宋体" w:cs="宋体"/>
          <w:sz w:val="24"/>
          <w:szCs w:val="24"/>
        </w:rPr>
        <w:t>室开标。</w:t>
      </w:r>
      <w:bookmarkEnd w:id="15"/>
    </w:p>
    <w:p>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开标时间后45分钟内（2020年 6 月 10 日 10 : 15 前）供应商可以登录“政采云”平台，用“项目采购-开标评标”功能进行解密投标文件。若供应商在规定时间内（2020年 6 月 10 日 10 : 15 前）解密失败，则由采购代理机构工作人员上传投标人提供的备份文件。备份文件</w:t>
      </w:r>
      <w:r>
        <w:rPr>
          <w:rFonts w:hint="eastAsia" w:hAnsi="宋体" w:eastAsia="宋体" w:cs="宋体"/>
          <w:kern w:val="2"/>
          <w:sz w:val="24"/>
          <w:szCs w:val="24"/>
          <w:lang w:val="en-US" w:eastAsia="zh-CN" w:bidi="ar-SA"/>
        </w:rPr>
        <w:t>（后缀名为</w:t>
      </w:r>
      <w:r>
        <w:rPr>
          <w:rFonts w:hint="eastAsia" w:ascii="宋体" w:hAnsi="宋体" w:eastAsia="宋体" w:cs="宋体"/>
          <w:kern w:val="2"/>
          <w:sz w:val="24"/>
          <w:szCs w:val="24"/>
          <w:lang w:val="en-US" w:eastAsia="zh-CN" w:bidi="ar-SA"/>
        </w:rPr>
        <w:t>.bfbs</w:t>
      </w:r>
      <w:r>
        <w:rPr>
          <w:rFonts w:hint="eastAsia"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须存储在U盘中，与上传的电子投标文件一致，用信封进行密封并盖章</w:t>
      </w:r>
      <w:r>
        <w:rPr>
          <w:rFonts w:hint="eastAsia" w:hAnsi="宋体" w:eastAsia="宋体" w:cs="宋体"/>
          <w:kern w:val="2"/>
          <w:sz w:val="24"/>
          <w:szCs w:val="24"/>
          <w:lang w:val="en-US" w:eastAsia="zh-CN" w:bidi="ar-SA"/>
        </w:rPr>
        <w:t>，由授权代表在投标截止时间前递交至开标地点。</w:t>
      </w:r>
      <w:r>
        <w:rPr>
          <w:rFonts w:hint="eastAsia" w:ascii="宋体" w:hAnsi="宋体" w:eastAsia="宋体" w:cs="宋体"/>
          <w:sz w:val="24"/>
          <w:szCs w:val="24"/>
        </w:rPr>
        <w:t>若电子投标文件正常解锁，则U盘退还给供应商；若解锁失败，则由采购代理机构将U盘中的备份文件上传，该U盘将由采购代理机构保存。</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color w:val="auto"/>
          <w:sz w:val="24"/>
          <w:szCs w:val="24"/>
        </w:rPr>
        <w:t>本次开标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提供现场视频。</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九</w:t>
      </w:r>
      <w:r>
        <w:rPr>
          <w:rFonts w:hint="eastAsia" w:ascii="宋体" w:hAnsi="宋体" w:eastAsia="宋体" w:cs="宋体"/>
          <w:sz w:val="24"/>
          <w:szCs w:val="24"/>
        </w:rPr>
        <w:t>． 投标保证金：无</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十．公告期限：5个工作日</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．其他事项：</w:t>
      </w:r>
    </w:p>
    <w:p>
      <w:pPr>
        <w:keepNext w:val="0"/>
        <w:keepLines w:val="0"/>
        <w:pageBreakBefore w:val="0"/>
        <w:widowControl w:val="0"/>
        <w:numPr>
          <w:ilvl w:val="0"/>
          <w:numId w:val="8"/>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认为采购文件使自己的权益受到损害的，可以在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否则质疑将不予受理。</w:t>
      </w:r>
      <w:bookmarkStart w:id="16" w:name="B31_其他事项"/>
    </w:p>
    <w:bookmarkEnd w:id="16"/>
    <w:p>
      <w:pPr>
        <w:keepNext w:val="0"/>
        <w:keepLines w:val="0"/>
        <w:pageBreakBefore w:val="0"/>
        <w:widowControl w:val="0"/>
        <w:numPr>
          <w:ilvl w:val="0"/>
          <w:numId w:val="8"/>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投标人可指派授权代表递交备份文件，授权代表递交备份文件需携带法定代表人授权书原件，于投标截止时间前到达开标地点递交。</w:t>
      </w:r>
    </w:p>
    <w:p>
      <w:pPr>
        <w:keepNext w:val="0"/>
        <w:keepLines w:val="0"/>
        <w:pageBreakBefore w:val="0"/>
        <w:widowControl w:val="0"/>
        <w:numPr>
          <w:ilvl w:val="0"/>
          <w:numId w:val="8"/>
        </w:numPr>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特别提醒</w:t>
      </w:r>
    </w:p>
    <w:p>
      <w:pPr>
        <w:keepNext w:val="0"/>
        <w:keepLines w:val="0"/>
        <w:pageBreakBefore w:val="0"/>
        <w:widowControl w:val="0"/>
        <w:numPr>
          <w:ilvl w:val="0"/>
          <w:numId w:val="9"/>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单位负责人为同一人或者存在直接控股、管理关系的不同供应商，不得参加同一合同项下的政府采购活动。</w:t>
      </w:r>
    </w:p>
    <w:p>
      <w:pPr>
        <w:keepNext w:val="0"/>
        <w:keepLines w:val="0"/>
        <w:pageBreakBefore w:val="0"/>
        <w:widowControl w:val="0"/>
        <w:numPr>
          <w:ilvl w:val="0"/>
          <w:numId w:val="9"/>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二</w:t>
      </w:r>
      <w:r>
        <w:rPr>
          <w:rFonts w:hint="eastAsia" w:ascii="宋体" w:hAnsi="宋体" w:eastAsia="宋体" w:cs="宋体"/>
          <w:sz w:val="24"/>
          <w:szCs w:val="24"/>
        </w:rPr>
        <w:t>．联系方式：</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1、采购代理机构名称：绍兴市上虞区公共资源交易中心</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联系人：卢女士</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联系电话：0575-82398111</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传真：0575-82398102</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地址：浙江省绍兴市上虞区便民服务中心三楼</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2、采购人名称：</w:t>
      </w:r>
      <w:r>
        <w:rPr>
          <w:rFonts w:hint="eastAsia" w:ascii="宋体" w:hAnsi="宋体" w:eastAsia="宋体" w:cs="宋体"/>
          <w:sz w:val="24"/>
          <w:szCs w:val="24"/>
          <w:lang w:eastAsia="zh-CN"/>
        </w:rPr>
        <w:t>绍兴市上虞人民医院</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阮美英</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057582185561</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传真：</w:t>
      </w:r>
      <w:r>
        <w:rPr>
          <w:rFonts w:hint="eastAsia" w:ascii="宋体" w:hAnsi="宋体" w:eastAsia="宋体" w:cs="宋体"/>
          <w:sz w:val="24"/>
          <w:szCs w:val="24"/>
          <w:lang w:eastAsia="zh-CN"/>
        </w:rPr>
        <w:t>无</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eastAsia="zh-CN"/>
        </w:rPr>
        <w:t>上虞百官市民大道</w:t>
      </w:r>
      <w:r>
        <w:rPr>
          <w:rFonts w:hint="eastAsia" w:ascii="宋体" w:hAnsi="宋体" w:eastAsia="宋体" w:cs="宋体"/>
          <w:sz w:val="24"/>
          <w:szCs w:val="24"/>
          <w:lang w:val="en-US" w:eastAsia="zh-CN"/>
        </w:rPr>
        <w:t>517号</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3、同级政府采购监督管理部门名称：上虞区财政局政府采购监管科</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联系人：许女士</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监督投诉电话：0575-82130212</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传真：0575-82130212</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地址：绍兴市上虞区体育场路18号</w:t>
      </w: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br w:type="page"/>
      </w:r>
      <w:bookmarkStart w:id="17" w:name="_Toc18469"/>
      <w:r>
        <w:rPr>
          <w:rFonts w:hint="eastAsia" w:ascii="宋体" w:hAnsi="宋体" w:eastAsia="宋体" w:cs="宋体"/>
          <w:b/>
          <w:sz w:val="36"/>
          <w:szCs w:val="20"/>
        </w:rPr>
        <w:t>第二部分</w:t>
      </w:r>
      <w:bookmarkEnd w:id="9"/>
      <w:r>
        <w:rPr>
          <w:rFonts w:hint="eastAsia" w:ascii="宋体" w:hAnsi="宋体" w:eastAsia="宋体" w:cs="宋体"/>
          <w:b/>
          <w:sz w:val="36"/>
          <w:szCs w:val="20"/>
        </w:rPr>
        <w:t xml:space="preserve"> </w:t>
      </w:r>
      <w:bookmarkEnd w:id="10"/>
      <w:r>
        <w:rPr>
          <w:rFonts w:hint="eastAsia" w:ascii="宋体" w:hAnsi="宋体" w:eastAsia="宋体" w:cs="宋体"/>
          <w:b/>
          <w:sz w:val="36"/>
          <w:szCs w:val="20"/>
          <w:lang w:val="en-US" w:eastAsia="zh-CN"/>
        </w:rPr>
        <w:t>投标</w:t>
      </w:r>
      <w:r>
        <w:rPr>
          <w:rFonts w:hint="eastAsia" w:ascii="宋体" w:hAnsi="宋体" w:eastAsia="宋体" w:cs="宋体"/>
          <w:b/>
          <w:sz w:val="36"/>
          <w:szCs w:val="20"/>
        </w:rPr>
        <w:t>须知</w:t>
      </w:r>
      <w:bookmarkEnd w:id="17"/>
    </w:p>
    <w:p>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center"/>
        <w:textAlignment w:val="auto"/>
        <w:rPr>
          <w:rFonts w:hint="eastAsia" w:ascii="宋体" w:hAnsi="宋体" w:eastAsia="宋体" w:cs="宋体"/>
          <w:b/>
          <w:snapToGrid w:val="0"/>
          <w:kern w:val="0"/>
          <w:sz w:val="32"/>
          <w:szCs w:val="32"/>
        </w:rPr>
      </w:pPr>
      <w:r>
        <w:rPr>
          <w:rFonts w:hint="eastAsia" w:ascii="宋体" w:hAnsi="宋体" w:eastAsia="宋体" w:cs="宋体"/>
          <w:b/>
          <w:snapToGrid w:val="0"/>
          <w:kern w:val="0"/>
          <w:sz w:val="30"/>
          <w:szCs w:val="30"/>
        </w:rPr>
        <w:t>前附表</w:t>
      </w:r>
    </w:p>
    <w:tbl>
      <w:tblPr>
        <w:tblStyle w:val="28"/>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noWrap w:val="0"/>
            <w:vAlign w:val="center"/>
          </w:tcPr>
          <w:p>
            <w:pPr>
              <w:snapToGrid w:val="0"/>
              <w:spacing w:line="360" w:lineRule="exact"/>
              <w:jc w:val="center"/>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序号</w:t>
            </w:r>
          </w:p>
        </w:tc>
        <w:tc>
          <w:tcPr>
            <w:tcW w:w="1800" w:type="dxa"/>
            <w:noWrap w:val="0"/>
            <w:vAlign w:val="center"/>
          </w:tcPr>
          <w:p>
            <w:pPr>
              <w:snapToGrid w:val="0"/>
              <w:spacing w:line="360" w:lineRule="exact"/>
              <w:jc w:val="center"/>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项目</w:t>
            </w:r>
          </w:p>
        </w:tc>
        <w:tc>
          <w:tcPr>
            <w:tcW w:w="6682" w:type="dxa"/>
            <w:noWrap w:val="0"/>
            <w:vAlign w:val="center"/>
          </w:tcPr>
          <w:p>
            <w:pPr>
              <w:snapToGrid w:val="0"/>
              <w:spacing w:line="360" w:lineRule="exact"/>
              <w:jc w:val="center"/>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1</w:t>
            </w:r>
          </w:p>
        </w:tc>
        <w:tc>
          <w:tcPr>
            <w:tcW w:w="1800" w:type="dxa"/>
            <w:noWrap w:val="0"/>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项目名称</w:t>
            </w:r>
          </w:p>
        </w:tc>
        <w:tc>
          <w:tcPr>
            <w:tcW w:w="6682" w:type="dxa"/>
            <w:noWrap w:val="0"/>
            <w:vAlign w:val="center"/>
          </w:tcPr>
          <w:p>
            <w:pPr>
              <w:snapToGrid w:val="0"/>
              <w:spacing w:line="360" w:lineRule="exact"/>
              <w:ind w:firstLine="420" w:firstLineChars="200"/>
              <w:rPr>
                <w:rFonts w:hint="eastAsia" w:ascii="宋体" w:hAnsi="宋体" w:eastAsia="宋体" w:cs="宋体"/>
                <w:snapToGrid w:val="0"/>
                <w:color w:val="FF0000"/>
                <w:kern w:val="0"/>
                <w:sz w:val="21"/>
                <w:szCs w:val="21"/>
              </w:rPr>
            </w:pPr>
            <w:r>
              <w:rPr>
                <w:rFonts w:hint="eastAsia" w:ascii="宋体" w:hAnsi="宋体" w:eastAsia="宋体" w:cs="宋体"/>
                <w:snapToGrid w:val="0"/>
                <w:kern w:val="0"/>
                <w:sz w:val="21"/>
                <w:szCs w:val="21"/>
              </w:rPr>
              <w:t>检验检测外送</w:t>
            </w:r>
            <w:r>
              <w:rPr>
                <w:rFonts w:hint="eastAsia" w:ascii="宋体" w:hAnsi="宋体" w:eastAsia="宋体" w:cs="宋体"/>
                <w:snapToGrid w:val="0"/>
                <w:kern w:val="0"/>
                <w:sz w:val="21"/>
                <w:szCs w:val="21"/>
                <w:lang w:eastAsia="zh-CN"/>
              </w:rPr>
              <w:t>服务</w:t>
            </w:r>
            <w:r>
              <w:rPr>
                <w:rFonts w:hint="eastAsia" w:ascii="宋体" w:hAnsi="宋体" w:eastAsia="宋体" w:cs="宋体"/>
                <w:snapToGrid w:val="0"/>
                <w:kern w:val="0"/>
                <w:sz w:val="21"/>
                <w:szCs w:val="21"/>
              </w:rPr>
              <w:t>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2</w:t>
            </w:r>
          </w:p>
        </w:tc>
        <w:tc>
          <w:tcPr>
            <w:tcW w:w="1800" w:type="dxa"/>
            <w:noWrap w:val="0"/>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项目实施时间</w:t>
            </w:r>
          </w:p>
        </w:tc>
        <w:tc>
          <w:tcPr>
            <w:tcW w:w="6682" w:type="dxa"/>
            <w:noWrap w:val="0"/>
            <w:vAlign w:val="center"/>
          </w:tcPr>
          <w:p>
            <w:pPr>
              <w:spacing w:line="360" w:lineRule="exact"/>
              <w:ind w:firstLine="420" w:firstLineChars="200"/>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2020年起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3</w:t>
            </w:r>
          </w:p>
        </w:tc>
        <w:tc>
          <w:tcPr>
            <w:tcW w:w="1800" w:type="dxa"/>
            <w:noWrap w:val="0"/>
            <w:vAlign w:val="center"/>
          </w:tcPr>
          <w:p>
            <w:pPr>
              <w:snapToGrid w:val="0"/>
              <w:spacing w:line="360" w:lineRule="exact"/>
              <w:jc w:val="center"/>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最高限价</w:t>
            </w:r>
          </w:p>
        </w:tc>
        <w:tc>
          <w:tcPr>
            <w:tcW w:w="6682" w:type="dxa"/>
            <w:noWrap w:val="0"/>
            <w:vAlign w:val="center"/>
          </w:tcPr>
          <w:p>
            <w:pPr>
              <w:snapToGrid w:val="0"/>
              <w:spacing w:line="360" w:lineRule="exact"/>
              <w:ind w:firstLine="420" w:firstLineChars="200"/>
              <w:rPr>
                <w:rFonts w:hint="eastAsia" w:ascii="宋体" w:hAnsi="宋体" w:eastAsia="宋体" w:cs="宋体"/>
                <w:b/>
                <w:snapToGrid w:val="0"/>
                <w:kern w:val="0"/>
                <w:sz w:val="21"/>
                <w:szCs w:val="21"/>
              </w:rPr>
            </w:pPr>
            <w:r>
              <w:rPr>
                <w:rFonts w:hint="eastAsia" w:ascii="宋体" w:hAnsi="宋体" w:eastAsia="宋体" w:cs="宋体"/>
                <w:sz w:val="21"/>
                <w:szCs w:val="21"/>
              </w:rPr>
              <w:t>本项目最高限价人民币</w:t>
            </w:r>
            <w:r>
              <w:rPr>
                <w:rFonts w:hint="eastAsia" w:ascii="宋体" w:hAnsi="宋体" w:eastAsia="宋体" w:cs="宋体"/>
                <w:color w:val="FF0000"/>
                <w:sz w:val="21"/>
                <w:szCs w:val="21"/>
                <w:u w:val="single"/>
              </w:rPr>
              <w:t xml:space="preserve"> </w:t>
            </w:r>
            <w:r>
              <w:rPr>
                <w:rFonts w:hint="eastAsia" w:ascii="宋体" w:hAnsi="宋体" w:eastAsia="宋体" w:cs="宋体"/>
                <w:color w:val="FF0000"/>
                <w:sz w:val="21"/>
                <w:szCs w:val="21"/>
                <w:u w:val="single"/>
                <w:lang w:val="en-US" w:eastAsia="zh-CN"/>
              </w:rPr>
              <w:t>50%</w:t>
            </w:r>
            <w:r>
              <w:rPr>
                <w:rFonts w:hint="eastAsia" w:ascii="宋体" w:hAnsi="宋体" w:eastAsia="宋体" w:cs="宋体"/>
                <w:color w:val="FF0000"/>
                <w:sz w:val="21"/>
                <w:szCs w:val="21"/>
                <w:u w:val="single"/>
              </w:rPr>
              <w:t xml:space="preserve">  </w:t>
            </w:r>
            <w:r>
              <w:rPr>
                <w:rFonts w:hint="eastAsia" w:ascii="宋体" w:hAnsi="宋体" w:eastAsia="宋体" w:cs="宋体"/>
                <w:color w:val="FF0000"/>
                <w:sz w:val="21"/>
                <w:szCs w:val="21"/>
                <w:u w:val="single"/>
                <w:lang w:eastAsia="zh-CN"/>
              </w:rPr>
              <w:t>折扣</w:t>
            </w:r>
            <w:r>
              <w:rPr>
                <w:rFonts w:hint="eastAsia" w:ascii="宋体" w:hAnsi="宋体" w:eastAsia="宋体" w:cs="宋体"/>
                <w:sz w:val="21"/>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 xml:space="preserve">                                                                                                   4</w:t>
            </w:r>
          </w:p>
        </w:tc>
        <w:tc>
          <w:tcPr>
            <w:tcW w:w="1800" w:type="dxa"/>
            <w:noWrap w:val="0"/>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资格审查方式</w:t>
            </w:r>
          </w:p>
        </w:tc>
        <w:tc>
          <w:tcPr>
            <w:tcW w:w="6682" w:type="dxa"/>
            <w:noWrap w:val="0"/>
            <w:vAlign w:val="center"/>
          </w:tcPr>
          <w:p>
            <w:pPr>
              <w:snapToGrid w:val="0"/>
              <w:spacing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资格审查是指开标后，采购人或采购代理机构将依据法律法规和招标文件的规定对投标人的资格进行审查。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rPr>
              <w:t>5</w:t>
            </w:r>
          </w:p>
        </w:tc>
        <w:tc>
          <w:tcPr>
            <w:tcW w:w="1800" w:type="dxa"/>
            <w:noWrap w:val="0"/>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踏勘现场</w:t>
            </w:r>
          </w:p>
        </w:tc>
        <w:tc>
          <w:tcPr>
            <w:tcW w:w="6682" w:type="dxa"/>
            <w:noWrap w:val="0"/>
            <w:vAlign w:val="center"/>
          </w:tcPr>
          <w:p>
            <w:pPr>
              <w:snapToGrid w:val="0"/>
              <w:spacing w:line="360" w:lineRule="exact"/>
              <w:ind w:firstLine="422" w:firstLineChars="200"/>
              <w:rPr>
                <w:rFonts w:hint="eastAsia" w:ascii="宋体" w:hAnsi="宋体" w:eastAsia="宋体" w:cs="宋体"/>
                <w:snapToGrid w:val="0"/>
                <w:kern w:val="0"/>
                <w:sz w:val="21"/>
                <w:szCs w:val="21"/>
              </w:rPr>
            </w:pPr>
            <w:r>
              <w:rPr>
                <w:rFonts w:hint="eastAsia" w:ascii="宋体" w:hAnsi="宋体" w:eastAsia="宋体" w:cs="宋体"/>
                <w:b/>
                <w:snapToGrid w:val="0"/>
                <w:kern w:val="0"/>
                <w:sz w:val="21"/>
                <w:szCs w:val="21"/>
              </w:rPr>
              <w:t>本项目</w:t>
            </w:r>
            <w:r>
              <w:rPr>
                <w:rFonts w:hint="eastAsia" w:ascii="宋体" w:hAnsi="宋体" w:eastAsia="宋体" w:cs="宋体"/>
                <w:b/>
                <w:snapToGrid w:val="0"/>
                <w:color w:val="FF0000"/>
                <w:kern w:val="0"/>
                <w:sz w:val="21"/>
                <w:szCs w:val="21"/>
              </w:rPr>
              <w:t>不组织现场</w:t>
            </w:r>
            <w:r>
              <w:rPr>
                <w:rFonts w:hint="eastAsia" w:ascii="宋体" w:hAnsi="宋体" w:eastAsia="宋体" w:cs="宋体"/>
                <w:b/>
                <w:snapToGrid w:val="0"/>
                <w:kern w:val="0"/>
                <w:sz w:val="21"/>
                <w:szCs w:val="21"/>
              </w:rPr>
              <w:t>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6</w:t>
            </w:r>
          </w:p>
        </w:tc>
        <w:tc>
          <w:tcPr>
            <w:tcW w:w="1800" w:type="dxa"/>
            <w:noWrap w:val="0"/>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询问</w:t>
            </w:r>
          </w:p>
        </w:tc>
        <w:tc>
          <w:tcPr>
            <w:tcW w:w="6682" w:type="dxa"/>
            <w:noWrap w:val="0"/>
            <w:vAlign w:val="center"/>
          </w:tcPr>
          <w:p>
            <w:pPr>
              <w:snapToGrid w:val="0"/>
              <w:spacing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供应商对政府采购活动事项有疑问的，可以向采购机构提出询问，采购人或者招标代理机构应当</w:t>
            </w:r>
            <w:r>
              <w:rPr>
                <w:rFonts w:hint="eastAsia" w:ascii="宋体" w:hAnsi="宋体" w:eastAsia="宋体" w:cs="宋体"/>
                <w:snapToGrid w:val="0"/>
                <w:color w:val="auto"/>
                <w:kern w:val="0"/>
                <w:sz w:val="21"/>
                <w:szCs w:val="21"/>
              </w:rPr>
              <w:t>在3个工作日内对供</w:t>
            </w:r>
            <w:r>
              <w:rPr>
                <w:rFonts w:hint="eastAsia" w:ascii="宋体" w:hAnsi="宋体" w:eastAsia="宋体" w:cs="宋体"/>
                <w:snapToGrid w:val="0"/>
                <w:kern w:val="0"/>
                <w:sz w:val="21"/>
                <w:szCs w:val="21"/>
              </w:rPr>
              <w:t>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7</w:t>
            </w:r>
          </w:p>
        </w:tc>
        <w:tc>
          <w:tcPr>
            <w:tcW w:w="1800" w:type="dxa"/>
            <w:noWrap w:val="0"/>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招标文件的澄清与修改</w:t>
            </w:r>
          </w:p>
        </w:tc>
        <w:tc>
          <w:tcPr>
            <w:tcW w:w="6682" w:type="dxa"/>
            <w:noWrap w:val="0"/>
            <w:vAlign w:val="center"/>
          </w:tcPr>
          <w:p>
            <w:pPr>
              <w:snapToGrid w:val="0"/>
              <w:spacing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招标采购单位可以对已发出的招标文件进行必要澄清或者修改，澄清或者修改的内容可能影响投标文件编制的，应当在招标文件要求提交投标文件截止时间十五日前，在招标公告发布的媒体上发布更正公告，该澄清或者修改的内容为招标文件的组成部分。本项目招标文件和补充（答疑、澄清）、修改文件等请自行登录浙江政府采购网或绍兴市上虞区公共资源交易中心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8</w:t>
            </w:r>
          </w:p>
        </w:tc>
        <w:tc>
          <w:tcPr>
            <w:tcW w:w="1800" w:type="dxa"/>
            <w:noWrap w:val="0"/>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投标文件组成</w:t>
            </w:r>
          </w:p>
        </w:tc>
        <w:tc>
          <w:tcPr>
            <w:tcW w:w="6682" w:type="dxa"/>
            <w:noWrap w:val="0"/>
            <w:vAlign w:val="center"/>
          </w:tcPr>
          <w:p>
            <w:pPr>
              <w:snapToGrid w:val="0"/>
              <w:spacing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投标人向采购人递交的投标文件由资格文件、商务技术文件、报价文件三部分组成。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9</w:t>
            </w:r>
          </w:p>
        </w:tc>
        <w:tc>
          <w:tcPr>
            <w:tcW w:w="1800" w:type="dxa"/>
            <w:noWrap w:val="0"/>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评标办法</w:t>
            </w:r>
          </w:p>
        </w:tc>
        <w:tc>
          <w:tcPr>
            <w:tcW w:w="6682" w:type="dxa"/>
            <w:noWrap w:val="0"/>
            <w:vAlign w:val="center"/>
          </w:tcPr>
          <w:p>
            <w:pPr>
              <w:snapToGrid w:val="0"/>
              <w:spacing w:line="360" w:lineRule="exact"/>
              <w:ind w:firstLine="420" w:firstLineChars="200"/>
              <w:rPr>
                <w:rFonts w:hint="eastAsia" w:ascii="宋体" w:hAnsi="宋体" w:eastAsia="宋体" w:cs="宋体"/>
                <w:snapToGrid w:val="0"/>
                <w:color w:val="FF0000"/>
                <w:kern w:val="0"/>
                <w:sz w:val="21"/>
                <w:szCs w:val="21"/>
              </w:rPr>
            </w:pPr>
            <w:r>
              <w:rPr>
                <w:rFonts w:hint="eastAsia" w:ascii="宋体" w:hAnsi="宋体" w:eastAsia="宋体" w:cs="宋体"/>
                <w:snapToGrid w:val="0"/>
                <w:color w:val="FF0000"/>
                <w:kern w:val="0"/>
                <w:sz w:val="21"/>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10</w:t>
            </w:r>
          </w:p>
        </w:tc>
        <w:tc>
          <w:tcPr>
            <w:tcW w:w="1800" w:type="dxa"/>
            <w:noWrap w:val="0"/>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投标文件递交地址及截止时间</w:t>
            </w:r>
          </w:p>
        </w:tc>
        <w:tc>
          <w:tcPr>
            <w:tcW w:w="6682" w:type="dxa"/>
            <w:noWrap w:val="0"/>
            <w:vAlign w:val="center"/>
          </w:tcPr>
          <w:p>
            <w:pPr>
              <w:snapToGrid w:val="0"/>
              <w:spacing w:line="360" w:lineRule="exact"/>
              <w:ind w:firstLine="420" w:firstLineChars="200"/>
              <w:rPr>
                <w:rFonts w:hint="eastAsia" w:ascii="宋体" w:hAnsi="宋体" w:eastAsia="宋体" w:cs="宋体"/>
                <w:kern w:val="0"/>
                <w:sz w:val="21"/>
                <w:szCs w:val="21"/>
              </w:rPr>
            </w:pPr>
            <w:r>
              <w:rPr>
                <w:rFonts w:hint="eastAsia" w:ascii="宋体" w:hAnsi="宋体" w:eastAsia="宋体" w:cs="宋体"/>
                <w:snapToGrid w:val="0"/>
                <w:kern w:val="0"/>
                <w:sz w:val="21"/>
                <w:szCs w:val="21"/>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11</w:t>
            </w:r>
          </w:p>
        </w:tc>
        <w:tc>
          <w:tcPr>
            <w:tcW w:w="1800" w:type="dxa"/>
            <w:noWrap w:val="0"/>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开标时间、地点</w:t>
            </w:r>
          </w:p>
        </w:tc>
        <w:tc>
          <w:tcPr>
            <w:tcW w:w="6682" w:type="dxa"/>
            <w:noWrap w:val="0"/>
            <w:vAlign w:val="center"/>
          </w:tcPr>
          <w:p>
            <w:pPr>
              <w:snapToGrid w:val="0"/>
              <w:spacing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开标时间：</w:t>
            </w:r>
            <w:r>
              <w:rPr>
                <w:rFonts w:hint="eastAsia" w:ascii="宋体" w:hAnsi="宋体" w:eastAsia="宋体" w:cs="宋体"/>
                <w:kern w:val="0"/>
                <w:sz w:val="21"/>
                <w:szCs w:val="21"/>
              </w:rPr>
              <w:t>详见招标公告</w:t>
            </w:r>
          </w:p>
          <w:p>
            <w:pPr>
              <w:snapToGrid w:val="0"/>
              <w:spacing w:line="360" w:lineRule="exact"/>
              <w:ind w:firstLine="420" w:firstLineChars="200"/>
              <w:rPr>
                <w:rFonts w:hint="eastAsia" w:ascii="宋体" w:hAnsi="宋体" w:eastAsia="宋体" w:cs="宋体"/>
                <w:kern w:val="0"/>
                <w:sz w:val="21"/>
                <w:szCs w:val="21"/>
              </w:rPr>
            </w:pPr>
            <w:r>
              <w:rPr>
                <w:rFonts w:hint="eastAsia" w:ascii="宋体" w:hAnsi="宋体" w:eastAsia="宋体" w:cs="宋体"/>
                <w:snapToGrid w:val="0"/>
                <w:kern w:val="0"/>
                <w:sz w:val="21"/>
                <w:szCs w:val="21"/>
              </w:rPr>
              <w:t>开标地点：</w:t>
            </w:r>
            <w:r>
              <w:rPr>
                <w:rFonts w:hint="eastAsia" w:ascii="宋体" w:hAnsi="宋体" w:eastAsia="宋体" w:cs="宋体"/>
                <w:kern w:val="0"/>
                <w:sz w:val="21"/>
                <w:szCs w:val="21"/>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12</w:t>
            </w:r>
          </w:p>
        </w:tc>
        <w:tc>
          <w:tcPr>
            <w:tcW w:w="1800" w:type="dxa"/>
            <w:noWrap w:val="0"/>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投标有效期</w:t>
            </w:r>
          </w:p>
        </w:tc>
        <w:tc>
          <w:tcPr>
            <w:tcW w:w="6682" w:type="dxa"/>
            <w:noWrap w:val="0"/>
            <w:vAlign w:val="center"/>
          </w:tcPr>
          <w:p>
            <w:pPr>
              <w:snapToGrid w:val="0"/>
              <w:spacing w:line="36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投标有效期为从提交投标文件的截止之日起90天。投标人的投标文件中承诺的投标有效期少于招标文件中载明的投标有效期的，投标无效。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13</w:t>
            </w:r>
          </w:p>
        </w:tc>
        <w:tc>
          <w:tcPr>
            <w:tcW w:w="1800" w:type="dxa"/>
            <w:noWrap w:val="0"/>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履约保证金</w:t>
            </w:r>
          </w:p>
        </w:tc>
        <w:tc>
          <w:tcPr>
            <w:tcW w:w="6682" w:type="dxa"/>
            <w:noWrap w:val="0"/>
            <w:vAlign w:val="center"/>
          </w:tcPr>
          <w:p>
            <w:pPr>
              <w:pStyle w:val="13"/>
              <w:adjustRightInd w:val="0"/>
              <w:snapToGrid w:val="0"/>
              <w:spacing w:line="360" w:lineRule="auto"/>
              <w:ind w:firstLine="480" w:firstLineChars="200"/>
              <w:rPr>
                <w:rFonts w:hint="eastAsia" w:hAnsi="宋体"/>
                <w:color w:val="000000"/>
                <w:sz w:val="24"/>
              </w:rPr>
            </w:pPr>
            <w:r>
              <w:rPr>
                <w:rFonts w:hint="eastAsia" w:hAnsi="宋体"/>
                <w:color w:val="000000"/>
                <w:sz w:val="24"/>
              </w:rPr>
              <w:t>中标人在收到中标通知书后，</w:t>
            </w:r>
            <w:r>
              <w:rPr>
                <w:rFonts w:hint="eastAsia" w:hAnsi="宋体"/>
                <w:color w:val="000000"/>
                <w:sz w:val="24"/>
                <w:lang w:eastAsia="zh-CN"/>
              </w:rPr>
              <w:t>根据</w:t>
            </w:r>
            <w:r>
              <w:rPr>
                <w:rFonts w:hint="eastAsia" w:hAnsi="宋体"/>
                <w:color w:val="FF0000"/>
                <w:sz w:val="24"/>
                <w:lang w:eastAsia="zh-CN"/>
              </w:rPr>
              <w:t>采购人</w:t>
            </w:r>
            <w:r>
              <w:rPr>
                <w:rFonts w:hint="eastAsia" w:hAnsi="宋体"/>
                <w:color w:val="FF0000"/>
                <w:sz w:val="24"/>
              </w:rPr>
              <w:t>需</w:t>
            </w:r>
            <w:r>
              <w:rPr>
                <w:rFonts w:hint="eastAsia" w:hAnsi="宋体"/>
                <w:color w:val="FF0000"/>
                <w:sz w:val="24"/>
                <w:lang w:eastAsia="zh-CN"/>
              </w:rPr>
              <w:t>要</w:t>
            </w:r>
            <w:r>
              <w:rPr>
                <w:rFonts w:hint="eastAsia" w:hAnsi="宋体"/>
                <w:color w:val="000000"/>
                <w:sz w:val="24"/>
              </w:rPr>
              <w:t>向采购人提供合同总价</w:t>
            </w:r>
            <w:r>
              <w:rPr>
                <w:rFonts w:hint="eastAsia" w:hAnsi="宋体"/>
                <w:color w:val="FF0000"/>
                <w:sz w:val="24"/>
                <w:u w:val="single"/>
              </w:rPr>
              <w:t>　</w:t>
            </w:r>
            <w:r>
              <w:rPr>
                <w:rFonts w:hint="eastAsia" w:hAnsi="宋体"/>
                <w:color w:val="FF0000"/>
                <w:sz w:val="24"/>
                <w:u w:val="single"/>
                <w:lang w:val="en-US" w:eastAsia="zh-CN"/>
              </w:rPr>
              <w:t>5</w:t>
            </w:r>
            <w:r>
              <w:rPr>
                <w:rFonts w:hint="eastAsia" w:hAnsi="宋体" w:cs="Arial"/>
                <w:b/>
                <w:bCs/>
                <w:iCs/>
                <w:color w:val="FF0000"/>
                <w:sz w:val="36"/>
                <w:szCs w:val="36"/>
                <w:u w:val="single"/>
              </w:rPr>
              <w:t xml:space="preserve"> </w:t>
            </w:r>
            <w:r>
              <w:rPr>
                <w:rFonts w:hint="eastAsia" w:hAnsi="宋体"/>
                <w:color w:val="FF0000"/>
                <w:sz w:val="24"/>
              </w:rPr>
              <w:t>%</w:t>
            </w:r>
            <w:r>
              <w:rPr>
                <w:rFonts w:hint="eastAsia" w:hAnsi="宋体"/>
                <w:color w:val="000000"/>
                <w:sz w:val="24"/>
              </w:rPr>
              <w:t>的履约保证金，在中标人与采购人签订合同前递交。</w:t>
            </w:r>
          </w:p>
          <w:p>
            <w:pPr>
              <w:pStyle w:val="13"/>
              <w:snapToGrid w:val="0"/>
              <w:spacing w:line="360" w:lineRule="exact"/>
              <w:ind w:firstLine="420" w:firstLineChars="200"/>
              <w:rPr>
                <w:rFonts w:hint="eastAsia" w:ascii="宋体" w:hAnsi="宋体" w:eastAsia="宋体" w:cs="宋体"/>
                <w:color w:val="FF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14</w:t>
            </w:r>
          </w:p>
        </w:tc>
        <w:tc>
          <w:tcPr>
            <w:tcW w:w="1800" w:type="dxa"/>
            <w:noWrap w:val="0"/>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采购及中标公告发布媒体</w:t>
            </w:r>
          </w:p>
        </w:tc>
        <w:tc>
          <w:tcPr>
            <w:tcW w:w="6682" w:type="dxa"/>
            <w:noWrap w:val="0"/>
            <w:vAlign w:val="center"/>
          </w:tcPr>
          <w:p>
            <w:pPr>
              <w:pStyle w:val="13"/>
              <w:snapToGrid w:val="0"/>
              <w:spacing w:line="3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浙江省政府采购网、 绍兴市上虞区公共资源交易中心网站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15</w:t>
            </w:r>
          </w:p>
        </w:tc>
        <w:tc>
          <w:tcPr>
            <w:tcW w:w="1800" w:type="dxa"/>
            <w:noWrap w:val="0"/>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质疑</w:t>
            </w:r>
          </w:p>
        </w:tc>
        <w:tc>
          <w:tcPr>
            <w:tcW w:w="6682" w:type="dxa"/>
            <w:noWrap w:val="0"/>
            <w:vAlign w:val="center"/>
          </w:tcPr>
          <w:p>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根据《中华人民共和国政府采购法》第五十二条、《中华人民共和国政府采购法实施条例》第五十三条、《浙江省政府采购供应商质疑处理办法》的规定：</w:t>
            </w:r>
          </w:p>
          <w:p>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供应商认为采购文件使自己的权益受到损害的，可以在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否则质疑将不予受理。</w:t>
            </w:r>
          </w:p>
          <w:p>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投标人如认为采购过程使自身的合法权益受到损害的，应于各采购程序环节结束之日起七个工作日内以书面形式向采购机构提出质疑；</w:t>
            </w:r>
          </w:p>
          <w:p>
            <w:pPr>
              <w:snapToGrid w:val="0"/>
              <w:spacing w:line="360" w:lineRule="exact"/>
              <w:ind w:firstLine="420" w:firstLineChars="200"/>
              <w:jc w:val="left"/>
              <w:rPr>
                <w:rFonts w:hint="eastAsia" w:ascii="宋体" w:hAnsi="宋体" w:eastAsia="宋体" w:cs="宋体"/>
                <w:snapToGrid w:val="0"/>
                <w:kern w:val="0"/>
                <w:sz w:val="21"/>
                <w:szCs w:val="21"/>
              </w:rPr>
            </w:pPr>
            <w:r>
              <w:rPr>
                <w:rFonts w:hint="eastAsia" w:ascii="宋体" w:hAnsi="宋体" w:eastAsia="宋体" w:cs="宋体"/>
                <w:sz w:val="21"/>
                <w:szCs w:val="21"/>
              </w:rPr>
              <w:t>投标人如认为中标结果使自身的合法权益受到损害的，应于中标或者成交结果公告期限届满之日起七个工作日内以书面形式向采购机构提出质疑</w:t>
            </w:r>
            <w:r>
              <w:rPr>
                <w:rFonts w:hint="eastAsia" w:ascii="宋体" w:hAnsi="宋体" w:eastAsia="宋体" w:cs="宋体"/>
                <w:snapToGrid w:val="0"/>
                <w:kern w:val="0"/>
                <w:sz w:val="21"/>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16</w:t>
            </w:r>
          </w:p>
        </w:tc>
        <w:tc>
          <w:tcPr>
            <w:tcW w:w="1800" w:type="dxa"/>
            <w:noWrap w:val="0"/>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投诉</w:t>
            </w:r>
          </w:p>
        </w:tc>
        <w:tc>
          <w:tcPr>
            <w:tcW w:w="6682" w:type="dxa"/>
            <w:noWrap w:val="0"/>
            <w:vAlign w:val="center"/>
          </w:tcPr>
          <w:p>
            <w:pPr>
              <w:snapToGrid w:val="0"/>
              <w:spacing w:line="360" w:lineRule="exact"/>
              <w:ind w:firstLine="420" w:firstLineChars="200"/>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17</w:t>
            </w:r>
          </w:p>
        </w:tc>
        <w:tc>
          <w:tcPr>
            <w:tcW w:w="1800" w:type="dxa"/>
            <w:noWrap w:val="0"/>
            <w:vAlign w:val="center"/>
          </w:tcPr>
          <w:p>
            <w:pPr>
              <w:snapToGrid w:val="0"/>
              <w:spacing w:line="36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特别说明</w:t>
            </w:r>
          </w:p>
        </w:tc>
        <w:tc>
          <w:tcPr>
            <w:tcW w:w="6682" w:type="dxa"/>
            <w:noWrap w:val="0"/>
            <w:vAlign w:val="center"/>
          </w:tcPr>
          <w:p>
            <w:pPr>
              <w:pStyle w:val="13"/>
              <w:snapToGrid w:val="0"/>
              <w:spacing w:line="3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投标人应无条件的、认真仔细的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pPr>
              <w:pStyle w:val="13"/>
              <w:snapToGrid w:val="0"/>
              <w:spacing w:line="3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pPr>
              <w:pStyle w:val="13"/>
              <w:snapToGrid w:val="0"/>
              <w:spacing w:line="3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质疑、投诉人未按前列进行质疑、投诉（申诉），均属于扰乱政府采购市场不良行为。</w:t>
            </w:r>
          </w:p>
          <w:p>
            <w:pPr>
              <w:pStyle w:val="13"/>
              <w:snapToGrid w:val="0"/>
              <w:spacing w:line="360" w:lineRule="exact"/>
              <w:ind w:firstLine="420" w:firstLineChars="200"/>
              <w:jc w:val="left"/>
              <w:rPr>
                <w:rFonts w:hint="eastAsia" w:ascii="宋体" w:hAnsi="宋体" w:eastAsia="宋体" w:cs="宋体"/>
                <w:b/>
                <w:kern w:val="0"/>
                <w:sz w:val="21"/>
                <w:szCs w:val="21"/>
              </w:rPr>
            </w:pPr>
            <w:r>
              <w:rPr>
                <w:rFonts w:hint="eastAsia" w:ascii="宋体" w:hAnsi="宋体" w:eastAsia="宋体" w:cs="宋体"/>
                <w:kern w:val="0"/>
                <w:sz w:val="21"/>
                <w:szCs w:val="21"/>
              </w:rPr>
              <w:t>招标文件中凡标注“</w:t>
            </w:r>
            <w:r>
              <w:rPr>
                <w:rFonts w:hint="eastAsia" w:ascii="宋体" w:hAnsi="宋体" w:eastAsia="宋体" w:cs="宋体"/>
                <w:sz w:val="21"/>
                <w:szCs w:val="21"/>
              </w:rPr>
              <w:t>★</w:t>
            </w:r>
            <w:r>
              <w:rPr>
                <w:rFonts w:hint="eastAsia" w:ascii="宋体" w:hAnsi="宋体" w:eastAsia="宋体" w:cs="宋体"/>
                <w:kern w:val="0"/>
                <w:sz w:val="21"/>
                <w:szCs w:val="21"/>
              </w:rPr>
              <w:t>”的条款均为实质性要求，不响应的投标文件将作无效标处理。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default" w:ascii="宋体" w:hAnsi="宋体" w:eastAsia="宋体" w:cs="宋体"/>
                <w:snapToGrid w:val="0"/>
                <w:kern w:val="0"/>
                <w:sz w:val="21"/>
                <w:szCs w:val="21"/>
                <w:lang w:val="en-US" w:eastAsia="zh-CN"/>
              </w:rPr>
            </w:pPr>
            <w:r>
              <w:rPr>
                <w:rFonts w:hint="eastAsia" w:ascii="宋体" w:hAnsi="宋体" w:eastAsia="宋体" w:cs="宋体"/>
                <w:snapToGrid w:val="0"/>
                <w:kern w:val="0"/>
                <w:sz w:val="21"/>
                <w:szCs w:val="21"/>
                <w:lang w:val="en-US" w:eastAsia="zh-CN"/>
              </w:rPr>
              <w:t>18</w:t>
            </w:r>
          </w:p>
        </w:tc>
        <w:tc>
          <w:tcPr>
            <w:tcW w:w="1800"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支</w:t>
            </w:r>
          </w:p>
          <w:p>
            <w:pPr>
              <w:snapToGrid w:val="0"/>
              <w:jc w:val="center"/>
              <w:rPr>
                <w:rFonts w:hint="eastAsia" w:ascii="宋体" w:hAnsi="宋体" w:eastAsia="宋体" w:cs="宋体"/>
                <w:sz w:val="21"/>
                <w:szCs w:val="21"/>
              </w:rPr>
            </w:pPr>
            <w:r>
              <w:rPr>
                <w:rFonts w:hint="eastAsia" w:ascii="宋体" w:hAnsi="宋体" w:eastAsia="宋体" w:cs="宋体"/>
                <w:sz w:val="21"/>
                <w:szCs w:val="21"/>
              </w:rPr>
              <w:t>持</w:t>
            </w:r>
          </w:p>
          <w:p>
            <w:pPr>
              <w:snapToGrid w:val="0"/>
              <w:jc w:val="center"/>
              <w:rPr>
                <w:rFonts w:hint="eastAsia" w:ascii="宋体" w:hAnsi="宋体" w:eastAsia="宋体" w:cs="宋体"/>
                <w:sz w:val="21"/>
                <w:szCs w:val="21"/>
              </w:rPr>
            </w:pPr>
            <w:r>
              <w:rPr>
                <w:rFonts w:hint="eastAsia" w:ascii="宋体" w:hAnsi="宋体" w:eastAsia="宋体" w:cs="宋体"/>
                <w:sz w:val="21"/>
                <w:szCs w:val="21"/>
              </w:rPr>
              <w:t>中</w:t>
            </w:r>
          </w:p>
          <w:p>
            <w:pPr>
              <w:snapToGrid w:val="0"/>
              <w:jc w:val="center"/>
              <w:rPr>
                <w:rFonts w:hint="eastAsia" w:ascii="宋体" w:hAnsi="宋体" w:eastAsia="宋体" w:cs="宋体"/>
                <w:sz w:val="21"/>
                <w:szCs w:val="21"/>
              </w:rPr>
            </w:pPr>
            <w:r>
              <w:rPr>
                <w:rFonts w:hint="eastAsia" w:ascii="宋体" w:hAnsi="宋体" w:eastAsia="宋体" w:cs="宋体"/>
                <w:sz w:val="21"/>
                <w:szCs w:val="21"/>
              </w:rPr>
              <w:t>小</w:t>
            </w:r>
          </w:p>
          <w:p>
            <w:pPr>
              <w:snapToGrid w:val="0"/>
              <w:jc w:val="center"/>
              <w:rPr>
                <w:rFonts w:hint="eastAsia" w:ascii="宋体" w:hAnsi="宋体" w:eastAsia="宋体" w:cs="宋体"/>
                <w:sz w:val="21"/>
                <w:szCs w:val="21"/>
              </w:rPr>
            </w:pPr>
            <w:r>
              <w:rPr>
                <w:rFonts w:hint="eastAsia" w:ascii="宋体" w:hAnsi="宋体" w:eastAsia="宋体" w:cs="宋体"/>
                <w:sz w:val="21"/>
                <w:szCs w:val="21"/>
              </w:rPr>
              <w:t>企</w:t>
            </w:r>
          </w:p>
          <w:p>
            <w:pPr>
              <w:snapToGrid w:val="0"/>
              <w:jc w:val="center"/>
              <w:rPr>
                <w:rFonts w:hint="eastAsia" w:ascii="宋体" w:hAnsi="宋体" w:eastAsia="宋体" w:cs="宋体"/>
                <w:sz w:val="21"/>
                <w:szCs w:val="21"/>
              </w:rPr>
            </w:pPr>
            <w:r>
              <w:rPr>
                <w:rFonts w:hint="eastAsia" w:ascii="宋体" w:hAnsi="宋体" w:eastAsia="宋体" w:cs="宋体"/>
                <w:sz w:val="21"/>
                <w:szCs w:val="21"/>
              </w:rPr>
              <w:t>业</w:t>
            </w:r>
          </w:p>
          <w:p>
            <w:pPr>
              <w:snapToGrid w:val="0"/>
              <w:jc w:val="center"/>
              <w:rPr>
                <w:rFonts w:hint="eastAsia" w:ascii="宋体" w:hAnsi="宋体" w:eastAsia="宋体" w:cs="宋体"/>
                <w:kern w:val="2"/>
                <w:sz w:val="21"/>
                <w:szCs w:val="21"/>
                <w:lang w:val="en-US" w:eastAsia="zh-CN" w:bidi="ar-SA"/>
              </w:rPr>
            </w:pPr>
          </w:p>
        </w:tc>
        <w:tc>
          <w:tcPr>
            <w:tcW w:w="6682"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价格扣除：根据工信部等部委发布的《关于印发中小企业划型标准规定的通知》（工信部联企业〔2011〕300号），根据具体品目确定相应标准。符合上述条件的中小微型企业应按照招标文件附件15的格式要求提供《中小企业声明函》。符合《关于促进残疾人就业政府采购政策的通知》（财库〔2017〕141号）规定的条件并提供《残疾人福利性单位声明函》（附件16）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根据财政部发布的《政府采购促进中小企业发展暂行办法》规定，对于非专门面向此类企业的项目，对小型和微型企业产品的投标价格给予6%的扣除，用扣除后的价格参与评审。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联合体各方均为小型、微型企业的，联合体视同为小型、微型企业。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19</w:t>
            </w:r>
          </w:p>
        </w:tc>
        <w:tc>
          <w:tcPr>
            <w:tcW w:w="1800"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招标代理服务费</w:t>
            </w:r>
          </w:p>
        </w:tc>
        <w:tc>
          <w:tcPr>
            <w:tcW w:w="6682" w:type="dxa"/>
            <w:noWrap w:val="0"/>
            <w:vAlign w:val="center"/>
          </w:tcPr>
          <w:p>
            <w:pPr>
              <w:spacing w:line="340" w:lineRule="exact"/>
              <w:ind w:firstLine="420" w:firstLineChars="200"/>
              <w:rPr>
                <w:rFonts w:hint="eastAsia" w:ascii="宋体" w:hAnsi="宋体" w:eastAsia="宋体" w:cs="宋体"/>
                <w:snapToGrid w:val="0"/>
                <w:color w:val="FFC000"/>
                <w:kern w:val="0"/>
                <w:sz w:val="21"/>
                <w:szCs w:val="21"/>
                <w:lang w:eastAsia="zh-CN"/>
              </w:rPr>
            </w:pPr>
            <w:r>
              <w:rPr>
                <w:rFonts w:hint="eastAsia" w:ascii="宋体" w:hAnsi="宋体" w:eastAsia="宋体" w:cs="宋体"/>
                <w:snapToGrid w:val="0"/>
                <w:color w:val="FFC000"/>
                <w:kern w:val="0"/>
                <w:sz w:val="21"/>
                <w:szCs w:val="21"/>
                <w:lang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21</w:t>
            </w:r>
          </w:p>
        </w:tc>
        <w:tc>
          <w:tcPr>
            <w:tcW w:w="1800"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是否允许分包</w:t>
            </w:r>
          </w:p>
        </w:tc>
        <w:tc>
          <w:tcPr>
            <w:tcW w:w="6682"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本项目</w:t>
            </w:r>
            <w:r>
              <w:rPr>
                <w:rFonts w:hint="eastAsia" w:ascii="宋体" w:hAnsi="宋体" w:eastAsia="宋体" w:cs="宋体"/>
                <w:color w:val="FF0000"/>
                <w:sz w:val="21"/>
                <w:szCs w:val="21"/>
              </w:rPr>
              <w:t>不允许</w:t>
            </w:r>
            <w:r>
              <w:rPr>
                <w:rFonts w:hint="eastAsia" w:ascii="宋体" w:hAnsi="宋体" w:eastAsia="宋体" w:cs="宋体"/>
                <w:sz w:val="21"/>
                <w:szCs w:val="21"/>
              </w:rPr>
              <w:t>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default"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bidi="ar-SA"/>
              </w:rPr>
              <w:t>22</w:t>
            </w:r>
          </w:p>
        </w:tc>
        <w:tc>
          <w:tcPr>
            <w:tcW w:w="1800" w:type="dxa"/>
            <w:tcBorders>
              <w:top w:val="single" w:color="auto" w:sz="4" w:space="0"/>
            </w:tcBorders>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是否提供演示</w:t>
            </w:r>
          </w:p>
        </w:tc>
        <w:tc>
          <w:tcPr>
            <w:tcW w:w="6682" w:type="dxa"/>
            <w:tcBorders>
              <w:top w:val="single" w:color="auto" w:sz="4" w:space="0"/>
            </w:tcBorders>
            <w:noWrap w:val="0"/>
            <w:vAlign w:val="center"/>
          </w:tcPr>
          <w:p>
            <w:pPr>
              <w:ind w:firstLine="420" w:firstLineChars="200"/>
              <w:rPr>
                <w:rFonts w:hint="eastAsia" w:ascii="宋体" w:hAnsi="宋体" w:eastAsia="宋体" w:cs="宋体"/>
                <w:color w:val="FF0000"/>
                <w:sz w:val="21"/>
                <w:szCs w:val="21"/>
              </w:rPr>
            </w:pPr>
            <w:r>
              <w:rPr>
                <w:rFonts w:hint="eastAsia" w:ascii="宋体" w:hAnsi="宋体" w:eastAsia="宋体" w:cs="宋体"/>
                <w:sz w:val="21"/>
                <w:szCs w:val="21"/>
              </w:rPr>
              <w:t>本项目</w:t>
            </w:r>
            <w:r>
              <w:rPr>
                <w:rFonts w:hint="eastAsia" w:ascii="宋体" w:hAnsi="宋体" w:eastAsia="宋体" w:cs="宋体"/>
                <w:color w:val="FF0000"/>
                <w:sz w:val="21"/>
                <w:szCs w:val="21"/>
                <w:u w:val="single"/>
              </w:rPr>
              <w:t>不需要</w:t>
            </w:r>
            <w:r>
              <w:rPr>
                <w:rFonts w:hint="eastAsia" w:ascii="宋体" w:hAnsi="宋体" w:eastAsia="宋体" w:cs="宋体"/>
                <w:sz w:val="21"/>
                <w:szCs w:val="21"/>
              </w:rPr>
              <w:t>提供演示。</w:t>
            </w:r>
          </w:p>
          <w:p>
            <w:pPr>
              <w:ind w:firstLine="210" w:firstLineChars="100"/>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rPr>
              <w:t>2</w:t>
            </w:r>
            <w:r>
              <w:rPr>
                <w:rFonts w:hint="eastAsia" w:ascii="宋体" w:hAnsi="宋体" w:eastAsia="宋体" w:cs="宋体"/>
                <w:snapToGrid w:val="0"/>
                <w:kern w:val="0"/>
                <w:sz w:val="21"/>
                <w:szCs w:val="21"/>
                <w:lang w:val="en-US" w:eastAsia="zh-CN"/>
              </w:rPr>
              <w:t>3</w:t>
            </w:r>
          </w:p>
        </w:tc>
        <w:tc>
          <w:tcPr>
            <w:tcW w:w="1800"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投标人信用信息事项</w:t>
            </w:r>
          </w:p>
        </w:tc>
        <w:tc>
          <w:tcPr>
            <w:tcW w:w="6682"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信用信息查询渠道及截止时间：项目评审组织人员将通过“信用中国”网站(www.creditchina.gov.cn)、中国政府采购网(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"http://www.ccgp.gov.cn" </w:instrText>
            </w:r>
            <w:r>
              <w:rPr>
                <w:rFonts w:hint="eastAsia" w:ascii="宋体" w:hAnsi="宋体" w:eastAsia="宋体" w:cs="宋体"/>
                <w:sz w:val="21"/>
                <w:szCs w:val="21"/>
              </w:rPr>
              <w:fldChar w:fldCharType="separate"/>
            </w:r>
            <w:r>
              <w:rPr>
                <w:rStyle w:val="32"/>
                <w:rFonts w:hint="eastAsia" w:ascii="宋体" w:hAnsi="宋体" w:eastAsia="宋体" w:cs="宋体"/>
                <w:sz w:val="21"/>
                <w:szCs w:val="21"/>
              </w:rPr>
              <w:t>www.ccgp.gov.cn</w:t>
            </w:r>
            <w:r>
              <w:rPr>
                <w:rFonts w:hint="eastAsia" w:ascii="宋体" w:hAnsi="宋体" w:eastAsia="宋体" w:cs="宋体"/>
                <w:sz w:val="21"/>
                <w:szCs w:val="21"/>
              </w:rPr>
              <w:fldChar w:fldCharType="end"/>
            </w:r>
            <w:r>
              <w:rPr>
                <w:rFonts w:hint="eastAsia" w:ascii="宋体" w:hAnsi="宋体" w:eastAsia="宋体" w:cs="宋体"/>
                <w:sz w:val="21"/>
                <w:szCs w:val="21"/>
              </w:rPr>
              <w:t>)渠道查询投标人投标截止时间前的信用记录。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信用信息查询记录和证据留存的具体方式：项目评审组织人员现场查询投标人的信用记录，查询结果经确认后与采购文件一起存档。</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信用信息的使用规则：经查询列入失信被执行人名单、重大税收违法案件当事人名单、政府采购严重违法失信行为记录名单的投标人的投标文件将被拒绝。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default" w:ascii="宋体" w:hAnsi="宋体" w:eastAsia="宋体" w:cs="宋体"/>
                <w:snapToGrid w:val="0"/>
                <w:kern w:val="0"/>
                <w:sz w:val="21"/>
                <w:szCs w:val="21"/>
                <w:lang w:val="en-US" w:eastAsia="zh-CN"/>
              </w:rPr>
            </w:pPr>
            <w:r>
              <w:rPr>
                <w:rFonts w:hint="eastAsia" w:ascii="宋体" w:hAnsi="宋体" w:eastAsia="宋体" w:cs="宋体"/>
                <w:snapToGrid w:val="0"/>
                <w:kern w:val="0"/>
                <w:sz w:val="21"/>
                <w:szCs w:val="21"/>
                <w:lang w:val="en-US" w:eastAsia="zh-CN"/>
              </w:rPr>
              <w:t>24</w:t>
            </w:r>
          </w:p>
        </w:tc>
        <w:tc>
          <w:tcPr>
            <w:tcW w:w="1800"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金融支持</w:t>
            </w:r>
          </w:p>
        </w:tc>
        <w:tc>
          <w:tcPr>
            <w:tcW w:w="6682"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为支持和促进中小企业发展，进一步发挥政府采购政策功能，浙江省财政厅出台浙财采监〔2020〕3 号文件，企业若有融资意向，可登陆政采云平台融资服务（https://jinrong.zcygov.cn/），查看相应融资政策文件及各相关银行服务方案。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default"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bidi="ar-SA"/>
              </w:rPr>
              <w:t>25</w:t>
            </w:r>
          </w:p>
        </w:tc>
        <w:tc>
          <w:tcPr>
            <w:tcW w:w="1800"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其他</w:t>
            </w:r>
          </w:p>
        </w:tc>
        <w:tc>
          <w:tcPr>
            <w:tcW w:w="6682" w:type="dxa"/>
            <w:noWrap w:val="0"/>
            <w:vAlign w:val="center"/>
          </w:tcPr>
          <w:p>
            <w:pPr>
              <w:ind w:firstLine="422" w:firstLineChars="200"/>
              <w:rPr>
                <w:rFonts w:hint="eastAsia" w:ascii="宋体" w:hAnsi="宋体" w:eastAsia="宋体" w:cs="宋体"/>
                <w:b/>
                <w:sz w:val="21"/>
                <w:szCs w:val="21"/>
              </w:rPr>
            </w:pPr>
            <w:r>
              <w:rPr>
                <w:rFonts w:hint="eastAsia" w:ascii="宋体" w:hAnsi="宋体" w:eastAsia="宋体" w:cs="宋体"/>
                <w:b/>
                <w:sz w:val="21"/>
                <w:szCs w:val="21"/>
              </w:rPr>
              <w:t>本招标文件要求提供的身份证复印件皆需提供正反面，否则按不提供处理。</w:t>
            </w:r>
          </w:p>
        </w:tc>
      </w:tr>
    </w:tbl>
    <w:p>
      <w:pPr>
        <w:pStyle w:val="40"/>
        <w:spacing w:before="0"/>
        <w:ind w:firstLine="486"/>
        <w:rPr>
          <w:rFonts w:hint="eastAsia" w:ascii="宋体" w:hAnsi="宋体" w:eastAsia="宋体" w:cs="宋体"/>
          <w:sz w:val="21"/>
          <w:szCs w:val="21"/>
        </w:rPr>
      </w:pPr>
      <w:r>
        <w:rPr>
          <w:rFonts w:hint="eastAsia" w:ascii="宋体" w:hAnsi="宋体" w:eastAsia="宋体" w:cs="宋体"/>
          <w:sz w:val="21"/>
          <w:szCs w:val="21"/>
        </w:rPr>
        <w:t>注：以上内容如有变化将另行通知。如通知其中某一内容发生变化，其余未提及的将不作变动。</w:t>
      </w:r>
    </w:p>
    <w:p>
      <w:pPr>
        <w:snapToGrid w:val="0"/>
        <w:spacing w:line="360" w:lineRule="auto"/>
        <w:jc w:val="center"/>
        <w:outlineLvl w:val="0"/>
        <w:rPr>
          <w:rFonts w:hint="eastAsia" w:ascii="宋体" w:hAnsi="宋体" w:eastAsia="宋体" w:cs="宋体"/>
          <w:b/>
          <w:sz w:val="32"/>
        </w:rPr>
      </w:pPr>
      <w:r>
        <w:rPr>
          <w:rFonts w:hint="eastAsia" w:ascii="宋体" w:hAnsi="宋体" w:eastAsia="宋体" w:cs="宋体"/>
          <w:b/>
          <w:sz w:val="32"/>
          <w:szCs w:val="20"/>
        </w:rPr>
        <w:br w:type="page"/>
      </w:r>
      <w:bookmarkStart w:id="18" w:name="_Toc7335"/>
      <w:r>
        <w:rPr>
          <w:rFonts w:hint="eastAsia" w:ascii="宋体" w:hAnsi="宋体" w:eastAsia="宋体" w:cs="宋体"/>
          <w:b/>
          <w:sz w:val="32"/>
        </w:rPr>
        <w:t>一、总则</w:t>
      </w:r>
      <w:bookmarkEnd w:id="11"/>
      <w:bookmarkEnd w:id="18"/>
    </w:p>
    <w:p>
      <w:pPr>
        <w:pStyle w:val="13"/>
        <w:numPr>
          <w:ilvl w:val="0"/>
          <w:numId w:val="10"/>
        </w:numPr>
        <w:spacing w:line="360" w:lineRule="auto"/>
        <w:ind w:left="0" w:leftChars="0" w:firstLine="482" w:firstLineChars="200"/>
        <w:rPr>
          <w:rFonts w:hint="eastAsia" w:ascii="宋体" w:hAnsi="宋体" w:eastAsia="宋体" w:cs="宋体"/>
          <w:b/>
          <w:sz w:val="24"/>
          <w:szCs w:val="24"/>
        </w:rPr>
      </w:pPr>
      <w:bookmarkStart w:id="19" w:name="_Hlt74730295"/>
      <w:bookmarkEnd w:id="19"/>
      <w:bookmarkStart w:id="20" w:name="_Hlt74714665"/>
      <w:bookmarkEnd w:id="20"/>
      <w:bookmarkStart w:id="21" w:name="_Toc91899872"/>
      <w:bookmarkStart w:id="22" w:name="_Hlt74730208"/>
      <w:bookmarkStart w:id="23" w:name="_Hlt74730112"/>
      <w:r>
        <w:rPr>
          <w:rFonts w:hint="eastAsia" w:ascii="宋体" w:hAnsi="宋体" w:eastAsia="宋体" w:cs="宋体"/>
          <w:b/>
          <w:sz w:val="24"/>
          <w:szCs w:val="24"/>
        </w:rPr>
        <w:t>项目说明</w:t>
      </w:r>
      <w:bookmarkEnd w:id="21"/>
    </w:p>
    <w:p>
      <w:pPr>
        <w:pStyle w:val="40"/>
        <w:keepNext w:val="0"/>
        <w:keepLines w:val="0"/>
        <w:pageBreakBefore w:val="0"/>
        <w:widowControl w:val="0"/>
        <w:numPr>
          <w:ilvl w:val="0"/>
          <w:numId w:val="11"/>
        </w:numPr>
        <w:tabs>
          <w:tab w:val="left" w:pos="0"/>
        </w:tabs>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项目说明见前附表所述。投标人一旦参与本次招标活动，即被视为接受了本招标文件的所有内容，如有任何异议，均已在法定时间内提出。</w:t>
      </w:r>
    </w:p>
    <w:p>
      <w:pPr>
        <w:pStyle w:val="40"/>
        <w:keepNext w:val="0"/>
        <w:keepLines w:val="0"/>
        <w:pageBreakBefore w:val="0"/>
        <w:widowControl w:val="0"/>
        <w:numPr>
          <w:ilvl w:val="0"/>
          <w:numId w:val="11"/>
        </w:numPr>
        <w:tabs>
          <w:tab w:val="left" w:pos="0"/>
        </w:tabs>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投标人须对所投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eastAsia="宋体" w:cs="宋体"/>
          <w:szCs w:val="24"/>
          <w:lang w:val="zh-CN"/>
        </w:rPr>
        <w:t>供应商</w:t>
      </w:r>
      <w:r>
        <w:rPr>
          <w:rFonts w:hint="eastAsia" w:ascii="宋体" w:hAnsi="宋体" w:eastAsia="宋体" w:cs="宋体"/>
          <w:szCs w:val="24"/>
        </w:rPr>
        <w:t>应承担相应后果，</w:t>
      </w:r>
      <w:r>
        <w:rPr>
          <w:rFonts w:hint="eastAsia" w:ascii="宋体" w:hAnsi="宋体" w:eastAsia="宋体" w:cs="宋体"/>
          <w:szCs w:val="24"/>
          <w:lang w:val="zh-CN"/>
        </w:rPr>
        <w:t>并负责赔偿。</w:t>
      </w:r>
      <w:r>
        <w:rPr>
          <w:rFonts w:hint="eastAsia" w:ascii="宋体" w:hAnsi="宋体" w:eastAsia="宋体" w:cs="宋体"/>
          <w:szCs w:val="24"/>
        </w:rPr>
        <w:t>供应商为执行本项目合同而提供的技术资料等归采购人所有。</w:t>
      </w:r>
    </w:p>
    <w:p>
      <w:pPr>
        <w:snapToGrid w:val="0"/>
        <w:spacing w:line="440" w:lineRule="exact"/>
        <w:ind w:firstLine="480" w:firstLineChars="200"/>
        <w:jc w:val="left"/>
        <w:rPr>
          <w:rFonts w:hint="eastAsia" w:ascii="宋体" w:hAnsi="宋体" w:eastAsia="宋体" w:cs="宋体"/>
          <w:kern w:val="2"/>
          <w:sz w:val="24"/>
          <w:szCs w:val="24"/>
          <w:lang w:val="en-US" w:eastAsia="zh-CN" w:bidi="ar-SA"/>
        </w:rPr>
      </w:pPr>
      <w:bookmarkStart w:id="24" w:name="_Toc91899873"/>
      <w:r>
        <w:rPr>
          <w:rFonts w:hint="eastAsia" w:ascii="宋体" w:hAnsi="宋体" w:eastAsia="宋体" w:cs="宋体"/>
          <w:kern w:val="2"/>
          <w:sz w:val="24"/>
          <w:szCs w:val="24"/>
          <w:lang w:val="en-US" w:eastAsia="zh-CN" w:bidi="ar-SA"/>
        </w:rPr>
        <w:t>1.3本招标文件所称公章是指单位法定名称章或者冠以单位法定名称的电子公章。</w:t>
      </w:r>
    </w:p>
    <w:p>
      <w:pPr>
        <w:snapToGrid w:val="0"/>
        <w:spacing w:line="440" w:lineRule="exact"/>
        <w:ind w:firstLine="480" w:firstLineChars="200"/>
        <w:jc w:val="left"/>
        <w:rPr>
          <w:rFonts w:hint="eastAsia" w:ascii="宋体" w:hAnsi="宋体" w:eastAsia="宋体" w:cs="宋体"/>
          <w:i w:val="0"/>
          <w:iCs w:val="0"/>
          <w:strike w:val="0"/>
          <w:dstrike w:val="0"/>
          <w:color w:val="auto"/>
          <w:sz w:val="24"/>
          <w:szCs w:val="24"/>
        </w:rPr>
      </w:pPr>
      <w:r>
        <w:rPr>
          <w:rFonts w:hint="eastAsia" w:ascii="宋体" w:hAnsi="宋体" w:eastAsia="宋体" w:cs="宋体"/>
          <w:kern w:val="2"/>
          <w:sz w:val="24"/>
          <w:szCs w:val="24"/>
          <w:lang w:val="en-US" w:eastAsia="zh-CN" w:bidi="ar-SA"/>
        </w:rPr>
        <w:t>1.4</w:t>
      </w:r>
      <w:r>
        <w:rPr>
          <w:rFonts w:hint="eastAsia" w:ascii="宋体" w:hAnsi="宋体" w:eastAsia="宋体" w:cs="宋体"/>
          <w:i w:val="0"/>
          <w:iCs w:val="0"/>
          <w:strike w:val="0"/>
          <w:dstrike w:val="0"/>
          <w:color w:val="auto"/>
          <w:sz w:val="24"/>
          <w:szCs w:val="24"/>
        </w:rPr>
        <w:t>公开招标数额标准以上的采购项目，投标截止后投标人不足3家或者通过资格审查或符合性审查的投标人不足3家的，除采购任务取消情形外，按照以下方式处理：</w:t>
      </w:r>
    </w:p>
    <w:p>
      <w:pPr>
        <w:pStyle w:val="40"/>
        <w:numPr>
          <w:ilvl w:val="0"/>
          <w:numId w:val="12"/>
        </w:numPr>
        <w:spacing w:before="0"/>
        <w:ind w:left="0" w:leftChars="0" w:firstLine="480" w:firstLineChars="200"/>
        <w:rPr>
          <w:rFonts w:hint="eastAsia" w:ascii="宋体" w:hAnsi="宋体" w:eastAsia="宋体" w:cs="宋体"/>
          <w:i w:val="0"/>
          <w:iCs w:val="0"/>
          <w:strike w:val="0"/>
          <w:dstrike w:val="0"/>
          <w:color w:val="auto"/>
          <w:sz w:val="24"/>
          <w:szCs w:val="24"/>
        </w:rPr>
      </w:pPr>
      <w:r>
        <w:rPr>
          <w:rFonts w:hint="eastAsia" w:ascii="宋体" w:hAnsi="宋体" w:eastAsia="宋体" w:cs="宋体"/>
          <w:i w:val="0"/>
          <w:iCs w:val="0"/>
          <w:strike w:val="0"/>
          <w:dstrike w:val="0"/>
          <w:color w:val="auto"/>
          <w:sz w:val="24"/>
          <w:szCs w:val="24"/>
        </w:rPr>
        <w:t>招标文件存在不合理条款或者招标程序不符合规定的，采购人、采购代理机构改正后依法重新招标；</w:t>
      </w:r>
    </w:p>
    <w:p>
      <w:pPr>
        <w:pStyle w:val="40"/>
        <w:numPr>
          <w:ilvl w:val="0"/>
          <w:numId w:val="12"/>
        </w:numPr>
        <w:spacing w:before="0"/>
        <w:ind w:left="0" w:leftChars="0" w:firstLine="480" w:firstLineChars="200"/>
        <w:rPr>
          <w:rFonts w:hint="eastAsia" w:ascii="宋体" w:hAnsi="宋体" w:eastAsia="宋体" w:cs="宋体"/>
          <w:i w:val="0"/>
          <w:iCs w:val="0"/>
          <w:strike w:val="0"/>
          <w:dstrike w:val="0"/>
          <w:color w:val="auto"/>
          <w:sz w:val="24"/>
          <w:szCs w:val="24"/>
        </w:rPr>
      </w:pPr>
      <w:r>
        <w:rPr>
          <w:rFonts w:hint="eastAsia" w:ascii="宋体" w:hAnsi="宋体" w:eastAsia="宋体" w:cs="宋体"/>
          <w:i w:val="0"/>
          <w:iCs w:val="0"/>
          <w:strike w:val="0"/>
          <w:dstrike w:val="0"/>
          <w:color w:val="auto"/>
          <w:sz w:val="24"/>
          <w:szCs w:val="24"/>
        </w:rPr>
        <w:t>招标文件没有不合理条款、招标程序符合规定，需要采用其他采购方式采购的，采购人应当依法报财政部门批准。</w:t>
      </w:r>
    </w:p>
    <w:p>
      <w:pPr>
        <w:pStyle w:val="13"/>
        <w:numPr>
          <w:ilvl w:val="0"/>
          <w:numId w:val="10"/>
        </w:numPr>
        <w:spacing w:line="360" w:lineRule="auto"/>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采购方式</w:t>
      </w:r>
      <w:bookmarkEnd w:id="24"/>
    </w:p>
    <w:p>
      <w:pPr>
        <w:tabs>
          <w:tab w:val="left" w:pos="3780"/>
        </w:tabs>
        <w:spacing w:line="360" w:lineRule="auto"/>
        <w:ind w:firstLine="480" w:firstLineChars="200"/>
        <w:rPr>
          <w:rFonts w:hint="eastAsia" w:ascii="宋体" w:hAnsi="宋体" w:eastAsia="宋体" w:cs="宋体"/>
          <w:sz w:val="24"/>
        </w:rPr>
      </w:pPr>
      <w:r>
        <w:rPr>
          <w:rFonts w:hint="eastAsia" w:ascii="宋体" w:hAnsi="宋体" w:eastAsia="宋体" w:cs="宋体"/>
          <w:sz w:val="24"/>
        </w:rPr>
        <w:t>公开招标。</w:t>
      </w:r>
      <w:bookmarkEnd w:id="22"/>
      <w:bookmarkEnd w:id="23"/>
      <w:bookmarkStart w:id="25" w:name="_Hlt74388212"/>
      <w:bookmarkEnd w:id="25"/>
      <w:bookmarkStart w:id="26" w:name="_Hlt68516771"/>
      <w:bookmarkEnd w:id="26"/>
    </w:p>
    <w:p>
      <w:pPr>
        <w:pStyle w:val="13"/>
        <w:numPr>
          <w:ilvl w:val="0"/>
          <w:numId w:val="10"/>
        </w:numPr>
        <w:spacing w:line="360" w:lineRule="auto"/>
        <w:ind w:left="0" w:leftChars="0" w:firstLine="482" w:firstLineChars="200"/>
        <w:rPr>
          <w:rFonts w:hint="eastAsia" w:ascii="宋体" w:hAnsi="宋体" w:eastAsia="宋体" w:cs="宋体"/>
          <w:b/>
          <w:sz w:val="24"/>
          <w:szCs w:val="24"/>
        </w:rPr>
      </w:pPr>
      <w:bookmarkStart w:id="27" w:name="_Toc91899877"/>
      <w:bookmarkStart w:id="28" w:name="_Hlt74730303"/>
      <w:r>
        <w:rPr>
          <w:rFonts w:hint="eastAsia" w:ascii="宋体" w:hAnsi="宋体" w:eastAsia="宋体" w:cs="宋体"/>
          <w:b/>
          <w:sz w:val="24"/>
          <w:szCs w:val="24"/>
        </w:rPr>
        <w:t>投标费用</w:t>
      </w:r>
      <w:bookmarkEnd w:id="27"/>
    </w:p>
    <w:bookmarkEnd w:id="28"/>
    <w:p>
      <w:pPr>
        <w:autoSpaceDE w:val="0"/>
        <w:autoSpaceDN w:val="0"/>
        <w:spacing w:line="360" w:lineRule="auto"/>
        <w:ind w:firstLine="523" w:firstLineChars="218"/>
        <w:rPr>
          <w:rFonts w:hint="eastAsia" w:ascii="宋体" w:hAnsi="宋体" w:eastAsia="宋体" w:cs="宋体"/>
          <w:sz w:val="24"/>
          <w:lang w:val="zh-CN"/>
        </w:rPr>
      </w:pPr>
      <w:r>
        <w:rPr>
          <w:rFonts w:hint="eastAsia" w:ascii="宋体" w:hAnsi="宋体" w:eastAsia="宋体" w:cs="宋体"/>
          <w:sz w:val="24"/>
        </w:rPr>
        <w:t>投标人需自行承担涉及投标的一切费用（招标文件有其他相反规定除外）。</w:t>
      </w:r>
    </w:p>
    <w:p>
      <w:pPr>
        <w:spacing w:line="360" w:lineRule="auto"/>
        <w:jc w:val="center"/>
        <w:rPr>
          <w:rFonts w:hint="eastAsia" w:ascii="宋体" w:hAnsi="宋体" w:eastAsia="宋体" w:cs="宋体"/>
          <w:b/>
          <w:sz w:val="24"/>
        </w:rPr>
      </w:pPr>
      <w:bookmarkStart w:id="29" w:name="_Hlt68072990"/>
      <w:bookmarkEnd w:id="29"/>
      <w:bookmarkStart w:id="30" w:name="_Hlt74729768"/>
      <w:bookmarkEnd w:id="30"/>
      <w:bookmarkStart w:id="31" w:name="_Hlt74707468"/>
      <w:bookmarkEnd w:id="31"/>
      <w:bookmarkStart w:id="32" w:name="_Hlt68057669"/>
      <w:bookmarkEnd w:id="32"/>
      <w:bookmarkStart w:id="33" w:name="_Hlt75236290"/>
      <w:bookmarkEnd w:id="33"/>
      <w:bookmarkStart w:id="34" w:name="_Toc91899879"/>
    </w:p>
    <w:p>
      <w:pPr>
        <w:snapToGrid w:val="0"/>
        <w:spacing w:line="360" w:lineRule="auto"/>
        <w:jc w:val="center"/>
        <w:outlineLvl w:val="0"/>
        <w:rPr>
          <w:rFonts w:hint="eastAsia" w:ascii="宋体" w:hAnsi="宋体" w:eastAsia="宋体" w:cs="宋体"/>
          <w:b/>
          <w:sz w:val="32"/>
        </w:rPr>
      </w:pPr>
      <w:bookmarkStart w:id="35" w:name="_Toc10037"/>
      <w:r>
        <w:rPr>
          <w:rFonts w:hint="eastAsia" w:ascii="宋体" w:hAnsi="宋体" w:eastAsia="宋体" w:cs="宋体"/>
          <w:b/>
          <w:sz w:val="32"/>
        </w:rPr>
        <w:t>二、招标文件</w:t>
      </w:r>
      <w:bookmarkEnd w:id="34"/>
      <w:bookmarkEnd w:id="35"/>
    </w:p>
    <w:p>
      <w:pPr>
        <w:pStyle w:val="13"/>
        <w:numPr>
          <w:ilvl w:val="0"/>
          <w:numId w:val="10"/>
        </w:numPr>
        <w:spacing w:line="360" w:lineRule="auto"/>
        <w:ind w:left="0" w:leftChars="0" w:firstLine="482" w:firstLineChars="200"/>
        <w:rPr>
          <w:rFonts w:hint="eastAsia" w:ascii="宋体" w:hAnsi="宋体" w:eastAsia="宋体" w:cs="宋体"/>
          <w:b/>
          <w:sz w:val="24"/>
          <w:szCs w:val="24"/>
        </w:rPr>
      </w:pPr>
      <w:bookmarkStart w:id="36" w:name="_Toc91899880"/>
      <w:bookmarkStart w:id="37" w:name="_Hlt74730307"/>
      <w:r>
        <w:rPr>
          <w:rFonts w:hint="eastAsia" w:ascii="宋体" w:hAnsi="宋体" w:eastAsia="宋体" w:cs="宋体"/>
          <w:b/>
          <w:sz w:val="24"/>
          <w:szCs w:val="24"/>
        </w:rPr>
        <w:t>招标文件的构成</w:t>
      </w:r>
      <w:bookmarkEnd w:id="36"/>
    </w:p>
    <w:bookmarkEnd w:id="37"/>
    <w:p>
      <w:pPr>
        <w:pStyle w:val="40"/>
        <w:keepNext w:val="0"/>
        <w:keepLines w:val="0"/>
        <w:pageBreakBefore w:val="0"/>
        <w:widowControl w:val="0"/>
        <w:numPr>
          <w:ilvl w:val="0"/>
          <w:numId w:val="13"/>
        </w:numPr>
        <w:kinsoku/>
        <w:wordWrap/>
        <w:overflowPunct/>
        <w:topLinePunct w:val="0"/>
        <w:autoSpaceDE/>
        <w:autoSpaceDN/>
        <w:bidi w:val="0"/>
        <w:adjustRightInd w:val="0"/>
        <w:snapToGrid/>
        <w:spacing w:before="0" w:beforeLines="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招标文件包括下列文件及附件</w:t>
      </w:r>
    </w:p>
    <w:p>
      <w:pPr>
        <w:pStyle w:val="40"/>
        <w:keepNext w:val="0"/>
        <w:keepLines w:val="0"/>
        <w:pageBreakBefore w:val="0"/>
        <w:widowControl w:val="0"/>
        <w:numPr>
          <w:ilvl w:val="0"/>
          <w:numId w:val="14"/>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第一部分 招标公告</w:t>
      </w:r>
    </w:p>
    <w:p>
      <w:pPr>
        <w:pStyle w:val="40"/>
        <w:numPr>
          <w:ilvl w:val="0"/>
          <w:numId w:val="14"/>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第二部分</w:t>
      </w:r>
      <w:r>
        <w:rPr>
          <w:rFonts w:hint="eastAsia" w:ascii="宋体" w:hAnsi="宋体" w:eastAsia="宋体" w:cs="宋体"/>
          <w:szCs w:val="24"/>
          <w:lang w:val="en-US" w:eastAsia="zh-CN"/>
        </w:rPr>
        <w:t xml:space="preserve"> </w:t>
      </w:r>
      <w:r>
        <w:rPr>
          <w:rFonts w:hint="eastAsia" w:ascii="宋体" w:hAnsi="宋体" w:eastAsia="宋体" w:cs="宋体"/>
          <w:szCs w:val="24"/>
          <w:lang w:eastAsia="zh-CN"/>
        </w:rPr>
        <w:t>投标</w:t>
      </w:r>
      <w:r>
        <w:rPr>
          <w:rFonts w:hint="eastAsia" w:ascii="宋体" w:hAnsi="宋体" w:eastAsia="宋体" w:cs="宋体"/>
          <w:szCs w:val="24"/>
        </w:rPr>
        <w:t>须知</w:t>
      </w:r>
    </w:p>
    <w:p>
      <w:pPr>
        <w:pStyle w:val="40"/>
        <w:numPr>
          <w:ilvl w:val="0"/>
          <w:numId w:val="14"/>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第三部分 评标办法及评分标准</w:t>
      </w:r>
    </w:p>
    <w:p>
      <w:pPr>
        <w:pStyle w:val="40"/>
        <w:numPr>
          <w:ilvl w:val="0"/>
          <w:numId w:val="14"/>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第四部分 采购需求</w:t>
      </w:r>
    </w:p>
    <w:p>
      <w:pPr>
        <w:pStyle w:val="40"/>
        <w:numPr>
          <w:ilvl w:val="0"/>
          <w:numId w:val="14"/>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第五部分 采购合同的一般和特殊条款</w:t>
      </w:r>
    </w:p>
    <w:p>
      <w:pPr>
        <w:pStyle w:val="40"/>
        <w:numPr>
          <w:ilvl w:val="0"/>
          <w:numId w:val="14"/>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第六部分 应提交的有关格式范例</w:t>
      </w:r>
    </w:p>
    <w:p>
      <w:pPr>
        <w:pStyle w:val="40"/>
        <w:keepNext w:val="0"/>
        <w:keepLines w:val="0"/>
        <w:pageBreakBefore w:val="0"/>
        <w:widowControl w:val="0"/>
        <w:numPr>
          <w:ilvl w:val="0"/>
          <w:numId w:val="13"/>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投标人应认真审阅招标文件中所有的内容，包括编制和提交采购响应文件须知、评标办法及评分标准、项目技术规范和服务要求、采购合同的一般和特殊条款、应提交的有关格式范例等。</w:t>
      </w:r>
    </w:p>
    <w:p>
      <w:pPr>
        <w:pStyle w:val="13"/>
        <w:numPr>
          <w:ilvl w:val="0"/>
          <w:numId w:val="10"/>
        </w:numPr>
        <w:spacing w:line="360" w:lineRule="auto"/>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招标文件的解释</w:t>
      </w:r>
    </w:p>
    <w:p>
      <w:pPr>
        <w:pStyle w:val="40"/>
        <w:keepNext w:val="0"/>
        <w:keepLines w:val="0"/>
        <w:pageBreakBefore w:val="0"/>
        <w:widowControl w:val="0"/>
        <w:numPr>
          <w:ilvl w:val="0"/>
          <w:numId w:val="15"/>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已获取招标文件的潜在投标人，若有问题需要澄清，应于投标截止时间前，以书面形式向采购代理机构提出，采购代理机构与采购人研究后，对认为有必要回答的问题，将通过招标公告发布网站通知所有招标文件收受人。</w:t>
      </w:r>
    </w:p>
    <w:p>
      <w:pPr>
        <w:pStyle w:val="40"/>
        <w:keepNext w:val="0"/>
        <w:keepLines w:val="0"/>
        <w:pageBreakBefore w:val="0"/>
        <w:widowControl w:val="0"/>
        <w:numPr>
          <w:ilvl w:val="0"/>
          <w:numId w:val="15"/>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采购代理机构如对已发出的招标文件进行必要澄清或者修改的，将在发布招标公告的网站上发布更正公告，同时视情况延长投标截止时间和开标时间。该澄清或者修改的内容为招标文件的组成部分。</w:t>
      </w:r>
    </w:p>
    <w:p>
      <w:pPr>
        <w:pStyle w:val="40"/>
        <w:keepNext w:val="0"/>
        <w:keepLines w:val="0"/>
        <w:pageBreakBefore w:val="0"/>
        <w:widowControl w:val="0"/>
        <w:numPr>
          <w:ilvl w:val="0"/>
          <w:numId w:val="15"/>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不论采购代理机构向投标人发送的资料文件，还是投标人提出的问题，均采用书面形式。</w:t>
      </w:r>
    </w:p>
    <w:p>
      <w:pPr>
        <w:pStyle w:val="13"/>
        <w:numPr>
          <w:ilvl w:val="0"/>
          <w:numId w:val="10"/>
        </w:numPr>
        <w:spacing w:line="360" w:lineRule="auto"/>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招标文件的修改、澄清</w:t>
      </w:r>
    </w:p>
    <w:p>
      <w:pPr>
        <w:pStyle w:val="40"/>
        <w:keepNext w:val="0"/>
        <w:keepLines w:val="0"/>
        <w:pageBreakBefore w:val="0"/>
        <w:widowControl w:val="0"/>
        <w:numPr>
          <w:ilvl w:val="0"/>
          <w:numId w:val="16"/>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从招标文件发出至投标截止时间前，采购代理机构可能会以补充通知的方式修改招标文件。补充通知作为招标文件的组成部分，各潜在投标人应自行在公告发布网站查看。若有必要，采购代理机构将酌情延长递交投标文件的截止日期。</w:t>
      </w:r>
    </w:p>
    <w:p>
      <w:pPr>
        <w:pStyle w:val="40"/>
        <w:keepNext w:val="0"/>
        <w:keepLines w:val="0"/>
        <w:pageBreakBefore w:val="0"/>
        <w:widowControl w:val="0"/>
        <w:numPr>
          <w:ilvl w:val="0"/>
          <w:numId w:val="16"/>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对投标文件中含义不明、表述不一致或有明显计算错误等内容，评标委员会将对投标人进行询标，并要求投标人作电子澄清（询标由专家在政采云系统上发起询标函，投标人在澄清处在规定时间内进行答复）；投标人的电子澄清，应由法定代表人进行电子签章（也可由法定代表人或授权代表签字扫描后上传），作为投标文件的补充部分，但澄清的内容不得改变投标文件的实质性内容</w:t>
      </w:r>
      <w:r>
        <w:rPr>
          <w:rFonts w:hint="eastAsia" w:ascii="宋体" w:hAnsi="宋体" w:eastAsia="宋体" w:cs="宋体"/>
          <w:szCs w:val="24"/>
          <w:lang w:eastAsia="zh-CN"/>
        </w:rPr>
        <w:t>。</w:t>
      </w:r>
    </w:p>
    <w:p>
      <w:pPr>
        <w:pStyle w:val="13"/>
        <w:numPr>
          <w:ilvl w:val="0"/>
          <w:numId w:val="10"/>
        </w:numPr>
        <w:spacing w:line="360" w:lineRule="auto"/>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投标报价</w:t>
      </w:r>
    </w:p>
    <w:p>
      <w:pPr>
        <w:pStyle w:val="40"/>
        <w:keepNext w:val="0"/>
        <w:keepLines w:val="0"/>
        <w:pageBreakBefore w:val="0"/>
        <w:widowControl w:val="0"/>
        <w:numPr>
          <w:ilvl w:val="0"/>
          <w:numId w:val="17"/>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投标报价应包含项目所需全部服务，不得缺漏</w:t>
      </w:r>
      <w:r>
        <w:rPr>
          <w:rFonts w:hint="eastAsia" w:ascii="宋体" w:hAnsi="宋体" w:eastAsia="宋体" w:cs="宋体"/>
          <w:szCs w:val="24"/>
          <w:lang w:eastAsia="zh-CN"/>
        </w:rPr>
        <w:t>，</w:t>
      </w:r>
      <w:r>
        <w:rPr>
          <w:rFonts w:hint="eastAsia" w:ascii="宋体" w:hAnsi="宋体" w:eastAsia="宋体" w:cs="宋体"/>
          <w:szCs w:val="24"/>
        </w:rPr>
        <w:t>是履行合同的最终价格（含</w:t>
      </w:r>
      <w:r>
        <w:rPr>
          <w:rFonts w:hint="eastAsia" w:ascii="宋体" w:hAnsi="宋体" w:eastAsia="宋体" w:cs="宋体"/>
          <w:szCs w:val="24"/>
          <w:lang w:eastAsia="zh-CN"/>
        </w:rPr>
        <w:t>服务、人工、</w:t>
      </w:r>
      <w:r>
        <w:rPr>
          <w:rFonts w:hint="eastAsia" w:ascii="宋体" w:hAnsi="宋体" w:eastAsia="宋体" w:cs="宋体"/>
          <w:szCs w:val="24"/>
        </w:rPr>
        <w:t>保险、税金、</w:t>
      </w:r>
      <w:r>
        <w:rPr>
          <w:rFonts w:hint="eastAsia" w:ascii="宋体" w:hAnsi="宋体" w:eastAsia="宋体" w:cs="宋体"/>
          <w:szCs w:val="24"/>
          <w:lang w:eastAsia="zh-CN"/>
        </w:rPr>
        <w:t>软件</w:t>
      </w:r>
      <w:r>
        <w:rPr>
          <w:rFonts w:hint="eastAsia" w:ascii="宋体" w:hAnsi="宋体" w:eastAsia="宋体" w:cs="宋体"/>
          <w:szCs w:val="24"/>
        </w:rPr>
        <w:t>安装、调试、培训、保修等一切税金和费用）。</w:t>
      </w:r>
    </w:p>
    <w:p>
      <w:pPr>
        <w:pStyle w:val="40"/>
        <w:keepNext w:val="0"/>
        <w:keepLines w:val="0"/>
        <w:pageBreakBefore w:val="0"/>
        <w:widowControl w:val="0"/>
        <w:numPr>
          <w:ilvl w:val="0"/>
          <w:numId w:val="17"/>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其它费用处理</w:t>
      </w: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leftChars="200"/>
        <w:textAlignment w:val="auto"/>
        <w:rPr>
          <w:rFonts w:hint="eastAsia" w:ascii="宋体" w:hAnsi="宋体" w:eastAsia="宋体" w:cs="宋体"/>
          <w:szCs w:val="24"/>
        </w:rPr>
      </w:pPr>
      <w:r>
        <w:rPr>
          <w:rFonts w:hint="eastAsia" w:ascii="宋体" w:hAnsi="宋体" w:eastAsia="宋体" w:cs="宋体"/>
          <w:szCs w:val="24"/>
        </w:rPr>
        <w:t>招标文件未列明，而投标人认为必需的费用也需列入报价。</w:t>
      </w:r>
    </w:p>
    <w:p>
      <w:pPr>
        <w:pStyle w:val="40"/>
        <w:keepNext w:val="0"/>
        <w:keepLines w:val="0"/>
        <w:pageBreakBefore w:val="0"/>
        <w:widowControl w:val="0"/>
        <w:numPr>
          <w:ilvl w:val="0"/>
          <w:numId w:val="17"/>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投标货币</w:t>
      </w:r>
    </w:p>
    <w:p>
      <w:pPr>
        <w:pStyle w:val="40"/>
        <w:keepNext w:val="0"/>
        <w:keepLines w:val="0"/>
        <w:pageBreakBefore w:val="0"/>
        <w:widowControl w:val="0"/>
        <w:numPr>
          <w:ilvl w:val="0"/>
          <w:numId w:val="0"/>
        </w:numPr>
        <w:kinsoku/>
        <w:wordWrap/>
        <w:overflowPunct/>
        <w:topLinePunct w:val="0"/>
        <w:autoSpaceDE/>
        <w:autoSpaceDN/>
        <w:bidi w:val="0"/>
        <w:adjustRightInd w:val="0"/>
        <w:snapToGrid w:val="0"/>
        <w:spacing w:before="0" w:line="5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投标文件中价格全部采用人民币报价。报价应是唯一的, 采购代理机构将不接受有选择的报价。</w:t>
      </w:r>
    </w:p>
    <w:p>
      <w:pPr>
        <w:pStyle w:val="9"/>
        <w:snapToGrid w:val="0"/>
        <w:ind w:firstLine="480" w:firstLineChars="200"/>
        <w:rPr>
          <w:rFonts w:hint="eastAsia" w:ascii="宋体" w:hAnsi="宋体" w:eastAsia="宋体" w:cs="宋体"/>
          <w:szCs w:val="24"/>
        </w:rPr>
      </w:pPr>
    </w:p>
    <w:p>
      <w:pPr>
        <w:snapToGrid w:val="0"/>
        <w:spacing w:line="360" w:lineRule="auto"/>
        <w:jc w:val="center"/>
        <w:outlineLvl w:val="0"/>
        <w:rPr>
          <w:rFonts w:hint="eastAsia" w:ascii="宋体" w:hAnsi="宋体" w:eastAsia="宋体" w:cs="宋体"/>
          <w:b/>
          <w:sz w:val="32"/>
        </w:rPr>
      </w:pPr>
      <w:bookmarkStart w:id="38" w:name="_Hlt75236011"/>
      <w:bookmarkEnd w:id="38"/>
      <w:bookmarkStart w:id="39" w:name="_Toc91899884"/>
      <w:bookmarkStart w:id="40" w:name="_Toc25594"/>
      <w:r>
        <w:rPr>
          <w:rFonts w:hint="eastAsia" w:ascii="宋体" w:hAnsi="宋体" w:eastAsia="宋体" w:cs="宋体"/>
          <w:b/>
          <w:sz w:val="32"/>
        </w:rPr>
        <w:t>三、投标文件的编制</w:t>
      </w:r>
      <w:bookmarkEnd w:id="39"/>
      <w:bookmarkEnd w:id="40"/>
    </w:p>
    <w:p>
      <w:pPr>
        <w:pStyle w:val="13"/>
        <w:numPr>
          <w:ilvl w:val="0"/>
          <w:numId w:val="10"/>
        </w:numPr>
        <w:spacing w:line="360" w:lineRule="auto"/>
        <w:ind w:left="0" w:leftChars="0" w:firstLine="482" w:firstLineChars="200"/>
        <w:rPr>
          <w:rFonts w:hint="eastAsia" w:ascii="宋体" w:hAnsi="宋体" w:eastAsia="宋体" w:cs="宋体"/>
          <w:b/>
          <w:sz w:val="24"/>
          <w:szCs w:val="24"/>
        </w:rPr>
      </w:pPr>
      <w:bookmarkStart w:id="41" w:name="_Toc86216991"/>
      <w:bookmarkStart w:id="42" w:name="_Toc91899892"/>
      <w:r>
        <w:rPr>
          <w:rFonts w:hint="eastAsia" w:ascii="宋体" w:hAnsi="宋体" w:eastAsia="宋体" w:cs="宋体"/>
          <w:b/>
          <w:sz w:val="24"/>
          <w:szCs w:val="24"/>
        </w:rPr>
        <w:t>投标文件的语言</w:t>
      </w: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firstLine="480" w:firstLineChars="200"/>
        <w:textAlignment w:val="auto"/>
        <w:rPr>
          <w:rFonts w:hint="eastAsia" w:ascii="宋体" w:hAnsi="宋体" w:eastAsia="宋体" w:cs="宋体"/>
          <w:szCs w:val="24"/>
          <w:lang w:val="zh-CN"/>
        </w:rPr>
      </w:pPr>
      <w:r>
        <w:rPr>
          <w:rFonts w:hint="eastAsia" w:ascii="宋体" w:hAnsi="宋体" w:eastAsia="宋体" w:cs="宋体"/>
          <w:szCs w:val="24"/>
        </w:rPr>
        <w:t>投标文件及投标人与采购有关的来往通知、函件和文件均应使用中文。</w:t>
      </w:r>
    </w:p>
    <w:p>
      <w:pPr>
        <w:pStyle w:val="13"/>
        <w:numPr>
          <w:ilvl w:val="0"/>
          <w:numId w:val="10"/>
        </w:numPr>
        <w:spacing w:line="360" w:lineRule="auto"/>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投标文件的组成</w:t>
      </w: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firstLine="480" w:firstLineChars="200"/>
        <w:textAlignment w:val="auto"/>
        <w:rPr>
          <w:rFonts w:hint="eastAsia" w:ascii="宋体" w:hAnsi="宋体" w:eastAsia="宋体" w:cs="宋体"/>
          <w:szCs w:val="24"/>
        </w:rPr>
      </w:pPr>
      <w:r>
        <w:rPr>
          <w:rFonts w:hint="eastAsia" w:ascii="宋体" w:hAnsi="宋体" w:eastAsia="宋体" w:cs="宋体"/>
          <w:szCs w:val="24"/>
        </w:rPr>
        <w:t>投标文件应当包括以下主要内容：资格文件、</w:t>
      </w:r>
      <w:r>
        <w:rPr>
          <w:rFonts w:hint="eastAsia" w:ascii="宋体" w:hAnsi="宋体" w:eastAsia="宋体" w:cs="宋体"/>
          <w:szCs w:val="24"/>
          <w:lang w:eastAsia="zh-CN"/>
        </w:rPr>
        <w:t>商务技术</w:t>
      </w:r>
      <w:r>
        <w:rPr>
          <w:rFonts w:hint="eastAsia" w:ascii="宋体" w:hAnsi="宋体" w:eastAsia="宋体" w:cs="宋体"/>
          <w:szCs w:val="24"/>
        </w:rPr>
        <w:t>文件、报价文件。</w:t>
      </w:r>
    </w:p>
    <w:p>
      <w:pPr>
        <w:pStyle w:val="40"/>
        <w:keepNext w:val="0"/>
        <w:keepLines w:val="0"/>
        <w:pageBreakBefore w:val="0"/>
        <w:widowControl w:val="0"/>
        <w:numPr>
          <w:ilvl w:val="0"/>
          <w:numId w:val="18"/>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资格文件包括以下内容：</w:t>
      </w:r>
    </w:p>
    <w:p>
      <w:pPr>
        <w:pStyle w:val="40"/>
        <w:numPr>
          <w:ilvl w:val="0"/>
          <w:numId w:val="19"/>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法定代表人授权书（格式见附件）；如法定代表人直接参加投标并对相应文件签字的（签字是指线下签字扫描后上传或者线上进行电子签章），只需提供其身份证复印件，否则则应提供授权代表身份证复印件；</w:t>
      </w:r>
    </w:p>
    <w:p>
      <w:pPr>
        <w:pStyle w:val="40"/>
        <w:numPr>
          <w:ilvl w:val="0"/>
          <w:numId w:val="19"/>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提供自招标公告发布之日起至投标截止日内任意时间的“信用中国”网站（www.creditchina.gov.cn）、中国政府采购网（www.ccgp.gov.cn）投标人信用查询网页截图</w:t>
      </w:r>
      <w:r>
        <w:rPr>
          <w:rFonts w:hint="eastAsia" w:ascii="宋体" w:hAnsi="宋体" w:eastAsia="宋体" w:cs="宋体"/>
          <w:szCs w:val="24"/>
          <w:lang w:eastAsia="zh-CN"/>
        </w:rPr>
        <w:t>；</w:t>
      </w:r>
      <w:r>
        <w:rPr>
          <w:rFonts w:hint="eastAsia" w:ascii="宋体" w:hAnsi="宋体" w:eastAsia="宋体" w:cs="宋体"/>
          <w:szCs w:val="24"/>
        </w:rPr>
        <w:t>（以开标当日采购人或由采购人委托的评标委员会核实的查询结果为准）</w:t>
      </w:r>
    </w:p>
    <w:p>
      <w:pPr>
        <w:pStyle w:val="40"/>
        <w:numPr>
          <w:ilvl w:val="0"/>
          <w:numId w:val="19"/>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pStyle w:val="40"/>
        <w:numPr>
          <w:ilvl w:val="0"/>
          <w:numId w:val="19"/>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40"/>
        <w:numPr>
          <w:ilvl w:val="0"/>
          <w:numId w:val="19"/>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前一年度资产负债表等财务报表资料文件(新成立的公司，必须提供情况说明)</w:t>
      </w:r>
    </w:p>
    <w:p>
      <w:pPr>
        <w:pStyle w:val="40"/>
        <w:numPr>
          <w:ilvl w:val="0"/>
          <w:numId w:val="19"/>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具有履行合同所必需的产品和专业技术能力的承诺函；</w:t>
      </w:r>
    </w:p>
    <w:p>
      <w:pPr>
        <w:pStyle w:val="40"/>
        <w:numPr>
          <w:ilvl w:val="0"/>
          <w:numId w:val="19"/>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提供有效的依法缴纳税收证明（完税凭证或税务部门出具的证明）和提供有效的依法缴纳社会保障资金证明（缴纳凭证或人社部门出具的证明）；</w:t>
      </w:r>
    </w:p>
    <w:p>
      <w:pPr>
        <w:pStyle w:val="40"/>
        <w:numPr>
          <w:ilvl w:val="0"/>
          <w:numId w:val="19"/>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参加政府采购活动前</w:t>
      </w:r>
      <w:r>
        <w:rPr>
          <w:rFonts w:hint="eastAsia" w:ascii="宋体" w:hAnsi="宋体" w:eastAsia="宋体" w:cs="宋体"/>
          <w:b/>
          <w:bCs/>
          <w:szCs w:val="24"/>
          <w:lang w:eastAsia="zh-CN"/>
        </w:rPr>
        <w:t>五</w:t>
      </w:r>
      <w:r>
        <w:rPr>
          <w:rFonts w:hint="eastAsia" w:ascii="宋体" w:hAnsi="宋体" w:eastAsia="宋体" w:cs="宋体"/>
          <w:szCs w:val="24"/>
        </w:rPr>
        <w:t>年内，在经营活动中没有重大违法记录的</w:t>
      </w:r>
      <w:r>
        <w:rPr>
          <w:rFonts w:hint="eastAsia" w:ascii="宋体" w:hAnsi="宋体" w:eastAsia="宋体" w:cs="宋体"/>
          <w:szCs w:val="24"/>
          <w:lang w:eastAsia="zh-CN"/>
        </w:rPr>
        <w:t>声明；</w:t>
      </w:r>
      <w:r>
        <w:rPr>
          <w:rFonts w:hint="eastAsia" w:ascii="宋体" w:hAnsi="宋体" w:eastAsia="宋体" w:cs="宋体"/>
          <w:szCs w:val="24"/>
        </w:rPr>
        <w:t xml:space="preserve"> </w:t>
      </w:r>
    </w:p>
    <w:p>
      <w:pPr>
        <w:pStyle w:val="40"/>
        <w:numPr>
          <w:ilvl w:val="0"/>
          <w:numId w:val="19"/>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lang w:eastAsia="zh-CN"/>
        </w:rPr>
        <w:t>投标人须为独立医学诊断中心实验室，并具有有效的医疗机构执业许可证。</w:t>
      </w:r>
    </w:p>
    <w:p>
      <w:pPr>
        <w:pStyle w:val="40"/>
        <w:keepNext w:val="0"/>
        <w:keepLines w:val="0"/>
        <w:pageBreakBefore w:val="0"/>
        <w:widowControl w:val="0"/>
        <w:numPr>
          <w:ilvl w:val="0"/>
          <w:numId w:val="18"/>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lang w:eastAsia="zh-CN"/>
        </w:rPr>
        <w:t>商务技术</w:t>
      </w:r>
      <w:r>
        <w:rPr>
          <w:rFonts w:hint="eastAsia" w:ascii="宋体" w:hAnsi="宋体" w:eastAsia="宋体" w:cs="宋体"/>
          <w:szCs w:val="24"/>
        </w:rPr>
        <w:t>文件，本次招标需要投标人提供以下项所列的技术文件：</w:t>
      </w:r>
    </w:p>
    <w:p>
      <w:pPr>
        <w:pStyle w:val="40"/>
        <w:numPr>
          <w:ilvl w:val="0"/>
          <w:numId w:val="20"/>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评分对应表（格式见附件，主要用于评委对应评分内容）</w:t>
      </w:r>
    </w:p>
    <w:p>
      <w:pPr>
        <w:pStyle w:val="40"/>
        <w:numPr>
          <w:ilvl w:val="0"/>
          <w:numId w:val="20"/>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投标人</w:t>
      </w:r>
      <w:r>
        <w:rPr>
          <w:rFonts w:hint="eastAsia" w:ascii="宋体" w:hAnsi="宋体" w:eastAsia="宋体" w:cs="宋体"/>
          <w:szCs w:val="24"/>
          <w:lang w:eastAsia="zh-CN"/>
        </w:rPr>
        <w:t>商务技术</w:t>
      </w:r>
      <w:r>
        <w:rPr>
          <w:rFonts w:hint="eastAsia" w:ascii="宋体" w:hAnsi="宋体" w:eastAsia="宋体" w:cs="宋体"/>
          <w:szCs w:val="24"/>
        </w:rPr>
        <w:t>文件中资信分自评表（格式见附件）；</w:t>
      </w:r>
    </w:p>
    <w:p>
      <w:pPr>
        <w:pStyle w:val="40"/>
        <w:numPr>
          <w:ilvl w:val="0"/>
          <w:numId w:val="20"/>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投标项目明细清单（格式见附件）；</w:t>
      </w:r>
    </w:p>
    <w:p>
      <w:pPr>
        <w:pStyle w:val="40"/>
        <w:numPr>
          <w:ilvl w:val="0"/>
          <w:numId w:val="20"/>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技术响应及建议表（格式见附件）；</w:t>
      </w:r>
    </w:p>
    <w:p>
      <w:pPr>
        <w:pStyle w:val="40"/>
        <w:numPr>
          <w:ilvl w:val="0"/>
          <w:numId w:val="20"/>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商务响应表（格式见附件）；</w:t>
      </w:r>
    </w:p>
    <w:p>
      <w:pPr>
        <w:pStyle w:val="40"/>
        <w:numPr>
          <w:ilvl w:val="0"/>
          <w:numId w:val="20"/>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项目总体解决方案（可包含且不限于对项目总体要求的理解、项目总体架构及技术解决方案等）；</w:t>
      </w:r>
    </w:p>
    <w:p>
      <w:pPr>
        <w:pStyle w:val="40"/>
        <w:numPr>
          <w:ilvl w:val="0"/>
          <w:numId w:val="20"/>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项目实施计划（可包含且不限于保证工期的施工组织方案及人力资源安排、项目组人员清单等）；</w:t>
      </w:r>
    </w:p>
    <w:p>
      <w:pPr>
        <w:pStyle w:val="40"/>
        <w:numPr>
          <w:ilvl w:val="0"/>
          <w:numId w:val="20"/>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售后服务计划（可包含且不限于对用户故障的响应、处理、定期巡检、备品备件、常用耗材提供、驻点人员情况等）；</w:t>
      </w:r>
    </w:p>
    <w:p>
      <w:pPr>
        <w:pStyle w:val="40"/>
        <w:numPr>
          <w:ilvl w:val="0"/>
          <w:numId w:val="20"/>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技术培训计划（若有）；</w:t>
      </w:r>
    </w:p>
    <w:p>
      <w:pPr>
        <w:pStyle w:val="40"/>
        <w:numPr>
          <w:ilvl w:val="0"/>
          <w:numId w:val="20"/>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投标人履约能力（可包含且不限于技术力量情况、投标人各项能力证书）；</w:t>
      </w:r>
    </w:p>
    <w:p>
      <w:pPr>
        <w:pStyle w:val="40"/>
        <w:numPr>
          <w:ilvl w:val="0"/>
          <w:numId w:val="20"/>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案例的业绩证明（投标人业绩情况一览表、合同复印件等）投标人业绩；</w:t>
      </w:r>
    </w:p>
    <w:p>
      <w:pPr>
        <w:pStyle w:val="40"/>
        <w:numPr>
          <w:ilvl w:val="0"/>
          <w:numId w:val="20"/>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 xml:space="preserve">投标方认为需要的其他文件资料。 </w:t>
      </w: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firstLine="480" w:firstLineChars="200"/>
        <w:textAlignment w:val="auto"/>
        <w:rPr>
          <w:rFonts w:hint="eastAsia" w:ascii="宋体" w:hAnsi="宋体" w:eastAsia="宋体" w:cs="宋体"/>
          <w:szCs w:val="24"/>
        </w:rPr>
      </w:pPr>
      <w:r>
        <w:rPr>
          <w:rFonts w:hint="eastAsia" w:ascii="宋体" w:hAnsi="宋体" w:eastAsia="宋体" w:cs="宋体"/>
          <w:szCs w:val="24"/>
        </w:rPr>
        <w:t>注：以上内容应与评标办法中内容具有一致性。</w:t>
      </w: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firstLine="480" w:firstLineChars="200"/>
        <w:textAlignment w:val="auto"/>
        <w:rPr>
          <w:rFonts w:hint="eastAsia" w:ascii="宋体" w:hAnsi="宋体" w:eastAsia="宋体" w:cs="宋体"/>
          <w:szCs w:val="24"/>
        </w:rPr>
      </w:pPr>
      <w:r>
        <w:rPr>
          <w:rFonts w:hint="eastAsia" w:ascii="宋体" w:hAnsi="宋体" w:eastAsia="宋体" w:cs="宋体"/>
          <w:szCs w:val="24"/>
        </w:rPr>
        <w:t>如果本项目涉及</w:t>
      </w:r>
      <w:r>
        <w:rPr>
          <w:rFonts w:hint="eastAsia" w:ascii="宋体" w:hAnsi="宋体" w:eastAsia="宋体" w:cs="宋体"/>
          <w:szCs w:val="24"/>
          <w:lang w:eastAsia="zh-CN"/>
        </w:rPr>
        <w:t>软件</w:t>
      </w:r>
      <w:r>
        <w:rPr>
          <w:rFonts w:hint="eastAsia" w:ascii="宋体" w:hAnsi="宋体" w:eastAsia="宋体" w:cs="宋体"/>
          <w:szCs w:val="24"/>
        </w:rPr>
        <w:t>采购，还需提供相关完整配置方案（</w:t>
      </w:r>
      <w:r>
        <w:rPr>
          <w:rFonts w:hint="eastAsia" w:ascii="宋体" w:hAnsi="宋体" w:eastAsia="宋体" w:cs="宋体"/>
          <w:szCs w:val="24"/>
          <w:lang w:eastAsia="zh-CN"/>
        </w:rPr>
        <w:t>软件</w:t>
      </w:r>
      <w:r>
        <w:rPr>
          <w:rFonts w:hint="eastAsia" w:ascii="宋体" w:hAnsi="宋体" w:eastAsia="宋体" w:cs="宋体"/>
          <w:szCs w:val="24"/>
        </w:rPr>
        <w:t>名称、品牌、规格型号、数量、主要技术参数等），提供主要投标产品的技术参数证明材料（如官网截图、产品彩页、技术说明等），明确表示该项指标所涉及的软件是标准配置还是选择配置。</w:t>
      </w: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firstLine="480" w:firstLineChars="200"/>
        <w:textAlignment w:val="auto"/>
        <w:rPr>
          <w:rFonts w:hint="eastAsia" w:ascii="宋体" w:hAnsi="宋体" w:eastAsia="宋体" w:cs="宋体"/>
          <w:szCs w:val="24"/>
        </w:rPr>
      </w:pPr>
      <w:r>
        <w:rPr>
          <w:rFonts w:hint="eastAsia" w:ascii="宋体" w:hAnsi="宋体" w:eastAsia="宋体" w:cs="宋体"/>
          <w:szCs w:val="24"/>
        </w:rPr>
        <w:t>投标人在投标文件中应对项目技术规范和服务要求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投标。</w:t>
      </w:r>
      <w:r>
        <w:rPr>
          <w:rFonts w:hint="eastAsia" w:ascii="宋体" w:hAnsi="宋体" w:eastAsia="宋体" w:cs="宋体"/>
          <w:b/>
          <w:bCs/>
          <w:szCs w:val="24"/>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pPr>
        <w:pStyle w:val="40"/>
        <w:keepNext w:val="0"/>
        <w:keepLines w:val="0"/>
        <w:pageBreakBefore w:val="0"/>
        <w:widowControl w:val="0"/>
        <w:numPr>
          <w:ilvl w:val="0"/>
          <w:numId w:val="18"/>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报价文件包括以下内容：</w:t>
      </w:r>
    </w:p>
    <w:p>
      <w:pPr>
        <w:pStyle w:val="40"/>
        <w:numPr>
          <w:ilvl w:val="0"/>
          <w:numId w:val="21"/>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投标函（格式见附件）；</w:t>
      </w:r>
    </w:p>
    <w:p>
      <w:pPr>
        <w:pStyle w:val="40"/>
        <w:numPr>
          <w:ilvl w:val="0"/>
          <w:numId w:val="21"/>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开标一览表（格式见附件）；</w:t>
      </w:r>
    </w:p>
    <w:p>
      <w:pPr>
        <w:pStyle w:val="40"/>
        <w:numPr>
          <w:ilvl w:val="0"/>
          <w:numId w:val="21"/>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投标报价明细表（格式见附件）；</w:t>
      </w:r>
    </w:p>
    <w:p>
      <w:pPr>
        <w:pStyle w:val="40"/>
        <w:numPr>
          <w:ilvl w:val="0"/>
          <w:numId w:val="21"/>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中小企业声明函(如有)（格式见附件）；</w:t>
      </w:r>
    </w:p>
    <w:p>
      <w:pPr>
        <w:pStyle w:val="40"/>
        <w:numPr>
          <w:ilvl w:val="0"/>
          <w:numId w:val="21"/>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残疾人福利性单位声明函(如有)（格式见附件）；</w:t>
      </w:r>
    </w:p>
    <w:p>
      <w:pPr>
        <w:pStyle w:val="40"/>
        <w:numPr>
          <w:ilvl w:val="0"/>
          <w:numId w:val="21"/>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监狱企业证明文件(如有)（格式见附件）。</w:t>
      </w:r>
    </w:p>
    <w:p>
      <w:pPr>
        <w:pStyle w:val="13"/>
        <w:numPr>
          <w:ilvl w:val="0"/>
          <w:numId w:val="10"/>
        </w:numPr>
        <w:spacing w:line="360" w:lineRule="auto"/>
        <w:ind w:left="0" w:leftChars="0" w:firstLine="482" w:firstLineChars="200"/>
        <w:rPr>
          <w:rFonts w:hint="eastAsia" w:ascii="宋体" w:hAnsi="宋体" w:eastAsia="宋体" w:cs="宋体"/>
          <w:b/>
          <w:sz w:val="24"/>
          <w:szCs w:val="24"/>
        </w:rPr>
      </w:pPr>
      <w:bookmarkStart w:id="43" w:name="_Toc91899887"/>
      <w:r>
        <w:rPr>
          <w:rFonts w:hint="eastAsia" w:ascii="宋体" w:hAnsi="宋体" w:eastAsia="宋体" w:cs="宋体"/>
          <w:b/>
          <w:sz w:val="24"/>
          <w:szCs w:val="24"/>
        </w:rPr>
        <w:t>投标有效期</w:t>
      </w:r>
    </w:p>
    <w:p>
      <w:pPr>
        <w:pStyle w:val="40"/>
        <w:keepNext w:val="0"/>
        <w:keepLines w:val="0"/>
        <w:pageBreakBefore w:val="0"/>
        <w:widowControl w:val="0"/>
        <w:numPr>
          <w:ilvl w:val="0"/>
          <w:numId w:val="22"/>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b w:val="0"/>
          <w:bCs w:val="0"/>
          <w:szCs w:val="24"/>
        </w:rPr>
      </w:pPr>
      <w:r>
        <w:rPr>
          <w:rFonts w:hint="eastAsia" w:ascii="宋体" w:hAnsi="宋体" w:eastAsia="宋体" w:cs="宋体"/>
          <w:b w:val="0"/>
          <w:bCs w:val="0"/>
          <w:color w:val="FF0000"/>
          <w:sz w:val="24"/>
        </w:rPr>
        <w:t>投标文件未在投标截止时间前完成传输的</w:t>
      </w:r>
      <w:r>
        <w:rPr>
          <w:rFonts w:hint="eastAsia" w:ascii="宋体" w:hAnsi="宋体" w:eastAsia="宋体" w:cs="宋体"/>
          <w:b w:val="0"/>
          <w:bCs w:val="0"/>
          <w:color w:val="FF0000"/>
          <w:sz w:val="24"/>
          <w:lang w:eastAsia="zh-CN"/>
        </w:rPr>
        <w:t>或者未按时解密的</w:t>
      </w:r>
      <w:r>
        <w:rPr>
          <w:rFonts w:hint="eastAsia" w:ascii="宋体" w:hAnsi="宋体" w:eastAsia="宋体" w:cs="宋体"/>
          <w:b w:val="0"/>
          <w:bCs w:val="0"/>
          <w:color w:val="FF0000"/>
          <w:sz w:val="24"/>
        </w:rPr>
        <w:t>，视为</w:t>
      </w:r>
      <w:r>
        <w:rPr>
          <w:rFonts w:hint="eastAsia" w:ascii="宋体" w:hAnsi="宋体" w:eastAsia="宋体" w:cs="宋体"/>
          <w:b w:val="0"/>
          <w:bCs w:val="0"/>
          <w:color w:val="FF0000"/>
          <w:sz w:val="24"/>
          <w:lang w:eastAsia="zh-CN"/>
        </w:rPr>
        <w:t>放弃投标</w:t>
      </w:r>
      <w:r>
        <w:rPr>
          <w:rFonts w:hint="eastAsia" w:ascii="宋体" w:hAnsi="宋体" w:eastAsia="宋体" w:cs="宋体"/>
          <w:b w:val="0"/>
          <w:bCs w:val="0"/>
          <w:color w:val="FF0000"/>
          <w:sz w:val="24"/>
        </w:rPr>
        <w:t>；</w:t>
      </w:r>
      <w:r>
        <w:rPr>
          <w:rFonts w:hint="eastAsia" w:ascii="宋体" w:hAnsi="宋体" w:eastAsia="宋体" w:cs="宋体"/>
          <w:b w:val="0"/>
          <w:bCs w:val="0"/>
          <w:color w:val="FF0000"/>
          <w:sz w:val="24"/>
          <w:lang w:eastAsia="zh-CN"/>
        </w:rPr>
        <w:t>投标文件解密失败后未提供备份文件或者备份文件也出现异常情况无法进行评审的</w:t>
      </w:r>
      <w:r>
        <w:rPr>
          <w:rFonts w:hint="eastAsia" w:ascii="宋体" w:hAnsi="宋体" w:eastAsia="宋体" w:cs="宋体"/>
          <w:b w:val="0"/>
          <w:bCs w:val="0"/>
          <w:color w:val="FF0000"/>
          <w:sz w:val="24"/>
        </w:rPr>
        <w:t>，亦视为</w:t>
      </w:r>
      <w:r>
        <w:rPr>
          <w:rFonts w:hint="eastAsia" w:ascii="宋体" w:hAnsi="宋体" w:eastAsia="宋体" w:cs="宋体"/>
          <w:b w:val="0"/>
          <w:bCs w:val="0"/>
          <w:color w:val="FF0000"/>
          <w:sz w:val="24"/>
          <w:lang w:eastAsia="zh-CN"/>
        </w:rPr>
        <w:t>放弃投标</w:t>
      </w:r>
      <w:r>
        <w:rPr>
          <w:rFonts w:hint="eastAsia" w:ascii="宋体" w:hAnsi="宋体" w:eastAsia="宋体" w:cs="宋体"/>
          <w:b w:val="0"/>
          <w:bCs w:val="0"/>
          <w:color w:val="FF0000"/>
          <w:sz w:val="24"/>
        </w:rPr>
        <w:t>。</w:t>
      </w:r>
    </w:p>
    <w:p>
      <w:pPr>
        <w:pStyle w:val="40"/>
        <w:keepNext w:val="0"/>
        <w:keepLines w:val="0"/>
        <w:pageBreakBefore w:val="0"/>
        <w:widowControl w:val="0"/>
        <w:numPr>
          <w:ilvl w:val="0"/>
          <w:numId w:val="22"/>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投标文件</w:t>
      </w:r>
      <w:r>
        <w:rPr>
          <w:rFonts w:hint="eastAsia" w:ascii="宋体" w:hAnsi="宋体" w:eastAsia="宋体" w:cs="宋体"/>
          <w:color w:val="FF0000"/>
          <w:szCs w:val="24"/>
          <w:lang w:eastAsia="zh-CN"/>
        </w:rPr>
        <w:t>上传</w:t>
      </w:r>
      <w:r>
        <w:rPr>
          <w:rFonts w:hint="eastAsia" w:ascii="宋体" w:hAnsi="宋体" w:eastAsia="宋体" w:cs="宋体"/>
          <w:szCs w:val="24"/>
        </w:rPr>
        <w:t>后，自投标截止日期起，在前附表所列的投标有效期内有效。</w:t>
      </w:r>
    </w:p>
    <w:p>
      <w:pPr>
        <w:pStyle w:val="40"/>
        <w:keepNext w:val="0"/>
        <w:keepLines w:val="0"/>
        <w:pageBreakBefore w:val="0"/>
        <w:widowControl w:val="0"/>
        <w:numPr>
          <w:ilvl w:val="0"/>
          <w:numId w:val="22"/>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在原定投标有效期满之前，如果出现特殊情况，采购代理机构可以以书面形式通知投标人延长投标有效期。</w:t>
      </w:r>
    </w:p>
    <w:p>
      <w:pPr>
        <w:pStyle w:val="13"/>
        <w:numPr>
          <w:ilvl w:val="0"/>
          <w:numId w:val="10"/>
        </w:numPr>
        <w:spacing w:line="360" w:lineRule="auto"/>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投标人如有下列情况之一者列入不良行为记录：</w:t>
      </w:r>
    </w:p>
    <w:p>
      <w:pPr>
        <w:pStyle w:val="40"/>
        <w:keepNext w:val="0"/>
        <w:keepLines w:val="0"/>
        <w:pageBreakBefore w:val="0"/>
        <w:widowControl w:val="0"/>
        <w:numPr>
          <w:ilvl w:val="0"/>
          <w:numId w:val="23"/>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投标人在投标有效期内撤回投标的；</w:t>
      </w:r>
    </w:p>
    <w:p>
      <w:pPr>
        <w:pStyle w:val="40"/>
        <w:keepNext w:val="0"/>
        <w:keepLines w:val="0"/>
        <w:pageBreakBefore w:val="0"/>
        <w:widowControl w:val="0"/>
        <w:numPr>
          <w:ilvl w:val="0"/>
          <w:numId w:val="23"/>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中标人或中标候选人放弃中标或中标候选人资格的；</w:t>
      </w:r>
    </w:p>
    <w:p>
      <w:pPr>
        <w:pStyle w:val="40"/>
        <w:keepNext w:val="0"/>
        <w:keepLines w:val="0"/>
        <w:pageBreakBefore w:val="0"/>
        <w:widowControl w:val="0"/>
        <w:numPr>
          <w:ilvl w:val="0"/>
          <w:numId w:val="23"/>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擅自修改或拒绝接受已经确认的条款；</w:t>
      </w:r>
    </w:p>
    <w:p>
      <w:pPr>
        <w:pStyle w:val="40"/>
        <w:keepNext w:val="0"/>
        <w:keepLines w:val="0"/>
        <w:pageBreakBefore w:val="0"/>
        <w:widowControl w:val="0"/>
        <w:numPr>
          <w:ilvl w:val="0"/>
          <w:numId w:val="23"/>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中标人未按规定与采购人签订合同；</w:t>
      </w:r>
    </w:p>
    <w:p>
      <w:pPr>
        <w:pStyle w:val="40"/>
        <w:keepNext w:val="0"/>
        <w:keepLines w:val="0"/>
        <w:pageBreakBefore w:val="0"/>
        <w:widowControl w:val="0"/>
        <w:numPr>
          <w:ilvl w:val="0"/>
          <w:numId w:val="23"/>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未按规定提供履约保证金；</w:t>
      </w:r>
    </w:p>
    <w:p>
      <w:pPr>
        <w:pStyle w:val="40"/>
        <w:keepNext w:val="0"/>
        <w:keepLines w:val="0"/>
        <w:pageBreakBefore w:val="0"/>
        <w:widowControl w:val="0"/>
        <w:numPr>
          <w:ilvl w:val="0"/>
          <w:numId w:val="23"/>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投标人采取提供虚假资料等不正当手段的；</w:t>
      </w:r>
    </w:p>
    <w:p>
      <w:pPr>
        <w:pStyle w:val="40"/>
        <w:keepNext w:val="0"/>
        <w:keepLines w:val="0"/>
        <w:pageBreakBefore w:val="0"/>
        <w:widowControl w:val="0"/>
        <w:numPr>
          <w:ilvl w:val="0"/>
          <w:numId w:val="23"/>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投标人在投标过程中串通投标的。</w:t>
      </w:r>
    </w:p>
    <w:p>
      <w:pPr>
        <w:pStyle w:val="13"/>
        <w:numPr>
          <w:ilvl w:val="0"/>
          <w:numId w:val="10"/>
        </w:numPr>
        <w:spacing w:line="360" w:lineRule="auto"/>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投标文件的编制和签署</w:t>
      </w:r>
    </w:p>
    <w:bookmarkEnd w:id="43"/>
    <w:p>
      <w:pPr>
        <w:pStyle w:val="40"/>
        <w:keepNext w:val="0"/>
        <w:keepLines w:val="0"/>
        <w:pageBreakBefore w:val="0"/>
        <w:widowControl w:val="0"/>
        <w:numPr>
          <w:ilvl w:val="0"/>
          <w:numId w:val="24"/>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color w:val="000000"/>
          <w:sz w:val="24"/>
        </w:rPr>
        <w:t>按招标文件</w:t>
      </w:r>
      <w:r>
        <w:rPr>
          <w:rFonts w:hint="eastAsia" w:ascii="宋体" w:hAnsi="宋体" w:eastAsia="宋体" w:cs="宋体"/>
          <w:color w:val="000000"/>
          <w:sz w:val="24"/>
          <w:lang w:val="en-US" w:eastAsia="zh-CN"/>
        </w:rPr>
        <w:t>9</w:t>
      </w:r>
      <w:r>
        <w:rPr>
          <w:rFonts w:hint="eastAsia" w:ascii="宋体" w:hAnsi="宋体" w:eastAsia="宋体" w:cs="宋体"/>
          <w:color w:val="000000"/>
          <w:sz w:val="24"/>
        </w:rPr>
        <w:t>.1条、</w:t>
      </w:r>
      <w:r>
        <w:rPr>
          <w:rFonts w:hint="eastAsia" w:ascii="宋体" w:hAnsi="宋体" w:eastAsia="宋体" w:cs="宋体"/>
          <w:color w:val="000000"/>
          <w:sz w:val="24"/>
          <w:lang w:val="en-US" w:eastAsia="zh-CN"/>
        </w:rPr>
        <w:t>9</w:t>
      </w:r>
      <w:r>
        <w:rPr>
          <w:rFonts w:hint="eastAsia" w:ascii="宋体" w:hAnsi="宋体" w:eastAsia="宋体" w:cs="宋体"/>
          <w:color w:val="000000"/>
          <w:sz w:val="24"/>
        </w:rPr>
        <w:t>.2条、</w:t>
      </w:r>
      <w:r>
        <w:rPr>
          <w:rFonts w:hint="eastAsia" w:ascii="宋体" w:hAnsi="宋体" w:eastAsia="宋体" w:cs="宋体"/>
          <w:color w:val="000000"/>
          <w:sz w:val="24"/>
          <w:lang w:val="en-US" w:eastAsia="zh-CN"/>
        </w:rPr>
        <w:t>9</w:t>
      </w:r>
      <w:r>
        <w:rPr>
          <w:rFonts w:hint="eastAsia" w:ascii="宋体" w:hAnsi="宋体" w:eastAsia="宋体" w:cs="宋体"/>
          <w:color w:val="000000"/>
          <w:sz w:val="24"/>
        </w:rPr>
        <w:t>.3条要求提供的各种文件，投标文件分为资格文件、</w:t>
      </w:r>
      <w:r>
        <w:rPr>
          <w:rFonts w:hint="eastAsia" w:ascii="宋体" w:hAnsi="宋体" w:eastAsia="宋体" w:cs="宋体"/>
          <w:color w:val="000000"/>
          <w:sz w:val="24"/>
          <w:lang w:eastAsia="zh-CN"/>
        </w:rPr>
        <w:t>商务技术</w:t>
      </w:r>
      <w:r>
        <w:rPr>
          <w:rFonts w:hint="eastAsia" w:ascii="宋体" w:hAnsi="宋体" w:eastAsia="宋体" w:cs="宋体"/>
          <w:color w:val="000000"/>
          <w:sz w:val="24"/>
        </w:rPr>
        <w:t>文件和报价文件</w:t>
      </w:r>
      <w:r>
        <w:rPr>
          <w:rFonts w:hint="eastAsia" w:ascii="宋体" w:hAnsi="宋体" w:eastAsia="宋体" w:cs="宋体"/>
          <w:color w:val="000000"/>
          <w:sz w:val="24"/>
          <w:lang w:eastAsia="zh-CN"/>
        </w:rPr>
        <w:t>三</w:t>
      </w:r>
      <w:r>
        <w:rPr>
          <w:rFonts w:hint="eastAsia" w:ascii="宋体" w:hAnsi="宋体" w:eastAsia="宋体" w:cs="宋体"/>
          <w:color w:val="000000"/>
          <w:sz w:val="24"/>
        </w:rPr>
        <w:t>部分</w:t>
      </w:r>
      <w:r>
        <w:rPr>
          <w:rFonts w:hint="eastAsia" w:ascii="宋体" w:hAnsi="宋体" w:eastAsia="宋体" w:cs="宋体"/>
          <w:color w:val="000000"/>
          <w:sz w:val="24"/>
          <w:lang w:eastAsia="zh-CN"/>
        </w:rPr>
        <w:t>。</w:t>
      </w:r>
    </w:p>
    <w:p>
      <w:pPr>
        <w:pStyle w:val="40"/>
        <w:keepNext w:val="0"/>
        <w:keepLines w:val="0"/>
        <w:pageBreakBefore w:val="0"/>
        <w:widowControl w:val="0"/>
        <w:numPr>
          <w:ilvl w:val="0"/>
          <w:numId w:val="24"/>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color w:val="FF0000"/>
          <w:szCs w:val="24"/>
        </w:rPr>
        <w:t>投标文件须按附件格式要求进行电子签章，投标人应写全称。（电子投标文件中所须加盖公章部分均应采用电子签章）</w:t>
      </w:r>
    </w:p>
    <w:p>
      <w:pPr>
        <w:pStyle w:val="40"/>
        <w:keepNext w:val="0"/>
        <w:keepLines w:val="0"/>
        <w:pageBreakBefore w:val="0"/>
        <w:widowControl w:val="0"/>
        <w:numPr>
          <w:ilvl w:val="0"/>
          <w:numId w:val="24"/>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全套投标文件应无涂改和行间插字，除非这些删改是根据采购代理机构要求进行，或者是投标人造成的必须修改的错误。所修改处应由法定代表人或其授权代表签字盖章予以确认。</w:t>
      </w:r>
    </w:p>
    <w:p>
      <w:pPr>
        <w:pStyle w:val="40"/>
        <w:keepNext w:val="0"/>
        <w:keepLines w:val="0"/>
        <w:pageBreakBefore w:val="0"/>
        <w:widowControl w:val="0"/>
        <w:numPr>
          <w:ilvl w:val="0"/>
          <w:numId w:val="24"/>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rPr>
        <w:t>由于字迹模糊或表达不清引起的后果由投标人负责。</w:t>
      </w:r>
    </w:p>
    <w:p>
      <w:pPr>
        <w:pStyle w:val="13"/>
        <w:numPr>
          <w:ilvl w:val="0"/>
          <w:numId w:val="10"/>
        </w:numPr>
        <w:spacing w:line="360" w:lineRule="auto"/>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 投标文件的</w:t>
      </w:r>
      <w:r>
        <w:rPr>
          <w:rFonts w:hint="eastAsia" w:ascii="宋体" w:hAnsi="宋体" w:eastAsia="宋体" w:cs="宋体"/>
          <w:b/>
          <w:sz w:val="24"/>
          <w:szCs w:val="24"/>
          <w:lang w:eastAsia="zh-CN"/>
        </w:rPr>
        <w:t>形式</w:t>
      </w:r>
    </w:p>
    <w:p>
      <w:pPr>
        <w:autoSpaceDE w:val="0"/>
        <w:autoSpaceDN w:val="0"/>
        <w:spacing w:line="360" w:lineRule="auto"/>
        <w:ind w:firstLine="480" w:firstLineChars="200"/>
        <w:textAlignment w:val="bottom"/>
        <w:rPr>
          <w:rFonts w:hint="eastAsia" w:ascii="宋体" w:hAnsi="宋体" w:eastAsia="宋体" w:cs="宋体"/>
          <w:b w:val="0"/>
          <w:bCs w:val="0"/>
          <w:sz w:val="24"/>
          <w:szCs w:val="24"/>
        </w:rPr>
      </w:pPr>
      <w:r>
        <w:rPr>
          <w:rFonts w:hint="eastAsia" w:ascii="宋体" w:hAnsi="宋体" w:eastAsia="宋体" w:cs="宋体"/>
          <w:b w:val="0"/>
          <w:bCs w:val="0"/>
          <w:color w:val="FF0000"/>
          <w:kern w:val="2"/>
          <w:sz w:val="24"/>
          <w:szCs w:val="21"/>
          <w:lang w:val="en-US" w:eastAsia="zh-CN" w:bidi="ar-SA"/>
        </w:rPr>
        <w:t>投标文件为电子投标文件，电子投标文件按“政采云供应商项目采购-电子招投标操作指南”及本招标文件要求制作、加密传输。</w:t>
      </w:r>
      <w:r>
        <w:rPr>
          <w:rFonts w:hint="eastAsia" w:ascii="宋体" w:hAnsi="宋体" w:eastAsia="宋体" w:cs="宋体"/>
          <w:b w:val="0"/>
          <w:bCs w:val="0"/>
          <w:sz w:val="24"/>
          <w:szCs w:val="24"/>
        </w:rPr>
        <w:t xml:space="preserve"> </w:t>
      </w:r>
    </w:p>
    <w:p>
      <w:pPr>
        <w:spacing w:line="360" w:lineRule="auto"/>
        <w:jc w:val="center"/>
        <w:rPr>
          <w:rFonts w:hint="eastAsia" w:ascii="宋体" w:hAnsi="宋体" w:eastAsia="宋体" w:cs="宋体"/>
          <w:b/>
          <w:sz w:val="24"/>
        </w:rPr>
      </w:pPr>
    </w:p>
    <w:p>
      <w:pPr>
        <w:snapToGrid w:val="0"/>
        <w:spacing w:line="360" w:lineRule="auto"/>
        <w:jc w:val="center"/>
        <w:outlineLvl w:val="0"/>
        <w:rPr>
          <w:rFonts w:hint="eastAsia" w:ascii="宋体" w:hAnsi="宋体" w:eastAsia="宋体" w:cs="宋体"/>
          <w:b/>
          <w:sz w:val="32"/>
        </w:rPr>
      </w:pPr>
      <w:bookmarkStart w:id="44" w:name="_Toc31310"/>
      <w:r>
        <w:rPr>
          <w:rFonts w:hint="eastAsia" w:ascii="宋体" w:hAnsi="宋体" w:eastAsia="宋体" w:cs="宋体"/>
          <w:b/>
          <w:sz w:val="32"/>
        </w:rPr>
        <w:t>四、投标文件的递交</w:t>
      </w:r>
      <w:bookmarkEnd w:id="41"/>
      <w:bookmarkEnd w:id="44"/>
    </w:p>
    <w:bookmarkEnd w:id="42"/>
    <w:p>
      <w:pPr>
        <w:pStyle w:val="13"/>
        <w:numPr>
          <w:ilvl w:val="0"/>
          <w:numId w:val="10"/>
        </w:numPr>
        <w:spacing w:line="360" w:lineRule="auto"/>
        <w:ind w:left="0" w:leftChars="0" w:firstLine="482" w:firstLineChars="200"/>
        <w:rPr>
          <w:rFonts w:hint="eastAsia" w:ascii="宋体" w:hAnsi="宋体" w:eastAsia="宋体" w:cs="宋体"/>
          <w:b/>
          <w:sz w:val="24"/>
          <w:szCs w:val="24"/>
        </w:rPr>
      </w:pPr>
      <w:bookmarkStart w:id="45" w:name="第三部分"/>
      <w:bookmarkStart w:id="46" w:name="_Toc164416483"/>
      <w:r>
        <w:rPr>
          <w:rFonts w:hint="eastAsia" w:ascii="宋体" w:hAnsi="宋体" w:eastAsia="宋体" w:cs="宋体"/>
          <w:b/>
          <w:sz w:val="24"/>
          <w:szCs w:val="24"/>
        </w:rPr>
        <w:t>投标截止期</w:t>
      </w:r>
    </w:p>
    <w:p>
      <w:pPr>
        <w:pStyle w:val="40"/>
        <w:keepNext w:val="0"/>
        <w:keepLines w:val="0"/>
        <w:pageBreakBefore w:val="0"/>
        <w:widowControl w:val="0"/>
        <w:numPr>
          <w:ilvl w:val="0"/>
          <w:numId w:val="25"/>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szCs w:val="24"/>
        </w:rPr>
      </w:pPr>
      <w:r>
        <w:rPr>
          <w:rFonts w:hint="eastAsia" w:ascii="宋体" w:hAnsi="宋体" w:eastAsia="宋体" w:cs="宋体"/>
          <w:color w:val="FF0000"/>
          <w:sz w:val="24"/>
        </w:rPr>
        <w:t>投标文件必须在规定的投标截止时间前</w:t>
      </w:r>
      <w:r>
        <w:rPr>
          <w:rFonts w:hint="eastAsia" w:ascii="宋体" w:hAnsi="宋体" w:eastAsia="宋体" w:cs="宋体"/>
          <w:color w:val="FF0000"/>
          <w:sz w:val="24"/>
          <w:lang w:eastAsia="zh-CN"/>
        </w:rPr>
        <w:t>在政采云系统内完成传输，</w:t>
      </w:r>
      <w:r>
        <w:rPr>
          <w:rFonts w:hint="eastAsia" w:ascii="宋体" w:hAnsi="宋体" w:eastAsia="宋体" w:cs="宋体"/>
          <w:color w:val="FF0000"/>
          <w:sz w:val="24"/>
        </w:rPr>
        <w:t>以</w:t>
      </w:r>
      <w:r>
        <w:rPr>
          <w:rFonts w:hint="eastAsia" w:ascii="宋体" w:hAnsi="宋体" w:eastAsia="宋体" w:cs="宋体"/>
          <w:color w:val="FF0000"/>
          <w:sz w:val="24"/>
          <w:lang w:eastAsia="zh-CN"/>
        </w:rPr>
        <w:t>纸质、</w:t>
      </w:r>
      <w:r>
        <w:rPr>
          <w:rFonts w:hint="eastAsia" w:ascii="宋体" w:hAnsi="宋体" w:eastAsia="宋体" w:cs="宋体"/>
          <w:color w:val="FF0000"/>
          <w:sz w:val="24"/>
        </w:rPr>
        <w:t>电报、电话、传真形式的投标概不接受。</w:t>
      </w:r>
      <w:r>
        <w:rPr>
          <w:rFonts w:hint="eastAsia" w:ascii="宋体" w:hAnsi="宋体" w:eastAsia="宋体" w:cs="宋体"/>
          <w:color w:val="FF0000"/>
          <w:sz w:val="24"/>
          <w:lang w:eastAsia="zh-CN"/>
        </w:rPr>
        <w:t>为应对投标文件解密失败等异常情况，投标人可指派授权代表在投标截止时间之前到达开标地点提交备份文件。</w:t>
      </w:r>
    </w:p>
    <w:p>
      <w:pPr>
        <w:pStyle w:val="40"/>
        <w:keepNext w:val="0"/>
        <w:keepLines w:val="0"/>
        <w:pageBreakBefore w:val="0"/>
        <w:widowControl w:val="0"/>
        <w:numPr>
          <w:ilvl w:val="0"/>
          <w:numId w:val="25"/>
        </w:numPr>
        <w:kinsoku/>
        <w:wordWrap/>
        <w:overflowPunct/>
        <w:topLinePunct w:val="0"/>
        <w:autoSpaceDE/>
        <w:autoSpaceDN/>
        <w:bidi w:val="0"/>
        <w:adjustRightInd w:val="0"/>
        <w:snapToGrid/>
        <w:spacing w:before="0"/>
        <w:ind w:left="0" w:leftChars="0"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采购人因故推迟投标截止时间，将以</w:t>
      </w:r>
      <w:r>
        <w:rPr>
          <w:rFonts w:hint="eastAsia" w:ascii="宋体" w:hAnsi="宋体" w:eastAsia="宋体" w:cs="宋体"/>
          <w:b w:val="0"/>
          <w:bCs w:val="0"/>
          <w:color w:val="000000"/>
          <w:sz w:val="24"/>
          <w:lang w:eastAsia="zh-CN"/>
        </w:rPr>
        <w:t>公告</w:t>
      </w:r>
      <w:r>
        <w:rPr>
          <w:rFonts w:hint="eastAsia" w:ascii="宋体" w:hAnsi="宋体" w:eastAsia="宋体" w:cs="宋体"/>
          <w:b w:val="0"/>
          <w:bCs w:val="0"/>
          <w:color w:val="000000"/>
          <w:sz w:val="24"/>
        </w:rPr>
        <w:t>形式通知。在这种情况下，采购人和投标人的权利和义务将受到新的截止时间的约束。</w:t>
      </w:r>
    </w:p>
    <w:p>
      <w:pPr>
        <w:pStyle w:val="13"/>
        <w:numPr>
          <w:ilvl w:val="0"/>
          <w:numId w:val="10"/>
        </w:numPr>
        <w:spacing w:line="360" w:lineRule="auto"/>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投标文件的修改、撤销</w:t>
      </w:r>
    </w:p>
    <w:p>
      <w:pPr>
        <w:pStyle w:val="13"/>
        <w:spacing w:line="360" w:lineRule="auto"/>
        <w:ind w:firstLine="480" w:firstLineChars="200"/>
        <w:rPr>
          <w:rFonts w:hint="eastAsia" w:ascii="宋体" w:hAnsi="宋体" w:eastAsia="宋体" w:cs="宋体"/>
          <w:color w:val="FF0000"/>
          <w:sz w:val="24"/>
        </w:rPr>
      </w:pPr>
      <w:r>
        <w:rPr>
          <w:rFonts w:hint="eastAsia" w:ascii="宋体" w:hAnsi="宋体" w:eastAsia="宋体" w:cs="宋体"/>
          <w:color w:val="FF0000"/>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pacing w:line="360" w:lineRule="auto"/>
        <w:jc w:val="center"/>
        <w:rPr>
          <w:rFonts w:hint="eastAsia" w:ascii="宋体" w:hAnsi="宋体" w:eastAsia="宋体" w:cs="宋体"/>
          <w:b/>
          <w:sz w:val="24"/>
        </w:rPr>
      </w:pPr>
      <w:bookmarkStart w:id="47" w:name="_Toc91899897"/>
    </w:p>
    <w:p>
      <w:pPr>
        <w:snapToGrid w:val="0"/>
        <w:spacing w:line="360" w:lineRule="auto"/>
        <w:jc w:val="center"/>
        <w:outlineLvl w:val="0"/>
        <w:rPr>
          <w:rFonts w:hint="eastAsia" w:ascii="宋体" w:hAnsi="宋体" w:eastAsia="宋体" w:cs="宋体"/>
          <w:b/>
          <w:sz w:val="32"/>
        </w:rPr>
      </w:pPr>
      <w:bookmarkStart w:id="48" w:name="_Toc27551"/>
      <w:r>
        <w:rPr>
          <w:rFonts w:hint="eastAsia" w:ascii="宋体" w:hAnsi="宋体" w:eastAsia="宋体" w:cs="宋体"/>
          <w:b/>
          <w:sz w:val="32"/>
        </w:rPr>
        <w:t>五、开标</w:t>
      </w:r>
      <w:bookmarkEnd w:id="47"/>
      <w:bookmarkEnd w:id="48"/>
    </w:p>
    <w:p>
      <w:pPr>
        <w:pStyle w:val="13"/>
        <w:numPr>
          <w:ilvl w:val="0"/>
          <w:numId w:val="10"/>
        </w:numPr>
        <w:spacing w:line="360" w:lineRule="auto"/>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开标</w:t>
      </w:r>
    </w:p>
    <w:p>
      <w:pPr>
        <w:pStyle w:val="13"/>
        <w:numPr>
          <w:ilvl w:val="0"/>
          <w:numId w:val="26"/>
        </w:numPr>
        <w:spacing w:line="360" w:lineRule="auto"/>
        <w:ind w:left="0" w:leftChars="0" w:firstLine="480" w:firstLineChars="200"/>
        <w:rPr>
          <w:rFonts w:hint="eastAsia" w:ascii="宋体" w:hAnsi="宋体" w:eastAsia="宋体" w:cs="宋体"/>
          <w:color w:val="000000"/>
          <w:sz w:val="24"/>
        </w:rPr>
      </w:pPr>
      <w:r>
        <w:rPr>
          <w:rFonts w:hint="eastAsia" w:ascii="宋体" w:hAnsi="宋体" w:eastAsia="宋体" w:cs="宋体"/>
          <w:color w:val="000000"/>
          <w:sz w:val="24"/>
        </w:rPr>
        <w:t>在投标截止时间前按规定提交投标文件的投标人在三家（含）以上的，由采购人</w:t>
      </w:r>
      <w:r>
        <w:rPr>
          <w:rFonts w:hint="eastAsia" w:hAnsi="宋体" w:eastAsia="宋体" w:cs="宋体"/>
          <w:color w:val="000000"/>
          <w:sz w:val="24"/>
          <w:lang w:eastAsia="zh-CN"/>
        </w:rPr>
        <w:t>或采购代理机构</w:t>
      </w:r>
      <w:r>
        <w:rPr>
          <w:rFonts w:hint="eastAsia" w:ascii="宋体" w:hAnsi="宋体" w:eastAsia="宋体" w:cs="宋体"/>
          <w:color w:val="000000"/>
          <w:sz w:val="24"/>
        </w:rPr>
        <w:t>组织进行开标。</w:t>
      </w:r>
    </w:p>
    <w:p>
      <w:pPr>
        <w:pStyle w:val="13"/>
        <w:numPr>
          <w:ilvl w:val="0"/>
          <w:numId w:val="26"/>
        </w:numPr>
        <w:spacing w:line="360" w:lineRule="auto"/>
        <w:ind w:left="0" w:leftChars="0" w:firstLine="482"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FF0000"/>
          <w:sz w:val="24"/>
        </w:rPr>
        <w:t>投标人登录政采云平台，用“项目采购-开标评标”功能对电子投标文件进行在线解密。在线解密电子投标文件时间为开标时间起</w:t>
      </w:r>
      <w:r>
        <w:rPr>
          <w:rFonts w:hint="eastAsia" w:ascii="宋体" w:hAnsi="宋体" w:eastAsia="宋体" w:cs="宋体"/>
          <w:b/>
          <w:bCs/>
          <w:color w:val="FF0000"/>
          <w:sz w:val="24"/>
          <w:lang w:val="en-US" w:eastAsia="zh-CN"/>
        </w:rPr>
        <w:t>45分钟</w:t>
      </w:r>
      <w:r>
        <w:rPr>
          <w:rFonts w:hint="eastAsia" w:ascii="宋体" w:hAnsi="宋体" w:eastAsia="宋体" w:cs="宋体"/>
          <w:b/>
          <w:bCs/>
          <w:color w:val="FF0000"/>
          <w:sz w:val="24"/>
        </w:rPr>
        <w:t>内。</w:t>
      </w:r>
      <w:r>
        <w:rPr>
          <w:rFonts w:hint="eastAsia" w:hAnsi="宋体" w:eastAsia="宋体" w:cs="宋体"/>
          <w:b/>
          <w:bCs/>
          <w:strike w:val="0"/>
          <w:dstrike w:val="0"/>
          <w:color w:val="FF0000"/>
          <w:sz w:val="24"/>
          <w:lang w:eastAsia="zh-CN"/>
        </w:rPr>
        <w:t>若电子投标文件解密失败，则由采购代理机构工作人员上传投标人提供的备份文件。</w:t>
      </w:r>
      <w:r>
        <w:rPr>
          <w:rFonts w:hint="eastAsia" w:ascii="宋体" w:hAnsi="宋体" w:eastAsia="宋体" w:cs="宋体"/>
          <w:kern w:val="2"/>
          <w:sz w:val="24"/>
          <w:szCs w:val="24"/>
          <w:lang w:val="en-US" w:eastAsia="zh-CN" w:bidi="ar-SA"/>
        </w:rPr>
        <w:t>备份文件（后缀名为.bfbs）须存储在U盘中，与上传的电子投标文件一致，用信封进行密封并盖章，由授权代表在投标截止时间前递交至开标地点。</w:t>
      </w:r>
    </w:p>
    <w:p>
      <w:pPr>
        <w:pStyle w:val="13"/>
        <w:numPr>
          <w:ilvl w:val="0"/>
          <w:numId w:val="26"/>
        </w:numPr>
        <w:spacing w:line="360" w:lineRule="auto"/>
        <w:ind w:left="0" w:leftChars="0" w:firstLine="480" w:firstLineChars="200"/>
        <w:rPr>
          <w:rFonts w:hint="eastAsia" w:ascii="宋体" w:hAnsi="宋体" w:eastAsia="宋体" w:cs="宋体"/>
          <w:color w:val="000000"/>
          <w:sz w:val="24"/>
        </w:rPr>
      </w:pPr>
      <w:r>
        <w:rPr>
          <w:rFonts w:hint="eastAsia" w:ascii="宋体" w:hAnsi="宋体" w:eastAsia="宋体" w:cs="宋体"/>
          <w:color w:val="000000"/>
          <w:sz w:val="24"/>
        </w:rPr>
        <w:t>采购人按招标文件规定的时间、地点公开开标。开标仪式由采购人</w:t>
      </w:r>
      <w:r>
        <w:rPr>
          <w:rFonts w:hint="eastAsia" w:hAnsi="宋体" w:eastAsia="宋体" w:cs="宋体"/>
          <w:color w:val="000000"/>
          <w:sz w:val="24"/>
          <w:lang w:eastAsia="zh-CN"/>
        </w:rPr>
        <w:t>或采购代理机构</w:t>
      </w:r>
      <w:r>
        <w:rPr>
          <w:rFonts w:hint="eastAsia" w:ascii="宋体" w:hAnsi="宋体" w:eastAsia="宋体" w:cs="宋体"/>
          <w:color w:val="000000"/>
          <w:sz w:val="24"/>
        </w:rPr>
        <w:t>主持及有关人员参加。</w:t>
      </w:r>
    </w:p>
    <w:p>
      <w:pPr>
        <w:pStyle w:val="40"/>
        <w:numPr>
          <w:ilvl w:val="0"/>
          <w:numId w:val="26"/>
        </w:numPr>
        <w:spacing w:before="0"/>
        <w:ind w:left="0" w:leftChars="0" w:firstLine="480" w:firstLineChars="200"/>
        <w:rPr>
          <w:rFonts w:hint="eastAsia" w:ascii="宋体" w:hAnsi="宋体" w:eastAsia="宋体" w:cs="宋体"/>
          <w:szCs w:val="24"/>
        </w:rPr>
      </w:pPr>
      <w:r>
        <w:rPr>
          <w:rFonts w:hint="eastAsia" w:ascii="宋体" w:hAnsi="宋体" w:eastAsia="宋体" w:cs="宋体"/>
          <w:color w:val="FF0000"/>
          <w:szCs w:val="24"/>
        </w:rPr>
        <w:t>本项目为电子投标项目，</w:t>
      </w:r>
      <w:r>
        <w:rPr>
          <w:rFonts w:hint="eastAsia" w:ascii="宋体" w:hAnsi="宋体" w:eastAsia="宋体" w:cs="宋体"/>
          <w:color w:val="FF0000"/>
          <w:szCs w:val="24"/>
          <w:lang w:eastAsia="zh-CN"/>
        </w:rPr>
        <w:t>投标人一般不需要参加现场投标和开标，若投标人需要指派授权代表递交备份文件，则授权代表应</w:t>
      </w:r>
      <w:r>
        <w:rPr>
          <w:rFonts w:hint="eastAsia" w:ascii="宋体" w:hAnsi="宋体" w:eastAsia="宋体" w:cs="宋体"/>
          <w:color w:val="FF0000"/>
          <w:szCs w:val="24"/>
          <w:lang w:val="en-US" w:eastAsia="zh-CN"/>
        </w:rPr>
        <w:t>随身携带法定代表人授权书原件于投标截止时间前到达开标地点递交备份文件。若电子投标文件正常解锁，则U盘退还给供应商；若解锁失败，则由采购代理机构将U盘中的备份文件上传，该U盘将由采购代理机构保存。</w:t>
      </w:r>
    </w:p>
    <w:p>
      <w:pPr>
        <w:pStyle w:val="40"/>
        <w:numPr>
          <w:ilvl w:val="0"/>
          <w:numId w:val="26"/>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jc w:val="center"/>
        <w:rPr>
          <w:rFonts w:hint="eastAsia" w:ascii="宋体" w:hAnsi="宋体" w:eastAsia="宋体" w:cs="宋体"/>
          <w:b/>
          <w:sz w:val="24"/>
        </w:rPr>
      </w:pPr>
    </w:p>
    <w:p>
      <w:pPr>
        <w:snapToGrid w:val="0"/>
        <w:spacing w:line="360" w:lineRule="auto"/>
        <w:jc w:val="center"/>
        <w:outlineLvl w:val="0"/>
        <w:rPr>
          <w:rFonts w:hint="eastAsia" w:ascii="宋体" w:hAnsi="宋体" w:eastAsia="宋体" w:cs="宋体"/>
          <w:b/>
          <w:sz w:val="32"/>
        </w:rPr>
      </w:pPr>
      <w:bookmarkStart w:id="49" w:name="_Toc27698"/>
      <w:r>
        <w:rPr>
          <w:rFonts w:hint="eastAsia" w:ascii="宋体" w:hAnsi="宋体" w:eastAsia="宋体" w:cs="宋体"/>
          <w:b/>
          <w:sz w:val="32"/>
        </w:rPr>
        <w:t>六、资格审查</w:t>
      </w:r>
      <w:bookmarkEnd w:id="49"/>
    </w:p>
    <w:p>
      <w:pPr>
        <w:pStyle w:val="13"/>
        <w:numPr>
          <w:ilvl w:val="0"/>
          <w:numId w:val="10"/>
        </w:numPr>
        <w:spacing w:line="360" w:lineRule="auto"/>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资格审查</w:t>
      </w:r>
    </w:p>
    <w:p>
      <w:pPr>
        <w:pStyle w:val="40"/>
        <w:numPr>
          <w:ilvl w:val="0"/>
          <w:numId w:val="27"/>
        </w:numPr>
        <w:spacing w:before="0"/>
        <w:ind w:left="0" w:leftChars="0" w:firstLine="480" w:firstLineChars="200"/>
        <w:rPr>
          <w:rFonts w:hint="eastAsia" w:ascii="宋体" w:hAnsi="宋体" w:eastAsia="宋体" w:cs="宋体"/>
          <w:szCs w:val="24"/>
          <w:lang w:eastAsia="zh-CN"/>
        </w:rPr>
      </w:pPr>
      <w:bookmarkStart w:id="50" w:name="_Hlt75236101"/>
      <w:bookmarkEnd w:id="50"/>
      <w:bookmarkStart w:id="51" w:name="_Toc91899902"/>
      <w:r>
        <w:rPr>
          <w:rFonts w:hint="eastAsia" w:ascii="宋体" w:hAnsi="宋体" w:eastAsia="宋体" w:cs="宋体"/>
          <w:szCs w:val="24"/>
        </w:rPr>
        <w:t>开标后，采购人或采购代理机构将依法对投标人的资格进行审查</w:t>
      </w:r>
      <w:r>
        <w:rPr>
          <w:rFonts w:hint="eastAsia" w:ascii="宋体" w:hAnsi="宋体" w:eastAsia="宋体" w:cs="宋体"/>
          <w:szCs w:val="24"/>
          <w:lang w:eastAsia="zh-CN"/>
        </w:rPr>
        <w:t>；</w:t>
      </w:r>
    </w:p>
    <w:p>
      <w:pPr>
        <w:pStyle w:val="40"/>
        <w:numPr>
          <w:ilvl w:val="0"/>
          <w:numId w:val="27"/>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采购人或采购代理机构依据法律法规和招标文件的规定，对投标人的基本资格条件、特定资格条件进行审查。</w:t>
      </w:r>
    </w:p>
    <w:p>
      <w:pPr>
        <w:pStyle w:val="40"/>
        <w:numPr>
          <w:ilvl w:val="0"/>
          <w:numId w:val="27"/>
        </w:numPr>
        <w:spacing w:before="0"/>
        <w:ind w:left="0" w:leftChars="0" w:firstLine="480" w:firstLineChars="200"/>
        <w:rPr>
          <w:rFonts w:hint="eastAsia" w:ascii="宋体" w:hAnsi="宋体" w:eastAsia="宋体" w:cs="宋体"/>
          <w:szCs w:val="24"/>
          <w:lang w:eastAsia="zh-CN"/>
        </w:rPr>
      </w:pPr>
      <w:r>
        <w:rPr>
          <w:rFonts w:hint="eastAsia" w:ascii="宋体" w:hAnsi="宋体" w:eastAsia="宋体" w:cs="宋体"/>
          <w:szCs w:val="24"/>
          <w:lang w:val="en-US" w:eastAsia="zh-CN"/>
        </w:rPr>
        <w:t>采购人或采购代理机构将</w:t>
      </w:r>
      <w:r>
        <w:rPr>
          <w:rFonts w:hint="eastAsia" w:ascii="宋体" w:hAnsi="宋体" w:eastAsia="宋体" w:cs="宋体"/>
          <w:szCs w:val="24"/>
        </w:rPr>
        <w:t>通过“信用中国”网站(www.creditchina.gov.cn)、中国政府采购网(</w:t>
      </w:r>
      <w:r>
        <w:rPr>
          <w:rFonts w:hint="eastAsia" w:ascii="宋体" w:hAnsi="宋体" w:eastAsia="宋体" w:cs="宋体"/>
          <w:szCs w:val="24"/>
        </w:rPr>
        <w:fldChar w:fldCharType="begin"/>
      </w:r>
      <w:r>
        <w:rPr>
          <w:rFonts w:hint="eastAsia" w:ascii="宋体" w:hAnsi="宋体" w:eastAsia="宋体" w:cs="宋体"/>
          <w:szCs w:val="24"/>
        </w:rPr>
        <w:instrText xml:space="preserve"> HYPERLINK "http://www.ccgp.gov.cn" </w:instrText>
      </w:r>
      <w:r>
        <w:rPr>
          <w:rFonts w:hint="eastAsia" w:ascii="宋体" w:hAnsi="宋体" w:eastAsia="宋体" w:cs="宋体"/>
          <w:szCs w:val="24"/>
        </w:rPr>
        <w:fldChar w:fldCharType="separate"/>
      </w:r>
      <w:r>
        <w:rPr>
          <w:rFonts w:hint="eastAsia" w:ascii="宋体" w:hAnsi="宋体" w:eastAsia="宋体" w:cs="宋体"/>
          <w:szCs w:val="24"/>
        </w:rPr>
        <w:t>www.ccgp.gov.cn</w:t>
      </w:r>
      <w:r>
        <w:rPr>
          <w:rFonts w:hint="eastAsia" w:ascii="宋体" w:hAnsi="宋体" w:eastAsia="宋体" w:cs="宋体"/>
          <w:szCs w:val="24"/>
        </w:rPr>
        <w:fldChar w:fldCharType="end"/>
      </w:r>
      <w:r>
        <w:rPr>
          <w:rFonts w:hint="eastAsia" w:ascii="宋体" w:hAnsi="宋体" w:eastAsia="宋体" w:cs="宋体"/>
          <w:szCs w:val="24"/>
        </w:rPr>
        <w:t>)渠道查询投标人投标截止时间前的信用记录</w:t>
      </w:r>
      <w:r>
        <w:rPr>
          <w:rFonts w:hint="eastAsia" w:ascii="宋体" w:hAnsi="宋体" w:eastAsia="宋体" w:cs="宋体"/>
          <w:szCs w:val="24"/>
          <w:lang w:eastAsia="zh-CN"/>
        </w:rPr>
        <w:t>，</w:t>
      </w:r>
      <w:r>
        <w:rPr>
          <w:rFonts w:hint="eastAsia" w:ascii="宋体" w:hAnsi="宋体" w:eastAsia="宋体" w:cs="宋体"/>
          <w:szCs w:val="24"/>
        </w:rPr>
        <w:t>经查询投标人列入失信被执行人名单、重大税收违法案件当事人名单、政府采购严重违法失信行为记录名单的，其投标</w:t>
      </w:r>
      <w:r>
        <w:rPr>
          <w:rFonts w:hint="eastAsia" w:ascii="宋体" w:hAnsi="宋体" w:eastAsia="宋体" w:cs="宋体"/>
          <w:szCs w:val="24"/>
          <w:lang w:eastAsia="zh-CN"/>
        </w:rPr>
        <w:t>无效；</w:t>
      </w:r>
    </w:p>
    <w:p>
      <w:pPr>
        <w:pStyle w:val="40"/>
        <w:numPr>
          <w:ilvl w:val="0"/>
          <w:numId w:val="27"/>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采购人或采购代理机构出具《投标人资格审查意见表》，投标人未按照招标文件要求提供与基本资格条件、特定资格条件相应的有效资格证明材料的，视为投标人不具备招标文件中规定的资格要求，其投标无效。</w:t>
      </w:r>
    </w:p>
    <w:p>
      <w:pPr>
        <w:spacing w:line="360" w:lineRule="auto"/>
        <w:jc w:val="center"/>
        <w:rPr>
          <w:rFonts w:hint="eastAsia" w:ascii="宋体" w:hAnsi="宋体" w:eastAsia="宋体" w:cs="宋体"/>
          <w:b/>
          <w:sz w:val="24"/>
        </w:rPr>
      </w:pPr>
    </w:p>
    <w:p>
      <w:pPr>
        <w:snapToGrid w:val="0"/>
        <w:spacing w:line="360" w:lineRule="auto"/>
        <w:jc w:val="center"/>
        <w:outlineLvl w:val="0"/>
        <w:rPr>
          <w:rFonts w:hint="eastAsia" w:ascii="宋体" w:hAnsi="宋体" w:eastAsia="宋体" w:cs="宋体"/>
          <w:b/>
          <w:sz w:val="32"/>
        </w:rPr>
      </w:pPr>
      <w:bookmarkStart w:id="52" w:name="_Toc22675"/>
      <w:r>
        <w:rPr>
          <w:rFonts w:hint="eastAsia" w:ascii="宋体" w:hAnsi="宋体" w:eastAsia="宋体" w:cs="宋体"/>
          <w:b/>
          <w:sz w:val="32"/>
        </w:rPr>
        <w:t>七、评标</w:t>
      </w:r>
      <w:bookmarkEnd w:id="51"/>
      <w:bookmarkEnd w:id="52"/>
    </w:p>
    <w:p>
      <w:pPr>
        <w:pStyle w:val="13"/>
        <w:numPr>
          <w:ilvl w:val="0"/>
          <w:numId w:val="10"/>
        </w:numPr>
        <w:spacing w:line="360" w:lineRule="auto"/>
        <w:ind w:left="0" w:leftChars="0" w:firstLine="482" w:firstLineChars="200"/>
        <w:rPr>
          <w:rFonts w:hint="eastAsia" w:ascii="宋体" w:hAnsi="宋体" w:eastAsia="宋体" w:cs="宋体"/>
          <w:b/>
          <w:sz w:val="24"/>
          <w:szCs w:val="24"/>
        </w:rPr>
      </w:pPr>
      <w:bookmarkStart w:id="53" w:name="_Toc91899903"/>
      <w:r>
        <w:rPr>
          <w:rFonts w:hint="eastAsia" w:ascii="宋体" w:hAnsi="宋体" w:eastAsia="宋体" w:cs="宋体"/>
          <w:b/>
          <w:sz w:val="24"/>
          <w:szCs w:val="24"/>
        </w:rPr>
        <w:t>评标原则</w:t>
      </w:r>
    </w:p>
    <w:p>
      <w:pPr>
        <w:pStyle w:val="40"/>
        <w:numPr>
          <w:ilvl w:val="0"/>
          <w:numId w:val="28"/>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rPr>
        <w:t>竞争优选；</w:t>
      </w:r>
    </w:p>
    <w:p>
      <w:pPr>
        <w:pStyle w:val="40"/>
        <w:numPr>
          <w:ilvl w:val="0"/>
          <w:numId w:val="28"/>
        </w:numPr>
        <w:spacing w:before="0"/>
        <w:ind w:left="0" w:leftChars="0" w:firstLine="480" w:firstLineChars="200"/>
        <w:rPr>
          <w:rFonts w:hint="eastAsia" w:ascii="宋体" w:hAnsi="宋体" w:eastAsia="宋体" w:cs="宋体"/>
          <w:szCs w:val="24"/>
        </w:rPr>
      </w:pPr>
      <w:r>
        <w:rPr>
          <w:rFonts w:hint="eastAsia" w:ascii="宋体" w:hAnsi="宋体" w:eastAsia="宋体" w:cs="宋体"/>
          <w:szCs w:val="24"/>
          <w:lang w:val="zh-CN"/>
        </w:rPr>
        <w:t>坚持公开</w:t>
      </w:r>
      <w:r>
        <w:rPr>
          <w:rFonts w:hint="eastAsia" w:ascii="宋体" w:hAnsi="宋体" w:eastAsia="宋体" w:cs="宋体"/>
          <w:szCs w:val="24"/>
        </w:rPr>
        <w:t>、公平、公正、科学合理</w:t>
      </w:r>
      <w:r>
        <w:rPr>
          <w:rFonts w:hint="eastAsia" w:ascii="宋体" w:hAnsi="宋体" w:eastAsia="宋体" w:cs="宋体"/>
          <w:szCs w:val="24"/>
          <w:lang w:val="zh-CN"/>
        </w:rPr>
        <w:t>的原则；</w:t>
      </w:r>
    </w:p>
    <w:p>
      <w:pPr>
        <w:pStyle w:val="40"/>
        <w:numPr>
          <w:ilvl w:val="0"/>
          <w:numId w:val="28"/>
        </w:numPr>
        <w:spacing w:before="0"/>
        <w:ind w:left="0" w:leftChars="0" w:firstLine="480" w:firstLineChars="200"/>
        <w:rPr>
          <w:rFonts w:hint="eastAsia" w:ascii="宋体" w:hAnsi="宋体" w:eastAsia="宋体" w:cs="宋体"/>
          <w:szCs w:val="24"/>
          <w:lang w:val="zh-CN"/>
        </w:rPr>
      </w:pPr>
      <w:r>
        <w:rPr>
          <w:rFonts w:hint="eastAsia" w:ascii="宋体" w:hAnsi="宋体" w:eastAsia="宋体" w:cs="宋体"/>
          <w:szCs w:val="24"/>
        </w:rPr>
        <w:t>价格合理，方案、产品先进可行；</w:t>
      </w:r>
    </w:p>
    <w:p>
      <w:pPr>
        <w:pStyle w:val="40"/>
        <w:numPr>
          <w:ilvl w:val="0"/>
          <w:numId w:val="28"/>
        </w:numPr>
        <w:spacing w:before="0"/>
        <w:ind w:left="0" w:leftChars="0" w:firstLine="480" w:firstLineChars="200"/>
        <w:rPr>
          <w:rFonts w:hint="eastAsia" w:ascii="宋体" w:hAnsi="宋体" w:eastAsia="宋体" w:cs="宋体"/>
          <w:szCs w:val="24"/>
          <w:lang w:val="zh-CN"/>
        </w:rPr>
      </w:pPr>
      <w:r>
        <w:rPr>
          <w:rFonts w:hint="eastAsia" w:ascii="宋体" w:hAnsi="宋体" w:eastAsia="宋体" w:cs="宋体"/>
          <w:szCs w:val="24"/>
          <w:lang w:val="zh-CN"/>
        </w:rPr>
        <w:t>反对不正当竞争。</w:t>
      </w:r>
    </w:p>
    <w:p>
      <w:pPr>
        <w:pStyle w:val="13"/>
        <w:numPr>
          <w:ilvl w:val="0"/>
          <w:numId w:val="10"/>
        </w:numPr>
        <w:spacing w:line="360" w:lineRule="auto"/>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评标组织</w:t>
      </w:r>
    </w:p>
    <w:p>
      <w:pPr>
        <w:pStyle w:val="40"/>
        <w:numPr>
          <w:ilvl w:val="0"/>
          <w:numId w:val="29"/>
        </w:numPr>
        <w:spacing w:before="0"/>
        <w:ind w:left="0" w:leftChars="0" w:firstLine="480" w:firstLineChars="200"/>
        <w:rPr>
          <w:rFonts w:hint="eastAsia" w:ascii="宋体" w:hAnsi="宋体" w:eastAsia="宋体" w:cs="宋体"/>
          <w:szCs w:val="24"/>
          <w:lang w:val="zh-CN"/>
        </w:rPr>
      </w:pPr>
      <w:r>
        <w:rPr>
          <w:rFonts w:hint="eastAsia" w:ascii="宋体" w:hAnsi="宋体" w:eastAsia="宋体" w:cs="宋体"/>
          <w:szCs w:val="24"/>
          <w:lang w:val="zh-CN"/>
        </w:rPr>
        <w:t>评标委员会由采购人代表和评审专家组成，成员人数应当为5人以上单数，其中评审专家不得少于成员总数的三分之二；</w:t>
      </w:r>
    </w:p>
    <w:p>
      <w:pPr>
        <w:pStyle w:val="40"/>
        <w:numPr>
          <w:ilvl w:val="0"/>
          <w:numId w:val="29"/>
        </w:numPr>
        <w:spacing w:before="0"/>
        <w:ind w:left="0" w:leftChars="0" w:firstLine="480" w:firstLineChars="200"/>
        <w:rPr>
          <w:rFonts w:hint="eastAsia" w:ascii="宋体" w:hAnsi="宋体" w:eastAsia="宋体" w:cs="宋体"/>
          <w:strike w:val="0"/>
          <w:dstrike w:val="0"/>
          <w:szCs w:val="24"/>
          <w:lang w:val="zh-CN"/>
        </w:rPr>
      </w:pPr>
      <w:r>
        <w:rPr>
          <w:rFonts w:hint="eastAsia" w:ascii="宋体" w:hAnsi="宋体" w:eastAsia="宋体" w:cs="宋体"/>
          <w:szCs w:val="24"/>
          <w:lang w:val="zh-CN"/>
        </w:rPr>
        <w:t>评标工作由评标委员会负责，并推选产生的组长主持；</w:t>
      </w:r>
    </w:p>
    <w:p>
      <w:pPr>
        <w:pStyle w:val="40"/>
        <w:numPr>
          <w:ilvl w:val="0"/>
          <w:numId w:val="29"/>
        </w:numPr>
        <w:spacing w:before="0"/>
        <w:ind w:left="0" w:leftChars="0" w:firstLine="480" w:firstLineChars="200"/>
        <w:rPr>
          <w:rFonts w:hint="eastAsia" w:ascii="宋体" w:hAnsi="宋体" w:eastAsia="宋体" w:cs="宋体"/>
          <w:szCs w:val="24"/>
          <w:lang w:val="zh-CN"/>
        </w:rPr>
      </w:pPr>
      <w:r>
        <w:rPr>
          <w:rFonts w:hint="eastAsia" w:ascii="宋体" w:hAnsi="宋体" w:eastAsia="宋体" w:cs="宋体"/>
          <w:strike w:val="0"/>
          <w:dstrike w:val="0"/>
          <w:szCs w:val="24"/>
          <w:lang w:val="zh-CN"/>
        </w:rPr>
        <w:t>本次评标为在线评标。</w:t>
      </w:r>
    </w:p>
    <w:p>
      <w:pPr>
        <w:pStyle w:val="13"/>
        <w:numPr>
          <w:ilvl w:val="0"/>
          <w:numId w:val="10"/>
        </w:numPr>
        <w:spacing w:line="360" w:lineRule="auto"/>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评标办法</w:t>
      </w:r>
    </w:p>
    <w:p>
      <w:pPr>
        <w:spacing w:line="360" w:lineRule="auto"/>
        <w:ind w:firstLine="467" w:firstLineChars="194"/>
        <w:rPr>
          <w:rFonts w:hint="eastAsia" w:ascii="宋体" w:hAnsi="宋体" w:eastAsia="宋体" w:cs="宋体"/>
          <w:b/>
          <w:kern w:val="0"/>
          <w:sz w:val="24"/>
          <w:szCs w:val="20"/>
        </w:rPr>
      </w:pPr>
      <w:r>
        <w:rPr>
          <w:rFonts w:hint="eastAsia" w:ascii="宋体" w:hAnsi="宋体" w:eastAsia="宋体" w:cs="宋体"/>
          <w:b/>
          <w:kern w:val="0"/>
          <w:sz w:val="24"/>
          <w:szCs w:val="20"/>
        </w:rPr>
        <w:t>本项目评标办法是</w:t>
      </w:r>
      <w:r>
        <w:rPr>
          <w:rFonts w:hint="eastAsia" w:ascii="宋体" w:hAnsi="宋体" w:eastAsia="宋体" w:cs="宋体"/>
          <w:b/>
          <w:color w:val="FF0000"/>
          <w:kern w:val="0"/>
          <w:sz w:val="24"/>
          <w:szCs w:val="20"/>
        </w:rPr>
        <w:t>综合评分法</w:t>
      </w:r>
      <w:r>
        <w:rPr>
          <w:rFonts w:hint="eastAsia" w:ascii="宋体" w:hAnsi="宋体" w:eastAsia="宋体" w:cs="宋体"/>
          <w:b/>
          <w:kern w:val="0"/>
          <w:sz w:val="24"/>
          <w:szCs w:val="20"/>
        </w:rPr>
        <w:t>，具体评标内容及评分标准等详见招标文件第三部分。</w:t>
      </w:r>
    </w:p>
    <w:p>
      <w:pPr>
        <w:pStyle w:val="13"/>
        <w:numPr>
          <w:ilvl w:val="0"/>
          <w:numId w:val="10"/>
        </w:numPr>
        <w:spacing w:line="360" w:lineRule="auto"/>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投标文件符合性审查</w:t>
      </w:r>
    </w:p>
    <w:p>
      <w:pPr>
        <w:pStyle w:val="40"/>
        <w:numPr>
          <w:ilvl w:val="0"/>
          <w:numId w:val="30"/>
        </w:numPr>
        <w:spacing w:before="0"/>
        <w:ind w:left="0" w:leftChars="0" w:firstLine="480" w:firstLineChars="200"/>
        <w:rPr>
          <w:rFonts w:hint="eastAsia" w:ascii="宋体" w:hAnsi="宋体" w:eastAsia="宋体" w:cs="宋体"/>
          <w:szCs w:val="24"/>
          <w:lang w:val="zh-CN"/>
        </w:rPr>
      </w:pPr>
      <w:r>
        <w:rPr>
          <w:rFonts w:hint="eastAsia" w:ascii="宋体" w:hAnsi="宋体" w:eastAsia="宋体" w:cs="宋体"/>
          <w:szCs w:val="24"/>
          <w:lang w:val="zh-CN"/>
        </w:rPr>
        <w:t>投标文件符合性审查：评标委员会依据招标文件的规定，从投标文件的有效性、完整性和对招标文件的响应程度进行审查，以确定是否对招标文件的要求作出实质性响应。</w:t>
      </w:r>
    </w:p>
    <w:p>
      <w:pPr>
        <w:pStyle w:val="40"/>
        <w:numPr>
          <w:ilvl w:val="0"/>
          <w:numId w:val="30"/>
        </w:numPr>
        <w:spacing w:before="0"/>
        <w:ind w:left="0" w:leftChars="0" w:firstLine="480" w:firstLineChars="200"/>
        <w:rPr>
          <w:rFonts w:hint="eastAsia" w:ascii="宋体" w:hAnsi="宋体" w:eastAsia="宋体" w:cs="宋体"/>
          <w:szCs w:val="24"/>
          <w:lang w:val="zh-CN"/>
        </w:rPr>
      </w:pPr>
      <w:r>
        <w:rPr>
          <w:rFonts w:hint="eastAsia" w:ascii="宋体" w:hAnsi="宋体" w:eastAsia="宋体" w:cs="宋体"/>
          <w:szCs w:val="24"/>
          <w:lang w:val="zh-CN"/>
        </w:rPr>
        <w:t>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pPr>
        <w:pStyle w:val="40"/>
        <w:numPr>
          <w:ilvl w:val="0"/>
          <w:numId w:val="30"/>
        </w:numPr>
        <w:spacing w:before="0"/>
        <w:ind w:left="0" w:leftChars="0" w:firstLine="480" w:firstLineChars="200"/>
        <w:rPr>
          <w:rFonts w:hint="eastAsia" w:ascii="宋体" w:hAnsi="宋体" w:eastAsia="宋体" w:cs="宋体"/>
          <w:szCs w:val="24"/>
          <w:lang w:val="zh-CN"/>
        </w:rPr>
      </w:pPr>
      <w:r>
        <w:rPr>
          <w:rFonts w:hint="eastAsia" w:ascii="宋体" w:hAnsi="宋体" w:eastAsia="宋体" w:cs="宋体"/>
          <w:szCs w:val="24"/>
          <w:lang w:val="zh-CN"/>
        </w:rPr>
        <w:t xml:space="preserve">如果投标文件没有实质上响应招标文件的要求，评标委员会将判定无效投标，投标人不得通过修改或撤销不合要求的偏离或保留而使其投标成为实质性响应的投标。 </w:t>
      </w:r>
    </w:p>
    <w:p>
      <w:pPr>
        <w:pStyle w:val="40"/>
        <w:numPr>
          <w:ilvl w:val="0"/>
          <w:numId w:val="30"/>
        </w:numPr>
        <w:spacing w:before="0"/>
        <w:ind w:left="0" w:leftChars="0" w:firstLine="480" w:firstLineChars="200"/>
        <w:rPr>
          <w:rFonts w:hint="eastAsia" w:ascii="宋体" w:hAnsi="宋体" w:eastAsia="宋体" w:cs="宋体"/>
          <w:szCs w:val="24"/>
          <w:lang w:val="zh-CN"/>
        </w:rPr>
      </w:pPr>
      <w:r>
        <w:rPr>
          <w:rFonts w:hint="eastAsia" w:ascii="宋体" w:hAnsi="宋体" w:eastAsia="宋体" w:cs="宋体"/>
          <w:szCs w:val="24"/>
          <w:lang w:val="zh-CN"/>
        </w:rPr>
        <w:t>即按《评分标准》确定的标准，以经审查合格的投标文件进行资信、技术和商务评估，并综合进行比较与评价。根据《浙江省政府采购活动现场组织管理办法》的通知（浙财采监{2015}13号）规定，“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13"/>
        <w:numPr>
          <w:ilvl w:val="0"/>
          <w:numId w:val="10"/>
        </w:numPr>
        <w:spacing w:line="360" w:lineRule="auto"/>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修正原则</w:t>
      </w:r>
    </w:p>
    <w:p>
      <w:pPr>
        <w:pStyle w:val="40"/>
        <w:numPr>
          <w:ilvl w:val="0"/>
          <w:numId w:val="0"/>
        </w:numPr>
        <w:spacing w:before="0"/>
        <w:ind w:leftChars="200"/>
        <w:rPr>
          <w:rFonts w:hint="eastAsia" w:ascii="宋体" w:hAnsi="宋体" w:eastAsia="宋体" w:cs="宋体"/>
          <w:szCs w:val="24"/>
          <w:lang w:val="zh-CN"/>
        </w:rPr>
      </w:pPr>
      <w:r>
        <w:rPr>
          <w:rFonts w:hint="eastAsia" w:ascii="宋体" w:hAnsi="宋体" w:eastAsia="宋体" w:cs="宋体"/>
          <w:szCs w:val="24"/>
          <w:lang w:val="zh-CN"/>
        </w:rPr>
        <w:t>投标文件报价出现前后不一致的，按照下列规定修正：</w:t>
      </w:r>
    </w:p>
    <w:p>
      <w:pPr>
        <w:pStyle w:val="40"/>
        <w:numPr>
          <w:ilvl w:val="0"/>
          <w:numId w:val="31"/>
        </w:numPr>
        <w:spacing w:before="0"/>
        <w:ind w:left="0" w:leftChars="0" w:firstLine="480" w:firstLineChars="200"/>
        <w:rPr>
          <w:rFonts w:hint="eastAsia" w:ascii="宋体" w:hAnsi="宋体" w:eastAsia="宋体" w:cs="宋体"/>
          <w:szCs w:val="24"/>
          <w:lang w:val="zh-CN"/>
        </w:rPr>
      </w:pPr>
      <w:r>
        <w:rPr>
          <w:rFonts w:hint="eastAsia" w:ascii="宋体" w:hAnsi="宋体" w:eastAsia="宋体" w:cs="宋体"/>
          <w:szCs w:val="24"/>
          <w:lang w:val="zh-CN"/>
        </w:rPr>
        <w:t>投标文件中投标（开标）一览表内容与投标文件中相应内容不一致的，以投标（开标）一览表为准；</w:t>
      </w:r>
    </w:p>
    <w:p>
      <w:pPr>
        <w:pStyle w:val="40"/>
        <w:numPr>
          <w:ilvl w:val="0"/>
          <w:numId w:val="31"/>
        </w:numPr>
        <w:spacing w:before="0"/>
        <w:ind w:left="0" w:leftChars="0" w:firstLine="480" w:firstLineChars="200"/>
        <w:rPr>
          <w:rFonts w:hint="eastAsia" w:ascii="宋体" w:hAnsi="宋体" w:eastAsia="宋体" w:cs="宋体"/>
          <w:szCs w:val="24"/>
          <w:lang w:val="zh-CN"/>
        </w:rPr>
      </w:pPr>
      <w:r>
        <w:rPr>
          <w:rFonts w:hint="eastAsia" w:ascii="宋体" w:hAnsi="宋体" w:eastAsia="宋体" w:cs="宋体"/>
          <w:szCs w:val="24"/>
          <w:lang w:val="zh-CN"/>
        </w:rPr>
        <w:t>大写金额和小写金额不一致的，以大写金额为准；</w:t>
      </w:r>
    </w:p>
    <w:p>
      <w:pPr>
        <w:pStyle w:val="40"/>
        <w:numPr>
          <w:ilvl w:val="0"/>
          <w:numId w:val="31"/>
        </w:numPr>
        <w:spacing w:before="0"/>
        <w:ind w:left="0" w:leftChars="0" w:firstLine="480" w:firstLineChars="200"/>
        <w:rPr>
          <w:rFonts w:hint="eastAsia" w:ascii="宋体" w:hAnsi="宋体" w:eastAsia="宋体" w:cs="宋体"/>
          <w:szCs w:val="24"/>
          <w:lang w:val="zh-CN"/>
        </w:rPr>
      </w:pPr>
      <w:r>
        <w:rPr>
          <w:rFonts w:hint="eastAsia" w:ascii="宋体" w:hAnsi="宋体" w:eastAsia="宋体" w:cs="宋体"/>
          <w:szCs w:val="24"/>
          <w:lang w:val="zh-CN"/>
        </w:rPr>
        <w:t>单价金额小数点或者百分比有明显错位的，以投标（开标）一览表的总价为准，并修改单价；</w:t>
      </w:r>
    </w:p>
    <w:p>
      <w:pPr>
        <w:pStyle w:val="40"/>
        <w:numPr>
          <w:ilvl w:val="0"/>
          <w:numId w:val="31"/>
        </w:numPr>
        <w:spacing w:before="0"/>
        <w:ind w:left="0" w:leftChars="0" w:firstLine="480" w:firstLineChars="200"/>
        <w:rPr>
          <w:rFonts w:hint="eastAsia" w:ascii="宋体" w:hAnsi="宋体" w:eastAsia="宋体" w:cs="宋体"/>
          <w:szCs w:val="24"/>
          <w:lang w:val="zh-CN"/>
        </w:rPr>
      </w:pPr>
      <w:r>
        <w:rPr>
          <w:rFonts w:hint="eastAsia" w:ascii="宋体" w:hAnsi="宋体" w:eastAsia="宋体" w:cs="宋体"/>
          <w:szCs w:val="24"/>
          <w:lang w:val="zh-CN"/>
        </w:rPr>
        <w:t>总价金额与按单价汇总金额不一致的，以单价金额计算结果为准。</w:t>
      </w:r>
    </w:p>
    <w:p>
      <w:pPr>
        <w:pStyle w:val="40"/>
        <w:numPr>
          <w:ilvl w:val="0"/>
          <w:numId w:val="0"/>
        </w:numPr>
        <w:spacing w:before="0"/>
        <w:ind w:firstLine="480" w:firstLineChars="200"/>
        <w:rPr>
          <w:rFonts w:hint="eastAsia" w:ascii="宋体" w:hAnsi="宋体" w:eastAsia="宋体" w:cs="宋体"/>
          <w:szCs w:val="24"/>
          <w:lang w:val="zh-CN"/>
        </w:rPr>
      </w:pPr>
      <w:r>
        <w:rPr>
          <w:rFonts w:hint="eastAsia" w:ascii="宋体" w:hAnsi="宋体" w:eastAsia="宋体" w:cs="宋体"/>
          <w:szCs w:val="24"/>
          <w:lang w:val="zh-CN"/>
        </w:rPr>
        <w:t>同时出现两种以上不一致的，按照前款规定的顺序修正。修正后的报价按照财政部公布第87号令 《政府采购产品和服务招标投标管理办法》第五十一条第二款的规定经投标人确认后产生约束力，投标人不确认的，其投标无效。</w:t>
      </w:r>
    </w:p>
    <w:p>
      <w:pPr>
        <w:pStyle w:val="13"/>
        <w:numPr>
          <w:ilvl w:val="0"/>
          <w:numId w:val="10"/>
        </w:numPr>
        <w:spacing w:line="360" w:lineRule="auto"/>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投标文件的澄清</w:t>
      </w:r>
    </w:p>
    <w:p>
      <w:pPr>
        <w:pStyle w:val="40"/>
        <w:numPr>
          <w:ilvl w:val="0"/>
          <w:numId w:val="32"/>
        </w:numPr>
        <w:spacing w:before="0"/>
        <w:ind w:left="0" w:leftChars="0" w:firstLine="480" w:firstLineChars="200"/>
        <w:rPr>
          <w:rFonts w:hint="eastAsia" w:ascii="宋体" w:hAnsi="宋体" w:eastAsia="宋体" w:cs="宋体"/>
          <w:color w:val="FF0000"/>
          <w:szCs w:val="24"/>
          <w:lang w:val="zh-CN"/>
        </w:rPr>
      </w:pPr>
      <w:r>
        <w:rPr>
          <w:rFonts w:hint="eastAsia" w:ascii="宋体" w:hAnsi="宋体" w:eastAsia="宋体" w:cs="宋体"/>
          <w:color w:val="FF0000"/>
          <w:szCs w:val="24"/>
          <w:lang w:val="zh-CN"/>
        </w:rPr>
        <w:t>评审中</w:t>
      </w:r>
      <w:r>
        <w:rPr>
          <w:rFonts w:hint="eastAsia" w:ascii="宋体" w:hAnsi="宋体" w:eastAsia="宋体" w:cs="宋体"/>
          <w:color w:val="FF0000"/>
          <w:szCs w:val="24"/>
          <w:lang w:val="zh-CN" w:eastAsia="zh-CN"/>
        </w:rPr>
        <w:t>因投标文件</w:t>
      </w:r>
      <w:r>
        <w:rPr>
          <w:rFonts w:hint="eastAsia" w:ascii="宋体" w:hAnsi="宋体" w:eastAsia="宋体" w:cs="宋体"/>
          <w:color w:val="FF0000"/>
          <w:szCs w:val="24"/>
          <w:lang w:val="zh-CN"/>
        </w:rPr>
        <w:t>含义不明、表述不一致或有明显计算错误等内容需要供应商作出澄清、说明或者补正的，评标委员会和供应商应当通过政采云平台交换数据电文</w:t>
      </w:r>
      <w:r>
        <w:rPr>
          <w:rFonts w:hint="eastAsia" w:ascii="宋体" w:hAnsi="宋体" w:eastAsia="宋体" w:cs="宋体"/>
          <w:color w:val="FF0000"/>
          <w:szCs w:val="24"/>
          <w:lang w:val="zh-CN" w:eastAsia="zh-CN"/>
        </w:rPr>
        <w:t>，</w:t>
      </w:r>
      <w:r>
        <w:rPr>
          <w:rFonts w:hint="eastAsia" w:ascii="宋体" w:hAnsi="宋体" w:eastAsia="宋体" w:cs="宋体"/>
          <w:color w:val="FF0000"/>
          <w:szCs w:val="24"/>
          <w:lang w:val="zh-CN"/>
        </w:rPr>
        <w:t>给予供应商提交澄清说明或补正的时间不少于半小时，供应商已经明确表示澄清说明或补正完毕的除外。</w:t>
      </w:r>
    </w:p>
    <w:p>
      <w:pPr>
        <w:pStyle w:val="40"/>
        <w:numPr>
          <w:ilvl w:val="0"/>
          <w:numId w:val="32"/>
        </w:numPr>
        <w:spacing w:before="0"/>
        <w:ind w:left="0" w:leftChars="0" w:firstLine="480" w:firstLineChars="200"/>
        <w:rPr>
          <w:rFonts w:hint="eastAsia" w:ascii="宋体" w:hAnsi="宋体" w:eastAsia="宋体" w:cs="宋体"/>
          <w:color w:val="FF0000"/>
          <w:szCs w:val="24"/>
          <w:lang w:val="zh-CN"/>
        </w:rPr>
      </w:pPr>
      <w:r>
        <w:rPr>
          <w:rFonts w:hint="eastAsia" w:ascii="宋体" w:hAnsi="宋体" w:eastAsia="宋体" w:cs="宋体"/>
          <w:color w:val="FF0000"/>
          <w:szCs w:val="24"/>
          <w:lang w:val="zh-CN"/>
        </w:rPr>
        <w:t>供应商通过政采云平台交换的数据电文必须进行电子签章。</w:t>
      </w:r>
    </w:p>
    <w:p>
      <w:pPr>
        <w:pStyle w:val="13"/>
        <w:numPr>
          <w:ilvl w:val="0"/>
          <w:numId w:val="10"/>
        </w:numPr>
        <w:spacing w:line="360" w:lineRule="auto"/>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无效投标</w:t>
      </w:r>
    </w:p>
    <w:p>
      <w:pPr>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经过审查，凡不符合有关规定，不响应招标文件的实质性条款，存在以下重大偏离之一的，经评标委员会认定，将因未通过资格性或符合性审查而被作为无效投标处理：</w:t>
      </w:r>
    </w:p>
    <w:p>
      <w:pPr>
        <w:numPr>
          <w:ilvl w:val="0"/>
          <w:numId w:val="33"/>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未按照招标文件规定要求签署、盖章的；</w:t>
      </w:r>
    </w:p>
    <w:p>
      <w:pPr>
        <w:numPr>
          <w:ilvl w:val="0"/>
          <w:numId w:val="33"/>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《法定代表人授权书》填写不全、错误、未加盖投标人公章</w:t>
      </w:r>
      <w:r>
        <w:rPr>
          <w:rFonts w:hint="eastAsia" w:ascii="宋体" w:hAnsi="宋体" w:eastAsia="宋体" w:cs="宋体"/>
          <w:b/>
          <w:bCs/>
          <w:color w:val="000000"/>
          <w:sz w:val="24"/>
          <w:szCs w:val="21"/>
          <w:lang w:eastAsia="zh-CN"/>
        </w:rPr>
        <w:t>（</w:t>
      </w:r>
      <w:r>
        <w:rPr>
          <w:rFonts w:hint="eastAsia" w:ascii="宋体" w:hAnsi="宋体" w:eastAsia="宋体" w:cs="宋体"/>
          <w:b/>
          <w:bCs/>
          <w:color w:val="000000"/>
          <w:sz w:val="24"/>
          <w:szCs w:val="21"/>
        </w:rPr>
        <w:t xml:space="preserve">公章和签字或盖章缺一不可）； </w:t>
      </w:r>
    </w:p>
    <w:p>
      <w:pPr>
        <w:numPr>
          <w:ilvl w:val="0"/>
          <w:numId w:val="33"/>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个体工商户的身份证明与营业执照不一致的；</w:t>
      </w:r>
    </w:p>
    <w:p>
      <w:pPr>
        <w:numPr>
          <w:ilvl w:val="0"/>
          <w:numId w:val="33"/>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投标文件中的投标函未加盖投标人的企业公章或填写不全的；</w:t>
      </w:r>
    </w:p>
    <w:p>
      <w:pPr>
        <w:numPr>
          <w:ilvl w:val="0"/>
          <w:numId w:val="33"/>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报价一经涂改，未在涂改处加盖投标单位公章或者未经法定代表人或其授权代表签字或盖章的；</w:t>
      </w:r>
    </w:p>
    <w:p>
      <w:pPr>
        <w:numPr>
          <w:ilvl w:val="0"/>
          <w:numId w:val="33"/>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因未按规定的格式填写，内容不全或主要实质性内容字迹模糊辨认不清,经评标委员会认定为无法评审的；</w:t>
      </w:r>
    </w:p>
    <w:p>
      <w:pPr>
        <w:numPr>
          <w:ilvl w:val="0"/>
          <w:numId w:val="33"/>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出现同一标的物或本次招标产品(服务)内的主要产品(重要组成部分)出现技术、商务描述不一致或前后描述不一致，经评标委员会认定后为无法评审的；</w:t>
      </w:r>
    </w:p>
    <w:p>
      <w:pPr>
        <w:numPr>
          <w:ilvl w:val="0"/>
          <w:numId w:val="33"/>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投标详细配置清单响应表不真实填写或弄虚作假的；改变招标文件提供的清单中的计量单位、工程数量；</w:t>
      </w:r>
    </w:p>
    <w:p>
      <w:pPr>
        <w:numPr>
          <w:ilvl w:val="0"/>
          <w:numId w:val="33"/>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对招标产品技术规格未详细应答，致使其技术文件无法评审的；</w:t>
      </w:r>
    </w:p>
    <w:p>
      <w:pPr>
        <w:numPr>
          <w:ilvl w:val="0"/>
          <w:numId w:val="33"/>
        </w:numPr>
        <w:spacing w:line="360" w:lineRule="auto"/>
        <w:ind w:left="0" w:leftChars="0" w:firstLine="482" w:firstLineChars="200"/>
        <w:rPr>
          <w:rFonts w:hint="eastAsia" w:ascii="宋体" w:hAnsi="宋体" w:eastAsia="宋体" w:cs="宋体"/>
          <w:b/>
          <w:bCs/>
          <w:color w:val="auto"/>
          <w:sz w:val="24"/>
          <w:szCs w:val="21"/>
        </w:rPr>
      </w:pPr>
      <w:r>
        <w:rPr>
          <w:rFonts w:hint="eastAsia" w:ascii="宋体" w:hAnsi="宋体" w:eastAsia="宋体" w:cs="宋体"/>
          <w:b/>
          <w:bCs/>
          <w:color w:val="000000"/>
          <w:sz w:val="24"/>
          <w:szCs w:val="21"/>
        </w:rPr>
        <w:t>投标文件有招标方不</w:t>
      </w:r>
      <w:r>
        <w:rPr>
          <w:rFonts w:hint="eastAsia" w:ascii="宋体" w:hAnsi="宋体" w:eastAsia="宋体" w:cs="宋体"/>
          <w:b/>
          <w:bCs/>
          <w:color w:val="auto"/>
          <w:sz w:val="24"/>
          <w:szCs w:val="21"/>
        </w:rPr>
        <w:t>能接受的条件；</w:t>
      </w:r>
    </w:p>
    <w:p>
      <w:pPr>
        <w:numPr>
          <w:ilvl w:val="0"/>
          <w:numId w:val="33"/>
        </w:numPr>
        <w:spacing w:line="360" w:lineRule="auto"/>
        <w:ind w:left="0" w:leftChars="0"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numPr>
          <w:ilvl w:val="0"/>
          <w:numId w:val="33"/>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auto"/>
          <w:sz w:val="24"/>
          <w:szCs w:val="21"/>
        </w:rPr>
        <w:t>投标报价超过预算金</w:t>
      </w:r>
      <w:r>
        <w:rPr>
          <w:rFonts w:hint="eastAsia" w:ascii="宋体" w:hAnsi="宋体" w:eastAsia="宋体" w:cs="宋体"/>
          <w:b/>
          <w:bCs/>
          <w:color w:val="000000"/>
          <w:sz w:val="24"/>
          <w:szCs w:val="21"/>
        </w:rPr>
        <w:t>额或最高限价的；</w:t>
      </w:r>
    </w:p>
    <w:p>
      <w:pPr>
        <w:numPr>
          <w:ilvl w:val="0"/>
          <w:numId w:val="33"/>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投标文件“</w:t>
      </w:r>
      <w:r>
        <w:rPr>
          <w:rFonts w:hint="eastAsia" w:ascii="宋体" w:hAnsi="宋体" w:eastAsia="宋体" w:cs="宋体"/>
          <w:b/>
          <w:bCs/>
          <w:color w:val="000000"/>
          <w:sz w:val="24"/>
          <w:szCs w:val="21"/>
          <w:lang w:eastAsia="zh-CN"/>
        </w:rPr>
        <w:t>商务技术</w:t>
      </w:r>
      <w:r>
        <w:rPr>
          <w:rFonts w:hint="eastAsia" w:ascii="宋体" w:hAnsi="宋体" w:eastAsia="宋体" w:cs="宋体"/>
          <w:b/>
          <w:bCs/>
          <w:color w:val="000000"/>
          <w:sz w:val="24"/>
          <w:szCs w:val="21"/>
        </w:rPr>
        <w:t>文件资料”部分中出现《开标一览表》或《投标报价明细表》相关内容的；</w:t>
      </w:r>
    </w:p>
    <w:p>
      <w:pPr>
        <w:numPr>
          <w:ilvl w:val="0"/>
          <w:numId w:val="33"/>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评标委员会认定有重大偏差或实质性不响应招标文件要求的，即“★”的关键性指标及技术参数要求负偏离或缺漏；</w:t>
      </w:r>
    </w:p>
    <w:p>
      <w:pPr>
        <w:numPr>
          <w:ilvl w:val="0"/>
          <w:numId w:val="33"/>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投标人拒绝按招标文件规定的修正原则对投标文件进行修改的；</w:t>
      </w:r>
    </w:p>
    <w:p>
      <w:pPr>
        <w:numPr>
          <w:ilvl w:val="0"/>
          <w:numId w:val="33"/>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有下列情形之一的，视为投标人串通投标，其投标无效：</w:t>
      </w:r>
    </w:p>
    <w:p>
      <w:pPr>
        <w:numPr>
          <w:ilvl w:val="0"/>
          <w:numId w:val="34"/>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不同投标人的投标文件由同一单位或者个人编制；</w:t>
      </w:r>
    </w:p>
    <w:p>
      <w:pPr>
        <w:numPr>
          <w:ilvl w:val="0"/>
          <w:numId w:val="34"/>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不同投标人委托同一单位或者个人办理投标事宜；</w:t>
      </w:r>
    </w:p>
    <w:p>
      <w:pPr>
        <w:numPr>
          <w:ilvl w:val="0"/>
          <w:numId w:val="34"/>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不同投标人的投标文件载明的项目管理成员或者联系人员为同一人；</w:t>
      </w:r>
    </w:p>
    <w:p>
      <w:pPr>
        <w:numPr>
          <w:ilvl w:val="0"/>
          <w:numId w:val="34"/>
        </w:numPr>
        <w:spacing w:line="360" w:lineRule="auto"/>
        <w:ind w:left="0" w:leftChars="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不同投标人的投标文件异常一致或者投标报价呈规律性差异；</w:t>
      </w:r>
    </w:p>
    <w:p>
      <w:pPr>
        <w:numPr>
          <w:ilvl w:val="0"/>
          <w:numId w:val="34"/>
        </w:numPr>
        <w:spacing w:line="360" w:lineRule="auto"/>
        <w:ind w:left="0" w:leftChars="0" w:firstLine="482" w:firstLineChars="200"/>
        <w:rPr>
          <w:rFonts w:hint="eastAsia" w:ascii="宋体" w:hAnsi="宋体" w:eastAsia="宋体" w:cs="宋体"/>
          <w:b/>
          <w:bCs/>
          <w:color w:val="FF0000"/>
          <w:sz w:val="24"/>
          <w:szCs w:val="21"/>
        </w:rPr>
      </w:pPr>
      <w:r>
        <w:rPr>
          <w:rFonts w:hint="eastAsia" w:ascii="宋体" w:hAnsi="宋体" w:eastAsia="宋体" w:cs="宋体"/>
          <w:b/>
          <w:bCs/>
          <w:color w:val="FF0000"/>
          <w:sz w:val="24"/>
          <w:szCs w:val="21"/>
          <w:lang w:eastAsia="zh-CN"/>
        </w:rPr>
        <w:t>不同</w:t>
      </w:r>
      <w:r>
        <w:rPr>
          <w:rFonts w:hint="eastAsia" w:ascii="宋体" w:hAnsi="宋体" w:eastAsia="宋体" w:cs="宋体"/>
          <w:b/>
          <w:bCs/>
          <w:color w:val="FF0000"/>
          <w:sz w:val="24"/>
          <w:szCs w:val="21"/>
        </w:rPr>
        <w:t>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r>
        <w:rPr>
          <w:rFonts w:hint="eastAsia" w:ascii="宋体" w:hAnsi="宋体" w:eastAsia="宋体" w:cs="宋体"/>
          <w:b/>
          <w:bCs/>
          <w:color w:val="FF0000"/>
          <w:sz w:val="24"/>
          <w:szCs w:val="21"/>
          <w:lang w:eastAsia="zh-CN"/>
        </w:rPr>
        <w:t>。</w:t>
      </w:r>
    </w:p>
    <w:p>
      <w:pPr>
        <w:pStyle w:val="13"/>
        <w:numPr>
          <w:ilvl w:val="0"/>
          <w:numId w:val="10"/>
        </w:numPr>
        <w:spacing w:line="360" w:lineRule="auto"/>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废标</w:t>
      </w:r>
    </w:p>
    <w:p>
      <w:pPr>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根据《中华人民共和国政府采购法》第三十六条之规定，在采购中，出现下列情形之一的，应予废标：</w:t>
      </w:r>
    </w:p>
    <w:p>
      <w:pPr>
        <w:pStyle w:val="40"/>
        <w:numPr>
          <w:ilvl w:val="0"/>
          <w:numId w:val="35"/>
        </w:numPr>
        <w:spacing w:before="0"/>
        <w:ind w:left="0" w:leftChars="0" w:firstLine="480" w:firstLineChars="200"/>
        <w:rPr>
          <w:rFonts w:hint="eastAsia" w:ascii="宋体" w:hAnsi="宋体" w:eastAsia="宋体" w:cs="宋体"/>
          <w:color w:val="FF0000"/>
          <w:szCs w:val="24"/>
          <w:lang w:val="zh-CN"/>
        </w:rPr>
      </w:pPr>
      <w:r>
        <w:rPr>
          <w:rFonts w:hint="eastAsia" w:ascii="宋体" w:hAnsi="宋体" w:eastAsia="宋体" w:cs="宋体"/>
          <w:color w:val="FF0000"/>
          <w:szCs w:val="24"/>
          <w:lang w:val="zh-CN"/>
        </w:rPr>
        <w:t>符合专业条件的供应商或者对招标文件作实质响应的供应商不足3家的；</w:t>
      </w:r>
    </w:p>
    <w:p>
      <w:pPr>
        <w:pStyle w:val="40"/>
        <w:numPr>
          <w:ilvl w:val="0"/>
          <w:numId w:val="35"/>
        </w:numPr>
        <w:spacing w:before="0"/>
        <w:ind w:left="0" w:leftChars="0" w:firstLine="480" w:firstLineChars="200"/>
        <w:rPr>
          <w:rFonts w:hint="eastAsia" w:ascii="宋体" w:hAnsi="宋体" w:eastAsia="宋体" w:cs="宋体"/>
          <w:color w:val="FF0000"/>
          <w:szCs w:val="24"/>
          <w:lang w:val="zh-CN"/>
        </w:rPr>
      </w:pPr>
      <w:r>
        <w:rPr>
          <w:rFonts w:hint="eastAsia" w:ascii="宋体" w:hAnsi="宋体" w:eastAsia="宋体" w:cs="宋体"/>
          <w:color w:val="FF0000"/>
          <w:szCs w:val="24"/>
          <w:lang w:val="zh-CN"/>
        </w:rPr>
        <w:t>出现影响采购公正的违法、违规行为的；</w:t>
      </w:r>
    </w:p>
    <w:p>
      <w:pPr>
        <w:pStyle w:val="40"/>
        <w:numPr>
          <w:ilvl w:val="0"/>
          <w:numId w:val="35"/>
        </w:numPr>
        <w:spacing w:before="0"/>
        <w:ind w:left="0" w:leftChars="0" w:firstLine="480" w:firstLineChars="200"/>
        <w:rPr>
          <w:rFonts w:hint="eastAsia" w:ascii="宋体" w:hAnsi="宋体" w:eastAsia="宋体" w:cs="宋体"/>
          <w:color w:val="FF0000"/>
          <w:szCs w:val="24"/>
          <w:lang w:val="zh-CN"/>
        </w:rPr>
      </w:pPr>
      <w:r>
        <w:rPr>
          <w:rFonts w:hint="eastAsia" w:ascii="宋体" w:hAnsi="宋体" w:eastAsia="宋体" w:cs="宋体"/>
          <w:color w:val="FF0000"/>
          <w:szCs w:val="24"/>
          <w:lang w:val="zh-CN"/>
        </w:rPr>
        <w:t>投标人的报价均超过了采购预算，采购人不能支付的；</w:t>
      </w:r>
    </w:p>
    <w:p>
      <w:pPr>
        <w:pStyle w:val="40"/>
        <w:numPr>
          <w:ilvl w:val="0"/>
          <w:numId w:val="35"/>
        </w:numPr>
        <w:spacing w:before="0"/>
        <w:ind w:left="0" w:leftChars="0" w:firstLine="480" w:firstLineChars="200"/>
        <w:rPr>
          <w:rFonts w:hint="eastAsia" w:ascii="宋体" w:hAnsi="宋体" w:eastAsia="宋体" w:cs="宋体"/>
          <w:color w:val="FF0000"/>
          <w:szCs w:val="24"/>
          <w:lang w:val="zh-CN"/>
        </w:rPr>
      </w:pPr>
      <w:r>
        <w:rPr>
          <w:rFonts w:hint="eastAsia" w:ascii="宋体" w:hAnsi="宋体" w:eastAsia="宋体" w:cs="宋体"/>
          <w:color w:val="FF0000"/>
          <w:szCs w:val="24"/>
          <w:lang w:val="zh-CN"/>
        </w:rPr>
        <w:t>因重大变故，采购任务取消的。</w:t>
      </w:r>
    </w:p>
    <w:p>
      <w:pPr>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废标后，采购代理机构应当将废标理由通知所有投标人。</w:t>
      </w:r>
    </w:p>
    <w:p>
      <w:pPr>
        <w:pStyle w:val="13"/>
        <w:numPr>
          <w:ilvl w:val="0"/>
          <w:numId w:val="10"/>
        </w:numPr>
        <w:spacing w:line="360" w:lineRule="auto"/>
        <w:ind w:left="0" w:leftChars="0" w:firstLine="482" w:firstLineChars="200"/>
        <w:rPr>
          <w:rFonts w:hint="eastAsia" w:ascii="宋体" w:hAnsi="宋体" w:eastAsia="宋体" w:cs="宋体"/>
          <w:b/>
          <w:sz w:val="24"/>
          <w:szCs w:val="24"/>
        </w:rPr>
      </w:pPr>
      <w:r>
        <w:rPr>
          <w:rFonts w:hint="eastAsia" w:ascii="宋体" w:hAnsi="宋体" w:eastAsia="宋体" w:cs="宋体"/>
          <w:b/>
          <w:bCs/>
          <w:color w:val="auto"/>
          <w:sz w:val="24"/>
          <w:szCs w:val="24"/>
          <w:lang w:val="zh-CN"/>
        </w:rPr>
        <w:t>中止电子交易活动</w:t>
      </w:r>
      <w:r>
        <w:rPr>
          <w:rFonts w:hint="eastAsia" w:hAnsi="宋体" w:eastAsia="宋体" w:cs="宋体"/>
          <w:b/>
          <w:bCs/>
          <w:color w:val="auto"/>
          <w:sz w:val="24"/>
          <w:szCs w:val="24"/>
          <w:lang w:val="zh-CN"/>
        </w:rPr>
        <w:t>和</w:t>
      </w:r>
      <w:r>
        <w:rPr>
          <w:rFonts w:hint="eastAsia" w:ascii="宋体" w:hAnsi="宋体" w:eastAsia="宋体" w:cs="宋体"/>
          <w:b/>
          <w:sz w:val="24"/>
          <w:szCs w:val="24"/>
        </w:rPr>
        <w:t>重新组织采购</w:t>
      </w:r>
    </w:p>
    <w:p>
      <w:pPr>
        <w:pStyle w:val="40"/>
        <w:numPr>
          <w:ilvl w:val="0"/>
          <w:numId w:val="0"/>
        </w:numPr>
        <w:tabs>
          <w:tab w:val="left" w:pos="0"/>
        </w:tabs>
        <w:spacing w:before="0"/>
        <w:ind w:leftChars="200"/>
        <w:rPr>
          <w:rFonts w:hint="eastAsia" w:ascii="宋体" w:hAnsi="宋体" w:eastAsia="宋体" w:cs="宋体"/>
          <w:color w:val="FF0000"/>
          <w:szCs w:val="24"/>
          <w:lang w:val="zh-CN"/>
        </w:rPr>
      </w:pPr>
      <w:r>
        <w:rPr>
          <w:rFonts w:hint="eastAsia" w:ascii="宋体" w:hAnsi="宋体" w:eastAsia="宋体" w:cs="宋体"/>
          <w:color w:val="FF0000"/>
          <w:szCs w:val="24"/>
          <w:lang w:val="en-US" w:eastAsia="zh-CN"/>
        </w:rPr>
        <w:t>26.1</w:t>
      </w:r>
      <w:r>
        <w:rPr>
          <w:rFonts w:hint="eastAsia" w:ascii="宋体" w:hAnsi="宋体" w:eastAsia="宋体" w:cs="宋体"/>
          <w:color w:val="FF0000"/>
          <w:szCs w:val="24"/>
          <w:lang w:val="zh-CN"/>
        </w:rPr>
        <w:t>采购过程中出现以下情形，导致电子交易平台无法正常运行，或者无法保证电子交易的公平、公正和安全时，采购组织机构可中止电子交易活动：</w:t>
      </w:r>
    </w:p>
    <w:p>
      <w:pPr>
        <w:numPr>
          <w:ilvl w:val="0"/>
          <w:numId w:val="36"/>
        </w:numPr>
        <w:tabs>
          <w:tab w:val="left" w:pos="0"/>
        </w:tabs>
        <w:spacing w:line="360" w:lineRule="auto"/>
        <w:ind w:left="0" w:leftChars="0" w:firstLine="480" w:firstLineChars="200"/>
        <w:rPr>
          <w:rFonts w:hint="eastAsia" w:ascii="宋体" w:hAnsi="宋体" w:eastAsia="宋体" w:cs="宋体"/>
          <w:b w:val="0"/>
          <w:bCs w:val="0"/>
          <w:color w:val="FF0000"/>
          <w:sz w:val="24"/>
          <w:szCs w:val="21"/>
        </w:rPr>
      </w:pPr>
      <w:r>
        <w:rPr>
          <w:rFonts w:hint="eastAsia" w:ascii="宋体" w:hAnsi="宋体" w:eastAsia="宋体" w:cs="宋体"/>
          <w:b w:val="0"/>
          <w:bCs w:val="0"/>
          <w:color w:val="FF0000"/>
          <w:sz w:val="24"/>
          <w:szCs w:val="21"/>
        </w:rPr>
        <w:t xml:space="preserve">电子交易平台发生故障而无法登录访问的； </w:t>
      </w:r>
    </w:p>
    <w:p>
      <w:pPr>
        <w:numPr>
          <w:ilvl w:val="0"/>
          <w:numId w:val="36"/>
        </w:numPr>
        <w:tabs>
          <w:tab w:val="left" w:pos="0"/>
        </w:tabs>
        <w:spacing w:line="360" w:lineRule="auto"/>
        <w:ind w:left="0" w:leftChars="0" w:firstLine="480" w:firstLineChars="200"/>
        <w:rPr>
          <w:rFonts w:hint="eastAsia" w:ascii="宋体" w:hAnsi="宋体" w:eastAsia="宋体" w:cs="宋体"/>
          <w:b w:val="0"/>
          <w:bCs w:val="0"/>
          <w:color w:val="FF0000"/>
          <w:sz w:val="24"/>
          <w:szCs w:val="21"/>
        </w:rPr>
      </w:pPr>
      <w:r>
        <w:rPr>
          <w:rFonts w:hint="eastAsia" w:ascii="宋体" w:hAnsi="宋体" w:eastAsia="宋体" w:cs="宋体"/>
          <w:b w:val="0"/>
          <w:bCs w:val="0"/>
          <w:color w:val="FF0000"/>
          <w:sz w:val="24"/>
          <w:szCs w:val="21"/>
        </w:rPr>
        <w:t>电子交易平台应用或数据库出现错误，不能进行正常操作的；</w:t>
      </w:r>
    </w:p>
    <w:p>
      <w:pPr>
        <w:numPr>
          <w:ilvl w:val="0"/>
          <w:numId w:val="36"/>
        </w:numPr>
        <w:tabs>
          <w:tab w:val="left" w:pos="0"/>
        </w:tabs>
        <w:spacing w:line="360" w:lineRule="auto"/>
        <w:ind w:left="0" w:leftChars="0" w:firstLine="480" w:firstLineChars="200"/>
        <w:rPr>
          <w:rFonts w:hint="eastAsia" w:ascii="宋体" w:hAnsi="宋体" w:eastAsia="宋体" w:cs="宋体"/>
          <w:b w:val="0"/>
          <w:bCs w:val="0"/>
          <w:color w:val="FF0000"/>
          <w:sz w:val="24"/>
          <w:szCs w:val="21"/>
        </w:rPr>
      </w:pPr>
      <w:r>
        <w:rPr>
          <w:rFonts w:hint="eastAsia" w:ascii="宋体" w:hAnsi="宋体" w:eastAsia="宋体" w:cs="宋体"/>
          <w:b w:val="0"/>
          <w:bCs w:val="0"/>
          <w:color w:val="FF0000"/>
          <w:sz w:val="24"/>
          <w:szCs w:val="21"/>
        </w:rPr>
        <w:t>电子交易平台发现严重安全漏洞，有潜在泄密危险的；</w:t>
      </w:r>
    </w:p>
    <w:p>
      <w:pPr>
        <w:numPr>
          <w:ilvl w:val="0"/>
          <w:numId w:val="36"/>
        </w:numPr>
        <w:tabs>
          <w:tab w:val="left" w:pos="0"/>
        </w:tabs>
        <w:spacing w:line="360" w:lineRule="auto"/>
        <w:ind w:left="0" w:leftChars="0" w:firstLine="480" w:firstLineChars="200"/>
        <w:rPr>
          <w:rFonts w:hint="eastAsia" w:ascii="宋体" w:hAnsi="宋体" w:eastAsia="宋体" w:cs="宋体"/>
          <w:b w:val="0"/>
          <w:bCs w:val="0"/>
          <w:color w:val="FF0000"/>
          <w:sz w:val="24"/>
          <w:szCs w:val="21"/>
        </w:rPr>
      </w:pPr>
      <w:r>
        <w:rPr>
          <w:rFonts w:hint="eastAsia" w:ascii="宋体" w:hAnsi="宋体" w:eastAsia="宋体" w:cs="宋体"/>
          <w:b w:val="0"/>
          <w:bCs w:val="0"/>
          <w:color w:val="FF0000"/>
          <w:sz w:val="24"/>
          <w:szCs w:val="21"/>
        </w:rPr>
        <w:t xml:space="preserve">病毒发作导致不能进行正常操作的； </w:t>
      </w:r>
    </w:p>
    <w:p>
      <w:pPr>
        <w:numPr>
          <w:ilvl w:val="0"/>
          <w:numId w:val="36"/>
        </w:numPr>
        <w:tabs>
          <w:tab w:val="left" w:pos="0"/>
        </w:tabs>
        <w:spacing w:line="360" w:lineRule="auto"/>
        <w:ind w:left="0" w:leftChars="0" w:firstLine="480" w:firstLineChars="200"/>
        <w:rPr>
          <w:rFonts w:hint="eastAsia" w:ascii="宋体" w:hAnsi="宋体" w:eastAsia="宋体" w:cs="宋体"/>
          <w:b w:val="0"/>
          <w:bCs w:val="0"/>
          <w:color w:val="FF0000"/>
          <w:sz w:val="24"/>
          <w:szCs w:val="21"/>
        </w:rPr>
      </w:pPr>
      <w:r>
        <w:rPr>
          <w:rFonts w:hint="eastAsia" w:ascii="宋体" w:hAnsi="宋体" w:eastAsia="宋体" w:cs="宋体"/>
          <w:b w:val="0"/>
          <w:bCs w:val="0"/>
          <w:color w:val="FF0000"/>
          <w:sz w:val="24"/>
          <w:szCs w:val="21"/>
        </w:rPr>
        <w:t>其他无法保证电子交易的公平、公正和安全的情况。</w:t>
      </w: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leftChars="0" w:firstLine="480" w:firstLineChars="20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26.2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3"/>
        <w:numPr>
          <w:ilvl w:val="0"/>
          <w:numId w:val="10"/>
        </w:numPr>
        <w:spacing w:line="360" w:lineRule="auto"/>
        <w:ind w:left="0" w:leftChars="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rPr>
        <w:t>保密及其它注意事项</w:t>
      </w:r>
    </w:p>
    <w:p>
      <w:pPr>
        <w:pStyle w:val="40"/>
        <w:numPr>
          <w:ilvl w:val="0"/>
          <w:numId w:val="37"/>
        </w:numPr>
        <w:spacing w:before="0"/>
        <w:ind w:left="0" w:leftChars="0"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评标是招标工作的重要环节，评标工作由评标委员会独立进行。评标委员会将遵照评标原则，公正、平等地对待所有投标人；</w:t>
      </w:r>
    </w:p>
    <w:p>
      <w:pPr>
        <w:pStyle w:val="40"/>
        <w:numPr>
          <w:ilvl w:val="0"/>
          <w:numId w:val="37"/>
        </w:numPr>
        <w:spacing w:before="0"/>
        <w:ind w:left="0" w:leftChars="0"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在开标、投标期间，投标人不得向评委询问评标情况，不得进行旨在影响评标结果的活动。采购人不得在中标人确定前，与投标人就投标价格、投标方案等实质性内容进行谈判；</w:t>
      </w:r>
    </w:p>
    <w:p>
      <w:pPr>
        <w:pStyle w:val="40"/>
        <w:numPr>
          <w:ilvl w:val="0"/>
          <w:numId w:val="37"/>
        </w:numPr>
        <w:spacing w:before="0"/>
        <w:ind w:left="0" w:leftChars="0"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为保证定标的公正性，在评标过程中，评委不得与投标人私下交换意见。在招标工作结束后，凡与评标情况有接触的任何人，不得也不应将评标情况扩散出评委人员之外；</w:t>
      </w:r>
    </w:p>
    <w:p>
      <w:pPr>
        <w:pStyle w:val="40"/>
        <w:numPr>
          <w:ilvl w:val="0"/>
          <w:numId w:val="37"/>
        </w:numPr>
        <w:spacing w:before="0"/>
        <w:ind w:left="0" w:leftChars="0"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投标人相互之间，或与采购人相互不得串通投标，不得排挤其他投标人的公平竞争，损害采购人或者其他投标人的合法权益；</w:t>
      </w:r>
    </w:p>
    <w:p>
      <w:pPr>
        <w:pStyle w:val="40"/>
        <w:numPr>
          <w:ilvl w:val="0"/>
          <w:numId w:val="37"/>
        </w:numPr>
        <w:spacing w:before="0"/>
        <w:ind w:left="0" w:leftChars="0"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评标委员会不向投标人解释未中标的原因；</w:t>
      </w:r>
    </w:p>
    <w:p>
      <w:pPr>
        <w:pStyle w:val="40"/>
        <w:numPr>
          <w:ilvl w:val="0"/>
          <w:numId w:val="37"/>
        </w:numPr>
        <w:spacing w:before="0"/>
        <w:ind w:left="0" w:leftChars="0" w:firstLine="480" w:firstLineChars="200"/>
        <w:rPr>
          <w:rFonts w:hint="eastAsia" w:ascii="宋体" w:hAnsi="宋体" w:eastAsia="宋体" w:cs="宋体"/>
          <w:color w:val="FF0000"/>
          <w:szCs w:val="24"/>
          <w:lang w:val="en-US" w:eastAsia="zh-CN"/>
        </w:rPr>
      </w:pPr>
      <w:r>
        <w:rPr>
          <w:rFonts w:hint="eastAsia" w:ascii="宋体" w:hAnsi="宋体" w:eastAsia="宋体" w:cs="宋体"/>
          <w:color w:val="FF0000"/>
          <w:szCs w:val="24"/>
          <w:lang w:val="en-US" w:eastAsia="zh-CN"/>
        </w:rPr>
        <w:t>特别说明：政采云公司如对电子化开标及评审程序有调整的，按调整后的程序操作。</w:t>
      </w:r>
    </w:p>
    <w:p>
      <w:pPr>
        <w:spacing w:line="360" w:lineRule="auto"/>
        <w:ind w:firstLine="420" w:firstLineChars="0"/>
        <w:jc w:val="center"/>
        <w:rPr>
          <w:rFonts w:hint="eastAsia" w:ascii="宋体" w:hAnsi="宋体" w:eastAsia="宋体" w:cs="宋体"/>
          <w:b/>
          <w:sz w:val="24"/>
        </w:rPr>
      </w:pPr>
    </w:p>
    <w:p>
      <w:pPr>
        <w:snapToGrid w:val="0"/>
        <w:spacing w:line="360" w:lineRule="auto"/>
        <w:jc w:val="center"/>
        <w:outlineLvl w:val="0"/>
        <w:rPr>
          <w:rFonts w:hint="eastAsia" w:ascii="宋体" w:hAnsi="宋体" w:eastAsia="宋体" w:cs="宋体"/>
          <w:b/>
          <w:sz w:val="32"/>
        </w:rPr>
      </w:pPr>
      <w:bookmarkStart w:id="54" w:name="_Toc19547"/>
      <w:bookmarkStart w:id="55" w:name="_Toc17938"/>
      <w:r>
        <w:rPr>
          <w:rFonts w:hint="eastAsia" w:ascii="宋体" w:hAnsi="宋体" w:eastAsia="宋体" w:cs="宋体"/>
          <w:b/>
          <w:sz w:val="32"/>
        </w:rPr>
        <w:t>八、定 标</w:t>
      </w:r>
      <w:bookmarkEnd w:id="54"/>
      <w:bookmarkEnd w:id="55"/>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leftChars="0" w:firstLine="480" w:firstLineChars="200"/>
        <w:textAlignment w:val="auto"/>
        <w:rPr>
          <w:rFonts w:hint="eastAsia" w:ascii="宋体" w:hAnsi="宋体" w:eastAsia="宋体" w:cs="宋体"/>
          <w:color w:val="auto"/>
          <w:kern w:val="2"/>
          <w:sz w:val="24"/>
          <w:szCs w:val="24"/>
          <w:lang w:val="en-US" w:eastAsia="zh-CN" w:bidi="ar-SA"/>
        </w:rPr>
      </w:pPr>
      <w:bookmarkStart w:id="56" w:name="_Toc15760"/>
      <w:r>
        <w:rPr>
          <w:rFonts w:hint="eastAsia" w:ascii="宋体" w:hAnsi="宋体" w:eastAsia="宋体" w:cs="宋体"/>
          <w:color w:val="auto"/>
          <w:kern w:val="2"/>
          <w:sz w:val="24"/>
          <w:szCs w:val="24"/>
          <w:lang w:val="en-US" w:eastAsia="zh-CN" w:bidi="ar-SA"/>
        </w:rPr>
        <w:t>28.1项目由评标委员会根据第三章《评标办法与评分标准》规定提出中标候选人排序。</w:t>
      </w: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28.2采购代理机构应当在评标结束后2个工作日内将评标报告送采购人。</w:t>
      </w: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28.3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28.4采购人或者采购代理机构应当自中标人确定之日起2个工作日内，在发布招标公告的网站上公告中标结果，公告期限为1个工作日。在公告中标结果的同时，采购人或者采购代理机构应当向中标人发出中标通知书；</w:t>
      </w: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28.5中标人应携带介绍信自行前往采购代理机构领取中标通知书。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0"/>
        <w:rPr>
          <w:rFonts w:hint="eastAsia" w:ascii="宋体" w:hAnsi="宋体" w:eastAsia="宋体" w:cs="宋体"/>
          <w:b/>
          <w:sz w:val="32"/>
        </w:rPr>
      </w:pPr>
      <w:bookmarkStart w:id="57" w:name="_Toc12001"/>
      <w:r>
        <w:rPr>
          <w:rFonts w:hint="eastAsia" w:ascii="宋体" w:hAnsi="宋体" w:eastAsia="宋体" w:cs="宋体"/>
          <w:color w:val="auto"/>
          <w:kern w:val="2"/>
          <w:sz w:val="24"/>
          <w:szCs w:val="24"/>
          <w:lang w:val="en-US" w:eastAsia="zh-CN" w:bidi="ar-SA"/>
        </w:rPr>
        <w:t>28.6中标通知书发出后，采购人不得违法改变中标结果，中标人无正当理由不得放弃中标。</w:t>
      </w:r>
      <w:bookmarkEnd w:id="57"/>
    </w:p>
    <w:p>
      <w:pPr>
        <w:snapToGrid w:val="0"/>
        <w:spacing w:line="360" w:lineRule="auto"/>
        <w:jc w:val="center"/>
        <w:outlineLvl w:val="0"/>
        <w:rPr>
          <w:rFonts w:hint="eastAsia" w:ascii="宋体" w:hAnsi="宋体" w:eastAsia="宋体" w:cs="宋体"/>
          <w:b/>
          <w:sz w:val="32"/>
        </w:rPr>
      </w:pPr>
    </w:p>
    <w:p>
      <w:pPr>
        <w:snapToGrid w:val="0"/>
        <w:spacing w:line="360" w:lineRule="auto"/>
        <w:jc w:val="center"/>
        <w:outlineLvl w:val="0"/>
        <w:rPr>
          <w:rFonts w:hint="eastAsia" w:ascii="宋体" w:hAnsi="宋体" w:eastAsia="宋体" w:cs="宋体"/>
          <w:b/>
          <w:sz w:val="32"/>
        </w:rPr>
      </w:pPr>
      <w:bookmarkStart w:id="58" w:name="_Toc17658"/>
      <w:r>
        <w:rPr>
          <w:rFonts w:hint="eastAsia" w:ascii="宋体" w:hAnsi="宋体" w:eastAsia="宋体" w:cs="宋体"/>
          <w:b/>
          <w:sz w:val="32"/>
        </w:rPr>
        <w:t>九、合同签订及其他</w:t>
      </w:r>
      <w:bookmarkEnd w:id="56"/>
      <w:bookmarkEnd w:id="58"/>
    </w:p>
    <w:p>
      <w:pPr>
        <w:pStyle w:val="40"/>
        <w:numPr>
          <w:ilvl w:val="0"/>
          <w:numId w:val="0"/>
        </w:numPr>
        <w:tabs>
          <w:tab w:val="left" w:pos="0"/>
        </w:tabs>
        <w:spacing w:before="0"/>
        <w:ind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29.1 采购人应当自中标通知书发出之日起30日内，按照招标文件和中标人投标文件的规定，与中标人签订书面合同。所签订的合同不得对招标文件确定的事项和中标人投标文件作实质性修改。</w:t>
      </w:r>
    </w:p>
    <w:p>
      <w:pPr>
        <w:pStyle w:val="40"/>
        <w:numPr>
          <w:ilvl w:val="0"/>
          <w:numId w:val="0"/>
        </w:numPr>
        <w:tabs>
          <w:tab w:val="left" w:pos="0"/>
        </w:tabs>
        <w:spacing w:before="0"/>
        <w:ind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29.2 中标或者成交供应商拒绝与采购人签订合同的，采购人可以按照评审报告推荐的中标或者成交候选人名单排序，确定下一候选人为中标或者成交供应商，也可以重新开展政府采购活动。</w:t>
      </w:r>
    </w:p>
    <w:p>
      <w:pPr>
        <w:pStyle w:val="13"/>
        <w:numPr>
          <w:ilvl w:val="0"/>
          <w:numId w:val="0"/>
        </w:numPr>
        <w:spacing w:line="360" w:lineRule="auto"/>
        <w:ind w:leftChars="200"/>
        <w:rPr>
          <w:rFonts w:hint="eastAsia" w:ascii="宋体" w:hAnsi="宋体" w:eastAsia="宋体" w:cs="宋体"/>
          <w:b/>
          <w:sz w:val="24"/>
          <w:szCs w:val="24"/>
        </w:rPr>
      </w:pPr>
      <w:r>
        <w:rPr>
          <w:rFonts w:hint="eastAsia" w:hAnsi="宋体" w:eastAsia="宋体" w:cs="宋体"/>
          <w:b/>
          <w:sz w:val="24"/>
          <w:szCs w:val="24"/>
          <w:lang w:val="en-US" w:eastAsia="zh-CN"/>
        </w:rPr>
        <w:t>30.</w:t>
      </w:r>
      <w:r>
        <w:rPr>
          <w:rFonts w:hint="eastAsia" w:ascii="宋体" w:hAnsi="宋体" w:eastAsia="宋体" w:cs="宋体"/>
          <w:b/>
          <w:sz w:val="24"/>
          <w:szCs w:val="24"/>
        </w:rPr>
        <w:t>履约保证金</w:t>
      </w:r>
    </w:p>
    <w:p>
      <w:pPr>
        <w:pStyle w:val="40"/>
        <w:numPr>
          <w:ilvl w:val="0"/>
          <w:numId w:val="0"/>
        </w:numPr>
        <w:tabs>
          <w:tab w:val="left" w:pos="0"/>
        </w:tabs>
        <w:spacing w:before="0"/>
        <w:ind w:firstLine="480" w:firstLineChars="200"/>
        <w:rPr>
          <w:rFonts w:hint="eastAsia" w:ascii="宋体" w:hAnsi="宋体" w:eastAsia="宋体" w:cs="宋体"/>
          <w:color w:val="FF0000"/>
          <w:szCs w:val="24"/>
          <w:lang w:val="en-US" w:eastAsia="zh-CN"/>
        </w:rPr>
      </w:pPr>
      <w:r>
        <w:rPr>
          <w:rFonts w:hint="eastAsia" w:ascii="宋体" w:hAnsi="宋体" w:eastAsia="宋体" w:cs="宋体"/>
          <w:color w:val="FF0000"/>
          <w:szCs w:val="24"/>
          <w:lang w:val="en-US" w:eastAsia="zh-CN"/>
        </w:rPr>
        <w:t>采购合同条款要求中标供应商提交履约保证金的，供应商应当以支票、汇票、本票或者金融机构、保险公司、担保机构出具的保函等非现金形式提交。</w:t>
      </w:r>
    </w:p>
    <w:p>
      <w:pPr>
        <w:pStyle w:val="13"/>
        <w:numPr>
          <w:ilvl w:val="0"/>
          <w:numId w:val="0"/>
        </w:numPr>
        <w:spacing w:line="360" w:lineRule="auto"/>
        <w:ind w:leftChars="200"/>
        <w:rPr>
          <w:rFonts w:hint="eastAsia" w:ascii="宋体" w:hAnsi="宋体" w:eastAsia="宋体" w:cs="宋体"/>
          <w:b/>
          <w:sz w:val="24"/>
          <w:szCs w:val="24"/>
        </w:rPr>
      </w:pPr>
      <w:r>
        <w:rPr>
          <w:rFonts w:hint="eastAsia" w:hAnsi="宋体" w:eastAsia="宋体" w:cs="宋体"/>
          <w:b/>
          <w:sz w:val="24"/>
          <w:szCs w:val="24"/>
          <w:lang w:val="en-US" w:eastAsia="zh-CN"/>
        </w:rPr>
        <w:t>31.</w:t>
      </w:r>
      <w:r>
        <w:rPr>
          <w:rFonts w:hint="eastAsia" w:ascii="宋体" w:hAnsi="宋体" w:eastAsia="宋体" w:cs="宋体"/>
          <w:b/>
          <w:sz w:val="24"/>
          <w:szCs w:val="24"/>
        </w:rPr>
        <w:t>验收</w:t>
      </w: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leftChars="0" w:firstLine="480" w:firstLineChars="20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leftChars="0" w:firstLine="480" w:firstLineChars="20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31.2采购人应当及时对采购项目进行验收，采购人可以邀请参加本项目的其他投标人或者第三方机构参与验收，参与验收的投标人或者第三方机构的意见作为验收书的参考资料一并存档。</w:t>
      </w: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leftChars="0" w:firstLine="480" w:firstLineChars="20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31.3采购人负责加强对中标人的履约管理，并按照采购合同约定，及时向中标人支付采购资金。对于中标人违反采购合同约定的行为，采购人应当及时处理，依法追究其违约责任。</w:t>
      </w:r>
    </w:p>
    <w:p>
      <w:pPr>
        <w:pStyle w:val="13"/>
        <w:numPr>
          <w:ilvl w:val="0"/>
          <w:numId w:val="0"/>
        </w:numPr>
        <w:spacing w:line="360" w:lineRule="auto"/>
        <w:ind w:leftChars="200"/>
        <w:rPr>
          <w:rFonts w:hint="eastAsia" w:ascii="宋体" w:hAnsi="宋体" w:eastAsia="宋体" w:cs="宋体"/>
          <w:b/>
          <w:sz w:val="24"/>
          <w:szCs w:val="24"/>
        </w:rPr>
      </w:pPr>
      <w:r>
        <w:rPr>
          <w:rFonts w:hint="eastAsia" w:hAnsi="宋体" w:eastAsia="宋体" w:cs="宋体"/>
          <w:b/>
          <w:sz w:val="24"/>
          <w:szCs w:val="24"/>
          <w:lang w:val="en-US" w:eastAsia="zh-CN"/>
        </w:rPr>
        <w:t>32.</w:t>
      </w:r>
      <w:r>
        <w:rPr>
          <w:rFonts w:hint="eastAsia" w:ascii="宋体" w:hAnsi="宋体" w:eastAsia="宋体" w:cs="宋体"/>
          <w:b/>
          <w:sz w:val="24"/>
          <w:szCs w:val="24"/>
        </w:rPr>
        <w:t>货款结算方式</w:t>
      </w:r>
    </w:p>
    <w:p>
      <w:pPr>
        <w:tabs>
          <w:tab w:val="left" w:pos="0"/>
        </w:tabs>
        <w:spacing w:line="360" w:lineRule="auto"/>
        <w:ind w:firstLine="480"/>
        <w:rPr>
          <w:rFonts w:hint="eastAsia" w:ascii="宋体" w:hAnsi="宋体" w:eastAsia="宋体" w:cs="宋体"/>
          <w:sz w:val="24"/>
        </w:rPr>
      </w:pPr>
      <w:r>
        <w:rPr>
          <w:rFonts w:hint="eastAsia" w:ascii="宋体" w:hAnsi="宋体" w:eastAsia="宋体" w:cs="宋体"/>
          <w:sz w:val="24"/>
        </w:rPr>
        <w:t>付款方式：采购人与中标人依照</w:t>
      </w:r>
      <w:r>
        <w:rPr>
          <w:rFonts w:hint="eastAsia" w:ascii="宋体" w:hAnsi="宋体" w:eastAsia="宋体" w:cs="宋体"/>
          <w:sz w:val="24"/>
          <w:lang w:eastAsia="zh-CN"/>
        </w:rPr>
        <w:t>招标文件</w:t>
      </w:r>
      <w:r>
        <w:rPr>
          <w:rFonts w:hint="eastAsia" w:ascii="宋体" w:hAnsi="宋体" w:eastAsia="宋体" w:cs="宋体"/>
          <w:sz w:val="24"/>
        </w:rPr>
        <w:t>规定的付款方式进行项目款项的支付。</w:t>
      </w:r>
    </w:p>
    <w:p>
      <w:pPr>
        <w:pStyle w:val="13"/>
        <w:numPr>
          <w:ilvl w:val="0"/>
          <w:numId w:val="0"/>
        </w:numPr>
        <w:spacing w:line="360" w:lineRule="auto"/>
        <w:ind w:leftChars="200"/>
        <w:rPr>
          <w:rFonts w:hint="eastAsia" w:ascii="宋体" w:hAnsi="宋体" w:eastAsia="宋体" w:cs="宋体"/>
          <w:b/>
          <w:sz w:val="24"/>
          <w:szCs w:val="24"/>
        </w:rPr>
      </w:pPr>
      <w:r>
        <w:rPr>
          <w:rFonts w:hint="eastAsia" w:hAnsi="宋体" w:eastAsia="宋体" w:cs="宋体"/>
          <w:b/>
          <w:sz w:val="24"/>
          <w:szCs w:val="24"/>
          <w:lang w:val="en-US" w:eastAsia="zh-CN"/>
        </w:rPr>
        <w:t>33.</w:t>
      </w:r>
      <w:r>
        <w:rPr>
          <w:rFonts w:hint="eastAsia" w:ascii="宋体" w:hAnsi="宋体" w:eastAsia="宋体" w:cs="宋体"/>
          <w:b/>
          <w:sz w:val="24"/>
          <w:szCs w:val="24"/>
        </w:rPr>
        <w:t>售后服务考核</w:t>
      </w:r>
    </w:p>
    <w:p>
      <w:pPr>
        <w:tabs>
          <w:tab w:val="left" w:pos="0"/>
        </w:tabs>
        <w:spacing w:line="360" w:lineRule="auto"/>
        <w:ind w:firstLine="480"/>
        <w:rPr>
          <w:rFonts w:hint="eastAsia" w:ascii="宋体" w:hAnsi="宋体" w:eastAsia="宋体" w:cs="宋体"/>
          <w:sz w:val="24"/>
        </w:rPr>
      </w:pPr>
      <w:r>
        <w:rPr>
          <w:rFonts w:hint="eastAsia" w:ascii="宋体" w:hAnsi="宋体" w:eastAsia="宋体" w:cs="宋体"/>
          <w:sz w:val="24"/>
        </w:rPr>
        <w:t>采购代理机构将配合政府采购监管部门不定期对合同的履约情况进行检查，发现弄虚作假，偷工减料，以次充好，达不到国家、行业有关标准和技术文件规定的，一经查实，由政府采购监督管理部门给予相应处罚。</w:t>
      </w:r>
    </w:p>
    <w:p>
      <w:pPr>
        <w:spacing w:line="360" w:lineRule="auto"/>
        <w:jc w:val="center"/>
        <w:rPr>
          <w:rFonts w:hint="eastAsia" w:ascii="宋体" w:hAnsi="宋体" w:eastAsia="宋体" w:cs="宋体"/>
          <w:b/>
          <w:sz w:val="24"/>
        </w:rPr>
      </w:pPr>
    </w:p>
    <w:p>
      <w:pPr>
        <w:snapToGrid w:val="0"/>
        <w:spacing w:line="360" w:lineRule="auto"/>
        <w:jc w:val="center"/>
        <w:outlineLvl w:val="0"/>
        <w:rPr>
          <w:rFonts w:hint="eastAsia" w:ascii="宋体" w:hAnsi="宋体" w:eastAsia="宋体" w:cs="宋体"/>
          <w:b/>
          <w:sz w:val="32"/>
        </w:rPr>
      </w:pPr>
      <w:bookmarkStart w:id="59" w:name="_Toc10926"/>
      <w:bookmarkStart w:id="60" w:name="_Toc9168"/>
      <w:r>
        <w:rPr>
          <w:rFonts w:hint="eastAsia" w:ascii="宋体" w:hAnsi="宋体" w:eastAsia="宋体" w:cs="宋体"/>
          <w:b/>
          <w:sz w:val="32"/>
        </w:rPr>
        <w:t>十、质疑与投诉</w:t>
      </w:r>
      <w:bookmarkEnd w:id="59"/>
      <w:bookmarkEnd w:id="60"/>
    </w:p>
    <w:p>
      <w:pPr>
        <w:tabs>
          <w:tab w:val="left" w:pos="0"/>
        </w:tabs>
        <w:spacing w:line="360" w:lineRule="auto"/>
        <w:ind w:firstLine="480"/>
        <w:rPr>
          <w:rFonts w:hint="eastAsia" w:ascii="宋体" w:hAnsi="宋体" w:eastAsia="宋体" w:cs="宋体"/>
          <w:sz w:val="24"/>
        </w:rPr>
      </w:pPr>
      <w:r>
        <w:rPr>
          <w:rFonts w:hint="eastAsia" w:ascii="宋体" w:hAnsi="宋体" w:eastAsia="宋体" w:cs="宋体"/>
          <w:sz w:val="24"/>
        </w:rPr>
        <w:t>根据《政府采购质疑和投诉办法》(中华人民共和国财政部令第94号)的规定，政府采购供应商可以依法提起质疑和投诉。</w:t>
      </w:r>
    </w:p>
    <w:p>
      <w:pPr>
        <w:pStyle w:val="13"/>
        <w:numPr>
          <w:ilvl w:val="0"/>
          <w:numId w:val="0"/>
        </w:numPr>
        <w:spacing w:line="360" w:lineRule="auto"/>
        <w:ind w:leftChars="200"/>
        <w:rPr>
          <w:rFonts w:hint="eastAsia" w:ascii="宋体" w:hAnsi="宋体" w:eastAsia="宋体" w:cs="宋体"/>
          <w:b/>
          <w:sz w:val="24"/>
          <w:szCs w:val="24"/>
          <w:lang w:val="zh-CN"/>
        </w:rPr>
      </w:pPr>
      <w:r>
        <w:rPr>
          <w:rFonts w:hint="eastAsia" w:hAnsi="宋体" w:eastAsia="宋体" w:cs="宋体"/>
          <w:b/>
          <w:sz w:val="24"/>
          <w:szCs w:val="24"/>
          <w:lang w:val="en-US" w:eastAsia="zh-CN"/>
        </w:rPr>
        <w:t>34.</w:t>
      </w:r>
      <w:r>
        <w:rPr>
          <w:rFonts w:hint="eastAsia" w:ascii="宋体" w:hAnsi="宋体" w:eastAsia="宋体" w:cs="宋体"/>
          <w:b/>
          <w:sz w:val="24"/>
          <w:szCs w:val="24"/>
          <w:lang w:val="zh-CN"/>
        </w:rPr>
        <w:t>供应商询问</w:t>
      </w:r>
    </w:p>
    <w:p>
      <w:pPr>
        <w:pStyle w:val="13"/>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供应商对政府采购活动事项有疑问的，可以向采购代理机构提出询问，采购代理机构将对供应商依法提出的询问作出答复，但答复的内容不得涉及商业秘密。</w:t>
      </w:r>
    </w:p>
    <w:p>
      <w:pPr>
        <w:pStyle w:val="13"/>
        <w:numPr>
          <w:ilvl w:val="0"/>
          <w:numId w:val="0"/>
        </w:numPr>
        <w:spacing w:line="360" w:lineRule="auto"/>
        <w:ind w:leftChars="200"/>
        <w:rPr>
          <w:rFonts w:hint="eastAsia" w:ascii="宋体" w:hAnsi="宋体" w:eastAsia="宋体" w:cs="宋体"/>
          <w:b/>
          <w:sz w:val="24"/>
          <w:szCs w:val="24"/>
          <w:lang w:val="zh-CN"/>
        </w:rPr>
      </w:pPr>
      <w:r>
        <w:rPr>
          <w:rFonts w:hint="eastAsia" w:hAnsi="宋体" w:eastAsia="宋体" w:cs="宋体"/>
          <w:b/>
          <w:sz w:val="24"/>
          <w:szCs w:val="24"/>
          <w:lang w:val="en-US" w:eastAsia="zh-CN"/>
        </w:rPr>
        <w:t>35.</w:t>
      </w:r>
      <w:r>
        <w:rPr>
          <w:rFonts w:hint="eastAsia" w:ascii="宋体" w:hAnsi="宋体" w:eastAsia="宋体" w:cs="宋体"/>
          <w:b/>
          <w:sz w:val="24"/>
          <w:szCs w:val="24"/>
          <w:lang w:val="zh-CN"/>
        </w:rPr>
        <w:t>供应商质疑</w:t>
      </w: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leftChars="0" w:firstLine="480" w:firstLineChars="20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35.1供应商认为采购文件、采购过程和成交结果使自己的权益受到损害的，可以在知道或者应知其权益受到损害之日起七个工作日内，以书面形式向采购代理机构提出质疑，否则，采购代理机构不予受理：</w:t>
      </w:r>
    </w:p>
    <w:p>
      <w:pPr>
        <w:pStyle w:val="13"/>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w:t>
      </w:r>
      <w:r>
        <w:rPr>
          <w:rFonts w:hint="eastAsia" w:ascii="宋体" w:hAnsi="宋体" w:eastAsia="宋体" w:cs="宋体"/>
          <w:sz w:val="24"/>
          <w:u w:val="none"/>
        </w:rPr>
        <w:t>下载。</w:t>
      </w:r>
      <w:r>
        <w:rPr>
          <w:rFonts w:hint="eastAsia" w:ascii="宋体" w:hAnsi="宋体" w:eastAsia="宋体" w:cs="宋体"/>
          <w:b/>
          <w:sz w:val="24"/>
          <w:u w:val="none"/>
        </w:rPr>
        <w:t>供应商在法定质疑期内应一次性提出针对同一采购程序环节的质疑</w:t>
      </w:r>
      <w:r>
        <w:rPr>
          <w:rFonts w:hint="eastAsia" w:ascii="宋体" w:hAnsi="宋体" w:eastAsia="宋体" w:cs="宋体"/>
          <w:b/>
          <w:sz w:val="24"/>
          <w:u w:val="none"/>
          <w:lang w:eastAsia="zh-CN"/>
        </w:rPr>
        <w:t>，</w:t>
      </w:r>
      <w:r>
        <w:rPr>
          <w:rFonts w:hint="eastAsia" w:ascii="宋体" w:hAnsi="宋体" w:eastAsia="宋体" w:cs="宋体"/>
          <w:b/>
          <w:sz w:val="24"/>
          <w:u w:val="none"/>
        </w:rPr>
        <w:t>否则质疑将不予受理。</w:t>
      </w:r>
    </w:p>
    <w:p>
      <w:pPr>
        <w:pStyle w:val="40"/>
        <w:numPr>
          <w:ilvl w:val="0"/>
          <w:numId w:val="0"/>
        </w:numPr>
        <w:tabs>
          <w:tab w:val="left" w:pos="0"/>
        </w:tabs>
        <w:spacing w:before="0"/>
        <w:ind w:left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35.2供应商提交的质疑书需一式三份，由法定代表人签字（或盖章）并加盖单位公章。质疑书至少应包括下列主要内容：</w:t>
      </w:r>
    </w:p>
    <w:p>
      <w:pPr>
        <w:pStyle w:val="13"/>
        <w:numPr>
          <w:ilvl w:val="0"/>
          <w:numId w:val="38"/>
        </w:num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质疑人的名称、地址、邮政编码、联系人、联系电话，以及被质疑人名称及联系方式；</w:t>
      </w:r>
    </w:p>
    <w:p>
      <w:pPr>
        <w:pStyle w:val="13"/>
        <w:numPr>
          <w:ilvl w:val="0"/>
          <w:numId w:val="38"/>
        </w:num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被质疑采购项目名称、编号及采购内容；</w:t>
      </w:r>
    </w:p>
    <w:p>
      <w:pPr>
        <w:pStyle w:val="13"/>
        <w:numPr>
          <w:ilvl w:val="0"/>
          <w:numId w:val="38"/>
        </w:num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具体的质疑事项及事实依据；</w:t>
      </w:r>
    </w:p>
    <w:p>
      <w:pPr>
        <w:pStyle w:val="13"/>
        <w:numPr>
          <w:ilvl w:val="0"/>
          <w:numId w:val="38"/>
        </w:num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认为自己合法权益受到损害或可能受到损害的相关证据材料；</w:t>
      </w:r>
    </w:p>
    <w:p>
      <w:pPr>
        <w:pStyle w:val="13"/>
        <w:numPr>
          <w:ilvl w:val="0"/>
          <w:numId w:val="38"/>
        </w:num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提出质疑的日期。</w:t>
      </w:r>
    </w:p>
    <w:p>
      <w:pPr>
        <w:pStyle w:val="13"/>
        <w:spacing w:line="360" w:lineRule="auto"/>
        <w:ind w:firstLine="482" w:firstLineChars="200"/>
        <w:rPr>
          <w:rFonts w:hint="eastAsia" w:ascii="宋体" w:hAnsi="宋体" w:eastAsia="宋体" w:cs="宋体"/>
          <w:b/>
          <w:sz w:val="24"/>
          <w:u w:val="none"/>
        </w:rPr>
      </w:pPr>
      <w:r>
        <w:rPr>
          <w:rFonts w:hint="eastAsia" w:ascii="宋体" w:hAnsi="宋体" w:eastAsia="宋体" w:cs="宋体"/>
          <w:b/>
          <w:sz w:val="24"/>
          <w:u w:val="none"/>
        </w:rPr>
        <w:t>未按上述内容填写的质疑书将不予受理。</w:t>
      </w: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leftChars="0" w:firstLine="480" w:firstLineChars="20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35.3采购代理机构应当在收到供应商的书面质疑后七个工作日内作出答复，并以书面形式通知质疑供应商和其他与质疑处理结果有利害关系的政府采购当事人，但答复的内容不得涉及商业秘密。</w:t>
      </w: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leftChars="0" w:firstLine="480" w:firstLineChars="20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35.4询问或者质疑事项可能影响采购结果的，采购人应当暂停签订合同，已经签订合同的，应当中止履行合同。</w:t>
      </w:r>
    </w:p>
    <w:p>
      <w:pPr>
        <w:pStyle w:val="13"/>
        <w:numPr>
          <w:ilvl w:val="0"/>
          <w:numId w:val="0"/>
        </w:numPr>
        <w:spacing w:line="360" w:lineRule="auto"/>
        <w:ind w:leftChars="200"/>
        <w:rPr>
          <w:rFonts w:hint="eastAsia" w:ascii="宋体" w:hAnsi="宋体" w:eastAsia="宋体" w:cs="宋体"/>
          <w:b/>
          <w:sz w:val="24"/>
          <w:szCs w:val="24"/>
          <w:lang w:val="zh-CN"/>
        </w:rPr>
      </w:pPr>
      <w:r>
        <w:rPr>
          <w:rFonts w:hint="eastAsia" w:hAnsi="宋体" w:eastAsia="宋体" w:cs="宋体"/>
          <w:b/>
          <w:sz w:val="24"/>
          <w:szCs w:val="24"/>
          <w:lang w:val="en-US" w:eastAsia="zh-CN"/>
        </w:rPr>
        <w:t>36</w:t>
      </w:r>
      <w:r>
        <w:rPr>
          <w:rFonts w:hint="eastAsia" w:ascii="宋体" w:hAnsi="宋体" w:eastAsia="宋体" w:cs="宋体"/>
          <w:b/>
          <w:sz w:val="24"/>
          <w:szCs w:val="24"/>
          <w:lang w:val="zh-CN"/>
        </w:rPr>
        <w:t>供应商投诉</w:t>
      </w: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leftChars="0" w:firstLine="480" w:firstLineChars="20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36.1供应商质疑、投诉应当有明确的请求和必要的证明材料，供应商投诉的事项不得超出已质疑事项的范围，不符合上述要求的投诉将不予受理。</w:t>
      </w: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leftChars="0" w:firstLine="480" w:firstLineChars="200"/>
        <w:textAlignment w:val="auto"/>
        <w:rPr>
          <w:rFonts w:hint="eastAsia" w:ascii="宋体" w:hAnsi="宋体" w:eastAsia="宋体" w:cs="宋体"/>
          <w:b/>
          <w:sz w:val="24"/>
        </w:rPr>
      </w:pPr>
      <w:r>
        <w:rPr>
          <w:rFonts w:hint="eastAsia" w:ascii="宋体" w:hAnsi="宋体" w:eastAsia="宋体" w:cs="宋体"/>
          <w:color w:val="auto"/>
          <w:szCs w:val="24"/>
          <w:lang w:val="en-US" w:eastAsia="zh-CN"/>
        </w:rPr>
        <w:t>36.2质疑供应商对采购代理机构的答复不满意或者采购代理机构未在规定的时间内作出答复的，可以在答复期满后十五个工作日内向同级政府采购监督管理部门提出投诉。</w:t>
      </w:r>
    </w:p>
    <w:bookmarkEnd w:id="53"/>
    <w:p>
      <w:pPr>
        <w:adjustRightInd/>
        <w:spacing w:after="167" w:afterLines="50" w:line="360" w:lineRule="auto"/>
        <w:jc w:val="center"/>
        <w:outlineLvl w:val="0"/>
        <w:rPr>
          <w:rFonts w:hint="eastAsia" w:ascii="宋体" w:hAnsi="宋体" w:eastAsia="宋体" w:cs="宋体"/>
          <w:b/>
          <w:sz w:val="36"/>
          <w:szCs w:val="36"/>
        </w:rPr>
      </w:pPr>
      <w:r>
        <w:rPr>
          <w:rFonts w:hint="eastAsia" w:ascii="宋体" w:hAnsi="宋体" w:eastAsia="宋体" w:cs="宋体"/>
          <w:sz w:val="24"/>
          <w:szCs w:val="20"/>
        </w:rPr>
        <w:br w:type="page"/>
      </w:r>
      <w:bookmarkStart w:id="61" w:name="_Toc11226"/>
      <w:r>
        <w:rPr>
          <w:rFonts w:hint="eastAsia" w:ascii="宋体" w:hAnsi="宋体" w:eastAsia="宋体" w:cs="宋体"/>
          <w:b/>
          <w:sz w:val="36"/>
          <w:szCs w:val="36"/>
        </w:rPr>
        <w:t xml:space="preserve">第三部分   </w:t>
      </w:r>
      <w:bookmarkEnd w:id="45"/>
      <w:bookmarkEnd w:id="46"/>
      <w:bookmarkStart w:id="62" w:name="_Toc184310332"/>
      <w:bookmarkEnd w:id="62"/>
      <w:bookmarkStart w:id="63" w:name="_Toc184310319"/>
      <w:bookmarkEnd w:id="63"/>
      <w:bookmarkStart w:id="64" w:name="_Toc184313260"/>
      <w:bookmarkEnd w:id="64"/>
      <w:bookmarkStart w:id="65" w:name="_Toc184312072"/>
      <w:bookmarkEnd w:id="65"/>
      <w:bookmarkStart w:id="66" w:name="_Toc184312068"/>
      <w:bookmarkEnd w:id="66"/>
      <w:bookmarkStart w:id="67" w:name="_Toc184310338"/>
      <w:bookmarkEnd w:id="67"/>
      <w:bookmarkStart w:id="68" w:name="_Toc184312127"/>
      <w:bookmarkEnd w:id="68"/>
      <w:bookmarkStart w:id="69" w:name="_Toc184313268"/>
      <w:bookmarkEnd w:id="69"/>
      <w:bookmarkStart w:id="70" w:name="_Toc184312114"/>
      <w:bookmarkEnd w:id="70"/>
      <w:bookmarkStart w:id="71" w:name="_Toc184308052"/>
      <w:bookmarkEnd w:id="71"/>
      <w:bookmarkStart w:id="72" w:name="_Toc184313248"/>
      <w:bookmarkEnd w:id="72"/>
      <w:bookmarkStart w:id="73" w:name="_Toc184312121"/>
      <w:bookmarkEnd w:id="73"/>
      <w:bookmarkStart w:id="74" w:name="_Toc184314452"/>
      <w:bookmarkEnd w:id="74"/>
      <w:bookmarkStart w:id="75" w:name="_Toc184310286"/>
      <w:bookmarkEnd w:id="75"/>
      <w:bookmarkStart w:id="76" w:name="_Toc184310313"/>
      <w:bookmarkEnd w:id="76"/>
      <w:bookmarkStart w:id="77" w:name="_Toc184310272"/>
      <w:bookmarkEnd w:id="77"/>
      <w:bookmarkStart w:id="78" w:name="_Toc184313271"/>
      <w:bookmarkEnd w:id="78"/>
      <w:bookmarkStart w:id="79" w:name="_Toc184308054"/>
      <w:bookmarkEnd w:id="79"/>
      <w:bookmarkStart w:id="80" w:name="_Toc184314456"/>
      <w:bookmarkEnd w:id="80"/>
      <w:bookmarkStart w:id="81" w:name="_Toc184313276"/>
      <w:bookmarkEnd w:id="81"/>
      <w:bookmarkStart w:id="82" w:name="_Toc184310330"/>
      <w:bookmarkEnd w:id="82"/>
      <w:bookmarkStart w:id="83" w:name="_Toc184314447"/>
      <w:bookmarkEnd w:id="83"/>
      <w:bookmarkStart w:id="84" w:name="_Toc184314479"/>
      <w:bookmarkEnd w:id="84"/>
      <w:bookmarkStart w:id="85" w:name="_Toc184310311"/>
      <w:bookmarkEnd w:id="85"/>
      <w:bookmarkStart w:id="86" w:name="_Toc184313250"/>
      <w:bookmarkEnd w:id="86"/>
      <w:bookmarkStart w:id="87" w:name="_Toc184310315"/>
      <w:bookmarkEnd w:id="87"/>
      <w:bookmarkStart w:id="88" w:name="_Toc184310340"/>
      <w:bookmarkEnd w:id="88"/>
      <w:bookmarkStart w:id="89" w:name="_Toc184313279"/>
      <w:bookmarkEnd w:id="89"/>
      <w:bookmarkStart w:id="90" w:name="_Toc184308094"/>
      <w:bookmarkEnd w:id="90"/>
      <w:bookmarkStart w:id="91" w:name="_Toc184308103"/>
      <w:bookmarkEnd w:id="91"/>
      <w:bookmarkStart w:id="92" w:name="_Toc184308093"/>
      <w:bookmarkEnd w:id="92"/>
      <w:bookmarkStart w:id="93" w:name="_Toc184312073"/>
      <w:bookmarkEnd w:id="93"/>
      <w:bookmarkStart w:id="94" w:name="_Toc184310331"/>
      <w:bookmarkEnd w:id="94"/>
      <w:bookmarkStart w:id="95" w:name="_Toc184314451"/>
      <w:bookmarkEnd w:id="95"/>
      <w:bookmarkStart w:id="96" w:name="_Toc184314459"/>
      <w:bookmarkEnd w:id="96"/>
      <w:bookmarkStart w:id="97" w:name="_Toc184313309"/>
      <w:bookmarkEnd w:id="97"/>
      <w:bookmarkStart w:id="98" w:name="_Toc184312133"/>
      <w:bookmarkEnd w:id="98"/>
      <w:bookmarkStart w:id="99" w:name="_Toc184308087"/>
      <w:bookmarkEnd w:id="99"/>
      <w:bookmarkStart w:id="100" w:name="_Toc184310301"/>
      <w:bookmarkEnd w:id="100"/>
      <w:bookmarkStart w:id="101" w:name="_Toc184312135"/>
      <w:bookmarkEnd w:id="101"/>
      <w:bookmarkStart w:id="102" w:name="_Toc184308050"/>
      <w:bookmarkEnd w:id="102"/>
      <w:bookmarkStart w:id="103" w:name="_Toc184310308"/>
      <w:bookmarkEnd w:id="103"/>
      <w:bookmarkStart w:id="104" w:name="_Toc184313281"/>
      <w:bookmarkEnd w:id="104"/>
      <w:bookmarkStart w:id="105" w:name="_Toc184310278"/>
      <w:bookmarkEnd w:id="105"/>
      <w:bookmarkStart w:id="106" w:name="_Toc184312081"/>
      <w:bookmarkEnd w:id="106"/>
      <w:bookmarkStart w:id="107" w:name="_Toc184312082"/>
      <w:bookmarkEnd w:id="107"/>
      <w:bookmarkStart w:id="108" w:name="_Toc184310273"/>
      <w:bookmarkEnd w:id="108"/>
      <w:bookmarkStart w:id="109" w:name="_Toc184312071"/>
      <w:bookmarkEnd w:id="109"/>
      <w:bookmarkStart w:id="110" w:name="_Toc184313304"/>
      <w:bookmarkEnd w:id="110"/>
      <w:bookmarkStart w:id="111" w:name="_Toc184312069"/>
      <w:bookmarkEnd w:id="111"/>
      <w:bookmarkStart w:id="112" w:name="_Toc184310306"/>
      <w:bookmarkEnd w:id="112"/>
      <w:bookmarkStart w:id="113" w:name="_Toc184310344"/>
      <w:bookmarkEnd w:id="113"/>
      <w:bookmarkStart w:id="114" w:name="_Toc184312070"/>
      <w:bookmarkEnd w:id="114"/>
      <w:bookmarkStart w:id="115" w:name="_Toc184313243"/>
      <w:bookmarkEnd w:id="115"/>
      <w:bookmarkStart w:id="116" w:name="_Toc184313287"/>
      <w:bookmarkEnd w:id="116"/>
      <w:bookmarkStart w:id="117" w:name="_Toc184314432"/>
      <w:bookmarkEnd w:id="117"/>
      <w:bookmarkStart w:id="118" w:name="_Toc184308090"/>
      <w:bookmarkEnd w:id="118"/>
      <w:bookmarkStart w:id="119" w:name="_Toc184308102"/>
      <w:bookmarkEnd w:id="119"/>
      <w:bookmarkStart w:id="120" w:name="_Toc184310280"/>
      <w:bookmarkEnd w:id="120"/>
      <w:bookmarkStart w:id="121" w:name="_Toc184308070"/>
      <w:bookmarkEnd w:id="121"/>
      <w:bookmarkStart w:id="122" w:name="_Toc184313284"/>
      <w:bookmarkEnd w:id="122"/>
      <w:bookmarkStart w:id="123" w:name="_Toc184310305"/>
      <w:bookmarkEnd w:id="123"/>
      <w:bookmarkStart w:id="124" w:name="_Toc184312104"/>
      <w:bookmarkEnd w:id="124"/>
      <w:bookmarkStart w:id="125" w:name="_Toc184308053"/>
      <w:bookmarkEnd w:id="125"/>
      <w:bookmarkStart w:id="126" w:name="_Toc184312080"/>
      <w:bookmarkEnd w:id="126"/>
      <w:bookmarkStart w:id="127" w:name="_Toc184308056"/>
      <w:bookmarkEnd w:id="127"/>
      <w:bookmarkStart w:id="128" w:name="_Toc184308082"/>
      <w:bookmarkEnd w:id="128"/>
      <w:bookmarkStart w:id="129" w:name="_Toc184314476"/>
      <w:bookmarkEnd w:id="129"/>
      <w:bookmarkStart w:id="130" w:name="_Toc184314413"/>
      <w:bookmarkEnd w:id="130"/>
      <w:bookmarkStart w:id="131" w:name="_Toc184310326"/>
      <w:bookmarkEnd w:id="131"/>
      <w:bookmarkStart w:id="132" w:name="_Toc184310281"/>
      <w:bookmarkEnd w:id="132"/>
      <w:bookmarkStart w:id="133" w:name="_Toc184314423"/>
      <w:bookmarkEnd w:id="133"/>
      <w:bookmarkStart w:id="134" w:name="_Toc184314474"/>
      <w:bookmarkEnd w:id="134"/>
      <w:bookmarkStart w:id="135" w:name="_Toc184312116"/>
      <w:bookmarkEnd w:id="135"/>
      <w:bookmarkStart w:id="136" w:name="_Toc184308073"/>
      <w:bookmarkEnd w:id="136"/>
      <w:bookmarkStart w:id="137" w:name="_Toc184314443"/>
      <w:bookmarkEnd w:id="137"/>
      <w:bookmarkStart w:id="138" w:name="_Toc184312075"/>
      <w:bookmarkEnd w:id="138"/>
      <w:bookmarkStart w:id="139" w:name="_Toc184310322"/>
      <w:bookmarkEnd w:id="139"/>
      <w:bookmarkStart w:id="140" w:name="_Toc184312112"/>
      <w:bookmarkEnd w:id="140"/>
      <w:bookmarkStart w:id="141" w:name="_Toc184310325"/>
      <w:bookmarkEnd w:id="141"/>
      <w:bookmarkStart w:id="142" w:name="_Toc184313285"/>
      <w:bookmarkEnd w:id="142"/>
      <w:bookmarkStart w:id="143" w:name="_Toc184314450"/>
      <w:bookmarkEnd w:id="143"/>
      <w:bookmarkStart w:id="144" w:name="_Toc184310277"/>
      <w:bookmarkEnd w:id="144"/>
      <w:bookmarkStart w:id="145" w:name="_Toc184308069"/>
      <w:bookmarkEnd w:id="145"/>
      <w:bookmarkStart w:id="146" w:name="_Toc184314457"/>
      <w:bookmarkEnd w:id="146"/>
      <w:bookmarkStart w:id="147" w:name="_Toc184314436"/>
      <w:bookmarkEnd w:id="147"/>
      <w:bookmarkStart w:id="148" w:name="_Toc184308106"/>
      <w:bookmarkEnd w:id="148"/>
      <w:bookmarkStart w:id="149" w:name="_Toc184310320"/>
      <w:bookmarkEnd w:id="149"/>
      <w:bookmarkStart w:id="150" w:name="_Toc184310292"/>
      <w:bookmarkEnd w:id="150"/>
      <w:bookmarkStart w:id="151" w:name="_Toc184308058"/>
      <w:bookmarkEnd w:id="151"/>
      <w:bookmarkStart w:id="152" w:name="_Toc184313303"/>
      <w:bookmarkEnd w:id="152"/>
      <w:bookmarkStart w:id="153" w:name="_Toc184308061"/>
      <w:bookmarkEnd w:id="153"/>
      <w:bookmarkStart w:id="154" w:name="_Toc184313292"/>
      <w:bookmarkEnd w:id="154"/>
      <w:bookmarkStart w:id="155" w:name="_Toc184310297"/>
      <w:bookmarkEnd w:id="155"/>
      <w:bookmarkStart w:id="156" w:name="_Toc184313249"/>
      <w:bookmarkEnd w:id="156"/>
      <w:bookmarkStart w:id="157" w:name="_Toc184314417"/>
      <w:bookmarkEnd w:id="157"/>
      <w:bookmarkStart w:id="158" w:name="_Toc184312108"/>
      <w:bookmarkEnd w:id="158"/>
      <w:bookmarkStart w:id="159" w:name="_Toc184313301"/>
      <w:bookmarkEnd w:id="159"/>
      <w:bookmarkStart w:id="160" w:name="_Toc184314454"/>
      <w:bookmarkEnd w:id="160"/>
      <w:bookmarkStart w:id="161" w:name="_Toc184314463"/>
      <w:bookmarkEnd w:id="161"/>
      <w:bookmarkStart w:id="162" w:name="_Toc184312120"/>
      <w:bookmarkEnd w:id="162"/>
      <w:bookmarkStart w:id="163" w:name="_Toc184314437"/>
      <w:bookmarkEnd w:id="163"/>
      <w:bookmarkStart w:id="164" w:name="_Toc184308041"/>
      <w:bookmarkEnd w:id="164"/>
      <w:bookmarkStart w:id="165" w:name="_Toc184313240"/>
      <w:bookmarkEnd w:id="165"/>
      <w:bookmarkStart w:id="166" w:name="_Toc184314473"/>
      <w:bookmarkEnd w:id="166"/>
      <w:bookmarkStart w:id="167" w:name="_Toc184308044"/>
      <w:bookmarkEnd w:id="167"/>
      <w:bookmarkStart w:id="168" w:name="_Toc184308081"/>
      <w:bookmarkEnd w:id="168"/>
      <w:bookmarkStart w:id="169" w:name="_Toc184313244"/>
      <w:bookmarkEnd w:id="169"/>
      <w:bookmarkStart w:id="170" w:name="_Toc184313291"/>
      <w:bookmarkEnd w:id="170"/>
      <w:bookmarkStart w:id="171" w:name="_Toc184314475"/>
      <w:bookmarkEnd w:id="171"/>
      <w:bookmarkStart w:id="172" w:name="_Toc184312078"/>
      <w:bookmarkEnd w:id="172"/>
      <w:bookmarkStart w:id="173" w:name="_Toc184313283"/>
      <w:bookmarkEnd w:id="173"/>
      <w:bookmarkStart w:id="174" w:name="_Toc184310291"/>
      <w:bookmarkEnd w:id="174"/>
      <w:bookmarkStart w:id="175" w:name="_Toc184310312"/>
      <w:bookmarkEnd w:id="175"/>
      <w:bookmarkStart w:id="176" w:name="_Toc184312132"/>
      <w:bookmarkEnd w:id="176"/>
      <w:bookmarkStart w:id="177" w:name="_Toc184314468"/>
      <w:bookmarkEnd w:id="177"/>
      <w:bookmarkStart w:id="178" w:name="_Toc184313266"/>
      <w:bookmarkEnd w:id="178"/>
      <w:bookmarkStart w:id="179" w:name="_Toc184310335"/>
      <w:bookmarkEnd w:id="179"/>
      <w:bookmarkStart w:id="180" w:name="_Toc184312085"/>
      <w:bookmarkEnd w:id="180"/>
      <w:bookmarkStart w:id="181" w:name="_Toc184310341"/>
      <w:bookmarkEnd w:id="181"/>
      <w:bookmarkStart w:id="182" w:name="_Toc184313295"/>
      <w:bookmarkEnd w:id="182"/>
      <w:bookmarkStart w:id="183" w:name="_Toc184313275"/>
      <w:bookmarkEnd w:id="183"/>
      <w:bookmarkStart w:id="184" w:name="_Toc184310276"/>
      <w:bookmarkEnd w:id="184"/>
      <w:bookmarkStart w:id="185" w:name="_Toc184312091"/>
      <w:bookmarkEnd w:id="185"/>
      <w:bookmarkStart w:id="186" w:name="_Toc184313247"/>
      <w:bookmarkEnd w:id="186"/>
      <w:bookmarkStart w:id="187" w:name="_Toc184310290"/>
      <w:bookmarkEnd w:id="187"/>
      <w:bookmarkStart w:id="188" w:name="_Toc184312093"/>
      <w:bookmarkEnd w:id="188"/>
      <w:bookmarkStart w:id="189" w:name="_Toc184312086"/>
      <w:bookmarkEnd w:id="189"/>
      <w:bookmarkStart w:id="190" w:name="_Toc184313286"/>
      <w:bookmarkEnd w:id="190"/>
      <w:bookmarkStart w:id="191" w:name="_Toc184313253"/>
      <w:bookmarkEnd w:id="191"/>
      <w:bookmarkStart w:id="192" w:name="_Toc184314469"/>
      <w:bookmarkEnd w:id="192"/>
      <w:bookmarkStart w:id="193" w:name="_Toc184312126"/>
      <w:bookmarkEnd w:id="193"/>
      <w:bookmarkStart w:id="194" w:name="_Toc184314441"/>
      <w:bookmarkEnd w:id="194"/>
      <w:bookmarkStart w:id="195" w:name="_Toc184310283"/>
      <w:bookmarkEnd w:id="195"/>
      <w:bookmarkStart w:id="196" w:name="_Toc184314434"/>
      <w:bookmarkEnd w:id="196"/>
      <w:bookmarkStart w:id="197" w:name="_Toc184312095"/>
      <w:bookmarkEnd w:id="197"/>
      <w:bookmarkStart w:id="198" w:name="_Toc184313238"/>
      <w:bookmarkEnd w:id="198"/>
      <w:bookmarkStart w:id="199" w:name="_Toc184308089"/>
      <w:bookmarkEnd w:id="199"/>
      <w:bookmarkStart w:id="200" w:name="_Toc184312113"/>
      <w:bookmarkEnd w:id="200"/>
      <w:bookmarkStart w:id="201" w:name="_Toc184313290"/>
      <w:bookmarkEnd w:id="201"/>
      <w:bookmarkStart w:id="202" w:name="_Toc184314462"/>
      <w:bookmarkEnd w:id="202"/>
      <w:bookmarkStart w:id="203" w:name="_Toc184314438"/>
      <w:bookmarkEnd w:id="203"/>
      <w:bookmarkStart w:id="204" w:name="_Toc184308048"/>
      <w:bookmarkEnd w:id="204"/>
      <w:bookmarkStart w:id="205" w:name="_Toc184314421"/>
      <w:bookmarkEnd w:id="205"/>
      <w:bookmarkStart w:id="206" w:name="_Toc184308098"/>
      <w:bookmarkEnd w:id="206"/>
      <w:bookmarkStart w:id="207" w:name="_Toc184310282"/>
      <w:bookmarkEnd w:id="207"/>
      <w:bookmarkStart w:id="208" w:name="_Toc184313265"/>
      <w:bookmarkEnd w:id="208"/>
      <w:bookmarkStart w:id="209" w:name="_Toc184314419"/>
      <w:bookmarkEnd w:id="209"/>
      <w:bookmarkStart w:id="210" w:name="_Toc184310317"/>
      <w:bookmarkEnd w:id="210"/>
      <w:bookmarkStart w:id="211" w:name="_Toc184310300"/>
      <w:bookmarkEnd w:id="211"/>
      <w:bookmarkStart w:id="212" w:name="_Toc184308065"/>
      <w:bookmarkEnd w:id="212"/>
      <w:bookmarkStart w:id="213" w:name="_Toc184310309"/>
      <w:bookmarkEnd w:id="213"/>
      <w:bookmarkStart w:id="214" w:name="_Toc184314410"/>
      <w:bookmarkEnd w:id="214"/>
      <w:bookmarkStart w:id="215" w:name="_Toc184314424"/>
      <w:bookmarkEnd w:id="215"/>
      <w:bookmarkStart w:id="216" w:name="_Toc184308040"/>
      <w:bookmarkEnd w:id="216"/>
      <w:bookmarkStart w:id="217" w:name="_Toc184312124"/>
      <w:bookmarkEnd w:id="217"/>
      <w:bookmarkStart w:id="218" w:name="_Toc184314428"/>
      <w:bookmarkEnd w:id="218"/>
      <w:bookmarkStart w:id="219" w:name="_Toc184308049"/>
      <w:bookmarkEnd w:id="219"/>
      <w:bookmarkStart w:id="220" w:name="_Toc184312136"/>
      <w:bookmarkEnd w:id="220"/>
      <w:bookmarkStart w:id="221" w:name="_Toc184310287"/>
      <w:bookmarkEnd w:id="221"/>
      <w:bookmarkStart w:id="222" w:name="_Toc184312119"/>
      <w:bookmarkEnd w:id="222"/>
      <w:bookmarkStart w:id="223" w:name="_Toc184314472"/>
      <w:bookmarkEnd w:id="223"/>
      <w:bookmarkStart w:id="224" w:name="_Toc184312117"/>
      <w:bookmarkEnd w:id="224"/>
      <w:bookmarkStart w:id="225" w:name="_Toc184314471"/>
      <w:bookmarkEnd w:id="225"/>
      <w:bookmarkStart w:id="226" w:name="_Toc184310324"/>
      <w:bookmarkEnd w:id="226"/>
      <w:bookmarkStart w:id="227" w:name="_Toc184310296"/>
      <w:bookmarkEnd w:id="227"/>
      <w:bookmarkStart w:id="228" w:name="_Toc184314420"/>
      <w:bookmarkEnd w:id="228"/>
      <w:bookmarkStart w:id="229" w:name="_Toc184313300"/>
      <w:bookmarkEnd w:id="229"/>
      <w:bookmarkStart w:id="230" w:name="_Toc184314416"/>
      <w:bookmarkEnd w:id="230"/>
      <w:bookmarkStart w:id="231" w:name="_Toc184314467"/>
      <w:bookmarkEnd w:id="231"/>
      <w:bookmarkStart w:id="232" w:name="_Toc184310342"/>
      <w:bookmarkEnd w:id="232"/>
      <w:bookmarkStart w:id="233" w:name="_Toc184308055"/>
      <w:bookmarkEnd w:id="233"/>
      <w:bookmarkStart w:id="234" w:name="_Toc184312138"/>
      <w:bookmarkEnd w:id="234"/>
      <w:bookmarkStart w:id="235" w:name="_Toc184313274"/>
      <w:bookmarkEnd w:id="235"/>
      <w:bookmarkStart w:id="236" w:name="_Toc184312079"/>
      <w:bookmarkEnd w:id="236"/>
      <w:bookmarkStart w:id="237" w:name="_Toc184312118"/>
      <w:bookmarkEnd w:id="237"/>
      <w:bookmarkStart w:id="238" w:name="_Toc184308046"/>
      <w:bookmarkEnd w:id="238"/>
      <w:bookmarkStart w:id="239" w:name="_Toc184308100"/>
      <w:bookmarkEnd w:id="239"/>
      <w:bookmarkStart w:id="240" w:name="_Toc184310298"/>
      <w:bookmarkEnd w:id="240"/>
      <w:bookmarkStart w:id="241" w:name="_Toc184310289"/>
      <w:bookmarkEnd w:id="241"/>
      <w:bookmarkStart w:id="242" w:name="_Toc184313255"/>
      <w:bookmarkEnd w:id="242"/>
      <w:bookmarkStart w:id="243" w:name="_Toc184308084"/>
      <w:bookmarkEnd w:id="243"/>
      <w:bookmarkStart w:id="244" w:name="_Toc184314458"/>
      <w:bookmarkEnd w:id="244"/>
      <w:bookmarkStart w:id="245" w:name="_Toc184310275"/>
      <w:bookmarkEnd w:id="245"/>
      <w:bookmarkStart w:id="246" w:name="_Toc184310323"/>
      <w:bookmarkEnd w:id="246"/>
      <w:bookmarkStart w:id="247" w:name="_Toc184312077"/>
      <w:bookmarkEnd w:id="247"/>
      <w:bookmarkStart w:id="248" w:name="_Toc184313280"/>
      <w:bookmarkEnd w:id="248"/>
      <w:bookmarkStart w:id="249" w:name="_Toc184314449"/>
      <w:bookmarkEnd w:id="249"/>
      <w:bookmarkStart w:id="250" w:name="_Toc184314446"/>
      <w:bookmarkEnd w:id="250"/>
      <w:bookmarkStart w:id="251" w:name="_Toc184313289"/>
      <w:bookmarkEnd w:id="251"/>
      <w:bookmarkStart w:id="252" w:name="_Toc184313299"/>
      <w:bookmarkEnd w:id="252"/>
      <w:bookmarkStart w:id="253" w:name="_Toc184312098"/>
      <w:bookmarkEnd w:id="253"/>
      <w:bookmarkStart w:id="254" w:name="_Toc184312094"/>
      <w:bookmarkEnd w:id="254"/>
      <w:bookmarkStart w:id="255" w:name="_Toc184310333"/>
      <w:bookmarkEnd w:id="255"/>
      <w:bookmarkStart w:id="256" w:name="_Toc184308076"/>
      <w:bookmarkEnd w:id="256"/>
      <w:bookmarkStart w:id="257" w:name="_Toc184313278"/>
      <w:bookmarkEnd w:id="257"/>
      <w:bookmarkStart w:id="258" w:name="_Toc184308039"/>
      <w:bookmarkEnd w:id="258"/>
      <w:bookmarkStart w:id="259" w:name="_Toc184314464"/>
      <w:bookmarkEnd w:id="259"/>
      <w:bookmarkStart w:id="260" w:name="_Toc184312090"/>
      <w:bookmarkEnd w:id="260"/>
      <w:bookmarkStart w:id="261" w:name="_Toc184308088"/>
      <w:bookmarkEnd w:id="261"/>
      <w:bookmarkStart w:id="262" w:name="_Toc184310314"/>
      <w:bookmarkEnd w:id="262"/>
      <w:bookmarkStart w:id="263" w:name="_Toc184308108"/>
      <w:bookmarkEnd w:id="263"/>
      <w:bookmarkStart w:id="264" w:name="_Toc184312106"/>
      <w:bookmarkEnd w:id="264"/>
      <w:bookmarkStart w:id="265" w:name="_Toc184313277"/>
      <w:bookmarkEnd w:id="265"/>
      <w:bookmarkStart w:id="266" w:name="_Toc184314431"/>
      <w:bookmarkEnd w:id="266"/>
      <w:bookmarkStart w:id="267" w:name="_Toc184312110"/>
      <w:bookmarkEnd w:id="267"/>
      <w:bookmarkStart w:id="268" w:name="_Toc184310343"/>
      <w:bookmarkEnd w:id="268"/>
      <w:bookmarkStart w:id="269" w:name="_Toc184312115"/>
      <w:bookmarkEnd w:id="269"/>
      <w:bookmarkStart w:id="270" w:name="_Toc184313296"/>
      <w:bookmarkEnd w:id="270"/>
      <w:bookmarkStart w:id="271" w:name="_Toc184314445"/>
      <w:bookmarkEnd w:id="271"/>
      <w:bookmarkStart w:id="272" w:name="_Toc184312123"/>
      <w:bookmarkEnd w:id="272"/>
      <w:bookmarkStart w:id="273" w:name="_Toc184308092"/>
      <w:bookmarkEnd w:id="273"/>
      <w:bookmarkStart w:id="274" w:name="_Toc184308045"/>
      <w:bookmarkEnd w:id="274"/>
      <w:bookmarkStart w:id="275" w:name="_Toc184312067"/>
      <w:bookmarkEnd w:id="275"/>
      <w:bookmarkStart w:id="276" w:name="_Toc184314422"/>
      <w:bookmarkEnd w:id="276"/>
      <w:bookmarkStart w:id="277" w:name="_Toc184314427"/>
      <w:bookmarkEnd w:id="277"/>
      <w:bookmarkStart w:id="278" w:name="_Toc184312099"/>
      <w:bookmarkEnd w:id="278"/>
      <w:bookmarkStart w:id="279" w:name="_Toc184314465"/>
      <w:bookmarkEnd w:id="279"/>
      <w:bookmarkStart w:id="280" w:name="_Toc184308101"/>
      <w:bookmarkEnd w:id="280"/>
      <w:bookmarkStart w:id="281" w:name="_Toc184310321"/>
      <w:bookmarkEnd w:id="281"/>
      <w:bookmarkStart w:id="282" w:name="_Toc184308064"/>
      <w:bookmarkEnd w:id="282"/>
      <w:bookmarkStart w:id="283" w:name="_Toc184312088"/>
      <w:bookmarkEnd w:id="283"/>
      <w:bookmarkStart w:id="284" w:name="_Toc184313273"/>
      <w:bookmarkEnd w:id="284"/>
      <w:bookmarkStart w:id="285" w:name="_Toc184313288"/>
      <w:bookmarkEnd w:id="285"/>
      <w:bookmarkStart w:id="286" w:name="_Toc184312111"/>
      <w:bookmarkEnd w:id="286"/>
      <w:bookmarkStart w:id="287" w:name="_Toc184308036"/>
      <w:bookmarkEnd w:id="287"/>
      <w:bookmarkStart w:id="288" w:name="_Toc184310318"/>
      <w:bookmarkEnd w:id="288"/>
      <w:bookmarkStart w:id="289" w:name="_Toc184312125"/>
      <w:bookmarkEnd w:id="289"/>
      <w:bookmarkStart w:id="290" w:name="_Toc184308080"/>
      <w:bookmarkEnd w:id="290"/>
      <w:bookmarkStart w:id="291" w:name="_Toc184313251"/>
      <w:bookmarkEnd w:id="291"/>
      <w:bookmarkStart w:id="292" w:name="_Toc184310328"/>
      <w:bookmarkEnd w:id="292"/>
      <w:bookmarkStart w:id="293" w:name="_Toc184313259"/>
      <w:bookmarkEnd w:id="293"/>
      <w:bookmarkStart w:id="294" w:name="_Toc184313239"/>
      <w:bookmarkEnd w:id="294"/>
      <w:bookmarkStart w:id="295" w:name="_Toc184313307"/>
      <w:bookmarkEnd w:id="295"/>
      <w:bookmarkStart w:id="296" w:name="_Toc184312139"/>
      <w:bookmarkEnd w:id="296"/>
      <w:bookmarkStart w:id="297" w:name="_Toc184313256"/>
      <w:bookmarkEnd w:id="297"/>
      <w:bookmarkStart w:id="298" w:name="_Toc184310299"/>
      <w:bookmarkEnd w:id="298"/>
      <w:bookmarkStart w:id="299" w:name="_Toc184308077"/>
      <w:bookmarkEnd w:id="299"/>
      <w:bookmarkStart w:id="300" w:name="_Toc184313272"/>
      <w:bookmarkEnd w:id="300"/>
      <w:bookmarkStart w:id="301" w:name="_Toc184312101"/>
      <w:bookmarkEnd w:id="301"/>
      <w:bookmarkStart w:id="302" w:name="_Toc184312092"/>
      <w:bookmarkEnd w:id="302"/>
      <w:bookmarkStart w:id="303" w:name="_Toc184313269"/>
      <w:bookmarkEnd w:id="303"/>
      <w:bookmarkStart w:id="304" w:name="_Toc184308059"/>
      <w:bookmarkEnd w:id="304"/>
      <w:bookmarkStart w:id="305" w:name="_Toc184314444"/>
      <w:bookmarkEnd w:id="305"/>
      <w:bookmarkStart w:id="306" w:name="_Toc184312137"/>
      <w:bookmarkEnd w:id="306"/>
      <w:bookmarkStart w:id="307" w:name="_Toc184314460"/>
      <w:bookmarkEnd w:id="307"/>
      <w:bookmarkStart w:id="308" w:name="_Toc184308105"/>
      <w:bookmarkEnd w:id="308"/>
      <w:bookmarkStart w:id="309" w:name="_Toc184314481"/>
      <w:bookmarkEnd w:id="309"/>
      <w:bookmarkStart w:id="310" w:name="_Toc184310293"/>
      <w:bookmarkEnd w:id="310"/>
      <w:bookmarkStart w:id="311" w:name="_Toc184310329"/>
      <w:bookmarkEnd w:id="311"/>
      <w:bookmarkStart w:id="312" w:name="_Toc184310339"/>
      <w:bookmarkEnd w:id="312"/>
      <w:bookmarkStart w:id="313" w:name="_Toc184314418"/>
      <w:bookmarkEnd w:id="313"/>
      <w:bookmarkStart w:id="314" w:name="_Toc184313308"/>
      <w:bookmarkEnd w:id="314"/>
      <w:bookmarkStart w:id="315" w:name="_Toc184313246"/>
      <w:bookmarkEnd w:id="315"/>
      <w:bookmarkStart w:id="316" w:name="_Toc184314430"/>
      <w:bookmarkEnd w:id="316"/>
      <w:bookmarkStart w:id="317" w:name="_Toc184314480"/>
      <w:bookmarkEnd w:id="317"/>
      <w:bookmarkStart w:id="318" w:name="_Toc184313305"/>
      <w:bookmarkEnd w:id="318"/>
      <w:bookmarkStart w:id="319" w:name="_Toc184314477"/>
      <w:bookmarkEnd w:id="319"/>
      <w:bookmarkStart w:id="320" w:name="_Toc184308071"/>
      <w:bookmarkEnd w:id="320"/>
      <w:bookmarkStart w:id="321" w:name="_Toc184308107"/>
      <w:bookmarkEnd w:id="321"/>
      <w:bookmarkStart w:id="322" w:name="_Toc184312134"/>
      <w:bookmarkEnd w:id="322"/>
      <w:bookmarkStart w:id="323" w:name="_Toc184310274"/>
      <w:bookmarkEnd w:id="323"/>
      <w:bookmarkStart w:id="324" w:name="_Toc184312128"/>
      <w:bookmarkEnd w:id="324"/>
      <w:bookmarkStart w:id="325" w:name="_Toc184312102"/>
      <w:bookmarkEnd w:id="325"/>
      <w:bookmarkStart w:id="326" w:name="_Toc184308057"/>
      <w:bookmarkEnd w:id="326"/>
      <w:bookmarkStart w:id="327" w:name="_Toc184310303"/>
      <w:bookmarkEnd w:id="327"/>
      <w:bookmarkStart w:id="328" w:name="_Toc184310294"/>
      <w:bookmarkEnd w:id="328"/>
      <w:bookmarkStart w:id="329" w:name="_Toc184313263"/>
      <w:bookmarkEnd w:id="329"/>
      <w:bookmarkStart w:id="330" w:name="_Toc184308104"/>
      <w:bookmarkEnd w:id="330"/>
      <w:bookmarkStart w:id="331" w:name="_Toc184310307"/>
      <w:bookmarkEnd w:id="331"/>
      <w:bookmarkStart w:id="332" w:name="_Toc184310295"/>
      <w:bookmarkEnd w:id="332"/>
      <w:bookmarkStart w:id="333" w:name="_Toc184312103"/>
      <w:bookmarkEnd w:id="333"/>
      <w:bookmarkStart w:id="334" w:name="_Toc184314412"/>
      <w:bookmarkEnd w:id="334"/>
      <w:bookmarkStart w:id="335" w:name="_Toc184312130"/>
      <w:bookmarkEnd w:id="335"/>
      <w:bookmarkStart w:id="336" w:name="_Toc184314411"/>
      <w:bookmarkEnd w:id="336"/>
      <w:bookmarkStart w:id="337" w:name="_Toc184314425"/>
      <w:bookmarkEnd w:id="337"/>
      <w:bookmarkStart w:id="338" w:name="_Toc184308085"/>
      <w:bookmarkEnd w:id="338"/>
      <w:bookmarkStart w:id="339" w:name="_Toc184308099"/>
      <w:bookmarkEnd w:id="339"/>
      <w:bookmarkStart w:id="340" w:name="_Toc184312107"/>
      <w:bookmarkEnd w:id="340"/>
      <w:bookmarkStart w:id="341" w:name="_Toc184310279"/>
      <w:bookmarkEnd w:id="341"/>
      <w:bookmarkStart w:id="342" w:name="_Toc184313262"/>
      <w:bookmarkEnd w:id="342"/>
      <w:bookmarkStart w:id="343" w:name="_Toc184313264"/>
      <w:bookmarkEnd w:id="343"/>
      <w:bookmarkStart w:id="344" w:name="_Toc184313261"/>
      <w:bookmarkEnd w:id="344"/>
      <w:bookmarkStart w:id="345" w:name="_Toc184308072"/>
      <w:bookmarkEnd w:id="345"/>
      <w:bookmarkStart w:id="346" w:name="_Toc184312076"/>
      <w:bookmarkEnd w:id="346"/>
      <w:bookmarkStart w:id="347" w:name="_Toc184313310"/>
      <w:bookmarkEnd w:id="347"/>
      <w:bookmarkStart w:id="348" w:name="_Toc184314482"/>
      <w:bookmarkEnd w:id="348"/>
      <w:bookmarkStart w:id="349" w:name="_Toc184308063"/>
      <w:bookmarkEnd w:id="349"/>
      <w:bookmarkStart w:id="350" w:name="_Toc184313270"/>
      <w:bookmarkEnd w:id="350"/>
      <w:bookmarkStart w:id="351" w:name="_Toc184313293"/>
      <w:bookmarkEnd w:id="351"/>
      <w:bookmarkStart w:id="352" w:name="_Toc184312074"/>
      <w:bookmarkEnd w:id="352"/>
      <w:bookmarkStart w:id="353" w:name="_Toc184308047"/>
      <w:bookmarkEnd w:id="353"/>
      <w:bookmarkStart w:id="354" w:name="_Toc184312129"/>
      <w:bookmarkEnd w:id="354"/>
      <w:bookmarkStart w:id="355" w:name="_Toc184310310"/>
      <w:bookmarkEnd w:id="355"/>
      <w:bookmarkStart w:id="356" w:name="_Toc184314461"/>
      <w:bookmarkEnd w:id="356"/>
      <w:bookmarkStart w:id="357" w:name="_Toc184313245"/>
      <w:bookmarkEnd w:id="357"/>
      <w:bookmarkStart w:id="358" w:name="_Toc184313297"/>
      <w:bookmarkEnd w:id="358"/>
      <w:bookmarkStart w:id="359" w:name="_Toc184314442"/>
      <w:bookmarkEnd w:id="359"/>
      <w:bookmarkStart w:id="360" w:name="_Toc184308038"/>
      <w:bookmarkEnd w:id="360"/>
      <w:bookmarkStart w:id="361" w:name="_Toc184308037"/>
      <w:bookmarkEnd w:id="361"/>
      <w:bookmarkStart w:id="362" w:name="_Toc184308043"/>
      <w:bookmarkEnd w:id="362"/>
      <w:bookmarkStart w:id="363" w:name="_Toc184310285"/>
      <w:bookmarkEnd w:id="363"/>
      <w:bookmarkStart w:id="364" w:name="_Toc184312122"/>
      <w:bookmarkEnd w:id="364"/>
      <w:bookmarkStart w:id="365" w:name="_Toc184310327"/>
      <w:bookmarkEnd w:id="365"/>
      <w:bookmarkStart w:id="366" w:name="_Toc184310304"/>
      <w:bookmarkEnd w:id="366"/>
      <w:bookmarkStart w:id="367" w:name="_Toc184314455"/>
      <w:bookmarkEnd w:id="367"/>
      <w:bookmarkStart w:id="368" w:name="_Toc184312083"/>
      <w:bookmarkEnd w:id="368"/>
      <w:bookmarkStart w:id="369" w:name="_Toc184314466"/>
      <w:bookmarkEnd w:id="369"/>
      <w:bookmarkStart w:id="370" w:name="_Toc184314440"/>
      <w:bookmarkEnd w:id="370"/>
      <w:bookmarkStart w:id="371" w:name="_Toc184308097"/>
      <w:bookmarkEnd w:id="371"/>
      <w:bookmarkStart w:id="372" w:name="_Toc184314478"/>
      <w:bookmarkEnd w:id="372"/>
      <w:bookmarkStart w:id="373" w:name="_Toc184314433"/>
      <w:bookmarkEnd w:id="373"/>
      <w:bookmarkStart w:id="374" w:name="_Toc184313306"/>
      <w:bookmarkEnd w:id="374"/>
      <w:bookmarkStart w:id="375" w:name="_Toc184312089"/>
      <w:bookmarkEnd w:id="375"/>
      <w:bookmarkStart w:id="376" w:name="_Toc184313302"/>
      <w:bookmarkEnd w:id="376"/>
      <w:bookmarkStart w:id="377" w:name="_Toc184313254"/>
      <w:bookmarkEnd w:id="377"/>
      <w:bookmarkStart w:id="378" w:name="_Toc184314426"/>
      <w:bookmarkEnd w:id="378"/>
      <w:bookmarkStart w:id="379" w:name="_Toc184312131"/>
      <w:bookmarkEnd w:id="379"/>
      <w:bookmarkStart w:id="380" w:name="_Toc184310336"/>
      <w:bookmarkEnd w:id="380"/>
      <w:bookmarkStart w:id="381" w:name="_Toc184308086"/>
      <w:bookmarkEnd w:id="381"/>
      <w:bookmarkStart w:id="382" w:name="_Toc184312097"/>
      <w:bookmarkEnd w:id="382"/>
      <w:bookmarkStart w:id="383" w:name="_Toc184308060"/>
      <w:bookmarkEnd w:id="383"/>
      <w:bookmarkStart w:id="384" w:name="_Toc184314470"/>
      <w:bookmarkEnd w:id="384"/>
      <w:bookmarkStart w:id="385" w:name="_Toc184310288"/>
      <w:bookmarkEnd w:id="385"/>
      <w:bookmarkStart w:id="386" w:name="_Toc184313298"/>
      <w:bookmarkEnd w:id="386"/>
      <w:bookmarkStart w:id="387" w:name="_Toc184308042"/>
      <w:bookmarkEnd w:id="387"/>
      <w:bookmarkStart w:id="388" w:name="_Toc184314415"/>
      <w:bookmarkEnd w:id="388"/>
      <w:bookmarkStart w:id="389" w:name="_Toc184312084"/>
      <w:bookmarkEnd w:id="389"/>
      <w:bookmarkStart w:id="390" w:name="_Toc184308074"/>
      <w:bookmarkEnd w:id="390"/>
      <w:bookmarkStart w:id="391" w:name="_Toc184308091"/>
      <w:bookmarkEnd w:id="391"/>
      <w:bookmarkStart w:id="392" w:name="_Toc184313294"/>
      <w:bookmarkEnd w:id="392"/>
      <w:bookmarkStart w:id="393" w:name="_Toc184314453"/>
      <w:bookmarkEnd w:id="393"/>
      <w:bookmarkStart w:id="394" w:name="_Toc184308079"/>
      <w:bookmarkEnd w:id="394"/>
      <w:bookmarkStart w:id="395" w:name="_Toc184308067"/>
      <w:bookmarkEnd w:id="395"/>
      <w:bookmarkStart w:id="396" w:name="_Toc184312105"/>
      <w:bookmarkEnd w:id="396"/>
      <w:bookmarkStart w:id="397" w:name="_Toc184314414"/>
      <w:bookmarkEnd w:id="397"/>
      <w:bookmarkStart w:id="398" w:name="_Toc184308062"/>
      <w:bookmarkEnd w:id="398"/>
      <w:bookmarkStart w:id="399" w:name="_Toc184310334"/>
      <w:bookmarkEnd w:id="399"/>
      <w:bookmarkStart w:id="400" w:name="_Toc184313282"/>
      <w:bookmarkEnd w:id="400"/>
      <w:bookmarkStart w:id="401" w:name="_Toc184308096"/>
      <w:bookmarkEnd w:id="401"/>
      <w:bookmarkStart w:id="402" w:name="_Toc184308051"/>
      <w:bookmarkEnd w:id="402"/>
      <w:bookmarkStart w:id="403" w:name="_Toc184308075"/>
      <w:bookmarkEnd w:id="403"/>
      <w:bookmarkStart w:id="404" w:name="_Toc184308095"/>
      <w:bookmarkEnd w:id="404"/>
      <w:bookmarkStart w:id="405" w:name="_Toc184310337"/>
      <w:bookmarkEnd w:id="405"/>
      <w:bookmarkStart w:id="406" w:name="_Toc184314448"/>
      <w:bookmarkEnd w:id="406"/>
      <w:bookmarkStart w:id="407" w:name="_Toc184312109"/>
      <w:bookmarkEnd w:id="407"/>
      <w:bookmarkStart w:id="408" w:name="_Toc184313242"/>
      <w:bookmarkEnd w:id="408"/>
      <w:bookmarkStart w:id="409" w:name="_Toc184313267"/>
      <w:bookmarkEnd w:id="409"/>
      <w:bookmarkStart w:id="410" w:name="_Toc184308083"/>
      <w:bookmarkEnd w:id="410"/>
      <w:bookmarkStart w:id="411" w:name="_Toc184310284"/>
      <w:bookmarkEnd w:id="411"/>
      <w:bookmarkStart w:id="412" w:name="_Toc184314439"/>
      <w:bookmarkEnd w:id="412"/>
      <w:bookmarkStart w:id="413" w:name="_Toc184312096"/>
      <w:bookmarkEnd w:id="413"/>
      <w:bookmarkStart w:id="414" w:name="_Toc184314435"/>
      <w:bookmarkEnd w:id="414"/>
      <w:bookmarkStart w:id="415" w:name="_Toc184313252"/>
      <w:bookmarkEnd w:id="415"/>
      <w:bookmarkStart w:id="416" w:name="_Toc184308066"/>
      <w:bookmarkEnd w:id="416"/>
      <w:bookmarkStart w:id="417" w:name="_Toc184310302"/>
      <w:bookmarkEnd w:id="417"/>
      <w:bookmarkStart w:id="418" w:name="_Toc184308078"/>
      <w:bookmarkEnd w:id="418"/>
      <w:bookmarkStart w:id="419" w:name="_Toc184312100"/>
      <w:bookmarkEnd w:id="419"/>
      <w:bookmarkStart w:id="420" w:name="_Toc184310316"/>
      <w:bookmarkEnd w:id="420"/>
      <w:bookmarkStart w:id="421" w:name="_Toc184313241"/>
      <w:bookmarkEnd w:id="421"/>
      <w:bookmarkStart w:id="422" w:name="_Toc184313257"/>
      <w:bookmarkEnd w:id="422"/>
      <w:bookmarkStart w:id="423" w:name="_Toc184314429"/>
      <w:bookmarkEnd w:id="423"/>
      <w:bookmarkStart w:id="424" w:name="_Toc184313258"/>
      <w:bookmarkEnd w:id="424"/>
      <w:bookmarkStart w:id="425" w:name="_Toc184312087"/>
      <w:bookmarkEnd w:id="425"/>
      <w:bookmarkStart w:id="426" w:name="_Toc184308068"/>
      <w:bookmarkEnd w:id="426"/>
      <w:bookmarkStart w:id="427" w:name="第四部分"/>
      <w:r>
        <w:rPr>
          <w:rFonts w:hint="eastAsia" w:ascii="宋体" w:hAnsi="宋体" w:eastAsia="宋体" w:cs="宋体"/>
          <w:b/>
          <w:sz w:val="36"/>
          <w:szCs w:val="36"/>
        </w:rPr>
        <w:t>评标办法及评分标准</w:t>
      </w:r>
      <w:bookmarkEnd w:id="61"/>
    </w:p>
    <w:p>
      <w:pPr>
        <w:pStyle w:val="2"/>
        <w:numPr>
          <w:ilvl w:val="0"/>
          <w:numId w:val="0"/>
        </w:numPr>
        <w:spacing w:line="360" w:lineRule="auto"/>
        <w:ind w:leftChars="0"/>
        <w:jc w:val="center"/>
        <w:rPr>
          <w:rFonts w:hint="eastAsia" w:ascii="宋体" w:hAnsi="宋体" w:eastAsia="宋体" w:cs="宋体"/>
          <w:b/>
          <w:bCs/>
        </w:rPr>
      </w:pPr>
      <w:bookmarkStart w:id="428" w:name="_Toc1764"/>
      <w:r>
        <w:rPr>
          <w:rFonts w:hint="eastAsia" w:ascii="宋体" w:hAnsi="宋体" w:eastAsia="宋体" w:cs="宋体"/>
          <w:b/>
          <w:bCs/>
        </w:rPr>
        <w:t>第一章　评标办法</w:t>
      </w:r>
      <w:bookmarkEnd w:id="428"/>
    </w:p>
    <w:p>
      <w:pPr>
        <w:spacing w:line="360" w:lineRule="auto"/>
        <w:ind w:firstLine="482" w:firstLineChars="200"/>
        <w:rPr>
          <w:rFonts w:hint="eastAsia" w:ascii="宋体" w:hAnsi="宋体" w:eastAsia="宋体" w:cs="宋体"/>
          <w:b/>
          <w:bCs/>
          <w:sz w:val="24"/>
          <w:szCs w:val="21"/>
        </w:rPr>
      </w:pPr>
      <w:r>
        <w:rPr>
          <w:rFonts w:hint="eastAsia" w:ascii="宋体" w:hAnsi="宋体" w:eastAsia="宋体" w:cs="宋体"/>
          <w:b/>
          <w:bCs/>
          <w:sz w:val="24"/>
          <w:szCs w:val="21"/>
        </w:rPr>
        <w:t>一、本次招标将按下列第</w:t>
      </w:r>
      <w:r>
        <w:rPr>
          <w:rFonts w:hint="eastAsia" w:ascii="宋体" w:hAnsi="宋体" w:eastAsia="宋体" w:cs="宋体"/>
          <w:b/>
          <w:bCs/>
          <w:color w:val="FF0000"/>
          <w:sz w:val="24"/>
          <w:szCs w:val="21"/>
          <w:u w:val="single"/>
        </w:rPr>
        <w:t>　</w:t>
      </w:r>
      <w:r>
        <w:rPr>
          <w:rFonts w:hint="eastAsia" w:ascii="宋体" w:hAnsi="宋体" w:eastAsia="宋体" w:cs="宋体"/>
          <w:b/>
          <w:bCs/>
          <w:color w:val="FF0000"/>
          <w:sz w:val="24"/>
          <w:szCs w:val="21"/>
          <w:u w:val="single"/>
          <w:lang w:val="en-US" w:eastAsia="zh-CN"/>
        </w:rPr>
        <w:t>1</w:t>
      </w:r>
      <w:r>
        <w:rPr>
          <w:rFonts w:hint="eastAsia" w:ascii="宋体" w:hAnsi="宋体" w:eastAsia="宋体" w:cs="宋体"/>
          <w:b/>
          <w:bCs/>
          <w:color w:val="FF0000"/>
          <w:sz w:val="24"/>
          <w:szCs w:val="21"/>
          <w:u w:val="single"/>
        </w:rPr>
        <w:t>　</w:t>
      </w:r>
      <w:r>
        <w:rPr>
          <w:rFonts w:hint="eastAsia" w:ascii="宋体" w:hAnsi="宋体" w:eastAsia="宋体" w:cs="宋体"/>
          <w:b/>
          <w:bCs/>
          <w:sz w:val="24"/>
          <w:szCs w:val="21"/>
        </w:rPr>
        <w:t>种评标办法进行评标：</w:t>
      </w:r>
    </w:p>
    <w:p>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1、综合评分法。即在最大限度地满足招标文件实质性要求的前提下，按照《评分标准》规定的评分因素对各投标人的投标文件进行综合评审，以技术分、资信分、商务分总得分最高的投标人作为中标候选人。如最高总得分相同的，以报价低者作为中标候选人。如最高总得分且报价相同的，以技术指标优者作为中标候选人；无法确定技术指标优劣的，则抽签确定中标候选人。</w:t>
      </w:r>
    </w:p>
    <w:p>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2、最低评标价法。即在全部满足招标文件实质性要求的前提下，以评审后最低评标价的投标人作为中标候选人。如最低报价相同的，以技术指标优者作为中标候选人；无法确定技术指标优劣的，则抽签确定中标候选人。</w:t>
      </w:r>
    </w:p>
    <w:p>
      <w:pPr>
        <w:spacing w:line="360" w:lineRule="auto"/>
        <w:ind w:firstLine="480" w:firstLineChars="200"/>
        <w:rPr>
          <w:rFonts w:hint="eastAsia" w:ascii="宋体" w:hAnsi="宋体" w:eastAsia="宋体" w:cs="宋体"/>
          <w:sz w:val="24"/>
          <w:szCs w:val="21"/>
        </w:rPr>
      </w:pPr>
    </w:p>
    <w:p>
      <w:pPr>
        <w:pStyle w:val="2"/>
        <w:numPr>
          <w:ilvl w:val="0"/>
          <w:numId w:val="0"/>
        </w:numPr>
        <w:spacing w:line="360" w:lineRule="auto"/>
        <w:ind w:leftChars="0"/>
        <w:jc w:val="center"/>
        <w:rPr>
          <w:rFonts w:hint="eastAsia" w:ascii="宋体" w:hAnsi="宋体" w:eastAsia="宋体" w:cs="宋体"/>
        </w:rPr>
      </w:pPr>
      <w:r>
        <w:rPr>
          <w:rFonts w:hint="eastAsia" w:ascii="宋体" w:hAnsi="宋体" w:eastAsia="宋体" w:cs="宋体"/>
        </w:rPr>
        <w:t>第二章　评分标准</w:t>
      </w:r>
    </w:p>
    <w:p>
      <w:pPr>
        <w:spacing w:line="360" w:lineRule="auto"/>
        <w:ind w:firstLine="482" w:firstLineChars="200"/>
        <w:rPr>
          <w:rFonts w:hint="default" w:ascii="宋体" w:hAnsi="宋体" w:eastAsia="宋体"/>
          <w:b/>
          <w:bCs/>
          <w:sz w:val="24"/>
          <w:szCs w:val="21"/>
          <w:lang w:val="en-US" w:eastAsia="zh-CN"/>
        </w:rPr>
      </w:pPr>
      <w:r>
        <w:rPr>
          <w:rFonts w:hint="eastAsia" w:ascii="宋体" w:hAnsi="宋体"/>
          <w:b/>
          <w:bCs/>
          <w:sz w:val="24"/>
          <w:szCs w:val="21"/>
        </w:rPr>
        <w:t>一、报价文件评分标准</w:t>
      </w:r>
      <w:r>
        <w:rPr>
          <w:rFonts w:hint="eastAsia" w:ascii="宋体" w:hAnsi="宋体"/>
          <w:b/>
          <w:bCs/>
          <w:sz w:val="24"/>
          <w:szCs w:val="21"/>
          <w:lang w:eastAsia="zh-CN"/>
        </w:rPr>
        <w:t>（</w:t>
      </w:r>
      <w:r>
        <w:rPr>
          <w:rFonts w:hint="eastAsia" w:ascii="宋体" w:hAnsi="宋体"/>
          <w:b/>
          <w:bCs/>
          <w:sz w:val="24"/>
          <w:szCs w:val="21"/>
          <w:lang w:val="en-US" w:eastAsia="zh-CN"/>
        </w:rPr>
        <w:t>20分）</w:t>
      </w:r>
    </w:p>
    <w:p>
      <w:pPr>
        <w:spacing w:line="360" w:lineRule="auto"/>
        <w:ind w:firstLine="480" w:firstLineChars="200"/>
        <w:rPr>
          <w:rFonts w:hint="eastAsia" w:ascii="宋体" w:hAnsi="宋体"/>
          <w:sz w:val="24"/>
          <w:szCs w:val="21"/>
        </w:rPr>
      </w:pPr>
      <w:r>
        <w:rPr>
          <w:rFonts w:hint="eastAsia" w:ascii="宋体" w:hAnsi="宋体"/>
          <w:sz w:val="24"/>
          <w:szCs w:val="21"/>
        </w:rPr>
        <w:t>报价文件主要是对投标人的有效报价进行评议，其评分标准及分值设置规则如下：</w:t>
      </w:r>
    </w:p>
    <w:p>
      <w:pPr>
        <w:spacing w:line="360" w:lineRule="auto"/>
        <w:ind w:firstLine="480" w:firstLineChars="200"/>
        <w:rPr>
          <w:rFonts w:hint="eastAsia" w:ascii="宋体" w:hAnsi="宋体"/>
          <w:sz w:val="24"/>
          <w:szCs w:val="21"/>
        </w:rPr>
      </w:pPr>
      <w:r>
        <w:rPr>
          <w:rFonts w:hint="eastAsia" w:ascii="宋体" w:hAnsi="宋体"/>
          <w:sz w:val="24"/>
          <w:szCs w:val="21"/>
        </w:rPr>
        <w:t>1、本次招标最高限价规定如下：</w:t>
      </w:r>
    </w:p>
    <w:p>
      <w:pPr>
        <w:spacing w:line="360" w:lineRule="auto"/>
        <w:ind w:firstLine="480" w:firstLineChars="200"/>
        <w:rPr>
          <w:rFonts w:hint="eastAsia" w:ascii="宋体" w:hAnsi="宋体"/>
          <w:b/>
          <w:sz w:val="24"/>
          <w:szCs w:val="21"/>
        </w:rPr>
      </w:pPr>
      <w:r>
        <w:rPr>
          <w:rFonts w:hint="eastAsia" w:ascii="宋体" w:hAnsi="宋体"/>
          <w:sz w:val="24"/>
          <w:szCs w:val="21"/>
        </w:rPr>
        <w:t>本项目投标报价的最高限价</w:t>
      </w:r>
      <w:r>
        <w:rPr>
          <w:rFonts w:hint="eastAsia" w:ascii="宋体" w:hAnsi="宋体"/>
          <w:b/>
          <w:sz w:val="24"/>
          <w:szCs w:val="21"/>
        </w:rPr>
        <w:t>为</w:t>
      </w:r>
      <w:r>
        <w:rPr>
          <w:rFonts w:hint="eastAsia" w:ascii="宋体" w:hAnsi="宋体"/>
          <w:b/>
          <w:sz w:val="24"/>
          <w:szCs w:val="21"/>
          <w:lang w:eastAsia="zh-CN"/>
        </w:rPr>
        <w:t>最新浙江省或绍兴市检验检测收费项目的</w:t>
      </w:r>
      <w:r>
        <w:rPr>
          <w:rFonts w:hint="eastAsia" w:ascii="宋体" w:hAnsi="宋体"/>
          <w:b/>
          <w:sz w:val="24"/>
          <w:szCs w:val="21"/>
          <w:u w:val="single"/>
          <w:lang w:val="en-US" w:eastAsia="zh-CN"/>
        </w:rPr>
        <w:t xml:space="preserve">  50 %</w:t>
      </w:r>
      <w:r>
        <w:rPr>
          <w:rFonts w:hint="eastAsia" w:ascii="宋体" w:hAnsi="宋体"/>
          <w:b/>
          <w:bCs/>
          <w:sz w:val="24"/>
          <w:szCs w:val="21"/>
        </w:rPr>
        <w:t>。</w:t>
      </w:r>
      <w:r>
        <w:rPr>
          <w:rFonts w:hint="eastAsia" w:ascii="宋体" w:hAnsi="宋体"/>
          <w:b/>
          <w:sz w:val="24"/>
          <w:szCs w:val="21"/>
        </w:rPr>
        <w:t>最高限价由采购人根据市场价格的调查设定，并且不高于本项目财政预算。</w:t>
      </w:r>
    </w:p>
    <w:p>
      <w:pPr>
        <w:spacing w:line="360" w:lineRule="auto"/>
        <w:ind w:firstLine="480" w:firstLineChars="200"/>
        <w:rPr>
          <w:rFonts w:hint="eastAsia" w:ascii="宋体" w:hAnsi="宋体"/>
          <w:sz w:val="24"/>
          <w:szCs w:val="21"/>
        </w:rPr>
      </w:pPr>
      <w:r>
        <w:rPr>
          <w:rFonts w:hint="eastAsia" w:ascii="宋体" w:hAnsi="宋体"/>
          <w:sz w:val="24"/>
          <w:szCs w:val="21"/>
        </w:rPr>
        <w:t>2、投标人的报价在最高限价内的，为有效报价。</w:t>
      </w:r>
    </w:p>
    <w:p>
      <w:pPr>
        <w:spacing w:line="360" w:lineRule="auto"/>
        <w:ind w:firstLine="480" w:firstLineChars="200"/>
        <w:rPr>
          <w:rFonts w:hint="eastAsia" w:ascii="宋体" w:hAnsi="宋体"/>
          <w:sz w:val="24"/>
          <w:szCs w:val="21"/>
        </w:rPr>
      </w:pPr>
      <w:r>
        <w:rPr>
          <w:rFonts w:hint="eastAsia" w:ascii="宋体" w:hAnsi="宋体"/>
          <w:sz w:val="24"/>
          <w:szCs w:val="21"/>
        </w:rPr>
        <w:t>3、本次评标设有最佳报价。最佳报价确定方式：根据所有入围投标人有效报价中的最低报价作为最佳报价。</w:t>
      </w:r>
    </w:p>
    <w:p>
      <w:pPr>
        <w:spacing w:line="360" w:lineRule="auto"/>
        <w:ind w:firstLine="480" w:firstLineChars="200"/>
        <w:rPr>
          <w:rFonts w:hint="eastAsia" w:ascii="宋体" w:hAnsi="宋体"/>
          <w:sz w:val="24"/>
          <w:szCs w:val="21"/>
        </w:rPr>
      </w:pPr>
      <w:r>
        <w:rPr>
          <w:rFonts w:hint="eastAsia" w:ascii="宋体" w:hAnsi="宋体"/>
          <w:sz w:val="24"/>
          <w:szCs w:val="21"/>
        </w:rPr>
        <w:t>4、最佳报价者的报价分为满分，其他投标人的有效报价与最佳报价相比，按下列方法计算其报价分：</w:t>
      </w:r>
    </w:p>
    <w:p>
      <w:pPr>
        <w:spacing w:line="360" w:lineRule="auto"/>
        <w:ind w:firstLine="480" w:firstLineChars="200"/>
        <w:rPr>
          <w:rFonts w:hint="eastAsia" w:ascii="宋体" w:hAnsi="宋体"/>
          <w:sz w:val="24"/>
          <w:szCs w:val="21"/>
        </w:rPr>
      </w:pPr>
      <w:r>
        <w:rPr>
          <w:rFonts w:hint="eastAsia" w:ascii="宋体" w:hAnsi="宋体"/>
          <w:sz w:val="24"/>
          <w:szCs w:val="21"/>
        </w:rPr>
        <w:t>投标价格分=(最佳报价/投标报价)*价格权值*100。</w:t>
      </w:r>
    </w:p>
    <w:p>
      <w:pPr>
        <w:spacing w:line="360" w:lineRule="auto"/>
        <w:ind w:firstLine="480" w:firstLineChars="200"/>
        <w:rPr>
          <w:rFonts w:hint="eastAsia" w:ascii="宋体" w:hAnsi="宋体"/>
          <w:sz w:val="24"/>
          <w:szCs w:val="21"/>
        </w:rPr>
      </w:pPr>
      <w:r>
        <w:rPr>
          <w:rFonts w:hint="eastAsia" w:ascii="宋体" w:hAnsi="宋体"/>
          <w:sz w:val="24"/>
          <w:szCs w:val="21"/>
        </w:rPr>
        <w:t>5、当投标（开标）一览表与投标报价明细表报价不一致时，以投标（开标）一览表为准，报价明细表报价予以修正并由授权代表签字确认，拒绝修正或确认的，则做无效标处理。</w:t>
      </w:r>
    </w:p>
    <w:p>
      <w:pPr>
        <w:spacing w:line="360" w:lineRule="auto"/>
        <w:ind w:firstLine="480" w:firstLineChars="200"/>
        <w:rPr>
          <w:rFonts w:hint="eastAsia" w:ascii="宋体" w:hAnsi="宋体"/>
          <w:b/>
          <w:bCs/>
          <w:sz w:val="24"/>
          <w:szCs w:val="21"/>
        </w:rPr>
      </w:pPr>
      <w:r>
        <w:rPr>
          <w:rFonts w:hint="eastAsia" w:ascii="宋体" w:hAnsi="宋体"/>
          <w:sz w:val="24"/>
          <w:szCs w:val="21"/>
        </w:rPr>
        <w:t>6</w:t>
      </w:r>
      <w:r>
        <w:rPr>
          <w:rFonts w:hint="eastAsia" w:ascii="宋体" w:hAnsi="宋体"/>
          <w:b/>
          <w:bCs/>
          <w:sz w:val="24"/>
          <w:szCs w:val="21"/>
        </w:rPr>
        <w:t>、投标文件只允许有一个报价，投标报价应按招标文件中相关附表格式填报，该投标报价应与明细报价汇总相等，且不允许出现报价优惠、赠送等字样（明细出现“0”元，视同赠送）,如出现则做无效投标处理。</w:t>
      </w:r>
    </w:p>
    <w:p>
      <w:pPr>
        <w:autoSpaceDE w:val="0"/>
        <w:autoSpaceDN w:val="0"/>
        <w:spacing w:line="360" w:lineRule="auto"/>
        <w:ind w:firstLine="482"/>
        <w:rPr>
          <w:rFonts w:hint="eastAsia" w:ascii="宋体" w:hAnsi="宋体" w:cs="仿宋_GB2312"/>
          <w:sz w:val="24"/>
        </w:rPr>
      </w:pPr>
      <w:r>
        <w:rPr>
          <w:rFonts w:hint="eastAsia" w:ascii="宋体" w:hAnsi="宋体"/>
          <w:sz w:val="24"/>
          <w:szCs w:val="21"/>
        </w:rPr>
        <w:t>7、</w:t>
      </w:r>
      <w:r>
        <w:rPr>
          <w:rFonts w:hint="eastAsia" w:ascii="宋体" w:hAnsi="宋体" w:cs="仿宋_GB2312"/>
          <w:b/>
          <w:sz w:val="24"/>
        </w:rPr>
        <w:t>投标价格的合理性</w:t>
      </w:r>
      <w:r>
        <w:rPr>
          <w:rFonts w:hint="eastAsia" w:ascii="宋体" w:hAnsi="宋体" w:cs="仿宋_GB2312"/>
          <w:sz w:val="24"/>
        </w:rPr>
        <w:t>：</w:t>
      </w:r>
      <w:r>
        <w:rPr>
          <w:rFonts w:ascii="Arial" w:hAnsi="Arial" w:cs="Arial"/>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hint="eastAsia" w:ascii="宋体" w:hAnsi="宋体"/>
          <w:sz w:val="24"/>
          <w:szCs w:val="21"/>
        </w:rPr>
      </w:pPr>
      <w:r>
        <w:rPr>
          <w:rFonts w:hint="eastAsia" w:ascii="宋体" w:hAnsi="宋体"/>
          <w:sz w:val="24"/>
          <w:szCs w:val="21"/>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rFonts w:hint="eastAsia" w:ascii="宋体" w:hAnsi="宋体"/>
          <w:sz w:val="24"/>
          <w:szCs w:val="21"/>
        </w:rPr>
      </w:pPr>
      <w:r>
        <w:rPr>
          <w:rFonts w:hint="eastAsia" w:ascii="宋体" w:hAnsi="宋体"/>
          <w:sz w:val="24"/>
          <w:szCs w:val="21"/>
        </w:rPr>
        <w:t>根据财政部发布的《政府采购促进中小企业发展暂行办法》规定，对于非专门面向此类企业的项目，对小型和微型企业产品的投标价格给予6%除（即投标报价*94%），用扣除后的价格参与评审（中标价及合同价仍以其投标报价为准）。</w:t>
      </w:r>
    </w:p>
    <w:p>
      <w:pPr>
        <w:spacing w:line="360" w:lineRule="auto"/>
        <w:ind w:firstLine="480" w:firstLineChars="200"/>
        <w:rPr>
          <w:rFonts w:hint="eastAsia" w:ascii="宋体" w:hAnsi="宋体"/>
          <w:sz w:val="24"/>
          <w:szCs w:val="21"/>
        </w:rPr>
      </w:pPr>
      <w:r>
        <w:rPr>
          <w:rFonts w:hint="eastAsia" w:ascii="宋体" w:hAnsi="宋体"/>
          <w:sz w:val="24"/>
          <w:szCs w:val="21"/>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即投标报价*98%），用扣除后的价格参与评审（中标价及合同价仍以其投标报价为准）。</w:t>
      </w:r>
    </w:p>
    <w:p>
      <w:pPr>
        <w:spacing w:line="360" w:lineRule="auto"/>
        <w:ind w:firstLine="480" w:firstLineChars="200"/>
        <w:rPr>
          <w:rFonts w:hint="eastAsia" w:ascii="宋体" w:hAnsi="宋体"/>
          <w:sz w:val="24"/>
          <w:szCs w:val="21"/>
        </w:rPr>
      </w:pPr>
      <w:r>
        <w:rPr>
          <w:rFonts w:hint="eastAsia" w:ascii="宋体" w:hAnsi="宋体"/>
          <w:sz w:val="24"/>
          <w:szCs w:val="21"/>
        </w:rPr>
        <w:t>联合体各方均为小型、微型企业的，联合体视同为小型、微型企业。</w:t>
      </w:r>
    </w:p>
    <w:p>
      <w:pPr>
        <w:autoSpaceDE w:val="0"/>
        <w:autoSpaceDN w:val="0"/>
        <w:spacing w:line="360" w:lineRule="auto"/>
        <w:ind w:firstLine="480" w:firstLineChars="200"/>
        <w:rPr>
          <w:rFonts w:hint="eastAsia" w:ascii="宋体" w:hAnsi="宋体" w:eastAsia="宋体" w:cs="宋体"/>
          <w:sz w:val="24"/>
        </w:rPr>
      </w:pPr>
    </w:p>
    <w:p>
      <w:pPr>
        <w:spacing w:line="360" w:lineRule="auto"/>
        <w:ind w:firstLine="482" w:firstLineChars="200"/>
        <w:rPr>
          <w:rFonts w:hint="default" w:ascii="宋体" w:hAnsi="宋体" w:eastAsia="宋体" w:cs="宋体"/>
          <w:b/>
          <w:bCs/>
          <w:sz w:val="24"/>
          <w:szCs w:val="21"/>
          <w:lang w:val="en-US" w:eastAsia="zh-CN"/>
        </w:rPr>
      </w:pPr>
      <w:r>
        <w:rPr>
          <w:rFonts w:hint="eastAsia" w:ascii="宋体" w:hAnsi="宋体" w:eastAsia="宋体" w:cs="宋体"/>
          <w:b/>
          <w:bCs/>
          <w:sz w:val="24"/>
          <w:szCs w:val="21"/>
        </w:rPr>
        <w:t>二、商务技术文件评标内容及标准</w:t>
      </w:r>
      <w:r>
        <w:rPr>
          <w:rFonts w:hint="eastAsia" w:ascii="宋体" w:hAnsi="宋体" w:eastAsia="宋体" w:cs="宋体"/>
          <w:b/>
          <w:bCs/>
          <w:sz w:val="24"/>
          <w:szCs w:val="21"/>
          <w:lang w:eastAsia="zh-CN"/>
        </w:rPr>
        <w:t>（</w:t>
      </w:r>
      <w:r>
        <w:rPr>
          <w:rFonts w:hint="eastAsia" w:ascii="宋体" w:hAnsi="宋体" w:eastAsia="宋体" w:cs="宋体"/>
          <w:b/>
          <w:bCs/>
          <w:sz w:val="24"/>
          <w:szCs w:val="21"/>
          <w:lang w:val="en-US" w:eastAsia="zh-CN"/>
        </w:rPr>
        <w:t>80分）</w:t>
      </w:r>
    </w:p>
    <w:p>
      <w:pPr>
        <w:spacing w:line="360" w:lineRule="auto"/>
        <w:ind w:firstLine="482" w:firstLineChars="200"/>
        <w:rPr>
          <w:rFonts w:hint="eastAsia" w:ascii="宋体" w:hAnsi="宋体" w:eastAsia="宋体" w:cs="宋体"/>
          <w:b/>
          <w:bCs/>
          <w:color w:val="FF0000"/>
          <w:sz w:val="24"/>
          <w:szCs w:val="21"/>
          <w:lang w:eastAsia="zh-CN"/>
        </w:rPr>
      </w:pPr>
      <w:r>
        <w:rPr>
          <w:rFonts w:hint="eastAsia" w:ascii="宋体" w:hAnsi="宋体" w:eastAsia="宋体" w:cs="宋体"/>
          <w:b/>
          <w:bCs/>
          <w:sz w:val="24"/>
          <w:szCs w:val="21"/>
        </w:rPr>
        <w:t>1、</w:t>
      </w:r>
      <w:r>
        <w:rPr>
          <w:rFonts w:hint="eastAsia" w:ascii="宋体" w:hAnsi="宋体" w:eastAsia="宋体" w:cs="宋体"/>
          <w:b/>
          <w:bCs/>
          <w:sz w:val="24"/>
          <w:szCs w:val="21"/>
          <w:lang w:eastAsia="zh-CN"/>
        </w:rPr>
        <w:t>评分细则</w:t>
      </w:r>
    </w:p>
    <w:tbl>
      <w:tblPr>
        <w:tblStyle w:val="28"/>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987"/>
        <w:gridCol w:w="757"/>
        <w:gridCol w:w="5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000000"/>
                <w:sz w:val="24"/>
              </w:rPr>
            </w:pPr>
            <w:r>
              <w:rPr>
                <w:rFonts w:hint="eastAsia" w:ascii="宋体" w:hAnsi="宋体" w:eastAsia="宋体" w:cs="宋体"/>
                <w:color w:val="000000"/>
                <w:sz w:val="24"/>
              </w:rPr>
              <w:t>评分项目</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000000"/>
                <w:sz w:val="24"/>
              </w:rPr>
            </w:pPr>
            <w:r>
              <w:rPr>
                <w:rFonts w:hint="eastAsia" w:ascii="宋体" w:hAnsi="宋体" w:eastAsia="宋体" w:cs="宋体"/>
                <w:color w:val="000000"/>
                <w:sz w:val="24"/>
              </w:rPr>
              <w:t>分值</w:t>
            </w:r>
          </w:p>
        </w:tc>
        <w:tc>
          <w:tcPr>
            <w:tcW w:w="5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000000"/>
                <w:sz w:val="24"/>
              </w:rPr>
            </w:pPr>
            <w:r>
              <w:rPr>
                <w:rFonts w:hint="eastAsia" w:ascii="宋体" w:hAnsi="宋体" w:eastAsia="宋体" w:cs="宋体"/>
                <w:color w:val="000000"/>
                <w:sz w:val="24"/>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974" w:type="dxa"/>
            <w:gridSpan w:val="2"/>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技术</w:t>
            </w:r>
          </w:p>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55</w:t>
            </w:r>
            <w:r>
              <w:rPr>
                <w:rFonts w:hint="eastAsia" w:ascii="宋体" w:hAnsi="宋体" w:eastAsia="宋体" w:cs="宋体"/>
                <w:color w:val="000000"/>
                <w:sz w:val="24"/>
              </w:rPr>
              <w:t>）</w:t>
            </w: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w:t>
            </w:r>
          </w:p>
        </w:tc>
        <w:tc>
          <w:tcPr>
            <w:tcW w:w="5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Cs w:val="21"/>
                <w:lang w:eastAsia="zh-CN" w:bidi="ar"/>
              </w:rPr>
              <w:t>评委根据投标人提供的组织架构合理性及管理制度完善性进行评定，</w:t>
            </w:r>
            <w:r>
              <w:rPr>
                <w:rFonts w:hint="eastAsia" w:ascii="宋体" w:hAnsi="宋体" w:cs="宋体"/>
                <w:color w:val="000000"/>
                <w:kern w:val="0"/>
                <w:szCs w:val="21"/>
                <w:lang w:val="en-US" w:eastAsia="zh-CN" w:bidi="ar"/>
              </w:rPr>
              <w:t>1-5分打分，未提供方案不得分。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74" w:type="dxa"/>
            <w:gridSpan w:val="2"/>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w:t>
            </w:r>
          </w:p>
        </w:tc>
        <w:tc>
          <w:tcPr>
            <w:tcW w:w="5996"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z w:val="24"/>
                <w:lang w:eastAsia="zh-CN"/>
              </w:rPr>
            </w:pPr>
            <w:r>
              <w:rPr>
                <w:rFonts w:hint="eastAsia" w:ascii="宋体" w:hAnsi="宋体" w:cs="宋体"/>
                <w:color w:val="000000"/>
                <w:kern w:val="0"/>
                <w:szCs w:val="21"/>
                <w:lang w:val="en-US" w:eastAsia="zh-CN" w:bidi="ar"/>
              </w:rPr>
              <w:t>根据</w:t>
            </w:r>
            <w:r>
              <w:rPr>
                <w:rStyle w:val="34"/>
                <w:i w:val="0"/>
                <w:color w:val="000000"/>
                <w:sz w:val="21"/>
                <w:szCs w:val="21"/>
                <w:lang w:bidi="ar"/>
              </w:rPr>
              <w:t>投标人</w:t>
            </w:r>
            <w:r>
              <w:rPr>
                <w:rStyle w:val="34"/>
                <w:rFonts w:eastAsia="宋体"/>
                <w:i w:val="0"/>
                <w:color w:val="000000"/>
                <w:sz w:val="21"/>
                <w:szCs w:val="21"/>
                <w:lang w:eastAsia="zh-CN" w:bidi="ar"/>
              </w:rPr>
              <w:t>在</w:t>
            </w:r>
            <w:r>
              <w:rPr>
                <w:rStyle w:val="34"/>
                <w:i w:val="0"/>
                <w:color w:val="000000"/>
                <w:sz w:val="21"/>
                <w:szCs w:val="21"/>
                <w:lang w:bidi="ar"/>
              </w:rPr>
              <w:t>浙江省内实验室通过ISO 15189认可开展项目数</w:t>
            </w:r>
            <w:r>
              <w:rPr>
                <w:rStyle w:val="34"/>
                <w:rFonts w:eastAsia="宋体"/>
                <w:i w:val="0"/>
                <w:color w:val="000000"/>
                <w:sz w:val="21"/>
                <w:szCs w:val="21"/>
                <w:lang w:eastAsia="zh-CN" w:bidi="ar"/>
              </w:rPr>
              <w:t>评定，</w:t>
            </w:r>
            <w:r>
              <w:rPr>
                <w:rStyle w:val="34"/>
                <w:rFonts w:hint="default"/>
                <w:i w:val="0"/>
                <w:color w:val="000000"/>
                <w:sz w:val="21"/>
                <w:szCs w:val="21"/>
                <w:lang w:bidi="ar"/>
              </w:rPr>
              <w:t>≥</w:t>
            </w:r>
            <w:r>
              <w:rPr>
                <w:rStyle w:val="34"/>
                <w:rFonts w:hint="eastAsia"/>
                <w:i w:val="0"/>
                <w:color w:val="000000"/>
                <w:sz w:val="21"/>
                <w:szCs w:val="21"/>
                <w:lang w:bidi="ar"/>
              </w:rPr>
              <w:t>1</w:t>
            </w:r>
            <w:r>
              <w:rPr>
                <w:rStyle w:val="34"/>
                <w:i w:val="0"/>
                <w:color w:val="000000"/>
                <w:sz w:val="21"/>
                <w:szCs w:val="21"/>
                <w:lang w:bidi="ar"/>
              </w:rPr>
              <w:t>30</w:t>
            </w:r>
            <w:r>
              <w:rPr>
                <w:rStyle w:val="34"/>
                <w:rFonts w:hint="eastAsia"/>
                <w:i w:val="0"/>
                <w:color w:val="000000"/>
                <w:sz w:val="21"/>
                <w:szCs w:val="21"/>
                <w:lang w:bidi="ar"/>
              </w:rPr>
              <w:t>项得</w:t>
            </w:r>
            <w:r>
              <w:rPr>
                <w:rStyle w:val="34"/>
                <w:rFonts w:hint="eastAsia" w:eastAsia="宋体"/>
                <w:i w:val="0"/>
                <w:color w:val="000000"/>
                <w:sz w:val="21"/>
                <w:szCs w:val="21"/>
                <w:lang w:val="en-US" w:eastAsia="zh-CN" w:bidi="ar"/>
              </w:rPr>
              <w:t>10</w:t>
            </w:r>
            <w:r>
              <w:rPr>
                <w:rStyle w:val="34"/>
                <w:rFonts w:hint="eastAsia"/>
                <w:i w:val="0"/>
                <w:color w:val="000000"/>
                <w:sz w:val="21"/>
                <w:szCs w:val="21"/>
                <w:lang w:bidi="ar"/>
              </w:rPr>
              <w:t>分</w:t>
            </w:r>
            <w:r>
              <w:rPr>
                <w:rStyle w:val="34"/>
                <w:i w:val="0"/>
                <w:color w:val="000000"/>
                <w:sz w:val="21"/>
                <w:szCs w:val="21"/>
                <w:lang w:bidi="ar"/>
              </w:rPr>
              <w:t>；</w:t>
            </w:r>
            <w:r>
              <w:rPr>
                <w:rStyle w:val="34"/>
                <w:rFonts w:hint="eastAsia" w:eastAsia="宋体"/>
                <w:i w:val="0"/>
                <w:color w:val="000000"/>
                <w:sz w:val="21"/>
                <w:szCs w:val="21"/>
                <w:lang w:val="en-US" w:eastAsia="zh-CN" w:bidi="ar"/>
              </w:rPr>
              <w:t>100-</w:t>
            </w:r>
            <w:r>
              <w:rPr>
                <w:rStyle w:val="34"/>
                <w:i w:val="0"/>
                <w:color w:val="000000"/>
                <w:sz w:val="21"/>
                <w:szCs w:val="21"/>
                <w:lang w:bidi="ar"/>
              </w:rPr>
              <w:t>1</w:t>
            </w:r>
            <w:r>
              <w:rPr>
                <w:rStyle w:val="34"/>
                <w:rFonts w:hint="eastAsia" w:eastAsia="宋体"/>
                <w:i w:val="0"/>
                <w:color w:val="000000"/>
                <w:sz w:val="21"/>
                <w:szCs w:val="21"/>
                <w:lang w:val="en-US" w:eastAsia="zh-CN" w:bidi="ar"/>
              </w:rPr>
              <w:t>29</w:t>
            </w:r>
            <w:r>
              <w:rPr>
                <w:rStyle w:val="34"/>
                <w:i w:val="0"/>
                <w:color w:val="000000"/>
                <w:sz w:val="21"/>
                <w:szCs w:val="21"/>
                <w:lang w:bidi="ar"/>
              </w:rPr>
              <w:t>项得</w:t>
            </w:r>
            <w:r>
              <w:rPr>
                <w:rStyle w:val="34"/>
                <w:rFonts w:hint="eastAsia" w:eastAsia="宋体"/>
                <w:i w:val="0"/>
                <w:color w:val="000000"/>
                <w:sz w:val="21"/>
                <w:szCs w:val="21"/>
                <w:lang w:val="en-US" w:eastAsia="zh-CN" w:bidi="ar"/>
              </w:rPr>
              <w:t>6</w:t>
            </w:r>
            <w:r>
              <w:rPr>
                <w:rStyle w:val="34"/>
                <w:i w:val="0"/>
                <w:color w:val="000000"/>
                <w:sz w:val="21"/>
                <w:szCs w:val="21"/>
                <w:lang w:bidi="ar"/>
              </w:rPr>
              <w:t>分；</w:t>
            </w:r>
            <w:r>
              <w:rPr>
                <w:rStyle w:val="34"/>
                <w:rFonts w:hint="default"/>
                <w:i w:val="0"/>
                <w:color w:val="000000"/>
                <w:sz w:val="21"/>
                <w:szCs w:val="21"/>
                <w:lang w:bidi="ar"/>
              </w:rPr>
              <w:t>70</w:t>
            </w:r>
            <w:r>
              <w:rPr>
                <w:rStyle w:val="34"/>
                <w:rFonts w:hint="eastAsia" w:eastAsia="宋体"/>
                <w:i w:val="0"/>
                <w:color w:val="000000"/>
                <w:sz w:val="21"/>
                <w:szCs w:val="21"/>
                <w:lang w:val="en-US" w:eastAsia="zh-CN" w:bidi="ar"/>
              </w:rPr>
              <w:t>-99项</w:t>
            </w:r>
            <w:r>
              <w:rPr>
                <w:rStyle w:val="34"/>
                <w:i w:val="0"/>
                <w:color w:val="000000"/>
                <w:sz w:val="21"/>
                <w:szCs w:val="21"/>
                <w:lang w:bidi="ar"/>
              </w:rPr>
              <w:t>得</w:t>
            </w:r>
            <w:r>
              <w:rPr>
                <w:rStyle w:val="34"/>
                <w:rFonts w:hint="eastAsia" w:eastAsia="宋体"/>
                <w:i w:val="0"/>
                <w:color w:val="000000"/>
                <w:sz w:val="21"/>
                <w:szCs w:val="21"/>
                <w:lang w:val="en-US" w:eastAsia="zh-CN" w:bidi="ar"/>
              </w:rPr>
              <w:t>3</w:t>
            </w:r>
            <w:r>
              <w:rPr>
                <w:rStyle w:val="34"/>
                <w:i w:val="0"/>
                <w:color w:val="000000"/>
                <w:sz w:val="21"/>
                <w:szCs w:val="21"/>
                <w:lang w:bidi="ar"/>
              </w:rPr>
              <w:t>分，</w:t>
            </w:r>
            <w:r>
              <w:rPr>
                <w:rStyle w:val="34"/>
                <w:rFonts w:eastAsia="宋体"/>
                <w:i w:val="0"/>
                <w:color w:val="000000"/>
                <w:sz w:val="21"/>
                <w:szCs w:val="21"/>
                <w:lang w:eastAsia="zh-CN" w:bidi="ar"/>
              </w:rPr>
              <w:t>≤</w:t>
            </w:r>
            <w:r>
              <w:rPr>
                <w:rStyle w:val="34"/>
                <w:rFonts w:hint="eastAsia" w:eastAsia="宋体"/>
                <w:i w:val="0"/>
                <w:color w:val="000000"/>
                <w:sz w:val="21"/>
                <w:szCs w:val="21"/>
                <w:lang w:val="en-US" w:eastAsia="zh-CN" w:bidi="ar"/>
              </w:rPr>
              <w:t>69</w:t>
            </w:r>
            <w:r>
              <w:rPr>
                <w:rStyle w:val="34"/>
                <w:i w:val="0"/>
                <w:color w:val="000000"/>
                <w:sz w:val="21"/>
                <w:szCs w:val="21"/>
                <w:lang w:bidi="ar"/>
              </w:rPr>
              <w:t>项</w:t>
            </w:r>
            <w:r>
              <w:rPr>
                <w:rStyle w:val="34"/>
                <w:rFonts w:hint="default"/>
                <w:i w:val="0"/>
                <w:color w:val="000000"/>
                <w:sz w:val="21"/>
                <w:szCs w:val="21"/>
                <w:lang w:bidi="ar"/>
              </w:rPr>
              <w:t>得</w:t>
            </w:r>
            <w:r>
              <w:rPr>
                <w:rStyle w:val="34"/>
                <w:rFonts w:hint="eastAsia" w:eastAsia="宋体"/>
                <w:i w:val="0"/>
                <w:color w:val="000000"/>
                <w:sz w:val="21"/>
                <w:szCs w:val="21"/>
                <w:lang w:val="en-US" w:eastAsia="zh-CN" w:bidi="ar"/>
              </w:rPr>
              <w:t>1</w:t>
            </w:r>
            <w:r>
              <w:rPr>
                <w:rStyle w:val="34"/>
                <w:rFonts w:hint="default"/>
                <w:i w:val="0"/>
                <w:color w:val="000000"/>
                <w:sz w:val="21"/>
                <w:szCs w:val="21"/>
                <w:lang w:bidi="ar"/>
              </w:rPr>
              <w:t>分</w:t>
            </w:r>
            <w:r>
              <w:rPr>
                <w:rStyle w:val="34"/>
                <w:rFonts w:hint="eastAsia" w:eastAsia="宋体"/>
                <w:i w:val="0"/>
                <w:color w:val="000000"/>
                <w:sz w:val="21"/>
                <w:szCs w:val="21"/>
                <w:lang w:eastAsia="zh-CN" w:bidi="ar"/>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74" w:type="dxa"/>
            <w:gridSpan w:val="2"/>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w:t>
            </w:r>
          </w:p>
        </w:tc>
        <w:tc>
          <w:tcPr>
            <w:tcW w:w="5996"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kern w:val="0"/>
                <w:szCs w:val="21"/>
                <w:lang w:val="en-US" w:eastAsia="zh-CN" w:bidi="ar"/>
              </w:rPr>
            </w:pPr>
            <w:r>
              <w:rPr>
                <w:rStyle w:val="34"/>
                <w:rFonts w:eastAsia="宋体"/>
                <w:i w:val="0"/>
                <w:sz w:val="21"/>
                <w:szCs w:val="21"/>
                <w:lang w:eastAsia="zh-CN" w:bidi="ar"/>
              </w:rPr>
              <w:t>评委根据</w:t>
            </w:r>
            <w:r>
              <w:rPr>
                <w:rStyle w:val="34"/>
                <w:i w:val="0"/>
                <w:sz w:val="21"/>
                <w:szCs w:val="21"/>
                <w:lang w:bidi="ar"/>
              </w:rPr>
              <w:t>投标人PCR实验室</w:t>
            </w:r>
            <w:r>
              <w:rPr>
                <w:rStyle w:val="34"/>
                <w:rFonts w:eastAsia="宋体"/>
                <w:i w:val="0"/>
                <w:sz w:val="21"/>
                <w:szCs w:val="21"/>
                <w:lang w:eastAsia="zh-CN" w:bidi="ar"/>
              </w:rPr>
              <w:t>能开展</w:t>
            </w:r>
            <w:r>
              <w:rPr>
                <w:rStyle w:val="34"/>
                <w:i w:val="0"/>
                <w:sz w:val="21"/>
                <w:szCs w:val="21"/>
                <w:lang w:bidi="ar"/>
              </w:rPr>
              <w:t>感染性疾病相关基因、药物代谢基因；肿瘤相关基因检测（组织）、肿瘤</w:t>
            </w:r>
            <w:r>
              <w:rPr>
                <w:rStyle w:val="34"/>
                <w:rFonts w:hint="eastAsia"/>
                <w:i w:val="0"/>
                <w:sz w:val="21"/>
                <w:szCs w:val="21"/>
                <w:lang w:bidi="ar"/>
              </w:rPr>
              <w:t>相关基因检测（血液）</w:t>
            </w:r>
            <w:r>
              <w:rPr>
                <w:rStyle w:val="34"/>
                <w:rFonts w:hint="eastAsia" w:eastAsia="宋体"/>
                <w:i w:val="0"/>
                <w:sz w:val="21"/>
                <w:szCs w:val="21"/>
                <w:lang w:eastAsia="zh-CN" w:bidi="ar"/>
              </w:rPr>
              <w:t>扩项检验项目进行评定</w:t>
            </w:r>
            <w:r>
              <w:rPr>
                <w:rStyle w:val="34"/>
                <w:i w:val="0"/>
                <w:sz w:val="21"/>
                <w:szCs w:val="21"/>
                <w:lang w:bidi="ar"/>
              </w:rPr>
              <w:t>，缺少一项扣</w:t>
            </w:r>
            <w:r>
              <w:rPr>
                <w:rStyle w:val="34"/>
                <w:rFonts w:hint="eastAsia" w:eastAsia="宋体"/>
                <w:i w:val="0"/>
                <w:sz w:val="21"/>
                <w:szCs w:val="21"/>
                <w:lang w:val="en-US" w:eastAsia="zh-CN" w:bidi="ar"/>
              </w:rPr>
              <w:t>2</w:t>
            </w:r>
            <w:r>
              <w:rPr>
                <w:rStyle w:val="34"/>
                <w:i w:val="0"/>
                <w:sz w:val="21"/>
                <w:szCs w:val="21"/>
                <w:lang w:bidi="ar"/>
              </w:rPr>
              <w:t>分</w:t>
            </w:r>
            <w:r>
              <w:rPr>
                <w:rStyle w:val="34"/>
                <w:rFonts w:eastAsia="宋体"/>
                <w:i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74" w:type="dxa"/>
            <w:gridSpan w:val="2"/>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w:t>
            </w:r>
          </w:p>
        </w:tc>
        <w:tc>
          <w:tcPr>
            <w:tcW w:w="5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z w:val="24"/>
              </w:rPr>
            </w:pPr>
            <w:r>
              <w:rPr>
                <w:rFonts w:hint="eastAsia" w:ascii="宋体" w:hAnsi="宋体" w:cs="宋体"/>
                <w:color w:val="000000"/>
                <w:kern w:val="0"/>
                <w:szCs w:val="21"/>
                <w:lang w:eastAsia="zh-CN" w:bidi="ar"/>
              </w:rPr>
              <w:t>评委</w:t>
            </w:r>
            <w:r>
              <w:rPr>
                <w:rFonts w:hint="eastAsia" w:ascii="宋体" w:hAnsi="宋体" w:cs="宋体"/>
                <w:color w:val="000000"/>
                <w:kern w:val="0"/>
                <w:szCs w:val="21"/>
                <w:lang w:bidi="ar"/>
              </w:rPr>
              <w:t>根据</w:t>
            </w:r>
            <w:r>
              <w:rPr>
                <w:rFonts w:hint="eastAsia" w:ascii="宋体" w:hAnsi="宋体" w:cs="宋体"/>
                <w:color w:val="000000"/>
                <w:kern w:val="0"/>
                <w:szCs w:val="21"/>
                <w:lang w:eastAsia="zh-CN" w:bidi="ar"/>
              </w:rPr>
              <w:t>投标人</w:t>
            </w:r>
            <w:r>
              <w:rPr>
                <w:rFonts w:hint="eastAsia" w:ascii="宋体" w:hAnsi="宋体" w:cs="宋体"/>
                <w:color w:val="000000"/>
                <w:kern w:val="0"/>
                <w:szCs w:val="21"/>
                <w:lang w:bidi="ar"/>
              </w:rPr>
              <w:t>提供的201</w:t>
            </w:r>
            <w:r>
              <w:rPr>
                <w:rFonts w:ascii="宋体" w:hAnsi="宋体" w:cs="宋体"/>
                <w:color w:val="000000"/>
                <w:kern w:val="0"/>
                <w:szCs w:val="21"/>
                <w:lang w:bidi="ar"/>
              </w:rPr>
              <w:t>9</w:t>
            </w:r>
            <w:r>
              <w:rPr>
                <w:rFonts w:hint="eastAsia" w:ascii="宋体" w:hAnsi="宋体" w:cs="宋体"/>
                <w:color w:val="000000"/>
                <w:kern w:val="0"/>
                <w:szCs w:val="21"/>
                <w:lang w:bidi="ar"/>
              </w:rPr>
              <w:t>年</w:t>
            </w:r>
            <w:r>
              <w:rPr>
                <w:rFonts w:hint="eastAsia" w:ascii="宋体" w:hAnsi="宋体" w:cs="宋体"/>
                <w:color w:val="000000"/>
                <w:kern w:val="0"/>
                <w:szCs w:val="21"/>
                <w:lang w:eastAsia="zh-CN" w:bidi="ar"/>
              </w:rPr>
              <w:t>室间质评项目数量评定，</w:t>
            </w:r>
            <w:r>
              <w:rPr>
                <w:rStyle w:val="34"/>
                <w:rFonts w:hint="default"/>
                <w:i w:val="0"/>
                <w:color w:val="000000"/>
                <w:sz w:val="21"/>
                <w:szCs w:val="21"/>
                <w:lang w:bidi="ar"/>
              </w:rPr>
              <w:t>≥</w:t>
            </w:r>
            <w:r>
              <w:rPr>
                <w:rStyle w:val="34"/>
                <w:rFonts w:hint="eastAsia" w:eastAsia="宋体"/>
                <w:i w:val="0"/>
                <w:color w:val="000000"/>
                <w:sz w:val="21"/>
                <w:szCs w:val="21"/>
                <w:lang w:val="en-US" w:eastAsia="zh-CN" w:bidi="ar"/>
              </w:rPr>
              <w:t>80</w:t>
            </w:r>
            <w:r>
              <w:rPr>
                <w:rStyle w:val="34"/>
                <w:rFonts w:hint="eastAsia"/>
                <w:i w:val="0"/>
                <w:color w:val="000000"/>
                <w:sz w:val="21"/>
                <w:szCs w:val="21"/>
                <w:lang w:bidi="ar"/>
              </w:rPr>
              <w:t>项</w:t>
            </w:r>
            <w:r>
              <w:rPr>
                <w:rFonts w:hint="eastAsia" w:ascii="宋体" w:hAnsi="宋体" w:cs="宋体"/>
                <w:color w:val="000000"/>
                <w:kern w:val="0"/>
                <w:szCs w:val="21"/>
                <w:lang w:bidi="ar"/>
              </w:rPr>
              <w:t>得10分，</w:t>
            </w:r>
            <w:r>
              <w:rPr>
                <w:rFonts w:ascii="宋体" w:hAnsi="宋体" w:cs="宋体"/>
                <w:color w:val="000000"/>
                <w:kern w:val="0"/>
                <w:szCs w:val="21"/>
                <w:lang w:bidi="ar"/>
              </w:rPr>
              <w:t>6</w:t>
            </w:r>
            <w:r>
              <w:rPr>
                <w:rFonts w:hint="eastAsia" w:ascii="宋体" w:hAnsi="宋体" w:cs="宋体"/>
                <w:color w:val="000000"/>
                <w:kern w:val="0"/>
                <w:szCs w:val="21"/>
                <w:lang w:bidi="ar"/>
              </w:rPr>
              <w:t>0—80</w:t>
            </w:r>
            <w:r>
              <w:rPr>
                <w:rFonts w:hint="eastAsia" w:ascii="宋体" w:hAnsi="宋体" w:cs="宋体"/>
                <w:color w:val="000000"/>
                <w:kern w:val="0"/>
                <w:szCs w:val="21"/>
                <w:lang w:eastAsia="zh-CN" w:bidi="ar"/>
              </w:rPr>
              <w:t>项</w:t>
            </w:r>
            <w:r>
              <w:rPr>
                <w:rFonts w:hint="eastAsia" w:ascii="宋体" w:hAnsi="宋体" w:cs="宋体"/>
                <w:color w:val="000000"/>
                <w:kern w:val="0"/>
                <w:szCs w:val="21"/>
                <w:lang w:bidi="ar"/>
              </w:rPr>
              <w:t>的得</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分，</w:t>
            </w:r>
            <w:r>
              <w:rPr>
                <w:rFonts w:ascii="宋体" w:hAnsi="宋体" w:cs="宋体"/>
                <w:color w:val="000000"/>
                <w:kern w:val="0"/>
                <w:szCs w:val="21"/>
                <w:lang w:bidi="ar"/>
              </w:rPr>
              <w:t>6</w:t>
            </w:r>
            <w:r>
              <w:rPr>
                <w:rFonts w:hint="eastAsia" w:ascii="宋体" w:hAnsi="宋体" w:cs="宋体"/>
                <w:color w:val="000000"/>
                <w:kern w:val="0"/>
                <w:szCs w:val="21"/>
                <w:lang w:bidi="ar"/>
              </w:rPr>
              <w:t>0</w:t>
            </w:r>
            <w:r>
              <w:rPr>
                <w:rFonts w:hint="eastAsia" w:ascii="宋体" w:hAnsi="宋体" w:cs="宋体"/>
                <w:color w:val="000000"/>
                <w:kern w:val="0"/>
                <w:szCs w:val="21"/>
                <w:lang w:val="en-US" w:eastAsia="zh-CN" w:bidi="ar"/>
              </w:rPr>
              <w:t>-30</w:t>
            </w:r>
            <w:r>
              <w:rPr>
                <w:rFonts w:hint="eastAsia" w:ascii="宋体" w:hAnsi="宋体" w:cs="宋体"/>
                <w:color w:val="000000"/>
                <w:kern w:val="0"/>
                <w:szCs w:val="21"/>
                <w:lang w:bidi="ar"/>
              </w:rPr>
              <w:t>份的得3分</w:t>
            </w:r>
            <w:r>
              <w:rPr>
                <w:rFonts w:hint="eastAsia" w:ascii="宋体" w:hAnsi="宋体" w:cs="宋体"/>
                <w:color w:val="000000"/>
                <w:kern w:val="0"/>
                <w:szCs w:val="21"/>
                <w:lang w:eastAsia="zh-CN" w:bidi="ar"/>
              </w:rPr>
              <w:t>，</w:t>
            </w:r>
            <w:r>
              <w:rPr>
                <w:rStyle w:val="34"/>
                <w:rFonts w:eastAsia="宋体"/>
                <w:i w:val="0"/>
                <w:color w:val="000000"/>
                <w:sz w:val="21"/>
                <w:szCs w:val="21"/>
                <w:lang w:eastAsia="zh-CN" w:bidi="ar"/>
              </w:rPr>
              <w:t>≤</w:t>
            </w:r>
            <w:r>
              <w:rPr>
                <w:rStyle w:val="34"/>
                <w:rFonts w:hint="eastAsia" w:eastAsia="宋体"/>
                <w:i w:val="0"/>
                <w:color w:val="000000"/>
                <w:sz w:val="21"/>
                <w:szCs w:val="21"/>
                <w:lang w:val="en-US" w:eastAsia="zh-CN" w:bidi="ar"/>
              </w:rPr>
              <w:t>29</w:t>
            </w:r>
            <w:r>
              <w:rPr>
                <w:rStyle w:val="34"/>
                <w:i w:val="0"/>
                <w:color w:val="000000"/>
                <w:sz w:val="21"/>
                <w:szCs w:val="21"/>
                <w:lang w:bidi="ar"/>
              </w:rPr>
              <w:t>项</w:t>
            </w:r>
            <w:r>
              <w:rPr>
                <w:rStyle w:val="34"/>
                <w:rFonts w:hint="default"/>
                <w:i w:val="0"/>
                <w:color w:val="000000"/>
                <w:sz w:val="21"/>
                <w:szCs w:val="21"/>
                <w:lang w:bidi="ar"/>
              </w:rPr>
              <w:t>得</w:t>
            </w:r>
            <w:r>
              <w:rPr>
                <w:rStyle w:val="34"/>
                <w:rFonts w:hint="eastAsia" w:eastAsia="宋体"/>
                <w:i w:val="0"/>
                <w:color w:val="000000"/>
                <w:sz w:val="21"/>
                <w:szCs w:val="21"/>
                <w:lang w:val="en-US" w:eastAsia="zh-CN" w:bidi="ar"/>
              </w:rPr>
              <w:t>1</w:t>
            </w:r>
            <w:r>
              <w:rPr>
                <w:rStyle w:val="34"/>
                <w:rFonts w:hint="default"/>
                <w:i w:val="0"/>
                <w:color w:val="000000"/>
                <w:sz w:val="21"/>
                <w:szCs w:val="21"/>
                <w:lang w:bidi="ar"/>
              </w:rPr>
              <w:t>分</w:t>
            </w:r>
            <w:r>
              <w:rPr>
                <w:rStyle w:val="34"/>
                <w:rFonts w:hint="eastAsia" w:eastAsia="宋体"/>
                <w:i w:val="0"/>
                <w:color w:val="000000"/>
                <w:sz w:val="21"/>
                <w:szCs w:val="21"/>
                <w:lang w:eastAsia="zh-CN" w:bidi="ar"/>
              </w:rPr>
              <w:t>，</w:t>
            </w:r>
            <w:r>
              <w:rPr>
                <w:rFonts w:hint="eastAsia" w:ascii="宋体" w:hAnsi="宋体" w:cs="宋体"/>
                <w:color w:val="000000"/>
                <w:kern w:val="0"/>
                <w:szCs w:val="21"/>
                <w:lang w:eastAsia="zh-CN" w:bidi="ar"/>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74" w:type="dxa"/>
            <w:gridSpan w:val="2"/>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w:t>
            </w:r>
          </w:p>
        </w:tc>
        <w:tc>
          <w:tcPr>
            <w:tcW w:w="5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cs="宋体"/>
                <w:color w:val="000000"/>
                <w:kern w:val="0"/>
                <w:szCs w:val="21"/>
                <w:lang w:val="en-US" w:bidi="ar"/>
              </w:rPr>
            </w:pPr>
            <w:r>
              <w:rPr>
                <w:rFonts w:hint="eastAsia" w:ascii="新宋体" w:hAnsi="新宋体" w:eastAsia="新宋体" w:cs="新宋体"/>
                <w:color w:val="000000"/>
                <w:spacing w:val="-4"/>
                <w:sz w:val="21"/>
                <w:szCs w:val="21"/>
              </w:rPr>
              <w:t>提供开展全部检验项目目录和明确检验方法与试剂</w:t>
            </w:r>
            <w:r>
              <w:rPr>
                <w:rFonts w:hint="eastAsia" w:ascii="新宋体" w:hAnsi="新宋体" w:eastAsia="新宋体" w:cs="新宋体"/>
                <w:color w:val="000000"/>
                <w:spacing w:val="-4"/>
                <w:sz w:val="21"/>
                <w:szCs w:val="21"/>
                <w:lang w:eastAsia="zh-CN"/>
              </w:rPr>
              <w:t>，其中</w:t>
            </w:r>
            <w:r>
              <w:rPr>
                <w:rStyle w:val="34"/>
                <w:rFonts w:hint="eastAsia"/>
                <w:i w:val="0"/>
                <w:color w:val="000000"/>
                <w:sz w:val="21"/>
                <w:szCs w:val="21"/>
                <w:lang w:val="en-US" w:eastAsia="zh-CN" w:bidi="ar"/>
              </w:rPr>
              <w:t>检测项目维生素类、儿茶酚胺、17a-羟孕酮、药物浓度类需为质谱法检测，质谱检测设备采购合同及上述检测项目检测报告单复印件，</w:t>
            </w:r>
            <w:r>
              <w:rPr>
                <w:rStyle w:val="34"/>
                <w:rFonts w:hint="eastAsia" w:eastAsia="宋体"/>
                <w:i w:val="0"/>
                <w:color w:val="000000"/>
                <w:sz w:val="21"/>
                <w:szCs w:val="21"/>
                <w:lang w:val="en-US" w:eastAsia="zh-CN" w:bidi="ar"/>
              </w:rPr>
              <w:t>若为关联公司须</w:t>
            </w:r>
            <w:r>
              <w:rPr>
                <w:rStyle w:val="34"/>
                <w:rFonts w:hint="eastAsia"/>
                <w:i w:val="0"/>
                <w:color w:val="000000"/>
                <w:sz w:val="21"/>
                <w:szCs w:val="21"/>
                <w:lang w:bidi="ar"/>
              </w:rPr>
              <w:t>提供《国家企业信用信息公示系统》查询截图作为证明材料）</w:t>
            </w:r>
            <w:r>
              <w:rPr>
                <w:rStyle w:val="34"/>
                <w:rFonts w:hint="eastAsia" w:eastAsia="宋体"/>
                <w:i w:val="0"/>
                <w:color w:val="000000"/>
                <w:sz w:val="21"/>
                <w:szCs w:val="21"/>
                <w:lang w:eastAsia="zh-CN" w:bidi="ar"/>
              </w:rPr>
              <w:t>，资料未提供或不完整不得分。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74" w:type="dxa"/>
            <w:gridSpan w:val="2"/>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rPr>
            </w:pPr>
          </w:p>
        </w:tc>
        <w:tc>
          <w:tcPr>
            <w:tcW w:w="757" w:type="dxa"/>
            <w:tcBorders>
              <w:top w:val="single" w:color="auto" w:sz="4" w:space="0"/>
              <w:left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w:t>
            </w:r>
          </w:p>
        </w:tc>
        <w:tc>
          <w:tcPr>
            <w:tcW w:w="599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z w:val="24"/>
              </w:rPr>
            </w:pPr>
            <w:r>
              <w:rPr>
                <w:rFonts w:hint="eastAsia" w:ascii="宋体" w:hAnsi="宋体" w:cs="宋体"/>
                <w:color w:val="000000"/>
                <w:kern w:val="0"/>
                <w:szCs w:val="21"/>
                <w:lang w:eastAsia="zh-CN" w:bidi="ar"/>
              </w:rPr>
              <w:t>评委根据投标人检验质量控制方案进行评定，</w:t>
            </w:r>
            <w:r>
              <w:rPr>
                <w:rFonts w:hint="eastAsia" w:ascii="宋体" w:hAnsi="宋体" w:cs="宋体"/>
                <w:color w:val="000000"/>
                <w:kern w:val="0"/>
                <w:szCs w:val="21"/>
                <w:lang w:val="en-US" w:eastAsia="zh-CN" w:bidi="ar"/>
              </w:rPr>
              <w:t>1-5分</w:t>
            </w:r>
            <w:r>
              <w:rPr>
                <w:rFonts w:hint="eastAsia" w:ascii="宋体" w:hAnsi="宋体" w:cs="宋体"/>
                <w:color w:val="000000"/>
                <w:kern w:val="0"/>
                <w:szCs w:val="21"/>
                <w:lang w:eastAsia="zh-CN" w:bidi="ar"/>
              </w:rPr>
              <w:t>打分，无方案不得分。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74" w:type="dxa"/>
            <w:gridSpan w:val="2"/>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rPr>
            </w:pPr>
          </w:p>
        </w:tc>
        <w:tc>
          <w:tcPr>
            <w:tcW w:w="757" w:type="dxa"/>
            <w:tcBorders>
              <w:top w:val="single" w:color="auto" w:sz="4" w:space="0"/>
              <w:left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w:t>
            </w:r>
          </w:p>
        </w:tc>
        <w:tc>
          <w:tcPr>
            <w:tcW w:w="599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cs="宋体"/>
                <w:color w:val="000000"/>
                <w:kern w:val="0"/>
                <w:szCs w:val="21"/>
                <w:lang w:val="en-US" w:eastAsia="zh-CN" w:bidi="ar"/>
              </w:rPr>
            </w:pPr>
            <w:r>
              <w:rPr>
                <w:rFonts w:hint="eastAsia" w:ascii="宋体" w:hAnsi="宋体" w:cs="宋体"/>
                <w:color w:val="000000"/>
                <w:kern w:val="0"/>
                <w:szCs w:val="21"/>
                <w:lang w:eastAsia="zh-CN" w:bidi="ar"/>
              </w:rPr>
              <w:t>评委根据投标人提供的物流运输方案评定，</w:t>
            </w:r>
            <w:r>
              <w:rPr>
                <w:rFonts w:hint="eastAsia" w:ascii="宋体" w:hAnsi="宋体" w:cs="宋体"/>
                <w:color w:val="000000"/>
                <w:kern w:val="0"/>
                <w:szCs w:val="21"/>
                <w:lang w:val="en-US" w:eastAsia="zh-CN" w:bidi="ar"/>
              </w:rPr>
              <w:t>1-6分打分，没有不得分。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74" w:type="dxa"/>
            <w:gridSpan w:val="2"/>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rPr>
            </w:pPr>
          </w:p>
        </w:tc>
        <w:tc>
          <w:tcPr>
            <w:tcW w:w="757" w:type="dxa"/>
            <w:tcBorders>
              <w:top w:val="single" w:color="auto" w:sz="4" w:space="0"/>
              <w:left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w:t>
            </w:r>
          </w:p>
        </w:tc>
        <w:tc>
          <w:tcPr>
            <w:tcW w:w="599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eastAsia="zh-CN" w:bidi="ar"/>
              </w:rPr>
              <w:t>评委根据投标文件编制有序、装订整齐、书面整洁、内容详实进行评定，</w:t>
            </w:r>
            <w:r>
              <w:rPr>
                <w:rFonts w:hint="eastAsia" w:ascii="宋体" w:hAnsi="宋体" w:cs="宋体"/>
                <w:color w:val="000000"/>
                <w:kern w:val="0"/>
                <w:szCs w:val="21"/>
                <w:lang w:val="en-US" w:eastAsia="zh-CN" w:bidi="ar"/>
              </w:rPr>
              <w:t>1-5打分。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7"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商务</w:t>
            </w:r>
          </w:p>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15</w:t>
            </w:r>
            <w:r>
              <w:rPr>
                <w:rFonts w:hint="eastAsia" w:ascii="宋体" w:hAnsi="宋体" w:eastAsia="宋体" w:cs="宋体"/>
                <w:color w:val="000000"/>
                <w:sz w:val="24"/>
              </w:rPr>
              <w:t>）</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服务</w:t>
            </w:r>
          </w:p>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lang w:eastAsia="zh-CN"/>
              </w:rPr>
              <w:t>要求</w:t>
            </w: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w:t>
            </w:r>
          </w:p>
        </w:tc>
        <w:tc>
          <w:tcPr>
            <w:tcW w:w="5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Style w:val="34"/>
                <w:rFonts w:hint="default"/>
                <w:i w:val="0"/>
                <w:color w:val="000000"/>
                <w:sz w:val="21"/>
                <w:szCs w:val="21"/>
                <w:lang w:val="en-US" w:eastAsia="zh-CN" w:bidi="ar"/>
              </w:rPr>
            </w:pPr>
            <w:r>
              <w:rPr>
                <w:rStyle w:val="34"/>
                <w:rFonts w:hint="eastAsia"/>
                <w:i w:val="0"/>
                <w:color w:val="000000"/>
                <w:sz w:val="21"/>
                <w:szCs w:val="21"/>
                <w:lang w:val="en-US" w:eastAsia="zh-CN" w:bidi="ar"/>
              </w:rPr>
              <w:t>评委根据投标人提供的服务方案进行评定，1-5分打分，具体见商务要求的第3.1、3.2、3.4条。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优惠</w:t>
            </w:r>
          </w:p>
          <w:p>
            <w:pPr>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服务</w:t>
            </w: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w:t>
            </w:r>
          </w:p>
        </w:tc>
        <w:tc>
          <w:tcPr>
            <w:tcW w:w="5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Style w:val="34"/>
                <w:rFonts w:hint="default"/>
                <w:i w:val="0"/>
                <w:color w:val="000000"/>
                <w:sz w:val="21"/>
                <w:szCs w:val="21"/>
                <w:lang w:val="en-US" w:eastAsia="zh-CN" w:bidi="ar"/>
              </w:rPr>
            </w:pPr>
            <w:r>
              <w:rPr>
                <w:rStyle w:val="34"/>
                <w:rFonts w:hint="eastAsia"/>
                <w:i w:val="0"/>
                <w:color w:val="000000"/>
                <w:sz w:val="21"/>
                <w:szCs w:val="21"/>
                <w:lang w:val="en-US" w:eastAsia="zh-CN" w:bidi="ar"/>
              </w:rPr>
              <w:t>响应商务要求的第3.5条。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8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付款</w:t>
            </w:r>
          </w:p>
          <w:p>
            <w:pPr>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条件</w:t>
            </w: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w:t>
            </w:r>
          </w:p>
        </w:tc>
        <w:tc>
          <w:tcPr>
            <w:tcW w:w="5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Style w:val="34"/>
                <w:rFonts w:hint="eastAsia"/>
                <w:i w:val="0"/>
                <w:color w:val="000000"/>
                <w:sz w:val="21"/>
                <w:szCs w:val="21"/>
                <w:lang w:val="en-US" w:eastAsia="zh-CN" w:bidi="ar"/>
              </w:rPr>
            </w:pPr>
            <w:r>
              <w:rPr>
                <w:rStyle w:val="34"/>
                <w:rFonts w:hint="eastAsia"/>
                <w:i w:val="0"/>
                <w:color w:val="000000"/>
                <w:sz w:val="21"/>
                <w:szCs w:val="21"/>
                <w:lang w:val="en-US" w:eastAsia="zh-CN" w:bidi="ar"/>
              </w:rPr>
              <w:t>响应商务要求第2条。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7" w:type="dxa"/>
            <w:vMerge w:val="restart"/>
            <w:tcBorders>
              <w:left w:val="single" w:color="auto" w:sz="4" w:space="0"/>
              <w:right w:val="single" w:color="auto" w:sz="4" w:space="0"/>
            </w:tcBorders>
            <w:noWrap w:val="0"/>
            <w:vAlign w:val="center"/>
          </w:tcPr>
          <w:p>
            <w:pPr>
              <w:widowControl/>
              <w:spacing w:line="360" w:lineRule="auto"/>
              <w:ind w:firstLine="240" w:firstLineChars="100"/>
              <w:jc w:val="left"/>
              <w:rPr>
                <w:rFonts w:hint="eastAsia" w:ascii="宋体" w:hAnsi="宋体" w:eastAsia="宋体" w:cs="宋体"/>
                <w:color w:val="000000"/>
                <w:sz w:val="24"/>
                <w:lang w:eastAsia="zh-CN"/>
              </w:rPr>
            </w:pPr>
            <w:r>
              <w:rPr>
                <w:rFonts w:hint="eastAsia" w:ascii="宋体" w:hAnsi="宋体" w:eastAsia="宋体" w:cs="宋体"/>
                <w:color w:val="000000"/>
                <w:sz w:val="24"/>
              </w:rPr>
              <w:t>资</w:t>
            </w:r>
            <w:r>
              <w:rPr>
                <w:rFonts w:hint="eastAsia" w:ascii="宋体" w:hAnsi="宋体" w:eastAsia="宋体" w:cs="宋体"/>
                <w:color w:val="000000"/>
                <w:sz w:val="24"/>
                <w:lang w:eastAsia="zh-CN"/>
              </w:rPr>
              <w:t>信</w:t>
            </w:r>
          </w:p>
          <w:p>
            <w:pPr>
              <w:widowControl/>
              <w:spacing w:line="360" w:lineRule="auto"/>
              <w:jc w:val="left"/>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10</w:t>
            </w:r>
            <w:r>
              <w:rPr>
                <w:rFonts w:hint="eastAsia" w:ascii="宋体" w:hAnsi="宋体" w:eastAsia="宋体" w:cs="宋体"/>
                <w:color w:val="000000"/>
                <w:sz w:val="24"/>
                <w:lang w:eastAsia="zh-CN"/>
              </w:rPr>
              <w:t>）</w:t>
            </w:r>
          </w:p>
        </w:tc>
        <w:tc>
          <w:tcPr>
            <w:tcW w:w="987"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业绩</w:t>
            </w:r>
          </w:p>
        </w:tc>
        <w:tc>
          <w:tcPr>
            <w:tcW w:w="757" w:type="dxa"/>
            <w:tcBorders>
              <w:top w:val="single" w:color="auto" w:sz="4" w:space="0"/>
              <w:left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599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z w:val="24"/>
              </w:rPr>
            </w:pPr>
            <w:r>
              <w:rPr>
                <w:rStyle w:val="34"/>
                <w:rFonts w:eastAsia="宋体"/>
                <w:color w:val="000000"/>
                <w:sz w:val="21"/>
                <w:szCs w:val="21"/>
                <w:lang w:eastAsia="zh-CN" w:bidi="ar"/>
              </w:rPr>
              <w:t>投</w:t>
            </w:r>
            <w:r>
              <w:rPr>
                <w:rStyle w:val="34"/>
                <w:i w:val="0"/>
                <w:color w:val="000000"/>
                <w:sz w:val="21"/>
                <w:szCs w:val="21"/>
                <w:lang w:eastAsia="zh-CN" w:bidi="ar"/>
              </w:rPr>
              <w:t>标人自</w:t>
            </w:r>
            <w:r>
              <w:rPr>
                <w:rStyle w:val="34"/>
                <w:rFonts w:hint="eastAsia"/>
                <w:i w:val="0"/>
                <w:color w:val="000000"/>
                <w:sz w:val="21"/>
                <w:szCs w:val="21"/>
                <w:lang w:val="en-US" w:eastAsia="zh-CN" w:bidi="ar"/>
              </w:rPr>
              <w:t>2</w:t>
            </w:r>
            <w:r>
              <w:rPr>
                <w:rStyle w:val="34"/>
                <w:i w:val="0"/>
                <w:color w:val="000000"/>
                <w:sz w:val="21"/>
                <w:szCs w:val="21"/>
                <w:lang w:bidi="ar"/>
              </w:rPr>
              <w:t>017年1月1日后服务区域</w:t>
            </w:r>
            <w:r>
              <w:rPr>
                <w:rStyle w:val="34"/>
                <w:i w:val="0"/>
                <w:color w:val="000000"/>
                <w:sz w:val="21"/>
                <w:szCs w:val="21"/>
                <w:lang w:eastAsia="zh-CN" w:bidi="ar"/>
              </w:rPr>
              <w:t>为</w:t>
            </w:r>
            <w:r>
              <w:rPr>
                <w:rStyle w:val="34"/>
                <w:i w:val="0"/>
                <w:color w:val="000000"/>
                <w:sz w:val="21"/>
                <w:szCs w:val="21"/>
                <w:lang w:bidi="ar"/>
              </w:rPr>
              <w:t>三级医院合作客户清单</w:t>
            </w:r>
            <w:r>
              <w:rPr>
                <w:rStyle w:val="34"/>
                <w:i w:val="0"/>
                <w:color w:val="000000"/>
                <w:sz w:val="21"/>
                <w:szCs w:val="21"/>
                <w:lang w:eastAsia="zh-CN" w:bidi="ar"/>
              </w:rPr>
              <w:t>、</w:t>
            </w:r>
            <w:r>
              <w:rPr>
                <w:rStyle w:val="34"/>
                <w:i w:val="0"/>
                <w:color w:val="000000"/>
                <w:sz w:val="21"/>
                <w:szCs w:val="21"/>
                <w:lang w:bidi="ar"/>
              </w:rPr>
              <w:t>合同</w:t>
            </w:r>
            <w:r>
              <w:rPr>
                <w:rStyle w:val="34"/>
                <w:i w:val="0"/>
                <w:color w:val="000000"/>
                <w:sz w:val="21"/>
                <w:szCs w:val="21"/>
                <w:lang w:eastAsia="zh-CN" w:bidi="ar"/>
              </w:rPr>
              <w:t>及</w:t>
            </w:r>
            <w:r>
              <w:rPr>
                <w:rStyle w:val="34"/>
                <w:i w:val="0"/>
                <w:color w:val="000000"/>
                <w:sz w:val="21"/>
                <w:szCs w:val="21"/>
                <w:lang w:bidi="ar"/>
              </w:rPr>
              <w:t>发票</w:t>
            </w:r>
            <w:r>
              <w:rPr>
                <w:rStyle w:val="34"/>
                <w:i w:val="0"/>
                <w:color w:val="000000"/>
                <w:sz w:val="21"/>
                <w:szCs w:val="21"/>
                <w:lang w:eastAsia="zh-CN" w:bidi="ar"/>
              </w:rPr>
              <w:t>复印件</w:t>
            </w:r>
            <w:r>
              <w:rPr>
                <w:rStyle w:val="34"/>
                <w:i w:val="0"/>
                <w:color w:val="000000"/>
                <w:sz w:val="21"/>
                <w:szCs w:val="21"/>
                <w:lang w:bidi="ar"/>
              </w:rPr>
              <w:t>共三份材料，每提供</w:t>
            </w:r>
            <w:r>
              <w:rPr>
                <w:rStyle w:val="34"/>
                <w:i w:val="0"/>
                <w:color w:val="000000"/>
                <w:sz w:val="21"/>
                <w:szCs w:val="21"/>
                <w:lang w:eastAsia="zh-CN" w:bidi="ar"/>
              </w:rPr>
              <w:t>完整</w:t>
            </w:r>
            <w:r>
              <w:rPr>
                <w:rStyle w:val="34"/>
                <w:rFonts w:hint="eastAsia"/>
                <w:i w:val="0"/>
                <w:color w:val="000000"/>
                <w:sz w:val="21"/>
                <w:szCs w:val="21"/>
                <w:lang w:val="en-US" w:eastAsia="zh-CN" w:bidi="ar"/>
              </w:rPr>
              <w:t>1</w:t>
            </w:r>
            <w:r>
              <w:rPr>
                <w:rStyle w:val="34"/>
                <w:i w:val="0"/>
                <w:color w:val="000000"/>
                <w:sz w:val="21"/>
                <w:szCs w:val="21"/>
                <w:lang w:eastAsia="zh-CN" w:bidi="ar"/>
              </w:rPr>
              <w:t>份</w:t>
            </w:r>
            <w:r>
              <w:rPr>
                <w:rStyle w:val="34"/>
                <w:i w:val="0"/>
                <w:color w:val="000000"/>
                <w:sz w:val="21"/>
                <w:szCs w:val="21"/>
                <w:lang w:bidi="ar"/>
              </w:rPr>
              <w:t>得</w:t>
            </w:r>
            <w:r>
              <w:rPr>
                <w:rStyle w:val="34"/>
                <w:rFonts w:hint="eastAsia" w:eastAsia="宋体"/>
                <w:i w:val="0"/>
                <w:color w:val="000000"/>
                <w:sz w:val="21"/>
                <w:szCs w:val="21"/>
                <w:lang w:val="en-US" w:eastAsia="zh-CN" w:bidi="ar"/>
              </w:rPr>
              <w:t>0.5</w:t>
            </w:r>
            <w:r>
              <w:rPr>
                <w:rStyle w:val="34"/>
                <w:i w:val="0"/>
                <w:color w:val="000000"/>
                <w:sz w:val="21"/>
                <w:szCs w:val="21"/>
                <w:lang w:bidi="ar"/>
              </w:rPr>
              <w:t>分，最高得</w:t>
            </w:r>
            <w:r>
              <w:rPr>
                <w:rStyle w:val="34"/>
                <w:rFonts w:hint="eastAsia" w:eastAsia="宋体"/>
                <w:i w:val="0"/>
                <w:color w:val="000000"/>
                <w:sz w:val="21"/>
                <w:szCs w:val="21"/>
                <w:lang w:val="en-US" w:eastAsia="zh-CN" w:bidi="ar"/>
              </w:rPr>
              <w:t>2</w:t>
            </w:r>
            <w:r>
              <w:rPr>
                <w:rStyle w:val="34"/>
                <w:i w:val="0"/>
                <w:color w:val="000000"/>
                <w:sz w:val="21"/>
                <w:szCs w:val="21"/>
                <w:lang w:bidi="ar"/>
              </w:rPr>
              <w:t>分，未提供或提供资料不完整不得分</w:t>
            </w:r>
            <w:r>
              <w:rPr>
                <w:rStyle w:val="34"/>
                <w:rFonts w:hint="eastAsia"/>
                <w:i w:val="0"/>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87"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rPr>
            </w:pPr>
          </w:p>
        </w:tc>
        <w:tc>
          <w:tcPr>
            <w:tcW w:w="987" w:type="dxa"/>
            <w:vMerge w:val="restart"/>
            <w:tcBorders>
              <w:left w:val="single" w:color="auto" w:sz="4" w:space="0"/>
              <w:right w:val="single" w:color="auto" w:sz="4" w:space="0"/>
            </w:tcBorders>
            <w:noWrap w:val="0"/>
            <w:vAlign w:val="center"/>
          </w:tcPr>
          <w:p>
            <w:pPr>
              <w:widowControl/>
              <w:spacing w:line="360" w:lineRule="auto"/>
              <w:ind w:firstLine="240" w:firstLineChars="100"/>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履约</w:t>
            </w:r>
          </w:p>
          <w:p>
            <w:pPr>
              <w:widowControl/>
              <w:spacing w:line="360" w:lineRule="auto"/>
              <w:ind w:firstLine="240" w:firstLineChars="100"/>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能力</w:t>
            </w: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c>
          <w:tcPr>
            <w:tcW w:w="5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Style w:val="34"/>
                <w:rFonts w:hint="eastAsia"/>
                <w:i w:val="0"/>
                <w:sz w:val="21"/>
                <w:szCs w:val="21"/>
                <w:lang w:bidi="ar"/>
              </w:rPr>
            </w:pPr>
            <w:r>
              <w:rPr>
                <w:rStyle w:val="34"/>
                <w:rFonts w:hint="eastAsia"/>
                <w:i w:val="0"/>
                <w:sz w:val="21"/>
                <w:szCs w:val="21"/>
                <w:lang w:bidi="ar"/>
              </w:rPr>
              <w:t>投标人或其关联公司具有浙江省内医疗冷链物流配送服务者得</w:t>
            </w:r>
            <w:r>
              <w:rPr>
                <w:rStyle w:val="34"/>
                <w:rFonts w:hint="eastAsia" w:eastAsia="宋体"/>
                <w:i w:val="0"/>
                <w:sz w:val="21"/>
                <w:szCs w:val="21"/>
                <w:lang w:val="en-US" w:eastAsia="zh-CN" w:bidi="ar"/>
              </w:rPr>
              <w:t>3</w:t>
            </w:r>
            <w:r>
              <w:rPr>
                <w:rStyle w:val="34"/>
                <w:rFonts w:hint="eastAsia"/>
                <w:i w:val="0"/>
                <w:sz w:val="21"/>
                <w:szCs w:val="21"/>
                <w:lang w:bidi="ar"/>
              </w:rPr>
              <w:t>分，委托第3方冷链服务者得</w:t>
            </w:r>
            <w:r>
              <w:rPr>
                <w:rStyle w:val="34"/>
                <w:rFonts w:hint="eastAsia" w:eastAsia="宋体"/>
                <w:i w:val="0"/>
                <w:sz w:val="21"/>
                <w:szCs w:val="21"/>
                <w:lang w:val="en-US" w:eastAsia="zh-CN" w:bidi="ar"/>
              </w:rPr>
              <w:t>1</w:t>
            </w:r>
            <w:r>
              <w:rPr>
                <w:rStyle w:val="34"/>
                <w:rFonts w:hint="eastAsia"/>
                <w:i w:val="0"/>
                <w:sz w:val="21"/>
                <w:szCs w:val="21"/>
                <w:lang w:bidi="ar"/>
              </w:rPr>
              <w:t>分，须提供物流冷链营业执照复印件，若为关联公司为同一母公司全资控股公司，提供《国家企业信用信息公示系统》查询截图作为证明材料</w:t>
            </w:r>
            <w:r>
              <w:rPr>
                <w:rStyle w:val="34"/>
                <w:rFonts w:hint="eastAsia" w:eastAsia="宋体"/>
                <w:i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87"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rPr>
            </w:pPr>
          </w:p>
        </w:tc>
        <w:tc>
          <w:tcPr>
            <w:tcW w:w="987"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lang w:eastAsia="zh-CN"/>
              </w:rPr>
            </w:pPr>
          </w:p>
        </w:tc>
        <w:tc>
          <w:tcPr>
            <w:tcW w:w="757" w:type="dxa"/>
            <w:tcBorders>
              <w:top w:val="single" w:color="auto" w:sz="4" w:space="0"/>
              <w:left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w:t>
            </w:r>
          </w:p>
        </w:tc>
        <w:tc>
          <w:tcPr>
            <w:tcW w:w="599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Style w:val="34"/>
                <w:rFonts w:hint="eastAsia"/>
                <w:i w:val="0"/>
                <w:sz w:val="21"/>
                <w:szCs w:val="21"/>
                <w:lang w:bidi="ar"/>
              </w:rPr>
            </w:pPr>
            <w:r>
              <w:rPr>
                <w:rStyle w:val="34"/>
                <w:rFonts w:eastAsia="宋体"/>
                <w:i w:val="0"/>
                <w:sz w:val="21"/>
                <w:szCs w:val="21"/>
                <w:lang w:eastAsia="zh-CN" w:bidi="ar"/>
              </w:rPr>
              <w:t>投标人</w:t>
            </w:r>
            <w:r>
              <w:rPr>
                <w:rStyle w:val="34"/>
                <w:i w:val="0"/>
                <w:sz w:val="21"/>
                <w:szCs w:val="21"/>
                <w:lang w:bidi="ar"/>
              </w:rPr>
              <w:t>获得</w:t>
            </w:r>
            <w:r>
              <w:rPr>
                <w:rStyle w:val="34"/>
                <w:rFonts w:eastAsia="宋体"/>
                <w:i w:val="0"/>
                <w:sz w:val="21"/>
                <w:szCs w:val="21"/>
                <w:lang w:eastAsia="zh-CN" w:bidi="ar"/>
              </w:rPr>
              <w:t>省级以上</w:t>
            </w:r>
            <w:r>
              <w:rPr>
                <w:rStyle w:val="34"/>
                <w:i w:val="0"/>
                <w:sz w:val="21"/>
                <w:szCs w:val="21"/>
                <w:lang w:bidi="ar"/>
              </w:rPr>
              <w:t>卫生主管部门</w:t>
            </w:r>
            <w:r>
              <w:rPr>
                <w:rStyle w:val="34"/>
                <w:rFonts w:eastAsia="宋体"/>
                <w:i w:val="0"/>
                <w:sz w:val="21"/>
                <w:szCs w:val="21"/>
                <w:lang w:eastAsia="zh-CN" w:bidi="ar"/>
              </w:rPr>
              <w:t>认可</w:t>
            </w:r>
            <w:r>
              <w:rPr>
                <w:rStyle w:val="34"/>
                <w:i w:val="0"/>
                <w:sz w:val="21"/>
                <w:szCs w:val="21"/>
                <w:lang w:bidi="ar"/>
              </w:rPr>
              <w:t>的</w:t>
            </w:r>
            <w:r>
              <w:rPr>
                <w:rStyle w:val="34"/>
                <w:rFonts w:hint="eastAsia"/>
                <w:i w:val="0"/>
                <w:sz w:val="21"/>
                <w:szCs w:val="21"/>
                <w:lang w:bidi="ar"/>
              </w:rPr>
              <w:t>《高通量基因测序技术临床应用试点单位》</w:t>
            </w:r>
            <w:r>
              <w:rPr>
                <w:rStyle w:val="34"/>
                <w:i w:val="0"/>
                <w:sz w:val="21"/>
                <w:szCs w:val="21"/>
                <w:lang w:bidi="ar"/>
              </w:rPr>
              <w:t>者得</w:t>
            </w:r>
            <w:r>
              <w:rPr>
                <w:rStyle w:val="34"/>
                <w:rFonts w:hint="eastAsia" w:eastAsia="宋体"/>
                <w:i w:val="0"/>
                <w:sz w:val="21"/>
                <w:szCs w:val="21"/>
                <w:lang w:val="en-US" w:eastAsia="zh-CN" w:bidi="ar"/>
              </w:rPr>
              <w:t>5</w:t>
            </w:r>
            <w:r>
              <w:rPr>
                <w:rStyle w:val="34"/>
                <w:i w:val="0"/>
                <w:sz w:val="21"/>
                <w:szCs w:val="21"/>
                <w:lang w:bidi="ar"/>
              </w:rPr>
              <w:t>分，提供有效证明文件复印件。</w:t>
            </w:r>
          </w:p>
        </w:tc>
      </w:tr>
    </w:tbl>
    <w:p>
      <w:pPr>
        <w:spacing w:line="360" w:lineRule="auto"/>
        <w:ind w:firstLine="482" w:firstLineChars="200"/>
        <w:rPr>
          <w:rFonts w:hint="eastAsia" w:ascii="宋体" w:hAnsi="宋体" w:eastAsia="宋体" w:cs="宋体"/>
          <w:b/>
          <w:bCs/>
          <w:sz w:val="24"/>
          <w:szCs w:val="21"/>
          <w:lang w:val="en-US" w:eastAsia="zh-CN"/>
        </w:rPr>
      </w:pPr>
      <w:r>
        <w:rPr>
          <w:rFonts w:hint="eastAsia" w:ascii="宋体" w:hAnsi="宋体" w:eastAsia="宋体" w:cs="宋体"/>
          <w:b/>
          <w:bCs/>
          <w:sz w:val="24"/>
          <w:szCs w:val="21"/>
          <w:lang w:val="en-US" w:eastAsia="zh-CN"/>
        </w:rPr>
        <w:t>注：所有复印件需加盖单位公章</w:t>
      </w:r>
    </w:p>
    <w:p>
      <w:pPr>
        <w:spacing w:line="360" w:lineRule="auto"/>
        <w:ind w:firstLine="482" w:firstLineChars="200"/>
        <w:rPr>
          <w:rFonts w:hint="eastAsia" w:ascii="宋体" w:hAnsi="宋体" w:eastAsia="宋体" w:cs="宋体"/>
          <w:b/>
          <w:bCs/>
          <w:sz w:val="24"/>
          <w:szCs w:val="21"/>
        </w:rPr>
      </w:pPr>
      <w:r>
        <w:rPr>
          <w:rFonts w:hint="eastAsia" w:ascii="宋体" w:hAnsi="宋体" w:eastAsia="宋体" w:cs="宋体"/>
          <w:b/>
          <w:bCs/>
          <w:sz w:val="24"/>
          <w:szCs w:val="21"/>
          <w:lang w:val="en-US" w:eastAsia="zh-CN"/>
        </w:rPr>
        <w:t>2、</w:t>
      </w:r>
      <w:r>
        <w:rPr>
          <w:rFonts w:hint="eastAsia" w:ascii="宋体" w:hAnsi="宋体" w:eastAsia="宋体" w:cs="宋体"/>
          <w:b/>
          <w:bCs/>
          <w:sz w:val="24"/>
          <w:szCs w:val="21"/>
        </w:rPr>
        <w:t>商务要求表</w:t>
      </w:r>
    </w:p>
    <w:tbl>
      <w:tblPr>
        <w:tblStyle w:val="28"/>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5"/>
        <w:gridCol w:w="7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225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服务</w:t>
            </w:r>
            <w:r>
              <w:rPr>
                <w:rFonts w:hint="eastAsia" w:ascii="宋体" w:hAnsi="宋体" w:eastAsia="宋体" w:cs="宋体"/>
                <w:color w:val="000000"/>
                <w:sz w:val="21"/>
                <w:szCs w:val="21"/>
              </w:rPr>
              <w:t>时间及地点</w:t>
            </w:r>
          </w:p>
        </w:tc>
        <w:tc>
          <w:tcPr>
            <w:tcW w:w="70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时间:</w:t>
            </w:r>
            <w:r>
              <w:rPr>
                <w:rFonts w:hint="eastAsia" w:ascii="宋体" w:hAnsi="宋体" w:cs="宋体"/>
                <w:color w:val="000000"/>
                <w:sz w:val="21"/>
                <w:szCs w:val="21"/>
                <w:lang w:val="en-US" w:eastAsia="zh-CN"/>
              </w:rPr>
              <w:t xml:space="preserve">   两年</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地点：用户指定地点。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25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付款条件</w:t>
            </w:r>
          </w:p>
        </w:tc>
        <w:tc>
          <w:tcPr>
            <w:tcW w:w="70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000000"/>
                <w:sz w:val="21"/>
                <w:szCs w:val="21"/>
              </w:rPr>
            </w:pPr>
            <w:r>
              <w:rPr>
                <w:rFonts w:hint="eastAsia" w:ascii="宋体" w:hAnsi="宋体" w:cs="宋体"/>
                <w:sz w:val="24"/>
                <w:szCs w:val="24"/>
                <w:lang w:val="en-US" w:eastAsia="zh-CN"/>
              </w:rPr>
              <w:t>1</w:t>
            </w:r>
            <w:r>
              <w:rPr>
                <w:rFonts w:hint="eastAsia" w:ascii="宋体" w:hAnsi="宋体" w:eastAsia="宋体" w:cs="宋体"/>
                <w:color w:val="000000"/>
                <w:sz w:val="21"/>
                <w:szCs w:val="21"/>
                <w:lang w:val="en-US" w:eastAsia="zh-CN"/>
              </w:rPr>
              <w:t>.价格结算：</w:t>
            </w:r>
            <w:r>
              <w:rPr>
                <w:rFonts w:hint="eastAsia" w:ascii="宋体" w:hAnsi="宋体" w:eastAsia="宋体" w:cs="宋体"/>
                <w:color w:val="000000"/>
                <w:sz w:val="21"/>
                <w:szCs w:val="21"/>
              </w:rPr>
              <w:t>甲方</w:t>
            </w:r>
            <w:r>
              <w:rPr>
                <w:rFonts w:hint="eastAsia" w:ascii="宋体" w:hAnsi="宋体" w:eastAsia="宋体" w:cs="宋体"/>
                <w:color w:val="000000"/>
                <w:sz w:val="21"/>
                <w:szCs w:val="21"/>
                <w:lang w:eastAsia="zh-CN"/>
              </w:rPr>
              <w:t>按照合同约定折扣</w:t>
            </w:r>
            <w:r>
              <w:rPr>
                <w:rFonts w:hint="eastAsia" w:ascii="宋体" w:hAnsi="宋体" w:eastAsia="宋体" w:cs="宋体"/>
                <w:color w:val="000000"/>
                <w:sz w:val="21"/>
                <w:szCs w:val="21"/>
              </w:rPr>
              <w:t>向乙方支付检测</w:t>
            </w:r>
            <w:r>
              <w:rPr>
                <w:rFonts w:hint="eastAsia" w:ascii="宋体" w:hAnsi="宋体" w:eastAsia="宋体" w:cs="宋体"/>
                <w:color w:val="000000"/>
                <w:sz w:val="21"/>
                <w:szCs w:val="21"/>
                <w:lang w:eastAsia="zh-CN"/>
              </w:rPr>
              <w:t>服</w:t>
            </w:r>
            <w:r>
              <w:rPr>
                <w:rFonts w:hint="eastAsia" w:ascii="宋体" w:hAnsi="宋体" w:eastAsia="宋体" w:cs="宋体"/>
                <w:color w:val="000000"/>
                <w:sz w:val="21"/>
                <w:szCs w:val="21"/>
              </w:rPr>
              <w:t>务费。在本协议有效期内，如后期有新增检测项目，不适用本条约定的结算扣率，双方需签署补充协议另行约定。</w:t>
            </w:r>
          </w:p>
          <w:p>
            <w:pPr>
              <w:spacing w:line="360" w:lineRule="auto"/>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业</w:t>
            </w:r>
            <w:r>
              <w:rPr>
                <w:rFonts w:hint="eastAsia" w:ascii="宋体" w:hAnsi="宋体" w:eastAsia="宋体" w:cs="宋体"/>
                <w:color w:val="000000"/>
                <w:sz w:val="21"/>
                <w:szCs w:val="21"/>
                <w:lang w:val="en-US" w:eastAsia="zh-CN"/>
              </w:rPr>
              <w:t>务量的结算：以乙方LIMS系统项目检测清单或外送样本登记的签收记录为准。</w:t>
            </w:r>
          </w:p>
          <w:p>
            <w:pPr>
              <w:spacing w:line="360" w:lineRule="auto"/>
              <w:jc w:val="both"/>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结算时间：乙方每月就上月26日至本月25日的检测费用与甲方进行月度结算。</w:t>
            </w:r>
          </w:p>
          <w:p>
            <w:pPr>
              <w:numPr>
                <w:ilvl w:val="0"/>
                <w:numId w:val="0"/>
              </w:num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4.服务费支付：甲方应在每个月度结束后 90 日内以银行转账方式将乙方开具发票金额汇入乙方指定账户</w:t>
            </w:r>
            <w:r>
              <w:rPr>
                <w:rFonts w:hint="eastAsia" w:ascii="宋体" w:hAnsi="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服务</w:t>
            </w:r>
            <w:r>
              <w:rPr>
                <w:rFonts w:hint="eastAsia" w:ascii="宋体" w:hAnsi="宋体" w:cs="宋体"/>
                <w:color w:val="000000"/>
                <w:sz w:val="21"/>
                <w:szCs w:val="21"/>
                <w:lang w:eastAsia="zh-CN"/>
              </w:rPr>
              <w:t>要求</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r>
              <w:rPr>
                <w:rFonts w:hint="eastAsia" w:ascii="新宋体" w:hAnsi="新宋体" w:eastAsia="新宋体" w:cs="新宋体"/>
                <w:sz w:val="21"/>
                <w:szCs w:val="21"/>
                <w:lang w:val="en-US" w:eastAsia="zh-CN"/>
              </w:rPr>
              <w:t>3.1</w:t>
            </w:r>
            <w:r>
              <w:rPr>
                <w:rFonts w:hint="eastAsia" w:ascii="新宋体" w:hAnsi="新宋体" w:eastAsia="新宋体" w:cs="新宋体"/>
                <w:sz w:val="21"/>
                <w:szCs w:val="21"/>
              </w:rPr>
              <w:t>样本收集</w:t>
            </w:r>
          </w:p>
        </w:tc>
        <w:tc>
          <w:tcPr>
            <w:tcW w:w="70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000000"/>
                <w:sz w:val="21"/>
                <w:szCs w:val="21"/>
              </w:rPr>
            </w:pPr>
            <w:r>
              <w:rPr>
                <w:rFonts w:hint="eastAsia" w:ascii="新宋体" w:hAnsi="新宋体" w:eastAsia="新宋体" w:cs="新宋体"/>
                <w:sz w:val="21"/>
                <w:szCs w:val="21"/>
              </w:rPr>
              <w:t>应每天派工作人员到医院收取外送标本并负责外送标本前处理，平时备足各种盛装标本的专用管子，临时急用管子需及时送达，保证外送标本安全有效。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 w:val="21"/>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新宋体" w:cs="宋体"/>
                <w:color w:val="000000"/>
                <w:sz w:val="21"/>
                <w:szCs w:val="21"/>
                <w:lang w:eastAsia="zh-CN"/>
              </w:rPr>
            </w:pPr>
            <w:r>
              <w:rPr>
                <w:rFonts w:hint="eastAsia" w:ascii="新宋体" w:hAnsi="新宋体" w:eastAsia="新宋体" w:cs="新宋体"/>
                <w:sz w:val="21"/>
                <w:szCs w:val="21"/>
                <w:lang w:val="en-US" w:eastAsia="zh-CN"/>
              </w:rPr>
              <w:t>3.2</w:t>
            </w:r>
            <w:r>
              <w:rPr>
                <w:rFonts w:hint="eastAsia" w:ascii="新宋体" w:hAnsi="新宋体" w:eastAsia="新宋体" w:cs="新宋体"/>
                <w:sz w:val="21"/>
                <w:szCs w:val="21"/>
              </w:rPr>
              <w:t>样本的</w:t>
            </w:r>
            <w:r>
              <w:rPr>
                <w:rFonts w:hint="eastAsia" w:ascii="新宋体" w:hAnsi="新宋体" w:eastAsia="新宋体" w:cs="新宋体"/>
                <w:sz w:val="21"/>
                <w:szCs w:val="21"/>
                <w:lang w:eastAsia="zh-CN"/>
              </w:rPr>
              <w:t>检</w:t>
            </w:r>
            <w:r>
              <w:rPr>
                <w:rFonts w:hint="eastAsia" w:ascii="新宋体" w:hAnsi="新宋体" w:eastAsia="新宋体" w:cs="新宋体"/>
                <w:sz w:val="21"/>
                <w:szCs w:val="21"/>
              </w:rPr>
              <w:t>验</w:t>
            </w:r>
            <w:r>
              <w:rPr>
                <w:rFonts w:hint="eastAsia" w:ascii="新宋体" w:hAnsi="新宋体" w:eastAsia="新宋体" w:cs="新宋体"/>
                <w:sz w:val="21"/>
                <w:szCs w:val="21"/>
                <w:lang w:eastAsia="zh-CN"/>
              </w:rPr>
              <w:t>结果</w:t>
            </w:r>
          </w:p>
        </w:tc>
        <w:tc>
          <w:tcPr>
            <w:tcW w:w="70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ind w:right="-178" w:rightChars="-85"/>
              <w:jc w:val="left"/>
              <w:textAlignment w:val="bottom"/>
              <w:rPr>
                <w:rFonts w:hint="eastAsia" w:ascii="新宋体" w:hAnsi="新宋体" w:eastAsia="新宋体" w:cs="新宋体"/>
                <w:sz w:val="21"/>
                <w:szCs w:val="21"/>
                <w:lang w:eastAsia="zh-CN"/>
              </w:rPr>
            </w:pPr>
            <w:r>
              <w:rPr>
                <w:rFonts w:hint="eastAsia" w:ascii="新宋体" w:hAnsi="新宋体" w:eastAsia="新宋体" w:cs="新宋体"/>
                <w:sz w:val="21"/>
                <w:szCs w:val="21"/>
              </w:rPr>
              <w:t>服务单位应当在样本收取后</w:t>
            </w:r>
            <w:r>
              <w:rPr>
                <w:rFonts w:hint="eastAsia" w:ascii="新宋体" w:hAnsi="新宋体" w:eastAsia="新宋体" w:cs="新宋体"/>
                <w:sz w:val="21"/>
                <w:szCs w:val="21"/>
                <w:lang w:eastAsia="zh-CN"/>
              </w:rPr>
              <w:t>须遵守</w:t>
            </w:r>
            <w:r>
              <w:rPr>
                <w:rFonts w:hint="eastAsia" w:ascii="新宋体" w:hAnsi="新宋体" w:eastAsia="新宋体" w:cs="新宋体"/>
                <w:sz w:val="21"/>
                <w:szCs w:val="21"/>
              </w:rPr>
              <w:t>投标文件中列明各项目提交检验报告的时间</w:t>
            </w:r>
            <w:r>
              <w:rPr>
                <w:rFonts w:hint="eastAsia" w:ascii="新宋体" w:hAnsi="新宋体" w:eastAsia="新宋体" w:cs="新宋体"/>
                <w:sz w:val="21"/>
                <w:szCs w:val="21"/>
                <w:lang w:eastAsia="zh-CN"/>
              </w:rPr>
              <w:t>；</w:t>
            </w:r>
            <w:r>
              <w:rPr>
                <w:rFonts w:hint="eastAsia" w:ascii="新宋体" w:hAnsi="新宋体" w:eastAsia="新宋体" w:cs="新宋体"/>
                <w:sz w:val="21"/>
                <w:szCs w:val="21"/>
                <w:u w:val="single"/>
              </w:rPr>
              <w:t>检验结果与医院的LIS系统相连，直接发送至医院</w:t>
            </w:r>
            <w:r>
              <w:rPr>
                <w:rFonts w:hint="eastAsia" w:ascii="新宋体" w:hAnsi="新宋体" w:eastAsia="新宋体" w:cs="新宋体"/>
                <w:sz w:val="21"/>
                <w:szCs w:val="21"/>
                <w:u w:val="single"/>
                <w:lang w:eastAsia="zh-CN"/>
              </w:rPr>
              <w:t>并承担所产生的费用</w:t>
            </w:r>
            <w:r>
              <w:rPr>
                <w:rFonts w:hint="eastAsia" w:ascii="新宋体" w:hAnsi="新宋体" w:eastAsia="新宋体" w:cs="新宋体"/>
                <w:sz w:val="21"/>
                <w:szCs w:val="21"/>
                <w:u w:val="single"/>
              </w:rPr>
              <w:t>，</w:t>
            </w:r>
            <w:r>
              <w:rPr>
                <w:rFonts w:hint="eastAsia" w:ascii="新宋体" w:hAnsi="新宋体" w:eastAsia="新宋体" w:cs="新宋体"/>
                <w:sz w:val="21"/>
                <w:szCs w:val="21"/>
                <w:u w:val="single"/>
                <w:lang w:eastAsia="zh-CN"/>
              </w:rPr>
              <w:t>包含</w:t>
            </w:r>
            <w:r>
              <w:rPr>
                <w:rFonts w:hint="eastAsia" w:ascii="新宋体" w:hAnsi="新宋体" w:eastAsia="新宋体" w:cs="新宋体"/>
                <w:sz w:val="21"/>
                <w:szCs w:val="21"/>
                <w:u w:val="single"/>
                <w:lang w:val="en-US" w:eastAsia="zh-CN"/>
              </w:rPr>
              <w:t>打印设备及相应耗材，</w:t>
            </w:r>
            <w:r>
              <w:rPr>
                <w:rFonts w:hint="eastAsia" w:ascii="新宋体" w:hAnsi="新宋体" w:eastAsia="新宋体" w:cs="新宋体"/>
                <w:sz w:val="21"/>
                <w:szCs w:val="21"/>
                <w:u w:val="single"/>
              </w:rPr>
              <w:t>实现病人的自助打印</w:t>
            </w:r>
            <w:r>
              <w:rPr>
                <w:rFonts w:hint="eastAsia" w:ascii="新宋体" w:hAnsi="新宋体" w:eastAsia="新宋体" w:cs="新宋体"/>
                <w:sz w:val="21"/>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 w:val="21"/>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3.3</w:t>
            </w:r>
            <w:r>
              <w:rPr>
                <w:rFonts w:hint="eastAsia" w:ascii="宋体" w:hAnsi="宋体" w:cs="宋体"/>
                <w:color w:val="000000"/>
                <w:sz w:val="21"/>
                <w:szCs w:val="21"/>
                <w:lang w:eastAsia="zh-CN"/>
              </w:rPr>
              <w:t>检测目录清单、方法</w:t>
            </w:r>
          </w:p>
        </w:tc>
        <w:tc>
          <w:tcPr>
            <w:tcW w:w="70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ind w:right="-178" w:rightChars="-85"/>
              <w:jc w:val="left"/>
              <w:textAlignment w:val="bottom"/>
              <w:rPr>
                <w:rFonts w:hint="eastAsia" w:ascii="宋体" w:hAnsi="宋体" w:eastAsia="宋体" w:cs="宋体"/>
                <w:color w:val="000000"/>
                <w:sz w:val="21"/>
                <w:szCs w:val="21"/>
              </w:rPr>
            </w:pPr>
            <w:r>
              <w:rPr>
                <w:rFonts w:hint="eastAsia" w:ascii="新宋体" w:hAnsi="新宋体" w:eastAsia="新宋体" w:cs="新宋体"/>
                <w:spacing w:val="-4"/>
                <w:sz w:val="21"/>
                <w:szCs w:val="21"/>
              </w:rPr>
              <w:t>提供开展全部检验项目目录和明确检验方法与试剂。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ind w:right="-178" w:rightChars="-85" w:firstLine="420" w:firstLineChars="200"/>
              <w:textAlignment w:val="bottom"/>
              <w:rPr>
                <w:sz w:val="21"/>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ind w:right="-178" w:rightChars="-85"/>
              <w:textAlignment w:val="bottom"/>
              <w:rPr>
                <w:rFonts w:hint="eastAsia" w:ascii="宋体" w:hAnsi="宋体" w:cs="宋体"/>
                <w:color w:val="000000"/>
                <w:sz w:val="21"/>
                <w:szCs w:val="21"/>
                <w:lang w:eastAsia="zh-CN"/>
              </w:rPr>
            </w:pPr>
            <w:r>
              <w:rPr>
                <w:rFonts w:hint="eastAsia" w:ascii="宋体" w:hAnsi="宋体" w:cs="宋体"/>
                <w:color w:val="000000"/>
                <w:sz w:val="21"/>
                <w:szCs w:val="21"/>
                <w:lang w:val="en-US" w:eastAsia="zh-CN"/>
              </w:rPr>
              <w:t>3.4</w:t>
            </w:r>
            <w:r>
              <w:rPr>
                <w:rFonts w:hint="eastAsia" w:ascii="宋体" w:hAnsi="宋体" w:cs="宋体"/>
                <w:color w:val="000000"/>
                <w:sz w:val="21"/>
                <w:szCs w:val="21"/>
                <w:lang w:eastAsia="zh-CN"/>
              </w:rPr>
              <w:t>检测样本要求</w:t>
            </w:r>
          </w:p>
        </w:tc>
        <w:tc>
          <w:tcPr>
            <w:tcW w:w="70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ind w:right="-178" w:rightChars="-85"/>
              <w:jc w:val="left"/>
              <w:textAlignment w:val="bottom"/>
              <w:rPr>
                <w:rFonts w:hint="eastAsia" w:ascii="宋体" w:hAnsi="宋体" w:cs="宋体"/>
                <w:color w:val="000000"/>
                <w:sz w:val="21"/>
                <w:szCs w:val="21"/>
                <w:lang w:eastAsia="zh-CN"/>
              </w:rPr>
            </w:pPr>
            <w:r>
              <w:rPr>
                <w:rFonts w:hint="eastAsia" w:ascii="新宋体" w:hAnsi="新宋体" w:eastAsia="新宋体" w:cs="新宋体"/>
                <w:spacing w:val="-4"/>
                <w:sz w:val="21"/>
                <w:szCs w:val="21"/>
              </w:rPr>
              <w:t>明确标本采集，存储，运送，接收，检测流程，明确出报告时间及报告单发送方式；按照国家及行业标准对标本进行保存。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75"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ind w:right="-178" w:rightChars="-85" w:firstLine="420" w:firstLineChars="200"/>
              <w:textAlignment w:val="bottom"/>
              <w:rPr>
                <w:rFonts w:hint="eastAsia" w:ascii="宋体" w:hAnsi="宋体" w:cs="宋体"/>
                <w:color w:val="000000"/>
                <w:sz w:val="21"/>
                <w:szCs w:val="21"/>
                <w:lang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ind w:right="-178" w:rightChars="-85"/>
              <w:jc w:val="left"/>
              <w:textAlignment w:val="bottom"/>
              <w:rPr>
                <w:rFonts w:hint="eastAsia" w:ascii="宋体" w:hAnsi="宋体" w:cs="宋体"/>
                <w:color w:val="000000"/>
                <w:sz w:val="21"/>
                <w:szCs w:val="21"/>
                <w:lang w:eastAsia="zh-CN"/>
              </w:rPr>
            </w:pPr>
            <w:r>
              <w:rPr>
                <w:rFonts w:hint="eastAsia" w:ascii="宋体" w:hAnsi="宋体" w:cs="宋体"/>
                <w:b w:val="0"/>
                <w:bCs/>
                <w:color w:val="000000"/>
                <w:kern w:val="0"/>
                <w:sz w:val="21"/>
                <w:szCs w:val="21"/>
                <w:lang w:val="en-US" w:eastAsia="zh-CN" w:bidi="ar"/>
              </w:rPr>
              <w:t>3.5</w:t>
            </w:r>
            <w:r>
              <w:rPr>
                <w:rFonts w:hint="eastAsia" w:ascii="宋体" w:hAnsi="宋体" w:cs="宋体"/>
                <w:b w:val="0"/>
                <w:bCs/>
                <w:color w:val="000000"/>
                <w:kern w:val="0"/>
                <w:sz w:val="21"/>
                <w:szCs w:val="21"/>
                <w:lang w:bidi="ar"/>
              </w:rPr>
              <w:t>标本冷链物流方案</w:t>
            </w:r>
          </w:p>
        </w:tc>
        <w:tc>
          <w:tcPr>
            <w:tcW w:w="70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ind w:right="-178" w:rightChars="-85"/>
              <w:jc w:val="left"/>
              <w:textAlignment w:val="bottom"/>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需全程采用冷链物流运输，标本运输箱分室温、冷温、冷冻三个温度控制区；运输工作人员接受相关培训；运输过程符合法规及样本要求，标本到达实验室后由检查标本温度及整改冷链过程中温度检测记录。</w:t>
            </w:r>
            <w:r>
              <w:rPr>
                <w:rFonts w:hint="eastAsia" w:ascii="新宋体" w:hAnsi="新宋体" w:eastAsia="新宋体" w:cs="新宋体"/>
                <w:sz w:val="21"/>
                <w:szCs w:val="21"/>
              </w:rPr>
              <w:t>服务单位应具有样本存储及运送的工具设施，确保样本在储存及运送过程中不发生变质的情况</w:t>
            </w:r>
            <w:r>
              <w:rPr>
                <w:rFonts w:hint="eastAsia" w:ascii="新宋体" w:hAnsi="新宋体" w:eastAsia="新宋体" w:cs="新宋体"/>
                <w:sz w:val="21"/>
                <w:szCs w:val="21"/>
                <w:lang w:eastAsia="zh-CN"/>
              </w:rPr>
              <w:t>；</w:t>
            </w:r>
            <w:r>
              <w:rPr>
                <w:rFonts w:hint="eastAsia" w:ascii="新宋体" w:hAnsi="新宋体" w:eastAsia="新宋体" w:cs="新宋体"/>
                <w:sz w:val="21"/>
                <w:szCs w:val="21"/>
                <w:u w:val="single"/>
                <w:lang w:eastAsia="zh-CN"/>
              </w:rPr>
              <w:t>并承担医共体内部检测标本的物流运送</w:t>
            </w:r>
          </w:p>
        </w:tc>
      </w:tr>
    </w:tbl>
    <w:p>
      <w:pPr>
        <w:tabs>
          <w:tab w:val="left" w:pos="840"/>
        </w:tabs>
        <w:rPr>
          <w:rFonts w:hint="eastAsia" w:ascii="宋体" w:hAnsi="宋体" w:eastAsia="宋体" w:cs="宋体"/>
          <w:b/>
          <w:szCs w:val="21"/>
        </w:rPr>
      </w:pPr>
    </w:p>
    <w:p>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注：</w:t>
      </w:r>
    </w:p>
    <w:p>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1、评标委员会各成员应当独立对每个投标人的投标文件进行评价，并汇总每个投标人的得分。资信分为客观分，也需独立进行评价并核对分值，最终分值需一致。</w:t>
      </w:r>
    </w:p>
    <w:p>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2</w:t>
      </w:r>
      <w:r>
        <w:rPr>
          <w:rFonts w:hint="eastAsia" w:ascii="宋体" w:hAnsi="宋体" w:eastAsia="宋体" w:cs="宋体"/>
          <w:sz w:val="24"/>
          <w:szCs w:val="21"/>
        </w:rPr>
        <w:t>、所有文件、合同、证书、资质等需要真实有效。中标人在中标后签订合同时需提供以上证明文件原件，若发现资料作假的取消中标资格。</w:t>
      </w:r>
    </w:p>
    <w:p>
      <w:pPr>
        <w:spacing w:line="360" w:lineRule="auto"/>
        <w:ind w:firstLine="480" w:firstLineChars="200"/>
        <w:rPr>
          <w:rFonts w:hint="eastAsia" w:ascii="宋体" w:hAnsi="宋体" w:eastAsia="宋体" w:cs="宋体"/>
          <w:sz w:val="24"/>
          <w:szCs w:val="21"/>
        </w:rPr>
      </w:pPr>
    </w:p>
    <w:p>
      <w:pPr>
        <w:adjustRightInd/>
        <w:spacing w:after="167" w:afterLines="50" w:line="360" w:lineRule="auto"/>
        <w:ind w:firstLine="1446" w:firstLineChars="400"/>
        <w:jc w:val="center"/>
        <w:outlineLvl w:val="0"/>
        <w:rPr>
          <w:rFonts w:hint="eastAsia" w:ascii="宋体" w:hAnsi="宋体" w:eastAsia="宋体" w:cs="宋体"/>
          <w:b/>
          <w:sz w:val="36"/>
          <w:szCs w:val="36"/>
        </w:rPr>
      </w:pPr>
      <w:bookmarkStart w:id="429" w:name="_Toc20040"/>
      <w:r>
        <w:rPr>
          <w:rFonts w:hint="eastAsia" w:ascii="宋体" w:hAnsi="宋体" w:eastAsia="宋体" w:cs="宋体"/>
          <w:b/>
          <w:sz w:val="36"/>
          <w:szCs w:val="36"/>
        </w:rPr>
        <w:t>第</w:t>
      </w:r>
      <w:r>
        <w:rPr>
          <w:rFonts w:hint="eastAsia" w:ascii="宋体" w:hAnsi="宋体" w:eastAsia="宋体" w:cs="宋体"/>
          <w:b/>
          <w:sz w:val="36"/>
          <w:szCs w:val="36"/>
          <w:lang w:eastAsia="zh-CN"/>
        </w:rPr>
        <w:t>四</w:t>
      </w:r>
      <w:r>
        <w:rPr>
          <w:rFonts w:hint="eastAsia" w:ascii="宋体" w:hAnsi="宋体" w:eastAsia="宋体" w:cs="宋体"/>
          <w:b/>
          <w:sz w:val="36"/>
          <w:szCs w:val="36"/>
        </w:rPr>
        <w:t>部分  采购需求</w:t>
      </w:r>
      <w:bookmarkEnd w:id="429"/>
    </w:p>
    <w:p>
      <w:pPr>
        <w:widowControl/>
        <w:spacing w:line="360" w:lineRule="auto"/>
        <w:ind w:firstLine="482"/>
        <w:jc w:val="left"/>
        <w:rPr>
          <w:rFonts w:hint="eastAsia" w:ascii="宋体" w:hAnsi="宋体" w:eastAsia="宋体" w:cs="宋体"/>
          <w:sz w:val="24"/>
        </w:rPr>
      </w:pPr>
      <w:r>
        <w:rPr>
          <w:rFonts w:hint="eastAsia" w:ascii="宋体" w:hAnsi="宋体" w:eastAsia="宋体" w:cs="宋体"/>
          <w:sz w:val="24"/>
        </w:rPr>
        <w:t>特别说明：</w:t>
      </w:r>
    </w:p>
    <w:p>
      <w:pPr>
        <w:spacing w:line="360" w:lineRule="auto"/>
        <w:ind w:firstLine="480" w:firstLineChars="200"/>
        <w:rPr>
          <w:rFonts w:hint="eastAsia" w:ascii="宋体" w:hAnsi="宋体" w:eastAsia="宋体" w:cs="宋体"/>
          <w:bCs/>
          <w:kern w:val="0"/>
          <w:sz w:val="24"/>
          <w:szCs w:val="21"/>
        </w:rPr>
      </w:pPr>
      <w:r>
        <w:rPr>
          <w:rFonts w:hint="eastAsia" w:ascii="宋体" w:hAnsi="宋体" w:eastAsia="宋体" w:cs="宋体"/>
          <w:bCs/>
          <w:kern w:val="0"/>
          <w:sz w:val="24"/>
          <w:szCs w:val="21"/>
        </w:rPr>
        <w:t>1、除采购文件明确的品牌外，欢迎其他能满足本项目技术需求且性能与所明确品牌相当的产品参加。“参照或相当于”描述不等同于明确品牌。</w:t>
      </w:r>
    </w:p>
    <w:p>
      <w:pPr>
        <w:spacing w:line="360" w:lineRule="auto"/>
        <w:ind w:firstLine="480" w:firstLineChars="200"/>
        <w:rPr>
          <w:rFonts w:hint="eastAsia" w:ascii="宋体" w:hAnsi="宋体" w:eastAsia="宋体" w:cs="宋体"/>
          <w:bCs/>
          <w:kern w:val="0"/>
          <w:sz w:val="24"/>
          <w:szCs w:val="21"/>
        </w:rPr>
      </w:pPr>
      <w:r>
        <w:rPr>
          <w:rFonts w:hint="eastAsia" w:ascii="宋体" w:hAnsi="宋体" w:eastAsia="宋体" w:cs="宋体"/>
          <w:bCs/>
          <w:kern w:val="0"/>
          <w:sz w:val="24"/>
          <w:szCs w:val="21"/>
        </w:rPr>
        <w:t>2、本项目产品的详细技术参数要求，投标人必须对指标要求有明确的响应，针对采购要求如实描述是否偏离。实质性指标、关键性指标和重要指标需提供证明材料，如技术偏离表中仅复制粘贴而未说明或提供证明材料的，其产生的影响直至被认定为未实质性响应的后果将由供应商自行承担。</w:t>
      </w:r>
    </w:p>
    <w:p>
      <w:pPr>
        <w:spacing w:line="360" w:lineRule="auto"/>
        <w:ind w:firstLine="480" w:firstLineChars="200"/>
        <w:rPr>
          <w:rFonts w:hint="eastAsia" w:ascii="宋体" w:hAnsi="宋体" w:eastAsia="宋体" w:cs="宋体"/>
          <w:bCs/>
          <w:kern w:val="0"/>
          <w:sz w:val="24"/>
          <w:szCs w:val="21"/>
        </w:rPr>
      </w:pPr>
      <w:r>
        <w:rPr>
          <w:rFonts w:hint="eastAsia" w:ascii="宋体" w:hAnsi="宋体" w:eastAsia="宋体" w:cs="宋体"/>
          <w:bCs/>
          <w:kern w:val="0"/>
          <w:sz w:val="24"/>
          <w:szCs w:val="21"/>
        </w:rPr>
        <w:t>3、根据《浙江省财政厅、省监察厅关于进一步规范政府采购活动的若干意见》（浙财采监字〔2007〕2号）文件规定：</w:t>
      </w:r>
      <w:r>
        <w:rPr>
          <w:rFonts w:hint="eastAsia" w:ascii="宋体" w:hAnsi="宋体" w:eastAsia="宋体" w:cs="宋体"/>
          <w:b/>
          <w:bCs w:val="0"/>
          <w:kern w:val="0"/>
          <w:sz w:val="24"/>
          <w:szCs w:val="21"/>
        </w:rPr>
        <w:t>因特殊情况确需指定单一品牌采购的，除直接向原厂商进行单一来源采购外，不得将提供原厂商的授权文件作为实质性响应条款</w:t>
      </w:r>
      <w:r>
        <w:rPr>
          <w:rFonts w:hint="eastAsia" w:ascii="宋体" w:hAnsi="宋体" w:eastAsia="宋体" w:cs="宋体"/>
          <w:bCs/>
          <w:kern w:val="0"/>
          <w:sz w:val="24"/>
          <w:szCs w:val="21"/>
        </w:rPr>
        <w:t>，但可以要求预中标成交供应商在中标成交后取得并提供原厂商针对该项目的授权文件。如原厂商无故不予授权，在预中标成交供应商作出保证产品质量和售后服务的承诺后，可以不需授权文件将合同授予该供应商，但对此应在合同的验收、结算和违约责任中补充增加相应的制约性条款。</w:t>
      </w:r>
    </w:p>
    <w:p>
      <w:pPr>
        <w:spacing w:line="360" w:lineRule="auto"/>
        <w:ind w:firstLine="480" w:firstLineChars="200"/>
        <w:rPr>
          <w:rFonts w:hint="eastAsia" w:ascii="宋体" w:hAnsi="宋体" w:eastAsia="宋体" w:cs="宋体"/>
          <w:bCs/>
          <w:kern w:val="0"/>
          <w:sz w:val="24"/>
          <w:szCs w:val="21"/>
        </w:rPr>
      </w:pPr>
      <w:r>
        <w:rPr>
          <w:rFonts w:hint="eastAsia" w:ascii="宋体" w:hAnsi="宋体" w:eastAsia="宋体" w:cs="宋体"/>
          <w:bCs/>
          <w:kern w:val="0"/>
          <w:sz w:val="24"/>
          <w:szCs w:val="21"/>
        </w:rPr>
        <w:t>4、需求中不允许偏离的实质性要求和条件，以“★”号标明，如投标人未响应的，将被视为</w:t>
      </w:r>
      <w:r>
        <w:rPr>
          <w:rFonts w:hint="eastAsia" w:ascii="宋体" w:hAnsi="宋体" w:eastAsia="宋体" w:cs="宋体"/>
          <w:b/>
          <w:bCs w:val="0"/>
          <w:kern w:val="0"/>
          <w:sz w:val="24"/>
          <w:szCs w:val="21"/>
        </w:rPr>
        <w:t>无效投标</w:t>
      </w:r>
      <w:r>
        <w:rPr>
          <w:rFonts w:hint="eastAsia" w:ascii="宋体" w:hAnsi="宋体" w:eastAsia="宋体" w:cs="宋体"/>
          <w:bCs/>
          <w:kern w:val="0"/>
          <w:sz w:val="24"/>
          <w:szCs w:val="21"/>
        </w:rPr>
        <w:t>。</w:t>
      </w:r>
    </w:p>
    <w:p>
      <w:pPr>
        <w:spacing w:line="360" w:lineRule="auto"/>
        <w:ind w:firstLine="480" w:firstLineChars="200"/>
        <w:rPr>
          <w:rFonts w:hint="eastAsia" w:ascii="宋体" w:hAnsi="宋体" w:eastAsia="宋体" w:cs="宋体"/>
          <w:bCs/>
          <w:kern w:val="0"/>
          <w:sz w:val="24"/>
          <w:szCs w:val="21"/>
        </w:rPr>
      </w:pPr>
      <w:r>
        <w:rPr>
          <w:rFonts w:hint="eastAsia" w:ascii="宋体" w:hAnsi="宋体" w:eastAsia="宋体" w:cs="宋体"/>
          <w:bCs/>
          <w:kern w:val="0"/>
          <w:sz w:val="24"/>
          <w:szCs w:val="21"/>
        </w:rPr>
        <w:t>5、核心产品应在各标项内容中明确，如出现同品牌情况的，评标委员会根据招标文件规定执行。</w:t>
      </w:r>
    </w:p>
    <w:p>
      <w:pPr>
        <w:spacing w:line="360" w:lineRule="auto"/>
        <w:ind w:firstLine="480" w:firstLineChars="200"/>
        <w:rPr>
          <w:rFonts w:hint="eastAsia" w:ascii="宋体" w:hAnsi="宋体" w:eastAsia="宋体" w:cs="宋体"/>
          <w:bCs/>
          <w:kern w:val="0"/>
          <w:sz w:val="24"/>
          <w:szCs w:val="21"/>
        </w:rPr>
      </w:pPr>
      <w:r>
        <w:rPr>
          <w:rFonts w:hint="eastAsia" w:ascii="宋体" w:hAnsi="宋体" w:eastAsia="宋体" w:cs="宋体"/>
          <w:bCs/>
          <w:kern w:val="0"/>
          <w:sz w:val="24"/>
          <w:szCs w:val="21"/>
          <w:lang w:val="en-US" w:eastAsia="zh-CN"/>
        </w:rPr>
        <w:t>6</w:t>
      </w:r>
      <w:r>
        <w:rPr>
          <w:rFonts w:hint="eastAsia" w:ascii="宋体" w:hAnsi="宋体" w:eastAsia="宋体" w:cs="宋体"/>
          <w:bCs/>
          <w:kern w:val="0"/>
          <w:sz w:val="24"/>
          <w:szCs w:val="21"/>
        </w:rPr>
        <w:t>、采购人或者采购代理机构不得通过对样品进行检测、对供应商进行考察等方式改变评审结果。</w:t>
      </w:r>
    </w:p>
    <w:p>
      <w:pPr>
        <w:spacing w:line="360" w:lineRule="auto"/>
        <w:ind w:firstLine="480" w:firstLineChars="200"/>
        <w:rPr>
          <w:rFonts w:hint="eastAsia" w:ascii="宋体" w:hAnsi="宋体" w:eastAsia="宋体" w:cs="宋体"/>
          <w:bCs/>
          <w:kern w:val="0"/>
          <w:sz w:val="24"/>
          <w:szCs w:val="21"/>
        </w:rPr>
      </w:pPr>
      <w:r>
        <w:rPr>
          <w:rFonts w:hint="eastAsia" w:ascii="宋体" w:hAnsi="宋体" w:eastAsia="宋体" w:cs="宋体"/>
          <w:bCs/>
          <w:kern w:val="0"/>
          <w:sz w:val="24"/>
          <w:szCs w:val="21"/>
          <w:lang w:val="en-US" w:eastAsia="zh-CN"/>
        </w:rPr>
        <w:t>7</w:t>
      </w:r>
      <w:r>
        <w:rPr>
          <w:rFonts w:hint="eastAsia" w:ascii="宋体" w:hAnsi="宋体" w:eastAsia="宋体" w:cs="宋体"/>
          <w:bCs/>
          <w:kern w:val="0"/>
          <w:sz w:val="24"/>
          <w:szCs w:val="21"/>
        </w:rPr>
        <w:t>、如需与原有系统相对接的，则应详细描述原有系统情况及阐明如何对接，明确对接时采购人及投标人的工作分工。如需出具布点图纸等资料的，则应在招标文件中列明场地图纸等，此为采购人的责任。如确实无法提供图纸的，则组织集中现场踏勘。</w:t>
      </w:r>
    </w:p>
    <w:p>
      <w:pPr>
        <w:spacing w:line="360" w:lineRule="auto"/>
        <w:ind w:firstLine="480" w:firstLineChars="200"/>
        <w:rPr>
          <w:rFonts w:hint="eastAsia" w:ascii="宋体" w:hAnsi="宋体" w:eastAsia="宋体" w:cs="宋体"/>
          <w:bCs/>
          <w:kern w:val="0"/>
          <w:sz w:val="24"/>
          <w:szCs w:val="21"/>
        </w:rPr>
      </w:pPr>
      <w:r>
        <w:rPr>
          <w:rFonts w:hint="eastAsia" w:ascii="宋体" w:hAnsi="宋体" w:eastAsia="宋体" w:cs="宋体"/>
          <w:bCs/>
          <w:kern w:val="0"/>
          <w:sz w:val="24"/>
          <w:szCs w:val="21"/>
          <w:lang w:val="en-US" w:eastAsia="zh-CN"/>
        </w:rPr>
        <w:t>8</w:t>
      </w:r>
      <w:r>
        <w:rPr>
          <w:rFonts w:hint="eastAsia" w:ascii="宋体" w:hAnsi="宋体" w:eastAsia="宋体" w:cs="宋体"/>
          <w:bCs/>
          <w:kern w:val="0"/>
          <w:sz w:val="24"/>
          <w:szCs w:val="21"/>
        </w:rPr>
        <w:t>、采购人、采购代理机构一般不得要求投标人提供样品，仅凭书面方式不能准确描述采购需求或者需要对样品进行主观判断以确认是否满足采购需求等特殊情况除外。</w:t>
      </w:r>
    </w:p>
    <w:p>
      <w:pPr>
        <w:spacing w:line="360" w:lineRule="auto"/>
        <w:ind w:firstLine="480" w:firstLineChars="200"/>
        <w:rPr>
          <w:rFonts w:hint="eastAsia" w:ascii="宋体" w:hAnsi="宋体" w:eastAsia="宋体" w:cs="宋体"/>
          <w:bCs/>
          <w:kern w:val="0"/>
          <w:sz w:val="24"/>
          <w:szCs w:val="21"/>
        </w:rPr>
      </w:pPr>
      <w:r>
        <w:rPr>
          <w:rFonts w:hint="eastAsia" w:ascii="宋体" w:hAnsi="宋体" w:eastAsia="宋体" w:cs="宋体"/>
          <w:bCs/>
          <w:kern w:val="0"/>
          <w:sz w:val="24"/>
          <w:szCs w:val="21"/>
        </w:rPr>
        <w:t>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pPr>
        <w:spacing w:line="360" w:lineRule="auto"/>
        <w:ind w:firstLine="480" w:firstLineChars="200"/>
        <w:rPr>
          <w:rFonts w:hint="eastAsia" w:ascii="宋体" w:hAnsi="宋体" w:eastAsia="宋体" w:cs="宋体"/>
          <w:bCs/>
          <w:kern w:val="0"/>
          <w:sz w:val="24"/>
          <w:szCs w:val="21"/>
        </w:rPr>
      </w:pPr>
      <w:r>
        <w:rPr>
          <w:rFonts w:hint="eastAsia" w:ascii="宋体" w:hAnsi="宋体" w:eastAsia="宋体" w:cs="宋体"/>
          <w:bCs/>
          <w:kern w:val="0"/>
          <w:sz w:val="24"/>
          <w:szCs w:val="21"/>
        </w:rPr>
        <w:t>采购活动结束后，对于未中标人提供的样品，应当及时退还或者经未中标人同意后自行处理；对于中标人提供的样品，应当按照招标文件的规定进行保管、封存，并作为履约验收的参考。</w:t>
      </w:r>
    </w:p>
    <w:p>
      <w:pPr>
        <w:spacing w:line="360" w:lineRule="auto"/>
        <w:ind w:firstLine="480" w:firstLineChars="200"/>
        <w:rPr>
          <w:rFonts w:hint="eastAsia" w:ascii="宋体" w:hAnsi="宋体" w:eastAsia="宋体" w:cs="宋体"/>
          <w:bCs/>
          <w:kern w:val="0"/>
          <w:sz w:val="24"/>
          <w:szCs w:val="21"/>
        </w:rPr>
      </w:pPr>
      <w:r>
        <w:rPr>
          <w:rFonts w:hint="eastAsia" w:ascii="宋体" w:hAnsi="宋体" w:eastAsia="宋体" w:cs="宋体"/>
          <w:bCs/>
          <w:kern w:val="0"/>
          <w:sz w:val="24"/>
          <w:szCs w:val="21"/>
          <w:lang w:val="en-US" w:eastAsia="zh-CN"/>
        </w:rPr>
        <w:t>9</w:t>
      </w:r>
      <w:r>
        <w:rPr>
          <w:rFonts w:hint="eastAsia" w:ascii="宋体" w:hAnsi="宋体" w:eastAsia="宋体" w:cs="宋体"/>
          <w:bCs/>
          <w:kern w:val="0"/>
          <w:sz w:val="24"/>
          <w:szCs w:val="21"/>
        </w:rPr>
        <w:t>、采购人需要在评审前介绍项目背景和技术需求的，介绍内容不得存在歧视性、倾向性意见，不得超出采购文件所述范围，书面介绍材料作为采购项目文件随其他文件一并存档。</w:t>
      </w:r>
    </w:p>
    <w:p>
      <w:pPr>
        <w:spacing w:line="360" w:lineRule="auto"/>
        <w:ind w:firstLine="480" w:firstLineChars="200"/>
        <w:rPr>
          <w:rFonts w:hint="eastAsia" w:ascii="宋体" w:hAnsi="宋体" w:eastAsia="宋体" w:cs="宋体"/>
          <w:bCs/>
          <w:kern w:val="0"/>
          <w:sz w:val="24"/>
          <w:szCs w:val="21"/>
        </w:rPr>
      </w:pPr>
      <w:r>
        <w:rPr>
          <w:rFonts w:hint="eastAsia" w:ascii="宋体" w:hAnsi="宋体" w:eastAsia="宋体" w:cs="宋体"/>
          <w:bCs/>
          <w:kern w:val="0"/>
          <w:sz w:val="24"/>
          <w:szCs w:val="21"/>
        </w:rPr>
        <w:t>（一）采购标的需实现的功能或者目标，以及为落实政府采购政策需满足的要求；</w:t>
      </w:r>
    </w:p>
    <w:p>
      <w:pPr>
        <w:spacing w:line="360" w:lineRule="auto"/>
        <w:ind w:firstLine="480" w:firstLineChars="200"/>
        <w:rPr>
          <w:rFonts w:hint="eastAsia" w:ascii="宋体" w:hAnsi="宋体" w:eastAsia="宋体" w:cs="宋体"/>
          <w:bCs/>
          <w:kern w:val="0"/>
          <w:sz w:val="24"/>
          <w:szCs w:val="21"/>
        </w:rPr>
      </w:pPr>
      <w:r>
        <w:rPr>
          <w:rFonts w:hint="eastAsia" w:ascii="宋体" w:hAnsi="宋体" w:eastAsia="宋体" w:cs="宋体"/>
          <w:bCs/>
          <w:kern w:val="0"/>
          <w:sz w:val="24"/>
          <w:szCs w:val="21"/>
        </w:rPr>
        <w:t>（二）采购标的需执行的国家相关标准、行业标准、地方标准或者其他标准、规范；</w:t>
      </w:r>
    </w:p>
    <w:p>
      <w:pPr>
        <w:spacing w:line="360" w:lineRule="auto"/>
        <w:ind w:firstLine="480" w:firstLineChars="200"/>
        <w:rPr>
          <w:rFonts w:hint="eastAsia" w:ascii="宋体" w:hAnsi="宋体" w:eastAsia="宋体" w:cs="宋体"/>
          <w:bCs/>
          <w:kern w:val="0"/>
          <w:sz w:val="24"/>
          <w:szCs w:val="21"/>
        </w:rPr>
      </w:pPr>
      <w:r>
        <w:rPr>
          <w:rFonts w:hint="eastAsia" w:ascii="宋体" w:hAnsi="宋体" w:eastAsia="宋体" w:cs="宋体"/>
          <w:bCs/>
          <w:kern w:val="0"/>
          <w:sz w:val="24"/>
          <w:szCs w:val="21"/>
        </w:rPr>
        <w:t>（三）采购标的需满足的质量、安全、技术规格、物理特性等要求；</w:t>
      </w:r>
    </w:p>
    <w:p>
      <w:pPr>
        <w:spacing w:line="360" w:lineRule="auto"/>
        <w:ind w:firstLine="480" w:firstLineChars="200"/>
        <w:rPr>
          <w:rFonts w:hint="eastAsia" w:ascii="宋体" w:hAnsi="宋体" w:eastAsia="宋体" w:cs="宋体"/>
          <w:bCs/>
          <w:kern w:val="0"/>
          <w:sz w:val="24"/>
          <w:szCs w:val="21"/>
        </w:rPr>
      </w:pPr>
      <w:r>
        <w:rPr>
          <w:rFonts w:hint="eastAsia" w:ascii="宋体" w:hAnsi="宋体" w:eastAsia="宋体" w:cs="宋体"/>
          <w:bCs/>
          <w:kern w:val="0"/>
          <w:sz w:val="24"/>
          <w:szCs w:val="21"/>
        </w:rPr>
        <w:t>（四）采购标的的数量、采购项目交付或者实施的时间和地点；</w:t>
      </w:r>
    </w:p>
    <w:p>
      <w:pPr>
        <w:spacing w:line="360" w:lineRule="auto"/>
        <w:ind w:firstLine="480" w:firstLineChars="200"/>
        <w:rPr>
          <w:rFonts w:hint="eastAsia" w:ascii="宋体" w:hAnsi="宋体" w:eastAsia="宋体" w:cs="宋体"/>
          <w:bCs/>
          <w:kern w:val="0"/>
          <w:sz w:val="24"/>
          <w:szCs w:val="21"/>
        </w:rPr>
      </w:pPr>
      <w:r>
        <w:rPr>
          <w:rFonts w:hint="eastAsia" w:ascii="宋体" w:hAnsi="宋体" w:eastAsia="宋体" w:cs="宋体"/>
          <w:bCs/>
          <w:kern w:val="0"/>
          <w:sz w:val="24"/>
          <w:szCs w:val="21"/>
        </w:rPr>
        <w:t>（五）采购标的需满足的服务标准、期限、效率等要求；</w:t>
      </w:r>
    </w:p>
    <w:p>
      <w:pPr>
        <w:spacing w:line="360" w:lineRule="auto"/>
        <w:ind w:firstLine="480" w:firstLineChars="200"/>
        <w:rPr>
          <w:rFonts w:hint="eastAsia" w:ascii="宋体" w:hAnsi="宋体" w:eastAsia="宋体" w:cs="宋体"/>
          <w:bCs/>
          <w:kern w:val="0"/>
          <w:sz w:val="24"/>
          <w:szCs w:val="21"/>
        </w:rPr>
      </w:pPr>
      <w:r>
        <w:rPr>
          <w:rFonts w:hint="eastAsia" w:ascii="宋体" w:hAnsi="宋体" w:eastAsia="宋体" w:cs="宋体"/>
          <w:bCs/>
          <w:kern w:val="0"/>
          <w:sz w:val="24"/>
          <w:szCs w:val="21"/>
        </w:rPr>
        <w:t>（六）采购标的的验收标准；</w:t>
      </w:r>
    </w:p>
    <w:p>
      <w:pPr>
        <w:spacing w:line="360" w:lineRule="auto"/>
        <w:ind w:firstLine="480" w:firstLineChars="200"/>
        <w:rPr>
          <w:rFonts w:hint="eastAsia" w:ascii="宋体" w:hAnsi="宋体" w:eastAsia="宋体" w:cs="宋体"/>
          <w:bCs/>
          <w:kern w:val="0"/>
          <w:sz w:val="24"/>
          <w:szCs w:val="21"/>
        </w:rPr>
      </w:pPr>
      <w:r>
        <w:rPr>
          <w:rFonts w:hint="eastAsia" w:ascii="宋体" w:hAnsi="宋体" w:eastAsia="宋体" w:cs="宋体"/>
          <w:bCs/>
          <w:kern w:val="0"/>
          <w:sz w:val="24"/>
          <w:szCs w:val="21"/>
        </w:rPr>
        <w:t>（七）采购标的的其他技术、服务等要求。</w:t>
      </w:r>
    </w:p>
    <w:p>
      <w:pPr>
        <w:pStyle w:val="2"/>
        <w:ind w:firstLine="1687" w:firstLineChars="600"/>
        <w:rPr>
          <w:rFonts w:hint="eastAsia"/>
          <w:lang w:eastAsia="zh-CN"/>
        </w:rPr>
      </w:pPr>
    </w:p>
    <w:p>
      <w:pPr>
        <w:pStyle w:val="2"/>
        <w:ind w:firstLine="1687" w:firstLineChars="600"/>
        <w:jc w:val="center"/>
        <w:rPr>
          <w:rFonts w:hint="eastAsia" w:eastAsia="宋体"/>
          <w:lang w:eastAsia="zh-CN"/>
        </w:rPr>
      </w:pPr>
      <w:r>
        <w:rPr>
          <w:rFonts w:hint="eastAsia"/>
          <w:lang w:eastAsia="zh-CN"/>
        </w:rPr>
        <w:t>第一章</w:t>
      </w:r>
      <w:r>
        <w:rPr>
          <w:rFonts w:hint="eastAsia"/>
          <w:lang w:val="en-US" w:eastAsia="zh-CN"/>
        </w:rPr>
        <w:t xml:space="preserve"> </w:t>
      </w:r>
      <w:r>
        <w:rPr>
          <w:rFonts w:hint="eastAsia"/>
          <w:lang w:eastAsia="zh-CN"/>
        </w:rPr>
        <w:t>采购内容与技术规范</w:t>
      </w:r>
    </w:p>
    <w:p>
      <w:pPr>
        <w:pStyle w:val="10"/>
        <w:spacing w:line="500" w:lineRule="exact"/>
        <w:ind w:firstLine="482" w:firstLineChars="200"/>
        <w:rPr>
          <w:rFonts w:ascii="新宋体" w:hAnsi="新宋体" w:eastAsia="新宋体"/>
          <w:b/>
          <w:bCs/>
          <w:sz w:val="24"/>
        </w:rPr>
      </w:pPr>
      <w:bookmarkStart w:id="430" w:name="_Toc29828"/>
      <w:bookmarkStart w:id="431" w:name="_Toc323"/>
      <w:r>
        <w:rPr>
          <w:rFonts w:hint="eastAsia" w:ascii="新宋体" w:hAnsi="新宋体" w:eastAsia="新宋体"/>
          <w:b/>
          <w:bCs/>
          <w:sz w:val="24"/>
        </w:rPr>
        <w:t>一、采购内容</w:t>
      </w:r>
    </w:p>
    <w:p>
      <w:pPr>
        <w:autoSpaceDE w:val="0"/>
        <w:autoSpaceDN w:val="0"/>
        <w:adjustRightInd w:val="0"/>
        <w:snapToGrid w:val="0"/>
        <w:spacing w:line="500" w:lineRule="exact"/>
        <w:ind w:left="-181" w:leftChars="-86" w:right="-178" w:rightChars="-85" w:firstLine="480" w:firstLineChars="200"/>
        <w:textAlignment w:val="bottom"/>
        <w:rPr>
          <w:rFonts w:ascii="新宋体" w:hAnsi="新宋体" w:eastAsia="新宋体"/>
          <w:sz w:val="24"/>
        </w:rPr>
      </w:pPr>
      <w:r>
        <w:rPr>
          <w:rFonts w:hint="eastAsia" w:ascii="新宋体" w:hAnsi="新宋体" w:eastAsia="新宋体"/>
          <w:sz w:val="24"/>
        </w:rPr>
        <w:t>本次采购内容为标本外送检验检测服务，包括但不限于提供运输服务，配套车辆设备，配备服务人员，设备维护保养，外送标本检验检测和质量控制等全部工作。</w:t>
      </w:r>
    </w:p>
    <w:p>
      <w:pPr>
        <w:pStyle w:val="10"/>
        <w:spacing w:line="500" w:lineRule="exact"/>
        <w:ind w:firstLine="482" w:firstLineChars="200"/>
        <w:rPr>
          <w:rFonts w:hint="eastAsia" w:ascii="新宋体" w:hAnsi="新宋体" w:eastAsia="新宋体"/>
          <w:b/>
          <w:bCs/>
          <w:sz w:val="24"/>
          <w:lang w:eastAsia="zh-CN"/>
        </w:rPr>
      </w:pPr>
      <w:r>
        <w:rPr>
          <w:rFonts w:hint="eastAsia" w:ascii="新宋体" w:hAnsi="新宋体" w:eastAsia="新宋体"/>
          <w:b/>
          <w:bCs/>
          <w:sz w:val="24"/>
        </w:rPr>
        <w:t>二、检测</w:t>
      </w:r>
      <w:r>
        <w:rPr>
          <w:rFonts w:hint="eastAsia" w:ascii="新宋体" w:hAnsi="新宋体" w:eastAsia="新宋体"/>
          <w:b/>
          <w:bCs/>
          <w:sz w:val="24"/>
          <w:lang w:eastAsia="zh-CN"/>
        </w:rPr>
        <w:t>目录</w:t>
      </w:r>
    </w:p>
    <w:p>
      <w:pPr>
        <w:pStyle w:val="10"/>
        <w:spacing w:line="500" w:lineRule="exact"/>
        <w:ind w:firstLine="240" w:firstLineChars="100"/>
        <w:rPr>
          <w:rFonts w:hint="eastAsia" w:ascii="新宋体" w:hAnsi="新宋体" w:eastAsia="新宋体"/>
          <w:bCs/>
          <w:sz w:val="24"/>
        </w:rPr>
      </w:pPr>
      <w:r>
        <w:rPr>
          <w:rFonts w:hint="eastAsia" w:ascii="新宋体" w:hAnsi="新宋体" w:eastAsia="新宋体"/>
          <w:bCs/>
          <w:sz w:val="24"/>
        </w:rPr>
        <w:t xml:space="preserve"> 临床科室有需求，但医院目前又无法开展的需要长期外送的检验检测项目。</w:t>
      </w:r>
    </w:p>
    <w:tbl>
      <w:tblPr>
        <w:tblStyle w:val="28"/>
        <w:tblW w:w="8428" w:type="dxa"/>
        <w:tblInd w:w="0" w:type="dxa"/>
        <w:tblLayout w:type="fixed"/>
        <w:tblCellMar>
          <w:top w:w="0" w:type="dxa"/>
          <w:left w:w="0" w:type="dxa"/>
          <w:bottom w:w="0" w:type="dxa"/>
          <w:right w:w="0" w:type="dxa"/>
        </w:tblCellMar>
      </w:tblPr>
      <w:tblGrid>
        <w:gridCol w:w="1273"/>
        <w:gridCol w:w="5565"/>
        <w:gridCol w:w="1590"/>
      </w:tblGrid>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序号</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检测名称</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2019年月样本量</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抗核抗体(ANA)</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抗双链DNA抗体(dsDNA)</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抗心磷脂抗体(ACA)</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抗核提取物抗体(抗ENA抗体-含抗着丝点组蛋白)</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抗组蛋白抗体(Histo)</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抗中性粒细胞胞浆抗体(pANCA)</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中性粒粒细胞抗体(MPO)</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抗中性粒细胞胞浆抗体(cANCA)</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中性粒粒细胞抗体(PR3)</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呼吸道病毒感染抗体谱检测</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甲状旁腺激素(PTH)</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鳞状细胞癌相关抗原测定(SCC)</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过敏原综合组特异性IgE抗体</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25-羟基维生素D(VD(25-OH))</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单纯疱疹病毒Ⅱ型抗体IgM定量(HSVⅡ-IgM)</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EB病毒衣壳抗原抗体IgM(EBVCA-IgM)</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巨细胞病毒抗体IgM定量(CMV-IgM)</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风疹病毒抗体IgM定量(RV-IgM)</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单纯疱疹病毒Ⅰ型抗体IgM定量(HSVⅠ-IgM)</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柯萨奇病毒IgM抗体(COX-IgM)</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补体C3测定</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补体C4测定</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免疫球蛋白IgA定量(IgA)</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免疫球蛋白IgM定量(IgM)</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免疫球蛋白IgG定量(IgG)</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促甲状腺受体抗体(TR-Ab)</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真菌(1、3)-β-D-葡聚糖检测</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胰岛素抗体(INS-Ab)</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全血微量元素五项</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血清总胆汁酸(TBA)</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N-端骨钙素(N-MID)</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β-胶原特殊序列(β-CTx)</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总Ⅰ型胶原氨基酸延长肽(t-P1NP)</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糖尿病自身抗体两项(ICA+GAD)检测</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呼吸道病毒早期检测9项</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血管紧张素Ⅱ(AT-Ⅱ)(卧位)</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血浆肾素活性测定(PRA)(卧位)</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血管紧张素I测定(AT-I)(卧位)</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甘胆酸测定(CG)</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幽门螺旋杆菌抗体IgG(Hp-IgG)</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人类白细胞抗原B27(HLA-B27)</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抗线粒体抗体-Ⅱ型</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抗线粒体抗体(AMA)</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肝细胞质抗体-Ⅰ型</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平滑肌抗体</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抗肝肾微粒体抗体(LKM)</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47</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抗可溶性肝抗原/肝-胰抗原抗体[SLA/LP]</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抗环瓜氨酸肽抗体(CCP)</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49</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血皮质醇(CORT8am)</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抗核提取物抗体(抗ENA抗体6项)</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51</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血促肾上腺皮质激素(ACTH9AM左右)</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52</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抗缪勒氏管激素(AMH)</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53</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T淋巴细胞亚群</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54</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免疫固定电泳</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55</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血皮质醇(CORT4pm)+化学发光法</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56</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血清Ⅲ型前胶原测定(PCⅢ)</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57</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血清Ⅳ型胶原测定(CIV)</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58</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血清层粘连蛋白测定(LN)</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59</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血清透明质酸测定(HA)</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醛固酮(ALD)(立位)</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61</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轻链LAMBDA(λ-LC)定量</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62</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轻链KAPPA(K-LC)定量</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63</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尿轻链KAPPA定量</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64</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尿轻链LAMBDA定量</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结核感染T细胞检测(TB-IGRA)</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66</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EB病毒DNA定量检测(EB-DNA)</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67</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血皮质醇(CORT夜12点)+化学发光法</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68</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糖类抗原242(CA242)</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69</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血管紧张素Ⅱ(AT-Ⅱ)(立位)</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血管紧张素I测定(AT-I)(立位)</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71</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血浆肾素活性测定(PRA)(立位)</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72</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巨细胞病毒DNA定量测定(CMV-DNA)</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73</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醛固酮(ALD)(卧位)</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74</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胰岛素样生长因子-1(IGF-1)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75</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血清铁离子(Fe)</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76</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总铁结合力(TiBC)</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77</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肺炎支原体IgM抗体(MP-IgM)</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78</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血儿茶酚胺</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79</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血清生长激素(GH)</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铜蓝蛋白(CER)</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81</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24小时尿皮质醇(游离皮质醇)</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82</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抗BIgG</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83</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抗AIgG</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84</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TBNK淋巴细胞亚群</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85</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单纯疱疹病毒Ⅱ型抗体IgG定量(HSVⅡ-IgG)</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86</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丙戊酸(VPA)</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87</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血清β2微球蛋白(β2-MG)</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88</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EB病毒衣壳抗原抗体IgG(EBVCA-IgG)</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89</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白血病免疫分型(20个CD)(流式细胞术)</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细菌内毒素定量检测(血清)</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骨髓染色体核型分析(G带)</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血小板相关抗体IgM(PA-IgM)</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血小板相关抗体IgA(PA-IgA)</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血小板相关抗体IgG(PA-IgG)</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95</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他克莫司(**-506)浓度检测+LC-MS/MS</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17α-羟孕酮测定</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97</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免疫球蛋白IgE定量(IgE)</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98</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尿香草苦杏仁酸(VMA)</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抗肾小球基底膜抗体IgG(GBM-IgG)检测+间接免疫荧光法</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乙肝病毒P区耐药测序</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101</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血清生长激素(GH60min)</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102</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血清生长激素(GH30min)</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103</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血清生长激素(GH90min)</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104</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血清生长激素(GH45min)</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105</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抗心磷脂抗体IgG(ACL-IgG)</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BCR-ABL(p210)(融合基因/荧光定量PCR)</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107</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外周血染色体400带检测</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108</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白细胞介素6[IL6]</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109</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促红细胞生成素(EPO)</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110</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骨髓活检加免疫组化3项</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111</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BCR-ABL(p190)(融合基因/荧光定量PCR)</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112</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JAK2 V617F突变(荧光定量PCR)</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113</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尿钙(U-Ca)</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114</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丙肝RNA(HCV-RNA)</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115</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巨细胞病毒抗体IgG定量(CMV-IgG)</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116</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血管紧张素转化酶(ACE)</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117</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MM免疫分型(10个CD) (流式细胞术)</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118</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新生儿溶血病检测</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119</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胃泌素(Gastrin)</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尿转铁蛋白(UTRF)</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121</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尿α1微量球蛋白(α1-MG)</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122</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尿液免疫球蛋白IgG定量</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123</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尿β2微球蛋白(β2-MG)</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124</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尿微量白蛋白(mALB)</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125</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环孢霉素A(CsA)浓度检测+LC-MS/MS</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126</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MDS免疫分型(20个CD，含MNDA) (流式细胞术)</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127</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PML-RARα-S短型(融合基因/荧光定量PCR)</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128</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结核感染T细胞斑点试验(T SPOT-TB)</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129</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PML-RARα-L长型(融合基因/荧光定量PCR)</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130</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血促肾上腺皮质激素(ACTH4PM)</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131</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丙肝病毒基因分型检测</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132</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卡马西平片浓度</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133</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抗人球蛋白试验(Coombs)</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134</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骨髓活检+免疫组化6项</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135</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血红蛋白电泳</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136</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糖类抗原50(CA50)</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137</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AML免疫分型(20个CD)(流式细胞术)</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138</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乙肝DNA(HBV-DNA)</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139</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EB病毒VCA抗体(VCA-IgA)</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140</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EB病毒EA抗体(EA-IgA)</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141</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血清泌乳素测定(PRL)</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142</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肿瘤坏死因子α(TNF-α)</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143</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血清前白蛋白(PAB)</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144</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苯妥英钠浓度</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145</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胃蛋白酶原</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146</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过敏原吸入组特异性IgE抗体</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147</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血清生长激素(GH120min)</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148</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淋巴瘤免疫分型(20CD)(流式细胞术)</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149</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反T3(Rt3)</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150</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白细胞介素2[IL2]</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151</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抗子宫内膜抗体IgG(EMAb-IgG)</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152</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风疹病毒抗体IgG定量(RV-IgG)</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153</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抗卵巢抗体IgG测定(AOA-IgG)</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154</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盐皮质激素相关高血压筛查套餐+LC-MS/MS</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155</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抗精子抗体IgG(ASAb-IgG)</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156</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过敏原食物组特异性IgE抗体</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157</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乙肝病毒基因分型</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158</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全血铅</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159</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脑脊液IgG指数</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160</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白血病免疫分型CD分子加做*2</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161</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苯巴比妥+质谱法</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162</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CML免疫分型(20个CD)(流式细胞术)</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163</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单纯疱疹病毒Ⅰ型抗体IgG定量(HSVⅠ-IgG)</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164</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弓形体抗体IgG定量(TOX-IgG)</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165</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骨髓活检常规+免疫组化8项</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166</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弓形体抗体IgM定量(TOX-IgM)</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167</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浆细胞骨髓瘤残留病灶(10个CD)+流式细胞术</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168</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白血病免疫分型CD分子加做*8</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169</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西罗莫司(雷帕霉素)浓度检测+LC-MS/MS</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170</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线粒体抗体谱</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171</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PNH检测(4个CD)(流式细胞术)</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172</w:t>
            </w:r>
          </w:p>
        </w:tc>
        <w:tc>
          <w:tcPr>
            <w:tcW w:w="5565" w:type="dxa"/>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细菌内毒素定量检测(透析液)</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173</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尿免疫固定电泳(G-A-M-к-λ)</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174</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循环肿瘤细胞CTC检测</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175</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PML-RARα-V融合基因定量检测</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176</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白血病免疫分型CD分子加做*9</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177</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24小时尿铜(Cu/24h)</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178</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JAK2 exon12突变</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179</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α-地中海贫血缺失性基因检测</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180</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β-地中海贫血基因分型检测</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181</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CLL免疫分型(10个CD_含ZAP-70)(流式细胞术)</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182</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抗甲状腺微粒体抗体(TM-Ab)</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183</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乙肝病毒阿德福韦耐药突变检测</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184</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万古霉素(Vancomycin)+质谱法</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185</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α-地中海贫血基因分型</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186</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残留病灶检测(10个CD)(流式细胞术)</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187</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骨髓形态学常规(含NAP染色和CD41)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188</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心血管个性化用药指导11基因检测</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189</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人乳头瘤病毒HPV23分型</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不确定</w:t>
            </w:r>
          </w:p>
        </w:tc>
      </w:tr>
      <w:tr>
        <w:tblPrEx>
          <w:tblCellMar>
            <w:top w:w="0" w:type="dxa"/>
            <w:left w:w="0" w:type="dxa"/>
            <w:bottom w:w="0" w:type="dxa"/>
            <w:right w:w="0" w:type="dxa"/>
          </w:tblCellMar>
        </w:tblPrEx>
        <w:trPr>
          <w:trHeight w:val="285" w:hRule="atLeast"/>
        </w:trPr>
        <w:tc>
          <w:tcPr>
            <w:tcW w:w="1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190</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新型冠状病毒核酸检测</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不确定</w:t>
            </w:r>
          </w:p>
        </w:tc>
      </w:tr>
    </w:tbl>
    <w:p>
      <w:pPr>
        <w:pStyle w:val="10"/>
        <w:spacing w:line="500" w:lineRule="exact"/>
        <w:ind w:right="-113" w:rightChars="-54" w:firstLine="480" w:firstLineChars="200"/>
        <w:rPr>
          <w:rFonts w:hint="eastAsia" w:ascii="宋体" w:hAnsi="宋体" w:eastAsia="宋体" w:cs="宋体"/>
          <w:sz w:val="24"/>
        </w:rPr>
      </w:pPr>
      <w:r>
        <w:rPr>
          <w:rFonts w:hint="eastAsia" w:hAnsi="宋体"/>
          <w:sz w:val="24"/>
        </w:rPr>
        <w:t>注：1.</w:t>
      </w:r>
      <w:r>
        <w:rPr>
          <w:rFonts w:hint="eastAsia" w:ascii="新宋体" w:hAnsi="新宋体" w:eastAsia="新宋体"/>
          <w:bCs/>
          <w:sz w:val="24"/>
        </w:rPr>
        <w:t>外送的检验检测项目包括但不限于以上内容，</w:t>
      </w:r>
      <w:r>
        <w:rPr>
          <w:rFonts w:hint="eastAsia" w:hAnsi="宋体"/>
          <w:sz w:val="24"/>
        </w:rPr>
        <w:t>如果招标方在合同期间有新项目需</w:t>
      </w:r>
      <w:r>
        <w:rPr>
          <w:rFonts w:hint="eastAsia" w:ascii="新宋体" w:hAnsi="新宋体" w:eastAsia="新宋体"/>
          <w:bCs/>
          <w:sz w:val="24"/>
        </w:rPr>
        <w:t>外送检验检测</w:t>
      </w:r>
      <w:r>
        <w:rPr>
          <w:rFonts w:hint="eastAsia" w:hAnsi="宋体"/>
          <w:sz w:val="24"/>
        </w:rPr>
        <w:t>，</w:t>
      </w:r>
      <w:r>
        <w:rPr>
          <w:rFonts w:hint="eastAsia" w:ascii="宋体" w:hAnsi="宋体" w:eastAsia="宋体" w:cs="宋体"/>
          <w:sz w:val="24"/>
          <w:lang w:eastAsia="zh-CN"/>
        </w:rPr>
        <w:t>或者由于院方设备故障等特殊原因需要外送检验项目，</w:t>
      </w:r>
      <w:r>
        <w:rPr>
          <w:rFonts w:hint="eastAsia" w:ascii="宋体" w:hAnsi="宋体" w:eastAsia="宋体" w:cs="宋体"/>
          <w:sz w:val="24"/>
        </w:rPr>
        <w:t>中标商需在符合《浙江省医疗服务价格目录》</w:t>
      </w:r>
      <w:r>
        <w:rPr>
          <w:rFonts w:hint="eastAsia" w:hAnsi="宋体"/>
          <w:sz w:val="24"/>
        </w:rPr>
        <w:t>、试剂</w:t>
      </w:r>
      <w:r>
        <w:rPr>
          <w:rFonts w:hint="eastAsia" w:ascii="宋体" w:hAnsi="宋体" w:eastAsia="宋体" w:cs="宋体"/>
          <w:sz w:val="24"/>
        </w:rPr>
        <w:t>及仪器合法合规的基础上，按本次中标的折扣率执行。</w:t>
      </w:r>
    </w:p>
    <w:p>
      <w:pPr>
        <w:pStyle w:val="10"/>
        <w:spacing w:line="500" w:lineRule="exact"/>
        <w:ind w:right="-113" w:rightChars="-54" w:firstLine="480" w:firstLineChars="200"/>
        <w:rPr>
          <w:rFonts w:hint="eastAsia" w:ascii="宋体" w:hAnsi="宋体" w:eastAsia="宋体" w:cs="宋体"/>
          <w:b/>
          <w:bCs/>
          <w:sz w:val="24"/>
        </w:rPr>
      </w:pPr>
      <w:r>
        <w:rPr>
          <w:rFonts w:hint="eastAsia" w:ascii="宋体" w:hAnsi="宋体" w:eastAsia="宋体" w:cs="宋体"/>
          <w:sz w:val="24"/>
        </w:rPr>
        <w:t>2.医共体各成员单位可</w:t>
      </w:r>
      <w:r>
        <w:rPr>
          <w:rFonts w:hint="eastAsia" w:ascii="宋体" w:hAnsi="宋体" w:eastAsia="宋体" w:cs="宋体"/>
          <w:sz w:val="24"/>
          <w:lang w:eastAsia="zh-CN"/>
        </w:rPr>
        <w:t>参照</w:t>
      </w:r>
      <w:r>
        <w:rPr>
          <w:rFonts w:hint="eastAsia" w:ascii="宋体" w:hAnsi="宋体" w:eastAsia="宋体" w:cs="宋体"/>
          <w:sz w:val="24"/>
        </w:rPr>
        <w:t>总院相同折扣执行。</w:t>
      </w:r>
    </w:p>
    <w:p>
      <w:pPr>
        <w:pStyle w:val="10"/>
        <w:spacing w:line="360" w:lineRule="auto"/>
        <w:rPr>
          <w:rFonts w:ascii="新宋体" w:hAnsi="新宋体" w:eastAsia="新宋体"/>
          <w:b/>
          <w:bCs/>
          <w:sz w:val="24"/>
        </w:rPr>
      </w:pPr>
      <w:r>
        <w:rPr>
          <w:rFonts w:hint="eastAsia" w:ascii="新宋体" w:hAnsi="新宋体" w:eastAsia="新宋体"/>
          <w:b/>
          <w:bCs/>
          <w:sz w:val="24"/>
        </w:rPr>
        <w:t>三、服务要求</w:t>
      </w:r>
    </w:p>
    <w:p>
      <w:pPr>
        <w:widowControl/>
        <w:spacing w:before="100" w:after="100" w:line="360" w:lineRule="atLeast"/>
        <w:ind w:firstLine="240" w:firstLineChars="100"/>
        <w:jc w:val="left"/>
        <w:rPr>
          <w:rFonts w:hint="eastAsia" w:ascii="新宋体" w:hAnsi="新宋体" w:eastAsia="新宋体" w:cs="新宋体"/>
          <w:sz w:val="24"/>
        </w:rPr>
      </w:pPr>
      <w:r>
        <w:rPr>
          <w:rFonts w:hint="eastAsia" w:ascii="新宋体" w:hAnsi="新宋体" w:eastAsia="新宋体" w:cs="新宋体"/>
          <w:sz w:val="24"/>
        </w:rPr>
        <w:t>（一）投标商能力要求：</w:t>
      </w:r>
    </w:p>
    <w:p>
      <w:pPr>
        <w:pStyle w:val="10"/>
        <w:spacing w:line="360" w:lineRule="auto"/>
        <w:rPr>
          <w:rFonts w:hint="eastAsia" w:ascii="宋体" w:hAnsi="宋体" w:cs="宋体"/>
          <w:bCs/>
          <w:sz w:val="24"/>
          <w:lang w:val="en-US" w:eastAsia="zh-CN"/>
        </w:rPr>
      </w:pPr>
      <w:r>
        <w:rPr>
          <w:rFonts w:hint="eastAsia" w:ascii="宋体" w:hAnsi="宋体" w:cs="宋体"/>
          <w:bCs/>
          <w:sz w:val="24"/>
          <w:lang w:val="en-US" w:eastAsia="zh-CN"/>
        </w:rPr>
        <w:t>1.符合政府采购法第二十二条规定的投标人资格条件。</w:t>
      </w:r>
    </w:p>
    <w:p>
      <w:pPr>
        <w:pStyle w:val="10"/>
        <w:spacing w:line="360" w:lineRule="auto"/>
        <w:rPr>
          <w:rFonts w:hint="eastAsia" w:ascii="宋体" w:hAnsi="宋体" w:cs="宋体"/>
          <w:bCs/>
          <w:sz w:val="24"/>
          <w:lang w:val="en-US" w:eastAsia="zh-CN"/>
        </w:rPr>
      </w:pPr>
      <w:r>
        <w:rPr>
          <w:rFonts w:hint="eastAsia" w:ascii="宋体" w:hAnsi="宋体" w:cs="宋体"/>
          <w:bCs/>
          <w:sz w:val="24"/>
          <w:lang w:val="en-US" w:eastAsia="zh-CN"/>
        </w:rPr>
        <w:t>2.投标人须为独立医学诊断中心实验室，并具有有效的医疗机构执业许可证。</w:t>
      </w:r>
    </w:p>
    <w:p>
      <w:pPr>
        <w:pStyle w:val="10"/>
        <w:spacing w:line="360" w:lineRule="auto"/>
        <w:rPr>
          <w:rFonts w:hint="eastAsia" w:ascii="宋体" w:hAnsi="宋体" w:cs="宋体"/>
          <w:bCs/>
          <w:sz w:val="24"/>
          <w:lang w:val="en-US" w:eastAsia="zh-CN"/>
        </w:rPr>
      </w:pPr>
      <w:r>
        <w:rPr>
          <w:rFonts w:hint="eastAsia" w:ascii="宋体" w:hAnsi="宋体" w:cs="宋体"/>
          <w:bCs/>
          <w:sz w:val="24"/>
          <w:lang w:val="en-US" w:eastAsia="zh-CN"/>
        </w:rPr>
        <w:t>3.投标人五年内无不良记录，否则作无效标处理。</w:t>
      </w:r>
    </w:p>
    <w:p>
      <w:pPr>
        <w:pStyle w:val="10"/>
        <w:spacing w:line="360" w:lineRule="auto"/>
        <w:rPr>
          <w:rFonts w:hint="eastAsia" w:ascii="新宋体" w:hAnsi="新宋体" w:eastAsia="新宋体" w:cs="新宋体"/>
          <w:sz w:val="24"/>
        </w:rPr>
      </w:pPr>
      <w:r>
        <w:rPr>
          <w:rFonts w:hint="eastAsia" w:ascii="新宋体" w:hAnsi="新宋体" w:eastAsia="新宋体" w:cs="新宋体"/>
          <w:sz w:val="24"/>
        </w:rPr>
        <w:t>（二）服务要求：</w:t>
      </w:r>
    </w:p>
    <w:p>
      <w:pPr>
        <w:pStyle w:val="10"/>
        <w:spacing w:line="360" w:lineRule="auto"/>
        <w:ind w:left="0" w:leftChars="0" w:firstLine="480" w:firstLineChars="200"/>
        <w:rPr>
          <w:rFonts w:hint="eastAsia" w:ascii="新宋体" w:hAnsi="新宋体" w:eastAsia="新宋体" w:cs="新宋体"/>
          <w:sz w:val="24"/>
        </w:rPr>
      </w:pPr>
      <w:r>
        <w:rPr>
          <w:rFonts w:hint="eastAsia" w:ascii="新宋体" w:hAnsi="新宋体" w:eastAsia="新宋体" w:cs="新宋体"/>
          <w:sz w:val="24"/>
        </w:rPr>
        <w:t>1.样本收集：应每天派工作人员到医院收取外送标本并负责外送标本前处理</w:t>
      </w:r>
      <w:r>
        <w:rPr>
          <w:rFonts w:hint="eastAsia" w:ascii="新宋体" w:hAnsi="新宋体" w:eastAsia="新宋体" w:cs="新宋体"/>
          <w:sz w:val="24"/>
          <w:lang w:val="en-US" w:eastAsia="zh-CN"/>
        </w:rPr>
        <w:t>,</w:t>
      </w:r>
      <w:r>
        <w:rPr>
          <w:rFonts w:hint="eastAsia" w:ascii="新宋体" w:hAnsi="新宋体" w:eastAsia="新宋体" w:cs="新宋体"/>
          <w:sz w:val="24"/>
        </w:rPr>
        <w:t>平时备足各种盛装标本的专用管子，临时急用管子需及时送达，保证外送标本安全有效。</w:t>
      </w:r>
    </w:p>
    <w:p>
      <w:pPr>
        <w:pStyle w:val="10"/>
        <w:spacing w:line="360" w:lineRule="auto"/>
        <w:ind w:left="0" w:leftChars="0" w:firstLine="480" w:firstLineChars="200"/>
        <w:rPr>
          <w:rFonts w:hint="eastAsia" w:ascii="新宋体" w:hAnsi="新宋体" w:eastAsia="新宋体" w:cs="新宋体"/>
          <w:sz w:val="24"/>
        </w:rPr>
      </w:pPr>
      <w:r>
        <w:rPr>
          <w:rFonts w:hint="eastAsia" w:ascii="新宋体" w:hAnsi="新宋体" w:eastAsia="新宋体" w:cs="新宋体"/>
          <w:sz w:val="24"/>
        </w:rPr>
        <w:t>2.样本存储及运送：服务单位应具有样本存储及运送的工具设施，确保样本在储存及运送过程中不发生变质的情况</w:t>
      </w:r>
      <w:r>
        <w:rPr>
          <w:rFonts w:hint="eastAsia" w:ascii="新宋体" w:hAnsi="新宋体" w:eastAsia="新宋体" w:cs="新宋体"/>
          <w:sz w:val="24"/>
          <w:lang w:eastAsia="zh-CN"/>
        </w:rPr>
        <w:t>，</w:t>
      </w:r>
      <w:r>
        <w:rPr>
          <w:rFonts w:hint="eastAsia" w:ascii="新宋体" w:hAnsi="新宋体" w:eastAsia="新宋体" w:cs="新宋体"/>
          <w:sz w:val="24"/>
          <w:u w:val="single"/>
          <w:lang w:eastAsia="zh-CN"/>
        </w:rPr>
        <w:t>并承担医共体内部检测标本的物流运送</w:t>
      </w:r>
      <w:r>
        <w:rPr>
          <w:rFonts w:hint="eastAsia" w:ascii="新宋体" w:hAnsi="新宋体" w:eastAsia="新宋体" w:cs="新宋体"/>
          <w:sz w:val="24"/>
          <w:u w:val="single"/>
        </w:rPr>
        <w:t>。</w:t>
      </w:r>
    </w:p>
    <w:p>
      <w:pPr>
        <w:pStyle w:val="10"/>
        <w:spacing w:line="360" w:lineRule="auto"/>
        <w:ind w:left="0" w:leftChars="0" w:firstLine="480" w:firstLineChars="200"/>
        <w:rPr>
          <w:rFonts w:hint="eastAsia" w:ascii="新宋体" w:hAnsi="新宋体" w:eastAsia="新宋体" w:cs="新宋体"/>
          <w:sz w:val="24"/>
        </w:rPr>
      </w:pPr>
      <w:r>
        <w:rPr>
          <w:rFonts w:hint="eastAsia" w:ascii="新宋体" w:hAnsi="新宋体" w:eastAsia="新宋体" w:cs="新宋体"/>
          <w:sz w:val="24"/>
        </w:rPr>
        <w:t>3.样本的检验：服务单位出具检验报告</w:t>
      </w:r>
      <w:r>
        <w:rPr>
          <w:rFonts w:hint="eastAsia" w:ascii="新宋体" w:hAnsi="新宋体" w:eastAsia="新宋体" w:cs="新宋体"/>
          <w:sz w:val="24"/>
          <w:lang w:eastAsia="zh-CN"/>
        </w:rPr>
        <w:t>时间须遵守</w:t>
      </w:r>
      <w:r>
        <w:rPr>
          <w:rFonts w:hint="eastAsia" w:ascii="新宋体" w:hAnsi="新宋体" w:eastAsia="新宋体" w:cs="新宋体"/>
          <w:sz w:val="24"/>
        </w:rPr>
        <w:t>投标文件中列明</w:t>
      </w:r>
      <w:r>
        <w:rPr>
          <w:rFonts w:hint="eastAsia" w:ascii="新宋体" w:hAnsi="新宋体" w:eastAsia="新宋体" w:cs="新宋体"/>
          <w:sz w:val="24"/>
          <w:lang w:eastAsia="zh-CN"/>
        </w:rPr>
        <w:t>的</w:t>
      </w:r>
      <w:r>
        <w:rPr>
          <w:rFonts w:hint="eastAsia" w:ascii="新宋体" w:hAnsi="新宋体" w:eastAsia="新宋体" w:cs="新宋体"/>
          <w:color w:val="FF0000"/>
          <w:sz w:val="24"/>
        </w:rPr>
        <w:t>各项目提交检验报告的时间</w:t>
      </w:r>
      <w:r>
        <w:rPr>
          <w:rFonts w:hint="eastAsia" w:ascii="新宋体" w:hAnsi="新宋体" w:eastAsia="新宋体" w:cs="新宋体"/>
          <w:sz w:val="24"/>
        </w:rPr>
        <w:t>；检验结果与医院的LIS系统相连，直接发送至医院</w:t>
      </w:r>
      <w:r>
        <w:rPr>
          <w:rFonts w:hint="eastAsia" w:ascii="新宋体" w:hAnsi="新宋体" w:eastAsia="新宋体" w:cs="新宋体"/>
          <w:sz w:val="24"/>
          <w:lang w:eastAsia="zh-CN"/>
        </w:rPr>
        <w:t>并承担所产生的费用</w:t>
      </w:r>
      <w:r>
        <w:rPr>
          <w:rFonts w:hint="eastAsia" w:ascii="新宋体" w:hAnsi="新宋体" w:eastAsia="新宋体" w:cs="新宋体"/>
          <w:sz w:val="24"/>
        </w:rPr>
        <w:t>，</w:t>
      </w:r>
      <w:r>
        <w:rPr>
          <w:rFonts w:hint="eastAsia" w:ascii="新宋体" w:hAnsi="新宋体" w:eastAsia="新宋体" w:cs="新宋体"/>
          <w:sz w:val="24"/>
          <w:lang w:eastAsia="zh-CN"/>
        </w:rPr>
        <w:t>包含</w:t>
      </w:r>
      <w:r>
        <w:rPr>
          <w:rFonts w:hint="eastAsia" w:ascii="新宋体" w:hAnsi="新宋体" w:eastAsia="新宋体" w:cs="新宋体"/>
          <w:sz w:val="24"/>
          <w:lang w:val="en-US" w:eastAsia="zh-CN"/>
        </w:rPr>
        <w:t>打印设备及相应耗材，</w:t>
      </w:r>
      <w:r>
        <w:rPr>
          <w:rFonts w:hint="eastAsia" w:ascii="新宋体" w:hAnsi="新宋体" w:eastAsia="新宋体" w:cs="新宋体"/>
          <w:sz w:val="24"/>
        </w:rPr>
        <w:t>实现病人的自助打印</w:t>
      </w:r>
      <w:r>
        <w:rPr>
          <w:rFonts w:hint="eastAsia" w:ascii="新宋体" w:hAnsi="新宋体" w:eastAsia="新宋体" w:cs="新宋体"/>
          <w:sz w:val="24"/>
          <w:lang w:val="en-US" w:eastAsia="zh-CN"/>
        </w:rPr>
        <w:t>,</w:t>
      </w:r>
      <w:r>
        <w:rPr>
          <w:rFonts w:hint="eastAsia" w:ascii="新宋体" w:hAnsi="新宋体" w:eastAsia="新宋体" w:cs="新宋体"/>
          <w:sz w:val="24"/>
        </w:rPr>
        <w:t>。</w:t>
      </w:r>
    </w:p>
    <w:p>
      <w:pPr>
        <w:pStyle w:val="10"/>
        <w:spacing w:line="360" w:lineRule="auto"/>
        <w:ind w:left="0" w:leftChars="0" w:firstLine="480" w:firstLineChars="200"/>
        <w:rPr>
          <w:rFonts w:hint="eastAsia" w:ascii="新宋体" w:hAnsi="新宋体" w:eastAsia="新宋体" w:cs="新宋体"/>
          <w:sz w:val="24"/>
        </w:rPr>
      </w:pPr>
      <w:r>
        <w:rPr>
          <w:rFonts w:hint="eastAsia" w:ascii="新宋体" w:hAnsi="新宋体" w:eastAsia="新宋体" w:cs="新宋体"/>
          <w:sz w:val="24"/>
        </w:rPr>
        <w:t>4</w:t>
      </w:r>
      <w:r>
        <w:rPr>
          <w:rFonts w:hint="eastAsia" w:ascii="新宋体" w:hAnsi="新宋体" w:eastAsia="新宋体" w:cs="新宋体"/>
          <w:sz w:val="24"/>
          <w:lang w:eastAsia="zh-CN"/>
        </w:rPr>
        <w:t>.</w:t>
      </w:r>
      <w:r>
        <w:rPr>
          <w:rFonts w:hint="eastAsia" w:ascii="新宋体" w:hAnsi="新宋体" w:eastAsia="新宋体" w:cs="新宋体"/>
          <w:sz w:val="24"/>
        </w:rPr>
        <w:t>提供开展全部检验项目目录</w:t>
      </w:r>
      <w:r>
        <w:rPr>
          <w:rFonts w:hint="eastAsia" w:ascii="新宋体" w:hAnsi="新宋体" w:eastAsia="新宋体" w:cs="新宋体"/>
          <w:sz w:val="24"/>
          <w:lang w:eastAsia="zh-CN"/>
        </w:rPr>
        <w:t>，并</w:t>
      </w:r>
      <w:r>
        <w:rPr>
          <w:rFonts w:hint="eastAsia" w:ascii="新宋体" w:hAnsi="新宋体" w:eastAsia="新宋体" w:cs="新宋体"/>
          <w:sz w:val="24"/>
        </w:rPr>
        <w:t>明确检验方法</w:t>
      </w:r>
      <w:r>
        <w:rPr>
          <w:rFonts w:hint="eastAsia" w:ascii="新宋体" w:hAnsi="新宋体" w:eastAsia="新宋体" w:cs="新宋体"/>
          <w:sz w:val="24"/>
          <w:lang w:eastAsia="zh-CN"/>
        </w:rPr>
        <w:t>、</w:t>
      </w:r>
      <w:r>
        <w:rPr>
          <w:rFonts w:hint="eastAsia" w:ascii="新宋体" w:hAnsi="新宋体" w:eastAsia="新宋体" w:cs="新宋体"/>
          <w:sz w:val="24"/>
        </w:rPr>
        <w:t>试剂</w:t>
      </w:r>
      <w:r>
        <w:rPr>
          <w:rFonts w:hint="eastAsia" w:ascii="新宋体" w:hAnsi="新宋体" w:eastAsia="新宋体" w:cs="新宋体"/>
          <w:sz w:val="24"/>
          <w:lang w:eastAsia="zh-CN"/>
        </w:rPr>
        <w:t>、仪器等</w:t>
      </w:r>
      <w:r>
        <w:rPr>
          <w:rFonts w:hint="eastAsia" w:ascii="新宋体" w:hAnsi="新宋体" w:eastAsia="新宋体" w:cs="新宋体"/>
          <w:sz w:val="24"/>
        </w:rPr>
        <w:t>。</w:t>
      </w:r>
    </w:p>
    <w:p>
      <w:pPr>
        <w:autoSpaceDE w:val="0"/>
        <w:autoSpaceDN w:val="0"/>
        <w:adjustRightInd w:val="0"/>
        <w:snapToGrid w:val="0"/>
        <w:spacing w:line="360" w:lineRule="auto"/>
        <w:ind w:right="-178" w:rightChars="-85" w:firstLine="464" w:firstLineChars="200"/>
        <w:textAlignment w:val="bottom"/>
        <w:rPr>
          <w:rFonts w:ascii="新宋体" w:hAnsi="新宋体" w:eastAsia="新宋体" w:cs="新宋体"/>
          <w:spacing w:val="-4"/>
          <w:sz w:val="24"/>
          <w:szCs w:val="20"/>
        </w:rPr>
      </w:pPr>
      <w:r>
        <w:rPr>
          <w:rFonts w:hint="eastAsia" w:ascii="新宋体" w:hAnsi="新宋体" w:eastAsia="新宋体" w:cs="新宋体"/>
          <w:spacing w:val="-4"/>
          <w:sz w:val="24"/>
          <w:szCs w:val="20"/>
        </w:rPr>
        <w:t>5.明确标本采集，存储，运送，接收，检测流程，明确出报告时间及报告单发送方式；按照国家及行业标准对标本进行保存。</w:t>
      </w:r>
    </w:p>
    <w:p>
      <w:pPr>
        <w:autoSpaceDE w:val="0"/>
        <w:autoSpaceDN w:val="0"/>
        <w:adjustRightInd w:val="0"/>
        <w:snapToGrid w:val="0"/>
        <w:spacing w:line="360" w:lineRule="auto"/>
        <w:ind w:right="-178" w:rightChars="-85" w:firstLine="464" w:firstLineChars="200"/>
        <w:textAlignment w:val="bottom"/>
        <w:rPr>
          <w:rFonts w:hint="eastAsia" w:ascii="新宋体" w:hAnsi="新宋体" w:eastAsia="新宋体" w:cs="新宋体"/>
          <w:spacing w:val="-4"/>
          <w:sz w:val="24"/>
          <w:szCs w:val="20"/>
          <w:lang w:eastAsia="zh-CN"/>
        </w:rPr>
      </w:pPr>
      <w:r>
        <w:rPr>
          <w:rFonts w:hint="eastAsia" w:ascii="新宋体" w:hAnsi="新宋体" w:eastAsia="新宋体" w:cs="新宋体"/>
          <w:spacing w:val="-4"/>
          <w:sz w:val="24"/>
          <w:szCs w:val="20"/>
        </w:rPr>
        <w:t>6</w:t>
      </w:r>
      <w:r>
        <w:rPr>
          <w:rFonts w:hint="eastAsia" w:ascii="新宋体" w:hAnsi="新宋体" w:eastAsia="新宋体" w:cs="新宋体"/>
          <w:spacing w:val="-4"/>
          <w:sz w:val="24"/>
          <w:szCs w:val="20"/>
          <w:lang w:eastAsia="zh-CN"/>
        </w:rPr>
        <w:t>.根据院方要求提供室间质评证书、仪器校准报告及特殊项目资格证书等资料。</w:t>
      </w:r>
    </w:p>
    <w:p>
      <w:pPr>
        <w:autoSpaceDE w:val="0"/>
        <w:autoSpaceDN w:val="0"/>
        <w:adjustRightInd w:val="0"/>
        <w:snapToGrid w:val="0"/>
        <w:spacing w:line="360" w:lineRule="auto"/>
        <w:ind w:right="-178" w:rightChars="-85" w:firstLine="464" w:firstLineChars="200"/>
        <w:textAlignment w:val="bottom"/>
        <w:rPr>
          <w:rFonts w:hint="eastAsia" w:ascii="新宋体" w:hAnsi="新宋体" w:eastAsia="新宋体" w:cs="新宋体"/>
          <w:spacing w:val="-4"/>
          <w:sz w:val="24"/>
          <w:szCs w:val="20"/>
        </w:rPr>
      </w:pPr>
      <w:r>
        <w:rPr>
          <w:rFonts w:hint="eastAsia" w:ascii="新宋体" w:hAnsi="新宋体" w:eastAsia="新宋体" w:cs="新宋体"/>
          <w:spacing w:val="-4"/>
          <w:sz w:val="24"/>
          <w:szCs w:val="20"/>
          <w:lang w:val="en-US" w:eastAsia="zh-CN"/>
        </w:rPr>
        <w:t>7.</w:t>
      </w:r>
      <w:r>
        <w:rPr>
          <w:rFonts w:hint="eastAsia" w:ascii="新宋体" w:hAnsi="新宋体" w:eastAsia="新宋体" w:cs="新宋体"/>
          <w:spacing w:val="-4"/>
          <w:sz w:val="24"/>
          <w:szCs w:val="20"/>
        </w:rPr>
        <w:t>投标人在投标文件中提供服务方案，就以上及其他事项作出详细说明。</w:t>
      </w:r>
    </w:p>
    <w:p>
      <w:pPr>
        <w:autoSpaceDE w:val="0"/>
        <w:autoSpaceDN w:val="0"/>
        <w:adjustRightInd w:val="0"/>
        <w:spacing w:line="360" w:lineRule="auto"/>
        <w:ind w:firstLine="472" w:firstLineChars="196"/>
        <w:jc w:val="left"/>
        <w:rPr>
          <w:rFonts w:hint="eastAsia"/>
        </w:rPr>
      </w:pPr>
      <w:r>
        <w:rPr>
          <w:rFonts w:hint="eastAsia" w:ascii="新宋体" w:hAnsi="新宋体" w:eastAsia="新宋体"/>
          <w:b/>
          <w:bCs/>
          <w:sz w:val="24"/>
        </w:rPr>
        <w:t>四、服务期限</w:t>
      </w:r>
    </w:p>
    <w:p>
      <w:pPr>
        <w:pStyle w:val="2"/>
        <w:spacing w:line="360" w:lineRule="auto"/>
        <w:ind w:firstLine="480" w:firstLineChars="200"/>
        <w:rPr>
          <w:rFonts w:hint="eastAsia" w:hAnsi="宋体"/>
          <w:b w:val="0"/>
          <w:bCs/>
          <w:color w:val="000000"/>
          <w:sz w:val="24"/>
        </w:rPr>
      </w:pPr>
      <w:bookmarkStart w:id="432" w:name="_Toc9203"/>
      <w:bookmarkStart w:id="433" w:name="_Toc23405"/>
      <w:bookmarkStart w:id="434" w:name="_Toc24592"/>
      <w:r>
        <w:rPr>
          <w:rFonts w:hint="eastAsia" w:hAnsi="宋体"/>
          <w:b w:val="0"/>
          <w:bCs/>
          <w:color w:val="000000"/>
          <w:sz w:val="24"/>
        </w:rPr>
        <w:t>本标合同期暂定贰年。中标人价格、服务均能满足投标人要求的，经医院同意后可续签合同</w:t>
      </w:r>
      <w:r>
        <w:rPr>
          <w:rFonts w:hint="eastAsia" w:hAnsi="宋体"/>
          <w:b w:val="0"/>
          <w:bCs/>
          <w:color w:val="000000"/>
          <w:sz w:val="24"/>
          <w:lang w:eastAsia="zh-CN"/>
        </w:rPr>
        <w:t>壹</w:t>
      </w:r>
      <w:r>
        <w:rPr>
          <w:rFonts w:hint="eastAsia" w:hAnsi="宋体"/>
          <w:b w:val="0"/>
          <w:bCs/>
          <w:color w:val="000000"/>
          <w:sz w:val="24"/>
        </w:rPr>
        <w:t>年。如遇到上级政策变化等情况，合同自动终止。</w:t>
      </w:r>
      <w:bookmarkEnd w:id="432"/>
      <w:bookmarkEnd w:id="433"/>
      <w:bookmarkEnd w:id="434"/>
    </w:p>
    <w:p>
      <w:pPr>
        <w:pStyle w:val="3"/>
        <w:ind w:firstLine="0"/>
      </w:pPr>
    </w:p>
    <w:p>
      <w:pPr>
        <w:pStyle w:val="2"/>
        <w:numPr>
          <w:ilvl w:val="0"/>
          <w:numId w:val="0"/>
        </w:numPr>
        <w:spacing w:line="360" w:lineRule="auto"/>
        <w:ind w:leftChars="0"/>
        <w:jc w:val="center"/>
        <w:rPr>
          <w:rFonts w:hint="eastAsia"/>
          <w:kern w:val="0"/>
        </w:rPr>
      </w:pPr>
      <w:bookmarkStart w:id="435" w:name="_Toc170"/>
      <w:bookmarkStart w:id="436" w:name="_Toc21204"/>
      <w:bookmarkStart w:id="437" w:name="_Toc20292"/>
      <w:r>
        <w:rPr>
          <w:rFonts w:hint="eastAsia"/>
          <w:kern w:val="0"/>
          <w:lang w:eastAsia="zh-CN"/>
        </w:rPr>
        <w:t>第二章</w:t>
      </w:r>
      <w:r>
        <w:rPr>
          <w:rFonts w:hint="eastAsia"/>
          <w:kern w:val="0"/>
          <w:lang w:val="en-US" w:eastAsia="zh-CN"/>
        </w:rPr>
        <w:t xml:space="preserve"> </w:t>
      </w:r>
      <w:r>
        <w:rPr>
          <w:rFonts w:hint="eastAsia"/>
          <w:kern w:val="0"/>
        </w:rPr>
        <w:t>付款方式及要求</w:t>
      </w:r>
      <w:bookmarkEnd w:id="435"/>
      <w:bookmarkEnd w:id="436"/>
      <w:bookmarkEnd w:id="437"/>
    </w:p>
    <w:p>
      <w:pPr>
        <w:pStyle w:val="3"/>
        <w:keepNext w:val="0"/>
        <w:keepLines w:val="0"/>
        <w:pageBreakBefore w:val="0"/>
        <w:widowControl w:val="0"/>
        <w:numPr>
          <w:ilvl w:val="0"/>
          <w:numId w:val="39"/>
        </w:numPr>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业务量的结算</w:t>
      </w:r>
      <w:r>
        <w:rPr>
          <w:rFonts w:hint="eastAsia" w:ascii="宋体" w:hAnsi="宋体"/>
          <w:sz w:val="24"/>
          <w:szCs w:val="24"/>
          <w:lang w:eastAsia="zh-CN"/>
        </w:rPr>
        <w:t>：</w:t>
      </w:r>
      <w:r>
        <w:rPr>
          <w:rFonts w:hint="eastAsia" w:ascii="宋体" w:hAnsi="宋体"/>
          <w:sz w:val="24"/>
          <w:szCs w:val="24"/>
        </w:rPr>
        <w:t>以乙方LIMS系统项目检测清单或外送样本登记的签收记录为准。</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sz w:val="24"/>
          <w:szCs w:val="24"/>
        </w:rPr>
      </w:pPr>
      <w:r>
        <w:rPr>
          <w:rFonts w:hint="eastAsia" w:ascii="宋体" w:hAnsi="宋体"/>
          <w:sz w:val="24"/>
          <w:szCs w:val="24"/>
        </w:rPr>
        <w:t>结算时间：乙方每月就上月26日至本月25日的检测费用与甲方进行月度结算。</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sz w:val="24"/>
          <w:szCs w:val="24"/>
        </w:rPr>
      </w:pPr>
      <w:r>
        <w:rPr>
          <w:rFonts w:hint="eastAsia" w:ascii="宋体" w:hAnsi="宋体"/>
          <w:sz w:val="24"/>
          <w:szCs w:val="24"/>
          <w:lang w:eastAsia="zh-CN"/>
        </w:rPr>
        <w:t>招标方按省或市物价部门</w:t>
      </w:r>
      <w:r>
        <w:rPr>
          <w:rFonts w:hint="eastAsia" w:ascii="宋体" w:hAnsi="宋体"/>
          <w:sz w:val="24"/>
          <w:szCs w:val="24"/>
        </w:rPr>
        <w:t>收费标准的</w:t>
      </w:r>
      <w:r>
        <w:rPr>
          <w:rFonts w:hint="eastAsia" w:ascii="宋体" w:hAnsi="宋体"/>
          <w:sz w:val="24"/>
          <w:szCs w:val="24"/>
          <w:u w:val="single"/>
        </w:rPr>
        <w:t xml:space="preserve">  </w:t>
      </w:r>
      <w:r>
        <w:rPr>
          <w:rFonts w:hint="eastAsia" w:ascii="宋体" w:hAnsi="宋体"/>
          <w:sz w:val="24"/>
          <w:szCs w:val="24"/>
          <w:u w:val="single"/>
          <w:lang w:eastAsia="zh-CN"/>
        </w:rPr>
        <w:t>投标折扣</w:t>
      </w:r>
      <w:r>
        <w:rPr>
          <w:rFonts w:hint="eastAsia" w:ascii="宋体" w:hAnsi="宋体"/>
          <w:b/>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向乙方支付检测服务费。</w:t>
      </w:r>
    </w:p>
    <w:p>
      <w:pPr>
        <w:pStyle w:val="3"/>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sz w:val="24"/>
          <w:szCs w:val="24"/>
        </w:rPr>
      </w:pPr>
      <w:r>
        <w:rPr>
          <w:rFonts w:hint="eastAsia" w:ascii="宋体" w:hAnsi="宋体"/>
          <w:sz w:val="24"/>
          <w:szCs w:val="24"/>
        </w:rPr>
        <w:t>检测服务费的支付</w:t>
      </w:r>
      <w:r>
        <w:rPr>
          <w:rFonts w:hint="eastAsia" w:ascii="宋体" w:hAnsi="宋体"/>
          <w:sz w:val="24"/>
          <w:szCs w:val="24"/>
          <w:lang w:eastAsia="zh-CN"/>
        </w:rPr>
        <w:t>时间</w:t>
      </w:r>
      <w:r>
        <w:rPr>
          <w:rFonts w:hint="eastAsia" w:ascii="宋体" w:hAnsi="宋体"/>
          <w:sz w:val="24"/>
          <w:szCs w:val="24"/>
        </w:rPr>
        <w:t>：</w:t>
      </w:r>
      <w:r>
        <w:rPr>
          <w:rFonts w:hint="eastAsia" w:ascii="宋体" w:hAnsi="宋体"/>
          <w:sz w:val="24"/>
          <w:szCs w:val="24"/>
          <w:lang w:eastAsia="zh-CN"/>
        </w:rPr>
        <w:t>招标方</w:t>
      </w:r>
      <w:r>
        <w:rPr>
          <w:rFonts w:hint="eastAsia" w:ascii="宋体" w:hAnsi="宋体"/>
          <w:sz w:val="24"/>
          <w:szCs w:val="24"/>
        </w:rPr>
        <w:t>应在每个月度结束后</w:t>
      </w:r>
      <w:r>
        <w:rPr>
          <w:rFonts w:hint="eastAsia" w:ascii="宋体" w:hAnsi="宋体"/>
          <w:sz w:val="24"/>
          <w:szCs w:val="24"/>
          <w:u w:val="single"/>
        </w:rPr>
        <w:t xml:space="preserve"> </w:t>
      </w:r>
      <w:r>
        <w:rPr>
          <w:rFonts w:hint="eastAsia" w:ascii="宋体" w:hAnsi="宋体"/>
          <w:sz w:val="24"/>
          <w:szCs w:val="24"/>
          <w:u w:val="single"/>
          <w:lang w:val="en-US" w:eastAsia="zh-CN"/>
        </w:rPr>
        <w:t>90</w:t>
      </w:r>
      <w:r>
        <w:rPr>
          <w:rFonts w:hint="eastAsia" w:ascii="宋体" w:hAnsi="宋体"/>
          <w:sz w:val="24"/>
          <w:szCs w:val="24"/>
          <w:u w:val="single"/>
        </w:rPr>
        <w:t xml:space="preserve">  </w:t>
      </w:r>
      <w:r>
        <w:rPr>
          <w:rFonts w:hint="eastAsia" w:ascii="宋体" w:hAnsi="宋体"/>
          <w:sz w:val="24"/>
          <w:szCs w:val="24"/>
        </w:rPr>
        <w:t>日内以银行转账方式将乙方开具发票金额汇入乙方指定账户</w:t>
      </w:r>
      <w:r>
        <w:rPr>
          <w:rFonts w:hint="eastAsia" w:ascii="宋体" w:hAnsi="宋体"/>
          <w:sz w:val="24"/>
          <w:szCs w:val="24"/>
          <w:lang w:eastAsia="zh-CN"/>
        </w:rPr>
        <w:t>。</w:t>
      </w:r>
    </w:p>
    <w:p>
      <w:pPr>
        <w:pStyle w:val="3"/>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20" w:firstLineChars="0"/>
        <w:textAlignment w:val="auto"/>
        <w:rPr>
          <w:rFonts w:hint="default" w:ascii="宋体" w:hAnsi="宋体"/>
          <w:sz w:val="24"/>
          <w:szCs w:val="24"/>
          <w:lang w:val="en-US" w:eastAsia="zh-CN"/>
        </w:rPr>
      </w:pPr>
      <w:r>
        <w:rPr>
          <w:rFonts w:hint="eastAsia" w:ascii="宋体" w:hAnsi="宋体"/>
          <w:sz w:val="24"/>
          <w:szCs w:val="24"/>
          <w:lang w:val="en-US" w:eastAsia="zh-CN"/>
        </w:rPr>
        <w:t>省、市</w:t>
      </w:r>
      <w:r>
        <w:rPr>
          <w:rFonts w:hint="eastAsia" w:ascii="宋体" w:hAnsi="宋体"/>
          <w:sz w:val="24"/>
          <w:szCs w:val="24"/>
        </w:rPr>
        <w:t>物价部门规定的收费标准发生变动时，</w:t>
      </w:r>
      <w:r>
        <w:rPr>
          <w:rFonts w:hint="eastAsia" w:ascii="宋体" w:hAnsi="宋体"/>
          <w:sz w:val="24"/>
          <w:szCs w:val="24"/>
          <w:lang w:eastAsia="zh-CN"/>
        </w:rPr>
        <w:t>招标方</w:t>
      </w:r>
      <w:r>
        <w:rPr>
          <w:rFonts w:hint="eastAsia" w:ascii="宋体" w:hAnsi="宋体"/>
          <w:sz w:val="24"/>
          <w:szCs w:val="24"/>
        </w:rPr>
        <w:t>应按物价部门的规定及时调整到位</w:t>
      </w:r>
      <w:r>
        <w:rPr>
          <w:rFonts w:hint="eastAsia" w:ascii="宋体" w:hAnsi="宋体"/>
          <w:sz w:val="24"/>
          <w:szCs w:val="24"/>
          <w:lang w:eastAsia="zh-CN"/>
        </w:rPr>
        <w:t>。</w:t>
      </w:r>
    </w:p>
    <w:bookmarkEnd w:id="430"/>
    <w:bookmarkEnd w:id="431"/>
    <w:p>
      <w:pPr>
        <w:keepNext w:val="0"/>
        <w:keepLines w:val="0"/>
        <w:pageBreakBefore w:val="0"/>
        <w:widowControl w:val="0"/>
        <w:numPr>
          <w:ilvl w:val="0"/>
          <w:numId w:val="40"/>
        </w:numPr>
        <w:tabs>
          <w:tab w:val="left" w:pos="709"/>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sz w:val="24"/>
          <w:szCs w:val="24"/>
          <w:lang w:val="en-US" w:eastAsia="zh-CN"/>
        </w:rPr>
        <w:t>若发票主体与签合同时主体不符合，未向甲方说明，甲方有权停止支付。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p>
    <w:p>
      <w:pPr>
        <w:autoSpaceDE w:val="0"/>
        <w:autoSpaceDN w:val="0"/>
        <w:adjustRightInd w:val="0"/>
        <w:spacing w:line="360" w:lineRule="auto"/>
        <w:ind w:firstLine="472" w:firstLineChars="196"/>
        <w:jc w:val="left"/>
        <w:rPr>
          <w:rFonts w:hint="eastAsia" w:ascii="宋体" w:hAnsi="宋体"/>
          <w:b/>
          <w:bCs/>
          <w:sz w:val="24"/>
        </w:rPr>
      </w:pPr>
    </w:p>
    <w:p>
      <w:pPr>
        <w:autoSpaceDE w:val="0"/>
        <w:autoSpaceDN w:val="0"/>
        <w:adjustRightInd w:val="0"/>
        <w:spacing w:line="360" w:lineRule="auto"/>
        <w:ind w:firstLine="472" w:firstLineChars="196"/>
        <w:jc w:val="left"/>
        <w:rPr>
          <w:rFonts w:ascii="宋体" w:hAnsi="宋体"/>
          <w:b/>
          <w:bCs/>
          <w:sz w:val="24"/>
        </w:rPr>
      </w:pPr>
    </w:p>
    <w:bookmarkEnd w:id="427"/>
    <w:p>
      <w:pPr>
        <w:numPr>
          <w:ilvl w:val="0"/>
          <w:numId w:val="41"/>
        </w:numPr>
        <w:spacing w:line="360" w:lineRule="auto"/>
        <w:ind w:firstLine="1807" w:firstLineChars="500"/>
        <w:jc w:val="center"/>
        <w:outlineLvl w:val="0"/>
        <w:rPr>
          <w:rFonts w:hint="eastAsia" w:ascii="宋体" w:hAnsi="宋体" w:eastAsia="宋体" w:cs="宋体"/>
          <w:b/>
          <w:sz w:val="36"/>
          <w:szCs w:val="36"/>
        </w:rPr>
      </w:pPr>
      <w:bookmarkStart w:id="438" w:name="_Toc32460"/>
      <w:r>
        <w:rPr>
          <w:rFonts w:hint="eastAsia" w:ascii="宋体" w:hAnsi="宋体" w:eastAsia="宋体" w:cs="宋体"/>
          <w:b/>
          <w:sz w:val="36"/>
          <w:szCs w:val="36"/>
        </w:rPr>
        <w:t>采购合同</w:t>
      </w:r>
      <w:bookmarkEnd w:id="438"/>
    </w:p>
    <w:p>
      <w:pPr>
        <w:pStyle w:val="2"/>
        <w:numPr>
          <w:ilvl w:val="0"/>
          <w:numId w:val="0"/>
        </w:numPr>
        <w:rPr>
          <w:rFonts w:hint="eastAsia"/>
        </w:rPr>
      </w:pP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甲方：                                    (以下简称甲方)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地址： </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乙方：                                     (以下简称乙方)</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地址： </w:t>
      </w:r>
    </w:p>
    <w:p>
      <w:pPr>
        <w:spacing w:line="360" w:lineRule="auto"/>
        <w:ind w:left="1"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根据《中华人民共和国合同法》和相关法律、法规的规定，甲乙双方本着平等互利、诚信自愿的原则，就甲方委托乙方对其临床检验样本检测事宜，达成如下协议：</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w:t>
      </w:r>
      <w:r>
        <w:rPr>
          <w:rFonts w:hint="eastAsia" w:ascii="宋体" w:hAnsi="宋体" w:eastAsia="宋体" w:cs="宋体"/>
          <w:b/>
          <w:sz w:val="24"/>
          <w:szCs w:val="24"/>
        </w:rPr>
        <w:t>检测项目</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 检测项目：</w:t>
      </w:r>
      <w:r>
        <w:rPr>
          <w:rFonts w:hint="eastAsia" w:ascii="宋体" w:hAnsi="宋体" w:eastAsia="宋体" w:cs="宋体"/>
          <w:bCs/>
          <w:sz w:val="24"/>
        </w:rPr>
        <w:t>外送的检验检测项目包括但不限于</w:t>
      </w:r>
      <w:r>
        <w:rPr>
          <w:rFonts w:hint="eastAsia" w:ascii="宋体" w:hAnsi="宋体" w:eastAsia="宋体" w:cs="宋体"/>
          <w:color w:val="000000"/>
          <w:sz w:val="24"/>
          <w:szCs w:val="24"/>
        </w:rPr>
        <w:t>乙方</w:t>
      </w:r>
      <w:r>
        <w:rPr>
          <w:rFonts w:hint="eastAsia" w:ascii="宋体" w:hAnsi="宋体" w:eastAsia="宋体" w:cs="宋体"/>
          <w:color w:val="000000"/>
          <w:sz w:val="24"/>
          <w:szCs w:val="24"/>
          <w:lang w:eastAsia="zh-CN"/>
        </w:rPr>
        <w:t>提供</w:t>
      </w:r>
      <w:r>
        <w:rPr>
          <w:rFonts w:hint="eastAsia" w:ascii="宋体" w:hAnsi="宋体" w:eastAsia="宋体" w:cs="宋体"/>
          <w:color w:val="000000"/>
          <w:sz w:val="24"/>
          <w:szCs w:val="24"/>
        </w:rPr>
        <w:t>最新的《检测目录》及公开公示的项目</w:t>
      </w:r>
      <w:r>
        <w:rPr>
          <w:rFonts w:hint="eastAsia" w:ascii="宋体" w:hAnsi="宋体" w:eastAsia="宋体" w:cs="宋体"/>
          <w:color w:val="000000"/>
          <w:sz w:val="24"/>
          <w:szCs w:val="24"/>
          <w:lang w:eastAsia="zh-CN"/>
        </w:rPr>
        <w:t>内容</w:t>
      </w:r>
      <w:r>
        <w:rPr>
          <w:rFonts w:hint="eastAsia" w:ascii="宋体" w:hAnsi="宋体" w:eastAsia="宋体" w:cs="宋体"/>
          <w:color w:val="000000"/>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1.2 乙方所设检测项目随业务范围扩大不断更新，</w:t>
      </w:r>
      <w:r>
        <w:rPr>
          <w:rFonts w:hint="eastAsia" w:ascii="宋体" w:hAnsi="宋体" w:eastAsia="宋体" w:cs="宋体"/>
          <w:sz w:val="24"/>
        </w:rPr>
        <w:t>检测项目发生变更时由乙方及时通知甲方。</w:t>
      </w:r>
      <w:r>
        <w:rPr>
          <w:rFonts w:hint="eastAsia" w:ascii="宋体" w:hAnsi="宋体" w:eastAsia="宋体" w:cs="宋体"/>
          <w:sz w:val="24"/>
          <w:szCs w:val="24"/>
        </w:rPr>
        <w:t xml:space="preserve"> </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val="en-US" w:eastAsia="zh-CN"/>
        </w:rPr>
        <w:t>.</w:t>
      </w:r>
      <w:r>
        <w:rPr>
          <w:rFonts w:hint="eastAsia" w:ascii="宋体" w:hAnsi="宋体" w:eastAsia="宋体" w:cs="宋体"/>
          <w:b/>
          <w:sz w:val="24"/>
          <w:szCs w:val="24"/>
        </w:rPr>
        <w:t>检测样本</w:t>
      </w:r>
    </w:p>
    <w:p>
      <w:pPr>
        <w:spacing w:line="360" w:lineRule="auto"/>
        <w:rPr>
          <w:rFonts w:hint="eastAsia" w:ascii="宋体" w:hAnsi="宋体" w:eastAsia="宋体" w:cs="宋体"/>
          <w:sz w:val="24"/>
          <w:szCs w:val="24"/>
        </w:rPr>
      </w:pPr>
      <w:r>
        <w:rPr>
          <w:rFonts w:hint="eastAsia" w:ascii="宋体" w:hAnsi="宋体" w:eastAsia="宋体" w:cs="宋体"/>
          <w:sz w:val="24"/>
          <w:szCs w:val="24"/>
        </w:rPr>
        <w:t>2.1 样本的收集：</w:t>
      </w:r>
    </w:p>
    <w:p>
      <w:pPr>
        <w:spacing w:line="360" w:lineRule="auto"/>
        <w:ind w:left="525" w:hanging="600" w:hangingChars="250"/>
        <w:rPr>
          <w:rFonts w:hint="eastAsia" w:ascii="宋体" w:hAnsi="宋体" w:eastAsia="宋体" w:cs="宋体"/>
          <w:sz w:val="24"/>
          <w:szCs w:val="24"/>
        </w:rPr>
      </w:pPr>
      <w:r>
        <w:rPr>
          <w:rFonts w:hint="eastAsia" w:ascii="宋体" w:hAnsi="宋体" w:eastAsia="宋体" w:cs="宋体"/>
          <w:sz w:val="24"/>
          <w:szCs w:val="24"/>
        </w:rPr>
        <w:t>2.1.1 甲方应按照乙方提供的《检测目录》中的《样本采集手册》</w:t>
      </w:r>
      <w:r>
        <w:rPr>
          <w:rFonts w:hint="eastAsia" w:ascii="宋体" w:hAnsi="宋体" w:eastAsia="宋体" w:cs="宋体"/>
          <w:color w:val="000000"/>
          <w:sz w:val="24"/>
          <w:szCs w:val="24"/>
        </w:rPr>
        <w:t>采</w:t>
      </w:r>
      <w:r>
        <w:rPr>
          <w:rFonts w:hint="eastAsia" w:ascii="宋体" w:hAnsi="宋体" w:eastAsia="宋体" w:cs="宋体"/>
          <w:sz w:val="24"/>
          <w:szCs w:val="24"/>
        </w:rPr>
        <w:t>集样本，并</w:t>
      </w:r>
    </w:p>
    <w:p>
      <w:pPr>
        <w:spacing w:line="360" w:lineRule="auto"/>
        <w:ind w:left="525" w:hanging="600" w:hangingChars="250"/>
        <w:rPr>
          <w:rFonts w:hint="eastAsia" w:ascii="宋体" w:hAnsi="宋体" w:eastAsia="宋体" w:cs="宋体"/>
          <w:sz w:val="24"/>
          <w:szCs w:val="24"/>
        </w:rPr>
      </w:pPr>
      <w:r>
        <w:rPr>
          <w:rFonts w:hint="eastAsia" w:ascii="宋体" w:hAnsi="宋体" w:eastAsia="宋体" w:cs="宋体"/>
          <w:sz w:val="24"/>
          <w:szCs w:val="24"/>
        </w:rPr>
        <w:t>注明样本采集时间。</w:t>
      </w:r>
    </w:p>
    <w:p>
      <w:pPr>
        <w:spacing w:line="360" w:lineRule="auto"/>
        <w:ind w:left="540" w:hanging="616" w:hangingChars="257"/>
        <w:rPr>
          <w:rFonts w:hint="eastAsia" w:ascii="宋体" w:hAnsi="宋体" w:eastAsia="宋体" w:cs="宋体"/>
          <w:sz w:val="24"/>
          <w:szCs w:val="24"/>
        </w:rPr>
      </w:pPr>
      <w:r>
        <w:rPr>
          <w:rFonts w:hint="eastAsia" w:ascii="宋体" w:hAnsi="宋体" w:eastAsia="宋体" w:cs="宋体"/>
          <w:sz w:val="24"/>
          <w:szCs w:val="24"/>
        </w:rPr>
        <w:t>2.1.2 甲方应当在检测项目要求的规定时间内，按照规定的方式对其所采集的样</w:t>
      </w:r>
    </w:p>
    <w:p>
      <w:pPr>
        <w:spacing w:line="360" w:lineRule="auto"/>
        <w:ind w:left="540" w:hanging="616" w:hangingChars="257"/>
        <w:rPr>
          <w:rFonts w:hint="eastAsia" w:ascii="宋体" w:hAnsi="宋体" w:eastAsia="宋体" w:cs="宋体"/>
          <w:sz w:val="24"/>
          <w:szCs w:val="24"/>
        </w:rPr>
      </w:pPr>
      <w:r>
        <w:rPr>
          <w:rFonts w:hint="eastAsia" w:ascii="宋体" w:hAnsi="宋体" w:eastAsia="宋体" w:cs="宋体"/>
          <w:sz w:val="24"/>
          <w:szCs w:val="24"/>
        </w:rPr>
        <w:t>本进行前处理和存储。如因甲方采集或处理存储不当造成样本不符合检测要求</w:t>
      </w:r>
    </w:p>
    <w:p>
      <w:pPr>
        <w:spacing w:line="360" w:lineRule="auto"/>
        <w:ind w:left="540" w:hanging="616" w:hangingChars="257"/>
        <w:rPr>
          <w:rFonts w:hint="eastAsia" w:ascii="宋体" w:hAnsi="宋体" w:eastAsia="宋体" w:cs="宋体"/>
          <w:sz w:val="24"/>
          <w:szCs w:val="24"/>
        </w:rPr>
      </w:pPr>
      <w:r>
        <w:rPr>
          <w:rFonts w:hint="eastAsia" w:ascii="宋体" w:hAnsi="宋体" w:eastAsia="宋体" w:cs="宋体"/>
          <w:sz w:val="24"/>
          <w:szCs w:val="24"/>
        </w:rPr>
        <w:t>的，由甲方自行承担后果。</w:t>
      </w:r>
    </w:p>
    <w:p>
      <w:pPr>
        <w:spacing w:line="360" w:lineRule="auto"/>
        <w:ind w:left="540" w:hanging="616" w:hangingChars="257"/>
        <w:rPr>
          <w:rFonts w:hint="eastAsia" w:ascii="宋体" w:hAnsi="宋体" w:eastAsia="宋体" w:cs="宋体"/>
          <w:sz w:val="24"/>
          <w:szCs w:val="24"/>
        </w:rPr>
      </w:pPr>
      <w:r>
        <w:rPr>
          <w:rFonts w:hint="eastAsia" w:ascii="宋体" w:hAnsi="宋体" w:eastAsia="宋体" w:cs="宋体"/>
          <w:sz w:val="24"/>
          <w:szCs w:val="24"/>
        </w:rPr>
        <w:t>2.1.3甲方应确保向乙方提供完整准确的样本检测申请信息，包括患者基本信</w:t>
      </w:r>
    </w:p>
    <w:p>
      <w:pPr>
        <w:spacing w:line="360" w:lineRule="auto"/>
        <w:ind w:left="540" w:hanging="616" w:hangingChars="257"/>
        <w:rPr>
          <w:rFonts w:hint="eastAsia" w:ascii="宋体" w:hAnsi="宋体" w:eastAsia="宋体" w:cs="宋体"/>
          <w:sz w:val="24"/>
          <w:szCs w:val="24"/>
        </w:rPr>
      </w:pPr>
      <w:r>
        <w:rPr>
          <w:rFonts w:hint="eastAsia" w:ascii="宋体" w:hAnsi="宋体" w:eastAsia="宋体" w:cs="宋体"/>
          <w:sz w:val="24"/>
          <w:szCs w:val="24"/>
        </w:rPr>
        <w:t>息、标本类型、项目名称、采样时间等，便于乙方提供适宜的检验和结果解释。</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2.2 样本的交付：甲方应当将样本统一存放在双方约定的地点，并安排人员与乙</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方配送专员进行样本交接签收工作。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2.3 样本的保存期：</w:t>
      </w:r>
    </w:p>
    <w:p>
      <w:pPr>
        <w:spacing w:line="360" w:lineRule="auto"/>
        <w:ind w:left="567" w:hanging="648" w:hangingChars="270"/>
        <w:rPr>
          <w:rFonts w:hint="eastAsia" w:ascii="宋体" w:hAnsi="宋体" w:eastAsia="宋体" w:cs="宋体"/>
          <w:sz w:val="24"/>
          <w:szCs w:val="24"/>
        </w:rPr>
      </w:pPr>
      <w:r>
        <w:rPr>
          <w:rFonts w:hint="eastAsia" w:ascii="宋体" w:hAnsi="宋体" w:eastAsia="宋体" w:cs="宋体"/>
          <w:sz w:val="24"/>
          <w:szCs w:val="24"/>
        </w:rPr>
        <w:t>2.3.1乙方应当按照国家及行业标准对样本进行保存，检验类原始样本</w:t>
      </w:r>
      <w:r>
        <w:rPr>
          <w:rFonts w:hint="eastAsia" w:ascii="宋体" w:hAnsi="宋体" w:eastAsia="宋体" w:cs="宋体"/>
          <w:sz w:val="24"/>
          <w:szCs w:val="24"/>
          <w:lang w:eastAsia="zh-CN"/>
        </w:rPr>
        <w:t>原则上</w:t>
      </w:r>
      <w:r>
        <w:rPr>
          <w:rFonts w:hint="eastAsia" w:ascii="宋体" w:hAnsi="宋体" w:eastAsia="宋体" w:cs="宋体"/>
          <w:sz w:val="24"/>
          <w:szCs w:val="24"/>
        </w:rPr>
        <w:t>保</w:t>
      </w:r>
    </w:p>
    <w:p>
      <w:pPr>
        <w:spacing w:line="360" w:lineRule="auto"/>
        <w:ind w:left="567" w:hanging="648" w:hangingChars="270"/>
        <w:rPr>
          <w:rFonts w:hint="eastAsia" w:ascii="宋体" w:hAnsi="宋体" w:eastAsia="宋体" w:cs="宋体"/>
          <w:sz w:val="24"/>
          <w:szCs w:val="24"/>
        </w:rPr>
      </w:pPr>
      <w:r>
        <w:rPr>
          <w:rFonts w:hint="eastAsia" w:ascii="宋体" w:hAnsi="宋体" w:eastAsia="宋体" w:cs="宋体"/>
          <w:sz w:val="24"/>
          <w:szCs w:val="24"/>
        </w:rPr>
        <w:t>存7天</w:t>
      </w:r>
      <w:r>
        <w:rPr>
          <w:rFonts w:hint="eastAsia" w:ascii="宋体" w:hAnsi="宋体" w:eastAsia="宋体" w:cs="宋体"/>
          <w:sz w:val="24"/>
          <w:szCs w:val="24"/>
          <w:lang w:eastAsia="zh-CN"/>
        </w:rPr>
        <w:t>。</w:t>
      </w:r>
    </w:p>
    <w:p>
      <w:pPr>
        <w:spacing w:line="360" w:lineRule="auto"/>
        <w:ind w:left="630" w:hanging="720" w:hangingChars="300"/>
        <w:rPr>
          <w:rFonts w:hint="eastAsia" w:ascii="宋体" w:hAnsi="宋体" w:eastAsia="宋体" w:cs="宋体"/>
          <w:sz w:val="24"/>
          <w:szCs w:val="24"/>
        </w:rPr>
      </w:pPr>
      <w:r>
        <w:rPr>
          <w:rFonts w:hint="eastAsia" w:ascii="宋体" w:hAnsi="宋体" w:eastAsia="宋体" w:cs="宋体"/>
          <w:sz w:val="24"/>
          <w:szCs w:val="24"/>
        </w:rPr>
        <w:t>2.3.2由于样本本身特性不能达到此保存期限，或按照此期限进行样本保存无意</w:t>
      </w:r>
    </w:p>
    <w:p>
      <w:pPr>
        <w:spacing w:line="360" w:lineRule="auto"/>
        <w:ind w:left="630" w:hanging="720" w:hangingChars="300"/>
        <w:rPr>
          <w:rFonts w:hint="eastAsia" w:ascii="宋体" w:hAnsi="宋体" w:eastAsia="宋体" w:cs="宋体"/>
          <w:sz w:val="24"/>
          <w:szCs w:val="24"/>
        </w:rPr>
      </w:pPr>
      <w:r>
        <w:rPr>
          <w:rFonts w:hint="eastAsia" w:ascii="宋体" w:hAnsi="宋体" w:eastAsia="宋体" w:cs="宋体"/>
          <w:sz w:val="24"/>
          <w:szCs w:val="24"/>
        </w:rPr>
        <w:t>义时，不适用前款保存期限的规定。</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w:t>
      </w:r>
      <w:r>
        <w:rPr>
          <w:rFonts w:hint="eastAsia" w:ascii="宋体" w:hAnsi="宋体" w:eastAsia="宋体" w:cs="宋体"/>
          <w:b/>
          <w:sz w:val="24"/>
          <w:szCs w:val="24"/>
        </w:rPr>
        <w:t>检测报告</w:t>
      </w:r>
    </w:p>
    <w:p>
      <w:pPr>
        <w:spacing w:line="360" w:lineRule="auto"/>
        <w:rPr>
          <w:rFonts w:hint="eastAsia" w:ascii="宋体" w:hAnsi="宋体" w:eastAsia="宋体" w:cs="宋体"/>
          <w:sz w:val="24"/>
          <w:szCs w:val="24"/>
        </w:rPr>
      </w:pPr>
      <w:r>
        <w:rPr>
          <w:rFonts w:hint="eastAsia" w:ascii="宋体" w:hAnsi="宋体" w:eastAsia="宋体" w:cs="宋体"/>
          <w:sz w:val="24"/>
          <w:szCs w:val="24"/>
        </w:rPr>
        <w:t>3.1检测报告的交付时间：由双方协商确定。</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3.2如乙方未能在前款约定的时间交付报告的，应以书面或电话的形式及时通知</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甲方。</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3.3如甲方对乙方出具的检测结果有异议的，应在</w:t>
      </w:r>
      <w:r>
        <w:rPr>
          <w:rFonts w:hint="eastAsia" w:ascii="宋体" w:hAnsi="宋体" w:eastAsia="宋体" w:cs="宋体"/>
          <w:sz w:val="24"/>
          <w:szCs w:val="24"/>
          <w:lang w:eastAsia="zh-CN"/>
        </w:rPr>
        <w:t>合同</w:t>
      </w:r>
      <w:r>
        <w:rPr>
          <w:rFonts w:hint="eastAsia" w:ascii="宋体" w:hAnsi="宋体" w:eastAsia="宋体" w:cs="宋体"/>
          <w:sz w:val="24"/>
          <w:szCs w:val="24"/>
        </w:rPr>
        <w:t>2.3.1条规定的样本保存</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期内提出。如在样本保存期内没有提出异议，视同甲方接受检验结果。</w:t>
      </w:r>
    </w:p>
    <w:p>
      <w:pPr>
        <w:spacing w:line="360" w:lineRule="auto"/>
        <w:ind w:left="420" w:hanging="482" w:hangingChars="200"/>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价格及费用结算</w:t>
      </w:r>
    </w:p>
    <w:p>
      <w:pPr>
        <w:spacing w:line="360" w:lineRule="auto"/>
        <w:ind w:left="420" w:hanging="480" w:hangingChars="200"/>
        <w:rPr>
          <w:rFonts w:hint="eastAsia" w:ascii="宋体" w:hAnsi="宋体" w:eastAsia="宋体" w:cs="宋体"/>
          <w:sz w:val="24"/>
          <w:szCs w:val="24"/>
          <w:lang w:eastAsia="zh-CN"/>
        </w:rPr>
      </w:pPr>
      <w:r>
        <w:rPr>
          <w:rFonts w:hint="eastAsia" w:ascii="宋体" w:hAnsi="宋体" w:eastAsia="宋体" w:cs="宋体"/>
          <w:sz w:val="24"/>
          <w:szCs w:val="24"/>
        </w:rPr>
        <w:t>4.1收费标准：甲方按照</w:t>
      </w:r>
      <w:r>
        <w:rPr>
          <w:rFonts w:hint="eastAsia" w:ascii="宋体" w:hAnsi="宋体" w:eastAsia="宋体" w:cs="宋体"/>
          <w:sz w:val="24"/>
          <w:szCs w:val="24"/>
          <w:lang w:eastAsia="zh-CN"/>
        </w:rPr>
        <w:t>省或市</w:t>
      </w:r>
      <w:r>
        <w:rPr>
          <w:rFonts w:hint="eastAsia" w:ascii="宋体" w:hAnsi="宋体" w:eastAsia="宋体" w:cs="宋体"/>
          <w:sz w:val="24"/>
          <w:szCs w:val="24"/>
        </w:rPr>
        <w:t>物价部门规定的收费标准或</w:t>
      </w:r>
      <w:r>
        <w:rPr>
          <w:rFonts w:hint="eastAsia" w:ascii="宋体" w:hAnsi="宋体" w:eastAsia="宋体" w:cs="宋体"/>
          <w:sz w:val="24"/>
          <w:szCs w:val="24"/>
          <w:lang w:eastAsia="zh-CN"/>
        </w:rPr>
        <w:t>甲</w:t>
      </w:r>
      <w:r>
        <w:rPr>
          <w:rFonts w:hint="eastAsia" w:ascii="宋体" w:hAnsi="宋体" w:eastAsia="宋体" w:cs="宋体"/>
          <w:sz w:val="24"/>
          <w:szCs w:val="24"/>
        </w:rPr>
        <w:t>方公开公示的</w:t>
      </w:r>
      <w:r>
        <w:rPr>
          <w:rFonts w:hint="eastAsia" w:ascii="宋体" w:hAnsi="宋体" w:eastAsia="宋体" w:cs="宋体"/>
          <w:sz w:val="24"/>
          <w:szCs w:val="24"/>
          <w:lang w:eastAsia="zh-CN"/>
        </w:rPr>
        <w:t>收</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费标准向患者收取检测费用。</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4.2收费标准的调整：如</w:t>
      </w:r>
      <w:r>
        <w:rPr>
          <w:rFonts w:hint="eastAsia" w:ascii="宋体" w:hAnsi="宋体" w:eastAsia="宋体" w:cs="宋体"/>
          <w:sz w:val="24"/>
          <w:szCs w:val="24"/>
          <w:lang w:eastAsia="zh-CN"/>
        </w:rPr>
        <w:t>省或市</w:t>
      </w:r>
      <w:r>
        <w:rPr>
          <w:rFonts w:hint="eastAsia" w:ascii="宋体" w:hAnsi="宋体" w:eastAsia="宋体" w:cs="宋体"/>
          <w:sz w:val="24"/>
          <w:szCs w:val="24"/>
        </w:rPr>
        <w:t>物价部门规定的收费标准发生变动时，甲方应按</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物价部门的规定</w:t>
      </w:r>
      <w:r>
        <w:rPr>
          <w:rFonts w:hint="eastAsia" w:ascii="宋体" w:hAnsi="宋体" w:eastAsia="宋体" w:cs="宋体"/>
          <w:sz w:val="24"/>
          <w:szCs w:val="24"/>
          <w:lang w:eastAsia="zh-CN"/>
        </w:rPr>
        <w:t>相应</w:t>
      </w:r>
      <w:r>
        <w:rPr>
          <w:rFonts w:hint="eastAsia" w:ascii="宋体" w:hAnsi="宋体" w:eastAsia="宋体" w:cs="宋体"/>
          <w:sz w:val="24"/>
          <w:szCs w:val="24"/>
        </w:rPr>
        <w:t>调整到位；若</w:t>
      </w:r>
      <w:r>
        <w:rPr>
          <w:rFonts w:hint="eastAsia" w:ascii="宋体" w:hAnsi="宋体" w:eastAsia="宋体" w:cs="宋体"/>
          <w:sz w:val="24"/>
          <w:szCs w:val="24"/>
          <w:lang w:eastAsia="zh-CN"/>
        </w:rPr>
        <w:t>甲</w:t>
      </w:r>
      <w:r>
        <w:rPr>
          <w:rFonts w:hint="eastAsia" w:ascii="宋体" w:hAnsi="宋体" w:eastAsia="宋体" w:cs="宋体"/>
          <w:sz w:val="24"/>
          <w:szCs w:val="24"/>
        </w:rPr>
        <w:t>方公开公示的收费标准发生变动时，</w:t>
      </w:r>
      <w:r>
        <w:rPr>
          <w:rFonts w:hint="eastAsia" w:ascii="宋体" w:hAnsi="宋体" w:eastAsia="宋体" w:cs="宋体"/>
          <w:sz w:val="24"/>
          <w:szCs w:val="24"/>
          <w:lang w:eastAsia="zh-CN"/>
        </w:rPr>
        <w:t>甲</w:t>
      </w:r>
      <w:r>
        <w:rPr>
          <w:rFonts w:hint="eastAsia" w:ascii="宋体" w:hAnsi="宋体" w:eastAsia="宋体" w:cs="宋体"/>
          <w:sz w:val="24"/>
          <w:szCs w:val="24"/>
        </w:rPr>
        <w:t>方应</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及时通知</w:t>
      </w:r>
      <w:r>
        <w:rPr>
          <w:rFonts w:hint="eastAsia" w:ascii="宋体" w:hAnsi="宋体" w:eastAsia="宋体" w:cs="宋体"/>
          <w:sz w:val="24"/>
          <w:szCs w:val="24"/>
          <w:lang w:eastAsia="zh-CN"/>
        </w:rPr>
        <w:t>乙</w:t>
      </w:r>
      <w:r>
        <w:rPr>
          <w:rFonts w:hint="eastAsia" w:ascii="宋体" w:hAnsi="宋体" w:eastAsia="宋体" w:cs="宋体"/>
          <w:sz w:val="24"/>
          <w:szCs w:val="24"/>
        </w:rPr>
        <w:t>方，通知生效日前所有的检测费按原标准结算，通知生效日后所有的</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检测费按新的标准结算。</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4.3结算的价格： 甲方按照4.1条规定的收费标准的    %向乙方支付检测服务</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费。在本协议有效期内，如后期有新增检测项目，不适用本条约定的结算扣率，</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双方需签署补充协议另行约定。</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4.4业务量的结算：以乙方LIMS系统项目检测清单或外送样本登记的签收记录</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为准。</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4.5结算时间：乙方每月就上月26日至本月25日的检测费用与甲方进行月度结</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算。</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 xml:space="preserve">4.6检测服务费的支付：甲方应在每个月度结束后 </w:t>
      </w:r>
      <w:r>
        <w:rPr>
          <w:rFonts w:hint="eastAsia" w:ascii="宋体" w:hAnsi="宋体" w:eastAsia="宋体" w:cs="宋体"/>
          <w:sz w:val="24"/>
          <w:szCs w:val="24"/>
          <w:lang w:val="en-US" w:eastAsia="zh-CN"/>
        </w:rPr>
        <w:t>90</w:t>
      </w:r>
      <w:r>
        <w:rPr>
          <w:rFonts w:hint="eastAsia" w:ascii="宋体" w:hAnsi="宋体" w:eastAsia="宋体" w:cs="宋体"/>
          <w:sz w:val="24"/>
          <w:szCs w:val="24"/>
        </w:rPr>
        <w:t xml:space="preserve"> 日内以银行转账方式将乙</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方开具发票金额汇入乙方指定账户。甲方未按上述约定付款的，乙方有权中止样</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本接收及检测服务，因乙方中止服务产生的损失或责任由甲方承担；待甲方提供</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等额的保证金或足额支付检测费用后，乙方将恢复服务。</w:t>
      </w:r>
    </w:p>
    <w:p>
      <w:pPr>
        <w:spacing w:line="360" w:lineRule="auto"/>
        <w:ind w:left="420" w:hanging="482" w:hangingChars="200"/>
        <w:rPr>
          <w:rFonts w:hint="eastAsia"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甲方权利义务：</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5.1未经乙方明确的书面收款授权，甲方不得将检测服务费以现金方式支付给乙</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方工作人员。</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 xml:space="preserve">5.2若甲方有大批量体检样本需检测时，应提前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天通知乙方，以便于乙方及</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时做好各项准备工作。</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5.3甲方应按本协议的约定向患者收取检测费，如甲方有漏收费的，不影响甲方</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向乙方支付检测服务费。</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5.4甲方应针对部分检验结果对临床诊疗的危急程度，应明确危急值的报告部门</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 xml:space="preserve">或联系人：                        联系电话：                                              </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5.5依照《传染病信息报告管理规范》规定，对需要传报项目的相关患者信息在</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规定时间内通报乙方。</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5.6本协议有效期内，甲方有义务对从乙方获悉的关于乙方的经营信息、技术信</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息等一切非公开的保密信息予以保密，保密期限为3年。未经乙方书面同意，甲</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方不得将上述信息泄露给任何第三方。</w:t>
      </w:r>
    </w:p>
    <w:p>
      <w:pPr>
        <w:spacing w:line="360" w:lineRule="auto"/>
        <w:ind w:left="420" w:hanging="482" w:hangingChars="200"/>
        <w:rPr>
          <w:rFonts w:hint="eastAsia"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乙方权利义务</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6.1对于乙方自行检测的项目，乙方应保证自身的能力和资源能够满足甲方的委</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托检测需求，包括实验室人员的技能和专业知识，检测方法等。</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6.2乙方保证检验、诊断结果准确可靠，提供的检验报告建议仅做参考不作最后</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诊断依据。</w:t>
      </w:r>
    </w:p>
    <w:p>
      <w:pPr>
        <w:spacing w:line="360" w:lineRule="auto"/>
        <w:ind w:left="420" w:hanging="480" w:hangingChars="200"/>
        <w:rPr>
          <w:rFonts w:hint="eastAsia" w:ascii="宋体" w:hAnsi="宋体" w:eastAsia="宋体" w:cs="宋体"/>
          <w:sz w:val="24"/>
          <w:szCs w:val="24"/>
          <w:lang w:eastAsia="zh-CN"/>
        </w:rPr>
      </w:pPr>
      <w:r>
        <w:rPr>
          <w:rFonts w:hint="eastAsia" w:ascii="宋体" w:hAnsi="宋体" w:eastAsia="宋体" w:cs="宋体"/>
          <w:sz w:val="24"/>
          <w:szCs w:val="24"/>
        </w:rPr>
        <w:t>6.3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根据甲方要求提供室间质评证书、仪器校准报告及特殊项目资格证书等资</w:t>
      </w:r>
    </w:p>
    <w:p>
      <w:pPr>
        <w:spacing w:line="360" w:lineRule="auto"/>
        <w:ind w:left="420" w:hanging="480" w:hangingChars="200"/>
        <w:rPr>
          <w:rFonts w:hint="eastAsia" w:ascii="宋体" w:hAnsi="宋体" w:eastAsia="宋体" w:cs="宋体"/>
          <w:sz w:val="24"/>
          <w:szCs w:val="24"/>
          <w:lang w:eastAsia="zh-CN"/>
        </w:rPr>
      </w:pPr>
      <w:r>
        <w:rPr>
          <w:rFonts w:hint="eastAsia" w:ascii="宋体" w:hAnsi="宋体" w:eastAsia="宋体" w:cs="宋体"/>
          <w:sz w:val="24"/>
          <w:szCs w:val="24"/>
          <w:lang w:eastAsia="zh-CN"/>
        </w:rPr>
        <w:t>料。</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lang w:val="en-US" w:eastAsia="zh-CN"/>
        </w:rPr>
        <w:t>6.4</w:t>
      </w:r>
      <w:r>
        <w:rPr>
          <w:rFonts w:hint="eastAsia" w:ascii="宋体" w:hAnsi="宋体" w:eastAsia="宋体" w:cs="宋体"/>
          <w:sz w:val="24"/>
          <w:szCs w:val="24"/>
        </w:rPr>
        <w:t>如样本不符合检测要求的，乙方有权退单；如甲方坚持要求检测的，乙方对</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检测结果不承担责任。</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5</w:t>
      </w:r>
      <w:r>
        <w:rPr>
          <w:rFonts w:hint="eastAsia" w:ascii="宋体" w:hAnsi="宋体" w:eastAsia="宋体" w:cs="宋体"/>
          <w:sz w:val="24"/>
          <w:szCs w:val="24"/>
        </w:rPr>
        <w:t>如乙方将部分检测项目转委托给其他实验室或外部顾问进行检测时，应及时</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向甲方说明。</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6</w:t>
      </w:r>
      <w:r>
        <w:rPr>
          <w:rFonts w:hint="eastAsia" w:ascii="宋体" w:hAnsi="宋体" w:eastAsia="宋体" w:cs="宋体"/>
          <w:sz w:val="24"/>
          <w:szCs w:val="24"/>
        </w:rPr>
        <w:t>如乙方的检测项目、收费标准、检测报告交付时间等事项发生变更时，应及</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时向甲方报告变更内容。</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7</w:t>
      </w:r>
      <w:r>
        <w:rPr>
          <w:rFonts w:hint="eastAsia" w:ascii="宋体" w:hAnsi="宋体" w:eastAsia="宋体" w:cs="宋体"/>
          <w:sz w:val="24"/>
          <w:szCs w:val="24"/>
        </w:rPr>
        <w:t>乙方可根据甲方需求，为甲方提供分析前样本的质量控制等相关内容的培训</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服务。</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8</w:t>
      </w:r>
      <w:r>
        <w:rPr>
          <w:rFonts w:hint="eastAsia" w:ascii="宋体" w:hAnsi="宋体" w:eastAsia="宋体" w:cs="宋体"/>
          <w:sz w:val="24"/>
          <w:szCs w:val="24"/>
        </w:rPr>
        <w:t>乙方集团旗下的司法鉴定所可为甲方提供医疗争议方面的免费咨询服务。</w:t>
      </w:r>
    </w:p>
    <w:p>
      <w:pPr>
        <w:spacing w:line="360" w:lineRule="auto"/>
        <w:ind w:left="420" w:hanging="422" w:hangingChars="200"/>
        <w:rPr>
          <w:rFonts w:hint="eastAsia" w:ascii="宋体" w:hAnsi="宋体" w:eastAsia="宋体" w:cs="宋体"/>
          <w:b/>
          <w:bCs/>
          <w:sz w:val="21"/>
          <w:szCs w:val="21"/>
        </w:rPr>
      </w:pPr>
      <w:r>
        <w:rPr>
          <w:rFonts w:hint="eastAsia" w:ascii="宋体" w:hAnsi="宋体" w:eastAsia="宋体" w:cs="宋体"/>
          <w:b/>
          <w:bCs/>
          <w:sz w:val="21"/>
          <w:szCs w:val="21"/>
        </w:rPr>
        <w:t>7</w:t>
      </w:r>
      <w:r>
        <w:rPr>
          <w:rFonts w:hint="eastAsia" w:ascii="宋体" w:hAnsi="宋体" w:eastAsia="宋体" w:cs="宋体"/>
          <w:b/>
          <w:bCs/>
          <w:sz w:val="21"/>
          <w:szCs w:val="21"/>
          <w:lang w:val="en-US" w:eastAsia="zh-CN"/>
        </w:rPr>
        <w:t>.合同</w:t>
      </w:r>
      <w:r>
        <w:rPr>
          <w:rFonts w:hint="eastAsia" w:ascii="宋体" w:hAnsi="宋体" w:eastAsia="宋体" w:cs="宋体"/>
          <w:b/>
          <w:bCs/>
          <w:sz w:val="21"/>
          <w:szCs w:val="21"/>
        </w:rPr>
        <w:t>有效期</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7.1本协议有效期为：    年，自     年   月   日至     年    月    日止。</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7.2本协议到期前一个月内，如双方没有提出终止本协议的，本协议有效期自动</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 xml:space="preserve">续  </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年。</w:t>
      </w:r>
    </w:p>
    <w:p>
      <w:pPr>
        <w:spacing w:line="360" w:lineRule="auto"/>
        <w:ind w:left="420" w:hanging="482" w:hangingChars="200"/>
        <w:rPr>
          <w:rFonts w:hint="eastAsia"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eastAsia="zh-CN"/>
        </w:rPr>
        <w:t>.</w:t>
      </w:r>
      <w:r>
        <w:rPr>
          <w:rFonts w:hint="eastAsia" w:ascii="宋体" w:hAnsi="宋体" w:eastAsia="宋体" w:cs="宋体"/>
          <w:b/>
          <w:bCs/>
          <w:sz w:val="24"/>
          <w:szCs w:val="24"/>
        </w:rPr>
        <w:t>违约责任</w:t>
      </w:r>
    </w:p>
    <w:p>
      <w:pPr>
        <w:spacing w:line="360" w:lineRule="auto"/>
        <w:ind w:left="42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rPr>
        <w:t>8.1如乙方检测的项目发生质量问题</w:t>
      </w:r>
      <w:r>
        <w:rPr>
          <w:rFonts w:hint="eastAsia" w:ascii="宋体" w:hAnsi="宋体" w:eastAsia="宋体" w:cs="宋体"/>
          <w:sz w:val="24"/>
          <w:szCs w:val="24"/>
          <w:lang w:eastAsia="zh-CN"/>
        </w:rPr>
        <w:t>（包括</w:t>
      </w:r>
      <w:r>
        <w:rPr>
          <w:rFonts w:hint="eastAsia" w:ascii="宋体" w:hAnsi="宋体" w:eastAsia="宋体" w:cs="宋体"/>
          <w:sz w:val="24"/>
          <w:szCs w:val="24"/>
          <w:lang w:val="en-US" w:eastAsia="zh-CN"/>
        </w:rPr>
        <w:t>乙方在检测标本运送、储存、检测过</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lang w:val="en-US" w:eastAsia="zh-CN"/>
        </w:rPr>
        <w:t>程中）</w:t>
      </w:r>
      <w:r>
        <w:rPr>
          <w:rFonts w:hint="eastAsia" w:ascii="宋体" w:hAnsi="宋体" w:eastAsia="宋体" w:cs="宋体"/>
          <w:sz w:val="24"/>
          <w:szCs w:val="24"/>
        </w:rPr>
        <w:t>，造成甲方向患者承担赔偿责任的，甲方有权向乙方追索该损失。</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lang w:val="en-US" w:eastAsia="zh-CN"/>
        </w:rPr>
        <w:t>8.2乙方因检测报告延迟，</w:t>
      </w:r>
      <w:r>
        <w:rPr>
          <w:rFonts w:hint="eastAsia" w:ascii="宋体" w:hAnsi="宋体" w:eastAsia="宋体" w:cs="宋体"/>
          <w:sz w:val="24"/>
          <w:szCs w:val="24"/>
        </w:rPr>
        <w:t>造成甲方向患者承担赔偿责任的，甲方有权向乙方追</w:t>
      </w:r>
    </w:p>
    <w:p>
      <w:pPr>
        <w:spacing w:line="360" w:lineRule="auto"/>
        <w:ind w:left="42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rPr>
        <w:t>索该损失。</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3</w:t>
      </w:r>
      <w:r>
        <w:rPr>
          <w:rFonts w:hint="eastAsia" w:ascii="宋体" w:hAnsi="宋体" w:eastAsia="宋体" w:cs="宋体"/>
          <w:sz w:val="24"/>
          <w:szCs w:val="24"/>
        </w:rPr>
        <w:t>如甲方未按本协议的约定按时支付检测服务费的，应当按日按应付款的万分</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之五支付违约金。</w:t>
      </w:r>
    </w:p>
    <w:p>
      <w:pPr>
        <w:spacing w:line="360" w:lineRule="auto"/>
        <w:ind w:left="420" w:hanging="482" w:hangingChars="200"/>
        <w:rPr>
          <w:rFonts w:hint="eastAsia" w:ascii="宋体" w:hAnsi="宋体" w:eastAsia="宋体" w:cs="宋体"/>
          <w:b/>
          <w:bCs/>
          <w:sz w:val="24"/>
          <w:szCs w:val="24"/>
        </w:rPr>
      </w:pPr>
      <w:r>
        <w:rPr>
          <w:rFonts w:hint="eastAsia" w:ascii="宋体" w:hAnsi="宋体" w:eastAsia="宋体" w:cs="宋体"/>
          <w:b/>
          <w:bCs/>
          <w:sz w:val="24"/>
          <w:szCs w:val="24"/>
        </w:rPr>
        <w:t>9</w:t>
      </w:r>
      <w:r>
        <w:rPr>
          <w:rFonts w:hint="eastAsia" w:ascii="宋体" w:hAnsi="宋体" w:eastAsia="宋体" w:cs="宋体"/>
          <w:b/>
          <w:bCs/>
          <w:sz w:val="24"/>
          <w:szCs w:val="24"/>
          <w:lang w:eastAsia="zh-CN"/>
        </w:rPr>
        <w:t>.</w:t>
      </w:r>
      <w:r>
        <w:rPr>
          <w:rFonts w:hint="eastAsia" w:ascii="宋体" w:hAnsi="宋体" w:eastAsia="宋体" w:cs="宋体"/>
          <w:b/>
          <w:bCs/>
          <w:sz w:val="24"/>
          <w:szCs w:val="24"/>
        </w:rPr>
        <w:t>其他：</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9.1 因本协议所发生的一切争议，双方应友好协商解决，协商不成的，任何一方</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有权向</w:t>
      </w:r>
      <w:r>
        <w:rPr>
          <w:rFonts w:hint="eastAsia" w:ascii="宋体" w:hAnsi="宋体" w:eastAsia="宋体" w:cs="宋体"/>
          <w:sz w:val="24"/>
          <w:szCs w:val="24"/>
          <w:lang w:eastAsia="zh-CN"/>
        </w:rPr>
        <w:t>甲</w:t>
      </w:r>
      <w:r>
        <w:rPr>
          <w:rFonts w:hint="eastAsia" w:ascii="宋体" w:hAnsi="宋体" w:eastAsia="宋体" w:cs="宋体"/>
          <w:sz w:val="24"/>
          <w:szCs w:val="24"/>
        </w:rPr>
        <w:t>方所在地人民法院起诉。</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9.2本协议自双方签字盖章后生效，本协议若有未尽事宜，双方可另行签订补充</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协议，任何一方工作人员的口头承诺一律无效。</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9.3本协议一式二份，甲乙双方各执一份。</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9.4 本协议包含的下列附件为本协议不可分割的组成部分，与本协议具有同等法</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律效力。</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9.5为更好地配合甲方收集检测样本，乙方将视情况向甲方提供检测项目所涉耗</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材，</w:t>
      </w:r>
      <w:r>
        <w:rPr>
          <w:rFonts w:hint="eastAsia" w:ascii="宋体" w:hAnsi="宋体" w:eastAsia="宋体" w:cs="宋体"/>
          <w:sz w:val="24"/>
          <w:szCs w:val="24"/>
          <w:lang w:eastAsia="zh-CN"/>
        </w:rPr>
        <w:t>提供完整资料后</w:t>
      </w:r>
      <w:r>
        <w:rPr>
          <w:rFonts w:hint="eastAsia" w:ascii="宋体" w:hAnsi="宋体" w:eastAsia="宋体" w:cs="宋体"/>
          <w:sz w:val="24"/>
          <w:szCs w:val="24"/>
        </w:rPr>
        <w:t>甲方应予以签收。签收完成后，由甲方履行医疗器械管理职</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责。对于耗材有效期即将届满等情况，甲方应提前15日通知乙方进行处理。</w:t>
      </w:r>
    </w:p>
    <w:p>
      <w:pPr>
        <w:spacing w:line="360" w:lineRule="auto"/>
        <w:ind w:left="420" w:hanging="480" w:hangingChars="200"/>
        <w:rPr>
          <w:rFonts w:hint="eastAsia" w:ascii="宋体" w:hAnsi="宋体" w:eastAsia="宋体" w:cs="宋体"/>
          <w:sz w:val="24"/>
          <w:szCs w:val="24"/>
        </w:rPr>
      </w:pP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 xml:space="preserve">甲方：                                     乙方： </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单位账户：                                 公司账户：</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联系电话：                                 联系电话：</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授权代表签字：                             授权代表签字：</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日    期：                                 日    期：</w:t>
      </w:r>
    </w:p>
    <w:p>
      <w:pPr>
        <w:spacing w:line="360" w:lineRule="auto"/>
        <w:ind w:left="420" w:hanging="480" w:hangingChars="200"/>
        <w:rPr>
          <w:rFonts w:hint="eastAsia" w:ascii="宋体" w:hAnsi="宋体" w:eastAsia="宋体" w:cs="宋体"/>
          <w:sz w:val="24"/>
          <w:szCs w:val="24"/>
        </w:rPr>
      </w:pP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本合同一式　</w:t>
      </w:r>
      <w:r>
        <w:rPr>
          <w:rFonts w:hint="eastAsia" w:ascii="宋体" w:hAnsi="宋体" w:eastAsia="宋体" w:cs="宋体"/>
          <w:sz w:val="24"/>
          <w:szCs w:val="24"/>
          <w:lang w:eastAsia="zh-CN"/>
        </w:rPr>
        <w:t>二</w:t>
      </w:r>
      <w:r>
        <w:rPr>
          <w:rFonts w:hint="eastAsia" w:ascii="宋体" w:hAnsi="宋体" w:eastAsia="宋体" w:cs="宋体"/>
          <w:sz w:val="24"/>
          <w:szCs w:val="24"/>
        </w:rPr>
        <w:t>　 份，采购人和中标人各执一份，抄送给绍兴市上虞区公共</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资源交易中心、绍兴市上虞区财政局、绍兴市上虞区招标投标监督办公室各一份。</w:t>
      </w:r>
    </w:p>
    <w:p>
      <w:pPr>
        <w:spacing w:line="360" w:lineRule="auto"/>
        <w:ind w:left="420" w:hanging="480" w:hangingChars="200"/>
        <w:rPr>
          <w:rFonts w:hint="eastAsia" w:ascii="宋体" w:hAnsi="宋体" w:eastAsia="宋体" w:cs="宋体"/>
          <w:sz w:val="24"/>
          <w:szCs w:val="24"/>
        </w:rPr>
      </w:pPr>
    </w:p>
    <w:p>
      <w:pPr>
        <w:spacing w:line="360" w:lineRule="auto"/>
        <w:ind w:left="479" w:leftChars="228" w:firstLine="1506" w:firstLineChars="500"/>
        <w:rPr>
          <w:rFonts w:hint="eastAsia" w:ascii="宋体" w:hAnsi="宋体" w:eastAsia="宋体" w:cs="宋体"/>
          <w:b/>
          <w:bCs/>
          <w:sz w:val="30"/>
          <w:szCs w:val="30"/>
        </w:rPr>
      </w:pPr>
      <w:r>
        <w:rPr>
          <w:rFonts w:hint="eastAsia" w:ascii="宋体" w:hAnsi="宋体" w:eastAsia="宋体" w:cs="宋体"/>
          <w:b/>
          <w:bCs/>
          <w:sz w:val="30"/>
          <w:szCs w:val="30"/>
        </w:rPr>
        <w:t>医疗卫生机构医药产品廉洁购销合同</w:t>
      </w:r>
    </w:p>
    <w:p>
      <w:pPr>
        <w:spacing w:line="360" w:lineRule="auto"/>
        <w:ind w:left="420" w:hanging="480" w:hangingChars="200"/>
        <w:rPr>
          <w:rFonts w:hint="eastAsia" w:ascii="宋体" w:hAnsi="宋体" w:eastAsia="宋体" w:cs="宋体"/>
          <w:sz w:val="24"/>
          <w:szCs w:val="24"/>
        </w:rPr>
      </w:pP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甲方（医疗卫生机构）：绍兴市上虞人民医院</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乙方（医药生产经营企业及其代理人）：</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为进一步加强医疗卫生行风建设，规范医疗卫生机构医药购销行为，有效防范商</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业贿赂行为，营造公平交易、诚实守信的购销环境，经甲、乙双方协商，同意签</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订本合同，并共同遵守：</w:t>
      </w:r>
    </w:p>
    <w:p>
      <w:pPr>
        <w:numPr>
          <w:ilvl w:val="0"/>
          <w:numId w:val="42"/>
        </w:num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甲乙双方按照《合同法》及医药产品购销合同约定购销药品、医用设备、医</w:t>
      </w:r>
    </w:p>
    <w:p>
      <w:pPr>
        <w:numPr>
          <w:ilvl w:val="0"/>
          <w:numId w:val="0"/>
        </w:numPr>
        <w:spacing w:line="360" w:lineRule="auto"/>
        <w:ind w:leftChars="-200" w:firstLine="480" w:firstLineChars="200"/>
        <w:rPr>
          <w:rFonts w:hint="eastAsia" w:ascii="宋体" w:hAnsi="宋体" w:eastAsia="宋体" w:cs="宋体"/>
          <w:sz w:val="24"/>
          <w:szCs w:val="24"/>
        </w:rPr>
      </w:pPr>
      <w:r>
        <w:rPr>
          <w:rFonts w:hint="eastAsia" w:ascii="宋体" w:hAnsi="宋体" w:eastAsia="宋体" w:cs="宋体"/>
          <w:sz w:val="24"/>
          <w:szCs w:val="24"/>
        </w:rPr>
        <w:t>用耗材等医药产品。</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二、甲方应当严格执行医药产品购销合同验收、入库制度，对采购医药产品及发票进行查验，不得违反有关规定合同外采购、违价采购或从非规定渠道采购。</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四、严禁甲方工作人员利用任何途径和方式，为乙方统计医师个人及临床科室有关医药产品用量信息，或为乙方统计提供便利。</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五、乙方不得以回扣、宴请等方式影响甲方工作人员采购或使用医药产品的选择权，不得在学术活动中提供旅游、超标准支付食宿费用。</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六、乙方指定</w:t>
      </w:r>
      <w:r>
        <w:rPr>
          <w:rFonts w:hint="eastAsia" w:ascii="宋体" w:hAnsi="宋体" w:eastAsia="宋体" w:cs="宋体"/>
          <w:color w:val="0000FF"/>
          <w:sz w:val="24"/>
          <w:szCs w:val="24"/>
          <w:lang w:val="en-US" w:eastAsia="zh-CN"/>
        </w:rPr>
        <w:t xml:space="preserve">___  </w:t>
      </w:r>
      <w:r>
        <w:rPr>
          <w:rFonts w:hint="eastAsia" w:ascii="宋体" w:hAnsi="宋体" w:eastAsia="宋体" w:cs="宋体"/>
          <w:sz w:val="24"/>
          <w:szCs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八、本合同作为医药产品购销合同的重要组成部分，与购销合同一并执行，具有同等的法律效力。</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九、本合同一式三份，甲、乙双方各执一份，甲方纪检监察部门（基层医疗卫生机构上报上级卫生计生行政部门）执一份，并从签订之日起生效。</w:t>
      </w:r>
    </w:p>
    <w:p>
      <w:pPr>
        <w:spacing w:line="360" w:lineRule="auto"/>
        <w:ind w:left="420" w:hanging="480" w:hangingChars="200"/>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甲方（盖章）：绍兴市上虞人民医院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乙方（盖章）：</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 xml:space="preserve">法定代表人（负责人）：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法定代表人（负责人）：</w:t>
      </w:r>
    </w:p>
    <w:p>
      <w:pPr>
        <w:spacing w:line="360" w:lineRule="auto"/>
        <w:ind w:left="420" w:hanging="480" w:hangingChars="200"/>
        <w:rPr>
          <w:rFonts w:hint="eastAsia" w:ascii="宋体" w:hAnsi="宋体" w:eastAsia="宋体" w:cs="宋体"/>
          <w:sz w:val="24"/>
          <w:szCs w:val="24"/>
        </w:rPr>
      </w:pPr>
      <w:r>
        <w:rPr>
          <w:rFonts w:hint="eastAsia" w:ascii="宋体" w:hAnsi="宋体" w:eastAsia="宋体" w:cs="宋体"/>
          <w:sz w:val="24"/>
          <w:szCs w:val="24"/>
        </w:rPr>
        <w:t xml:space="preserve">经办人签名：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经办人签名：</w:t>
      </w:r>
    </w:p>
    <w:p>
      <w:pPr>
        <w:spacing w:line="360" w:lineRule="auto"/>
        <w:ind w:left="479" w:leftChars="114" w:hanging="240" w:hangingChars="100"/>
        <w:rPr>
          <w:rFonts w:hint="eastAsia" w:ascii="宋体" w:hAnsi="宋体" w:eastAsia="宋体" w:cs="宋体"/>
          <w:sz w:val="24"/>
          <w:szCs w:val="24"/>
        </w:rPr>
      </w:pPr>
      <w:r>
        <w:rPr>
          <w:rFonts w:hint="eastAsia" w:ascii="宋体" w:hAnsi="宋体" w:eastAsia="宋体" w:cs="宋体"/>
          <w:sz w:val="24"/>
          <w:szCs w:val="24"/>
        </w:rPr>
        <w:t xml:space="preserve">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pPr>
        <w:spacing w:line="360" w:lineRule="auto"/>
        <w:ind w:left="420" w:hanging="480" w:hangingChars="200"/>
        <w:rPr>
          <w:rFonts w:hint="eastAsia" w:ascii="宋体" w:hAnsi="宋体" w:eastAsia="宋体" w:cs="宋体"/>
          <w:sz w:val="24"/>
          <w:szCs w:val="24"/>
        </w:rPr>
      </w:pPr>
    </w:p>
    <w:p>
      <w:pPr>
        <w:spacing w:line="360" w:lineRule="auto"/>
        <w:ind w:left="420" w:hanging="480" w:hangingChars="200"/>
        <w:rPr>
          <w:rFonts w:hint="eastAsia" w:ascii="宋体" w:hAnsi="宋体" w:eastAsia="宋体" w:cs="宋体"/>
          <w:sz w:val="24"/>
          <w:szCs w:val="24"/>
        </w:rPr>
      </w:pPr>
      <w:bookmarkStart w:id="439" w:name="_Toc98731768"/>
      <w:bookmarkStart w:id="440" w:name="_Toc130094922"/>
    </w:p>
    <w:p>
      <w:pPr>
        <w:spacing w:line="360" w:lineRule="auto"/>
        <w:ind w:left="420" w:hanging="480" w:hangingChars="200"/>
        <w:rPr>
          <w:rFonts w:hint="eastAsia" w:ascii="宋体" w:hAnsi="宋体" w:eastAsia="宋体" w:cs="宋体"/>
          <w:sz w:val="24"/>
          <w:szCs w:val="24"/>
        </w:rPr>
      </w:pPr>
    </w:p>
    <w:p>
      <w:pPr>
        <w:pStyle w:val="4"/>
        <w:spacing w:line="360" w:lineRule="auto"/>
        <w:rPr>
          <w:rFonts w:hint="eastAsia" w:ascii="黑体" w:eastAsia="黑体"/>
          <w:b/>
          <w:sz w:val="32"/>
        </w:rPr>
      </w:pPr>
      <w:bookmarkStart w:id="441" w:name="_Toc3974"/>
      <w:bookmarkStart w:id="442" w:name="_Toc32612"/>
    </w:p>
    <w:p>
      <w:pPr>
        <w:pStyle w:val="4"/>
        <w:spacing w:line="360" w:lineRule="auto"/>
        <w:rPr>
          <w:rFonts w:hint="eastAsia" w:ascii="黑体" w:eastAsia="黑体"/>
          <w:b/>
          <w:sz w:val="32"/>
        </w:rPr>
      </w:pPr>
    </w:p>
    <w:p>
      <w:pPr>
        <w:pStyle w:val="4"/>
        <w:spacing w:line="360" w:lineRule="auto"/>
        <w:rPr>
          <w:rFonts w:hint="eastAsia" w:ascii="黑体" w:eastAsia="黑体"/>
          <w:b/>
          <w:sz w:val="32"/>
        </w:rPr>
      </w:pPr>
    </w:p>
    <w:p>
      <w:pPr>
        <w:pStyle w:val="4"/>
        <w:spacing w:line="360" w:lineRule="auto"/>
        <w:rPr>
          <w:rFonts w:hint="eastAsia" w:ascii="黑体" w:eastAsia="黑体"/>
          <w:b/>
          <w:sz w:val="32"/>
        </w:rPr>
      </w:pPr>
    </w:p>
    <w:p>
      <w:pPr>
        <w:pStyle w:val="4"/>
        <w:spacing w:line="360" w:lineRule="auto"/>
        <w:rPr>
          <w:rFonts w:hint="eastAsia" w:ascii="黑体" w:eastAsia="黑体"/>
          <w:b/>
          <w:sz w:val="32"/>
        </w:rPr>
      </w:pPr>
    </w:p>
    <w:p>
      <w:pPr>
        <w:pStyle w:val="4"/>
        <w:spacing w:line="360" w:lineRule="auto"/>
        <w:rPr>
          <w:rFonts w:hint="eastAsia" w:ascii="黑体" w:eastAsia="黑体"/>
          <w:b/>
          <w:sz w:val="32"/>
        </w:rPr>
      </w:pPr>
    </w:p>
    <w:p>
      <w:pPr>
        <w:pStyle w:val="4"/>
        <w:spacing w:line="360" w:lineRule="auto"/>
        <w:rPr>
          <w:rFonts w:hint="eastAsia" w:ascii="黑体" w:eastAsia="黑体"/>
          <w:b/>
          <w:sz w:val="32"/>
        </w:rPr>
      </w:pPr>
    </w:p>
    <w:p>
      <w:pPr>
        <w:pStyle w:val="4"/>
        <w:spacing w:line="360" w:lineRule="auto"/>
        <w:rPr>
          <w:rFonts w:hint="eastAsia" w:ascii="黑体" w:eastAsia="黑体"/>
          <w:b/>
          <w:sz w:val="32"/>
        </w:rPr>
      </w:pPr>
    </w:p>
    <w:p>
      <w:pPr>
        <w:pStyle w:val="4"/>
        <w:spacing w:line="360" w:lineRule="auto"/>
        <w:rPr>
          <w:rFonts w:hint="eastAsia" w:ascii="黑体" w:eastAsia="黑体"/>
          <w:b/>
          <w:sz w:val="32"/>
        </w:rPr>
      </w:pPr>
    </w:p>
    <w:p>
      <w:pPr>
        <w:pStyle w:val="4"/>
        <w:spacing w:line="360" w:lineRule="auto"/>
        <w:rPr>
          <w:rFonts w:hint="eastAsia" w:ascii="黑体" w:eastAsia="黑体"/>
          <w:b/>
          <w:sz w:val="32"/>
        </w:rPr>
      </w:pPr>
    </w:p>
    <w:p>
      <w:pPr>
        <w:pStyle w:val="4"/>
        <w:spacing w:line="360" w:lineRule="auto"/>
        <w:rPr>
          <w:rFonts w:hint="eastAsia" w:ascii="黑体" w:eastAsia="黑体"/>
          <w:b/>
          <w:sz w:val="32"/>
        </w:rPr>
      </w:pPr>
    </w:p>
    <w:p>
      <w:pPr>
        <w:pStyle w:val="4"/>
        <w:spacing w:line="360" w:lineRule="auto"/>
        <w:rPr>
          <w:rFonts w:hint="eastAsia" w:ascii="黑体" w:eastAsia="黑体"/>
          <w:b/>
          <w:sz w:val="32"/>
        </w:rPr>
      </w:pPr>
    </w:p>
    <w:p>
      <w:pPr>
        <w:pStyle w:val="4"/>
        <w:spacing w:line="360" w:lineRule="auto"/>
        <w:rPr>
          <w:rFonts w:hint="eastAsia" w:ascii="黑体" w:eastAsia="黑体"/>
          <w:b/>
          <w:sz w:val="32"/>
        </w:rPr>
      </w:pPr>
    </w:p>
    <w:p>
      <w:pPr>
        <w:pStyle w:val="4"/>
        <w:spacing w:line="360" w:lineRule="auto"/>
        <w:rPr>
          <w:rFonts w:hint="eastAsia" w:ascii="黑体" w:eastAsia="黑体"/>
          <w:b/>
          <w:sz w:val="32"/>
        </w:rPr>
      </w:pPr>
    </w:p>
    <w:p>
      <w:pPr>
        <w:pStyle w:val="4"/>
        <w:spacing w:line="360" w:lineRule="auto"/>
        <w:rPr>
          <w:rFonts w:hint="eastAsia" w:ascii="黑体" w:eastAsia="黑体"/>
          <w:b/>
          <w:sz w:val="32"/>
        </w:rPr>
      </w:pPr>
    </w:p>
    <w:p>
      <w:pPr>
        <w:pStyle w:val="4"/>
        <w:spacing w:line="360" w:lineRule="auto"/>
        <w:rPr>
          <w:rFonts w:hint="eastAsia" w:ascii="黑体" w:eastAsia="黑体"/>
          <w:b/>
          <w:sz w:val="32"/>
        </w:rPr>
      </w:pPr>
    </w:p>
    <w:bookmarkEnd w:id="439"/>
    <w:bookmarkEnd w:id="440"/>
    <w:bookmarkEnd w:id="441"/>
    <w:bookmarkEnd w:id="442"/>
    <w:p>
      <w:pPr>
        <w:pStyle w:val="2"/>
        <w:rPr>
          <w:rFonts w:hint="eastAsia"/>
        </w:rPr>
      </w:pPr>
    </w:p>
    <w:p>
      <w:pPr>
        <w:pStyle w:val="3"/>
        <w:rPr>
          <w:rFonts w:hint="eastAsia"/>
        </w:rPr>
      </w:pPr>
    </w:p>
    <w:p>
      <w:pPr>
        <w:pStyle w:val="3"/>
        <w:rPr>
          <w:rFonts w:hint="eastAsia"/>
        </w:rPr>
      </w:pPr>
    </w:p>
    <w:p>
      <w:pPr>
        <w:spacing w:line="360" w:lineRule="auto"/>
        <w:jc w:val="center"/>
        <w:outlineLvl w:val="0"/>
        <w:rPr>
          <w:rFonts w:hint="eastAsia" w:ascii="宋体" w:hAnsi="宋体" w:eastAsia="宋体" w:cs="宋体"/>
          <w:b/>
          <w:sz w:val="36"/>
          <w:szCs w:val="36"/>
        </w:rPr>
      </w:pPr>
      <w:bookmarkStart w:id="443" w:name="第五部分"/>
      <w:bookmarkStart w:id="444" w:name="_Toc86217003"/>
      <w:bookmarkStart w:id="445" w:name="_Toc31100"/>
      <w:r>
        <w:rPr>
          <w:rFonts w:hint="eastAsia" w:ascii="宋体" w:hAnsi="宋体" w:eastAsia="宋体" w:cs="宋体"/>
          <w:b/>
          <w:sz w:val="36"/>
          <w:szCs w:val="36"/>
        </w:rPr>
        <w:t>第六部分</w:t>
      </w:r>
      <w:bookmarkEnd w:id="443"/>
      <w:r>
        <w:rPr>
          <w:rFonts w:hint="eastAsia" w:ascii="宋体" w:hAnsi="宋体" w:eastAsia="宋体" w:cs="宋体"/>
          <w:b/>
          <w:sz w:val="36"/>
          <w:szCs w:val="36"/>
        </w:rPr>
        <w:t xml:space="preserve"> </w:t>
      </w:r>
      <w:bookmarkEnd w:id="444"/>
      <w:r>
        <w:rPr>
          <w:rFonts w:hint="eastAsia" w:ascii="宋体" w:hAnsi="宋体" w:eastAsia="宋体" w:cs="宋体"/>
          <w:b/>
          <w:sz w:val="36"/>
          <w:szCs w:val="36"/>
        </w:rPr>
        <w:t>应提交的有关格式范例</w:t>
      </w:r>
      <w:bookmarkEnd w:id="445"/>
    </w:p>
    <w:p>
      <w:pPr>
        <w:spacing w:line="360" w:lineRule="auto"/>
        <w:ind w:firstLine="480" w:firstLineChars="200"/>
        <w:outlineLvl w:val="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投标人按照以下格式编制投标文件，并将资格文件、商务技术文件</w:t>
      </w:r>
      <w:r>
        <w:rPr>
          <w:rFonts w:hint="eastAsia" w:ascii="宋体" w:hAnsi="宋体" w:eastAsia="宋体" w:cs="宋体"/>
          <w:sz w:val="24"/>
          <w:lang w:eastAsia="zh-CN"/>
        </w:rPr>
        <w:t>、</w:t>
      </w:r>
      <w:r>
        <w:rPr>
          <w:rFonts w:hint="eastAsia" w:ascii="宋体" w:hAnsi="宋体" w:eastAsia="宋体" w:cs="宋体"/>
          <w:sz w:val="24"/>
        </w:rPr>
        <w:t>报价文件分别装订成册。</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此格式内容仅为参考模板，具体内容投标人应根据招标文件要求进行调整。未按以下格式编制投标文件或因格式不规范、页码不清等原因引发的一切后果由投标人自行承担。</w:t>
      </w:r>
    </w:p>
    <w:p>
      <w:pPr>
        <w:spacing w:line="360" w:lineRule="auto"/>
        <w:jc w:val="center"/>
        <w:rPr>
          <w:rFonts w:hint="eastAsia" w:ascii="宋体" w:hAnsi="宋体" w:eastAsia="宋体" w:cs="宋体"/>
          <w:b/>
          <w:kern w:val="0"/>
          <w:sz w:val="36"/>
          <w:szCs w:val="36"/>
        </w:rPr>
      </w:pPr>
      <w:r>
        <w:rPr>
          <w:rFonts w:hint="eastAsia" w:ascii="宋体" w:hAnsi="宋体" w:eastAsia="宋体" w:cs="宋体"/>
          <w:b/>
          <w:sz w:val="24"/>
        </w:rPr>
        <w:br w:type="page"/>
      </w:r>
      <w:r>
        <w:rPr>
          <w:rFonts w:hint="eastAsia" w:ascii="宋体" w:hAnsi="宋体" w:eastAsia="宋体" w:cs="宋体"/>
          <w:b/>
          <w:kern w:val="0"/>
          <w:sz w:val="36"/>
          <w:szCs w:val="36"/>
        </w:rPr>
        <w:t>资格文件部分</w:t>
      </w:r>
    </w:p>
    <w:p>
      <w:pPr>
        <w:spacing w:line="360" w:lineRule="auto"/>
        <w:jc w:val="center"/>
        <w:rPr>
          <w:rFonts w:hint="eastAsia" w:ascii="宋体" w:hAnsi="宋体" w:eastAsia="宋体" w:cs="宋体"/>
          <w:b/>
          <w:kern w:val="0"/>
          <w:sz w:val="36"/>
          <w:szCs w:val="36"/>
        </w:rPr>
      </w:pPr>
    </w:p>
    <w:p>
      <w:pPr>
        <w:spacing w:line="360"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）法定代表人授权书</w:t>
      </w:r>
      <w:r>
        <w:rPr>
          <w:rFonts w:hint="eastAsia" w:ascii="宋体" w:hAnsi="宋体" w:eastAsia="宋体" w:cs="宋体"/>
          <w:sz w:val="24"/>
          <w:lang w:eastAsia="zh-CN"/>
        </w:rPr>
        <w:t>；</w:t>
      </w:r>
      <w:r>
        <w:rPr>
          <w:rFonts w:hint="eastAsia" w:ascii="宋体" w:hAnsi="宋体" w:eastAsia="宋体" w:cs="宋体"/>
          <w:sz w:val="24"/>
        </w:rPr>
        <w:t>（格式见附件）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声明</w:t>
      </w:r>
      <w:r>
        <w:rPr>
          <w:rFonts w:hint="eastAsia" w:ascii="宋体" w:hAnsi="宋体" w:eastAsia="宋体" w:cs="宋体"/>
          <w:sz w:val="24"/>
        </w:rPr>
        <w:t>书</w:t>
      </w:r>
      <w:r>
        <w:rPr>
          <w:rFonts w:hint="eastAsia" w:ascii="宋体" w:hAnsi="宋体" w:eastAsia="宋体" w:cs="宋体"/>
          <w:sz w:val="24"/>
          <w:lang w:eastAsia="zh-CN"/>
        </w:rPr>
        <w:t>；</w:t>
      </w:r>
      <w:r>
        <w:rPr>
          <w:rFonts w:hint="eastAsia" w:ascii="宋体" w:hAnsi="宋体" w:eastAsia="宋体" w:cs="宋体"/>
          <w:sz w:val="24"/>
        </w:rPr>
        <w:t>（格式见附件）</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）提供自招标公告发布之日起至投标截止日内任意时间的“信用中国”网站（www.creditchina.gov.cn）、中国政府采购网（www.ccgp.gov.cn）投标人信用查询网页截图</w:t>
      </w:r>
      <w:r>
        <w:rPr>
          <w:rFonts w:hint="eastAsia" w:ascii="宋体" w:hAnsi="宋体" w:eastAsia="宋体" w:cs="宋体"/>
          <w:sz w:val="24"/>
          <w:lang w:eastAsia="zh-CN"/>
        </w:rPr>
        <w:t>；</w:t>
      </w:r>
      <w:r>
        <w:rPr>
          <w:rFonts w:hint="eastAsia" w:ascii="宋体" w:hAnsi="宋体" w:eastAsia="宋体" w:cs="宋体"/>
          <w:sz w:val="24"/>
        </w:rPr>
        <w:t>（以开标当日采购人或由采购人委托的评标委员会核实的查询结果为准）</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）营业执照(或事业法人登记证或其他工商等登记证明材料)复印件或事业单位法人证副本复印件或有效身份证明复印件</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）前一年度资产负债表等财务报表资料文件</w:t>
      </w:r>
      <w:r>
        <w:rPr>
          <w:rFonts w:hint="eastAsia" w:ascii="宋体" w:hAnsi="宋体" w:eastAsia="宋体" w:cs="宋体"/>
          <w:sz w:val="24"/>
          <w:lang w:eastAsia="zh-CN"/>
        </w:rPr>
        <w:t>；</w:t>
      </w:r>
      <w:r>
        <w:rPr>
          <w:rFonts w:hint="eastAsia" w:ascii="宋体" w:hAnsi="宋体" w:eastAsia="宋体" w:cs="宋体"/>
          <w:sz w:val="24"/>
        </w:rPr>
        <w:t>(新成立的公司，必须提供情况说明)</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）具有履行合同所必需的产品和专业技术能力的承诺函；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）提供有效的依法缴纳税收证明（完税凭证或税务部门出具的证明）和提供有效的依法缴纳社会保障资金证明（缴纳凭证或人社部门出具的证明）；</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8</w:t>
      </w:r>
      <w:r>
        <w:rPr>
          <w:rFonts w:hint="eastAsia" w:ascii="宋体" w:hAnsi="宋体" w:eastAsia="宋体" w:cs="宋体"/>
          <w:sz w:val="24"/>
        </w:rPr>
        <w:t>）提供采购公告中符合投标人特定条件要求的有效的其他资质复印件并加盖公司公章及需要说明的资料。</w:t>
      </w:r>
    </w:p>
    <w:p>
      <w:pPr>
        <w:pStyle w:val="10"/>
        <w:ind w:firstLine="486"/>
        <w:rPr>
          <w:rFonts w:hint="eastAsia" w:ascii="宋体" w:hAnsi="宋体" w:eastAsia="宋体" w:cs="宋体"/>
        </w:rPr>
      </w:pPr>
    </w:p>
    <w:p>
      <w:pPr>
        <w:pStyle w:val="10"/>
        <w:ind w:firstLine="486"/>
        <w:rPr>
          <w:rFonts w:hint="eastAsia" w:ascii="宋体" w:hAnsi="宋体" w:eastAsia="宋体" w:cs="宋体"/>
        </w:rPr>
      </w:pPr>
    </w:p>
    <w:p>
      <w:pPr>
        <w:pStyle w:val="10"/>
        <w:ind w:firstLine="486"/>
        <w:rPr>
          <w:rFonts w:hint="eastAsia" w:ascii="宋体" w:hAnsi="宋体" w:eastAsia="宋体" w:cs="宋体"/>
        </w:rPr>
      </w:pPr>
    </w:p>
    <w:p>
      <w:pPr>
        <w:pStyle w:val="10"/>
        <w:ind w:firstLine="486"/>
        <w:rPr>
          <w:rFonts w:hint="eastAsia" w:ascii="宋体" w:hAnsi="宋体" w:eastAsia="宋体" w:cs="宋体"/>
        </w:rPr>
      </w:pPr>
    </w:p>
    <w:p>
      <w:pPr>
        <w:pStyle w:val="10"/>
        <w:ind w:firstLine="486"/>
        <w:rPr>
          <w:rFonts w:hint="eastAsia" w:ascii="宋体" w:hAnsi="宋体" w:eastAsia="宋体" w:cs="宋体"/>
        </w:rPr>
      </w:pPr>
    </w:p>
    <w:p>
      <w:pPr>
        <w:pStyle w:val="10"/>
        <w:ind w:firstLine="486"/>
        <w:rPr>
          <w:rFonts w:hint="eastAsia" w:ascii="宋体" w:hAnsi="宋体" w:eastAsia="宋体" w:cs="宋体"/>
        </w:rPr>
      </w:pPr>
    </w:p>
    <w:p>
      <w:pPr>
        <w:pStyle w:val="10"/>
        <w:ind w:firstLine="486"/>
        <w:rPr>
          <w:rFonts w:hint="eastAsia" w:ascii="宋体" w:hAnsi="宋体" w:eastAsia="宋体" w:cs="宋体"/>
        </w:rPr>
      </w:pPr>
    </w:p>
    <w:p>
      <w:pPr>
        <w:pStyle w:val="10"/>
        <w:ind w:firstLine="486"/>
        <w:rPr>
          <w:rFonts w:hint="eastAsia" w:ascii="宋体" w:hAnsi="宋体" w:eastAsia="宋体" w:cs="宋体"/>
        </w:rPr>
      </w:pPr>
    </w:p>
    <w:p>
      <w:pPr>
        <w:pStyle w:val="10"/>
        <w:ind w:firstLine="486"/>
        <w:rPr>
          <w:rFonts w:hint="eastAsia" w:ascii="宋体" w:hAnsi="宋体" w:eastAsia="宋体" w:cs="宋体"/>
        </w:rPr>
      </w:pPr>
    </w:p>
    <w:p>
      <w:pPr>
        <w:pStyle w:val="10"/>
        <w:ind w:firstLine="486"/>
        <w:rPr>
          <w:rFonts w:hint="eastAsia" w:ascii="宋体" w:hAnsi="宋体" w:eastAsia="宋体" w:cs="宋体"/>
        </w:rPr>
      </w:pPr>
    </w:p>
    <w:p>
      <w:pPr>
        <w:pStyle w:val="2"/>
        <w:numPr>
          <w:ilvl w:val="0"/>
          <w:numId w:val="0"/>
        </w:numPr>
        <w:ind w:leftChars="0"/>
        <w:rPr>
          <w:rFonts w:hint="eastAsia" w:ascii="宋体" w:hAnsi="宋体" w:eastAsia="宋体" w:cs="宋体"/>
          <w:b w:val="0"/>
          <w:color w:val="000000"/>
          <w:sz w:val="24"/>
          <w:szCs w:val="24"/>
        </w:rPr>
      </w:pPr>
      <w:bookmarkStart w:id="446" w:name="_Toc24699"/>
      <w:r>
        <w:rPr>
          <w:rFonts w:hint="eastAsia" w:ascii="宋体" w:hAnsi="宋体" w:eastAsia="宋体" w:cs="宋体"/>
          <w:color w:val="000000"/>
          <w:sz w:val="24"/>
          <w:szCs w:val="24"/>
        </w:rPr>
        <w:t>附件</w:t>
      </w:r>
      <w:r>
        <w:rPr>
          <w:rFonts w:hint="eastAsia" w:ascii="宋体" w:hAnsi="宋体" w:eastAsia="宋体" w:cs="宋体"/>
          <w:color w:val="000000"/>
          <w:sz w:val="24"/>
          <w:szCs w:val="24"/>
          <w:lang w:val="en-US"/>
        </w:rPr>
        <w:t>一：</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法定代表人授权书</w:t>
      </w:r>
      <w:bookmarkEnd w:id="446"/>
    </w:p>
    <w:p>
      <w:pPr>
        <w:pStyle w:val="3"/>
        <w:spacing w:line="360" w:lineRule="auto"/>
        <w:rPr>
          <w:rFonts w:hint="eastAsia" w:ascii="宋体" w:hAnsi="宋体" w:eastAsia="宋体" w:cs="宋体"/>
        </w:rPr>
      </w:pPr>
    </w:p>
    <w:p>
      <w:pPr>
        <w:spacing w:line="360" w:lineRule="auto"/>
        <w:ind w:firstLine="480" w:firstLineChars="200"/>
        <w:rPr>
          <w:rFonts w:hint="eastAsia" w:ascii="宋体" w:hAnsi="宋体" w:eastAsia="宋体" w:cs="宋体"/>
          <w:sz w:val="24"/>
        </w:rPr>
      </w:pPr>
      <w:r>
        <w:rPr>
          <w:rFonts w:hint="eastAsia" w:ascii="宋体" w:hAnsi="宋体" w:eastAsia="宋体" w:cs="宋体"/>
          <w:color w:val="FF0000"/>
          <w:sz w:val="24"/>
          <w:u w:val="single"/>
          <w:lang w:val="en-US" w:eastAsia="zh-CN"/>
        </w:rPr>
        <w:t xml:space="preserve">绍兴市上虞人民医院 </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绍兴市上虞区公共资源交易中心：</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FF0000"/>
          <w:sz w:val="24"/>
          <w:u w:val="single"/>
        </w:rPr>
        <w:t xml:space="preserve">  （投标人全称）</w:t>
      </w:r>
      <w:r>
        <w:rPr>
          <w:rFonts w:hint="eastAsia" w:ascii="宋体" w:hAnsi="宋体" w:eastAsia="宋体" w:cs="宋体"/>
          <w:color w:val="FF0000"/>
          <w:sz w:val="24"/>
          <w:u w:val="single"/>
          <w:lang w:val="en-US" w:eastAsia="zh-CN"/>
        </w:rPr>
        <w:t xml:space="preserve"> </w:t>
      </w:r>
      <w:r>
        <w:rPr>
          <w:rFonts w:hint="eastAsia" w:ascii="宋体" w:hAnsi="宋体" w:eastAsia="宋体" w:cs="宋体"/>
          <w:sz w:val="24"/>
        </w:rPr>
        <w:t>法定代表人</w:t>
      </w:r>
      <w:r>
        <w:rPr>
          <w:rFonts w:hint="eastAsia" w:ascii="宋体" w:hAnsi="宋体" w:eastAsia="宋体" w:cs="宋体"/>
          <w:color w:val="FF0000"/>
          <w:sz w:val="24"/>
          <w:u w:val="single"/>
        </w:rPr>
        <w:t xml:space="preserve">         </w:t>
      </w:r>
      <w:r>
        <w:rPr>
          <w:rFonts w:hint="eastAsia" w:ascii="宋体" w:hAnsi="宋体" w:eastAsia="宋体" w:cs="宋体"/>
          <w:sz w:val="24"/>
        </w:rPr>
        <w:t>授权</w:t>
      </w:r>
      <w:r>
        <w:rPr>
          <w:rFonts w:hint="eastAsia" w:ascii="宋体" w:hAnsi="宋体" w:eastAsia="宋体" w:cs="宋体"/>
          <w:color w:val="FF0000"/>
          <w:sz w:val="24"/>
          <w:u w:val="single"/>
        </w:rPr>
        <w:t>（授权代表名称）</w:t>
      </w:r>
      <w:r>
        <w:rPr>
          <w:rFonts w:hint="eastAsia" w:ascii="宋体" w:hAnsi="宋体" w:eastAsia="宋体" w:cs="宋体"/>
          <w:sz w:val="24"/>
        </w:rPr>
        <w:t>为授权代表，参加贵处组织的</w:t>
      </w:r>
      <w:r>
        <w:rPr>
          <w:rFonts w:hint="eastAsia" w:ascii="宋体" w:hAnsi="宋体" w:eastAsia="宋体" w:cs="宋体"/>
          <w:color w:val="FF0000"/>
          <w:sz w:val="24"/>
          <w:u w:val="single"/>
        </w:rPr>
        <w:t xml:space="preserve">         </w:t>
      </w:r>
      <w:r>
        <w:rPr>
          <w:rFonts w:hint="eastAsia" w:ascii="宋体" w:hAnsi="宋体" w:eastAsia="宋体" w:cs="宋体"/>
          <w:sz w:val="24"/>
        </w:rPr>
        <w:t>项目</w:t>
      </w:r>
      <w:r>
        <w:rPr>
          <w:rFonts w:hint="eastAsia" w:ascii="宋体" w:hAnsi="宋体" w:eastAsia="宋体" w:cs="宋体"/>
          <w:color w:val="FF0000"/>
          <w:sz w:val="24"/>
          <w:u w:val="single"/>
        </w:rPr>
        <w:t>（括号内填写招标编号）</w:t>
      </w:r>
      <w:r>
        <w:rPr>
          <w:rFonts w:hint="eastAsia" w:ascii="宋体" w:hAnsi="宋体" w:eastAsia="宋体" w:cs="宋体"/>
          <w:sz w:val="24"/>
        </w:rPr>
        <w:t>，授权处理招投标活动中的一切事宜。</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法定代表人签字：</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投标人全称：（盖章）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日期：</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授权代表姓名：</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职务：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详细通讯地址：</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传真：</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电话：</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邮政编码：</w:t>
      </w:r>
    </w:p>
    <w:p>
      <w:pPr>
        <w:pStyle w:val="13"/>
        <w:snapToGrid w:val="0"/>
        <w:spacing w:line="360" w:lineRule="auto"/>
        <w:rPr>
          <w:rFonts w:hint="eastAsia" w:ascii="宋体" w:hAnsi="宋体" w:eastAsia="宋体" w:cs="宋体"/>
          <w:color w:val="000000"/>
          <w:sz w:val="24"/>
        </w:rPr>
      </w:pPr>
    </w:p>
    <w:p>
      <w:pPr>
        <w:pStyle w:val="13"/>
        <w:snapToGrid w:val="0"/>
        <w:spacing w:line="360" w:lineRule="auto"/>
        <w:rPr>
          <w:rFonts w:hint="eastAsia" w:ascii="宋体" w:hAnsi="宋体" w:eastAsia="宋体" w:cs="宋体"/>
          <w:color w:val="000000"/>
          <w:sz w:val="24"/>
        </w:rPr>
      </w:pPr>
    </w:p>
    <w:p>
      <w:pPr>
        <w:pStyle w:val="13"/>
        <w:snapToGrid w:val="0"/>
        <w:spacing w:line="360" w:lineRule="auto"/>
        <w:rPr>
          <w:rFonts w:hint="eastAsia" w:ascii="宋体" w:hAnsi="宋体" w:eastAsia="宋体" w:cs="宋体"/>
          <w:color w:val="000000"/>
          <w:sz w:val="24"/>
        </w:rPr>
      </w:pPr>
    </w:p>
    <w:p>
      <w:pPr>
        <w:spacing w:line="360" w:lineRule="auto"/>
        <w:rPr>
          <w:rFonts w:hint="eastAsia" w:ascii="宋体" w:hAnsi="宋体" w:eastAsia="宋体" w:cs="宋体"/>
          <w:b/>
          <w:sz w:val="24"/>
        </w:rPr>
      </w:pPr>
      <w:r>
        <w:rPr>
          <w:rFonts w:hint="eastAsia" w:ascii="宋体" w:hAnsi="宋体" w:eastAsia="宋体" w:cs="宋体"/>
          <w:b/>
          <w:sz w:val="24"/>
        </w:rPr>
        <w:t>附：授权代表身份证复印件（正反面）</w:t>
      </w:r>
    </w:p>
    <w:p>
      <w:pPr>
        <w:spacing w:line="360" w:lineRule="auto"/>
        <w:rPr>
          <w:rFonts w:hint="eastAsia" w:ascii="宋体" w:hAnsi="宋体" w:eastAsia="宋体" w:cs="宋体"/>
          <w:b/>
          <w:sz w:val="24"/>
        </w:rPr>
      </w:pPr>
    </w:p>
    <w:p>
      <w:pPr>
        <w:pStyle w:val="10"/>
        <w:ind w:firstLine="486"/>
        <w:rPr>
          <w:rFonts w:hint="eastAsia" w:ascii="宋体" w:hAnsi="宋体" w:eastAsia="宋体" w:cs="宋体"/>
        </w:rPr>
      </w:pPr>
    </w:p>
    <w:p>
      <w:pPr>
        <w:snapToGrid w:val="0"/>
        <w:spacing w:before="50" w:after="167" w:afterLines="50"/>
        <w:jc w:val="left"/>
        <w:rPr>
          <w:rFonts w:hint="eastAsia" w:ascii="宋体" w:hAnsi="宋体" w:eastAsia="宋体" w:cs="宋体"/>
          <w:b/>
          <w:bCs/>
          <w:color w:val="000000"/>
          <w:kern w:val="2"/>
          <w:sz w:val="24"/>
          <w:szCs w:val="24"/>
          <w:lang w:val="zh-CN" w:eastAsia="zh-CN" w:bidi="ar-SA"/>
        </w:rPr>
      </w:pPr>
      <w:r>
        <w:rPr>
          <w:rFonts w:hint="eastAsia" w:ascii="宋体" w:hAnsi="宋体" w:eastAsia="宋体" w:cs="宋体"/>
          <w:b/>
          <w:bCs/>
          <w:sz w:val="24"/>
        </w:rPr>
        <w:br w:type="page"/>
      </w:r>
      <w:r>
        <w:rPr>
          <w:rFonts w:hint="eastAsia" w:ascii="宋体" w:hAnsi="宋体" w:eastAsia="宋体" w:cs="宋体"/>
          <w:b/>
          <w:bCs/>
          <w:color w:val="000000"/>
          <w:kern w:val="2"/>
          <w:sz w:val="24"/>
          <w:szCs w:val="24"/>
          <w:lang w:val="zh-CN" w:eastAsia="zh-CN" w:bidi="ar-SA"/>
        </w:rPr>
        <w:t>附件二：</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lang w:eastAsia="zh-CN"/>
        </w:rPr>
        <w:t>声</w:t>
      </w:r>
      <w:r>
        <w:rPr>
          <w:rFonts w:hint="eastAsia" w:ascii="宋体" w:hAnsi="宋体" w:eastAsia="宋体" w:cs="宋体"/>
          <w:b/>
          <w:bCs/>
          <w:color w:val="auto"/>
          <w:sz w:val="32"/>
          <w:szCs w:val="32"/>
          <w:u w:val="none"/>
          <w:lang w:val="en-US" w:eastAsia="zh-CN"/>
        </w:rPr>
        <w:t xml:space="preserve"> </w:t>
      </w:r>
      <w:r>
        <w:rPr>
          <w:rFonts w:hint="eastAsia" w:ascii="宋体" w:hAnsi="宋体" w:eastAsia="宋体" w:cs="宋体"/>
          <w:b/>
          <w:bCs/>
          <w:color w:val="auto"/>
          <w:sz w:val="32"/>
          <w:szCs w:val="32"/>
          <w:u w:val="none"/>
          <w:lang w:eastAsia="zh-CN"/>
        </w:rPr>
        <w:t>明</w:t>
      </w:r>
      <w:r>
        <w:rPr>
          <w:rFonts w:hint="eastAsia" w:ascii="宋体" w:hAnsi="宋体" w:eastAsia="宋体" w:cs="宋体"/>
          <w:b/>
          <w:bCs/>
          <w:color w:val="auto"/>
          <w:sz w:val="32"/>
          <w:szCs w:val="32"/>
          <w:u w:val="none"/>
        </w:rPr>
        <w:t xml:space="preserve"> 书</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FF0000"/>
          <w:sz w:val="24"/>
          <w:u w:val="single"/>
          <w:lang w:val="en-US" w:eastAsia="zh-CN"/>
        </w:rPr>
        <w:t xml:space="preserve">绍兴市上虞人民医院 </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绍兴市上虞区公共资源交易中心：</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FF0000"/>
          <w:sz w:val="24"/>
          <w:u w:val="single"/>
        </w:rPr>
        <w:t>（投标人名称）</w:t>
      </w:r>
      <w:r>
        <w:rPr>
          <w:rFonts w:hint="eastAsia" w:ascii="宋体" w:hAnsi="宋体" w:eastAsia="宋体" w:cs="宋体"/>
          <w:sz w:val="24"/>
        </w:rPr>
        <w:t>系中华人民共和国合法企业，经营地址。</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color w:val="FF0000"/>
          <w:sz w:val="24"/>
          <w:u w:val="single"/>
        </w:rPr>
        <w:t>（姓名）</w:t>
      </w:r>
      <w:r>
        <w:rPr>
          <w:rFonts w:hint="eastAsia" w:ascii="宋体" w:hAnsi="宋体" w:eastAsia="宋体" w:cs="宋体"/>
          <w:sz w:val="24"/>
        </w:rPr>
        <w:t>系</w:t>
      </w:r>
      <w:r>
        <w:rPr>
          <w:rFonts w:hint="eastAsia" w:ascii="宋体" w:hAnsi="宋体" w:eastAsia="宋体" w:cs="宋体"/>
          <w:color w:val="FF0000"/>
          <w:sz w:val="24"/>
          <w:u w:val="single"/>
        </w:rPr>
        <w:t>（投标人名称）</w:t>
      </w:r>
      <w:r>
        <w:rPr>
          <w:rFonts w:hint="eastAsia" w:ascii="宋体" w:hAnsi="宋体" w:eastAsia="宋体" w:cs="宋体"/>
          <w:sz w:val="24"/>
        </w:rPr>
        <w:t>的法定代表人，我方愿意参加贵方组织的</w:t>
      </w:r>
      <w:r>
        <w:rPr>
          <w:rFonts w:hint="eastAsia" w:ascii="宋体" w:hAnsi="宋体" w:eastAsia="宋体" w:cs="宋体"/>
          <w:color w:val="FF0000"/>
          <w:sz w:val="24"/>
          <w:u w:val="single"/>
        </w:rPr>
        <w:t>（招标项目名称）（编号为）</w:t>
      </w:r>
      <w:r>
        <w:rPr>
          <w:rFonts w:hint="eastAsia" w:ascii="宋体" w:hAnsi="宋体" w:eastAsia="宋体" w:cs="宋体"/>
          <w:sz w:val="24"/>
        </w:rPr>
        <w:t>的投标，为此，我方就本次投标有关事项郑重声明如下：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1、我方已详细审查全部招标文件，同意招标文件的各项要求。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2、我方向贵方提交的所有投标文件、资料都是准确的和真实的。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3、若中标，我方将按招标文件规定履行合同责任和义务。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4、我方不是采购人的附属机构；在获知本项目采购信息后，与采购人聘请的为此项目提供咨询服务的公司及其附属机构没有任何联系。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5、投标文件自开标日起有效期为90天。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6、我方参与本项目前</w:t>
      </w:r>
      <w:r>
        <w:rPr>
          <w:rFonts w:hint="eastAsia" w:ascii="宋体" w:hAnsi="宋体" w:eastAsia="宋体" w:cs="宋体"/>
          <w:sz w:val="24"/>
          <w:lang w:val="en-US" w:eastAsia="zh-CN"/>
        </w:rPr>
        <w:t>5</w:t>
      </w:r>
      <w:r>
        <w:rPr>
          <w:rFonts w:hint="eastAsia" w:ascii="宋体" w:hAnsi="宋体" w:eastAsia="宋体" w:cs="宋体"/>
          <w:sz w:val="24"/>
        </w:rPr>
        <w:t>年内的经营活动中没有重大违法记录；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8、以上事项如有虚假或隐瞒，我方愿意承担一切后果，并不再寻求任何旨在减轻或免除法律责任的辩解。</w:t>
      </w:r>
    </w:p>
    <w:p>
      <w:pPr>
        <w:pStyle w:val="10"/>
        <w:rPr>
          <w:rFonts w:hint="eastAsia" w:ascii="宋体" w:hAnsi="宋体" w:eastAsia="宋体" w:cs="宋体"/>
        </w:rPr>
      </w:pPr>
    </w:p>
    <w:p>
      <w:pPr>
        <w:pStyle w:val="10"/>
        <w:rPr>
          <w:rFonts w:hint="eastAsia" w:ascii="宋体" w:hAnsi="宋体" w:eastAsia="宋体" w:cs="宋体"/>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投标人全称（公章）：</w:t>
      </w:r>
    </w:p>
    <w:p>
      <w:pPr>
        <w:pStyle w:val="10"/>
        <w:ind w:firstLine="566"/>
        <w:rPr>
          <w:rFonts w:hint="eastAsia" w:ascii="宋体" w:hAnsi="宋体" w:eastAsia="宋体" w:cs="宋体"/>
          <w:sz w:val="28"/>
          <w:szCs w:val="28"/>
        </w:rPr>
      </w:pPr>
    </w:p>
    <w:p>
      <w:pPr>
        <w:pStyle w:val="3"/>
        <w:rPr>
          <w:rFonts w:hint="eastAsia" w:ascii="宋体" w:hAnsi="宋体" w:eastAsia="宋体" w:cs="宋体"/>
        </w:rPr>
      </w:pPr>
    </w:p>
    <w:p>
      <w:pPr>
        <w:spacing w:line="360" w:lineRule="auto"/>
        <w:jc w:val="both"/>
        <w:rPr>
          <w:rFonts w:hint="eastAsia" w:ascii="宋体" w:hAnsi="宋体" w:eastAsia="宋体" w:cs="宋体"/>
          <w:b/>
          <w:kern w:val="0"/>
          <w:sz w:val="36"/>
          <w:szCs w:val="36"/>
        </w:rPr>
      </w:pPr>
    </w:p>
    <w:p>
      <w:pPr>
        <w:keepNext w:val="0"/>
        <w:keepLines w:val="0"/>
        <w:widowControl/>
        <w:suppressLineNumbers w:val="0"/>
        <w:jc w:val="left"/>
        <w:rPr>
          <w:rFonts w:hint="eastAsia" w:ascii="宋体" w:hAnsi="宋体" w:eastAsia="宋体" w:cs="宋体"/>
          <w:b/>
          <w:bCs/>
          <w:color w:val="000000"/>
          <w:kern w:val="2"/>
          <w:sz w:val="24"/>
          <w:szCs w:val="24"/>
          <w:lang w:val="zh-CN" w:eastAsia="zh-CN" w:bidi="ar-SA"/>
        </w:rPr>
      </w:pPr>
    </w:p>
    <w:p>
      <w:pPr>
        <w:spacing w:line="360" w:lineRule="auto"/>
        <w:jc w:val="center"/>
        <w:rPr>
          <w:rFonts w:hint="eastAsia" w:ascii="宋体" w:hAnsi="宋体" w:eastAsia="宋体" w:cs="宋体"/>
          <w:b/>
          <w:kern w:val="0"/>
          <w:sz w:val="36"/>
          <w:szCs w:val="36"/>
          <w:lang w:eastAsia="zh-CN"/>
        </w:rPr>
      </w:pPr>
    </w:p>
    <w:p>
      <w:pPr>
        <w:spacing w:line="360"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lang w:eastAsia="zh-CN"/>
        </w:rPr>
        <w:t>商务技术</w:t>
      </w:r>
      <w:r>
        <w:rPr>
          <w:rFonts w:hint="eastAsia" w:ascii="宋体" w:hAnsi="宋体" w:eastAsia="宋体" w:cs="宋体"/>
          <w:b/>
          <w:kern w:val="0"/>
          <w:sz w:val="36"/>
          <w:szCs w:val="36"/>
        </w:rPr>
        <w:t>文件</w:t>
      </w:r>
    </w:p>
    <w:p>
      <w:pPr>
        <w:spacing w:line="360" w:lineRule="auto"/>
        <w:jc w:val="center"/>
        <w:rPr>
          <w:rFonts w:hint="eastAsia" w:ascii="宋体" w:hAnsi="宋体" w:eastAsia="宋体" w:cs="宋体"/>
          <w:b/>
          <w:kern w:val="0"/>
          <w:sz w:val="36"/>
          <w:szCs w:val="36"/>
        </w:rPr>
      </w:pPr>
    </w:p>
    <w:p>
      <w:pPr>
        <w:spacing w:line="360"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pStyle w:val="10"/>
        <w:ind w:left="426" w:firstLine="486"/>
        <w:rPr>
          <w:rFonts w:hint="eastAsia" w:ascii="宋体" w:hAnsi="宋体" w:eastAsia="宋体" w:cs="宋体"/>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（1）评分对应表（格式见附件，主要用于评委对应评分内容）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（2）投标人</w:t>
      </w:r>
      <w:r>
        <w:rPr>
          <w:rFonts w:hint="eastAsia" w:ascii="宋体" w:hAnsi="宋体" w:eastAsia="宋体" w:cs="宋体"/>
          <w:sz w:val="24"/>
          <w:lang w:eastAsia="zh-CN"/>
        </w:rPr>
        <w:t>商务技术</w:t>
      </w:r>
      <w:r>
        <w:rPr>
          <w:rFonts w:hint="eastAsia" w:ascii="宋体" w:hAnsi="宋体" w:eastAsia="宋体" w:cs="宋体"/>
          <w:sz w:val="24"/>
        </w:rPr>
        <w:t>文件中资信分自评表（格式见附件）；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（3）投标项目明细清单（格式见附件）；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w:t>
      </w:r>
      <w:bookmarkStart w:id="447" w:name="_Toc130094926"/>
      <w:bookmarkStart w:id="448" w:name="_Toc98731775"/>
      <w:r>
        <w:rPr>
          <w:rFonts w:hint="eastAsia" w:ascii="宋体" w:hAnsi="宋体" w:eastAsia="宋体" w:cs="宋体"/>
          <w:sz w:val="24"/>
        </w:rPr>
        <w:t>技术响应及建议</w:t>
      </w:r>
      <w:bookmarkEnd w:id="447"/>
      <w:bookmarkEnd w:id="448"/>
      <w:r>
        <w:rPr>
          <w:rFonts w:hint="eastAsia" w:ascii="宋体" w:hAnsi="宋体" w:eastAsia="宋体" w:cs="宋体"/>
          <w:sz w:val="24"/>
        </w:rPr>
        <w:t>表（格式见附件）；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（5）商务响应表（格式见附件）；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（6）项目总体解决方案（可包含且不限于对项目总体要求的理解、项目总体架构及技术解决方案等）；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（7）项目实施计划（可包含且不限于保证工期的施工组织方案及人力资源安排、项目组人员清单等）；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（8）售后服务计划（可包含且不限于对用户故障的响应、处理、定期巡检、备品备件、常用耗材提供、驻点人员情况等）；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（9）技术培训计划（若有）；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（10）投标人履约能力（可包含且不限于技术力量情况、投标人各项能力证书）；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（11）案例的业绩证明（投标人业绩情况一览表、合同复印件等）投标人业绩；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（12）投标方认为需要的其他文件资料。 </w:t>
      </w:r>
    </w:p>
    <w:p>
      <w:pPr>
        <w:pStyle w:val="13"/>
        <w:spacing w:line="500" w:lineRule="exact"/>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color w:val="FF0000"/>
          <w:sz w:val="24"/>
        </w:rPr>
      </w:pPr>
      <w:r>
        <w:rPr>
          <w:rFonts w:hint="eastAsia" w:ascii="宋体" w:hAnsi="宋体" w:eastAsia="宋体" w:cs="宋体"/>
          <w:color w:val="FF0000"/>
          <w:sz w:val="24"/>
        </w:rPr>
        <w:t>（备注：以上仅为参考模板，应根据实际情况调整目录。）</w:t>
      </w:r>
    </w:p>
    <w:p>
      <w:pPr>
        <w:pStyle w:val="10"/>
        <w:ind w:firstLine="566"/>
        <w:rPr>
          <w:rFonts w:hint="eastAsia" w:ascii="宋体" w:hAnsi="宋体" w:eastAsia="宋体" w:cs="宋体"/>
          <w:sz w:val="28"/>
          <w:szCs w:val="28"/>
        </w:rPr>
      </w:pPr>
    </w:p>
    <w:p>
      <w:pPr>
        <w:pStyle w:val="10"/>
        <w:ind w:firstLine="566"/>
        <w:rPr>
          <w:rFonts w:hint="eastAsia" w:ascii="宋体" w:hAnsi="宋体" w:eastAsia="宋体" w:cs="宋体"/>
          <w:sz w:val="28"/>
          <w:szCs w:val="28"/>
        </w:rPr>
      </w:pPr>
    </w:p>
    <w:p>
      <w:pPr>
        <w:pStyle w:val="10"/>
        <w:ind w:firstLine="566"/>
        <w:rPr>
          <w:rFonts w:hint="eastAsia" w:ascii="宋体" w:hAnsi="宋体" w:eastAsia="宋体" w:cs="宋体"/>
          <w:sz w:val="28"/>
          <w:szCs w:val="28"/>
        </w:rPr>
      </w:pPr>
    </w:p>
    <w:p>
      <w:pPr>
        <w:pStyle w:val="10"/>
        <w:ind w:firstLine="566"/>
        <w:rPr>
          <w:rFonts w:hint="eastAsia" w:ascii="宋体" w:hAnsi="宋体" w:eastAsia="宋体" w:cs="宋体"/>
          <w:sz w:val="28"/>
          <w:szCs w:val="28"/>
        </w:rPr>
      </w:pPr>
    </w:p>
    <w:p>
      <w:pPr>
        <w:snapToGrid w:val="0"/>
        <w:spacing w:before="50" w:after="50"/>
        <w:jc w:val="left"/>
        <w:rPr>
          <w:rFonts w:hint="eastAsia" w:ascii="宋体" w:hAnsi="宋体" w:eastAsia="宋体" w:cs="宋体"/>
          <w:b/>
          <w:bCs/>
          <w:color w:val="000000"/>
          <w:kern w:val="2"/>
          <w:sz w:val="24"/>
          <w:szCs w:val="24"/>
          <w:lang w:val="zh-CN" w:eastAsia="zh-CN" w:bidi="ar-SA"/>
        </w:rPr>
      </w:pPr>
      <w:bookmarkStart w:id="449" w:name="_Toc10131"/>
      <w:r>
        <w:rPr>
          <w:rFonts w:hint="eastAsia" w:ascii="宋体" w:hAnsi="宋体" w:eastAsia="宋体" w:cs="宋体"/>
          <w:b/>
          <w:bCs/>
          <w:color w:val="000000"/>
          <w:kern w:val="2"/>
          <w:sz w:val="24"/>
          <w:szCs w:val="24"/>
          <w:lang w:val="zh-CN" w:eastAsia="zh-CN" w:bidi="ar-SA"/>
        </w:rPr>
        <w:t>附件三：</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评分对应表</w:t>
      </w:r>
    </w:p>
    <w:p>
      <w:pPr>
        <w:snapToGrid w:val="0"/>
        <w:spacing w:before="50"/>
        <w:jc w:val="center"/>
        <w:rPr>
          <w:rFonts w:hint="eastAsia" w:ascii="宋体" w:hAnsi="宋体" w:eastAsia="宋体" w:cs="宋体"/>
          <w:b/>
          <w:sz w:val="32"/>
          <w:szCs w:val="32"/>
        </w:rPr>
      </w:pP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采购编号</w:t>
      </w:r>
      <w:r>
        <w:rPr>
          <w:rFonts w:hint="eastAsia" w:ascii="宋体" w:hAnsi="宋体" w:eastAsia="宋体" w:cs="宋体"/>
          <w:sz w:val="24"/>
        </w:rPr>
        <w:t>：</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投标文件对应资料</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对应评分办法及评分标准</w:t>
            </w:r>
          </w:p>
          <w:p>
            <w:pPr>
              <w:jc w:val="center"/>
              <w:rPr>
                <w:rFonts w:hint="eastAsia" w:ascii="宋体" w:hAnsi="宋体" w:eastAsia="宋体" w:cs="宋体"/>
                <w:sz w:val="24"/>
                <w:szCs w:val="24"/>
              </w:rPr>
            </w:pPr>
            <w:r>
              <w:rPr>
                <w:rFonts w:hint="eastAsia" w:ascii="宋体" w:hAnsi="宋体" w:eastAsia="宋体" w:cs="宋体"/>
                <w:sz w:val="24"/>
                <w:szCs w:val="24"/>
              </w:rPr>
              <w:t>（报价除外）</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sz w:val="24"/>
              </w:rPr>
            </w:pPr>
          </w:p>
        </w:tc>
      </w:tr>
    </w:tbl>
    <w:p>
      <w:pPr>
        <w:spacing w:line="360" w:lineRule="auto"/>
        <w:ind w:firstLine="480" w:firstLineChars="200"/>
        <w:rPr>
          <w:rFonts w:hint="eastAsia" w:ascii="宋体" w:hAnsi="宋体" w:eastAsia="宋体" w:cs="宋体"/>
          <w:sz w:val="24"/>
          <w:lang w:val="en-US" w:eastAsia="zh-CN"/>
        </w:rPr>
      </w:pPr>
    </w:p>
    <w:p>
      <w:pPr>
        <w:spacing w:line="360" w:lineRule="auto"/>
        <w:ind w:leftChars="1800" w:firstLine="480" w:firstLineChars="200"/>
        <w:rPr>
          <w:rFonts w:hint="eastAsia" w:ascii="宋体" w:hAnsi="宋体" w:eastAsia="宋体" w:cs="宋体"/>
          <w:sz w:val="24"/>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投标人全称（公章）：</w:t>
      </w:r>
    </w:p>
    <w:p>
      <w:pPr>
        <w:snapToGrid w:val="0"/>
        <w:spacing w:before="50" w:after="167" w:afterLines="50"/>
        <w:jc w:val="left"/>
        <w:rPr>
          <w:rFonts w:hint="eastAsia" w:ascii="宋体" w:hAnsi="宋体" w:eastAsia="宋体" w:cs="宋体"/>
          <w:sz w:val="30"/>
          <w:szCs w:val="30"/>
        </w:rPr>
      </w:pPr>
    </w:p>
    <w:p>
      <w:pPr>
        <w:pStyle w:val="2"/>
        <w:numPr>
          <w:ilvl w:val="0"/>
          <w:numId w:val="0"/>
        </w:numPr>
        <w:rPr>
          <w:rFonts w:hint="eastAsia" w:ascii="宋体" w:hAnsi="宋体" w:eastAsia="宋体" w:cs="宋体"/>
          <w:b/>
          <w:bCs/>
          <w:color w:val="000000"/>
          <w:sz w:val="24"/>
          <w:szCs w:val="24"/>
        </w:rPr>
      </w:pPr>
      <w:r>
        <w:rPr>
          <w:rFonts w:hint="eastAsia" w:ascii="宋体" w:hAnsi="宋体" w:eastAsia="宋体" w:cs="宋体"/>
          <w:sz w:val="30"/>
          <w:szCs w:val="30"/>
        </w:rPr>
        <w:br w:type="page"/>
      </w:r>
      <w:r>
        <w:rPr>
          <w:rFonts w:hint="eastAsia" w:ascii="宋体" w:hAnsi="宋体" w:eastAsia="宋体" w:cs="宋体"/>
          <w:b/>
          <w:bCs/>
          <w:color w:val="000000"/>
          <w:sz w:val="24"/>
          <w:szCs w:val="24"/>
        </w:rPr>
        <w:t>附件</w:t>
      </w:r>
      <w:r>
        <w:rPr>
          <w:rFonts w:hint="eastAsia" w:hAnsi="宋体" w:eastAsia="宋体" w:cs="宋体"/>
          <w:b/>
          <w:bCs/>
          <w:color w:val="000000"/>
          <w:sz w:val="24"/>
          <w:szCs w:val="24"/>
          <w:lang w:val="en-US" w:eastAsia="zh-CN"/>
        </w:rPr>
        <w:t>四</w:t>
      </w:r>
      <w:r>
        <w:rPr>
          <w:rFonts w:hint="eastAsia" w:ascii="宋体" w:hAnsi="宋体" w:eastAsia="宋体" w:cs="宋体"/>
          <w:b/>
          <w:bCs/>
          <w:color w:val="000000"/>
          <w:sz w:val="24"/>
          <w:szCs w:val="24"/>
          <w:lang w:val="en-US"/>
        </w:rPr>
        <w:t>：</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投标人</w:t>
      </w:r>
      <w:r>
        <w:rPr>
          <w:rFonts w:hint="eastAsia" w:ascii="宋体" w:hAnsi="宋体" w:eastAsia="宋体" w:cs="宋体"/>
          <w:b/>
          <w:bCs/>
          <w:color w:val="auto"/>
          <w:sz w:val="32"/>
          <w:szCs w:val="32"/>
          <w:u w:val="none"/>
          <w:lang w:eastAsia="zh-CN"/>
        </w:rPr>
        <w:t>商务技术</w:t>
      </w:r>
      <w:r>
        <w:rPr>
          <w:rFonts w:hint="eastAsia" w:ascii="宋体" w:hAnsi="宋体" w:eastAsia="宋体" w:cs="宋体"/>
          <w:b/>
          <w:bCs/>
          <w:color w:val="auto"/>
          <w:sz w:val="32"/>
          <w:szCs w:val="32"/>
          <w:u w:val="none"/>
        </w:rPr>
        <w:t>文件中资信</w:t>
      </w:r>
      <w:r>
        <w:rPr>
          <w:rFonts w:hint="eastAsia" w:ascii="宋体" w:hAnsi="宋体" w:eastAsia="宋体" w:cs="宋体"/>
          <w:b/>
          <w:bCs/>
          <w:color w:val="auto"/>
          <w:sz w:val="32"/>
          <w:szCs w:val="32"/>
          <w:u w:val="none"/>
          <w:lang w:val="en-US"/>
        </w:rPr>
        <w:t>分</w:t>
      </w:r>
      <w:r>
        <w:rPr>
          <w:rFonts w:hint="eastAsia" w:ascii="宋体" w:hAnsi="宋体" w:eastAsia="宋体" w:cs="宋体"/>
          <w:b/>
          <w:bCs/>
          <w:color w:val="auto"/>
          <w:sz w:val="32"/>
          <w:szCs w:val="32"/>
          <w:u w:val="none"/>
        </w:rPr>
        <w:t>自评表</w:t>
      </w:r>
      <w:bookmarkEnd w:id="449"/>
    </w:p>
    <w:p>
      <w:pPr>
        <w:snapToGrid w:val="0"/>
        <w:spacing w:before="50"/>
        <w:jc w:val="center"/>
        <w:rPr>
          <w:rFonts w:hint="eastAsia" w:ascii="宋体" w:hAnsi="宋体" w:eastAsia="宋体" w:cs="宋体"/>
          <w:b/>
          <w:sz w:val="32"/>
          <w:szCs w:val="32"/>
        </w:rPr>
      </w:pP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采购编号</w:t>
      </w:r>
      <w:r>
        <w:rPr>
          <w:rFonts w:hint="eastAsia" w:ascii="宋体" w:hAnsi="宋体" w:eastAsia="宋体" w:cs="宋体"/>
          <w:sz w:val="24"/>
        </w:rPr>
        <w:t>：</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38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资信分内容</w:t>
            </w:r>
          </w:p>
        </w:tc>
        <w:tc>
          <w:tcPr>
            <w:tcW w:w="146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自评得分</w:t>
            </w:r>
          </w:p>
        </w:tc>
        <w:tc>
          <w:tcPr>
            <w:tcW w:w="2415" w:type="dxa"/>
            <w:tcBorders>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投标文件对应资料</w:t>
            </w:r>
          </w:p>
        </w:tc>
        <w:tc>
          <w:tcPr>
            <w:tcW w:w="1746" w:type="dxa"/>
            <w:tcBorders>
              <w:lef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387" w:type="dxa"/>
            <w:noWrap w:val="0"/>
            <w:vAlign w:val="top"/>
          </w:tcPr>
          <w:p>
            <w:pPr>
              <w:jc w:val="center"/>
              <w:rPr>
                <w:rFonts w:hint="eastAsia" w:ascii="宋体" w:hAnsi="宋体" w:eastAsia="宋体" w:cs="宋体"/>
                <w:sz w:val="24"/>
                <w:szCs w:val="24"/>
              </w:rPr>
            </w:pPr>
          </w:p>
        </w:tc>
        <w:tc>
          <w:tcPr>
            <w:tcW w:w="1462" w:type="dxa"/>
            <w:noWrap w:val="0"/>
            <w:vAlign w:val="top"/>
          </w:tcPr>
          <w:p>
            <w:pPr>
              <w:jc w:val="center"/>
              <w:rPr>
                <w:rFonts w:hint="eastAsia" w:ascii="宋体" w:hAnsi="宋体" w:eastAsia="宋体" w:cs="宋体"/>
                <w:sz w:val="24"/>
                <w:szCs w:val="24"/>
              </w:rPr>
            </w:pPr>
          </w:p>
        </w:tc>
        <w:tc>
          <w:tcPr>
            <w:tcW w:w="2415" w:type="dxa"/>
            <w:tcBorders>
              <w:right w:val="single" w:color="auto" w:sz="4" w:space="0"/>
            </w:tcBorders>
            <w:noWrap w:val="0"/>
            <w:vAlign w:val="top"/>
          </w:tcPr>
          <w:p>
            <w:pPr>
              <w:jc w:val="center"/>
              <w:rPr>
                <w:rFonts w:hint="eastAsia" w:ascii="宋体" w:hAnsi="宋体" w:eastAsia="宋体" w:cs="宋体"/>
                <w:sz w:val="24"/>
                <w:szCs w:val="24"/>
              </w:rPr>
            </w:pPr>
          </w:p>
        </w:tc>
        <w:tc>
          <w:tcPr>
            <w:tcW w:w="1746" w:type="dxa"/>
            <w:tcBorders>
              <w:left w:val="single" w:color="auto" w:sz="4" w:space="0"/>
            </w:tcBorders>
            <w:noWrap w:val="0"/>
            <w:vAlign w:val="top"/>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387" w:type="dxa"/>
            <w:noWrap w:val="0"/>
            <w:vAlign w:val="top"/>
          </w:tcPr>
          <w:p>
            <w:pPr>
              <w:jc w:val="center"/>
              <w:rPr>
                <w:rFonts w:hint="eastAsia" w:ascii="宋体" w:hAnsi="宋体" w:eastAsia="宋体" w:cs="宋体"/>
                <w:sz w:val="24"/>
                <w:szCs w:val="24"/>
              </w:rPr>
            </w:pPr>
          </w:p>
        </w:tc>
        <w:tc>
          <w:tcPr>
            <w:tcW w:w="1462" w:type="dxa"/>
            <w:noWrap w:val="0"/>
            <w:vAlign w:val="top"/>
          </w:tcPr>
          <w:p>
            <w:pPr>
              <w:jc w:val="center"/>
              <w:rPr>
                <w:rFonts w:hint="eastAsia" w:ascii="宋体" w:hAnsi="宋体" w:eastAsia="宋体" w:cs="宋体"/>
                <w:sz w:val="24"/>
                <w:szCs w:val="24"/>
              </w:rPr>
            </w:pPr>
          </w:p>
        </w:tc>
        <w:tc>
          <w:tcPr>
            <w:tcW w:w="2415" w:type="dxa"/>
            <w:tcBorders>
              <w:right w:val="single" w:color="auto" w:sz="4" w:space="0"/>
            </w:tcBorders>
            <w:noWrap w:val="0"/>
            <w:vAlign w:val="top"/>
          </w:tcPr>
          <w:p>
            <w:pPr>
              <w:jc w:val="center"/>
              <w:rPr>
                <w:rFonts w:hint="eastAsia" w:ascii="宋体" w:hAnsi="宋体" w:eastAsia="宋体" w:cs="宋体"/>
                <w:sz w:val="24"/>
                <w:szCs w:val="24"/>
              </w:rPr>
            </w:pPr>
          </w:p>
        </w:tc>
        <w:tc>
          <w:tcPr>
            <w:tcW w:w="1746" w:type="dxa"/>
            <w:tcBorders>
              <w:left w:val="single" w:color="auto" w:sz="4" w:space="0"/>
            </w:tcBorders>
            <w:noWrap w:val="0"/>
            <w:vAlign w:val="top"/>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387" w:type="dxa"/>
            <w:noWrap w:val="0"/>
            <w:vAlign w:val="top"/>
          </w:tcPr>
          <w:p>
            <w:pPr>
              <w:jc w:val="center"/>
              <w:rPr>
                <w:rFonts w:hint="eastAsia" w:ascii="宋体" w:hAnsi="宋体" w:eastAsia="宋体" w:cs="宋体"/>
                <w:sz w:val="24"/>
                <w:szCs w:val="24"/>
              </w:rPr>
            </w:pPr>
          </w:p>
        </w:tc>
        <w:tc>
          <w:tcPr>
            <w:tcW w:w="1462" w:type="dxa"/>
            <w:noWrap w:val="0"/>
            <w:vAlign w:val="top"/>
          </w:tcPr>
          <w:p>
            <w:pPr>
              <w:jc w:val="center"/>
              <w:rPr>
                <w:rFonts w:hint="eastAsia" w:ascii="宋体" w:hAnsi="宋体" w:eastAsia="宋体" w:cs="宋体"/>
                <w:sz w:val="24"/>
                <w:szCs w:val="24"/>
              </w:rPr>
            </w:pPr>
          </w:p>
        </w:tc>
        <w:tc>
          <w:tcPr>
            <w:tcW w:w="2415" w:type="dxa"/>
            <w:tcBorders>
              <w:right w:val="single" w:color="auto" w:sz="4" w:space="0"/>
            </w:tcBorders>
            <w:noWrap w:val="0"/>
            <w:vAlign w:val="top"/>
          </w:tcPr>
          <w:p>
            <w:pPr>
              <w:jc w:val="center"/>
              <w:rPr>
                <w:rFonts w:hint="eastAsia" w:ascii="宋体" w:hAnsi="宋体" w:eastAsia="宋体" w:cs="宋体"/>
                <w:sz w:val="24"/>
                <w:szCs w:val="24"/>
              </w:rPr>
            </w:pPr>
          </w:p>
        </w:tc>
        <w:tc>
          <w:tcPr>
            <w:tcW w:w="1746" w:type="dxa"/>
            <w:tcBorders>
              <w:left w:val="single" w:color="auto" w:sz="4" w:space="0"/>
            </w:tcBorders>
            <w:noWrap w:val="0"/>
            <w:vAlign w:val="top"/>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2387" w:type="dxa"/>
            <w:noWrap w:val="0"/>
            <w:vAlign w:val="top"/>
          </w:tcPr>
          <w:p>
            <w:pPr>
              <w:jc w:val="center"/>
              <w:rPr>
                <w:rFonts w:hint="eastAsia" w:ascii="宋体" w:hAnsi="宋体" w:eastAsia="宋体" w:cs="宋体"/>
                <w:sz w:val="24"/>
                <w:szCs w:val="24"/>
              </w:rPr>
            </w:pPr>
          </w:p>
        </w:tc>
        <w:tc>
          <w:tcPr>
            <w:tcW w:w="1462" w:type="dxa"/>
            <w:noWrap w:val="0"/>
            <w:vAlign w:val="top"/>
          </w:tcPr>
          <w:p>
            <w:pPr>
              <w:jc w:val="center"/>
              <w:rPr>
                <w:rFonts w:hint="eastAsia" w:ascii="宋体" w:hAnsi="宋体" w:eastAsia="宋体" w:cs="宋体"/>
                <w:sz w:val="24"/>
                <w:szCs w:val="24"/>
              </w:rPr>
            </w:pPr>
          </w:p>
        </w:tc>
        <w:tc>
          <w:tcPr>
            <w:tcW w:w="2415" w:type="dxa"/>
            <w:tcBorders>
              <w:right w:val="single" w:color="auto" w:sz="4" w:space="0"/>
            </w:tcBorders>
            <w:noWrap w:val="0"/>
            <w:vAlign w:val="top"/>
          </w:tcPr>
          <w:p>
            <w:pPr>
              <w:jc w:val="center"/>
              <w:rPr>
                <w:rFonts w:hint="eastAsia" w:ascii="宋体" w:hAnsi="宋体" w:eastAsia="宋体" w:cs="宋体"/>
                <w:sz w:val="24"/>
                <w:szCs w:val="24"/>
              </w:rPr>
            </w:pPr>
          </w:p>
        </w:tc>
        <w:tc>
          <w:tcPr>
            <w:tcW w:w="1746" w:type="dxa"/>
            <w:tcBorders>
              <w:left w:val="single" w:color="auto" w:sz="4" w:space="0"/>
            </w:tcBorders>
            <w:noWrap w:val="0"/>
            <w:vAlign w:val="top"/>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387" w:type="dxa"/>
            <w:noWrap w:val="0"/>
            <w:vAlign w:val="top"/>
          </w:tcPr>
          <w:p>
            <w:pPr>
              <w:jc w:val="center"/>
              <w:rPr>
                <w:rFonts w:hint="eastAsia" w:ascii="宋体" w:hAnsi="宋体" w:eastAsia="宋体" w:cs="宋体"/>
                <w:sz w:val="24"/>
                <w:szCs w:val="24"/>
              </w:rPr>
            </w:pPr>
          </w:p>
        </w:tc>
        <w:tc>
          <w:tcPr>
            <w:tcW w:w="1462" w:type="dxa"/>
            <w:noWrap w:val="0"/>
            <w:vAlign w:val="top"/>
          </w:tcPr>
          <w:p>
            <w:pPr>
              <w:jc w:val="center"/>
              <w:rPr>
                <w:rFonts w:hint="eastAsia" w:ascii="宋体" w:hAnsi="宋体" w:eastAsia="宋体" w:cs="宋体"/>
                <w:sz w:val="24"/>
                <w:szCs w:val="24"/>
              </w:rPr>
            </w:pPr>
          </w:p>
        </w:tc>
        <w:tc>
          <w:tcPr>
            <w:tcW w:w="2415" w:type="dxa"/>
            <w:tcBorders>
              <w:right w:val="single" w:color="auto" w:sz="4" w:space="0"/>
            </w:tcBorders>
            <w:noWrap w:val="0"/>
            <w:vAlign w:val="top"/>
          </w:tcPr>
          <w:p>
            <w:pPr>
              <w:jc w:val="center"/>
              <w:rPr>
                <w:rFonts w:hint="eastAsia" w:ascii="宋体" w:hAnsi="宋体" w:eastAsia="宋体" w:cs="宋体"/>
                <w:sz w:val="24"/>
                <w:szCs w:val="24"/>
              </w:rPr>
            </w:pPr>
          </w:p>
        </w:tc>
        <w:tc>
          <w:tcPr>
            <w:tcW w:w="1746" w:type="dxa"/>
            <w:tcBorders>
              <w:left w:val="single" w:color="auto" w:sz="4" w:space="0"/>
            </w:tcBorders>
            <w:noWrap w:val="0"/>
            <w:vAlign w:val="top"/>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2387" w:type="dxa"/>
            <w:noWrap w:val="0"/>
            <w:vAlign w:val="top"/>
          </w:tcPr>
          <w:p>
            <w:pPr>
              <w:jc w:val="center"/>
              <w:rPr>
                <w:rFonts w:hint="eastAsia" w:ascii="宋体" w:hAnsi="宋体" w:eastAsia="宋体" w:cs="宋体"/>
                <w:sz w:val="24"/>
                <w:szCs w:val="24"/>
              </w:rPr>
            </w:pPr>
          </w:p>
        </w:tc>
        <w:tc>
          <w:tcPr>
            <w:tcW w:w="1462" w:type="dxa"/>
            <w:noWrap w:val="0"/>
            <w:vAlign w:val="top"/>
          </w:tcPr>
          <w:p>
            <w:pPr>
              <w:jc w:val="center"/>
              <w:rPr>
                <w:rFonts w:hint="eastAsia" w:ascii="宋体" w:hAnsi="宋体" w:eastAsia="宋体" w:cs="宋体"/>
                <w:sz w:val="24"/>
                <w:szCs w:val="24"/>
              </w:rPr>
            </w:pPr>
          </w:p>
        </w:tc>
        <w:tc>
          <w:tcPr>
            <w:tcW w:w="2415" w:type="dxa"/>
            <w:tcBorders>
              <w:right w:val="single" w:color="auto" w:sz="4" w:space="0"/>
            </w:tcBorders>
            <w:noWrap w:val="0"/>
            <w:vAlign w:val="top"/>
          </w:tcPr>
          <w:p>
            <w:pPr>
              <w:jc w:val="center"/>
              <w:rPr>
                <w:rFonts w:hint="eastAsia" w:ascii="宋体" w:hAnsi="宋体" w:eastAsia="宋体" w:cs="宋体"/>
                <w:sz w:val="24"/>
                <w:szCs w:val="24"/>
              </w:rPr>
            </w:pPr>
          </w:p>
        </w:tc>
        <w:tc>
          <w:tcPr>
            <w:tcW w:w="1746" w:type="dxa"/>
            <w:tcBorders>
              <w:left w:val="single" w:color="auto" w:sz="4" w:space="0"/>
            </w:tcBorders>
            <w:noWrap w:val="0"/>
            <w:vAlign w:val="top"/>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2387" w:type="dxa"/>
            <w:noWrap w:val="0"/>
            <w:vAlign w:val="top"/>
          </w:tcPr>
          <w:p>
            <w:pPr>
              <w:jc w:val="center"/>
              <w:rPr>
                <w:rFonts w:hint="eastAsia" w:ascii="宋体" w:hAnsi="宋体" w:eastAsia="宋体" w:cs="宋体"/>
                <w:sz w:val="24"/>
                <w:szCs w:val="24"/>
              </w:rPr>
            </w:pPr>
          </w:p>
        </w:tc>
        <w:tc>
          <w:tcPr>
            <w:tcW w:w="1462" w:type="dxa"/>
            <w:noWrap w:val="0"/>
            <w:vAlign w:val="top"/>
          </w:tcPr>
          <w:p>
            <w:pPr>
              <w:jc w:val="center"/>
              <w:rPr>
                <w:rFonts w:hint="eastAsia" w:ascii="宋体" w:hAnsi="宋体" w:eastAsia="宋体" w:cs="宋体"/>
                <w:sz w:val="24"/>
                <w:szCs w:val="24"/>
              </w:rPr>
            </w:pPr>
          </w:p>
        </w:tc>
        <w:tc>
          <w:tcPr>
            <w:tcW w:w="2415" w:type="dxa"/>
            <w:tcBorders>
              <w:right w:val="single" w:color="auto" w:sz="4" w:space="0"/>
            </w:tcBorders>
            <w:noWrap w:val="0"/>
            <w:vAlign w:val="top"/>
          </w:tcPr>
          <w:p>
            <w:pPr>
              <w:jc w:val="center"/>
              <w:rPr>
                <w:rFonts w:hint="eastAsia" w:ascii="宋体" w:hAnsi="宋体" w:eastAsia="宋体" w:cs="宋体"/>
                <w:sz w:val="24"/>
                <w:szCs w:val="24"/>
              </w:rPr>
            </w:pPr>
          </w:p>
        </w:tc>
        <w:tc>
          <w:tcPr>
            <w:tcW w:w="1746" w:type="dxa"/>
            <w:tcBorders>
              <w:left w:val="single" w:color="auto" w:sz="4" w:space="0"/>
            </w:tcBorders>
            <w:noWrap w:val="0"/>
            <w:vAlign w:val="top"/>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2387" w:type="dxa"/>
            <w:noWrap w:val="0"/>
            <w:vAlign w:val="top"/>
          </w:tcPr>
          <w:p>
            <w:pPr>
              <w:jc w:val="center"/>
              <w:rPr>
                <w:rFonts w:hint="eastAsia" w:ascii="宋体" w:hAnsi="宋体" w:eastAsia="宋体" w:cs="宋体"/>
                <w:sz w:val="24"/>
                <w:szCs w:val="24"/>
              </w:rPr>
            </w:pPr>
          </w:p>
        </w:tc>
        <w:tc>
          <w:tcPr>
            <w:tcW w:w="1462" w:type="dxa"/>
            <w:noWrap w:val="0"/>
            <w:vAlign w:val="top"/>
          </w:tcPr>
          <w:p>
            <w:pPr>
              <w:jc w:val="center"/>
              <w:rPr>
                <w:rFonts w:hint="eastAsia" w:ascii="宋体" w:hAnsi="宋体" w:eastAsia="宋体" w:cs="宋体"/>
                <w:sz w:val="24"/>
                <w:szCs w:val="24"/>
              </w:rPr>
            </w:pPr>
          </w:p>
        </w:tc>
        <w:tc>
          <w:tcPr>
            <w:tcW w:w="2415" w:type="dxa"/>
            <w:tcBorders>
              <w:right w:val="single" w:color="auto" w:sz="4" w:space="0"/>
            </w:tcBorders>
            <w:noWrap w:val="0"/>
            <w:vAlign w:val="top"/>
          </w:tcPr>
          <w:p>
            <w:pPr>
              <w:jc w:val="center"/>
              <w:rPr>
                <w:rFonts w:hint="eastAsia" w:ascii="宋体" w:hAnsi="宋体" w:eastAsia="宋体" w:cs="宋体"/>
                <w:sz w:val="24"/>
                <w:szCs w:val="24"/>
              </w:rPr>
            </w:pPr>
          </w:p>
        </w:tc>
        <w:tc>
          <w:tcPr>
            <w:tcW w:w="1746" w:type="dxa"/>
            <w:tcBorders>
              <w:left w:val="single" w:color="auto" w:sz="4" w:space="0"/>
            </w:tcBorders>
            <w:noWrap w:val="0"/>
            <w:vAlign w:val="top"/>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合计</w:t>
            </w:r>
          </w:p>
        </w:tc>
        <w:tc>
          <w:tcPr>
            <w:tcW w:w="2387" w:type="dxa"/>
            <w:noWrap w:val="0"/>
            <w:vAlign w:val="top"/>
          </w:tcPr>
          <w:p>
            <w:pPr>
              <w:jc w:val="center"/>
              <w:rPr>
                <w:rFonts w:hint="eastAsia" w:ascii="宋体" w:hAnsi="宋体" w:eastAsia="宋体" w:cs="宋体"/>
                <w:sz w:val="24"/>
                <w:szCs w:val="24"/>
              </w:rPr>
            </w:pPr>
          </w:p>
        </w:tc>
        <w:tc>
          <w:tcPr>
            <w:tcW w:w="1462" w:type="dxa"/>
            <w:noWrap w:val="0"/>
            <w:vAlign w:val="top"/>
          </w:tcPr>
          <w:p>
            <w:pPr>
              <w:jc w:val="center"/>
              <w:rPr>
                <w:rFonts w:hint="eastAsia" w:ascii="宋体" w:hAnsi="宋体" w:eastAsia="宋体" w:cs="宋体"/>
                <w:sz w:val="24"/>
                <w:szCs w:val="24"/>
              </w:rPr>
            </w:pPr>
          </w:p>
        </w:tc>
        <w:tc>
          <w:tcPr>
            <w:tcW w:w="2415" w:type="dxa"/>
            <w:tcBorders>
              <w:right w:val="single" w:color="auto" w:sz="4" w:space="0"/>
            </w:tcBorders>
            <w:noWrap w:val="0"/>
            <w:vAlign w:val="top"/>
          </w:tcPr>
          <w:p>
            <w:pPr>
              <w:jc w:val="center"/>
              <w:rPr>
                <w:rFonts w:hint="eastAsia" w:ascii="宋体" w:hAnsi="宋体" w:eastAsia="宋体" w:cs="宋体"/>
                <w:sz w:val="24"/>
                <w:szCs w:val="24"/>
              </w:rPr>
            </w:pPr>
          </w:p>
        </w:tc>
        <w:tc>
          <w:tcPr>
            <w:tcW w:w="1746" w:type="dxa"/>
            <w:tcBorders>
              <w:left w:val="single" w:color="auto" w:sz="4" w:space="0"/>
            </w:tcBorders>
            <w:noWrap w:val="0"/>
            <w:vAlign w:val="top"/>
          </w:tcPr>
          <w:p>
            <w:pPr>
              <w:jc w:val="center"/>
              <w:rPr>
                <w:rFonts w:hint="eastAsia" w:ascii="宋体" w:hAnsi="宋体" w:eastAsia="宋体" w:cs="宋体"/>
                <w:sz w:val="24"/>
                <w:szCs w:val="24"/>
              </w:rPr>
            </w:pPr>
          </w:p>
        </w:tc>
      </w:tr>
    </w:tbl>
    <w:p>
      <w:pPr>
        <w:spacing w:line="360" w:lineRule="auto"/>
        <w:ind w:firstLine="480" w:firstLineChars="200"/>
        <w:rPr>
          <w:rFonts w:hint="eastAsia" w:ascii="宋体" w:hAnsi="宋体" w:eastAsia="宋体" w:cs="宋体"/>
          <w:sz w:val="24"/>
          <w:lang w:val="en-US" w:eastAsia="zh-CN"/>
        </w:rPr>
      </w:pPr>
    </w:p>
    <w:p>
      <w:pPr>
        <w:spacing w:line="360" w:lineRule="auto"/>
        <w:ind w:leftChars="1800" w:firstLine="480" w:firstLineChars="200"/>
        <w:rPr>
          <w:rFonts w:hint="eastAsia" w:ascii="宋体" w:hAnsi="宋体" w:eastAsia="宋体" w:cs="宋体"/>
          <w:sz w:val="24"/>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投标人全称（公章）：</w:t>
      </w:r>
    </w:p>
    <w:p>
      <w:pPr>
        <w:pStyle w:val="10"/>
        <w:ind w:firstLine="566"/>
        <w:rPr>
          <w:rFonts w:hint="eastAsia" w:ascii="宋体" w:hAnsi="宋体" w:eastAsia="宋体" w:cs="宋体"/>
          <w:sz w:val="28"/>
          <w:szCs w:val="28"/>
        </w:rPr>
      </w:pPr>
    </w:p>
    <w:p>
      <w:pPr>
        <w:snapToGrid w:val="0"/>
        <w:spacing w:before="50" w:after="167" w:afterLines="50"/>
        <w:jc w:val="left"/>
        <w:rPr>
          <w:rFonts w:hint="eastAsia" w:ascii="宋体" w:hAnsi="宋体" w:eastAsia="宋体" w:cs="宋体"/>
          <w:b/>
          <w:bCs/>
          <w:color w:val="000000"/>
          <w:kern w:val="2"/>
          <w:sz w:val="24"/>
          <w:szCs w:val="24"/>
          <w:lang w:val="zh-CN" w:eastAsia="zh-CN" w:bidi="ar-SA"/>
        </w:rPr>
      </w:pPr>
      <w:r>
        <w:rPr>
          <w:rFonts w:hint="eastAsia" w:ascii="宋体" w:hAnsi="宋体" w:eastAsia="宋体" w:cs="宋体"/>
          <w:b/>
          <w:bCs/>
          <w:sz w:val="30"/>
          <w:szCs w:val="30"/>
        </w:rPr>
        <w:br w:type="page"/>
      </w:r>
      <w:r>
        <w:rPr>
          <w:rFonts w:hint="eastAsia" w:ascii="宋体" w:hAnsi="宋体" w:eastAsia="宋体" w:cs="宋体"/>
          <w:b/>
          <w:bCs/>
          <w:color w:val="000000"/>
          <w:kern w:val="2"/>
          <w:sz w:val="24"/>
          <w:szCs w:val="24"/>
          <w:lang w:val="zh-CN" w:eastAsia="zh-CN" w:bidi="ar-SA"/>
        </w:rPr>
        <w:t>附件五：</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投标项目明细清单</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采购编号</w:t>
      </w:r>
      <w:r>
        <w:rPr>
          <w:rFonts w:hint="eastAsia" w:ascii="宋体" w:hAnsi="宋体" w:eastAsia="宋体" w:cs="宋体"/>
          <w:sz w:val="24"/>
        </w:rPr>
        <w:t>：</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4"/>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sz w:val="24"/>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r>
    </w:tbl>
    <w:p>
      <w:pPr>
        <w:snapToGrid w:val="0"/>
        <w:spacing w:before="167" w:beforeLines="50" w:line="360" w:lineRule="auto"/>
        <w:ind w:firstLine="480" w:firstLineChars="200"/>
        <w:rPr>
          <w:rFonts w:hint="eastAsia" w:ascii="宋体" w:hAnsi="宋体" w:eastAsia="宋体" w:cs="宋体"/>
          <w:sz w:val="24"/>
        </w:rPr>
      </w:pPr>
      <w:r>
        <w:rPr>
          <w:rFonts w:hint="eastAsia" w:ascii="宋体" w:hAnsi="宋体" w:eastAsia="宋体" w:cs="宋体"/>
          <w:sz w:val="24"/>
        </w:rPr>
        <w:t>注：在填写时，如上表不适合本项目的实际情况，可在确保投标明细内容完整的情况下，根据上表格式自行划表填写。</w:t>
      </w: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snapToGrid w:val="0"/>
        <w:spacing w:before="167" w:beforeLines="50"/>
        <w:rPr>
          <w:rFonts w:hint="eastAsia" w:ascii="宋体" w:hAnsi="宋体" w:eastAsia="宋体" w:cs="宋体"/>
          <w:sz w:val="24"/>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投标人全称（公章）：</w:t>
      </w:r>
    </w:p>
    <w:p>
      <w:pPr>
        <w:snapToGrid w:val="0"/>
        <w:spacing w:before="50" w:after="50"/>
        <w:rPr>
          <w:rFonts w:hint="eastAsia" w:ascii="宋体" w:hAnsi="宋体" w:eastAsia="宋体" w:cs="宋体"/>
          <w:spacing w:val="20"/>
          <w:sz w:val="24"/>
        </w:rPr>
      </w:pPr>
    </w:p>
    <w:p>
      <w:pPr>
        <w:snapToGrid w:val="0"/>
        <w:spacing w:before="50" w:after="50"/>
        <w:rPr>
          <w:rFonts w:hint="eastAsia" w:ascii="宋体" w:hAnsi="宋体" w:eastAsia="宋体" w:cs="宋体"/>
          <w:spacing w:val="20"/>
          <w:sz w:val="30"/>
          <w:szCs w:val="30"/>
        </w:rPr>
      </w:pPr>
    </w:p>
    <w:p>
      <w:pPr>
        <w:pStyle w:val="10"/>
        <w:ind w:firstLine="686"/>
        <w:rPr>
          <w:rFonts w:hint="eastAsia" w:ascii="宋体" w:hAnsi="宋体" w:eastAsia="宋体" w:cs="宋体"/>
          <w:spacing w:val="20"/>
          <w:sz w:val="30"/>
          <w:szCs w:val="30"/>
        </w:rPr>
      </w:pPr>
    </w:p>
    <w:p>
      <w:pPr>
        <w:pStyle w:val="10"/>
        <w:ind w:firstLine="686"/>
        <w:rPr>
          <w:rFonts w:hint="eastAsia" w:ascii="宋体" w:hAnsi="宋体" w:eastAsia="宋体" w:cs="宋体"/>
          <w:spacing w:val="20"/>
          <w:sz w:val="30"/>
          <w:szCs w:val="30"/>
        </w:rPr>
      </w:pPr>
    </w:p>
    <w:p>
      <w:pPr>
        <w:pStyle w:val="10"/>
        <w:ind w:firstLine="686"/>
        <w:rPr>
          <w:rFonts w:hint="eastAsia" w:ascii="宋体" w:hAnsi="宋体" w:eastAsia="宋体" w:cs="宋体"/>
          <w:spacing w:val="20"/>
          <w:sz w:val="30"/>
          <w:szCs w:val="30"/>
        </w:rPr>
      </w:pPr>
    </w:p>
    <w:p>
      <w:pPr>
        <w:pStyle w:val="10"/>
        <w:ind w:firstLine="686"/>
        <w:rPr>
          <w:rFonts w:hint="eastAsia" w:ascii="宋体" w:hAnsi="宋体" w:eastAsia="宋体" w:cs="宋体"/>
          <w:spacing w:val="20"/>
          <w:sz w:val="30"/>
          <w:szCs w:val="30"/>
        </w:rPr>
      </w:pPr>
    </w:p>
    <w:p>
      <w:pPr>
        <w:pStyle w:val="2"/>
        <w:numPr>
          <w:ilvl w:val="0"/>
          <w:numId w:val="0"/>
        </w:numPr>
        <w:ind w:leftChars="0"/>
        <w:rPr>
          <w:rFonts w:hint="eastAsia" w:ascii="宋体" w:hAnsi="宋体" w:eastAsia="宋体" w:cs="宋体"/>
          <w:b/>
          <w:bCs/>
          <w:color w:val="000000"/>
          <w:sz w:val="24"/>
          <w:szCs w:val="24"/>
        </w:rPr>
      </w:pPr>
      <w:bookmarkStart w:id="450" w:name="_Toc2823"/>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附件</w:t>
      </w:r>
      <w:r>
        <w:rPr>
          <w:rFonts w:hint="eastAsia" w:hAnsi="宋体" w:eastAsia="宋体" w:cs="宋体"/>
          <w:b/>
          <w:bCs/>
          <w:color w:val="000000"/>
          <w:sz w:val="24"/>
          <w:szCs w:val="24"/>
          <w:lang w:val="en-US" w:eastAsia="zh-CN"/>
        </w:rPr>
        <w:t>六</w:t>
      </w:r>
      <w:r>
        <w:rPr>
          <w:rFonts w:hint="eastAsia" w:ascii="宋体" w:hAnsi="宋体" w:eastAsia="宋体" w:cs="宋体"/>
          <w:b/>
          <w:bCs/>
          <w:color w:val="000000"/>
          <w:sz w:val="24"/>
          <w:szCs w:val="24"/>
        </w:rPr>
        <w:t>：</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技术</w:t>
      </w:r>
      <w:r>
        <w:rPr>
          <w:rFonts w:hint="eastAsia" w:ascii="宋体" w:hAnsi="宋体" w:eastAsia="宋体" w:cs="宋体"/>
          <w:b/>
          <w:bCs/>
          <w:color w:val="auto"/>
          <w:sz w:val="32"/>
          <w:szCs w:val="32"/>
          <w:u w:val="none"/>
          <w:lang w:val="en-US"/>
        </w:rPr>
        <w:t>响应</w:t>
      </w:r>
      <w:r>
        <w:rPr>
          <w:rFonts w:hint="eastAsia" w:ascii="宋体" w:hAnsi="宋体" w:eastAsia="宋体" w:cs="宋体"/>
          <w:b/>
          <w:bCs/>
          <w:color w:val="auto"/>
          <w:sz w:val="32"/>
          <w:szCs w:val="32"/>
          <w:u w:val="none"/>
        </w:rPr>
        <w:t>及建议表</w:t>
      </w:r>
      <w:bookmarkEnd w:id="450"/>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采购编号</w:t>
      </w:r>
      <w:r>
        <w:rPr>
          <w:rFonts w:hint="eastAsia" w:ascii="宋体" w:hAnsi="宋体" w:eastAsia="宋体" w:cs="宋体"/>
          <w:sz w:val="24"/>
        </w:rPr>
        <w: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序号</w:t>
            </w:r>
          </w:p>
        </w:tc>
        <w:tc>
          <w:tcPr>
            <w:tcW w:w="1440" w:type="dxa"/>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名称</w:t>
            </w:r>
          </w:p>
        </w:tc>
        <w:tc>
          <w:tcPr>
            <w:tcW w:w="1980" w:type="dxa"/>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招标文件要求</w:t>
            </w:r>
          </w:p>
        </w:tc>
        <w:tc>
          <w:tcPr>
            <w:tcW w:w="2520" w:type="dxa"/>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投标文件响应</w:t>
            </w:r>
          </w:p>
        </w:tc>
        <w:tc>
          <w:tcPr>
            <w:tcW w:w="1953" w:type="dxa"/>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pPr>
              <w:snapToGrid w:val="0"/>
              <w:spacing w:before="50" w:after="50"/>
              <w:jc w:val="center"/>
              <w:rPr>
                <w:rFonts w:hint="eastAsia" w:ascii="宋体" w:hAnsi="宋体" w:eastAsia="宋体" w:cs="宋体"/>
                <w:sz w:val="24"/>
              </w:rPr>
            </w:pPr>
          </w:p>
        </w:tc>
        <w:tc>
          <w:tcPr>
            <w:tcW w:w="1440" w:type="dxa"/>
            <w:noWrap w:val="0"/>
            <w:vAlign w:val="center"/>
          </w:tcPr>
          <w:p>
            <w:pPr>
              <w:snapToGrid w:val="0"/>
              <w:spacing w:before="50" w:after="50"/>
              <w:jc w:val="center"/>
              <w:rPr>
                <w:rFonts w:hint="eastAsia" w:ascii="宋体" w:hAnsi="宋体" w:eastAsia="宋体" w:cs="宋体"/>
                <w:sz w:val="24"/>
              </w:rPr>
            </w:pPr>
          </w:p>
        </w:tc>
        <w:tc>
          <w:tcPr>
            <w:tcW w:w="1980" w:type="dxa"/>
            <w:noWrap w:val="0"/>
            <w:vAlign w:val="center"/>
          </w:tcPr>
          <w:p>
            <w:pPr>
              <w:snapToGrid w:val="0"/>
              <w:spacing w:before="50" w:after="50"/>
              <w:jc w:val="center"/>
              <w:rPr>
                <w:rFonts w:hint="eastAsia" w:ascii="宋体" w:hAnsi="宋体" w:eastAsia="宋体" w:cs="宋体"/>
                <w:sz w:val="24"/>
              </w:rPr>
            </w:pPr>
          </w:p>
        </w:tc>
        <w:tc>
          <w:tcPr>
            <w:tcW w:w="2520" w:type="dxa"/>
            <w:noWrap w:val="0"/>
            <w:vAlign w:val="center"/>
          </w:tcPr>
          <w:p>
            <w:pPr>
              <w:snapToGrid w:val="0"/>
              <w:spacing w:before="50" w:after="50"/>
              <w:jc w:val="center"/>
              <w:rPr>
                <w:rFonts w:hint="eastAsia" w:ascii="宋体" w:hAnsi="宋体" w:eastAsia="宋体" w:cs="宋体"/>
                <w:sz w:val="24"/>
              </w:rPr>
            </w:pPr>
          </w:p>
        </w:tc>
        <w:tc>
          <w:tcPr>
            <w:tcW w:w="1953" w:type="dxa"/>
            <w:noWrap w:val="0"/>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pPr>
              <w:snapToGrid w:val="0"/>
              <w:spacing w:before="50" w:after="50"/>
              <w:jc w:val="center"/>
              <w:rPr>
                <w:rFonts w:hint="eastAsia" w:ascii="宋体" w:hAnsi="宋体" w:eastAsia="宋体" w:cs="宋体"/>
                <w:sz w:val="24"/>
              </w:rPr>
            </w:pPr>
          </w:p>
        </w:tc>
        <w:tc>
          <w:tcPr>
            <w:tcW w:w="1440" w:type="dxa"/>
            <w:noWrap w:val="0"/>
            <w:vAlign w:val="center"/>
          </w:tcPr>
          <w:p>
            <w:pPr>
              <w:snapToGrid w:val="0"/>
              <w:spacing w:before="50" w:after="50"/>
              <w:jc w:val="center"/>
              <w:rPr>
                <w:rFonts w:hint="eastAsia" w:ascii="宋体" w:hAnsi="宋体" w:eastAsia="宋体" w:cs="宋体"/>
                <w:sz w:val="24"/>
              </w:rPr>
            </w:pPr>
          </w:p>
        </w:tc>
        <w:tc>
          <w:tcPr>
            <w:tcW w:w="1980" w:type="dxa"/>
            <w:noWrap w:val="0"/>
            <w:vAlign w:val="center"/>
          </w:tcPr>
          <w:p>
            <w:pPr>
              <w:snapToGrid w:val="0"/>
              <w:spacing w:before="50" w:after="50"/>
              <w:jc w:val="center"/>
              <w:rPr>
                <w:rFonts w:hint="eastAsia" w:ascii="宋体" w:hAnsi="宋体" w:eastAsia="宋体" w:cs="宋体"/>
                <w:sz w:val="24"/>
              </w:rPr>
            </w:pPr>
          </w:p>
        </w:tc>
        <w:tc>
          <w:tcPr>
            <w:tcW w:w="2520" w:type="dxa"/>
            <w:noWrap w:val="0"/>
            <w:vAlign w:val="center"/>
          </w:tcPr>
          <w:p>
            <w:pPr>
              <w:snapToGrid w:val="0"/>
              <w:spacing w:before="50" w:after="50"/>
              <w:jc w:val="center"/>
              <w:rPr>
                <w:rFonts w:hint="eastAsia" w:ascii="宋体" w:hAnsi="宋体" w:eastAsia="宋体" w:cs="宋体"/>
                <w:sz w:val="24"/>
              </w:rPr>
            </w:pPr>
          </w:p>
        </w:tc>
        <w:tc>
          <w:tcPr>
            <w:tcW w:w="1953" w:type="dxa"/>
            <w:noWrap w:val="0"/>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pPr>
              <w:snapToGrid w:val="0"/>
              <w:spacing w:before="50" w:after="50"/>
              <w:jc w:val="center"/>
              <w:rPr>
                <w:rFonts w:hint="eastAsia" w:ascii="宋体" w:hAnsi="宋体" w:eastAsia="宋体" w:cs="宋体"/>
                <w:sz w:val="24"/>
              </w:rPr>
            </w:pPr>
          </w:p>
        </w:tc>
        <w:tc>
          <w:tcPr>
            <w:tcW w:w="1440" w:type="dxa"/>
            <w:noWrap w:val="0"/>
            <w:vAlign w:val="center"/>
          </w:tcPr>
          <w:p>
            <w:pPr>
              <w:snapToGrid w:val="0"/>
              <w:spacing w:before="50" w:after="50"/>
              <w:jc w:val="center"/>
              <w:rPr>
                <w:rFonts w:hint="eastAsia" w:ascii="宋体" w:hAnsi="宋体" w:eastAsia="宋体" w:cs="宋体"/>
                <w:sz w:val="24"/>
              </w:rPr>
            </w:pPr>
          </w:p>
        </w:tc>
        <w:tc>
          <w:tcPr>
            <w:tcW w:w="1980" w:type="dxa"/>
            <w:noWrap w:val="0"/>
            <w:vAlign w:val="center"/>
          </w:tcPr>
          <w:p>
            <w:pPr>
              <w:snapToGrid w:val="0"/>
              <w:spacing w:before="50" w:after="50"/>
              <w:jc w:val="center"/>
              <w:rPr>
                <w:rFonts w:hint="eastAsia" w:ascii="宋体" w:hAnsi="宋体" w:eastAsia="宋体" w:cs="宋体"/>
                <w:sz w:val="24"/>
              </w:rPr>
            </w:pPr>
          </w:p>
        </w:tc>
        <w:tc>
          <w:tcPr>
            <w:tcW w:w="2520" w:type="dxa"/>
            <w:noWrap w:val="0"/>
            <w:vAlign w:val="center"/>
          </w:tcPr>
          <w:p>
            <w:pPr>
              <w:snapToGrid w:val="0"/>
              <w:spacing w:before="50" w:after="50"/>
              <w:jc w:val="center"/>
              <w:rPr>
                <w:rFonts w:hint="eastAsia" w:ascii="宋体" w:hAnsi="宋体" w:eastAsia="宋体" w:cs="宋体"/>
                <w:sz w:val="24"/>
              </w:rPr>
            </w:pPr>
          </w:p>
        </w:tc>
        <w:tc>
          <w:tcPr>
            <w:tcW w:w="1953" w:type="dxa"/>
            <w:noWrap w:val="0"/>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pPr>
              <w:snapToGrid w:val="0"/>
              <w:spacing w:before="50" w:after="50"/>
              <w:jc w:val="center"/>
              <w:rPr>
                <w:rFonts w:hint="eastAsia" w:ascii="宋体" w:hAnsi="宋体" w:eastAsia="宋体" w:cs="宋体"/>
                <w:sz w:val="24"/>
              </w:rPr>
            </w:pPr>
          </w:p>
        </w:tc>
        <w:tc>
          <w:tcPr>
            <w:tcW w:w="1440" w:type="dxa"/>
            <w:noWrap w:val="0"/>
            <w:vAlign w:val="center"/>
          </w:tcPr>
          <w:p>
            <w:pPr>
              <w:snapToGrid w:val="0"/>
              <w:spacing w:before="50" w:after="50"/>
              <w:jc w:val="center"/>
              <w:rPr>
                <w:rFonts w:hint="eastAsia" w:ascii="宋体" w:hAnsi="宋体" w:eastAsia="宋体" w:cs="宋体"/>
                <w:sz w:val="24"/>
              </w:rPr>
            </w:pPr>
          </w:p>
        </w:tc>
        <w:tc>
          <w:tcPr>
            <w:tcW w:w="1980" w:type="dxa"/>
            <w:noWrap w:val="0"/>
            <w:vAlign w:val="center"/>
          </w:tcPr>
          <w:p>
            <w:pPr>
              <w:snapToGrid w:val="0"/>
              <w:spacing w:before="50" w:after="50"/>
              <w:jc w:val="center"/>
              <w:rPr>
                <w:rFonts w:hint="eastAsia" w:ascii="宋体" w:hAnsi="宋体" w:eastAsia="宋体" w:cs="宋体"/>
                <w:sz w:val="24"/>
              </w:rPr>
            </w:pPr>
          </w:p>
        </w:tc>
        <w:tc>
          <w:tcPr>
            <w:tcW w:w="2520" w:type="dxa"/>
            <w:noWrap w:val="0"/>
            <w:vAlign w:val="center"/>
          </w:tcPr>
          <w:p>
            <w:pPr>
              <w:snapToGrid w:val="0"/>
              <w:spacing w:before="50" w:after="50"/>
              <w:jc w:val="center"/>
              <w:rPr>
                <w:rFonts w:hint="eastAsia" w:ascii="宋体" w:hAnsi="宋体" w:eastAsia="宋体" w:cs="宋体"/>
                <w:sz w:val="24"/>
              </w:rPr>
            </w:pPr>
          </w:p>
        </w:tc>
        <w:tc>
          <w:tcPr>
            <w:tcW w:w="1953" w:type="dxa"/>
            <w:noWrap w:val="0"/>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pPr>
              <w:snapToGrid w:val="0"/>
              <w:spacing w:before="50" w:after="50"/>
              <w:jc w:val="center"/>
              <w:rPr>
                <w:rFonts w:hint="eastAsia" w:ascii="宋体" w:hAnsi="宋体" w:eastAsia="宋体" w:cs="宋体"/>
                <w:sz w:val="24"/>
              </w:rPr>
            </w:pPr>
          </w:p>
        </w:tc>
        <w:tc>
          <w:tcPr>
            <w:tcW w:w="1440" w:type="dxa"/>
            <w:noWrap w:val="0"/>
            <w:vAlign w:val="center"/>
          </w:tcPr>
          <w:p>
            <w:pPr>
              <w:snapToGrid w:val="0"/>
              <w:spacing w:before="50" w:after="50"/>
              <w:jc w:val="center"/>
              <w:rPr>
                <w:rFonts w:hint="eastAsia" w:ascii="宋体" w:hAnsi="宋体" w:eastAsia="宋体" w:cs="宋体"/>
                <w:sz w:val="24"/>
              </w:rPr>
            </w:pPr>
          </w:p>
        </w:tc>
        <w:tc>
          <w:tcPr>
            <w:tcW w:w="1980" w:type="dxa"/>
            <w:noWrap w:val="0"/>
            <w:vAlign w:val="center"/>
          </w:tcPr>
          <w:p>
            <w:pPr>
              <w:snapToGrid w:val="0"/>
              <w:spacing w:before="50" w:after="50"/>
              <w:jc w:val="center"/>
              <w:rPr>
                <w:rFonts w:hint="eastAsia" w:ascii="宋体" w:hAnsi="宋体" w:eastAsia="宋体" w:cs="宋体"/>
                <w:sz w:val="24"/>
              </w:rPr>
            </w:pPr>
          </w:p>
        </w:tc>
        <w:tc>
          <w:tcPr>
            <w:tcW w:w="2520" w:type="dxa"/>
            <w:noWrap w:val="0"/>
            <w:vAlign w:val="center"/>
          </w:tcPr>
          <w:p>
            <w:pPr>
              <w:snapToGrid w:val="0"/>
              <w:spacing w:before="50" w:after="50"/>
              <w:jc w:val="center"/>
              <w:rPr>
                <w:rFonts w:hint="eastAsia" w:ascii="宋体" w:hAnsi="宋体" w:eastAsia="宋体" w:cs="宋体"/>
                <w:sz w:val="24"/>
              </w:rPr>
            </w:pPr>
          </w:p>
        </w:tc>
        <w:tc>
          <w:tcPr>
            <w:tcW w:w="1953" w:type="dxa"/>
            <w:noWrap w:val="0"/>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投标建议</w:t>
            </w:r>
          </w:p>
        </w:tc>
        <w:tc>
          <w:tcPr>
            <w:tcW w:w="6453" w:type="dxa"/>
            <w:gridSpan w:val="3"/>
            <w:noWrap w:val="0"/>
            <w:vAlign w:val="center"/>
          </w:tcPr>
          <w:p>
            <w:pPr>
              <w:spacing w:line="360" w:lineRule="auto"/>
              <w:jc w:val="center"/>
              <w:rPr>
                <w:rFonts w:hint="eastAsia" w:ascii="宋体" w:hAnsi="宋体" w:eastAsia="宋体" w:cs="宋体"/>
                <w:color w:val="000000"/>
                <w:sz w:val="24"/>
              </w:rPr>
            </w:pPr>
          </w:p>
        </w:tc>
      </w:tr>
    </w:tbl>
    <w:p>
      <w:pPr>
        <w:snapToGrid w:val="0"/>
        <w:spacing w:line="360" w:lineRule="auto"/>
        <w:rPr>
          <w:rFonts w:hint="eastAsia" w:ascii="宋体" w:hAnsi="宋体" w:eastAsia="宋体" w:cs="宋体"/>
          <w:color w:val="000000"/>
          <w:sz w:val="24"/>
        </w:rPr>
      </w:pPr>
    </w:p>
    <w:p>
      <w:pPr>
        <w:pStyle w:val="13"/>
        <w:spacing w:line="360" w:lineRule="auto"/>
        <w:rPr>
          <w:rFonts w:hint="eastAsia" w:ascii="宋体" w:hAnsi="宋体" w:eastAsia="宋体" w:cs="宋体"/>
          <w:color w:val="000000"/>
          <w:sz w:val="24"/>
        </w:rPr>
      </w:pPr>
      <w:r>
        <w:rPr>
          <w:rFonts w:hint="eastAsia" w:ascii="宋体" w:hAnsi="宋体" w:eastAsia="宋体" w:cs="宋体"/>
          <w:color w:val="000000"/>
          <w:sz w:val="24"/>
        </w:rPr>
        <w:t>注：名称可基于项目清单根据投标人实际情况调整。</w:t>
      </w:r>
    </w:p>
    <w:p>
      <w:pPr>
        <w:rPr>
          <w:rFonts w:hint="eastAsia" w:ascii="宋体" w:hAnsi="宋体" w:eastAsia="宋体" w:cs="宋体"/>
          <w:color w:val="000000"/>
          <w:sz w:val="24"/>
        </w:rPr>
      </w:pPr>
    </w:p>
    <w:p>
      <w:pPr>
        <w:pStyle w:val="10"/>
        <w:rPr>
          <w:rFonts w:hint="eastAsia"/>
        </w:rPr>
      </w:pPr>
    </w:p>
    <w:p>
      <w:pPr>
        <w:snapToGrid w:val="0"/>
        <w:spacing w:line="360" w:lineRule="auto"/>
        <w:rPr>
          <w:rFonts w:hint="eastAsia" w:ascii="宋体" w:hAnsi="宋体" w:eastAsia="宋体" w:cs="宋体"/>
          <w:color w:val="000000"/>
          <w:sz w:val="24"/>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投标人全称（公章）：</w:t>
      </w:r>
    </w:p>
    <w:p>
      <w:pPr>
        <w:pStyle w:val="2"/>
        <w:numPr>
          <w:ilvl w:val="0"/>
          <w:numId w:val="0"/>
        </w:numPr>
        <w:ind w:leftChars="0"/>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附件</w:t>
      </w:r>
      <w:r>
        <w:rPr>
          <w:rFonts w:hint="eastAsia" w:hAnsi="宋体" w:eastAsia="宋体" w:cs="宋体"/>
          <w:b/>
          <w:bCs/>
          <w:color w:val="000000"/>
          <w:sz w:val="24"/>
          <w:szCs w:val="24"/>
          <w:lang w:eastAsia="zh-CN"/>
        </w:rPr>
        <w:t>七</w:t>
      </w:r>
      <w:r>
        <w:rPr>
          <w:rFonts w:hint="eastAsia" w:ascii="宋体" w:hAnsi="宋体" w:eastAsia="宋体" w:cs="宋体"/>
          <w:b/>
          <w:bCs/>
          <w:color w:val="000000"/>
          <w:sz w:val="24"/>
          <w:szCs w:val="24"/>
        </w:rPr>
        <w:t>：</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商务响应表</w:t>
      </w:r>
    </w:p>
    <w:p>
      <w:pPr>
        <w:snapToGrid w:val="0"/>
        <w:spacing w:before="50"/>
        <w:jc w:val="center"/>
        <w:rPr>
          <w:rFonts w:hint="eastAsia" w:ascii="宋体" w:hAnsi="宋体" w:eastAsia="宋体" w:cs="宋体"/>
          <w:b/>
          <w:sz w:val="32"/>
          <w:szCs w:val="32"/>
        </w:rPr>
      </w:pP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采购编号</w:t>
      </w:r>
      <w:r>
        <w:rPr>
          <w:rFonts w:hint="eastAsia" w:ascii="宋体" w:hAnsi="宋体" w:eastAsia="宋体" w:cs="宋体"/>
          <w:sz w:val="24"/>
        </w:rPr>
        <w:t>：</w:t>
      </w:r>
    </w:p>
    <w:tbl>
      <w:tblPr>
        <w:tblStyle w:val="28"/>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是否</w:t>
            </w:r>
          </w:p>
          <w:p>
            <w:pPr>
              <w:snapToGrid w:val="0"/>
              <w:spacing w:before="50" w:after="50"/>
              <w:jc w:val="center"/>
              <w:rPr>
                <w:rFonts w:hint="eastAsia" w:ascii="宋体" w:hAnsi="宋体" w:eastAsia="宋体" w:cs="宋体"/>
                <w:sz w:val="24"/>
              </w:rPr>
            </w:pPr>
            <w:r>
              <w:rPr>
                <w:rFonts w:hint="eastAsia" w:ascii="宋体" w:hAnsi="宋体" w:eastAsia="宋体" w:cs="宋体"/>
                <w:sz w:val="24"/>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lang w:eastAsia="zh-CN"/>
              </w:rPr>
              <w:t>服务</w:t>
            </w:r>
            <w:r>
              <w:rPr>
                <w:rFonts w:hint="eastAsia" w:ascii="宋体" w:hAnsi="宋体" w:eastAsia="宋体" w:cs="宋体"/>
                <w:sz w:val="24"/>
              </w:rPr>
              <w:t>时间及地点</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付款条件</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服务</w:t>
            </w:r>
            <w:r>
              <w:rPr>
                <w:rFonts w:hint="eastAsia" w:ascii="宋体" w:hAnsi="宋体" w:eastAsia="宋体" w:cs="宋体"/>
                <w:sz w:val="24"/>
                <w:lang w:eastAsia="zh-CN"/>
              </w:rPr>
              <w:t>要求</w:t>
            </w:r>
            <w:r>
              <w:rPr>
                <w:rFonts w:hint="eastAsia" w:ascii="宋体" w:hAnsi="宋体" w:eastAsia="宋体" w:cs="宋体"/>
                <w:sz w:val="24"/>
              </w:rPr>
              <w:t>响应情况</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公司</w:t>
            </w:r>
            <w:r>
              <w:rPr>
                <w:rFonts w:hint="eastAsia" w:ascii="宋体" w:hAnsi="宋体" w:eastAsia="宋体" w:cs="宋体"/>
                <w:sz w:val="24"/>
                <w:lang w:eastAsia="zh-CN"/>
              </w:rPr>
              <w:t>团队人员</w:t>
            </w:r>
            <w:r>
              <w:rPr>
                <w:rFonts w:hint="eastAsia" w:ascii="宋体" w:hAnsi="宋体" w:eastAsia="宋体" w:cs="宋体"/>
                <w:sz w:val="24"/>
              </w:rPr>
              <w:t>情况</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经验或业绩要求</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各类证书</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p>
        </w:tc>
      </w:tr>
    </w:tbl>
    <w:p>
      <w:pPr>
        <w:spacing w:line="360" w:lineRule="auto"/>
        <w:ind w:leftChars="1800" w:firstLine="480" w:firstLineChars="200"/>
        <w:rPr>
          <w:rFonts w:hint="eastAsia" w:ascii="宋体" w:hAnsi="宋体" w:eastAsia="宋体" w:cs="宋体"/>
          <w:sz w:val="24"/>
        </w:rPr>
      </w:pPr>
    </w:p>
    <w:p>
      <w:pPr>
        <w:spacing w:line="360" w:lineRule="auto"/>
        <w:ind w:leftChars="1800" w:firstLine="480" w:firstLineChars="200"/>
        <w:rPr>
          <w:rFonts w:hint="eastAsia" w:ascii="宋体" w:hAnsi="宋体" w:eastAsia="宋体" w:cs="宋体"/>
          <w:sz w:val="24"/>
        </w:rPr>
      </w:pPr>
    </w:p>
    <w:p>
      <w:pPr>
        <w:spacing w:line="360" w:lineRule="auto"/>
        <w:ind w:leftChars="1800" w:firstLine="480" w:firstLineChars="200"/>
        <w:rPr>
          <w:rFonts w:hint="eastAsia" w:ascii="宋体" w:hAnsi="宋体" w:eastAsia="宋体" w:cs="宋体"/>
          <w:sz w:val="24"/>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投标人全称（公章）：</w:t>
      </w:r>
    </w:p>
    <w:p>
      <w:pPr>
        <w:snapToGrid w:val="0"/>
        <w:spacing w:before="50" w:after="50"/>
        <w:rPr>
          <w:rFonts w:hint="eastAsia" w:ascii="宋体" w:hAnsi="宋体" w:eastAsia="宋体" w:cs="宋体"/>
          <w:b/>
          <w:bCs/>
          <w:color w:val="000000"/>
          <w:kern w:val="2"/>
          <w:sz w:val="24"/>
          <w:szCs w:val="24"/>
          <w:lang w:val="zh-CN" w:eastAsia="zh-CN" w:bidi="ar-SA"/>
        </w:rPr>
      </w:pPr>
      <w:r>
        <w:rPr>
          <w:rFonts w:hint="eastAsia" w:ascii="宋体" w:hAnsi="宋体" w:eastAsia="宋体" w:cs="宋体"/>
          <w:sz w:val="24"/>
        </w:rPr>
        <w:br w:type="page"/>
      </w:r>
      <w:r>
        <w:rPr>
          <w:rFonts w:hint="eastAsia" w:ascii="宋体" w:hAnsi="宋体" w:eastAsia="宋体" w:cs="宋体"/>
          <w:b/>
          <w:bCs/>
          <w:color w:val="000000"/>
          <w:kern w:val="2"/>
          <w:sz w:val="24"/>
          <w:szCs w:val="24"/>
          <w:lang w:val="zh-CN" w:eastAsia="zh-CN" w:bidi="ar-SA"/>
        </w:rPr>
        <w:t>附件八：</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项目组人员清单</w:t>
      </w:r>
    </w:p>
    <w:p>
      <w:pPr>
        <w:snapToGrid w:val="0"/>
        <w:spacing w:before="120" w:beforeLines="50" w:after="50"/>
        <w:jc w:val="center"/>
        <w:rPr>
          <w:rFonts w:hint="eastAsia" w:ascii="宋体" w:hAnsi="宋体" w:eastAsia="宋体" w:cs="宋体"/>
          <w:b/>
          <w:sz w:val="30"/>
          <w:szCs w:val="30"/>
        </w:rPr>
      </w:pP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采购编号</w:t>
      </w:r>
      <w:r>
        <w:rPr>
          <w:rFonts w:hint="eastAsia" w:ascii="宋体" w:hAnsi="宋体" w:eastAsia="宋体" w:cs="宋体"/>
          <w:sz w:val="24"/>
        </w:rPr>
        <w:t>：</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证书编号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sz w:val="24"/>
              </w:rPr>
            </w:pPr>
            <w:r>
              <w:rPr>
                <w:rFonts w:hint="eastAsia" w:ascii="宋体" w:hAnsi="宋体" w:eastAsia="宋体" w:cs="宋体"/>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15"/>
              <w:snapToGrid w:val="0"/>
              <w:spacing w:before="120" w:beforeLines="50" w:after="50" w:line="460" w:lineRule="exact"/>
              <w:ind w:left="5250"/>
              <w:rPr>
                <w:rFonts w:hint="eastAsia" w:ascii="宋体" w:hAnsi="宋体" w:eastAsia="宋体" w:cs="宋体"/>
                <w:szCs w:val="24"/>
                <w:lang w:eastAsia="zh-CN"/>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eastAsia="宋体" w:cs="宋体"/>
                <w:sz w:val="24"/>
              </w:rPr>
            </w:pPr>
          </w:p>
        </w:tc>
      </w:tr>
    </w:tbl>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 xml:space="preserve">注：在填写时，如本表格不适合投标单位的实际情况，可根据本表格式自行划表填写。 </w:t>
      </w:r>
    </w:p>
    <w:p>
      <w:pPr>
        <w:snapToGrid w:val="0"/>
        <w:spacing w:before="50" w:after="120" w:afterLines="50" w:line="460" w:lineRule="exact"/>
        <w:jc w:val="left"/>
        <w:rPr>
          <w:rFonts w:hint="eastAsia" w:ascii="宋体" w:hAnsi="宋体" w:eastAsia="宋体" w:cs="宋体"/>
          <w:sz w:val="24"/>
        </w:rPr>
      </w:pPr>
    </w:p>
    <w:p>
      <w:pPr>
        <w:pStyle w:val="10"/>
        <w:rPr>
          <w:rFonts w:hint="eastAsia"/>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投标人全称（公章）：</w:t>
      </w:r>
    </w:p>
    <w:p>
      <w:pPr>
        <w:spacing w:line="360" w:lineRule="auto"/>
        <w:jc w:val="center"/>
        <w:rPr>
          <w:rFonts w:hint="eastAsia" w:ascii="宋体" w:hAnsi="宋体" w:eastAsia="宋体" w:cs="宋体"/>
          <w:b/>
          <w:kern w:val="0"/>
          <w:sz w:val="36"/>
          <w:szCs w:val="36"/>
        </w:rPr>
      </w:pPr>
      <w:r>
        <w:rPr>
          <w:rFonts w:hint="eastAsia" w:ascii="宋体" w:hAnsi="宋体" w:eastAsia="宋体" w:cs="宋体"/>
          <w:spacing w:val="20"/>
          <w:sz w:val="30"/>
          <w:szCs w:val="30"/>
        </w:rPr>
        <w:br w:type="page"/>
      </w:r>
      <w:r>
        <w:rPr>
          <w:rFonts w:hint="eastAsia" w:ascii="宋体" w:hAnsi="宋体" w:eastAsia="宋体" w:cs="宋体"/>
          <w:b/>
          <w:kern w:val="0"/>
          <w:sz w:val="36"/>
          <w:szCs w:val="36"/>
        </w:rPr>
        <w:t>报价文件</w:t>
      </w:r>
    </w:p>
    <w:p>
      <w:pPr>
        <w:spacing w:line="360" w:lineRule="auto"/>
        <w:jc w:val="center"/>
        <w:rPr>
          <w:rFonts w:hint="eastAsia" w:ascii="宋体" w:hAnsi="宋体" w:eastAsia="宋体" w:cs="宋体"/>
          <w:b/>
          <w:kern w:val="0"/>
          <w:sz w:val="36"/>
          <w:szCs w:val="36"/>
        </w:rPr>
      </w:pPr>
    </w:p>
    <w:p>
      <w:pPr>
        <w:spacing w:line="360"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pStyle w:val="10"/>
        <w:ind w:firstLine="723"/>
        <w:rPr>
          <w:rFonts w:hint="eastAsia" w:ascii="宋体" w:hAnsi="宋体" w:eastAsia="宋体" w:cs="宋体"/>
          <w:b/>
          <w:kern w:val="0"/>
          <w:sz w:val="36"/>
          <w:szCs w:val="36"/>
        </w:rPr>
      </w:pPr>
    </w:p>
    <w:p>
      <w:pPr>
        <w:tabs>
          <w:tab w:val="left" w:pos="1440"/>
          <w:tab w:val="left" w:pos="1620"/>
          <w:tab w:val="left" w:pos="1800"/>
          <w:tab w:val="left" w:pos="1980"/>
        </w:tabs>
        <w:autoSpaceDE w:val="0"/>
        <w:autoSpaceDN w:val="0"/>
        <w:spacing w:line="360" w:lineRule="auto"/>
        <w:ind w:left="420" w:leftChars="200"/>
        <w:textAlignment w:val="bottom"/>
        <w:rPr>
          <w:rFonts w:hint="eastAsia" w:ascii="宋体" w:hAnsi="宋体" w:eastAsia="宋体" w:cs="宋体"/>
          <w:sz w:val="24"/>
        </w:rPr>
      </w:pPr>
      <w:r>
        <w:rPr>
          <w:rFonts w:hint="eastAsia" w:ascii="宋体" w:hAnsi="宋体" w:eastAsia="宋体" w:cs="宋体"/>
          <w:sz w:val="24"/>
        </w:rPr>
        <w:t>（1）投标函（格式见附件）；</w:t>
      </w:r>
    </w:p>
    <w:p>
      <w:pPr>
        <w:tabs>
          <w:tab w:val="left" w:pos="1440"/>
          <w:tab w:val="left" w:pos="1620"/>
          <w:tab w:val="left" w:pos="1800"/>
          <w:tab w:val="left" w:pos="1980"/>
        </w:tabs>
        <w:autoSpaceDE w:val="0"/>
        <w:autoSpaceDN w:val="0"/>
        <w:spacing w:line="360" w:lineRule="auto"/>
        <w:ind w:left="420" w:leftChars="200"/>
        <w:textAlignment w:val="bottom"/>
        <w:rPr>
          <w:rFonts w:hint="eastAsia" w:ascii="宋体" w:hAnsi="宋体" w:eastAsia="宋体" w:cs="宋体"/>
          <w:sz w:val="24"/>
        </w:rPr>
      </w:pPr>
      <w:r>
        <w:rPr>
          <w:rFonts w:hint="eastAsia" w:ascii="宋体" w:hAnsi="宋体" w:eastAsia="宋体" w:cs="宋体"/>
          <w:sz w:val="24"/>
        </w:rPr>
        <w:t>（2）开标一览表（格式见附件）；</w:t>
      </w:r>
    </w:p>
    <w:p>
      <w:pPr>
        <w:tabs>
          <w:tab w:val="left" w:pos="1440"/>
          <w:tab w:val="left" w:pos="1620"/>
          <w:tab w:val="left" w:pos="1800"/>
          <w:tab w:val="left" w:pos="1980"/>
        </w:tabs>
        <w:autoSpaceDE w:val="0"/>
        <w:autoSpaceDN w:val="0"/>
        <w:spacing w:line="360" w:lineRule="auto"/>
        <w:ind w:left="420" w:leftChars="200"/>
        <w:textAlignment w:val="bottom"/>
        <w:rPr>
          <w:rFonts w:hint="eastAsia" w:ascii="宋体" w:hAnsi="宋体" w:eastAsia="宋体" w:cs="宋体"/>
          <w:sz w:val="24"/>
        </w:rPr>
      </w:pPr>
      <w:r>
        <w:rPr>
          <w:rFonts w:hint="eastAsia" w:ascii="宋体" w:hAnsi="宋体" w:eastAsia="宋体" w:cs="宋体"/>
          <w:sz w:val="24"/>
        </w:rPr>
        <w:t>（3）中小企业声明函(如有)（格式见附件）；</w:t>
      </w:r>
    </w:p>
    <w:p>
      <w:pPr>
        <w:tabs>
          <w:tab w:val="left" w:pos="1440"/>
          <w:tab w:val="left" w:pos="1620"/>
          <w:tab w:val="left" w:pos="1800"/>
          <w:tab w:val="left" w:pos="1980"/>
        </w:tabs>
        <w:autoSpaceDE w:val="0"/>
        <w:autoSpaceDN w:val="0"/>
        <w:spacing w:line="360" w:lineRule="auto"/>
        <w:ind w:left="420" w:leftChars="200"/>
        <w:textAlignment w:val="bottom"/>
        <w:rPr>
          <w:rFonts w:hint="eastAsia" w:ascii="宋体" w:hAnsi="宋体" w:eastAsia="宋体" w:cs="宋体"/>
          <w:sz w:val="24"/>
        </w:rPr>
      </w:pPr>
      <w:r>
        <w:rPr>
          <w:rFonts w:hint="eastAsia" w:ascii="宋体" w:hAnsi="宋体" w:eastAsia="宋体" w:cs="宋体"/>
          <w:sz w:val="24"/>
        </w:rPr>
        <w:t>（4）投标报价明细表（格式见附件）；</w:t>
      </w:r>
    </w:p>
    <w:p>
      <w:pPr>
        <w:tabs>
          <w:tab w:val="left" w:pos="1440"/>
          <w:tab w:val="left" w:pos="1620"/>
          <w:tab w:val="left" w:pos="1800"/>
          <w:tab w:val="left" w:pos="1980"/>
        </w:tabs>
        <w:autoSpaceDE w:val="0"/>
        <w:autoSpaceDN w:val="0"/>
        <w:spacing w:line="360" w:lineRule="auto"/>
        <w:ind w:left="420" w:leftChars="200"/>
        <w:textAlignment w:val="bottom"/>
        <w:rPr>
          <w:rFonts w:hint="eastAsia" w:ascii="宋体" w:hAnsi="宋体" w:eastAsia="宋体" w:cs="宋体"/>
          <w:sz w:val="24"/>
        </w:rPr>
      </w:pPr>
      <w:r>
        <w:rPr>
          <w:rFonts w:hint="eastAsia" w:ascii="宋体" w:hAnsi="宋体" w:eastAsia="宋体" w:cs="宋体"/>
          <w:sz w:val="24"/>
        </w:rPr>
        <w:t>（5）残疾人福利性单位声明函(如有)（格式见附件）；</w:t>
      </w:r>
    </w:p>
    <w:p>
      <w:pPr>
        <w:tabs>
          <w:tab w:val="left" w:pos="1440"/>
          <w:tab w:val="left" w:pos="1620"/>
          <w:tab w:val="left" w:pos="1800"/>
          <w:tab w:val="left" w:pos="1980"/>
        </w:tabs>
        <w:autoSpaceDE w:val="0"/>
        <w:autoSpaceDN w:val="0"/>
        <w:spacing w:line="360" w:lineRule="auto"/>
        <w:ind w:left="420" w:leftChars="200"/>
        <w:textAlignment w:val="bottom"/>
        <w:rPr>
          <w:rFonts w:hint="eastAsia" w:ascii="宋体" w:hAnsi="宋体" w:eastAsia="宋体" w:cs="宋体"/>
          <w:sz w:val="24"/>
        </w:rPr>
      </w:pPr>
      <w:r>
        <w:rPr>
          <w:rFonts w:hint="eastAsia" w:ascii="宋体" w:hAnsi="宋体" w:eastAsia="宋体" w:cs="宋体"/>
          <w:sz w:val="24"/>
        </w:rPr>
        <w:t>（6）监狱企业证明文件(如有)。</w:t>
      </w:r>
    </w:p>
    <w:p>
      <w:pPr>
        <w:pStyle w:val="10"/>
        <w:ind w:firstLine="560"/>
        <w:rPr>
          <w:rFonts w:hint="eastAsia" w:ascii="宋体" w:hAnsi="宋体" w:eastAsia="宋体" w:cs="宋体"/>
          <w:sz w:val="28"/>
          <w:szCs w:val="28"/>
        </w:rPr>
      </w:pPr>
    </w:p>
    <w:p>
      <w:pPr>
        <w:pStyle w:val="10"/>
        <w:ind w:firstLine="560"/>
        <w:rPr>
          <w:rFonts w:hint="eastAsia" w:ascii="宋体" w:hAnsi="宋体" w:eastAsia="宋体" w:cs="宋体"/>
          <w:sz w:val="28"/>
          <w:szCs w:val="28"/>
        </w:rPr>
      </w:pPr>
    </w:p>
    <w:p>
      <w:pPr>
        <w:pStyle w:val="10"/>
        <w:ind w:firstLine="560"/>
        <w:rPr>
          <w:rFonts w:hint="eastAsia" w:ascii="宋体" w:hAnsi="宋体" w:eastAsia="宋体" w:cs="宋体"/>
          <w:sz w:val="28"/>
          <w:szCs w:val="28"/>
        </w:rPr>
      </w:pPr>
    </w:p>
    <w:p>
      <w:pPr>
        <w:pStyle w:val="10"/>
        <w:ind w:firstLine="560"/>
        <w:rPr>
          <w:rFonts w:hint="eastAsia" w:ascii="宋体" w:hAnsi="宋体" w:eastAsia="宋体" w:cs="宋体"/>
          <w:sz w:val="28"/>
          <w:szCs w:val="28"/>
        </w:rPr>
      </w:pPr>
    </w:p>
    <w:p>
      <w:pPr>
        <w:pStyle w:val="10"/>
        <w:ind w:firstLine="560"/>
        <w:rPr>
          <w:rFonts w:hint="eastAsia" w:ascii="宋体" w:hAnsi="宋体" w:eastAsia="宋体" w:cs="宋体"/>
          <w:sz w:val="28"/>
          <w:szCs w:val="28"/>
        </w:rPr>
      </w:pPr>
    </w:p>
    <w:p>
      <w:pPr>
        <w:pStyle w:val="10"/>
        <w:ind w:firstLine="560"/>
        <w:rPr>
          <w:rFonts w:hint="eastAsia" w:ascii="宋体" w:hAnsi="宋体" w:eastAsia="宋体" w:cs="宋体"/>
          <w:sz w:val="28"/>
          <w:szCs w:val="28"/>
        </w:rPr>
      </w:pPr>
    </w:p>
    <w:p>
      <w:pPr>
        <w:pStyle w:val="10"/>
        <w:ind w:firstLine="560"/>
        <w:rPr>
          <w:rFonts w:hint="eastAsia" w:ascii="宋体" w:hAnsi="宋体" w:eastAsia="宋体" w:cs="宋体"/>
          <w:sz w:val="28"/>
          <w:szCs w:val="28"/>
        </w:rPr>
      </w:pPr>
    </w:p>
    <w:p>
      <w:pPr>
        <w:pStyle w:val="10"/>
        <w:ind w:firstLine="560"/>
        <w:rPr>
          <w:rFonts w:hint="eastAsia" w:ascii="宋体" w:hAnsi="宋体" w:eastAsia="宋体" w:cs="宋体"/>
          <w:sz w:val="28"/>
          <w:szCs w:val="28"/>
        </w:rPr>
      </w:pPr>
    </w:p>
    <w:p>
      <w:pPr>
        <w:pStyle w:val="10"/>
        <w:ind w:firstLine="560"/>
        <w:rPr>
          <w:rFonts w:hint="eastAsia" w:ascii="宋体" w:hAnsi="宋体" w:eastAsia="宋体" w:cs="宋体"/>
          <w:sz w:val="28"/>
          <w:szCs w:val="28"/>
        </w:rPr>
      </w:pPr>
    </w:p>
    <w:p>
      <w:pPr>
        <w:pStyle w:val="10"/>
        <w:ind w:firstLine="560"/>
        <w:rPr>
          <w:rFonts w:hint="eastAsia" w:ascii="宋体" w:hAnsi="宋体" w:eastAsia="宋体" w:cs="宋体"/>
          <w:sz w:val="28"/>
          <w:szCs w:val="28"/>
        </w:rPr>
      </w:pPr>
    </w:p>
    <w:p>
      <w:pPr>
        <w:pStyle w:val="10"/>
        <w:ind w:firstLine="560"/>
        <w:rPr>
          <w:rFonts w:hint="eastAsia" w:ascii="宋体" w:hAnsi="宋体" w:eastAsia="宋体" w:cs="宋体"/>
          <w:sz w:val="28"/>
          <w:szCs w:val="28"/>
        </w:rPr>
      </w:pPr>
    </w:p>
    <w:p>
      <w:pPr>
        <w:pStyle w:val="2"/>
        <w:numPr>
          <w:ilvl w:val="0"/>
          <w:numId w:val="0"/>
        </w:numPr>
        <w:rPr>
          <w:rFonts w:hint="eastAsia" w:ascii="宋体" w:hAnsi="宋体" w:eastAsia="宋体" w:cs="宋体"/>
          <w:b/>
          <w:bCs/>
          <w:color w:val="000000"/>
          <w:kern w:val="2"/>
          <w:sz w:val="24"/>
          <w:szCs w:val="24"/>
          <w:lang w:val="zh-CN" w:eastAsia="zh-CN" w:bidi="ar-SA"/>
        </w:rPr>
      </w:pPr>
      <w:bookmarkStart w:id="451" w:name="_Toc3094"/>
      <w:r>
        <w:rPr>
          <w:rFonts w:hint="eastAsia" w:ascii="宋体" w:hAnsi="宋体" w:eastAsia="宋体" w:cs="宋体"/>
          <w:b/>
          <w:bCs/>
          <w:color w:val="000000"/>
          <w:kern w:val="2"/>
          <w:sz w:val="24"/>
          <w:szCs w:val="24"/>
          <w:lang w:val="zh-CN" w:eastAsia="zh-CN" w:bidi="ar-SA"/>
        </w:rPr>
        <w:t>附件</w:t>
      </w:r>
      <w:bookmarkStart w:id="452" w:name="_Toc130094924"/>
      <w:bookmarkStart w:id="453" w:name="_Toc98731770"/>
      <w:r>
        <w:rPr>
          <w:rFonts w:hint="eastAsia" w:hAnsi="宋体" w:eastAsia="宋体" w:cs="宋体"/>
          <w:b/>
          <w:bCs/>
          <w:color w:val="000000"/>
          <w:kern w:val="2"/>
          <w:sz w:val="24"/>
          <w:szCs w:val="24"/>
          <w:lang w:val="en-US" w:eastAsia="zh-CN" w:bidi="ar-SA"/>
        </w:rPr>
        <w:t>九</w:t>
      </w:r>
      <w:r>
        <w:rPr>
          <w:rFonts w:hint="eastAsia" w:ascii="宋体" w:hAnsi="宋体" w:eastAsia="宋体" w:cs="宋体"/>
          <w:b/>
          <w:bCs/>
          <w:color w:val="000000"/>
          <w:kern w:val="2"/>
          <w:sz w:val="24"/>
          <w:szCs w:val="24"/>
          <w:lang w:val="en-US" w:eastAsia="zh-CN" w:bidi="ar-SA"/>
        </w:rPr>
        <w:t>：</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投</w:t>
      </w:r>
      <w:r>
        <w:rPr>
          <w:rFonts w:hint="eastAsia" w:ascii="宋体" w:hAnsi="宋体" w:eastAsia="宋体" w:cs="宋体"/>
          <w:b/>
          <w:bCs/>
          <w:color w:val="auto"/>
          <w:sz w:val="32"/>
          <w:szCs w:val="32"/>
          <w:u w:val="none"/>
          <w:lang w:val="en-US"/>
        </w:rPr>
        <w:t xml:space="preserve"> </w:t>
      </w:r>
      <w:r>
        <w:rPr>
          <w:rFonts w:hint="eastAsia" w:ascii="宋体" w:hAnsi="宋体" w:eastAsia="宋体" w:cs="宋体"/>
          <w:b/>
          <w:bCs/>
          <w:color w:val="auto"/>
          <w:sz w:val="32"/>
          <w:szCs w:val="32"/>
          <w:u w:val="none"/>
        </w:rPr>
        <w:t>标</w:t>
      </w:r>
      <w:r>
        <w:rPr>
          <w:rFonts w:hint="eastAsia" w:ascii="宋体" w:hAnsi="宋体" w:eastAsia="宋体" w:cs="宋体"/>
          <w:b/>
          <w:bCs/>
          <w:color w:val="auto"/>
          <w:sz w:val="32"/>
          <w:szCs w:val="32"/>
          <w:u w:val="none"/>
          <w:lang w:val="en-US"/>
        </w:rPr>
        <w:t xml:space="preserve"> </w:t>
      </w:r>
      <w:r>
        <w:rPr>
          <w:rFonts w:hint="eastAsia" w:ascii="宋体" w:hAnsi="宋体" w:eastAsia="宋体" w:cs="宋体"/>
          <w:b/>
          <w:bCs/>
          <w:color w:val="auto"/>
          <w:sz w:val="32"/>
          <w:szCs w:val="32"/>
          <w:u w:val="none"/>
        </w:rPr>
        <w:t>函</w:t>
      </w:r>
      <w:bookmarkEnd w:id="451"/>
      <w:bookmarkEnd w:id="452"/>
      <w:bookmarkEnd w:id="453"/>
    </w:p>
    <w:p>
      <w:pPr>
        <w:spacing w:line="360" w:lineRule="auto"/>
        <w:ind w:firstLine="480" w:firstLineChars="200"/>
        <w:rPr>
          <w:rFonts w:hint="eastAsia" w:ascii="宋体" w:hAnsi="宋体" w:eastAsia="宋体" w:cs="宋体"/>
          <w:color w:val="FF0000"/>
          <w:sz w:val="24"/>
          <w:u w:val="single"/>
        </w:rPr>
      </w:pPr>
    </w:p>
    <w:p>
      <w:pPr>
        <w:spacing w:line="360" w:lineRule="auto"/>
        <w:ind w:firstLine="480" w:firstLineChars="200"/>
        <w:rPr>
          <w:rFonts w:hint="eastAsia" w:ascii="宋体" w:hAnsi="宋体" w:eastAsia="宋体" w:cs="宋体"/>
          <w:sz w:val="24"/>
        </w:rPr>
      </w:pPr>
      <w:r>
        <w:rPr>
          <w:rFonts w:hint="eastAsia" w:ascii="宋体" w:hAnsi="宋体" w:eastAsia="宋体" w:cs="宋体"/>
          <w:color w:val="FF0000"/>
          <w:sz w:val="24"/>
          <w:u w:val="single"/>
        </w:rPr>
        <w:t>〈采购人填写〉（采购单位名称）</w:t>
      </w:r>
      <w:r>
        <w:rPr>
          <w:rFonts w:hint="eastAsia" w:ascii="宋体" w:hAnsi="宋体" w:eastAsia="宋体" w:cs="宋体"/>
          <w:color w:val="FF0000"/>
          <w:sz w:val="24"/>
          <w:u w:val="single"/>
          <w:lang w:val="en-US" w:eastAsia="zh-CN"/>
        </w:rPr>
        <w:t xml:space="preserve"> </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绍兴市上虞区公共资源交易中心：</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我单位认真研究了关于</w:t>
      </w:r>
      <w:r>
        <w:rPr>
          <w:rFonts w:hint="eastAsia" w:ascii="宋体" w:hAnsi="宋体" w:eastAsia="宋体" w:cs="宋体"/>
          <w:sz w:val="24"/>
          <w:u w:val="single"/>
        </w:rPr>
        <w:t xml:space="preserve">                      </w:t>
      </w:r>
      <w:r>
        <w:rPr>
          <w:rFonts w:hint="eastAsia" w:ascii="宋体" w:hAnsi="宋体" w:eastAsia="宋体" w:cs="宋体"/>
          <w:sz w:val="24"/>
        </w:rPr>
        <w:t>的招标文件，</w:t>
      </w:r>
      <w:r>
        <w:rPr>
          <w:rFonts w:hint="eastAsia" w:ascii="宋体" w:hAnsi="宋体" w:eastAsia="宋体" w:cs="宋体"/>
          <w:color w:val="000000"/>
          <w:sz w:val="24"/>
        </w:rPr>
        <w:t>包括修改文件（如有的话）以及全部参考资料和有关附件。我们完全理解并接受招标文件的各项规定和要求，对招标文件的合理性、合法性不再有异议。如招标文件前后有矛盾的，我方完全同意按贵方的理解处理。</w:t>
      </w:r>
      <w:r>
        <w:rPr>
          <w:rFonts w:hint="eastAsia" w:ascii="宋体" w:hAnsi="宋体" w:eastAsia="宋体" w:cs="宋体"/>
          <w:sz w:val="24"/>
        </w:rPr>
        <w:t>我单位承诺：</w:t>
      </w:r>
    </w:p>
    <w:p>
      <w:pPr>
        <w:spacing w:line="360" w:lineRule="auto"/>
        <w:ind w:firstLine="576" w:firstLineChars="240"/>
        <w:rPr>
          <w:rFonts w:hint="eastAsia" w:ascii="宋体" w:hAnsi="宋体" w:eastAsia="宋体" w:cs="宋体"/>
          <w:sz w:val="24"/>
        </w:rPr>
      </w:pPr>
      <w:r>
        <w:rPr>
          <w:rFonts w:hint="eastAsia" w:ascii="宋体" w:hAnsi="宋体" w:eastAsia="宋体" w:cs="宋体"/>
          <w:sz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 AQAADwAAAGRycy9kb3ducmV2LnhtbE2PPU/EMAyGdyT+Q2QklhOX9JCgKk1vALqxcIBYfY1pKxqn 1+Q+4NfjigEm69FrvX5crk9+UAeaYh/YQrY0oIib4HpuLby+1Fc5qJiQHQ6BycIXRVhX52clFi4c +ZkOm9QqKeFYoIUupbHQOjYdeYzLMBJL9hEmj0lwarWb8CjlftArY260x57lQocj3XfUfG723kKs 32hXfy+ahXm/bgOtdg9Pj2jt5UVm7kAlOqW/ZZj1RR0qcdqGPbuoBuFcXkkWbuc553kGavvLuir1 f//qB1BLAwQUAAAACACHTuJAhJwmnvUBAADuAwAADgAAAGRycy9lMm9Eb2MueG1srVO9jhMxEO6R eAfLPdkk6E6wyuaKC0eDIBLwABPbu2vJf/I42eQleAEkOqgo6Xkb7h6DsTcXjqNJwRbe8Xjmm/k+ jxdXe2vYTkXU3jV8NplyppzwUruu4R8/3Dx7wRkmcBKMd6rhB4X8avn0yWIItZr73hupIiMQh/UQ Gt6nFOqqQtErCzjxQTk6bH20kGgbu0pGGAjdmmo+nV5Wg48yRC8UInlX4yE/IsZzAH3baqFWXmyt cmlEjcpAIkrY64B8WbptWyXSu7ZFlZhpODFNZaUiZG/yWi0XUHcRQq/FsQU4p4VHnCxoR0VPUCtI wLZR/wNltYgefZsmwttqJFIUIRaz6SNt3vcQVOFCUmM4iY7/D1a83a0j07Lhc84cWLrw288/fn36 evfzC62337+xeRZpCFhT7LVbx+MOwzpmxvs22vwnLmxfhD2chFX7xAQ5L59fcCbu/dWfpBAxvVbe smw03GiX+UINuzeYqBCF3odkt3FsaPjLi3mGAxq+li6dTBuIALqu5KI3Wt5oY3IGxm5zbSLbQR6A 8mU6hPtXWC6yAuzHuHI0jkavQL5ykqVDIGkcvQieW7BKcmYUPaBsESDUCbQ5J5JKG5cTVBnPI8+s 76hotjZeHuhatiHqriddZqXnfEJjULo/jmyes4d7sh8+0+VvUEsDBAoAAAAAAIdO4kAAAAAAAAAA AAAAAAAGAAAAX3JlbHMvUEsDBBQAAAAIAIdO4kCKFGY80QAAAJQBAAALAAAAX3JlbHMvLnJlbHOl kMFqwzAMhu+DvYPRfXGawxijTi+j0GvpHsDYimMaW0Yy2fr28w6DZfS2o36h7xP//vCZFrUiS6Rs YNf1oDA78jEHA++X49MLKKk2e7tQRgM3FDiMjw/7My62tiOZYxHVKFkMzLWWV63FzZisdFQwt81E nGxtIwddrLvagHro+2fNvxkwbpjq5A3wyQ+gLrfSzH/YKTomoal2jpKmaYruHlUHtmWO7sg24Ru5 RrMcsBrwLBoHalnXfgR9X7/7p97TRz7jutV+h4zrj1dvuhy/AFBLAwQUAAAACACHTuJAfublIPcA AADhAQAAEwAAAFtDb250ZW50X1R5cGVzXS54bWyVkUFOwzAQRfdI3MHyFiVOu0AIJemCtEtAqBxg ZE8Si2RseUxob4+TthtEkVjaM/+/J7vcHMZBTBjYOqrkKi+kQNLOWOoq+b7fZQ9ScAQyMDjCSh6R 5aa+vSn3R48sUpq4kn2M/lEp1j2OwLnzSGnSujBCTMfQKQ/6AzpU66K4V9pRRIpZnDtkXTbYwucQ xfaQrk8mAQeW4um0OLMqCd4PVkNMpmoi84OSnQl5Si473FvPd0lDql8J8+Q64Jx7SU8TrEHxCiE+ w5g0lAmsjPuigFP+d8lsOXLm2tZqzJvATYq94XSxutaOa9c4/d/y7ZK6dKvlg+pvUEsBAhQAFAAA AAgAh07iQH7m5SD3AAAA4QEAABMAAAAAAAAAAQAgAAAAYAQAAFtDb250ZW50X1R5cGVzXS54bWxQ SwECFAAKAAAAAACHTuJAAAAAAAAAAAAAAAAABgAAAAAAAAAAABAAAABCAwAAX3JlbHMvUEsBAhQA FAAAAAgAh07iQIoUZjzRAAAAlAEAAAsAAAAAAAAAAQAgAAAAZgMAAF9yZWxzLy5yZWxzUEsBAhQA CgAAAAAAh07iQAAAAAAAAAAAAAAAAAQAAAAAAAAAAAAQAAAAAAAAAGRycy9QSwECFAAUAAAACACH TuJA6T0kGtIAAAAHAQAADwAAAAAAAAABACAAAAAiAAAAZHJzL2Rvd25yZXYueG1sUEsBAhQAFAAA AAgAh07iQIScJp71AQAA7gMAAA4AAAAAAAAAAQAgAAAAIQEAAGRycy9lMm9Eb2MueG1sUEsFBgAA AAAGAAYAWQEAAIgFAAAAAA== ">
                <v:fill on="f" focussize="0,0"/>
                <v:stroke color="#000000" joinstyle="round"/>
                <v:imagedata o:title=""/>
                <o:lock v:ext="edit" aspectratio="f"/>
              </v:line>
            </w:pict>
          </mc:Fallback>
        </mc:AlternateContent>
      </w:r>
      <w:r>
        <w:rPr>
          <w:rFonts w:hint="eastAsia" w:ascii="宋体" w:hAnsi="宋体" w:eastAsia="宋体" w:cs="宋体"/>
          <w:sz w:val="24"/>
        </w:rPr>
        <w:t>1、一旦我单位中标，我单位愿意承接开标一览表中所列的技术服务，</w:t>
      </w:r>
      <w:r>
        <w:rPr>
          <w:rFonts w:hint="eastAsia" w:ascii="宋体" w:hAnsi="宋体" w:eastAsia="宋体" w:cs="宋体"/>
          <w:sz w:val="24"/>
          <w:lang w:eastAsia="zh-CN"/>
        </w:rPr>
        <w:t>服务期</w:t>
      </w:r>
      <w:r>
        <w:rPr>
          <w:rFonts w:hint="eastAsia" w:ascii="宋体" w:hAnsi="宋体" w:eastAsia="宋体" w:cs="宋体"/>
          <w:sz w:val="24"/>
        </w:rPr>
        <w:t>为：</w:t>
      </w:r>
      <w:r>
        <w:rPr>
          <w:rFonts w:hint="eastAsia" w:ascii="宋体" w:hAnsi="宋体" w:eastAsia="宋体" w:cs="宋体"/>
          <w:sz w:val="24"/>
          <w:u w:val="single"/>
        </w:rPr>
        <w:t xml:space="preserve">            </w:t>
      </w:r>
      <w:r>
        <w:rPr>
          <w:rFonts w:hint="eastAsia" w:ascii="宋体" w:hAnsi="宋体" w:eastAsia="宋体" w:cs="宋体"/>
          <w:sz w:val="24"/>
        </w:rPr>
        <w:t>天。</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sz w:val="24"/>
        </w:rPr>
        <w:t>2、我单位</w:t>
      </w:r>
      <w:r>
        <w:rPr>
          <w:rFonts w:hint="eastAsia" w:ascii="宋体" w:hAnsi="宋体" w:eastAsia="宋体" w:cs="宋体"/>
          <w:color w:val="000000"/>
          <w:sz w:val="24"/>
        </w:rPr>
        <w:t>同意提供按照</w:t>
      </w:r>
      <w:r>
        <w:rPr>
          <w:rFonts w:hint="eastAsia" w:ascii="宋体" w:hAnsi="宋体" w:eastAsia="宋体" w:cs="宋体"/>
          <w:bCs/>
          <w:color w:val="000000"/>
          <w:sz w:val="24"/>
        </w:rPr>
        <w:t>采购人的可能要求与其投标有关的一切数据和资料，完全理解采购人不一定要接受最低价者作为中标人</w:t>
      </w:r>
      <w:r>
        <w:rPr>
          <w:rFonts w:hint="eastAsia" w:ascii="宋体" w:hAnsi="宋体" w:eastAsia="宋体" w:cs="宋体"/>
          <w:color w:val="000000"/>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3、一旦我单位中标，我们保证按照招标文件的要求，完成</w:t>
      </w:r>
      <w:r>
        <w:rPr>
          <w:rFonts w:hint="eastAsia" w:ascii="宋体" w:hAnsi="宋体" w:eastAsia="宋体" w:cs="宋体"/>
          <w:sz w:val="24"/>
          <w:lang w:eastAsia="zh-CN"/>
        </w:rPr>
        <w:t>服务</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4、如果我单位中标，我方将按照要求提交履约保证金，严格履行合同义务。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5、除非另行达成协议并生效，你方的中标通知书和本投标函将构成约束你我双方的合同。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6、我单位承诺，一旦发生招标文件第二部分第12条规定情形之一的，承担该条款约定的责任。</w:t>
      </w:r>
    </w:p>
    <w:p>
      <w:pPr>
        <w:pStyle w:val="13"/>
        <w:snapToGrid w:val="0"/>
        <w:spacing w:line="360" w:lineRule="auto"/>
        <w:ind w:left="480"/>
        <w:jc w:val="left"/>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bCs/>
          <w:color w:val="000000"/>
          <w:sz w:val="24"/>
          <w:szCs w:val="21"/>
        </w:rPr>
      </w:pPr>
      <w:r>
        <w:rPr>
          <w:rFonts w:hint="eastAsia" w:ascii="宋体" w:hAnsi="宋体" w:eastAsia="宋体" w:cs="宋体"/>
          <w:bCs/>
          <w:sz w:val="24"/>
          <w:szCs w:val="21"/>
        </w:rPr>
        <w:t>地址：</w:t>
      </w:r>
      <w:r>
        <w:rPr>
          <w:rFonts w:hint="eastAsia" w:ascii="宋体" w:hAnsi="宋体" w:eastAsia="宋体" w:cs="宋体"/>
          <w:bCs/>
          <w:sz w:val="24"/>
          <w:szCs w:val="21"/>
          <w:u w:val="single"/>
        </w:rPr>
        <w:t xml:space="preserve">           </w:t>
      </w:r>
      <w:r>
        <w:rPr>
          <w:rFonts w:hint="eastAsia"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邮编：</w:t>
      </w:r>
      <w:r>
        <w:rPr>
          <w:rFonts w:hint="eastAsia" w:ascii="宋体" w:hAnsi="宋体" w:eastAsia="宋体" w:cs="宋体"/>
          <w:bCs/>
          <w:color w:val="000000"/>
          <w:sz w:val="24"/>
          <w:szCs w:val="21"/>
          <w:u w:val="single"/>
        </w:rPr>
        <w:t xml:space="preserve">                 </w:t>
      </w:r>
    </w:p>
    <w:p>
      <w:pPr>
        <w:spacing w:line="360" w:lineRule="auto"/>
        <w:ind w:firstLine="480" w:firstLineChars="200"/>
        <w:rPr>
          <w:rFonts w:hint="eastAsia" w:ascii="宋体" w:hAnsi="宋体" w:eastAsia="宋体" w:cs="宋体"/>
          <w:bCs/>
          <w:color w:val="000000"/>
          <w:sz w:val="24"/>
          <w:szCs w:val="21"/>
          <w:u w:val="single"/>
        </w:rPr>
      </w:pPr>
      <w:r>
        <w:rPr>
          <w:rFonts w:hint="eastAsia" w:ascii="宋体" w:hAnsi="宋体" w:eastAsia="宋体" w:cs="宋体"/>
          <w:bCs/>
          <w:color w:val="000000"/>
          <w:sz w:val="24"/>
          <w:szCs w:val="21"/>
        </w:rPr>
        <w:t>电话：</w:t>
      </w:r>
      <w:r>
        <w:rPr>
          <w:rFonts w:hint="eastAsia"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传真：</w:t>
      </w:r>
      <w:r>
        <w:rPr>
          <w:rFonts w:hint="eastAsia" w:ascii="宋体" w:hAnsi="宋体" w:eastAsia="宋体" w:cs="宋体"/>
          <w:bCs/>
          <w:color w:val="000000"/>
          <w:sz w:val="24"/>
          <w:szCs w:val="21"/>
          <w:u w:val="single"/>
        </w:rPr>
        <w:t xml:space="preserve">                 </w:t>
      </w:r>
    </w:p>
    <w:p>
      <w:pPr>
        <w:spacing w:line="360" w:lineRule="auto"/>
        <w:ind w:firstLine="480" w:firstLineChars="200"/>
        <w:rPr>
          <w:rFonts w:hint="eastAsia" w:ascii="宋体" w:hAnsi="宋体" w:eastAsia="宋体" w:cs="宋体"/>
          <w:bCs/>
          <w:color w:val="000000"/>
          <w:sz w:val="24"/>
          <w:szCs w:val="21"/>
        </w:rPr>
      </w:pPr>
      <w:r>
        <w:rPr>
          <w:rFonts w:hint="eastAsia" w:ascii="宋体" w:hAnsi="宋体" w:eastAsia="宋体" w:cs="宋体"/>
          <w:bCs/>
          <w:color w:val="000000"/>
          <w:sz w:val="24"/>
          <w:szCs w:val="21"/>
        </w:rPr>
        <w:t>供应商代表姓名：</w:t>
      </w:r>
      <w:r>
        <w:rPr>
          <w:rFonts w:hint="eastAsia"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职务：</w:t>
      </w:r>
      <w:r>
        <w:rPr>
          <w:rFonts w:hint="eastAsia" w:ascii="宋体" w:hAnsi="宋体" w:eastAsia="宋体" w:cs="宋体"/>
          <w:bCs/>
          <w:color w:val="000000"/>
          <w:sz w:val="24"/>
          <w:szCs w:val="21"/>
          <w:u w:val="single"/>
        </w:rPr>
        <w:t xml:space="preserve">                 </w:t>
      </w:r>
    </w:p>
    <w:p>
      <w:pPr>
        <w:spacing w:line="360" w:lineRule="auto"/>
        <w:ind w:firstLine="480" w:firstLineChars="200"/>
        <w:rPr>
          <w:rFonts w:hint="eastAsia" w:ascii="宋体" w:hAnsi="宋体" w:eastAsia="宋体" w:cs="宋体"/>
          <w:bCs/>
          <w:color w:val="000000"/>
          <w:sz w:val="24"/>
          <w:szCs w:val="21"/>
        </w:rPr>
      </w:pPr>
      <w:r>
        <w:rPr>
          <w:rFonts w:hint="eastAsia" w:ascii="宋体" w:hAnsi="宋体" w:eastAsia="宋体" w:cs="宋体"/>
          <w:bCs/>
          <w:color w:val="000000"/>
          <w:sz w:val="24"/>
          <w:szCs w:val="21"/>
        </w:rPr>
        <w:t>供应商名称</w:t>
      </w:r>
      <w:r>
        <w:rPr>
          <w:rFonts w:hint="eastAsia" w:ascii="宋体" w:hAnsi="宋体" w:eastAsia="宋体" w:cs="宋体"/>
          <w:bCs/>
          <w:color w:val="000000"/>
          <w:sz w:val="24"/>
          <w:szCs w:val="21"/>
          <w:u w:val="single"/>
        </w:rPr>
        <w:t>：                   　　　</w:t>
      </w:r>
    </w:p>
    <w:p>
      <w:pPr>
        <w:spacing w:line="360" w:lineRule="auto"/>
        <w:ind w:firstLine="480" w:firstLineChars="200"/>
        <w:rPr>
          <w:rFonts w:hint="eastAsia" w:ascii="宋体" w:hAnsi="宋体" w:eastAsia="宋体" w:cs="宋体"/>
          <w:bCs/>
          <w:color w:val="000000"/>
          <w:sz w:val="24"/>
          <w:szCs w:val="21"/>
        </w:rPr>
      </w:pPr>
      <w:r>
        <w:rPr>
          <w:rFonts w:hint="eastAsia" w:ascii="宋体" w:hAnsi="宋体" w:eastAsia="宋体" w:cs="宋体"/>
          <w:bCs/>
          <w:color w:val="000000"/>
          <w:sz w:val="24"/>
          <w:szCs w:val="21"/>
        </w:rPr>
        <w:t xml:space="preserve">（公章）：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firstLine="5280" w:firstLineChars="2200"/>
        <w:rPr>
          <w:rFonts w:hint="eastAsia" w:ascii="宋体" w:hAnsi="宋体" w:eastAsia="宋体" w:cs="宋体"/>
          <w:bCs/>
          <w:color w:val="000000"/>
          <w:sz w:val="24"/>
          <w:szCs w:val="21"/>
        </w:rPr>
      </w:pPr>
    </w:p>
    <w:p>
      <w:pPr>
        <w:pStyle w:val="2"/>
        <w:numPr>
          <w:ilvl w:val="0"/>
          <w:numId w:val="0"/>
        </w:numPr>
        <w:rPr>
          <w:rFonts w:hint="eastAsia" w:ascii="宋体" w:hAnsi="宋体" w:eastAsia="宋体" w:cs="宋体"/>
          <w:b/>
          <w:bCs/>
          <w:color w:val="000000"/>
          <w:kern w:val="2"/>
          <w:sz w:val="24"/>
          <w:szCs w:val="24"/>
          <w:lang w:val="zh-CN" w:eastAsia="zh-CN" w:bidi="ar-SA"/>
        </w:rPr>
      </w:pPr>
      <w:bookmarkStart w:id="454" w:name="_Toc12011"/>
      <w:r>
        <w:rPr>
          <w:rFonts w:hint="eastAsia" w:ascii="宋体" w:hAnsi="宋体" w:eastAsia="宋体" w:cs="宋体"/>
          <w:b/>
          <w:bCs/>
          <w:color w:val="000000"/>
          <w:kern w:val="2"/>
          <w:sz w:val="24"/>
          <w:szCs w:val="24"/>
          <w:lang w:val="zh-CN" w:eastAsia="zh-CN" w:bidi="ar-SA"/>
        </w:rPr>
        <w:br w:type="page"/>
      </w:r>
      <w:r>
        <w:rPr>
          <w:rFonts w:hint="eastAsia" w:ascii="宋体" w:hAnsi="宋体" w:eastAsia="宋体" w:cs="宋体"/>
          <w:b/>
          <w:bCs/>
          <w:color w:val="000000"/>
          <w:kern w:val="2"/>
          <w:sz w:val="24"/>
          <w:szCs w:val="24"/>
          <w:lang w:val="zh-CN" w:eastAsia="zh-CN" w:bidi="ar-SA"/>
        </w:rPr>
        <w:t>附件</w:t>
      </w:r>
      <w:bookmarkStart w:id="455" w:name="_Toc130094925"/>
      <w:bookmarkStart w:id="456" w:name="_Toc98731771"/>
      <w:r>
        <w:rPr>
          <w:rFonts w:hint="eastAsia" w:ascii="宋体" w:hAnsi="宋体" w:eastAsia="宋体" w:cs="宋体"/>
          <w:b/>
          <w:bCs/>
          <w:color w:val="000000"/>
          <w:kern w:val="2"/>
          <w:sz w:val="24"/>
          <w:szCs w:val="24"/>
          <w:lang w:val="en-US" w:eastAsia="zh-CN" w:bidi="ar-SA"/>
        </w:rPr>
        <w:t>十：</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开标一览表</w:t>
      </w:r>
      <w:bookmarkEnd w:id="454"/>
      <w:bookmarkEnd w:id="455"/>
      <w:bookmarkEnd w:id="456"/>
    </w:p>
    <w:p>
      <w:pPr>
        <w:pStyle w:val="13"/>
        <w:spacing w:line="360" w:lineRule="auto"/>
        <w:rPr>
          <w:rFonts w:hint="eastAsia" w:ascii="宋体" w:hAnsi="宋体" w:eastAsia="宋体" w:cs="宋体"/>
          <w:color w:val="000000"/>
          <w:sz w:val="24"/>
        </w:rPr>
      </w:pP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sz w:val="24"/>
          <w:lang w:eastAsia="zh-CN"/>
        </w:rPr>
        <w:t>采购编号</w:t>
      </w:r>
      <w:r>
        <w:rPr>
          <w:rFonts w:hint="eastAsia" w:ascii="宋体" w:hAnsi="宋体" w:eastAsia="宋体" w:cs="宋体"/>
          <w:sz w:val="24"/>
        </w:rPr>
        <w:t>：</w:t>
      </w:r>
      <w:r>
        <w:rPr>
          <w:rFonts w:hint="eastAsia" w:ascii="宋体" w:hAnsi="宋体" w:eastAsia="宋体" w:cs="宋体"/>
          <w:color w:val="000000"/>
          <w:sz w:val="24"/>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noWrap w:val="0"/>
            <w:vAlign w:val="center"/>
          </w:tcPr>
          <w:p>
            <w:pPr>
              <w:pStyle w:val="13"/>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投标总价</w:t>
            </w:r>
          </w:p>
        </w:tc>
        <w:tc>
          <w:tcPr>
            <w:tcW w:w="6707" w:type="dxa"/>
            <w:noWrap w:val="0"/>
            <w:vAlign w:val="center"/>
          </w:tcPr>
          <w:p>
            <w:pPr>
              <w:pStyle w:val="13"/>
              <w:spacing w:line="360" w:lineRule="auto"/>
              <w:jc w:val="center"/>
              <w:rPr>
                <w:rFonts w:hint="eastAsia" w:ascii="宋体" w:hAnsi="宋体" w:eastAsia="宋体" w:cs="宋体"/>
                <w:b/>
                <w:bCs/>
                <w:color w:val="FF0000"/>
                <w:sz w:val="24"/>
              </w:rPr>
            </w:pPr>
            <w:r>
              <w:rPr>
                <w:rFonts w:hint="eastAsia" w:hAnsi="宋体" w:eastAsia="宋体" w:cs="宋体"/>
                <w:b/>
                <w:bCs/>
                <w:color w:val="FF0000"/>
                <w:sz w:val="24"/>
                <w:u w:val="single"/>
                <w:lang w:eastAsia="zh-CN"/>
              </w:rPr>
              <w:t>省或市物价部门检验检测收费标准的</w:t>
            </w:r>
            <w:r>
              <w:rPr>
                <w:rFonts w:hint="eastAsia" w:ascii="宋体" w:hAnsi="宋体" w:eastAsia="宋体" w:cs="宋体"/>
                <w:b/>
                <w:bCs/>
                <w:color w:val="FF0000"/>
                <w:sz w:val="24"/>
                <w:u w:val="single"/>
              </w:rPr>
              <w:t xml:space="preserve">　　　　      </w:t>
            </w:r>
            <w:r>
              <w:rPr>
                <w:rFonts w:hint="eastAsia" w:hAnsi="宋体" w:eastAsia="宋体" w:cs="宋体"/>
                <w:b/>
                <w:bCs/>
                <w:color w:val="FF0000"/>
                <w:sz w:val="24"/>
                <w:u w:val="single"/>
                <w:lang w:val="en-US" w:eastAsia="zh-CN"/>
              </w:rPr>
              <w:t>%折扣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noWrap w:val="0"/>
            <w:vAlign w:val="center"/>
          </w:tcPr>
          <w:p>
            <w:pPr>
              <w:pStyle w:val="13"/>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投标报价应包含项目所需全部服务，不得缺漏，是履行合同的最终价格（含服务、人工、保险、税金、软件安装、调试、培训、保修等一切税金和费用）。</w:t>
            </w:r>
          </w:p>
        </w:tc>
      </w:tr>
    </w:tbl>
    <w:p>
      <w:pPr>
        <w:pStyle w:val="13"/>
        <w:spacing w:line="360" w:lineRule="auto"/>
        <w:rPr>
          <w:rFonts w:hint="eastAsia" w:ascii="宋体" w:hAnsi="宋体" w:eastAsia="宋体" w:cs="宋体"/>
          <w:color w:val="000000"/>
          <w:sz w:val="24"/>
        </w:rPr>
      </w:pPr>
    </w:p>
    <w:p>
      <w:pPr>
        <w:pStyle w:val="13"/>
        <w:spacing w:line="360" w:lineRule="auto"/>
        <w:rPr>
          <w:rFonts w:hint="eastAsia" w:ascii="宋体" w:hAnsi="宋体" w:eastAsia="宋体" w:cs="宋体"/>
          <w:color w:val="000000"/>
          <w:sz w:val="24"/>
        </w:rPr>
      </w:pPr>
    </w:p>
    <w:p>
      <w:pPr>
        <w:pStyle w:val="13"/>
        <w:spacing w:line="360" w:lineRule="auto"/>
        <w:rPr>
          <w:rFonts w:hint="eastAsia" w:ascii="宋体" w:hAnsi="宋体" w:eastAsia="宋体" w:cs="宋体"/>
          <w:color w:val="000000"/>
          <w:sz w:val="24"/>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投标人全称（公章）：</w:t>
      </w:r>
    </w:p>
    <w:p>
      <w:pPr>
        <w:snapToGrid w:val="0"/>
        <w:spacing w:line="360" w:lineRule="auto"/>
        <w:ind w:firstLine="435"/>
        <w:rPr>
          <w:rFonts w:hint="eastAsia" w:ascii="宋体" w:hAnsi="宋体" w:eastAsia="宋体" w:cs="宋体"/>
          <w:color w:val="000000"/>
        </w:rPr>
      </w:pPr>
    </w:p>
    <w:p>
      <w:pPr>
        <w:snapToGrid w:val="0"/>
        <w:spacing w:line="360" w:lineRule="auto"/>
        <w:ind w:firstLine="435"/>
        <w:rPr>
          <w:rFonts w:hint="eastAsia" w:ascii="宋体" w:hAnsi="宋体" w:eastAsia="宋体" w:cs="宋体"/>
          <w:color w:val="000000"/>
        </w:rPr>
      </w:pPr>
    </w:p>
    <w:p>
      <w:pPr>
        <w:snapToGrid w:val="0"/>
        <w:spacing w:line="360" w:lineRule="auto"/>
        <w:ind w:firstLine="435"/>
        <w:rPr>
          <w:rFonts w:hint="eastAsia" w:ascii="宋体" w:hAnsi="宋体" w:eastAsia="宋体" w:cs="宋体"/>
          <w:color w:val="000000"/>
        </w:rPr>
      </w:pPr>
    </w:p>
    <w:p>
      <w:pPr>
        <w:snapToGrid w:val="0"/>
        <w:spacing w:line="360" w:lineRule="auto"/>
        <w:ind w:firstLine="435"/>
        <w:rPr>
          <w:rFonts w:hint="eastAsia" w:ascii="宋体" w:hAnsi="宋体" w:eastAsia="宋体" w:cs="宋体"/>
          <w:color w:val="000000"/>
        </w:rPr>
      </w:pPr>
    </w:p>
    <w:p>
      <w:pPr>
        <w:snapToGrid w:val="0"/>
        <w:spacing w:line="360" w:lineRule="auto"/>
        <w:ind w:firstLine="435"/>
        <w:rPr>
          <w:rFonts w:hint="eastAsia" w:ascii="宋体" w:hAnsi="宋体" w:eastAsia="宋体" w:cs="宋体"/>
          <w:color w:val="000000"/>
        </w:rPr>
      </w:pPr>
    </w:p>
    <w:p>
      <w:pPr>
        <w:pStyle w:val="2"/>
        <w:numPr>
          <w:ilvl w:val="0"/>
          <w:numId w:val="0"/>
        </w:numPr>
        <w:rPr>
          <w:rFonts w:hint="eastAsia" w:ascii="宋体" w:hAnsi="宋体" w:eastAsia="宋体" w:cs="宋体"/>
          <w:b/>
          <w:bCs/>
          <w:color w:val="000000"/>
          <w:kern w:val="2"/>
          <w:sz w:val="24"/>
          <w:szCs w:val="24"/>
          <w:lang w:val="zh-CN" w:eastAsia="zh-CN" w:bidi="ar-SA"/>
        </w:rPr>
      </w:pPr>
      <w:r>
        <w:rPr>
          <w:rFonts w:hint="eastAsia" w:ascii="宋体" w:hAnsi="宋体" w:eastAsia="宋体" w:cs="宋体"/>
        </w:rPr>
        <w:br w:type="page"/>
      </w:r>
      <w:bookmarkStart w:id="457" w:name="_Toc7196"/>
      <w:r>
        <w:rPr>
          <w:rFonts w:hint="eastAsia" w:ascii="宋体" w:hAnsi="宋体" w:eastAsia="宋体" w:cs="宋体"/>
          <w:b/>
          <w:bCs/>
          <w:color w:val="000000"/>
          <w:kern w:val="2"/>
          <w:sz w:val="24"/>
          <w:szCs w:val="24"/>
          <w:lang w:val="zh-CN" w:eastAsia="zh-CN" w:bidi="ar-SA"/>
        </w:rPr>
        <w:t>附件十</w:t>
      </w:r>
      <w:r>
        <w:rPr>
          <w:rFonts w:hint="eastAsia" w:hAnsi="宋体" w:eastAsia="宋体" w:cs="宋体"/>
          <w:b/>
          <w:bCs/>
          <w:color w:val="000000"/>
          <w:kern w:val="2"/>
          <w:sz w:val="24"/>
          <w:szCs w:val="24"/>
          <w:lang w:val="zh-CN" w:eastAsia="zh-CN" w:bidi="ar-SA"/>
        </w:rPr>
        <w:t>一</w:t>
      </w:r>
      <w:r>
        <w:rPr>
          <w:rFonts w:hint="eastAsia" w:ascii="宋体" w:hAnsi="宋体" w:eastAsia="宋体" w:cs="宋体"/>
          <w:b/>
          <w:bCs/>
          <w:color w:val="000000"/>
          <w:kern w:val="2"/>
          <w:sz w:val="24"/>
          <w:szCs w:val="24"/>
          <w:lang w:val="zh-CN" w:eastAsia="zh-CN" w:bidi="ar-SA"/>
        </w:rPr>
        <w:t>：</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中小企业声明函</w:t>
      </w:r>
    </w:p>
    <w:p>
      <w:pPr>
        <w:widowControl/>
        <w:snapToGrid w:val="0"/>
        <w:spacing w:line="324"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【不属于中小企业的无需填写、递交】</w:t>
      </w:r>
    </w:p>
    <w:p>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本公司郑重声明，根据《政府采购促进中小企业发展暂行办法》（财库[2011]181 号）的规定，本公司为______（请填写：中型、小型、微型）企业。即，本公司同时满足以下条件：</w:t>
      </w:r>
    </w:p>
    <w:p>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本公司参加______（采购人）的______（项目名称）采购活动提供本企业制造的货物，由本企业承担工程、提供服务，或者提供其他______（请填写：中型、小型、微型）企业制造的货物。本条所称货物不包括使用大型企业注册商标的货物。</w:t>
      </w:r>
    </w:p>
    <w:p>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本公司对上述声明的真实性负责。如有虚假，将依法承担相应责任。</w:t>
      </w:r>
    </w:p>
    <w:p>
      <w:pPr>
        <w:pStyle w:val="2"/>
        <w:numPr>
          <w:ilvl w:val="0"/>
          <w:numId w:val="0"/>
        </w:numPr>
        <w:ind w:leftChars="0"/>
        <w:rPr>
          <w:rFonts w:hint="eastAsia"/>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投标人全称（公章）：</w:t>
      </w:r>
    </w:p>
    <w:p>
      <w:pPr>
        <w:pStyle w:val="2"/>
        <w:numPr>
          <w:ilvl w:val="0"/>
          <w:numId w:val="0"/>
        </w:numPr>
        <w:ind w:leftChars="0"/>
        <w:rPr>
          <w:rFonts w:hint="eastAsia"/>
        </w:rPr>
      </w:pPr>
    </w:p>
    <w:p>
      <w:pPr>
        <w:pStyle w:val="3"/>
        <w:rPr>
          <w:rFonts w:hint="eastAsia"/>
        </w:rPr>
      </w:pPr>
    </w:p>
    <w:p>
      <w:pPr>
        <w:snapToGrid w:val="0"/>
        <w:spacing w:line="360" w:lineRule="auto"/>
        <w:ind w:right="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注：</w:t>
      </w:r>
    </w:p>
    <w:p>
      <w:pPr>
        <w:snapToGrid w:val="0"/>
        <w:spacing w:line="360" w:lineRule="auto"/>
        <w:ind w:right="480"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1、只有小微企业提供的货物全部为小微企业的产品可以享受对小微企业的优惠政策，小微企业提供的货物中有部分大中型企业的产品，则不能享受其优惠政策。</w:t>
      </w:r>
    </w:p>
    <w:p>
      <w:pPr>
        <w:snapToGrid w:val="0"/>
        <w:spacing w:line="360" w:lineRule="auto"/>
        <w:ind w:right="480"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中小企业声明函》中，须同时满足以上两个条件。如投标人提供非本企业制造的货物，须提供制造商“国家企业信用信息公示系统--小微企业名录”页面查询结果(查询时间为投标前一周内，并加盖投标人公章)。</w:t>
      </w:r>
    </w:p>
    <w:p>
      <w:pPr>
        <w:pStyle w:val="10"/>
        <w:ind w:firstLine="560"/>
        <w:rPr>
          <w:rFonts w:hint="eastAsia" w:ascii="宋体" w:hAnsi="宋体" w:eastAsia="宋体" w:cs="宋体"/>
          <w:sz w:val="28"/>
          <w:szCs w:val="28"/>
        </w:rPr>
      </w:pPr>
    </w:p>
    <w:p>
      <w:pPr>
        <w:pStyle w:val="2"/>
        <w:numPr>
          <w:ilvl w:val="0"/>
          <w:numId w:val="0"/>
        </w:numPr>
        <w:rPr>
          <w:rFonts w:hint="eastAsia" w:ascii="宋体" w:hAnsi="宋体" w:eastAsia="宋体" w:cs="宋体"/>
          <w:b/>
          <w:bCs/>
          <w:color w:val="000000"/>
          <w:kern w:val="2"/>
          <w:sz w:val="24"/>
          <w:szCs w:val="24"/>
          <w:lang w:val="zh-CN" w:eastAsia="zh-CN" w:bidi="ar-SA"/>
        </w:rPr>
      </w:pPr>
      <w:r>
        <w:rPr>
          <w:rFonts w:hint="eastAsia" w:ascii="宋体" w:hAnsi="宋体" w:eastAsia="宋体" w:cs="宋体"/>
          <w:b/>
          <w:bCs/>
          <w:color w:val="000000"/>
          <w:kern w:val="2"/>
          <w:sz w:val="24"/>
          <w:szCs w:val="24"/>
          <w:lang w:val="zh-CN" w:eastAsia="zh-CN" w:bidi="ar-SA"/>
        </w:rPr>
        <w:t>附件</w:t>
      </w:r>
      <w:r>
        <w:rPr>
          <w:rFonts w:hint="eastAsia" w:ascii="宋体" w:hAnsi="宋体" w:eastAsia="宋体" w:cs="宋体"/>
          <w:b/>
          <w:bCs/>
          <w:color w:val="000000"/>
          <w:kern w:val="2"/>
          <w:sz w:val="24"/>
          <w:szCs w:val="24"/>
          <w:lang w:val="en-US" w:eastAsia="zh-CN" w:bidi="ar-SA"/>
        </w:rPr>
        <w:t>十</w:t>
      </w:r>
      <w:r>
        <w:rPr>
          <w:rFonts w:hint="eastAsia" w:hAnsi="宋体" w:eastAsia="宋体" w:cs="宋体"/>
          <w:b/>
          <w:bCs/>
          <w:color w:val="000000"/>
          <w:kern w:val="2"/>
          <w:sz w:val="24"/>
          <w:szCs w:val="24"/>
          <w:lang w:val="en-US" w:eastAsia="zh-CN" w:bidi="ar-SA"/>
        </w:rPr>
        <w:t>二</w:t>
      </w:r>
      <w:r>
        <w:rPr>
          <w:rFonts w:hint="eastAsia" w:ascii="宋体" w:hAnsi="宋体" w:eastAsia="宋体" w:cs="宋体"/>
          <w:b/>
          <w:bCs/>
          <w:color w:val="000000"/>
          <w:kern w:val="2"/>
          <w:sz w:val="24"/>
          <w:szCs w:val="24"/>
          <w:lang w:val="en-US" w:eastAsia="zh-CN" w:bidi="ar-SA"/>
        </w:rPr>
        <w:t>：</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投标报价明细表</w:t>
      </w:r>
      <w:bookmarkEnd w:id="457"/>
    </w:p>
    <w:p>
      <w:pPr>
        <w:pStyle w:val="13"/>
        <w:spacing w:line="360" w:lineRule="auto"/>
        <w:rPr>
          <w:rFonts w:hint="eastAsia" w:ascii="宋体" w:hAnsi="宋体" w:eastAsia="宋体" w:cs="宋体"/>
          <w:color w:val="000000"/>
          <w:sz w:val="24"/>
        </w:rPr>
      </w:pP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sz w:val="24"/>
          <w:lang w:eastAsia="zh-CN"/>
        </w:rPr>
        <w:t>采购编号</w:t>
      </w:r>
      <w:r>
        <w:rPr>
          <w:rFonts w:hint="eastAsia" w:ascii="宋体" w:hAnsi="宋体" w:eastAsia="宋体" w:cs="宋体"/>
          <w:sz w:val="24"/>
        </w:rPr>
        <w:t>：</w:t>
      </w:r>
      <w:r>
        <w:rPr>
          <w:rFonts w:hint="eastAsia" w:ascii="宋体" w:hAnsi="宋体" w:eastAsia="宋体" w:cs="宋体"/>
          <w:color w:val="000000"/>
          <w:sz w:val="24"/>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2284"/>
        <w:gridCol w:w="1490"/>
        <w:gridCol w:w="720"/>
        <w:gridCol w:w="648"/>
        <w:gridCol w:w="1147"/>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restart"/>
            <w:noWrap w:val="0"/>
            <w:vAlign w:val="center"/>
          </w:tcPr>
          <w:p>
            <w:pPr>
              <w:pStyle w:val="13"/>
              <w:spacing w:line="360" w:lineRule="auto"/>
              <w:jc w:val="center"/>
              <w:rPr>
                <w:rFonts w:hint="eastAsia" w:ascii="宋体" w:hAnsi="宋体" w:eastAsia="宋体" w:cs="宋体"/>
                <w:sz w:val="24"/>
              </w:rPr>
            </w:pPr>
            <w:r>
              <w:rPr>
                <w:rFonts w:hint="eastAsia" w:ascii="宋体" w:hAnsi="宋体" w:eastAsia="宋体" w:cs="宋体"/>
                <w:sz w:val="24"/>
              </w:rPr>
              <w:t>序</w:t>
            </w:r>
          </w:p>
          <w:p>
            <w:pPr>
              <w:pStyle w:val="13"/>
              <w:spacing w:line="360" w:lineRule="auto"/>
              <w:jc w:val="center"/>
              <w:rPr>
                <w:rFonts w:hint="eastAsia" w:ascii="宋体" w:hAnsi="宋体" w:eastAsia="宋体" w:cs="宋体"/>
                <w:sz w:val="24"/>
              </w:rPr>
            </w:pPr>
            <w:r>
              <w:rPr>
                <w:rFonts w:hint="eastAsia" w:ascii="宋体" w:hAnsi="宋体" w:eastAsia="宋体" w:cs="宋体"/>
                <w:sz w:val="24"/>
              </w:rPr>
              <w:t>号</w:t>
            </w:r>
          </w:p>
        </w:tc>
        <w:tc>
          <w:tcPr>
            <w:tcW w:w="1080" w:type="dxa"/>
            <w:vMerge w:val="restart"/>
            <w:noWrap w:val="0"/>
            <w:vAlign w:val="center"/>
          </w:tcPr>
          <w:p>
            <w:pPr>
              <w:pStyle w:val="13"/>
              <w:spacing w:line="360" w:lineRule="auto"/>
              <w:jc w:val="center"/>
              <w:rPr>
                <w:rFonts w:hint="eastAsia" w:ascii="宋体" w:hAnsi="宋体" w:eastAsia="宋体" w:cs="宋体"/>
                <w:sz w:val="24"/>
              </w:rPr>
            </w:pPr>
            <w:r>
              <w:rPr>
                <w:rFonts w:hint="eastAsia" w:ascii="宋体" w:hAnsi="宋体" w:eastAsia="宋体" w:cs="宋体"/>
                <w:sz w:val="24"/>
              </w:rPr>
              <w:t>名称</w:t>
            </w:r>
          </w:p>
        </w:tc>
        <w:tc>
          <w:tcPr>
            <w:tcW w:w="2284" w:type="dxa"/>
            <w:vMerge w:val="restart"/>
            <w:noWrap w:val="0"/>
            <w:vAlign w:val="center"/>
          </w:tcPr>
          <w:p>
            <w:pPr>
              <w:pStyle w:val="13"/>
              <w:spacing w:line="360" w:lineRule="auto"/>
              <w:jc w:val="center"/>
              <w:rPr>
                <w:rFonts w:hint="eastAsia" w:ascii="宋体" w:hAnsi="宋体" w:eastAsia="宋体" w:cs="宋体"/>
                <w:sz w:val="24"/>
                <w:lang w:eastAsia="zh-CN"/>
              </w:rPr>
            </w:pPr>
            <w:r>
              <w:rPr>
                <w:rFonts w:hint="eastAsia" w:hAnsi="宋体" w:eastAsia="宋体" w:cs="宋体"/>
                <w:sz w:val="24"/>
                <w:lang w:eastAsia="zh-CN"/>
              </w:rPr>
              <w:t>内容</w:t>
            </w:r>
          </w:p>
        </w:tc>
        <w:tc>
          <w:tcPr>
            <w:tcW w:w="1490" w:type="dxa"/>
            <w:vMerge w:val="restart"/>
            <w:noWrap w:val="0"/>
            <w:vAlign w:val="center"/>
          </w:tcPr>
          <w:p>
            <w:pPr>
              <w:pStyle w:val="13"/>
              <w:spacing w:line="360" w:lineRule="auto"/>
              <w:jc w:val="center"/>
              <w:rPr>
                <w:rFonts w:hint="eastAsia" w:ascii="宋体" w:hAnsi="宋体" w:eastAsia="宋体" w:cs="宋体"/>
                <w:sz w:val="24"/>
              </w:rPr>
            </w:pPr>
            <w:r>
              <w:rPr>
                <w:rFonts w:hint="eastAsia" w:hAnsi="宋体" w:eastAsia="宋体" w:cs="宋体"/>
                <w:sz w:val="24"/>
                <w:lang w:eastAsia="zh-CN"/>
              </w:rPr>
              <w:t>其他（如软件制造商</w:t>
            </w:r>
            <w:r>
              <w:rPr>
                <w:rFonts w:hint="eastAsia" w:ascii="宋体" w:hAnsi="宋体" w:eastAsia="宋体" w:cs="宋体"/>
                <w:sz w:val="24"/>
              </w:rPr>
              <w:t>名称及产地</w:t>
            </w:r>
            <w:r>
              <w:rPr>
                <w:rFonts w:hint="eastAsia" w:hAnsi="宋体" w:eastAsia="宋体" w:cs="宋体"/>
                <w:sz w:val="24"/>
                <w:lang w:eastAsia="zh-CN"/>
              </w:rPr>
              <w:t>）</w:t>
            </w:r>
          </w:p>
        </w:tc>
        <w:tc>
          <w:tcPr>
            <w:tcW w:w="720" w:type="dxa"/>
            <w:vMerge w:val="restart"/>
            <w:noWrap w:val="0"/>
            <w:vAlign w:val="center"/>
          </w:tcPr>
          <w:p>
            <w:pPr>
              <w:pStyle w:val="13"/>
              <w:spacing w:line="360" w:lineRule="auto"/>
              <w:jc w:val="center"/>
              <w:rPr>
                <w:rFonts w:hint="eastAsia" w:ascii="宋体" w:hAnsi="宋体" w:eastAsia="宋体" w:cs="宋体"/>
                <w:sz w:val="24"/>
              </w:rPr>
            </w:pPr>
            <w:r>
              <w:rPr>
                <w:rFonts w:hint="eastAsia" w:ascii="宋体" w:hAnsi="宋体" w:eastAsia="宋体" w:cs="宋体"/>
                <w:sz w:val="24"/>
              </w:rPr>
              <w:t>单</w:t>
            </w:r>
          </w:p>
          <w:p>
            <w:pPr>
              <w:pStyle w:val="13"/>
              <w:spacing w:line="360" w:lineRule="auto"/>
              <w:jc w:val="center"/>
              <w:rPr>
                <w:rFonts w:hint="eastAsia" w:ascii="宋体" w:hAnsi="宋体" w:eastAsia="宋体" w:cs="宋体"/>
              </w:rPr>
            </w:pPr>
            <w:r>
              <w:rPr>
                <w:rFonts w:hint="eastAsia" w:ascii="宋体" w:hAnsi="宋体" w:eastAsia="宋体" w:cs="宋体"/>
                <w:sz w:val="24"/>
              </w:rPr>
              <w:t>位</w:t>
            </w:r>
          </w:p>
        </w:tc>
        <w:tc>
          <w:tcPr>
            <w:tcW w:w="648" w:type="dxa"/>
            <w:vMerge w:val="restart"/>
            <w:noWrap w:val="0"/>
            <w:vAlign w:val="center"/>
          </w:tcPr>
          <w:p>
            <w:pPr>
              <w:pStyle w:val="13"/>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2270" w:type="dxa"/>
            <w:gridSpan w:val="2"/>
            <w:noWrap w:val="0"/>
            <w:vAlign w:val="center"/>
          </w:tcPr>
          <w:p>
            <w:pPr>
              <w:pStyle w:val="13"/>
              <w:spacing w:line="360" w:lineRule="auto"/>
              <w:jc w:val="center"/>
              <w:rPr>
                <w:rFonts w:hint="eastAsia" w:ascii="宋体" w:hAnsi="宋体" w:eastAsia="宋体" w:cs="宋体"/>
                <w:sz w:val="24"/>
              </w:rPr>
            </w:pPr>
            <w:r>
              <w:rPr>
                <w:rFonts w:hint="eastAsia" w:ascii="宋体" w:hAnsi="宋体" w:eastAsia="宋体" w:cs="宋体"/>
                <w:sz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noWrap w:val="0"/>
            <w:vAlign w:val="center"/>
          </w:tcPr>
          <w:p>
            <w:pPr>
              <w:pStyle w:val="13"/>
              <w:spacing w:line="360" w:lineRule="auto"/>
              <w:jc w:val="center"/>
              <w:rPr>
                <w:rFonts w:hint="eastAsia" w:ascii="宋体" w:hAnsi="宋体" w:eastAsia="宋体" w:cs="宋体"/>
                <w:sz w:val="24"/>
              </w:rPr>
            </w:pPr>
          </w:p>
        </w:tc>
        <w:tc>
          <w:tcPr>
            <w:tcW w:w="1080" w:type="dxa"/>
            <w:vMerge w:val="continue"/>
            <w:noWrap w:val="0"/>
            <w:vAlign w:val="center"/>
          </w:tcPr>
          <w:p>
            <w:pPr>
              <w:pStyle w:val="13"/>
              <w:spacing w:line="360" w:lineRule="auto"/>
              <w:jc w:val="center"/>
              <w:rPr>
                <w:rFonts w:hint="eastAsia" w:ascii="宋体" w:hAnsi="宋体" w:eastAsia="宋体" w:cs="宋体"/>
                <w:sz w:val="24"/>
              </w:rPr>
            </w:pPr>
          </w:p>
        </w:tc>
        <w:tc>
          <w:tcPr>
            <w:tcW w:w="2284" w:type="dxa"/>
            <w:vMerge w:val="continue"/>
            <w:noWrap w:val="0"/>
            <w:vAlign w:val="center"/>
          </w:tcPr>
          <w:p>
            <w:pPr>
              <w:pStyle w:val="13"/>
              <w:spacing w:line="360" w:lineRule="auto"/>
              <w:jc w:val="center"/>
              <w:rPr>
                <w:rFonts w:hint="eastAsia" w:ascii="宋体" w:hAnsi="宋体" w:eastAsia="宋体" w:cs="宋体"/>
                <w:sz w:val="24"/>
              </w:rPr>
            </w:pPr>
          </w:p>
        </w:tc>
        <w:tc>
          <w:tcPr>
            <w:tcW w:w="1490" w:type="dxa"/>
            <w:vMerge w:val="continue"/>
            <w:noWrap w:val="0"/>
            <w:vAlign w:val="center"/>
          </w:tcPr>
          <w:p>
            <w:pPr>
              <w:pStyle w:val="13"/>
              <w:spacing w:line="360" w:lineRule="auto"/>
              <w:jc w:val="center"/>
              <w:rPr>
                <w:rFonts w:hint="eastAsia" w:ascii="宋体" w:hAnsi="宋体" w:eastAsia="宋体" w:cs="宋体"/>
                <w:sz w:val="24"/>
              </w:rPr>
            </w:pPr>
          </w:p>
        </w:tc>
        <w:tc>
          <w:tcPr>
            <w:tcW w:w="720" w:type="dxa"/>
            <w:vMerge w:val="continue"/>
            <w:noWrap w:val="0"/>
            <w:vAlign w:val="center"/>
          </w:tcPr>
          <w:p>
            <w:pPr>
              <w:pStyle w:val="13"/>
              <w:spacing w:line="360" w:lineRule="auto"/>
              <w:jc w:val="center"/>
              <w:rPr>
                <w:rFonts w:hint="eastAsia" w:ascii="宋体" w:hAnsi="宋体" w:eastAsia="宋体" w:cs="宋体"/>
                <w:sz w:val="24"/>
              </w:rPr>
            </w:pPr>
          </w:p>
        </w:tc>
        <w:tc>
          <w:tcPr>
            <w:tcW w:w="648" w:type="dxa"/>
            <w:vMerge w:val="continue"/>
            <w:noWrap w:val="0"/>
            <w:vAlign w:val="center"/>
          </w:tcPr>
          <w:p>
            <w:pPr>
              <w:pStyle w:val="13"/>
              <w:spacing w:line="360" w:lineRule="auto"/>
              <w:jc w:val="center"/>
              <w:rPr>
                <w:rFonts w:hint="eastAsia" w:ascii="宋体" w:hAnsi="宋体" w:eastAsia="宋体" w:cs="宋体"/>
                <w:sz w:val="24"/>
              </w:rPr>
            </w:pPr>
          </w:p>
        </w:tc>
        <w:tc>
          <w:tcPr>
            <w:tcW w:w="1147" w:type="dxa"/>
            <w:noWrap w:val="0"/>
            <w:vAlign w:val="center"/>
          </w:tcPr>
          <w:p>
            <w:pPr>
              <w:pStyle w:val="13"/>
              <w:spacing w:line="360" w:lineRule="auto"/>
              <w:jc w:val="center"/>
              <w:rPr>
                <w:rFonts w:hint="eastAsia" w:ascii="宋体" w:hAnsi="宋体" w:eastAsia="宋体" w:cs="宋体"/>
                <w:sz w:val="24"/>
              </w:rPr>
            </w:pPr>
            <w:r>
              <w:rPr>
                <w:rFonts w:hint="eastAsia" w:ascii="宋体" w:hAnsi="宋体" w:eastAsia="宋体" w:cs="宋体"/>
                <w:sz w:val="24"/>
              </w:rPr>
              <w:t>单价</w:t>
            </w:r>
          </w:p>
        </w:tc>
        <w:tc>
          <w:tcPr>
            <w:tcW w:w="1123" w:type="dxa"/>
            <w:noWrap w:val="0"/>
            <w:vAlign w:val="center"/>
          </w:tcPr>
          <w:p>
            <w:pPr>
              <w:pStyle w:val="13"/>
              <w:spacing w:line="360" w:lineRule="auto"/>
              <w:jc w:val="center"/>
              <w:rPr>
                <w:rFonts w:hint="eastAsia" w:ascii="宋体" w:hAnsi="宋体" w:eastAsia="宋体" w:cs="宋体"/>
                <w:sz w:val="24"/>
              </w:rPr>
            </w:pPr>
            <w:r>
              <w:rPr>
                <w:rFonts w:hint="eastAsia" w:ascii="宋体" w:hAnsi="宋体" w:eastAsia="宋体" w:cs="宋体"/>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noWrap w:val="0"/>
            <w:vAlign w:val="center"/>
          </w:tcPr>
          <w:p>
            <w:pPr>
              <w:pStyle w:val="13"/>
              <w:spacing w:line="360" w:lineRule="auto"/>
              <w:jc w:val="center"/>
              <w:rPr>
                <w:rFonts w:hint="eastAsia" w:ascii="宋体" w:hAnsi="宋体" w:eastAsia="宋体" w:cs="宋体"/>
                <w:b/>
                <w:sz w:val="24"/>
              </w:rPr>
            </w:pPr>
          </w:p>
        </w:tc>
        <w:tc>
          <w:tcPr>
            <w:tcW w:w="1080" w:type="dxa"/>
            <w:noWrap w:val="0"/>
            <w:vAlign w:val="center"/>
          </w:tcPr>
          <w:p>
            <w:pPr>
              <w:pStyle w:val="13"/>
              <w:spacing w:line="360" w:lineRule="auto"/>
              <w:rPr>
                <w:rFonts w:hint="eastAsia" w:ascii="宋体" w:hAnsi="宋体" w:eastAsia="宋体" w:cs="宋体"/>
                <w:b/>
                <w:sz w:val="24"/>
              </w:rPr>
            </w:pPr>
          </w:p>
        </w:tc>
        <w:tc>
          <w:tcPr>
            <w:tcW w:w="2284" w:type="dxa"/>
            <w:noWrap w:val="0"/>
            <w:vAlign w:val="center"/>
          </w:tcPr>
          <w:p>
            <w:pPr>
              <w:pStyle w:val="13"/>
              <w:spacing w:line="360" w:lineRule="auto"/>
              <w:rPr>
                <w:rFonts w:hint="eastAsia" w:ascii="宋体" w:hAnsi="宋体" w:eastAsia="宋体" w:cs="宋体"/>
                <w:b/>
                <w:sz w:val="24"/>
              </w:rPr>
            </w:pPr>
          </w:p>
        </w:tc>
        <w:tc>
          <w:tcPr>
            <w:tcW w:w="1490" w:type="dxa"/>
            <w:noWrap w:val="0"/>
            <w:vAlign w:val="center"/>
          </w:tcPr>
          <w:p>
            <w:pPr>
              <w:pStyle w:val="13"/>
              <w:spacing w:line="360" w:lineRule="auto"/>
              <w:rPr>
                <w:rFonts w:hint="eastAsia" w:ascii="宋体" w:hAnsi="宋体" w:eastAsia="宋体" w:cs="宋体"/>
                <w:b/>
                <w:sz w:val="24"/>
              </w:rPr>
            </w:pPr>
          </w:p>
        </w:tc>
        <w:tc>
          <w:tcPr>
            <w:tcW w:w="720" w:type="dxa"/>
            <w:noWrap w:val="0"/>
            <w:vAlign w:val="center"/>
          </w:tcPr>
          <w:p>
            <w:pPr>
              <w:pStyle w:val="13"/>
              <w:spacing w:line="360" w:lineRule="auto"/>
              <w:rPr>
                <w:rFonts w:hint="eastAsia" w:ascii="宋体" w:hAnsi="宋体" w:eastAsia="宋体" w:cs="宋体"/>
                <w:b/>
                <w:sz w:val="24"/>
              </w:rPr>
            </w:pPr>
          </w:p>
        </w:tc>
        <w:tc>
          <w:tcPr>
            <w:tcW w:w="648" w:type="dxa"/>
            <w:noWrap w:val="0"/>
            <w:vAlign w:val="center"/>
          </w:tcPr>
          <w:p>
            <w:pPr>
              <w:pStyle w:val="13"/>
              <w:spacing w:line="360" w:lineRule="auto"/>
              <w:rPr>
                <w:rFonts w:hint="eastAsia" w:ascii="宋体" w:hAnsi="宋体" w:eastAsia="宋体" w:cs="宋体"/>
                <w:b/>
                <w:sz w:val="24"/>
              </w:rPr>
            </w:pPr>
          </w:p>
        </w:tc>
        <w:tc>
          <w:tcPr>
            <w:tcW w:w="1147" w:type="dxa"/>
            <w:noWrap w:val="0"/>
            <w:vAlign w:val="top"/>
          </w:tcPr>
          <w:p>
            <w:pPr>
              <w:pStyle w:val="13"/>
              <w:spacing w:line="360" w:lineRule="auto"/>
              <w:rPr>
                <w:rFonts w:hint="eastAsia" w:ascii="宋体" w:hAnsi="宋体" w:eastAsia="宋体" w:cs="宋体"/>
                <w:sz w:val="24"/>
              </w:rPr>
            </w:pPr>
          </w:p>
        </w:tc>
        <w:tc>
          <w:tcPr>
            <w:tcW w:w="1123" w:type="dxa"/>
            <w:noWrap w:val="0"/>
            <w:vAlign w:val="top"/>
          </w:tcPr>
          <w:p>
            <w:pPr>
              <w:pStyle w:val="13"/>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noWrap w:val="0"/>
            <w:vAlign w:val="center"/>
          </w:tcPr>
          <w:p>
            <w:pPr>
              <w:pStyle w:val="13"/>
              <w:spacing w:line="360" w:lineRule="auto"/>
              <w:jc w:val="center"/>
              <w:rPr>
                <w:rFonts w:hint="eastAsia" w:ascii="宋体" w:hAnsi="宋体" w:eastAsia="宋体" w:cs="宋体"/>
                <w:b/>
                <w:sz w:val="24"/>
              </w:rPr>
            </w:pPr>
          </w:p>
        </w:tc>
        <w:tc>
          <w:tcPr>
            <w:tcW w:w="1080" w:type="dxa"/>
            <w:noWrap w:val="0"/>
            <w:vAlign w:val="center"/>
          </w:tcPr>
          <w:p>
            <w:pPr>
              <w:pStyle w:val="13"/>
              <w:spacing w:line="360" w:lineRule="auto"/>
              <w:rPr>
                <w:rFonts w:hint="eastAsia" w:ascii="宋体" w:hAnsi="宋体" w:eastAsia="宋体" w:cs="宋体"/>
                <w:b/>
                <w:sz w:val="24"/>
              </w:rPr>
            </w:pPr>
          </w:p>
        </w:tc>
        <w:tc>
          <w:tcPr>
            <w:tcW w:w="2284" w:type="dxa"/>
            <w:noWrap w:val="0"/>
            <w:vAlign w:val="center"/>
          </w:tcPr>
          <w:p>
            <w:pPr>
              <w:pStyle w:val="13"/>
              <w:spacing w:line="360" w:lineRule="auto"/>
              <w:rPr>
                <w:rFonts w:hint="eastAsia" w:ascii="宋体" w:hAnsi="宋体" w:eastAsia="宋体" w:cs="宋体"/>
                <w:b/>
                <w:sz w:val="24"/>
              </w:rPr>
            </w:pPr>
          </w:p>
        </w:tc>
        <w:tc>
          <w:tcPr>
            <w:tcW w:w="1490" w:type="dxa"/>
            <w:noWrap w:val="0"/>
            <w:vAlign w:val="center"/>
          </w:tcPr>
          <w:p>
            <w:pPr>
              <w:pStyle w:val="13"/>
              <w:spacing w:line="360" w:lineRule="auto"/>
              <w:rPr>
                <w:rFonts w:hint="eastAsia" w:ascii="宋体" w:hAnsi="宋体" w:eastAsia="宋体" w:cs="宋体"/>
                <w:b/>
                <w:sz w:val="24"/>
              </w:rPr>
            </w:pPr>
          </w:p>
        </w:tc>
        <w:tc>
          <w:tcPr>
            <w:tcW w:w="720" w:type="dxa"/>
            <w:noWrap w:val="0"/>
            <w:vAlign w:val="center"/>
          </w:tcPr>
          <w:p>
            <w:pPr>
              <w:pStyle w:val="13"/>
              <w:spacing w:line="360" w:lineRule="auto"/>
              <w:rPr>
                <w:rFonts w:hint="eastAsia" w:ascii="宋体" w:hAnsi="宋体" w:eastAsia="宋体" w:cs="宋体"/>
                <w:b/>
                <w:sz w:val="24"/>
              </w:rPr>
            </w:pPr>
          </w:p>
        </w:tc>
        <w:tc>
          <w:tcPr>
            <w:tcW w:w="648" w:type="dxa"/>
            <w:noWrap w:val="0"/>
            <w:vAlign w:val="center"/>
          </w:tcPr>
          <w:p>
            <w:pPr>
              <w:pStyle w:val="13"/>
              <w:spacing w:line="360" w:lineRule="auto"/>
              <w:rPr>
                <w:rFonts w:hint="eastAsia" w:ascii="宋体" w:hAnsi="宋体" w:eastAsia="宋体" w:cs="宋体"/>
                <w:b/>
                <w:sz w:val="24"/>
              </w:rPr>
            </w:pPr>
          </w:p>
        </w:tc>
        <w:tc>
          <w:tcPr>
            <w:tcW w:w="1147" w:type="dxa"/>
            <w:noWrap w:val="0"/>
            <w:vAlign w:val="top"/>
          </w:tcPr>
          <w:p>
            <w:pPr>
              <w:pStyle w:val="13"/>
              <w:spacing w:line="360" w:lineRule="auto"/>
              <w:rPr>
                <w:rFonts w:hint="eastAsia" w:ascii="宋体" w:hAnsi="宋体" w:eastAsia="宋体" w:cs="宋体"/>
                <w:sz w:val="24"/>
              </w:rPr>
            </w:pPr>
          </w:p>
        </w:tc>
        <w:tc>
          <w:tcPr>
            <w:tcW w:w="1123" w:type="dxa"/>
            <w:noWrap w:val="0"/>
            <w:vAlign w:val="top"/>
          </w:tcPr>
          <w:p>
            <w:pPr>
              <w:pStyle w:val="13"/>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noWrap w:val="0"/>
            <w:vAlign w:val="center"/>
          </w:tcPr>
          <w:p>
            <w:pPr>
              <w:pStyle w:val="13"/>
              <w:spacing w:line="360" w:lineRule="auto"/>
              <w:jc w:val="center"/>
              <w:rPr>
                <w:rFonts w:hint="eastAsia" w:ascii="宋体" w:hAnsi="宋体" w:eastAsia="宋体" w:cs="宋体"/>
                <w:b/>
                <w:sz w:val="24"/>
              </w:rPr>
            </w:pPr>
          </w:p>
        </w:tc>
        <w:tc>
          <w:tcPr>
            <w:tcW w:w="1080" w:type="dxa"/>
            <w:noWrap w:val="0"/>
            <w:vAlign w:val="center"/>
          </w:tcPr>
          <w:p>
            <w:pPr>
              <w:pStyle w:val="13"/>
              <w:spacing w:line="360" w:lineRule="auto"/>
              <w:rPr>
                <w:rFonts w:hint="eastAsia" w:ascii="宋体" w:hAnsi="宋体" w:eastAsia="宋体" w:cs="宋体"/>
                <w:b/>
                <w:sz w:val="24"/>
              </w:rPr>
            </w:pPr>
          </w:p>
        </w:tc>
        <w:tc>
          <w:tcPr>
            <w:tcW w:w="2284" w:type="dxa"/>
            <w:noWrap w:val="0"/>
            <w:vAlign w:val="center"/>
          </w:tcPr>
          <w:p>
            <w:pPr>
              <w:pStyle w:val="13"/>
              <w:spacing w:line="360" w:lineRule="auto"/>
              <w:rPr>
                <w:rFonts w:hint="eastAsia" w:ascii="宋体" w:hAnsi="宋体" w:eastAsia="宋体" w:cs="宋体"/>
                <w:b/>
              </w:rPr>
            </w:pPr>
          </w:p>
        </w:tc>
        <w:tc>
          <w:tcPr>
            <w:tcW w:w="1490" w:type="dxa"/>
            <w:noWrap w:val="0"/>
            <w:vAlign w:val="center"/>
          </w:tcPr>
          <w:p>
            <w:pPr>
              <w:pStyle w:val="13"/>
              <w:spacing w:line="360" w:lineRule="auto"/>
              <w:rPr>
                <w:rFonts w:hint="eastAsia" w:ascii="宋体" w:hAnsi="宋体" w:eastAsia="宋体" w:cs="宋体"/>
                <w:b/>
                <w:sz w:val="24"/>
              </w:rPr>
            </w:pPr>
          </w:p>
        </w:tc>
        <w:tc>
          <w:tcPr>
            <w:tcW w:w="720" w:type="dxa"/>
            <w:noWrap w:val="0"/>
            <w:vAlign w:val="center"/>
          </w:tcPr>
          <w:p>
            <w:pPr>
              <w:pStyle w:val="13"/>
              <w:spacing w:line="360" w:lineRule="auto"/>
              <w:rPr>
                <w:rFonts w:hint="eastAsia" w:ascii="宋体" w:hAnsi="宋体" w:eastAsia="宋体" w:cs="宋体"/>
                <w:b/>
                <w:sz w:val="24"/>
              </w:rPr>
            </w:pPr>
          </w:p>
        </w:tc>
        <w:tc>
          <w:tcPr>
            <w:tcW w:w="648" w:type="dxa"/>
            <w:noWrap w:val="0"/>
            <w:vAlign w:val="center"/>
          </w:tcPr>
          <w:p>
            <w:pPr>
              <w:pStyle w:val="13"/>
              <w:spacing w:line="360" w:lineRule="auto"/>
              <w:rPr>
                <w:rFonts w:hint="eastAsia" w:ascii="宋体" w:hAnsi="宋体" w:eastAsia="宋体" w:cs="宋体"/>
                <w:b/>
                <w:sz w:val="24"/>
              </w:rPr>
            </w:pPr>
          </w:p>
        </w:tc>
        <w:tc>
          <w:tcPr>
            <w:tcW w:w="1147" w:type="dxa"/>
            <w:noWrap w:val="0"/>
            <w:vAlign w:val="top"/>
          </w:tcPr>
          <w:p>
            <w:pPr>
              <w:pStyle w:val="13"/>
              <w:spacing w:line="360" w:lineRule="auto"/>
              <w:rPr>
                <w:rFonts w:hint="eastAsia" w:ascii="宋体" w:hAnsi="宋体" w:eastAsia="宋体" w:cs="宋体"/>
                <w:sz w:val="24"/>
              </w:rPr>
            </w:pPr>
          </w:p>
        </w:tc>
        <w:tc>
          <w:tcPr>
            <w:tcW w:w="1123" w:type="dxa"/>
            <w:noWrap w:val="0"/>
            <w:vAlign w:val="top"/>
          </w:tcPr>
          <w:p>
            <w:pPr>
              <w:pStyle w:val="13"/>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noWrap w:val="0"/>
            <w:vAlign w:val="top"/>
          </w:tcPr>
          <w:p>
            <w:pPr>
              <w:pStyle w:val="13"/>
              <w:spacing w:line="360" w:lineRule="auto"/>
              <w:rPr>
                <w:rFonts w:hint="eastAsia" w:ascii="宋体" w:hAnsi="宋体" w:eastAsia="宋体" w:cs="宋体"/>
                <w:sz w:val="24"/>
              </w:rPr>
            </w:pPr>
          </w:p>
        </w:tc>
        <w:tc>
          <w:tcPr>
            <w:tcW w:w="1080" w:type="dxa"/>
            <w:noWrap w:val="0"/>
            <w:vAlign w:val="top"/>
          </w:tcPr>
          <w:p>
            <w:pPr>
              <w:pStyle w:val="13"/>
              <w:spacing w:line="360" w:lineRule="auto"/>
              <w:rPr>
                <w:rFonts w:hint="eastAsia" w:ascii="宋体" w:hAnsi="宋体" w:eastAsia="宋体" w:cs="宋体"/>
                <w:sz w:val="24"/>
              </w:rPr>
            </w:pPr>
          </w:p>
        </w:tc>
        <w:tc>
          <w:tcPr>
            <w:tcW w:w="2284" w:type="dxa"/>
            <w:noWrap w:val="0"/>
            <w:vAlign w:val="top"/>
          </w:tcPr>
          <w:p>
            <w:pPr>
              <w:pStyle w:val="13"/>
              <w:spacing w:line="360" w:lineRule="auto"/>
              <w:rPr>
                <w:rFonts w:hint="eastAsia" w:ascii="宋体" w:hAnsi="宋体" w:eastAsia="宋体" w:cs="宋体"/>
                <w:sz w:val="24"/>
              </w:rPr>
            </w:pPr>
          </w:p>
        </w:tc>
        <w:tc>
          <w:tcPr>
            <w:tcW w:w="1490" w:type="dxa"/>
            <w:noWrap w:val="0"/>
            <w:vAlign w:val="top"/>
          </w:tcPr>
          <w:p>
            <w:pPr>
              <w:pStyle w:val="13"/>
              <w:spacing w:line="360" w:lineRule="auto"/>
              <w:rPr>
                <w:rFonts w:hint="eastAsia" w:ascii="宋体" w:hAnsi="宋体" w:eastAsia="宋体" w:cs="宋体"/>
                <w:sz w:val="24"/>
              </w:rPr>
            </w:pPr>
          </w:p>
        </w:tc>
        <w:tc>
          <w:tcPr>
            <w:tcW w:w="720" w:type="dxa"/>
            <w:noWrap w:val="0"/>
            <w:vAlign w:val="top"/>
          </w:tcPr>
          <w:p>
            <w:pPr>
              <w:pStyle w:val="13"/>
              <w:spacing w:line="360" w:lineRule="auto"/>
              <w:rPr>
                <w:rFonts w:hint="eastAsia" w:ascii="宋体" w:hAnsi="宋体" w:eastAsia="宋体" w:cs="宋体"/>
                <w:sz w:val="24"/>
              </w:rPr>
            </w:pPr>
          </w:p>
        </w:tc>
        <w:tc>
          <w:tcPr>
            <w:tcW w:w="648" w:type="dxa"/>
            <w:noWrap w:val="0"/>
            <w:vAlign w:val="top"/>
          </w:tcPr>
          <w:p>
            <w:pPr>
              <w:pStyle w:val="13"/>
              <w:spacing w:line="360" w:lineRule="auto"/>
              <w:rPr>
                <w:rFonts w:hint="eastAsia" w:ascii="宋体" w:hAnsi="宋体" w:eastAsia="宋体" w:cs="宋体"/>
                <w:sz w:val="24"/>
              </w:rPr>
            </w:pPr>
          </w:p>
        </w:tc>
        <w:tc>
          <w:tcPr>
            <w:tcW w:w="1147" w:type="dxa"/>
            <w:noWrap w:val="0"/>
            <w:vAlign w:val="top"/>
          </w:tcPr>
          <w:p>
            <w:pPr>
              <w:pStyle w:val="13"/>
              <w:spacing w:line="360" w:lineRule="auto"/>
              <w:rPr>
                <w:rFonts w:hint="eastAsia" w:ascii="宋体" w:hAnsi="宋体" w:eastAsia="宋体" w:cs="宋体"/>
                <w:sz w:val="24"/>
              </w:rPr>
            </w:pPr>
          </w:p>
        </w:tc>
        <w:tc>
          <w:tcPr>
            <w:tcW w:w="1123" w:type="dxa"/>
            <w:noWrap w:val="0"/>
            <w:vAlign w:val="top"/>
          </w:tcPr>
          <w:p>
            <w:pPr>
              <w:pStyle w:val="13"/>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1620" w:type="dxa"/>
            <w:gridSpan w:val="2"/>
            <w:noWrap w:val="0"/>
            <w:vAlign w:val="center"/>
          </w:tcPr>
          <w:p>
            <w:pPr>
              <w:pStyle w:val="13"/>
              <w:spacing w:line="360" w:lineRule="auto"/>
              <w:jc w:val="center"/>
              <w:rPr>
                <w:rFonts w:hint="eastAsia" w:ascii="宋体" w:hAnsi="宋体" w:eastAsia="宋体" w:cs="宋体"/>
                <w:sz w:val="24"/>
              </w:rPr>
            </w:pPr>
            <w:r>
              <w:rPr>
                <w:rFonts w:hint="eastAsia" w:ascii="宋体" w:hAnsi="宋体" w:eastAsia="宋体" w:cs="宋体"/>
                <w:sz w:val="24"/>
              </w:rPr>
              <w:t>投标总价</w:t>
            </w:r>
          </w:p>
        </w:tc>
        <w:tc>
          <w:tcPr>
            <w:tcW w:w="7412" w:type="dxa"/>
            <w:gridSpan w:val="6"/>
            <w:noWrap w:val="0"/>
            <w:vAlign w:val="center"/>
          </w:tcPr>
          <w:p>
            <w:pPr>
              <w:pStyle w:val="13"/>
              <w:spacing w:line="360" w:lineRule="auto"/>
              <w:jc w:val="center"/>
              <w:rPr>
                <w:rFonts w:hint="eastAsia" w:ascii="宋体" w:hAnsi="宋体" w:eastAsia="宋体" w:cs="宋体"/>
                <w:sz w:val="24"/>
              </w:rPr>
            </w:pPr>
            <w:r>
              <w:rPr>
                <w:rFonts w:hint="eastAsia" w:ascii="宋体" w:hAnsi="宋体" w:eastAsia="宋体" w:cs="宋体"/>
                <w:sz w:val="24"/>
              </w:rPr>
              <w:t>大写：　　　　                元（小写：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32" w:type="dxa"/>
            <w:gridSpan w:val="8"/>
            <w:noWrap w:val="0"/>
            <w:vAlign w:val="top"/>
          </w:tcPr>
          <w:p>
            <w:pPr>
              <w:pStyle w:val="13"/>
              <w:spacing w:line="360" w:lineRule="auto"/>
              <w:ind w:firstLine="480" w:firstLineChars="200"/>
              <w:rPr>
                <w:rFonts w:hint="eastAsia" w:ascii="宋体" w:hAnsi="宋体" w:eastAsia="宋体" w:cs="宋体"/>
                <w:sz w:val="24"/>
              </w:rPr>
            </w:pPr>
            <w:r>
              <w:rPr>
                <w:rFonts w:hint="eastAsia" w:ascii="宋体" w:hAnsi="宋体" w:eastAsia="宋体" w:cs="宋体"/>
                <w:sz w:val="24"/>
              </w:rPr>
              <w:t>投标报价应包含项目所需全部服务，不得缺漏，是履行合同的最终价格（含服务、人工、保险、税金、软件安装、调试、培训、保修等一切税金和费用）。</w:t>
            </w:r>
          </w:p>
        </w:tc>
      </w:tr>
    </w:tbl>
    <w:p>
      <w:pPr>
        <w:pStyle w:val="13"/>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注：</w:t>
      </w:r>
      <w:r>
        <w:rPr>
          <w:rFonts w:hint="eastAsia" w:hAnsi="宋体" w:eastAsia="宋体" w:cs="宋体"/>
          <w:color w:val="000000"/>
          <w:sz w:val="24"/>
          <w:lang w:eastAsia="zh-CN"/>
        </w:rPr>
        <w:t>内容</w:t>
      </w:r>
      <w:r>
        <w:rPr>
          <w:rFonts w:hint="eastAsia" w:ascii="宋体" w:hAnsi="宋体" w:eastAsia="宋体" w:cs="宋体"/>
          <w:color w:val="000000"/>
          <w:sz w:val="24"/>
        </w:rPr>
        <w:t>可根据投标人实际情况自行调整。</w:t>
      </w:r>
    </w:p>
    <w:p>
      <w:pPr>
        <w:pStyle w:val="13"/>
        <w:spacing w:line="360" w:lineRule="auto"/>
        <w:rPr>
          <w:rFonts w:hint="eastAsia" w:ascii="宋体" w:hAnsi="宋体" w:eastAsia="宋体" w:cs="宋体"/>
          <w:color w:val="000000"/>
          <w:sz w:val="24"/>
        </w:rPr>
      </w:pPr>
    </w:p>
    <w:p>
      <w:pPr>
        <w:pStyle w:val="13"/>
        <w:spacing w:line="360" w:lineRule="auto"/>
        <w:rPr>
          <w:rFonts w:hint="eastAsia" w:ascii="宋体" w:hAnsi="宋体" w:eastAsia="宋体" w:cs="宋体"/>
          <w:color w:val="000000"/>
          <w:sz w:val="24"/>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投标人全称（公章）：</w:t>
      </w:r>
    </w:p>
    <w:p>
      <w:pPr>
        <w:spacing w:line="360" w:lineRule="auto"/>
        <w:ind w:left="480" w:hanging="480"/>
        <w:jc w:val="center"/>
        <w:rPr>
          <w:rFonts w:hint="eastAsia" w:ascii="宋体" w:hAnsi="宋体" w:eastAsia="宋体" w:cs="宋体"/>
          <w:b/>
          <w:color w:val="000000"/>
          <w:sz w:val="28"/>
          <w:szCs w:val="20"/>
        </w:rPr>
      </w:pPr>
    </w:p>
    <w:p>
      <w:pPr>
        <w:pStyle w:val="2"/>
        <w:numPr>
          <w:ilvl w:val="0"/>
          <w:numId w:val="0"/>
        </w:numPr>
        <w:rPr>
          <w:rFonts w:hint="eastAsia" w:ascii="宋体" w:hAnsi="宋体" w:eastAsia="宋体" w:cs="宋体"/>
          <w:sz w:val="24"/>
          <w:szCs w:val="24"/>
        </w:rPr>
      </w:pPr>
      <w:bookmarkStart w:id="458" w:name="_Toc16150"/>
      <w:bookmarkStart w:id="459" w:name="_Toc9715"/>
      <w:bookmarkStart w:id="460" w:name="_Toc31472"/>
      <w:bookmarkStart w:id="461" w:name="_Toc25017"/>
    </w:p>
    <w:p>
      <w:pPr>
        <w:pStyle w:val="2"/>
        <w:numPr>
          <w:ilvl w:val="0"/>
          <w:numId w:val="0"/>
        </w:numPr>
        <w:rPr>
          <w:rFonts w:hint="eastAsia" w:ascii="宋体" w:hAnsi="宋体" w:eastAsia="宋体" w:cs="宋体"/>
          <w:b/>
          <w:bCs/>
          <w:color w:val="000000"/>
          <w:kern w:val="2"/>
          <w:sz w:val="24"/>
          <w:szCs w:val="24"/>
          <w:lang w:val="zh-CN" w:eastAsia="zh-CN" w:bidi="ar-SA"/>
        </w:rPr>
      </w:pPr>
      <w:r>
        <w:rPr>
          <w:rFonts w:hint="eastAsia" w:ascii="宋体" w:hAnsi="宋体" w:eastAsia="宋体" w:cs="宋体"/>
          <w:b/>
          <w:bCs/>
          <w:color w:val="000000"/>
          <w:kern w:val="2"/>
          <w:sz w:val="24"/>
          <w:szCs w:val="24"/>
          <w:lang w:val="zh-CN" w:eastAsia="zh-CN" w:bidi="ar-SA"/>
        </w:rPr>
        <w:br w:type="page"/>
      </w:r>
      <w:r>
        <w:rPr>
          <w:rFonts w:hint="eastAsia" w:ascii="宋体" w:hAnsi="宋体" w:eastAsia="宋体" w:cs="宋体"/>
          <w:b/>
          <w:bCs/>
          <w:color w:val="000000"/>
          <w:kern w:val="2"/>
          <w:sz w:val="24"/>
          <w:szCs w:val="24"/>
          <w:lang w:val="zh-CN" w:eastAsia="zh-CN" w:bidi="ar-SA"/>
        </w:rPr>
        <w:t>附件十</w:t>
      </w:r>
      <w:r>
        <w:rPr>
          <w:rFonts w:hint="eastAsia" w:hAnsi="宋体" w:eastAsia="宋体" w:cs="宋体"/>
          <w:b/>
          <w:bCs/>
          <w:color w:val="000000"/>
          <w:kern w:val="2"/>
          <w:sz w:val="24"/>
          <w:szCs w:val="24"/>
          <w:lang w:val="en-US" w:eastAsia="zh-CN" w:bidi="ar-SA"/>
        </w:rPr>
        <w:t>三</w:t>
      </w:r>
      <w:r>
        <w:rPr>
          <w:rFonts w:hint="eastAsia" w:ascii="宋体" w:hAnsi="宋体" w:eastAsia="宋体" w:cs="宋体"/>
          <w:b/>
          <w:bCs/>
          <w:color w:val="000000"/>
          <w:kern w:val="2"/>
          <w:sz w:val="24"/>
          <w:szCs w:val="24"/>
          <w:lang w:val="en-US" w:eastAsia="zh-CN" w:bidi="ar-SA"/>
        </w:rPr>
        <w:t>：</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残疾人福利性单位声明函</w:t>
      </w:r>
      <w:bookmarkEnd w:id="458"/>
      <w:bookmarkEnd w:id="459"/>
      <w:bookmarkEnd w:id="460"/>
      <w:bookmarkEnd w:id="461"/>
    </w:p>
    <w:p>
      <w:pPr>
        <w:widowControl/>
        <w:snapToGrid w:val="0"/>
        <w:spacing w:line="324" w:lineRule="auto"/>
        <w:ind w:firstLine="480" w:firstLineChars="200"/>
        <w:jc w:val="center"/>
        <w:rPr>
          <w:rFonts w:hint="eastAsia" w:ascii="宋体" w:hAnsi="宋体" w:eastAsia="宋体" w:cs="宋体"/>
          <w:kern w:val="0"/>
          <w:sz w:val="24"/>
        </w:rPr>
      </w:pPr>
      <w:r>
        <w:rPr>
          <w:rFonts w:hint="eastAsia" w:ascii="宋体" w:hAnsi="宋体" w:eastAsia="宋体" w:cs="宋体"/>
          <w:kern w:val="0"/>
          <w:sz w:val="24"/>
        </w:rPr>
        <w:t>【不属于残疾人福利性单位的无需填写、递交】</w:t>
      </w:r>
    </w:p>
    <w:p>
      <w:pPr>
        <w:spacing w:line="588" w:lineRule="exact"/>
        <w:rPr>
          <w:rFonts w:hint="eastAsia" w:ascii="宋体" w:hAnsi="宋体" w:eastAsia="宋体" w:cs="宋体"/>
          <w:b/>
          <w:spacing w:val="6"/>
          <w:sz w:val="30"/>
          <w:szCs w:val="30"/>
        </w:rPr>
      </w:pPr>
    </w:p>
    <w:p>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pPr>
        <w:pStyle w:val="2"/>
        <w:rPr>
          <w:rFonts w:hint="eastAsia"/>
        </w:rPr>
      </w:pPr>
    </w:p>
    <w:p>
      <w:pPr>
        <w:pStyle w:val="3"/>
        <w:rPr>
          <w:rFonts w:hint="eastAsia"/>
        </w:rPr>
      </w:pPr>
    </w:p>
    <w:p>
      <w:pPr>
        <w:spacing w:line="588" w:lineRule="exact"/>
        <w:rPr>
          <w:rFonts w:hint="eastAsia" w:ascii="宋体" w:hAnsi="宋体" w:eastAsia="宋体" w:cs="宋体"/>
          <w:sz w:val="24"/>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投标人全称（公章）：</w:t>
      </w:r>
    </w:p>
    <w:p>
      <w:pPr>
        <w:pStyle w:val="2"/>
        <w:numPr>
          <w:ilvl w:val="0"/>
          <w:numId w:val="0"/>
        </w:numPr>
        <w:rPr>
          <w:rFonts w:hint="eastAsia" w:ascii="宋体" w:hAnsi="宋体" w:eastAsia="宋体" w:cs="宋体"/>
          <w:b/>
          <w:bCs/>
          <w:color w:val="000000"/>
          <w:kern w:val="2"/>
          <w:sz w:val="24"/>
          <w:szCs w:val="24"/>
          <w:lang w:val="zh-CN" w:eastAsia="zh-CN" w:bidi="ar-SA"/>
        </w:rPr>
      </w:pPr>
      <w:r>
        <w:rPr>
          <w:rFonts w:hint="eastAsia" w:ascii="宋体" w:hAnsi="宋体" w:eastAsia="宋体" w:cs="宋体"/>
          <w:sz w:val="24"/>
        </w:rPr>
        <w:br w:type="page"/>
      </w:r>
      <w:bookmarkStart w:id="462" w:name="_Toc24"/>
      <w:bookmarkStart w:id="463" w:name="_Toc15966"/>
      <w:bookmarkStart w:id="464" w:name="_Toc5441"/>
      <w:bookmarkStart w:id="465" w:name="_Toc2386"/>
      <w:r>
        <w:rPr>
          <w:rFonts w:hint="eastAsia" w:ascii="宋体" w:hAnsi="宋体" w:eastAsia="宋体" w:cs="宋体"/>
          <w:b/>
          <w:bCs/>
          <w:color w:val="000000"/>
          <w:kern w:val="2"/>
          <w:sz w:val="24"/>
          <w:szCs w:val="24"/>
          <w:lang w:val="zh-CN" w:eastAsia="zh-CN" w:bidi="ar-SA"/>
        </w:rPr>
        <w:t>附件十</w:t>
      </w:r>
      <w:r>
        <w:rPr>
          <w:rFonts w:hint="eastAsia" w:hAnsi="宋体" w:eastAsia="宋体" w:cs="宋体"/>
          <w:b/>
          <w:bCs/>
          <w:color w:val="000000"/>
          <w:kern w:val="2"/>
          <w:sz w:val="24"/>
          <w:szCs w:val="24"/>
          <w:lang w:val="en-US" w:eastAsia="zh-CN" w:bidi="ar-SA"/>
        </w:rPr>
        <w:t>四</w:t>
      </w:r>
      <w:r>
        <w:rPr>
          <w:rFonts w:hint="eastAsia" w:ascii="宋体" w:hAnsi="宋体" w:eastAsia="宋体" w:cs="宋体"/>
          <w:b/>
          <w:bCs/>
          <w:color w:val="000000"/>
          <w:kern w:val="2"/>
          <w:sz w:val="24"/>
          <w:szCs w:val="24"/>
          <w:lang w:val="en-US" w:eastAsia="zh-CN" w:bidi="ar-SA"/>
        </w:rPr>
        <w:t>：</w:t>
      </w:r>
    </w:p>
    <w:p>
      <w:pPr>
        <w:spacing w:line="360" w:lineRule="auto"/>
        <w:jc w:val="center"/>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监狱企业证明文件</w:t>
      </w:r>
      <w:bookmarkEnd w:id="462"/>
      <w:bookmarkEnd w:id="463"/>
      <w:bookmarkEnd w:id="464"/>
      <w:bookmarkEnd w:id="465"/>
    </w:p>
    <w:p>
      <w:pPr>
        <w:widowControl/>
        <w:snapToGrid w:val="0"/>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【不属于监狱企业的无需填写、递交】</w:t>
      </w:r>
    </w:p>
    <w:p>
      <w:pPr>
        <w:widowControl/>
        <w:snapToGrid w:val="0"/>
        <w:spacing w:line="324" w:lineRule="auto"/>
        <w:jc w:val="center"/>
        <w:rPr>
          <w:rFonts w:hint="eastAsia" w:ascii="宋体" w:hAnsi="宋体" w:eastAsia="宋体" w:cs="宋体"/>
          <w:kern w:val="0"/>
          <w:sz w:val="24"/>
        </w:rPr>
      </w:pPr>
    </w:p>
    <w:p>
      <w:pPr>
        <w:spacing w:line="588" w:lineRule="exact"/>
        <w:ind w:firstLine="480" w:firstLineChars="200"/>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监狱企业需提供省级以上的监狱管理局、戒毒管理局（含新疆生产建设兵团）出具的属于监狱企业的证明文件。  </w:t>
      </w:r>
    </w:p>
    <w:p>
      <w:pPr>
        <w:pStyle w:val="2"/>
        <w:numPr>
          <w:ilvl w:val="0"/>
          <w:numId w:val="0"/>
        </w:numPr>
        <w:ind w:leftChars="0"/>
        <w:rPr>
          <w:rFonts w:hint="eastAsia"/>
        </w:rPr>
      </w:pPr>
    </w:p>
    <w:p>
      <w:pPr>
        <w:pStyle w:val="3"/>
        <w:rPr>
          <w:rFonts w:hint="eastAsia"/>
        </w:rPr>
      </w:pP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 xml:space="preserve">法定代表人签名（或签名章）：                       </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日 期：</w:t>
      </w:r>
    </w:p>
    <w:p>
      <w:pPr>
        <w:spacing w:line="360" w:lineRule="auto"/>
        <w:ind w:leftChars="1800" w:firstLine="480" w:firstLineChars="200"/>
        <w:rPr>
          <w:rFonts w:hint="eastAsia" w:ascii="宋体" w:hAnsi="宋体" w:eastAsia="宋体" w:cs="宋体"/>
          <w:sz w:val="24"/>
        </w:rPr>
      </w:pPr>
      <w:r>
        <w:rPr>
          <w:rFonts w:hint="eastAsia" w:ascii="宋体" w:hAnsi="宋体" w:eastAsia="宋体" w:cs="宋体"/>
          <w:sz w:val="24"/>
        </w:rPr>
        <w:t>投标人全称（公章）：</w:t>
      </w:r>
    </w:p>
    <w:p>
      <w:pPr>
        <w:spacing w:line="360" w:lineRule="auto"/>
        <w:jc w:val="center"/>
        <w:rPr>
          <w:rFonts w:hint="eastAsia" w:ascii="宋体" w:hAnsi="宋体" w:eastAsia="宋体" w:cs="宋体"/>
          <w:b/>
          <w:sz w:val="24"/>
        </w:rPr>
      </w:pPr>
    </w:p>
    <w:p>
      <w:pPr>
        <w:spacing w:line="360" w:lineRule="auto"/>
        <w:rPr>
          <w:rFonts w:hint="eastAsia"/>
          <w:sz w:val="36"/>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30"/>
      </w:rPr>
    </w:pPr>
  </w:p>
  <w:p>
    <w:pPr>
      <w:pStyle w:val="17"/>
      <w:ind w:right="360"/>
      <w:jc w:val="center"/>
    </w:pPr>
    <w:r>
      <w:fldChar w:fldCharType="begin"/>
    </w:r>
    <w:r>
      <w:rPr>
        <w:rStyle w:val="30"/>
      </w:rPr>
      <w:instrText xml:space="preserve"> PAGE </w:instrText>
    </w:r>
    <w:r>
      <w:fldChar w:fldCharType="separate"/>
    </w:r>
    <w:r>
      <w:rPr>
        <w:rStyle w:val="30"/>
        <w:lang/>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ind w:left="1080" w:hanging="1080" w:hangingChars="600"/>
      <w:jc w:val="both"/>
      <w:rPr>
        <w:rFonts w:hint="eastAsia"/>
        <w:color w:val="FF0000"/>
      </w:rPr>
    </w:pPr>
    <w:r>
      <w:rPr>
        <w:rFonts w:hint="eastAsia"/>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73AF"/>
    <w:multiLevelType w:val="singleLevel"/>
    <w:tmpl w:val="84B173AF"/>
    <w:lvl w:ilvl="0" w:tentative="0">
      <w:start w:val="1"/>
      <w:numFmt w:val="decimal"/>
      <w:suff w:val="nothing"/>
      <w:lvlText w:val="%1．"/>
      <w:lvlJc w:val="left"/>
      <w:pPr>
        <w:ind w:left="0" w:firstLine="40"/>
      </w:pPr>
      <w:rPr>
        <w:rFonts w:hint="default"/>
      </w:rPr>
    </w:lvl>
  </w:abstractNum>
  <w:abstractNum w:abstractNumId="1">
    <w:nsid w:val="8CA00E09"/>
    <w:multiLevelType w:val="singleLevel"/>
    <w:tmpl w:val="8CA00E09"/>
    <w:lvl w:ilvl="0" w:tentative="0">
      <w:start w:val="1"/>
      <w:numFmt w:val="decimalEnclosedCircleChinese"/>
      <w:suff w:val="nothing"/>
      <w:lvlText w:val="%1　"/>
      <w:lvlJc w:val="left"/>
      <w:pPr>
        <w:ind w:left="0" w:firstLine="1134"/>
      </w:pPr>
      <w:rPr>
        <w:rFonts w:hint="eastAsia"/>
      </w:rPr>
    </w:lvl>
  </w:abstractNum>
  <w:abstractNum w:abstractNumId="2">
    <w:nsid w:val="93B993BA"/>
    <w:multiLevelType w:val="singleLevel"/>
    <w:tmpl w:val="93B993BA"/>
    <w:lvl w:ilvl="0" w:tentative="0">
      <w:start w:val="1"/>
      <w:numFmt w:val="decimal"/>
      <w:suff w:val="nothing"/>
      <w:lvlText w:val="%1．"/>
      <w:lvlJc w:val="left"/>
      <w:pPr>
        <w:ind w:left="0" w:firstLine="397"/>
      </w:pPr>
      <w:rPr>
        <w:rFonts w:hint="default"/>
      </w:rPr>
    </w:lvl>
  </w:abstractNum>
  <w:abstractNum w:abstractNumId="3">
    <w:nsid w:val="9577F733"/>
    <w:multiLevelType w:val="singleLevel"/>
    <w:tmpl w:val="9577F733"/>
    <w:lvl w:ilvl="0" w:tentative="0">
      <w:start w:val="1"/>
      <w:numFmt w:val="decimal"/>
      <w:suff w:val="nothing"/>
      <w:lvlText w:val="10.%1 "/>
      <w:lvlJc w:val="left"/>
      <w:pPr>
        <w:tabs>
          <w:tab w:val="left" w:pos="0"/>
        </w:tabs>
        <w:ind w:left="0" w:firstLine="40"/>
      </w:pPr>
      <w:rPr>
        <w:rFonts w:hint="default" w:ascii="宋体" w:hAnsi="宋体" w:eastAsia="宋体" w:cs="宋体"/>
      </w:rPr>
    </w:lvl>
  </w:abstractNum>
  <w:abstractNum w:abstractNumId="4">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5">
    <w:nsid w:val="96F74106"/>
    <w:multiLevelType w:val="singleLevel"/>
    <w:tmpl w:val="96F74106"/>
    <w:lvl w:ilvl="0" w:tentative="0">
      <w:start w:val="5"/>
      <w:numFmt w:val="chineseCounting"/>
      <w:suff w:val="space"/>
      <w:lvlText w:val="第%1部分"/>
      <w:lvlJc w:val="left"/>
      <w:rPr>
        <w:rFonts w:hint="eastAsia"/>
      </w:rPr>
    </w:lvl>
  </w:abstractNum>
  <w:abstractNum w:abstractNumId="6">
    <w:nsid w:val="A1EDF1D4"/>
    <w:multiLevelType w:val="singleLevel"/>
    <w:tmpl w:val="A1EDF1D4"/>
    <w:lvl w:ilvl="0" w:tentative="0">
      <w:start w:val="1"/>
      <w:numFmt w:val="decimal"/>
      <w:lvlText w:val="%1."/>
      <w:lvlJc w:val="left"/>
      <w:pPr>
        <w:tabs>
          <w:tab w:val="left" w:pos="312"/>
        </w:tabs>
      </w:pPr>
    </w:lvl>
  </w:abstractNum>
  <w:abstractNum w:abstractNumId="7">
    <w:nsid w:val="A51B0742"/>
    <w:multiLevelType w:val="singleLevel"/>
    <w:tmpl w:val="A51B0742"/>
    <w:lvl w:ilvl="0" w:tentative="0">
      <w:start w:val="1"/>
      <w:numFmt w:val="decimalEnclosedCircleChinese"/>
      <w:suff w:val="nothing"/>
      <w:lvlText w:val="%1　"/>
      <w:lvlJc w:val="left"/>
      <w:pPr>
        <w:ind w:left="0" w:firstLine="1134"/>
      </w:pPr>
      <w:rPr>
        <w:rFonts w:hint="eastAsia"/>
      </w:rPr>
    </w:lvl>
  </w:abstractNum>
  <w:abstractNum w:abstractNumId="8">
    <w:nsid w:val="A623EEB2"/>
    <w:multiLevelType w:val="singleLevel"/>
    <w:tmpl w:val="A623EEB2"/>
    <w:lvl w:ilvl="0" w:tentative="0">
      <w:start w:val="1"/>
      <w:numFmt w:val="decimal"/>
      <w:suff w:val="nothing"/>
      <w:lvlText w:val="4.%1 "/>
      <w:lvlJc w:val="left"/>
      <w:pPr>
        <w:tabs>
          <w:tab w:val="left" w:pos="0"/>
        </w:tabs>
        <w:ind w:left="0" w:firstLine="40"/>
      </w:pPr>
      <w:rPr>
        <w:rFonts w:hint="default" w:ascii="宋体" w:hAnsi="宋体" w:eastAsia="宋体" w:cs="宋体"/>
      </w:rPr>
    </w:lvl>
  </w:abstractNum>
  <w:abstractNum w:abstractNumId="9">
    <w:nsid w:val="BF7B3E59"/>
    <w:multiLevelType w:val="singleLevel"/>
    <w:tmpl w:val="BF7B3E59"/>
    <w:lvl w:ilvl="0" w:tentative="0">
      <w:start w:val="4"/>
      <w:numFmt w:val="decimal"/>
      <w:suff w:val="space"/>
      <w:lvlText w:val="%1."/>
      <w:lvlJc w:val="left"/>
    </w:lvl>
  </w:abstractNum>
  <w:abstractNum w:abstractNumId="10">
    <w:nsid w:val="C65771D8"/>
    <w:multiLevelType w:val="singleLevel"/>
    <w:tmpl w:val="C65771D8"/>
    <w:lvl w:ilvl="0" w:tentative="0">
      <w:start w:val="1"/>
      <w:numFmt w:val="decimal"/>
      <w:suff w:val="nothing"/>
      <w:lvlText w:val="19.%1 "/>
      <w:lvlJc w:val="left"/>
      <w:pPr>
        <w:tabs>
          <w:tab w:val="left" w:pos="0"/>
        </w:tabs>
        <w:ind w:left="0" w:firstLine="40"/>
      </w:pPr>
      <w:rPr>
        <w:rFonts w:hint="default" w:ascii="宋体" w:hAnsi="宋体" w:eastAsia="宋体" w:cs="宋体"/>
      </w:rPr>
    </w:lvl>
  </w:abstractNum>
  <w:abstractNum w:abstractNumId="11">
    <w:nsid w:val="C88B87FA"/>
    <w:multiLevelType w:val="singleLevel"/>
    <w:tmpl w:val="C88B87FA"/>
    <w:lvl w:ilvl="0" w:tentative="0">
      <w:start w:val="1"/>
      <w:numFmt w:val="decimal"/>
      <w:suff w:val="nothing"/>
      <w:lvlText w:val="22.%1 "/>
      <w:lvlJc w:val="left"/>
      <w:pPr>
        <w:tabs>
          <w:tab w:val="left" w:pos="0"/>
        </w:tabs>
        <w:ind w:left="0" w:firstLine="40"/>
      </w:pPr>
      <w:rPr>
        <w:rFonts w:hint="default" w:ascii="宋体" w:hAnsi="宋体" w:eastAsia="宋体" w:cs="宋体"/>
      </w:rPr>
    </w:lvl>
  </w:abstractNum>
  <w:abstractNum w:abstractNumId="12">
    <w:nsid w:val="CA005832"/>
    <w:multiLevelType w:val="singleLevel"/>
    <w:tmpl w:val="CA005832"/>
    <w:lvl w:ilvl="0" w:tentative="0">
      <w:start w:val="1"/>
      <w:numFmt w:val="decimal"/>
      <w:suff w:val="nothing"/>
      <w:lvlText w:val="6.%1 "/>
      <w:lvlJc w:val="left"/>
      <w:pPr>
        <w:tabs>
          <w:tab w:val="left" w:pos="0"/>
        </w:tabs>
        <w:ind w:left="0" w:firstLine="40"/>
      </w:pPr>
      <w:rPr>
        <w:rFonts w:hint="default" w:ascii="宋体" w:hAnsi="宋体" w:eastAsia="宋体" w:cs="宋体"/>
      </w:rPr>
    </w:lvl>
  </w:abstractNum>
  <w:abstractNum w:abstractNumId="13">
    <w:nsid w:val="D5C663A9"/>
    <w:multiLevelType w:val="singleLevel"/>
    <w:tmpl w:val="D5C663A9"/>
    <w:lvl w:ilvl="0" w:tentative="0">
      <w:start w:val="1"/>
      <w:numFmt w:val="decimalEnclosedCircleChinese"/>
      <w:suff w:val="nothing"/>
      <w:lvlText w:val="%1　"/>
      <w:lvlJc w:val="left"/>
      <w:pPr>
        <w:ind w:left="0" w:firstLine="1134"/>
      </w:pPr>
      <w:rPr>
        <w:rFonts w:hint="eastAsia"/>
      </w:rPr>
    </w:lvl>
  </w:abstractNum>
  <w:abstractNum w:abstractNumId="14">
    <w:nsid w:val="DE8EBEF4"/>
    <w:multiLevelType w:val="singleLevel"/>
    <w:tmpl w:val="DE8EBEF4"/>
    <w:lvl w:ilvl="0" w:tentative="0">
      <w:start w:val="1"/>
      <w:numFmt w:val="decimal"/>
      <w:suff w:val="nothing"/>
      <w:lvlText w:val="25.%1 "/>
      <w:lvlJc w:val="left"/>
      <w:pPr>
        <w:tabs>
          <w:tab w:val="left" w:pos="0"/>
        </w:tabs>
        <w:ind w:left="0" w:firstLine="40"/>
      </w:pPr>
      <w:rPr>
        <w:rFonts w:hint="default" w:ascii="宋体" w:hAnsi="宋体" w:eastAsia="宋体" w:cs="宋体"/>
      </w:rPr>
    </w:lvl>
  </w:abstractNum>
  <w:abstractNum w:abstractNumId="15">
    <w:nsid w:val="E3D28C86"/>
    <w:multiLevelType w:val="singleLevel"/>
    <w:tmpl w:val="E3D28C86"/>
    <w:lvl w:ilvl="0" w:tentative="0">
      <w:start w:val="1"/>
      <w:numFmt w:val="decimal"/>
      <w:suff w:val="nothing"/>
      <w:lvlText w:val="18.%1 "/>
      <w:lvlJc w:val="left"/>
      <w:pPr>
        <w:tabs>
          <w:tab w:val="left" w:pos="0"/>
        </w:tabs>
        <w:ind w:left="0" w:firstLine="40"/>
      </w:pPr>
      <w:rPr>
        <w:rFonts w:hint="default" w:ascii="宋体" w:hAnsi="宋体" w:eastAsia="宋体" w:cs="宋体"/>
      </w:rPr>
    </w:lvl>
  </w:abstractNum>
  <w:abstractNum w:abstractNumId="16">
    <w:nsid w:val="EDC34A36"/>
    <w:multiLevelType w:val="singleLevel"/>
    <w:tmpl w:val="EDC34A36"/>
    <w:lvl w:ilvl="0" w:tentative="0">
      <w:start w:val="1"/>
      <w:numFmt w:val="decimal"/>
      <w:suff w:val="nothing"/>
      <w:lvlText w:val="12.%1 "/>
      <w:lvlJc w:val="left"/>
      <w:pPr>
        <w:tabs>
          <w:tab w:val="left" w:pos="0"/>
        </w:tabs>
        <w:ind w:left="0" w:firstLine="40"/>
      </w:pPr>
      <w:rPr>
        <w:rFonts w:hint="default" w:ascii="宋体" w:hAnsi="宋体" w:eastAsia="宋体" w:cs="宋体"/>
      </w:rPr>
    </w:lvl>
  </w:abstractNum>
  <w:abstractNum w:abstractNumId="17">
    <w:nsid w:val="FF8E5FC9"/>
    <w:multiLevelType w:val="singleLevel"/>
    <w:tmpl w:val="FF8E5FC9"/>
    <w:lvl w:ilvl="0" w:tentative="0">
      <w:start w:val="1"/>
      <w:numFmt w:val="decimal"/>
      <w:suff w:val="nothing"/>
      <w:lvlText w:val="%1．"/>
      <w:lvlJc w:val="left"/>
      <w:pPr>
        <w:ind w:left="0" w:firstLine="397"/>
      </w:pPr>
      <w:rPr>
        <w:rFonts w:hint="default"/>
      </w:rPr>
    </w:lvl>
  </w:abstractNum>
  <w:abstractNum w:abstractNumId="18">
    <w:nsid w:val="019117D6"/>
    <w:multiLevelType w:val="singleLevel"/>
    <w:tmpl w:val="019117D6"/>
    <w:lvl w:ilvl="0" w:tentative="0">
      <w:start w:val="1"/>
      <w:numFmt w:val="chineseCounting"/>
      <w:suff w:val="nothing"/>
      <w:lvlText w:val="%1、"/>
      <w:lvlJc w:val="left"/>
      <w:rPr>
        <w:rFonts w:hint="eastAsia"/>
      </w:rPr>
    </w:lvl>
  </w:abstractNum>
  <w:abstractNum w:abstractNumId="19">
    <w:nsid w:val="0486B618"/>
    <w:multiLevelType w:val="singleLevel"/>
    <w:tmpl w:val="0486B618"/>
    <w:lvl w:ilvl="0" w:tentative="0">
      <w:start w:val="1"/>
      <w:numFmt w:val="decimalEnclosedCircleChinese"/>
      <w:suff w:val="nothing"/>
      <w:lvlText w:val="%1　"/>
      <w:lvlJc w:val="left"/>
      <w:pPr>
        <w:ind w:left="0" w:firstLine="1134"/>
      </w:pPr>
      <w:rPr>
        <w:rFonts w:hint="eastAsia"/>
      </w:rPr>
    </w:lvl>
  </w:abstractNum>
  <w:abstractNum w:abstractNumId="20">
    <w:nsid w:val="139B6DF6"/>
    <w:multiLevelType w:val="singleLevel"/>
    <w:tmpl w:val="139B6DF6"/>
    <w:lvl w:ilvl="0" w:tentative="0">
      <w:start w:val="1"/>
      <w:numFmt w:val="decimal"/>
      <w:suff w:val="nothing"/>
      <w:lvlText w:val="9.%1 "/>
      <w:lvlJc w:val="left"/>
      <w:pPr>
        <w:tabs>
          <w:tab w:val="left" w:pos="0"/>
        </w:tabs>
        <w:ind w:left="0" w:firstLine="40"/>
      </w:pPr>
      <w:rPr>
        <w:rFonts w:hint="default" w:ascii="宋体" w:hAnsi="宋体" w:eastAsia="宋体" w:cs="宋体"/>
      </w:rPr>
    </w:lvl>
  </w:abstractNum>
  <w:abstractNum w:abstractNumId="21">
    <w:nsid w:val="1DBCF645"/>
    <w:multiLevelType w:val="singleLevel"/>
    <w:tmpl w:val="1DBCF645"/>
    <w:lvl w:ilvl="0" w:tentative="0">
      <w:start w:val="1"/>
      <w:numFmt w:val="decimalEnclosedCircleChinese"/>
      <w:suff w:val="nothing"/>
      <w:lvlText w:val="%1　"/>
      <w:lvlJc w:val="left"/>
      <w:pPr>
        <w:ind w:left="0" w:firstLine="397"/>
      </w:pPr>
      <w:rPr>
        <w:rFonts w:hint="eastAsia"/>
      </w:rPr>
    </w:lvl>
  </w:abstractNum>
  <w:abstractNum w:abstractNumId="22">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23">
    <w:nsid w:val="22CAA529"/>
    <w:multiLevelType w:val="singleLevel"/>
    <w:tmpl w:val="22CAA529"/>
    <w:lvl w:ilvl="0" w:tentative="0">
      <w:start w:val="1"/>
      <w:numFmt w:val="decimal"/>
      <w:suff w:val="nothing"/>
      <w:lvlText w:val="16.%1 "/>
      <w:lvlJc w:val="left"/>
      <w:pPr>
        <w:ind w:left="0" w:firstLine="1134"/>
      </w:pPr>
      <w:rPr>
        <w:rFonts w:hint="default"/>
      </w:rPr>
    </w:lvl>
  </w:abstractNum>
  <w:abstractNum w:abstractNumId="24">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25">
    <w:nsid w:val="27029FB5"/>
    <w:multiLevelType w:val="singleLevel"/>
    <w:tmpl w:val="27029FB5"/>
    <w:lvl w:ilvl="0" w:tentative="0">
      <w:start w:val="1"/>
      <w:numFmt w:val="decimal"/>
      <w:suff w:val="nothing"/>
      <w:lvlText w:val="11.%1 "/>
      <w:lvlJc w:val="left"/>
      <w:pPr>
        <w:tabs>
          <w:tab w:val="left" w:pos="0"/>
        </w:tabs>
        <w:ind w:left="0" w:firstLine="40"/>
      </w:pPr>
      <w:rPr>
        <w:rFonts w:hint="default" w:ascii="宋体" w:hAnsi="宋体" w:eastAsia="宋体" w:cs="宋体"/>
      </w:rPr>
    </w:lvl>
  </w:abstractNum>
  <w:abstractNum w:abstractNumId="26">
    <w:nsid w:val="272BB4B6"/>
    <w:multiLevelType w:val="singleLevel"/>
    <w:tmpl w:val="272BB4B6"/>
    <w:lvl w:ilvl="0" w:tentative="0">
      <w:start w:val="1"/>
      <w:numFmt w:val="decimal"/>
      <w:suff w:val="nothing"/>
      <w:lvlText w:val="1.%1 "/>
      <w:lvlJc w:val="left"/>
      <w:pPr>
        <w:ind w:left="0" w:firstLine="397"/>
      </w:pPr>
      <w:rPr>
        <w:rFonts w:hint="default"/>
      </w:rPr>
    </w:lvl>
  </w:abstractNum>
  <w:abstractNum w:abstractNumId="27">
    <w:nsid w:val="31FBB5E1"/>
    <w:multiLevelType w:val="singleLevel"/>
    <w:tmpl w:val="31FBB5E1"/>
    <w:lvl w:ilvl="0" w:tentative="0">
      <w:start w:val="1"/>
      <w:numFmt w:val="decimal"/>
      <w:suff w:val="nothing"/>
      <w:lvlText w:val="23.%1 "/>
      <w:lvlJc w:val="left"/>
      <w:pPr>
        <w:tabs>
          <w:tab w:val="left" w:pos="0"/>
        </w:tabs>
        <w:ind w:left="0" w:firstLine="40"/>
      </w:pPr>
      <w:rPr>
        <w:rFonts w:hint="default" w:ascii="宋体" w:hAnsi="宋体" w:eastAsia="宋体" w:cs="宋体"/>
      </w:rPr>
    </w:lvl>
  </w:abstractNum>
  <w:abstractNum w:abstractNumId="28">
    <w:nsid w:val="3543FC97"/>
    <w:multiLevelType w:val="singleLevel"/>
    <w:tmpl w:val="3543FC97"/>
    <w:lvl w:ilvl="0" w:tentative="0">
      <w:start w:val="1"/>
      <w:numFmt w:val="decimal"/>
      <w:suff w:val="nothing"/>
      <w:lvlText w:val="17.%1 "/>
      <w:lvlJc w:val="left"/>
      <w:pPr>
        <w:tabs>
          <w:tab w:val="left" w:pos="0"/>
        </w:tabs>
        <w:ind w:left="0" w:firstLine="40"/>
      </w:pPr>
      <w:rPr>
        <w:rFonts w:hint="default" w:ascii="宋体" w:hAnsi="宋体" w:eastAsia="宋体" w:cs="宋体"/>
      </w:rPr>
    </w:lvl>
  </w:abstractNum>
  <w:abstractNum w:abstractNumId="29">
    <w:nsid w:val="3F34804C"/>
    <w:multiLevelType w:val="singleLevel"/>
    <w:tmpl w:val="3F34804C"/>
    <w:lvl w:ilvl="0" w:tentative="0">
      <w:start w:val="1"/>
      <w:numFmt w:val="decimal"/>
      <w:suff w:val="nothing"/>
      <w:lvlText w:val="21.%1 "/>
      <w:lvlJc w:val="left"/>
      <w:pPr>
        <w:tabs>
          <w:tab w:val="left" w:pos="0"/>
        </w:tabs>
        <w:ind w:left="0" w:firstLine="40"/>
      </w:pPr>
      <w:rPr>
        <w:rFonts w:hint="default" w:ascii="宋体" w:hAnsi="宋体" w:eastAsia="宋体" w:cs="宋体"/>
      </w:rPr>
    </w:lvl>
  </w:abstractNum>
  <w:abstractNum w:abstractNumId="30">
    <w:nsid w:val="43F94463"/>
    <w:multiLevelType w:val="singleLevel"/>
    <w:tmpl w:val="43F94463"/>
    <w:lvl w:ilvl="0" w:tentative="0">
      <w:start w:val="1"/>
      <w:numFmt w:val="decimalEnclosedCircleChinese"/>
      <w:suff w:val="nothing"/>
      <w:lvlText w:val="%1　"/>
      <w:lvlJc w:val="left"/>
      <w:pPr>
        <w:ind w:left="0" w:firstLine="1134"/>
      </w:pPr>
      <w:rPr>
        <w:rFonts w:hint="eastAsia"/>
      </w:rPr>
    </w:lvl>
  </w:abstractNum>
  <w:abstractNum w:abstractNumId="31">
    <w:nsid w:val="466C6E1F"/>
    <w:multiLevelType w:val="multilevel"/>
    <w:tmpl w:val="466C6E1F"/>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32">
    <w:nsid w:val="474E1A63"/>
    <w:multiLevelType w:val="singleLevel"/>
    <w:tmpl w:val="474E1A63"/>
    <w:lvl w:ilvl="0" w:tentative="0">
      <w:start w:val="1"/>
      <w:numFmt w:val="decimalEnclosedCircleChinese"/>
      <w:suff w:val="nothing"/>
      <w:lvlText w:val="%1　"/>
      <w:lvlJc w:val="left"/>
      <w:pPr>
        <w:ind w:left="0" w:firstLine="1134"/>
      </w:pPr>
      <w:rPr>
        <w:rFonts w:hint="eastAsia"/>
      </w:rPr>
    </w:lvl>
  </w:abstractNum>
  <w:abstractNum w:abstractNumId="33">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34">
    <w:nsid w:val="5541E354"/>
    <w:multiLevelType w:val="singleLevel"/>
    <w:tmpl w:val="5541E354"/>
    <w:lvl w:ilvl="0" w:tentative="0">
      <w:start w:val="1"/>
      <w:numFmt w:val="decimal"/>
      <w:suff w:val="nothing"/>
      <w:lvlText w:val="24.17.%1 "/>
      <w:lvlJc w:val="left"/>
      <w:pPr>
        <w:tabs>
          <w:tab w:val="left" w:pos="0"/>
        </w:tabs>
        <w:ind w:left="0" w:firstLine="40"/>
      </w:pPr>
      <w:rPr>
        <w:rFonts w:hint="default" w:ascii="宋体" w:hAnsi="宋体" w:eastAsia="宋体" w:cs="宋体"/>
      </w:rPr>
    </w:lvl>
  </w:abstractNum>
  <w:abstractNum w:abstractNumId="35">
    <w:nsid w:val="56581EFE"/>
    <w:multiLevelType w:val="singleLevel"/>
    <w:tmpl w:val="56581EFE"/>
    <w:lvl w:ilvl="0" w:tentative="0">
      <w:start w:val="1"/>
      <w:numFmt w:val="decimal"/>
      <w:suff w:val="nothing"/>
      <w:lvlText w:val="24.%1 "/>
      <w:lvlJc w:val="left"/>
      <w:pPr>
        <w:ind w:left="0" w:firstLine="397"/>
      </w:pPr>
      <w:rPr>
        <w:rFonts w:hint="default"/>
      </w:rPr>
    </w:lvl>
  </w:abstractNum>
  <w:abstractNum w:abstractNumId="36">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37">
    <w:nsid w:val="6271A596"/>
    <w:multiLevelType w:val="singleLevel"/>
    <w:tmpl w:val="6271A596"/>
    <w:lvl w:ilvl="0" w:tentative="0">
      <w:start w:val="1"/>
      <w:numFmt w:val="decimal"/>
      <w:suff w:val="nothing"/>
      <w:lvlText w:val="5.%1 "/>
      <w:lvlJc w:val="left"/>
      <w:pPr>
        <w:tabs>
          <w:tab w:val="left" w:pos="0"/>
        </w:tabs>
        <w:ind w:left="0" w:firstLine="40"/>
      </w:pPr>
      <w:rPr>
        <w:rFonts w:hint="default" w:ascii="宋体" w:hAnsi="宋体" w:eastAsia="宋体" w:cs="宋体"/>
      </w:rPr>
    </w:lvl>
  </w:abstractNum>
  <w:abstractNum w:abstractNumId="38">
    <w:nsid w:val="63557B35"/>
    <w:multiLevelType w:val="singleLevel"/>
    <w:tmpl w:val="63557B35"/>
    <w:lvl w:ilvl="0" w:tentative="0">
      <w:start w:val="1"/>
      <w:numFmt w:val="upperLetter"/>
      <w:pStyle w:val="6"/>
      <w:lvlText w:val="%1、"/>
      <w:lvlJc w:val="left"/>
      <w:pPr>
        <w:tabs>
          <w:tab w:val="left" w:pos="1035"/>
        </w:tabs>
        <w:ind w:left="1035" w:hanging="420"/>
      </w:pPr>
      <w:rPr>
        <w:rFonts w:hint="eastAsia"/>
      </w:rPr>
    </w:lvl>
  </w:abstractNum>
  <w:abstractNum w:abstractNumId="39">
    <w:nsid w:val="6EF32394"/>
    <w:multiLevelType w:val="singleLevel"/>
    <w:tmpl w:val="6EF32394"/>
    <w:lvl w:ilvl="0" w:tentative="0">
      <w:start w:val="1"/>
      <w:numFmt w:val="decimal"/>
      <w:suff w:val="nothing"/>
      <w:lvlText w:val="7.%1 "/>
      <w:lvlJc w:val="left"/>
      <w:pPr>
        <w:tabs>
          <w:tab w:val="left" w:pos="0"/>
        </w:tabs>
        <w:ind w:left="0" w:firstLine="40"/>
      </w:pPr>
      <w:rPr>
        <w:rFonts w:hint="default" w:ascii="宋体" w:hAnsi="宋体" w:eastAsia="宋体" w:cs="宋体"/>
      </w:rPr>
    </w:lvl>
  </w:abstractNum>
  <w:abstractNum w:abstractNumId="40">
    <w:nsid w:val="6F596645"/>
    <w:multiLevelType w:val="singleLevel"/>
    <w:tmpl w:val="6F596645"/>
    <w:lvl w:ilvl="0" w:tentative="0">
      <w:start w:val="1"/>
      <w:numFmt w:val="decimal"/>
      <w:suff w:val="nothing"/>
      <w:lvlText w:val="27.%1 "/>
      <w:lvlJc w:val="left"/>
      <w:pPr>
        <w:tabs>
          <w:tab w:val="left" w:pos="0"/>
        </w:tabs>
        <w:ind w:left="0" w:firstLine="40"/>
      </w:pPr>
      <w:rPr>
        <w:rFonts w:hint="default" w:ascii="宋体" w:hAnsi="宋体" w:eastAsia="宋体" w:cs="宋体"/>
      </w:rPr>
    </w:lvl>
  </w:abstractNum>
  <w:abstractNum w:abstractNumId="41">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31"/>
  </w:num>
  <w:num w:numId="2">
    <w:abstractNumId w:val="38"/>
  </w:num>
  <w:num w:numId="3">
    <w:abstractNumId w:val="17"/>
  </w:num>
  <w:num w:numId="4">
    <w:abstractNumId w:val="33"/>
  </w:num>
  <w:num w:numId="5">
    <w:abstractNumId w:val="21"/>
  </w:num>
  <w:num w:numId="6">
    <w:abstractNumId w:val="41"/>
  </w:num>
  <w:num w:numId="7">
    <w:abstractNumId w:val="22"/>
  </w:num>
  <w:num w:numId="8">
    <w:abstractNumId w:val="2"/>
  </w:num>
  <w:num w:numId="9">
    <w:abstractNumId w:val="36"/>
  </w:num>
  <w:num w:numId="10">
    <w:abstractNumId w:val="0"/>
  </w:num>
  <w:num w:numId="11">
    <w:abstractNumId w:val="26"/>
  </w:num>
  <w:num w:numId="12">
    <w:abstractNumId w:val="7"/>
  </w:num>
  <w:num w:numId="13">
    <w:abstractNumId w:val="8"/>
  </w:num>
  <w:num w:numId="14">
    <w:abstractNumId w:val="19"/>
  </w:num>
  <w:num w:numId="15">
    <w:abstractNumId w:val="37"/>
  </w:num>
  <w:num w:numId="16">
    <w:abstractNumId w:val="12"/>
  </w:num>
  <w:num w:numId="17">
    <w:abstractNumId w:val="39"/>
  </w:num>
  <w:num w:numId="18">
    <w:abstractNumId w:val="20"/>
  </w:num>
  <w:num w:numId="19">
    <w:abstractNumId w:val="32"/>
  </w:num>
  <w:num w:numId="20">
    <w:abstractNumId w:val="30"/>
  </w:num>
  <w:num w:numId="21">
    <w:abstractNumId w:val="13"/>
  </w:num>
  <w:num w:numId="22">
    <w:abstractNumId w:val="3"/>
  </w:num>
  <w:num w:numId="23">
    <w:abstractNumId w:val="25"/>
  </w:num>
  <w:num w:numId="24">
    <w:abstractNumId w:val="16"/>
  </w:num>
  <w:num w:numId="25">
    <w:abstractNumId w:val="4"/>
  </w:num>
  <w:num w:numId="26">
    <w:abstractNumId w:val="23"/>
  </w:num>
  <w:num w:numId="27">
    <w:abstractNumId w:val="28"/>
  </w:num>
  <w:num w:numId="28">
    <w:abstractNumId w:val="15"/>
  </w:num>
  <w:num w:numId="29">
    <w:abstractNumId w:val="10"/>
  </w:num>
  <w:num w:numId="30">
    <w:abstractNumId w:val="29"/>
  </w:num>
  <w:num w:numId="31">
    <w:abstractNumId w:val="11"/>
  </w:num>
  <w:num w:numId="32">
    <w:abstractNumId w:val="27"/>
  </w:num>
  <w:num w:numId="33">
    <w:abstractNumId w:val="35"/>
  </w:num>
  <w:num w:numId="34">
    <w:abstractNumId w:val="34"/>
  </w:num>
  <w:num w:numId="35">
    <w:abstractNumId w:val="14"/>
  </w:num>
  <w:num w:numId="36">
    <w:abstractNumId w:val="24"/>
  </w:num>
  <w:num w:numId="37">
    <w:abstractNumId w:val="40"/>
  </w:num>
  <w:num w:numId="38">
    <w:abstractNumId w:val="1"/>
  </w:num>
  <w:num w:numId="39">
    <w:abstractNumId w:val="6"/>
  </w:num>
  <w:num w:numId="40">
    <w:abstractNumId w:val="9"/>
  </w:num>
  <w:num w:numId="41">
    <w:abstractNumId w:val="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11"/>
    <w:rsid w:val="00001DA3"/>
    <w:rsid w:val="00006818"/>
    <w:rsid w:val="000075DA"/>
    <w:rsid w:val="000077D0"/>
    <w:rsid w:val="000148D6"/>
    <w:rsid w:val="00015D59"/>
    <w:rsid w:val="00017390"/>
    <w:rsid w:val="00017802"/>
    <w:rsid w:val="00020033"/>
    <w:rsid w:val="000213B6"/>
    <w:rsid w:val="00024B66"/>
    <w:rsid w:val="00027239"/>
    <w:rsid w:val="000328AC"/>
    <w:rsid w:val="00045CF2"/>
    <w:rsid w:val="000464E5"/>
    <w:rsid w:val="0004792A"/>
    <w:rsid w:val="0004794A"/>
    <w:rsid w:val="00050858"/>
    <w:rsid w:val="000510A3"/>
    <w:rsid w:val="00052D30"/>
    <w:rsid w:val="00053264"/>
    <w:rsid w:val="000536AD"/>
    <w:rsid w:val="00055F1C"/>
    <w:rsid w:val="00056840"/>
    <w:rsid w:val="000611ED"/>
    <w:rsid w:val="00063E4F"/>
    <w:rsid w:val="00067276"/>
    <w:rsid w:val="00070161"/>
    <w:rsid w:val="000708A0"/>
    <w:rsid w:val="00070FE2"/>
    <w:rsid w:val="00071029"/>
    <w:rsid w:val="00071C5B"/>
    <w:rsid w:val="00074863"/>
    <w:rsid w:val="00076F53"/>
    <w:rsid w:val="000912C7"/>
    <w:rsid w:val="0009279F"/>
    <w:rsid w:val="0009767A"/>
    <w:rsid w:val="00097953"/>
    <w:rsid w:val="000A241D"/>
    <w:rsid w:val="000A5490"/>
    <w:rsid w:val="000B0DE4"/>
    <w:rsid w:val="000B1CDD"/>
    <w:rsid w:val="000B3611"/>
    <w:rsid w:val="000B4627"/>
    <w:rsid w:val="000B5F6E"/>
    <w:rsid w:val="000C2631"/>
    <w:rsid w:val="000C2AC6"/>
    <w:rsid w:val="000C663A"/>
    <w:rsid w:val="000C6E71"/>
    <w:rsid w:val="000D05CC"/>
    <w:rsid w:val="000D263B"/>
    <w:rsid w:val="000D2BAD"/>
    <w:rsid w:val="000D3604"/>
    <w:rsid w:val="000D3E6D"/>
    <w:rsid w:val="000D4E3C"/>
    <w:rsid w:val="000D504A"/>
    <w:rsid w:val="000E136C"/>
    <w:rsid w:val="000E1A92"/>
    <w:rsid w:val="000E1D06"/>
    <w:rsid w:val="000E21F5"/>
    <w:rsid w:val="000E38B1"/>
    <w:rsid w:val="000E4664"/>
    <w:rsid w:val="000E4978"/>
    <w:rsid w:val="000E526A"/>
    <w:rsid w:val="000E5496"/>
    <w:rsid w:val="000E57E4"/>
    <w:rsid w:val="000E730F"/>
    <w:rsid w:val="000F02FC"/>
    <w:rsid w:val="000F1FF4"/>
    <w:rsid w:val="000F45D5"/>
    <w:rsid w:val="000F50EA"/>
    <w:rsid w:val="000F5F2A"/>
    <w:rsid w:val="000F7138"/>
    <w:rsid w:val="000F7272"/>
    <w:rsid w:val="000F7D1F"/>
    <w:rsid w:val="00102B8C"/>
    <w:rsid w:val="001049C2"/>
    <w:rsid w:val="0010598A"/>
    <w:rsid w:val="00106DAD"/>
    <w:rsid w:val="00107709"/>
    <w:rsid w:val="00116DAA"/>
    <w:rsid w:val="001207CD"/>
    <w:rsid w:val="00120FD6"/>
    <w:rsid w:val="0012256C"/>
    <w:rsid w:val="001239D4"/>
    <w:rsid w:val="001306A4"/>
    <w:rsid w:val="00130B31"/>
    <w:rsid w:val="00131F44"/>
    <w:rsid w:val="00132490"/>
    <w:rsid w:val="001330B0"/>
    <w:rsid w:val="001346A9"/>
    <w:rsid w:val="00136306"/>
    <w:rsid w:val="00141DA5"/>
    <w:rsid w:val="00145D2A"/>
    <w:rsid w:val="00145DEA"/>
    <w:rsid w:val="001468A0"/>
    <w:rsid w:val="00154F16"/>
    <w:rsid w:val="00157B09"/>
    <w:rsid w:val="00164064"/>
    <w:rsid w:val="00167BCB"/>
    <w:rsid w:val="0017220F"/>
    <w:rsid w:val="0017302D"/>
    <w:rsid w:val="00175A80"/>
    <w:rsid w:val="00181AB5"/>
    <w:rsid w:val="001840F0"/>
    <w:rsid w:val="0018546D"/>
    <w:rsid w:val="00185753"/>
    <w:rsid w:val="00186A09"/>
    <w:rsid w:val="00187DD3"/>
    <w:rsid w:val="00191FD8"/>
    <w:rsid w:val="001940F2"/>
    <w:rsid w:val="00194D4C"/>
    <w:rsid w:val="0019559D"/>
    <w:rsid w:val="00196875"/>
    <w:rsid w:val="001A09BA"/>
    <w:rsid w:val="001A1935"/>
    <w:rsid w:val="001A493D"/>
    <w:rsid w:val="001A5F98"/>
    <w:rsid w:val="001B260D"/>
    <w:rsid w:val="001B2755"/>
    <w:rsid w:val="001B4867"/>
    <w:rsid w:val="001B6049"/>
    <w:rsid w:val="001B71A5"/>
    <w:rsid w:val="001B7285"/>
    <w:rsid w:val="001C22F6"/>
    <w:rsid w:val="001C26B1"/>
    <w:rsid w:val="001C462F"/>
    <w:rsid w:val="001C48E8"/>
    <w:rsid w:val="001C53F8"/>
    <w:rsid w:val="001C6443"/>
    <w:rsid w:val="001C770C"/>
    <w:rsid w:val="001D0151"/>
    <w:rsid w:val="001D0B98"/>
    <w:rsid w:val="001D3140"/>
    <w:rsid w:val="001E32A6"/>
    <w:rsid w:val="001E48F2"/>
    <w:rsid w:val="001E65BA"/>
    <w:rsid w:val="001E7840"/>
    <w:rsid w:val="001F0C21"/>
    <w:rsid w:val="001F201E"/>
    <w:rsid w:val="001F4C6E"/>
    <w:rsid w:val="001F596D"/>
    <w:rsid w:val="001F5E72"/>
    <w:rsid w:val="001F63FD"/>
    <w:rsid w:val="00201ADE"/>
    <w:rsid w:val="00204834"/>
    <w:rsid w:val="002054EF"/>
    <w:rsid w:val="00207B4A"/>
    <w:rsid w:val="0022084E"/>
    <w:rsid w:val="0022104A"/>
    <w:rsid w:val="00221186"/>
    <w:rsid w:val="00221F74"/>
    <w:rsid w:val="00226C15"/>
    <w:rsid w:val="00233994"/>
    <w:rsid w:val="002364CF"/>
    <w:rsid w:val="00236ADE"/>
    <w:rsid w:val="002375BB"/>
    <w:rsid w:val="0024409C"/>
    <w:rsid w:val="00244106"/>
    <w:rsid w:val="00245C61"/>
    <w:rsid w:val="00247E15"/>
    <w:rsid w:val="00252A03"/>
    <w:rsid w:val="00254070"/>
    <w:rsid w:val="0025652F"/>
    <w:rsid w:val="002606EC"/>
    <w:rsid w:val="00260EDD"/>
    <w:rsid w:val="00270E2D"/>
    <w:rsid w:val="002737DE"/>
    <w:rsid w:val="00274F9A"/>
    <w:rsid w:val="00275072"/>
    <w:rsid w:val="00275157"/>
    <w:rsid w:val="002751D8"/>
    <w:rsid w:val="00280D86"/>
    <w:rsid w:val="00284635"/>
    <w:rsid w:val="00285F7E"/>
    <w:rsid w:val="0029041C"/>
    <w:rsid w:val="0029087D"/>
    <w:rsid w:val="002916B1"/>
    <w:rsid w:val="00295155"/>
    <w:rsid w:val="00296D5E"/>
    <w:rsid w:val="002972FE"/>
    <w:rsid w:val="002A2ACF"/>
    <w:rsid w:val="002A50C8"/>
    <w:rsid w:val="002A64CA"/>
    <w:rsid w:val="002B17BF"/>
    <w:rsid w:val="002B7653"/>
    <w:rsid w:val="002C5223"/>
    <w:rsid w:val="002C7A2D"/>
    <w:rsid w:val="002D11D9"/>
    <w:rsid w:val="002D6B41"/>
    <w:rsid w:val="002E2739"/>
    <w:rsid w:val="002E35E9"/>
    <w:rsid w:val="002F08B1"/>
    <w:rsid w:val="002F097F"/>
    <w:rsid w:val="002F2E8D"/>
    <w:rsid w:val="002F378A"/>
    <w:rsid w:val="002F4F8D"/>
    <w:rsid w:val="003072EC"/>
    <w:rsid w:val="0031129B"/>
    <w:rsid w:val="00311554"/>
    <w:rsid w:val="00317185"/>
    <w:rsid w:val="0032106B"/>
    <w:rsid w:val="0032607A"/>
    <w:rsid w:val="00327130"/>
    <w:rsid w:val="0033593F"/>
    <w:rsid w:val="00335F6A"/>
    <w:rsid w:val="00336801"/>
    <w:rsid w:val="00343AD4"/>
    <w:rsid w:val="00346F9B"/>
    <w:rsid w:val="003503F3"/>
    <w:rsid w:val="003510DB"/>
    <w:rsid w:val="0035370E"/>
    <w:rsid w:val="00354D93"/>
    <w:rsid w:val="00355E84"/>
    <w:rsid w:val="00355E89"/>
    <w:rsid w:val="00361B43"/>
    <w:rsid w:val="00363BE4"/>
    <w:rsid w:val="0036471B"/>
    <w:rsid w:val="00365265"/>
    <w:rsid w:val="00365DEC"/>
    <w:rsid w:val="00366048"/>
    <w:rsid w:val="003666A9"/>
    <w:rsid w:val="00370309"/>
    <w:rsid w:val="0037377A"/>
    <w:rsid w:val="0038062E"/>
    <w:rsid w:val="00380EBB"/>
    <w:rsid w:val="00381BBB"/>
    <w:rsid w:val="00383AA4"/>
    <w:rsid w:val="00392324"/>
    <w:rsid w:val="00392CCA"/>
    <w:rsid w:val="00395EFF"/>
    <w:rsid w:val="003B254E"/>
    <w:rsid w:val="003B5E1A"/>
    <w:rsid w:val="003C045D"/>
    <w:rsid w:val="003C05AC"/>
    <w:rsid w:val="003C2615"/>
    <w:rsid w:val="003C2BEF"/>
    <w:rsid w:val="003D54F9"/>
    <w:rsid w:val="003E03D0"/>
    <w:rsid w:val="003E0923"/>
    <w:rsid w:val="003E2076"/>
    <w:rsid w:val="003E4A85"/>
    <w:rsid w:val="003E650C"/>
    <w:rsid w:val="003E724B"/>
    <w:rsid w:val="003E75CD"/>
    <w:rsid w:val="003F6C24"/>
    <w:rsid w:val="00403983"/>
    <w:rsid w:val="00411B98"/>
    <w:rsid w:val="00412A01"/>
    <w:rsid w:val="0042158E"/>
    <w:rsid w:val="00423F56"/>
    <w:rsid w:val="00431075"/>
    <w:rsid w:val="0043130F"/>
    <w:rsid w:val="00432945"/>
    <w:rsid w:val="00432A66"/>
    <w:rsid w:val="0043576F"/>
    <w:rsid w:val="0044078E"/>
    <w:rsid w:val="00442E77"/>
    <w:rsid w:val="00445CAB"/>
    <w:rsid w:val="0044612F"/>
    <w:rsid w:val="004544B9"/>
    <w:rsid w:val="00455B4C"/>
    <w:rsid w:val="00463657"/>
    <w:rsid w:val="00464C4C"/>
    <w:rsid w:val="00465A05"/>
    <w:rsid w:val="004707ED"/>
    <w:rsid w:val="00470C83"/>
    <w:rsid w:val="004738DF"/>
    <w:rsid w:val="00477C97"/>
    <w:rsid w:val="00480341"/>
    <w:rsid w:val="004811FE"/>
    <w:rsid w:val="00481376"/>
    <w:rsid w:val="00481EE1"/>
    <w:rsid w:val="00482174"/>
    <w:rsid w:val="004821D3"/>
    <w:rsid w:val="00483ECB"/>
    <w:rsid w:val="00484007"/>
    <w:rsid w:val="004840E1"/>
    <w:rsid w:val="00485252"/>
    <w:rsid w:val="00487344"/>
    <w:rsid w:val="004875E1"/>
    <w:rsid w:val="0049055D"/>
    <w:rsid w:val="00490DDE"/>
    <w:rsid w:val="00490F49"/>
    <w:rsid w:val="0049797C"/>
    <w:rsid w:val="004A4142"/>
    <w:rsid w:val="004A6F58"/>
    <w:rsid w:val="004B05F4"/>
    <w:rsid w:val="004B0811"/>
    <w:rsid w:val="004B3910"/>
    <w:rsid w:val="004B46C4"/>
    <w:rsid w:val="004B5330"/>
    <w:rsid w:val="004B6001"/>
    <w:rsid w:val="004B6A5A"/>
    <w:rsid w:val="004B7EA3"/>
    <w:rsid w:val="004C1318"/>
    <w:rsid w:val="004C1BA6"/>
    <w:rsid w:val="004C267F"/>
    <w:rsid w:val="004D35C6"/>
    <w:rsid w:val="004D57AE"/>
    <w:rsid w:val="004E3A69"/>
    <w:rsid w:val="004E3F19"/>
    <w:rsid w:val="004E52B0"/>
    <w:rsid w:val="004E60DF"/>
    <w:rsid w:val="004F1B98"/>
    <w:rsid w:val="004F1EF6"/>
    <w:rsid w:val="004F4A0C"/>
    <w:rsid w:val="004F675C"/>
    <w:rsid w:val="004F6D1A"/>
    <w:rsid w:val="00500D57"/>
    <w:rsid w:val="00503B44"/>
    <w:rsid w:val="00503EAE"/>
    <w:rsid w:val="00511898"/>
    <w:rsid w:val="00511D3E"/>
    <w:rsid w:val="00517C29"/>
    <w:rsid w:val="00521532"/>
    <w:rsid w:val="005245BA"/>
    <w:rsid w:val="00525303"/>
    <w:rsid w:val="00525C33"/>
    <w:rsid w:val="0052677F"/>
    <w:rsid w:val="005306F4"/>
    <w:rsid w:val="00531CDE"/>
    <w:rsid w:val="00532809"/>
    <w:rsid w:val="00533931"/>
    <w:rsid w:val="00533DC9"/>
    <w:rsid w:val="00536C08"/>
    <w:rsid w:val="00537173"/>
    <w:rsid w:val="005378CB"/>
    <w:rsid w:val="005404A5"/>
    <w:rsid w:val="00540CB5"/>
    <w:rsid w:val="005445DF"/>
    <w:rsid w:val="00546A76"/>
    <w:rsid w:val="005500A4"/>
    <w:rsid w:val="005514E6"/>
    <w:rsid w:val="00554E93"/>
    <w:rsid w:val="00557696"/>
    <w:rsid w:val="00560B4F"/>
    <w:rsid w:val="00560EA2"/>
    <w:rsid w:val="00561E6A"/>
    <w:rsid w:val="005648E0"/>
    <w:rsid w:val="00564E8F"/>
    <w:rsid w:val="00571B49"/>
    <w:rsid w:val="0057210E"/>
    <w:rsid w:val="00575F6F"/>
    <w:rsid w:val="00577904"/>
    <w:rsid w:val="0058006C"/>
    <w:rsid w:val="00581BE5"/>
    <w:rsid w:val="00582FCE"/>
    <w:rsid w:val="0058535A"/>
    <w:rsid w:val="005853D2"/>
    <w:rsid w:val="005900B5"/>
    <w:rsid w:val="00591734"/>
    <w:rsid w:val="00591FA1"/>
    <w:rsid w:val="00592DF2"/>
    <w:rsid w:val="00594041"/>
    <w:rsid w:val="00594F19"/>
    <w:rsid w:val="00594F8E"/>
    <w:rsid w:val="005965F2"/>
    <w:rsid w:val="005A02D2"/>
    <w:rsid w:val="005A61F4"/>
    <w:rsid w:val="005A6DCA"/>
    <w:rsid w:val="005B61AE"/>
    <w:rsid w:val="005B7C66"/>
    <w:rsid w:val="005C1EDC"/>
    <w:rsid w:val="005C40A5"/>
    <w:rsid w:val="005C515B"/>
    <w:rsid w:val="005C7DA4"/>
    <w:rsid w:val="005D3369"/>
    <w:rsid w:val="005D44DD"/>
    <w:rsid w:val="005D4538"/>
    <w:rsid w:val="005D509B"/>
    <w:rsid w:val="005D59F7"/>
    <w:rsid w:val="005D6FDE"/>
    <w:rsid w:val="005E2379"/>
    <w:rsid w:val="005E435B"/>
    <w:rsid w:val="005E45D4"/>
    <w:rsid w:val="005E5B93"/>
    <w:rsid w:val="005E781A"/>
    <w:rsid w:val="005F0902"/>
    <w:rsid w:val="005F20C3"/>
    <w:rsid w:val="005F3EA6"/>
    <w:rsid w:val="005F4076"/>
    <w:rsid w:val="005F5C9B"/>
    <w:rsid w:val="005F7D07"/>
    <w:rsid w:val="0060337E"/>
    <w:rsid w:val="006037E7"/>
    <w:rsid w:val="00605B60"/>
    <w:rsid w:val="00605B63"/>
    <w:rsid w:val="00607067"/>
    <w:rsid w:val="00607DF3"/>
    <w:rsid w:val="006108E4"/>
    <w:rsid w:val="00610BEB"/>
    <w:rsid w:val="00626AD6"/>
    <w:rsid w:val="0062753E"/>
    <w:rsid w:val="00627BE7"/>
    <w:rsid w:val="00627CD0"/>
    <w:rsid w:val="00627E2D"/>
    <w:rsid w:val="0063140B"/>
    <w:rsid w:val="00633569"/>
    <w:rsid w:val="00635132"/>
    <w:rsid w:val="00642080"/>
    <w:rsid w:val="006435A9"/>
    <w:rsid w:val="00644CB6"/>
    <w:rsid w:val="006503B5"/>
    <w:rsid w:val="0065060D"/>
    <w:rsid w:val="00657F9C"/>
    <w:rsid w:val="00665413"/>
    <w:rsid w:val="006708AA"/>
    <w:rsid w:val="00670DA8"/>
    <w:rsid w:val="006733B7"/>
    <w:rsid w:val="00684CC6"/>
    <w:rsid w:val="00684E9E"/>
    <w:rsid w:val="00691327"/>
    <w:rsid w:val="00692449"/>
    <w:rsid w:val="00693E45"/>
    <w:rsid w:val="006951A4"/>
    <w:rsid w:val="00695EAD"/>
    <w:rsid w:val="006974EF"/>
    <w:rsid w:val="006A1152"/>
    <w:rsid w:val="006A545D"/>
    <w:rsid w:val="006B16D2"/>
    <w:rsid w:val="006B18A5"/>
    <w:rsid w:val="006B464F"/>
    <w:rsid w:val="006B5750"/>
    <w:rsid w:val="006B6948"/>
    <w:rsid w:val="006B6E7A"/>
    <w:rsid w:val="006C0A94"/>
    <w:rsid w:val="006C0D27"/>
    <w:rsid w:val="006C252F"/>
    <w:rsid w:val="006C7BC3"/>
    <w:rsid w:val="006D0D78"/>
    <w:rsid w:val="006D127E"/>
    <w:rsid w:val="006D31BD"/>
    <w:rsid w:val="006D6D42"/>
    <w:rsid w:val="006D79C2"/>
    <w:rsid w:val="006E03F0"/>
    <w:rsid w:val="006E132F"/>
    <w:rsid w:val="006E5766"/>
    <w:rsid w:val="006E62AA"/>
    <w:rsid w:val="006F16AA"/>
    <w:rsid w:val="006F770E"/>
    <w:rsid w:val="00702AEC"/>
    <w:rsid w:val="00703C8C"/>
    <w:rsid w:val="00703F26"/>
    <w:rsid w:val="00704022"/>
    <w:rsid w:val="00705C4B"/>
    <w:rsid w:val="0071043E"/>
    <w:rsid w:val="007120A5"/>
    <w:rsid w:val="0071212F"/>
    <w:rsid w:val="00720140"/>
    <w:rsid w:val="00720ECC"/>
    <w:rsid w:val="00722047"/>
    <w:rsid w:val="007266DF"/>
    <w:rsid w:val="007317F3"/>
    <w:rsid w:val="007318D9"/>
    <w:rsid w:val="00732283"/>
    <w:rsid w:val="00733A0A"/>
    <w:rsid w:val="0073530B"/>
    <w:rsid w:val="007353C8"/>
    <w:rsid w:val="00735F37"/>
    <w:rsid w:val="007400BE"/>
    <w:rsid w:val="00741801"/>
    <w:rsid w:val="0074230B"/>
    <w:rsid w:val="00743CE7"/>
    <w:rsid w:val="00745BBA"/>
    <w:rsid w:val="00750AE3"/>
    <w:rsid w:val="00751C16"/>
    <w:rsid w:val="00752348"/>
    <w:rsid w:val="00753F62"/>
    <w:rsid w:val="0075462D"/>
    <w:rsid w:val="00757337"/>
    <w:rsid w:val="00757800"/>
    <w:rsid w:val="00757915"/>
    <w:rsid w:val="00762B3D"/>
    <w:rsid w:val="00766552"/>
    <w:rsid w:val="00770F92"/>
    <w:rsid w:val="00771B65"/>
    <w:rsid w:val="007731A3"/>
    <w:rsid w:val="007742D0"/>
    <w:rsid w:val="00776940"/>
    <w:rsid w:val="007800A5"/>
    <w:rsid w:val="00780F42"/>
    <w:rsid w:val="00785BE9"/>
    <w:rsid w:val="00786247"/>
    <w:rsid w:val="00786F83"/>
    <w:rsid w:val="007877D6"/>
    <w:rsid w:val="00796F96"/>
    <w:rsid w:val="00797CAE"/>
    <w:rsid w:val="007A5FA8"/>
    <w:rsid w:val="007B2FF7"/>
    <w:rsid w:val="007B33BF"/>
    <w:rsid w:val="007B70B3"/>
    <w:rsid w:val="007C2B64"/>
    <w:rsid w:val="007C5553"/>
    <w:rsid w:val="007D16EC"/>
    <w:rsid w:val="007D3620"/>
    <w:rsid w:val="007D4799"/>
    <w:rsid w:val="007E3946"/>
    <w:rsid w:val="007E4563"/>
    <w:rsid w:val="007E66C4"/>
    <w:rsid w:val="007F3D48"/>
    <w:rsid w:val="007F455F"/>
    <w:rsid w:val="0080010D"/>
    <w:rsid w:val="0080289B"/>
    <w:rsid w:val="0080361E"/>
    <w:rsid w:val="008068C4"/>
    <w:rsid w:val="008112C2"/>
    <w:rsid w:val="0081686A"/>
    <w:rsid w:val="00817FD3"/>
    <w:rsid w:val="00824F2B"/>
    <w:rsid w:val="0083040C"/>
    <w:rsid w:val="00833198"/>
    <w:rsid w:val="00833BF9"/>
    <w:rsid w:val="008341CE"/>
    <w:rsid w:val="0083519D"/>
    <w:rsid w:val="00836471"/>
    <w:rsid w:val="00843413"/>
    <w:rsid w:val="008509B5"/>
    <w:rsid w:val="00851F7A"/>
    <w:rsid w:val="00856F40"/>
    <w:rsid w:val="00865AF7"/>
    <w:rsid w:val="008660C6"/>
    <w:rsid w:val="008705F0"/>
    <w:rsid w:val="00876D91"/>
    <w:rsid w:val="00881169"/>
    <w:rsid w:val="00881590"/>
    <w:rsid w:val="00882269"/>
    <w:rsid w:val="00884273"/>
    <w:rsid w:val="0089235D"/>
    <w:rsid w:val="00894884"/>
    <w:rsid w:val="008948CC"/>
    <w:rsid w:val="00894E12"/>
    <w:rsid w:val="008963A2"/>
    <w:rsid w:val="008964D5"/>
    <w:rsid w:val="008A02CC"/>
    <w:rsid w:val="008A19FB"/>
    <w:rsid w:val="008A220C"/>
    <w:rsid w:val="008B0B06"/>
    <w:rsid w:val="008B598D"/>
    <w:rsid w:val="008C0D07"/>
    <w:rsid w:val="008C2010"/>
    <w:rsid w:val="008C429A"/>
    <w:rsid w:val="008C516E"/>
    <w:rsid w:val="008C6CE7"/>
    <w:rsid w:val="008C767C"/>
    <w:rsid w:val="008D11F5"/>
    <w:rsid w:val="008E1011"/>
    <w:rsid w:val="008E1905"/>
    <w:rsid w:val="008E2A88"/>
    <w:rsid w:val="008E57DF"/>
    <w:rsid w:val="008E6CC5"/>
    <w:rsid w:val="008F0B77"/>
    <w:rsid w:val="008F290B"/>
    <w:rsid w:val="008F62A7"/>
    <w:rsid w:val="00904FB2"/>
    <w:rsid w:val="009072F4"/>
    <w:rsid w:val="00913166"/>
    <w:rsid w:val="009210AE"/>
    <w:rsid w:val="00922517"/>
    <w:rsid w:val="009227B3"/>
    <w:rsid w:val="00925172"/>
    <w:rsid w:val="0093191A"/>
    <w:rsid w:val="00933187"/>
    <w:rsid w:val="009332A3"/>
    <w:rsid w:val="009373F5"/>
    <w:rsid w:val="00937B5B"/>
    <w:rsid w:val="0094293E"/>
    <w:rsid w:val="00953B72"/>
    <w:rsid w:val="00955691"/>
    <w:rsid w:val="009557E9"/>
    <w:rsid w:val="00956B6F"/>
    <w:rsid w:val="00963254"/>
    <w:rsid w:val="009636B7"/>
    <w:rsid w:val="00967340"/>
    <w:rsid w:val="009701C5"/>
    <w:rsid w:val="009702FB"/>
    <w:rsid w:val="00970487"/>
    <w:rsid w:val="00970B38"/>
    <w:rsid w:val="0097133A"/>
    <w:rsid w:val="0097423A"/>
    <w:rsid w:val="00977D16"/>
    <w:rsid w:val="0098205C"/>
    <w:rsid w:val="00983B0B"/>
    <w:rsid w:val="00984340"/>
    <w:rsid w:val="009932DC"/>
    <w:rsid w:val="00993C5B"/>
    <w:rsid w:val="00993D04"/>
    <w:rsid w:val="009944AC"/>
    <w:rsid w:val="0099788C"/>
    <w:rsid w:val="009A1276"/>
    <w:rsid w:val="009A194B"/>
    <w:rsid w:val="009A588B"/>
    <w:rsid w:val="009B0797"/>
    <w:rsid w:val="009B19A2"/>
    <w:rsid w:val="009B1A96"/>
    <w:rsid w:val="009C05E8"/>
    <w:rsid w:val="009C4D08"/>
    <w:rsid w:val="009C5701"/>
    <w:rsid w:val="009C663B"/>
    <w:rsid w:val="009C7B33"/>
    <w:rsid w:val="009D0791"/>
    <w:rsid w:val="009D20A7"/>
    <w:rsid w:val="009D219F"/>
    <w:rsid w:val="009D258E"/>
    <w:rsid w:val="009D2BEA"/>
    <w:rsid w:val="009D4EFC"/>
    <w:rsid w:val="009E227A"/>
    <w:rsid w:val="009E5D1E"/>
    <w:rsid w:val="009E79A0"/>
    <w:rsid w:val="009F0C7C"/>
    <w:rsid w:val="009F1C9F"/>
    <w:rsid w:val="009F3362"/>
    <w:rsid w:val="009F50B7"/>
    <w:rsid w:val="009F75D9"/>
    <w:rsid w:val="00A0323C"/>
    <w:rsid w:val="00A032AD"/>
    <w:rsid w:val="00A04CD8"/>
    <w:rsid w:val="00A0624B"/>
    <w:rsid w:val="00A0765D"/>
    <w:rsid w:val="00A11C4E"/>
    <w:rsid w:val="00A14C4D"/>
    <w:rsid w:val="00A165B8"/>
    <w:rsid w:val="00A16B1D"/>
    <w:rsid w:val="00A20580"/>
    <w:rsid w:val="00A20B8C"/>
    <w:rsid w:val="00A242F2"/>
    <w:rsid w:val="00A317D3"/>
    <w:rsid w:val="00A32040"/>
    <w:rsid w:val="00A32A2B"/>
    <w:rsid w:val="00A3757F"/>
    <w:rsid w:val="00A42993"/>
    <w:rsid w:val="00A44BBB"/>
    <w:rsid w:val="00A44E69"/>
    <w:rsid w:val="00A4589E"/>
    <w:rsid w:val="00A46C58"/>
    <w:rsid w:val="00A477A6"/>
    <w:rsid w:val="00A4785E"/>
    <w:rsid w:val="00A52293"/>
    <w:rsid w:val="00A5304B"/>
    <w:rsid w:val="00A53BE4"/>
    <w:rsid w:val="00A55163"/>
    <w:rsid w:val="00A556D4"/>
    <w:rsid w:val="00A56108"/>
    <w:rsid w:val="00A5762D"/>
    <w:rsid w:val="00A6065D"/>
    <w:rsid w:val="00A606DD"/>
    <w:rsid w:val="00A610E5"/>
    <w:rsid w:val="00A61583"/>
    <w:rsid w:val="00A624EC"/>
    <w:rsid w:val="00A62BB5"/>
    <w:rsid w:val="00A653FA"/>
    <w:rsid w:val="00A67145"/>
    <w:rsid w:val="00A755D2"/>
    <w:rsid w:val="00A82586"/>
    <w:rsid w:val="00A82743"/>
    <w:rsid w:val="00A8307D"/>
    <w:rsid w:val="00A85F63"/>
    <w:rsid w:val="00A87E79"/>
    <w:rsid w:val="00A90C66"/>
    <w:rsid w:val="00A927FA"/>
    <w:rsid w:val="00A95870"/>
    <w:rsid w:val="00A974CC"/>
    <w:rsid w:val="00AA4B4A"/>
    <w:rsid w:val="00AB0897"/>
    <w:rsid w:val="00AB102C"/>
    <w:rsid w:val="00AB2FF7"/>
    <w:rsid w:val="00AB5CA2"/>
    <w:rsid w:val="00AB6F1F"/>
    <w:rsid w:val="00AC092A"/>
    <w:rsid w:val="00AD26A9"/>
    <w:rsid w:val="00AD43C6"/>
    <w:rsid w:val="00AD4406"/>
    <w:rsid w:val="00AD5D1C"/>
    <w:rsid w:val="00AD7E80"/>
    <w:rsid w:val="00AE3C10"/>
    <w:rsid w:val="00AE5BC0"/>
    <w:rsid w:val="00AE5DA8"/>
    <w:rsid w:val="00AE73C1"/>
    <w:rsid w:val="00AF1A06"/>
    <w:rsid w:val="00AF3BED"/>
    <w:rsid w:val="00AF4C7A"/>
    <w:rsid w:val="00AF593E"/>
    <w:rsid w:val="00AF62F6"/>
    <w:rsid w:val="00B00DB3"/>
    <w:rsid w:val="00B0166D"/>
    <w:rsid w:val="00B01E5E"/>
    <w:rsid w:val="00B045E2"/>
    <w:rsid w:val="00B05835"/>
    <w:rsid w:val="00B11163"/>
    <w:rsid w:val="00B146C2"/>
    <w:rsid w:val="00B238AF"/>
    <w:rsid w:val="00B33CCF"/>
    <w:rsid w:val="00B354EC"/>
    <w:rsid w:val="00B4109D"/>
    <w:rsid w:val="00B42597"/>
    <w:rsid w:val="00B43764"/>
    <w:rsid w:val="00B445CF"/>
    <w:rsid w:val="00B463C0"/>
    <w:rsid w:val="00B4652A"/>
    <w:rsid w:val="00B4657A"/>
    <w:rsid w:val="00B54777"/>
    <w:rsid w:val="00B54848"/>
    <w:rsid w:val="00B5518D"/>
    <w:rsid w:val="00B565DB"/>
    <w:rsid w:val="00B56E8A"/>
    <w:rsid w:val="00B57128"/>
    <w:rsid w:val="00B5726D"/>
    <w:rsid w:val="00B574CB"/>
    <w:rsid w:val="00B5798E"/>
    <w:rsid w:val="00B60381"/>
    <w:rsid w:val="00B61F4E"/>
    <w:rsid w:val="00B6276A"/>
    <w:rsid w:val="00B62B53"/>
    <w:rsid w:val="00B63F41"/>
    <w:rsid w:val="00B64F6F"/>
    <w:rsid w:val="00B74938"/>
    <w:rsid w:val="00B75C85"/>
    <w:rsid w:val="00B7625E"/>
    <w:rsid w:val="00B774BB"/>
    <w:rsid w:val="00B81257"/>
    <w:rsid w:val="00B81D00"/>
    <w:rsid w:val="00B83083"/>
    <w:rsid w:val="00B836F0"/>
    <w:rsid w:val="00B83F65"/>
    <w:rsid w:val="00B84B09"/>
    <w:rsid w:val="00B86D8A"/>
    <w:rsid w:val="00B91637"/>
    <w:rsid w:val="00B91765"/>
    <w:rsid w:val="00B91C43"/>
    <w:rsid w:val="00B922A9"/>
    <w:rsid w:val="00B92D96"/>
    <w:rsid w:val="00B9312D"/>
    <w:rsid w:val="00B9367D"/>
    <w:rsid w:val="00B93C16"/>
    <w:rsid w:val="00B95556"/>
    <w:rsid w:val="00B97E0A"/>
    <w:rsid w:val="00BA05F5"/>
    <w:rsid w:val="00BA06A5"/>
    <w:rsid w:val="00BB6002"/>
    <w:rsid w:val="00BC1753"/>
    <w:rsid w:val="00BC2423"/>
    <w:rsid w:val="00BC3EB7"/>
    <w:rsid w:val="00BC42E7"/>
    <w:rsid w:val="00BC6A23"/>
    <w:rsid w:val="00BD0B30"/>
    <w:rsid w:val="00BD1053"/>
    <w:rsid w:val="00BD1B50"/>
    <w:rsid w:val="00BD306A"/>
    <w:rsid w:val="00BD37A0"/>
    <w:rsid w:val="00BD4A1A"/>
    <w:rsid w:val="00BD5A7B"/>
    <w:rsid w:val="00BD5A9C"/>
    <w:rsid w:val="00BE0BE0"/>
    <w:rsid w:val="00BE5318"/>
    <w:rsid w:val="00BE58B5"/>
    <w:rsid w:val="00BE5A1F"/>
    <w:rsid w:val="00BE5F32"/>
    <w:rsid w:val="00BE6365"/>
    <w:rsid w:val="00BE723C"/>
    <w:rsid w:val="00BE7689"/>
    <w:rsid w:val="00BF1D92"/>
    <w:rsid w:val="00BF3D26"/>
    <w:rsid w:val="00BF579F"/>
    <w:rsid w:val="00BF57DA"/>
    <w:rsid w:val="00C03E5B"/>
    <w:rsid w:val="00C04267"/>
    <w:rsid w:val="00C050B7"/>
    <w:rsid w:val="00C0689F"/>
    <w:rsid w:val="00C071CF"/>
    <w:rsid w:val="00C1315D"/>
    <w:rsid w:val="00C15AF4"/>
    <w:rsid w:val="00C17640"/>
    <w:rsid w:val="00C21BD6"/>
    <w:rsid w:val="00C237B0"/>
    <w:rsid w:val="00C23838"/>
    <w:rsid w:val="00C26131"/>
    <w:rsid w:val="00C27086"/>
    <w:rsid w:val="00C3078D"/>
    <w:rsid w:val="00C3475E"/>
    <w:rsid w:val="00C34A70"/>
    <w:rsid w:val="00C35FF3"/>
    <w:rsid w:val="00C367BC"/>
    <w:rsid w:val="00C43F77"/>
    <w:rsid w:val="00C50119"/>
    <w:rsid w:val="00C53A8C"/>
    <w:rsid w:val="00C54622"/>
    <w:rsid w:val="00C55F10"/>
    <w:rsid w:val="00C56885"/>
    <w:rsid w:val="00C6104B"/>
    <w:rsid w:val="00C6418C"/>
    <w:rsid w:val="00C645E3"/>
    <w:rsid w:val="00C8309F"/>
    <w:rsid w:val="00C847E4"/>
    <w:rsid w:val="00C85369"/>
    <w:rsid w:val="00C86D93"/>
    <w:rsid w:val="00C92459"/>
    <w:rsid w:val="00C93AF7"/>
    <w:rsid w:val="00C94501"/>
    <w:rsid w:val="00C95CBB"/>
    <w:rsid w:val="00C95FF4"/>
    <w:rsid w:val="00CA599F"/>
    <w:rsid w:val="00CA5DCF"/>
    <w:rsid w:val="00CA6A63"/>
    <w:rsid w:val="00CB5F36"/>
    <w:rsid w:val="00CC276A"/>
    <w:rsid w:val="00CD022A"/>
    <w:rsid w:val="00CD4DC4"/>
    <w:rsid w:val="00CD518F"/>
    <w:rsid w:val="00CD5B6D"/>
    <w:rsid w:val="00CD68FE"/>
    <w:rsid w:val="00CD7C7A"/>
    <w:rsid w:val="00CE1964"/>
    <w:rsid w:val="00CE3ED8"/>
    <w:rsid w:val="00CF0E38"/>
    <w:rsid w:val="00CF0E55"/>
    <w:rsid w:val="00CF2226"/>
    <w:rsid w:val="00CF2712"/>
    <w:rsid w:val="00D0165B"/>
    <w:rsid w:val="00D01A14"/>
    <w:rsid w:val="00D036E4"/>
    <w:rsid w:val="00D0576E"/>
    <w:rsid w:val="00D1174A"/>
    <w:rsid w:val="00D12C4D"/>
    <w:rsid w:val="00D20B2B"/>
    <w:rsid w:val="00D228FE"/>
    <w:rsid w:val="00D229E6"/>
    <w:rsid w:val="00D23330"/>
    <w:rsid w:val="00D23990"/>
    <w:rsid w:val="00D251F6"/>
    <w:rsid w:val="00D3456D"/>
    <w:rsid w:val="00D35025"/>
    <w:rsid w:val="00D35822"/>
    <w:rsid w:val="00D3624E"/>
    <w:rsid w:val="00D37FD7"/>
    <w:rsid w:val="00D41189"/>
    <w:rsid w:val="00D41480"/>
    <w:rsid w:val="00D45133"/>
    <w:rsid w:val="00D45255"/>
    <w:rsid w:val="00D4583C"/>
    <w:rsid w:val="00D46EE0"/>
    <w:rsid w:val="00D47747"/>
    <w:rsid w:val="00D503DD"/>
    <w:rsid w:val="00D523E4"/>
    <w:rsid w:val="00D53CC4"/>
    <w:rsid w:val="00D56715"/>
    <w:rsid w:val="00D56D0C"/>
    <w:rsid w:val="00D57D37"/>
    <w:rsid w:val="00D57D6E"/>
    <w:rsid w:val="00D641C9"/>
    <w:rsid w:val="00D70B53"/>
    <w:rsid w:val="00D72882"/>
    <w:rsid w:val="00D75178"/>
    <w:rsid w:val="00D75556"/>
    <w:rsid w:val="00D76264"/>
    <w:rsid w:val="00D765E6"/>
    <w:rsid w:val="00D8416F"/>
    <w:rsid w:val="00D859BC"/>
    <w:rsid w:val="00D8634B"/>
    <w:rsid w:val="00D87875"/>
    <w:rsid w:val="00D92227"/>
    <w:rsid w:val="00D94783"/>
    <w:rsid w:val="00D9530D"/>
    <w:rsid w:val="00D978B3"/>
    <w:rsid w:val="00DA124D"/>
    <w:rsid w:val="00DA18FA"/>
    <w:rsid w:val="00DA32AB"/>
    <w:rsid w:val="00DA54A3"/>
    <w:rsid w:val="00DA720F"/>
    <w:rsid w:val="00DB1105"/>
    <w:rsid w:val="00DB1B29"/>
    <w:rsid w:val="00DB6309"/>
    <w:rsid w:val="00DC0050"/>
    <w:rsid w:val="00DC0FBD"/>
    <w:rsid w:val="00DC2CC3"/>
    <w:rsid w:val="00DC4473"/>
    <w:rsid w:val="00DD3B2B"/>
    <w:rsid w:val="00DD7A26"/>
    <w:rsid w:val="00DE0587"/>
    <w:rsid w:val="00DE1AF9"/>
    <w:rsid w:val="00DE230E"/>
    <w:rsid w:val="00DE5804"/>
    <w:rsid w:val="00DE6D72"/>
    <w:rsid w:val="00DF0906"/>
    <w:rsid w:val="00DF35CA"/>
    <w:rsid w:val="00DF521F"/>
    <w:rsid w:val="00DF5D57"/>
    <w:rsid w:val="00DF60A0"/>
    <w:rsid w:val="00E030DA"/>
    <w:rsid w:val="00E03173"/>
    <w:rsid w:val="00E049D9"/>
    <w:rsid w:val="00E04B46"/>
    <w:rsid w:val="00E109E1"/>
    <w:rsid w:val="00E16EDD"/>
    <w:rsid w:val="00E16F3D"/>
    <w:rsid w:val="00E172C2"/>
    <w:rsid w:val="00E219AA"/>
    <w:rsid w:val="00E22793"/>
    <w:rsid w:val="00E25BD8"/>
    <w:rsid w:val="00E25C36"/>
    <w:rsid w:val="00E2645F"/>
    <w:rsid w:val="00E2696D"/>
    <w:rsid w:val="00E30DB3"/>
    <w:rsid w:val="00E332DC"/>
    <w:rsid w:val="00E37368"/>
    <w:rsid w:val="00E4084C"/>
    <w:rsid w:val="00E42EC5"/>
    <w:rsid w:val="00E50A7F"/>
    <w:rsid w:val="00E51FBF"/>
    <w:rsid w:val="00E52540"/>
    <w:rsid w:val="00E542E0"/>
    <w:rsid w:val="00E55034"/>
    <w:rsid w:val="00E664F1"/>
    <w:rsid w:val="00E76BC1"/>
    <w:rsid w:val="00E84803"/>
    <w:rsid w:val="00E851BE"/>
    <w:rsid w:val="00E8674F"/>
    <w:rsid w:val="00E943A5"/>
    <w:rsid w:val="00E960B8"/>
    <w:rsid w:val="00E967F2"/>
    <w:rsid w:val="00EA1381"/>
    <w:rsid w:val="00EA4340"/>
    <w:rsid w:val="00EB0543"/>
    <w:rsid w:val="00EB32B5"/>
    <w:rsid w:val="00EC1976"/>
    <w:rsid w:val="00EC2995"/>
    <w:rsid w:val="00EC670D"/>
    <w:rsid w:val="00ED0948"/>
    <w:rsid w:val="00ED1489"/>
    <w:rsid w:val="00ED3018"/>
    <w:rsid w:val="00ED5FE2"/>
    <w:rsid w:val="00ED7899"/>
    <w:rsid w:val="00EE0A8D"/>
    <w:rsid w:val="00EE4218"/>
    <w:rsid w:val="00EE447F"/>
    <w:rsid w:val="00EE5DCB"/>
    <w:rsid w:val="00EE74D4"/>
    <w:rsid w:val="00EF03DF"/>
    <w:rsid w:val="00F0176E"/>
    <w:rsid w:val="00F01C18"/>
    <w:rsid w:val="00F032AD"/>
    <w:rsid w:val="00F03993"/>
    <w:rsid w:val="00F12CA2"/>
    <w:rsid w:val="00F13964"/>
    <w:rsid w:val="00F14408"/>
    <w:rsid w:val="00F16A4E"/>
    <w:rsid w:val="00F17B15"/>
    <w:rsid w:val="00F2370C"/>
    <w:rsid w:val="00F24468"/>
    <w:rsid w:val="00F2693B"/>
    <w:rsid w:val="00F27222"/>
    <w:rsid w:val="00F319C7"/>
    <w:rsid w:val="00F31F40"/>
    <w:rsid w:val="00F3330E"/>
    <w:rsid w:val="00F35275"/>
    <w:rsid w:val="00F3782F"/>
    <w:rsid w:val="00F37C74"/>
    <w:rsid w:val="00F40C38"/>
    <w:rsid w:val="00F42B6B"/>
    <w:rsid w:val="00F4329C"/>
    <w:rsid w:val="00F439FF"/>
    <w:rsid w:val="00F43EC8"/>
    <w:rsid w:val="00F511A3"/>
    <w:rsid w:val="00F54D4C"/>
    <w:rsid w:val="00F5718E"/>
    <w:rsid w:val="00F57A53"/>
    <w:rsid w:val="00F60D25"/>
    <w:rsid w:val="00F66168"/>
    <w:rsid w:val="00F6758C"/>
    <w:rsid w:val="00F6784C"/>
    <w:rsid w:val="00F703CA"/>
    <w:rsid w:val="00F72E39"/>
    <w:rsid w:val="00F74C4C"/>
    <w:rsid w:val="00F754A9"/>
    <w:rsid w:val="00F76235"/>
    <w:rsid w:val="00F76AE2"/>
    <w:rsid w:val="00F76F09"/>
    <w:rsid w:val="00F76F45"/>
    <w:rsid w:val="00F8178D"/>
    <w:rsid w:val="00F84444"/>
    <w:rsid w:val="00F8526C"/>
    <w:rsid w:val="00F8799E"/>
    <w:rsid w:val="00F91AD6"/>
    <w:rsid w:val="00F93C2E"/>
    <w:rsid w:val="00F93CCD"/>
    <w:rsid w:val="00F967F2"/>
    <w:rsid w:val="00FB2B85"/>
    <w:rsid w:val="00FB61C1"/>
    <w:rsid w:val="00FC2987"/>
    <w:rsid w:val="00FC6A2D"/>
    <w:rsid w:val="00FC76DA"/>
    <w:rsid w:val="00FC7A6E"/>
    <w:rsid w:val="00FD0622"/>
    <w:rsid w:val="00FD26FC"/>
    <w:rsid w:val="00FD7A6D"/>
    <w:rsid w:val="00FE0BD4"/>
    <w:rsid w:val="00FE1C26"/>
    <w:rsid w:val="00FE2073"/>
    <w:rsid w:val="00FE20F7"/>
    <w:rsid w:val="00FE42AB"/>
    <w:rsid w:val="00FE5C9D"/>
    <w:rsid w:val="00FE5DF6"/>
    <w:rsid w:val="00FE71A9"/>
    <w:rsid w:val="00FF2C73"/>
    <w:rsid w:val="00FF6BAA"/>
    <w:rsid w:val="00FF6C58"/>
    <w:rsid w:val="01143E5D"/>
    <w:rsid w:val="01245C17"/>
    <w:rsid w:val="014748C7"/>
    <w:rsid w:val="020636EB"/>
    <w:rsid w:val="03412610"/>
    <w:rsid w:val="048A2AE0"/>
    <w:rsid w:val="06334523"/>
    <w:rsid w:val="0701192F"/>
    <w:rsid w:val="08E46FFA"/>
    <w:rsid w:val="08F21980"/>
    <w:rsid w:val="0925511C"/>
    <w:rsid w:val="0A782AE6"/>
    <w:rsid w:val="0AC00944"/>
    <w:rsid w:val="0C5808DC"/>
    <w:rsid w:val="0D4A316C"/>
    <w:rsid w:val="0E2308C2"/>
    <w:rsid w:val="0ED17DB9"/>
    <w:rsid w:val="0ED434D5"/>
    <w:rsid w:val="0EF82CF3"/>
    <w:rsid w:val="0F2C7CDB"/>
    <w:rsid w:val="0F2D1F0B"/>
    <w:rsid w:val="0F346ECB"/>
    <w:rsid w:val="0F956C90"/>
    <w:rsid w:val="0FE85723"/>
    <w:rsid w:val="0FFE6A1E"/>
    <w:rsid w:val="1007251B"/>
    <w:rsid w:val="110021AC"/>
    <w:rsid w:val="120E6DBF"/>
    <w:rsid w:val="1232350F"/>
    <w:rsid w:val="123676F6"/>
    <w:rsid w:val="124920F6"/>
    <w:rsid w:val="12E658A9"/>
    <w:rsid w:val="12F21B5B"/>
    <w:rsid w:val="12F66148"/>
    <w:rsid w:val="13574592"/>
    <w:rsid w:val="140E0142"/>
    <w:rsid w:val="155950DF"/>
    <w:rsid w:val="15681D19"/>
    <w:rsid w:val="15A2155B"/>
    <w:rsid w:val="1707280A"/>
    <w:rsid w:val="17F11A13"/>
    <w:rsid w:val="1A0C2356"/>
    <w:rsid w:val="1AC123F5"/>
    <w:rsid w:val="1AFA150E"/>
    <w:rsid w:val="1B801D2C"/>
    <w:rsid w:val="1BBB28BC"/>
    <w:rsid w:val="1BFC314F"/>
    <w:rsid w:val="1C222F5B"/>
    <w:rsid w:val="1C9E1B58"/>
    <w:rsid w:val="1CE11AE5"/>
    <w:rsid w:val="1D1C08BA"/>
    <w:rsid w:val="1EB75C39"/>
    <w:rsid w:val="1EBF7B5A"/>
    <w:rsid w:val="1FA94357"/>
    <w:rsid w:val="21456A1F"/>
    <w:rsid w:val="21BF0647"/>
    <w:rsid w:val="22131B6D"/>
    <w:rsid w:val="22517CB1"/>
    <w:rsid w:val="225E730C"/>
    <w:rsid w:val="22A810FA"/>
    <w:rsid w:val="23BF0E1F"/>
    <w:rsid w:val="23FC3B97"/>
    <w:rsid w:val="244424B4"/>
    <w:rsid w:val="244A2186"/>
    <w:rsid w:val="24863E3C"/>
    <w:rsid w:val="24D85EE9"/>
    <w:rsid w:val="2708057B"/>
    <w:rsid w:val="27171126"/>
    <w:rsid w:val="27550FA4"/>
    <w:rsid w:val="275C532C"/>
    <w:rsid w:val="27732809"/>
    <w:rsid w:val="27832B59"/>
    <w:rsid w:val="28985F7C"/>
    <w:rsid w:val="290A4C20"/>
    <w:rsid w:val="29A23BD4"/>
    <w:rsid w:val="29C9293B"/>
    <w:rsid w:val="29EC61B9"/>
    <w:rsid w:val="29F62207"/>
    <w:rsid w:val="2A251233"/>
    <w:rsid w:val="2A6D04C4"/>
    <w:rsid w:val="2B27650D"/>
    <w:rsid w:val="2BF54A7B"/>
    <w:rsid w:val="2C37335C"/>
    <w:rsid w:val="2C45620F"/>
    <w:rsid w:val="2C5C3886"/>
    <w:rsid w:val="2CBF08D0"/>
    <w:rsid w:val="2D373F98"/>
    <w:rsid w:val="2DE67921"/>
    <w:rsid w:val="2E056583"/>
    <w:rsid w:val="2E2D19E1"/>
    <w:rsid w:val="2E357C8D"/>
    <w:rsid w:val="2E654B74"/>
    <w:rsid w:val="2EFF5261"/>
    <w:rsid w:val="2F2041C5"/>
    <w:rsid w:val="2F733FFF"/>
    <w:rsid w:val="304113D5"/>
    <w:rsid w:val="30FE666C"/>
    <w:rsid w:val="3196072F"/>
    <w:rsid w:val="324F1054"/>
    <w:rsid w:val="33837E11"/>
    <w:rsid w:val="33E06739"/>
    <w:rsid w:val="342A07E1"/>
    <w:rsid w:val="34860130"/>
    <w:rsid w:val="34F97AD0"/>
    <w:rsid w:val="359F0F01"/>
    <w:rsid w:val="35AE3E83"/>
    <w:rsid w:val="35CE1576"/>
    <w:rsid w:val="35D901BD"/>
    <w:rsid w:val="360561F8"/>
    <w:rsid w:val="363B60FF"/>
    <w:rsid w:val="36461ED7"/>
    <w:rsid w:val="368E7B39"/>
    <w:rsid w:val="37792110"/>
    <w:rsid w:val="37E45315"/>
    <w:rsid w:val="384C284D"/>
    <w:rsid w:val="393557C2"/>
    <w:rsid w:val="3AA868F8"/>
    <w:rsid w:val="3AD34569"/>
    <w:rsid w:val="3AD476B5"/>
    <w:rsid w:val="3BD72577"/>
    <w:rsid w:val="3BE0549E"/>
    <w:rsid w:val="3C0D25BB"/>
    <w:rsid w:val="3C1A7662"/>
    <w:rsid w:val="3CBE5EC1"/>
    <w:rsid w:val="3CE2587C"/>
    <w:rsid w:val="3CFD389A"/>
    <w:rsid w:val="3D3711B6"/>
    <w:rsid w:val="3DF87E6E"/>
    <w:rsid w:val="3EAD61B5"/>
    <w:rsid w:val="3F0B0C6C"/>
    <w:rsid w:val="3F31580E"/>
    <w:rsid w:val="3F3E7126"/>
    <w:rsid w:val="400F37BF"/>
    <w:rsid w:val="40AD1452"/>
    <w:rsid w:val="40B43400"/>
    <w:rsid w:val="40C352CE"/>
    <w:rsid w:val="40D16DF1"/>
    <w:rsid w:val="40E72E1D"/>
    <w:rsid w:val="419C0EF3"/>
    <w:rsid w:val="43B90901"/>
    <w:rsid w:val="44572895"/>
    <w:rsid w:val="45210E29"/>
    <w:rsid w:val="457828E9"/>
    <w:rsid w:val="45B86092"/>
    <w:rsid w:val="46052FD7"/>
    <w:rsid w:val="466B13B2"/>
    <w:rsid w:val="46CD608C"/>
    <w:rsid w:val="46F63E3C"/>
    <w:rsid w:val="46FC0DD5"/>
    <w:rsid w:val="477A2113"/>
    <w:rsid w:val="480D19CC"/>
    <w:rsid w:val="48266846"/>
    <w:rsid w:val="48C06C85"/>
    <w:rsid w:val="49005330"/>
    <w:rsid w:val="4A032FCD"/>
    <w:rsid w:val="4A216DB7"/>
    <w:rsid w:val="4AD9745F"/>
    <w:rsid w:val="4D4974B5"/>
    <w:rsid w:val="4D6825F5"/>
    <w:rsid w:val="4EA17396"/>
    <w:rsid w:val="4EE169FF"/>
    <w:rsid w:val="4F1C5139"/>
    <w:rsid w:val="4F61304F"/>
    <w:rsid w:val="4F94356D"/>
    <w:rsid w:val="4FCF06B5"/>
    <w:rsid w:val="4FFF3D21"/>
    <w:rsid w:val="51043ACA"/>
    <w:rsid w:val="511A51B3"/>
    <w:rsid w:val="51A82E25"/>
    <w:rsid w:val="51B804CE"/>
    <w:rsid w:val="52D47449"/>
    <w:rsid w:val="534A70A8"/>
    <w:rsid w:val="534D6540"/>
    <w:rsid w:val="539E07FC"/>
    <w:rsid w:val="53A40654"/>
    <w:rsid w:val="53E3487C"/>
    <w:rsid w:val="548524CF"/>
    <w:rsid w:val="55076AF9"/>
    <w:rsid w:val="55F6681C"/>
    <w:rsid w:val="569F3C78"/>
    <w:rsid w:val="57065159"/>
    <w:rsid w:val="571A77DF"/>
    <w:rsid w:val="5727581B"/>
    <w:rsid w:val="572D508C"/>
    <w:rsid w:val="57654A31"/>
    <w:rsid w:val="57886AF0"/>
    <w:rsid w:val="578E53C8"/>
    <w:rsid w:val="57BA3436"/>
    <w:rsid w:val="580E264B"/>
    <w:rsid w:val="594E7704"/>
    <w:rsid w:val="59825B0C"/>
    <w:rsid w:val="59DA3ECF"/>
    <w:rsid w:val="5B135597"/>
    <w:rsid w:val="5B356EE0"/>
    <w:rsid w:val="5B4B5BCA"/>
    <w:rsid w:val="5B7406A2"/>
    <w:rsid w:val="5BB22859"/>
    <w:rsid w:val="5C1275A8"/>
    <w:rsid w:val="5C171C63"/>
    <w:rsid w:val="5C693D90"/>
    <w:rsid w:val="5C9B21DE"/>
    <w:rsid w:val="5E1F70AD"/>
    <w:rsid w:val="5F4053F0"/>
    <w:rsid w:val="5F630AD3"/>
    <w:rsid w:val="5F9A5D46"/>
    <w:rsid w:val="5FCB332A"/>
    <w:rsid w:val="5FE71D9C"/>
    <w:rsid w:val="605D0E03"/>
    <w:rsid w:val="60616135"/>
    <w:rsid w:val="60B357D4"/>
    <w:rsid w:val="62AD08FA"/>
    <w:rsid w:val="63617019"/>
    <w:rsid w:val="638A0A2F"/>
    <w:rsid w:val="63C40913"/>
    <w:rsid w:val="63D551B0"/>
    <w:rsid w:val="6441618F"/>
    <w:rsid w:val="644A7263"/>
    <w:rsid w:val="657C6AA7"/>
    <w:rsid w:val="6637200F"/>
    <w:rsid w:val="66A44562"/>
    <w:rsid w:val="66B9759C"/>
    <w:rsid w:val="66F568E3"/>
    <w:rsid w:val="682E2EC8"/>
    <w:rsid w:val="68330A3C"/>
    <w:rsid w:val="6877748A"/>
    <w:rsid w:val="68A73651"/>
    <w:rsid w:val="68D8181C"/>
    <w:rsid w:val="68F22D2E"/>
    <w:rsid w:val="694113E1"/>
    <w:rsid w:val="69DA49A1"/>
    <w:rsid w:val="6A023CD7"/>
    <w:rsid w:val="6A0C5F4D"/>
    <w:rsid w:val="6A263282"/>
    <w:rsid w:val="6A430DFE"/>
    <w:rsid w:val="6A811E42"/>
    <w:rsid w:val="6AB30C77"/>
    <w:rsid w:val="6AB54228"/>
    <w:rsid w:val="6AEC44EE"/>
    <w:rsid w:val="6B4F481A"/>
    <w:rsid w:val="6BB73E72"/>
    <w:rsid w:val="6BD55655"/>
    <w:rsid w:val="6C0B71D9"/>
    <w:rsid w:val="6C6649F2"/>
    <w:rsid w:val="6C6E3FED"/>
    <w:rsid w:val="6CCB64FE"/>
    <w:rsid w:val="6DC56E75"/>
    <w:rsid w:val="6E863529"/>
    <w:rsid w:val="6F053B1A"/>
    <w:rsid w:val="6F091D13"/>
    <w:rsid w:val="6F190619"/>
    <w:rsid w:val="6F4D6995"/>
    <w:rsid w:val="6F513699"/>
    <w:rsid w:val="6F7C2BCA"/>
    <w:rsid w:val="6FE73E53"/>
    <w:rsid w:val="704F5BE2"/>
    <w:rsid w:val="70607547"/>
    <w:rsid w:val="70EA2C9F"/>
    <w:rsid w:val="71EA50EF"/>
    <w:rsid w:val="724F24BC"/>
    <w:rsid w:val="72A4003F"/>
    <w:rsid w:val="72BB74BB"/>
    <w:rsid w:val="72FC4EBC"/>
    <w:rsid w:val="734E3FF8"/>
    <w:rsid w:val="74B27BCC"/>
    <w:rsid w:val="74CF6295"/>
    <w:rsid w:val="74D86FD2"/>
    <w:rsid w:val="75B467ED"/>
    <w:rsid w:val="75C46730"/>
    <w:rsid w:val="76484006"/>
    <w:rsid w:val="768D1F11"/>
    <w:rsid w:val="779C1096"/>
    <w:rsid w:val="781C0757"/>
    <w:rsid w:val="78327A5B"/>
    <w:rsid w:val="78DC76BA"/>
    <w:rsid w:val="79154E31"/>
    <w:rsid w:val="792A5615"/>
    <w:rsid w:val="79E968A0"/>
    <w:rsid w:val="7A0E1947"/>
    <w:rsid w:val="7AFB0585"/>
    <w:rsid w:val="7B28363D"/>
    <w:rsid w:val="7B4351E9"/>
    <w:rsid w:val="7B587DC7"/>
    <w:rsid w:val="7B7758D8"/>
    <w:rsid w:val="7BFD05E6"/>
    <w:rsid w:val="7C031902"/>
    <w:rsid w:val="7C665B94"/>
    <w:rsid w:val="7CB451DB"/>
    <w:rsid w:val="7D090B7E"/>
    <w:rsid w:val="7D5D77BB"/>
    <w:rsid w:val="7DB400CB"/>
    <w:rsid w:val="7DBF4249"/>
    <w:rsid w:val="7E0B2713"/>
    <w:rsid w:val="7E1507E5"/>
    <w:rsid w:val="7E1C15AE"/>
    <w:rsid w:val="7E43320E"/>
    <w:rsid w:val="7F043992"/>
    <w:rsid w:val="7FB8716E"/>
    <w:rsid w:val="7FE500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37"/>
    <w:qFormat/>
    <w:uiPriority w:val="0"/>
    <w:pPr>
      <w:keepNext/>
      <w:spacing w:line="216" w:lineRule="auto"/>
      <w:jc w:val="center"/>
      <w:outlineLvl w:val="0"/>
    </w:pPr>
    <w:rPr>
      <w:rFonts w:ascii="宋体" w:hAnsi="宋体"/>
      <w:b/>
      <w:sz w:val="30"/>
      <w:szCs w:val="20"/>
    </w:rPr>
  </w:style>
  <w:style w:type="paragraph" w:styleId="2">
    <w:name w:val="heading 2"/>
    <w:basedOn w:val="1"/>
    <w:next w:val="3"/>
    <w:link w:val="43"/>
    <w:qFormat/>
    <w:uiPriority w:val="0"/>
    <w:pPr>
      <w:keepNext/>
      <w:spacing w:line="216" w:lineRule="auto"/>
      <w:outlineLvl w:val="1"/>
    </w:pPr>
    <w:rPr>
      <w:rFonts w:ascii="宋体"/>
      <w:b/>
      <w:sz w:val="28"/>
      <w:szCs w:val="20"/>
    </w:rPr>
  </w:style>
  <w:style w:type="paragraph" w:styleId="5">
    <w:name w:val="heading 3"/>
    <w:basedOn w:val="1"/>
    <w:next w:val="1"/>
    <w:qFormat/>
    <w:uiPriority w:val="0"/>
    <w:pPr>
      <w:keepNext/>
      <w:numPr>
        <w:ilvl w:val="0"/>
        <w:numId w:val="1"/>
      </w:numPr>
      <w:spacing w:line="216" w:lineRule="auto"/>
      <w:outlineLvl w:val="2"/>
    </w:pPr>
    <w:rPr>
      <w:rFonts w:ascii="宋体"/>
      <w:b/>
      <w:bCs/>
      <w:sz w:val="28"/>
      <w:szCs w:val="20"/>
    </w:rPr>
  </w:style>
  <w:style w:type="paragraph" w:styleId="6">
    <w:name w:val="heading 4"/>
    <w:basedOn w:val="1"/>
    <w:next w:val="3"/>
    <w:qFormat/>
    <w:uiPriority w:val="0"/>
    <w:pPr>
      <w:keepNext/>
      <w:numPr>
        <w:ilvl w:val="0"/>
        <w:numId w:val="2"/>
      </w:numPr>
      <w:spacing w:line="216" w:lineRule="auto"/>
      <w:outlineLvl w:val="3"/>
    </w:pPr>
    <w:rPr>
      <w:rFonts w:ascii="黑体" w:eastAsia="黑体"/>
      <w:b/>
      <w:sz w:val="24"/>
      <w:szCs w:val="20"/>
    </w:rPr>
  </w:style>
  <w:style w:type="character" w:default="1" w:styleId="29">
    <w:name w:val="Default Paragraph Font"/>
    <w:semiHidden/>
    <w:uiPriority w:val="0"/>
  </w:style>
  <w:style w:type="table" w:default="1" w:styleId="28">
    <w:name w:val="Normal Table"/>
    <w:semiHidden/>
    <w:uiPriority w:val="0"/>
    <w:tblPr>
      <w:tblStyle w:val="28"/>
      <w:tblCellMar>
        <w:top w:w="0" w:type="dxa"/>
        <w:left w:w="108" w:type="dxa"/>
        <w:bottom w:w="0" w:type="dxa"/>
        <w:right w:w="108" w:type="dxa"/>
      </w:tblCellMar>
    </w:tblPr>
  </w:style>
  <w:style w:type="paragraph" w:styleId="3">
    <w:name w:val="Normal Indent"/>
    <w:basedOn w:val="1"/>
    <w:uiPriority w:val="0"/>
    <w:pPr>
      <w:ind w:firstLine="420"/>
    </w:pPr>
    <w:rPr>
      <w:szCs w:val="20"/>
    </w:rPr>
  </w:style>
  <w:style w:type="paragraph" w:styleId="7">
    <w:name w:val="toc 7"/>
    <w:basedOn w:val="1"/>
    <w:next w:val="1"/>
    <w:semiHidden/>
    <w:uiPriority w:val="0"/>
    <w:pPr>
      <w:ind w:left="2520" w:leftChars="1200"/>
    </w:pPr>
  </w:style>
  <w:style w:type="paragraph" w:styleId="8">
    <w:name w:val="annotation text"/>
    <w:basedOn w:val="1"/>
    <w:link w:val="38"/>
    <w:uiPriority w:val="0"/>
    <w:pPr>
      <w:adjustRightInd w:val="0"/>
      <w:jc w:val="left"/>
    </w:pPr>
  </w:style>
  <w:style w:type="paragraph" w:styleId="9">
    <w:name w:val="Body Text"/>
    <w:basedOn w:val="1"/>
    <w:uiPriority w:val="0"/>
    <w:pPr>
      <w:autoSpaceDE w:val="0"/>
      <w:autoSpaceDN w:val="0"/>
      <w:adjustRightInd w:val="0"/>
      <w:spacing w:line="360" w:lineRule="auto"/>
    </w:pPr>
    <w:rPr>
      <w:rFonts w:ascii="宋体" w:hAnsi="Arial" w:cs="Arial"/>
      <w:snapToGrid w:val="0"/>
      <w:sz w:val="24"/>
      <w:szCs w:val="21"/>
      <w:lang w:val="zh-CN"/>
    </w:rPr>
  </w:style>
  <w:style w:type="paragraph" w:styleId="10">
    <w:name w:val="Body Text Indent"/>
    <w:basedOn w:val="1"/>
    <w:link w:val="36"/>
    <w:uiPriority w:val="0"/>
    <w:pPr>
      <w:spacing w:after="120"/>
      <w:ind w:left="420" w:leftChars="200"/>
    </w:pPr>
  </w:style>
  <w:style w:type="paragraph" w:styleId="11">
    <w:name w:val="toc 5"/>
    <w:basedOn w:val="1"/>
    <w:next w:val="1"/>
    <w:semiHidden/>
    <w:uiPriority w:val="0"/>
    <w:pPr>
      <w:ind w:left="1680" w:leftChars="800"/>
    </w:pPr>
  </w:style>
  <w:style w:type="paragraph" w:styleId="12">
    <w:name w:val="toc 3"/>
    <w:basedOn w:val="1"/>
    <w:next w:val="1"/>
    <w:semiHidden/>
    <w:uiPriority w:val="0"/>
    <w:pPr>
      <w:ind w:left="840" w:leftChars="400"/>
    </w:pPr>
  </w:style>
  <w:style w:type="paragraph" w:styleId="13">
    <w:name w:val="Plain Text"/>
    <w:basedOn w:val="1"/>
    <w:next w:val="1"/>
    <w:link w:val="41"/>
    <w:uiPriority w:val="0"/>
    <w:rPr>
      <w:rFonts w:ascii="宋体" w:hAnsi="Courier New" w:cs="Courier New"/>
      <w:szCs w:val="21"/>
    </w:rPr>
  </w:style>
  <w:style w:type="paragraph" w:styleId="14">
    <w:name w:val="toc 8"/>
    <w:basedOn w:val="1"/>
    <w:next w:val="1"/>
    <w:semiHidden/>
    <w:uiPriority w:val="0"/>
    <w:pPr>
      <w:ind w:left="2940" w:leftChars="1400"/>
    </w:pPr>
  </w:style>
  <w:style w:type="paragraph" w:styleId="15">
    <w:name w:val="Date"/>
    <w:basedOn w:val="1"/>
    <w:next w:val="1"/>
    <w:uiPriority w:val="0"/>
    <w:pPr>
      <w:ind w:left="100" w:leftChars="2500"/>
    </w:pPr>
    <w:rPr>
      <w:rFonts w:ascii="宋体" w:hAnsi="宋体"/>
      <w:color w:val="000000"/>
      <w:sz w:val="24"/>
    </w:rPr>
  </w:style>
  <w:style w:type="paragraph" w:styleId="16">
    <w:name w:val="Balloon Text"/>
    <w:basedOn w:val="1"/>
    <w:semiHidden/>
    <w:uiPriority w:val="0"/>
    <w:rPr>
      <w:sz w:val="18"/>
      <w:szCs w:val="18"/>
    </w:rPr>
  </w:style>
  <w:style w:type="paragraph" w:styleId="17">
    <w:name w:val="footer"/>
    <w:basedOn w:val="1"/>
    <w:uiPriority w:val="0"/>
    <w:pPr>
      <w:tabs>
        <w:tab w:val="center" w:pos="4153"/>
        <w:tab w:val="right" w:pos="8306"/>
      </w:tabs>
      <w:snapToGrid w:val="0"/>
      <w:jc w:val="left"/>
    </w:pPr>
    <w:rPr>
      <w:sz w:val="18"/>
      <w:szCs w:val="18"/>
    </w:rPr>
  </w:style>
  <w:style w:type="paragraph" w:styleId="18">
    <w:name w:val="header"/>
    <w:basedOn w:val="1"/>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9">
    <w:name w:val="toc 1"/>
    <w:basedOn w:val="1"/>
    <w:next w:val="1"/>
    <w:semiHidden/>
    <w:uiPriority w:val="0"/>
  </w:style>
  <w:style w:type="paragraph" w:styleId="20">
    <w:name w:val="toc 4"/>
    <w:basedOn w:val="1"/>
    <w:next w:val="1"/>
    <w:semiHidden/>
    <w:uiPriority w:val="0"/>
    <w:pPr>
      <w:ind w:left="1260" w:leftChars="600"/>
    </w:pPr>
  </w:style>
  <w:style w:type="paragraph" w:styleId="21">
    <w:name w:val="toc 6"/>
    <w:basedOn w:val="1"/>
    <w:next w:val="1"/>
    <w:semiHidden/>
    <w:uiPriority w:val="0"/>
    <w:pPr>
      <w:ind w:left="2100" w:leftChars="1000"/>
    </w:pPr>
  </w:style>
  <w:style w:type="paragraph" w:styleId="22">
    <w:name w:val="Body Text Indent 3"/>
    <w:basedOn w:val="1"/>
    <w:uiPriority w:val="0"/>
    <w:pPr>
      <w:spacing w:after="120"/>
      <w:ind w:left="420" w:leftChars="200"/>
    </w:pPr>
    <w:rPr>
      <w:sz w:val="16"/>
      <w:szCs w:val="16"/>
    </w:rPr>
  </w:style>
  <w:style w:type="paragraph" w:styleId="23">
    <w:name w:val="toc 2"/>
    <w:basedOn w:val="1"/>
    <w:next w:val="1"/>
    <w:semiHidden/>
    <w:uiPriority w:val="0"/>
    <w:pPr>
      <w:ind w:left="420" w:leftChars="200"/>
    </w:pPr>
  </w:style>
  <w:style w:type="paragraph" w:styleId="24">
    <w:name w:val="toc 9"/>
    <w:basedOn w:val="1"/>
    <w:next w:val="1"/>
    <w:semiHidden/>
    <w:uiPriority w:val="0"/>
    <w:pPr>
      <w:ind w:left="3360" w:leftChars="1600"/>
    </w:pPr>
  </w:style>
  <w:style w:type="paragraph" w:styleId="25">
    <w:name w:val="Normal (Web)"/>
    <w:basedOn w:val="1"/>
    <w:uiPriority w:val="99"/>
    <w:pPr>
      <w:widowControl/>
      <w:spacing w:before="100" w:beforeAutospacing="1" w:after="100" w:afterAutospacing="1"/>
      <w:jc w:val="left"/>
    </w:pPr>
    <w:rPr>
      <w:rFonts w:ascii="宋体" w:hAnsi="宋体" w:cs="宋体"/>
      <w:kern w:val="0"/>
      <w:sz w:val="24"/>
    </w:rPr>
  </w:style>
  <w:style w:type="paragraph" w:styleId="26">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Body Text First Indent 2"/>
    <w:basedOn w:val="10"/>
    <w:link w:val="42"/>
    <w:uiPriority w:val="0"/>
    <w:pPr>
      <w:ind w:firstLine="420" w:firstLineChars="200"/>
    </w:pPr>
  </w:style>
  <w:style w:type="character" w:styleId="30">
    <w:name w:val="page number"/>
    <w:basedOn w:val="29"/>
    <w:uiPriority w:val="0"/>
  </w:style>
  <w:style w:type="character" w:styleId="31">
    <w:name w:val="FollowedHyperlink"/>
    <w:uiPriority w:val="0"/>
    <w:rPr>
      <w:color w:val="800080"/>
      <w:u w:val="single"/>
    </w:rPr>
  </w:style>
  <w:style w:type="character" w:styleId="32">
    <w:name w:val="Hyperlink"/>
    <w:uiPriority w:val="0"/>
    <w:rPr>
      <w:color w:val="0000FF"/>
      <w:u w:val="single"/>
    </w:rPr>
  </w:style>
  <w:style w:type="character" w:customStyle="1" w:styleId="33">
    <w:name w:val="普通文字 Char Char Char1"/>
    <w:aliases w:val="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11 Char,普通文字7 Char"/>
    <w:uiPriority w:val="0"/>
    <w:rPr>
      <w:rFonts w:ascii="宋体" w:hAnsi="Courier New" w:eastAsia="宋体"/>
      <w:kern w:val="2"/>
      <w:sz w:val="21"/>
      <w:lang w:val="en-US" w:eastAsia="zh-CN" w:bidi="ar-SA"/>
    </w:rPr>
  </w:style>
  <w:style w:type="character" w:customStyle="1" w:styleId="34">
    <w:name w:val="font21"/>
    <w:basedOn w:val="29"/>
    <w:uiPriority w:val="0"/>
    <w:rPr>
      <w:rFonts w:hint="eastAsia" w:ascii="宋体" w:hAnsi="宋体" w:eastAsia="宋体" w:cs="宋体"/>
      <w:color w:val="000000"/>
      <w:sz w:val="18"/>
      <w:szCs w:val="18"/>
      <w:u w:val="none"/>
    </w:rPr>
  </w:style>
  <w:style w:type="character" w:customStyle="1" w:styleId="35">
    <w:name w:val=" Char Char26"/>
    <w:qFormat/>
    <w:uiPriority w:val="0"/>
    <w:rPr>
      <w:rFonts w:ascii="宋体" w:hAnsi="Courier New" w:eastAsia="宋体" w:cs="Arial"/>
      <w:snapToGrid w:val="0"/>
      <w:kern w:val="2"/>
      <w:sz w:val="21"/>
      <w:szCs w:val="21"/>
      <w:lang w:val="en-US" w:eastAsia="zh-CN" w:bidi="ar-SA"/>
    </w:rPr>
  </w:style>
  <w:style w:type="character" w:customStyle="1" w:styleId="36">
    <w:name w:val="正文文本缩进 Char"/>
    <w:basedOn w:val="29"/>
    <w:link w:val="10"/>
    <w:uiPriority w:val="0"/>
    <w:rPr>
      <w:kern w:val="2"/>
      <w:sz w:val="21"/>
      <w:szCs w:val="24"/>
    </w:rPr>
  </w:style>
  <w:style w:type="character" w:customStyle="1" w:styleId="37">
    <w:name w:val="标题 1 Char"/>
    <w:basedOn w:val="29"/>
    <w:link w:val="4"/>
    <w:uiPriority w:val="0"/>
    <w:rPr>
      <w:rFonts w:ascii="宋体" w:hAnsi="宋体"/>
      <w:b/>
      <w:kern w:val="2"/>
      <w:sz w:val="30"/>
    </w:rPr>
  </w:style>
  <w:style w:type="character" w:customStyle="1" w:styleId="38">
    <w:name w:val="批注文字 Char"/>
    <w:link w:val="8"/>
    <w:uiPriority w:val="0"/>
    <w:rPr>
      <w:kern w:val="2"/>
      <w:sz w:val="21"/>
      <w:szCs w:val="24"/>
      <w:lang w:bidi="ar-SA"/>
    </w:rPr>
  </w:style>
  <w:style w:type="character" w:customStyle="1" w:styleId="39">
    <w:name w:val="正文2 Char Char"/>
    <w:link w:val="40"/>
    <w:qFormat/>
    <w:uiPriority w:val="0"/>
    <w:rPr>
      <w:rFonts w:eastAsia="宋体"/>
      <w:kern w:val="2"/>
      <w:sz w:val="24"/>
      <w:lang w:val="en-US" w:eastAsia="zh-CN" w:bidi="ar-SA"/>
    </w:rPr>
  </w:style>
  <w:style w:type="paragraph" w:customStyle="1" w:styleId="40">
    <w:name w:val="正文2"/>
    <w:basedOn w:val="1"/>
    <w:link w:val="39"/>
    <w:uiPriority w:val="0"/>
    <w:pPr>
      <w:adjustRightInd w:val="0"/>
      <w:spacing w:before="156" w:line="360" w:lineRule="auto"/>
      <w:ind w:firstLine="510" w:firstLineChars="200"/>
    </w:pPr>
    <w:rPr>
      <w:sz w:val="24"/>
      <w:szCs w:val="20"/>
    </w:rPr>
  </w:style>
  <w:style w:type="character" w:customStyle="1" w:styleId="41">
    <w:name w:val="纯文本 Char"/>
    <w:link w:val="13"/>
    <w:locked/>
    <w:uiPriority w:val="0"/>
    <w:rPr>
      <w:rFonts w:ascii="宋体" w:hAnsi="Courier New" w:eastAsia="宋体" w:cs="Courier New"/>
      <w:kern w:val="2"/>
      <w:sz w:val="21"/>
      <w:szCs w:val="21"/>
      <w:lang w:val="en-US" w:eastAsia="zh-CN" w:bidi="ar-SA"/>
    </w:rPr>
  </w:style>
  <w:style w:type="character" w:customStyle="1" w:styleId="42">
    <w:name w:val="正文首行缩进 2 Char"/>
    <w:basedOn w:val="36"/>
    <w:link w:val="27"/>
    <w:uiPriority w:val="0"/>
  </w:style>
  <w:style w:type="character" w:customStyle="1" w:styleId="43">
    <w:name w:val="标题 2 Char"/>
    <w:basedOn w:val="29"/>
    <w:link w:val="2"/>
    <w:uiPriority w:val="0"/>
    <w:rPr>
      <w:rFonts w:ascii="宋体"/>
      <w:b/>
      <w:kern w:val="2"/>
      <w:sz w:val="28"/>
    </w:rPr>
  </w:style>
  <w:style w:type="paragraph" w:customStyle="1" w:styleId="44">
    <w:name w:val="Char Char Char Char1"/>
    <w:basedOn w:val="1"/>
    <w:uiPriority w:val="0"/>
    <w:rPr>
      <w:rFonts w:ascii="Tahoma" w:hAnsi="Tahoma"/>
      <w:sz w:val="24"/>
      <w:szCs w:val="20"/>
    </w:rPr>
  </w:style>
  <w:style w:type="paragraph" w:customStyle="1" w:styleId="45">
    <w:name w:val="Normal"/>
    <w:basedOn w:val="1"/>
    <w:uiPriority w:val="0"/>
    <w:rPr>
      <w:rFonts w:ascii="宋体" w:hAnsi="宋体" w:cs="宋体"/>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45</Pages>
  <Words>3816</Words>
  <Characters>21754</Characters>
  <Lines>181</Lines>
  <Paragraphs>51</Paragraphs>
  <TotalTime>56</TotalTime>
  <ScaleCrop>false</ScaleCrop>
  <LinksUpToDate>false</LinksUpToDate>
  <CharactersWithSpaces>25519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2019-06-26T06:49:00Z</dcterms:created>
  <dc:creator>wxg</dc:creator>
  <cp:lastModifiedBy>＞眺望未来-</cp:lastModifiedBy>
  <cp:lastPrinted>2020-02-27T07:30:13Z</cp:lastPrinted>
  <dcterms:modified xsi:type="dcterms:W3CDTF">2024-01-31T02:53:08Z</dcterms:modified>
  <cp:revision>5</cp:revision>
  <dc:title>采购单位：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C01064F4A049454CA4269EA1928D00D1_13</vt:lpwstr>
  </property>
</Properties>
</file>