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44"/>
          <w:szCs w:val="44"/>
        </w:rPr>
      </w:pPr>
      <w:bookmarkStart w:id="62" w:name="_GoBack"/>
      <w:bookmarkEnd w:id="62"/>
    </w:p>
    <w:p>
      <w:pPr>
        <w:spacing w:line="360" w:lineRule="auto"/>
        <w:ind w:firstLine="480" w:firstLineChars="100"/>
        <w:rPr>
          <w:rFonts w:hint="eastAsia" w:ascii="黑体" w:hAnsi="宋体" w:eastAsia="黑体" w:cs="Arial"/>
          <w:bCs/>
          <w:iCs/>
          <w:color w:val="FF0000"/>
          <w:sz w:val="48"/>
          <w:szCs w:val="44"/>
          <w:u w:val="single"/>
        </w:rPr>
      </w:pPr>
      <w:r>
        <w:rPr>
          <w:rFonts w:hint="eastAsia" w:ascii="黑体" w:hAnsi="宋体" w:eastAsia="黑体" w:cs="Arial"/>
          <w:bCs/>
          <w:iCs/>
          <w:sz w:val="48"/>
          <w:szCs w:val="44"/>
        </w:rPr>
        <w:t>采购单位：</w:t>
      </w:r>
      <w:r>
        <w:rPr>
          <w:rFonts w:hint="eastAsia" w:ascii="黑体" w:hAnsi="宋体" w:eastAsia="黑体" w:cs="Arial"/>
          <w:bCs/>
          <w:iCs/>
          <w:color w:val="000000"/>
          <w:sz w:val="44"/>
          <w:szCs w:val="44"/>
          <w:u w:val="single"/>
        </w:rPr>
        <w:t>绍兴市公安局上虞区分局</w:t>
      </w:r>
    </w:p>
    <w:p>
      <w:pPr>
        <w:spacing w:line="360" w:lineRule="auto"/>
        <w:ind w:firstLine="480" w:firstLineChars="100"/>
        <w:rPr>
          <w:rFonts w:hint="eastAsia" w:ascii="黑体" w:hAnsi="宋体" w:eastAsia="黑体" w:cs="Arial"/>
          <w:bCs/>
          <w:iCs/>
          <w:color w:val="FF0000"/>
          <w:sz w:val="48"/>
          <w:szCs w:val="44"/>
          <w:u w:val="single"/>
        </w:rPr>
      </w:pPr>
    </w:p>
    <w:p>
      <w:pPr>
        <w:spacing w:line="360" w:lineRule="auto"/>
        <w:ind w:left="2878" w:leftChars="228" w:hanging="2400" w:hangingChars="500"/>
        <w:jc w:val="left"/>
        <w:rPr>
          <w:rFonts w:hint="eastAsia" w:ascii="宋体" w:hAnsi="宋体"/>
          <w:b/>
          <w:color w:val="000000"/>
          <w:sz w:val="28"/>
          <w:szCs w:val="28"/>
          <w:u w:val="single"/>
        </w:rPr>
      </w:pPr>
      <w:r>
        <w:rPr>
          <w:rFonts w:hint="eastAsia" w:ascii="黑体" w:hAnsi="宋体" w:eastAsia="黑体" w:cs="Arial"/>
          <w:bCs/>
          <w:iCs/>
          <w:sz w:val="48"/>
          <w:szCs w:val="44"/>
        </w:rPr>
        <w:t>项目名称：</w:t>
      </w:r>
      <w:r>
        <w:rPr>
          <w:rFonts w:hint="eastAsia" w:ascii="宋体" w:hAnsi="宋体"/>
          <w:b/>
          <w:color w:val="000000"/>
          <w:sz w:val="28"/>
          <w:szCs w:val="28"/>
          <w:u w:val="single"/>
        </w:rPr>
        <w:t>治安动态视频监控系统第二期等2019年度到期三个系统升级改造及租赁（租期五年）</w:t>
      </w:r>
    </w:p>
    <w:p>
      <w:pPr>
        <w:spacing w:line="360" w:lineRule="auto"/>
        <w:ind w:left="1978" w:leftChars="228" w:hanging="1500" w:hangingChars="500"/>
        <w:jc w:val="left"/>
        <w:rPr>
          <w:rFonts w:hint="eastAsia"/>
          <w:b/>
          <w:color w:val="000000"/>
          <w:sz w:val="30"/>
          <w:szCs w:val="30"/>
          <w:u w:val="single"/>
        </w:rPr>
      </w:pPr>
    </w:p>
    <w:p>
      <w:pPr>
        <w:spacing w:line="360" w:lineRule="auto"/>
        <w:ind w:left="1978" w:leftChars="228" w:hanging="1500" w:hangingChars="500"/>
        <w:jc w:val="left"/>
        <w:rPr>
          <w:rFonts w:hint="eastAsia"/>
          <w:b/>
          <w:color w:val="000000"/>
          <w:sz w:val="30"/>
          <w:szCs w:val="30"/>
          <w:u w:val="single"/>
        </w:rPr>
      </w:pPr>
    </w:p>
    <w:p>
      <w:pPr>
        <w:spacing w:line="360" w:lineRule="auto"/>
        <w:jc w:val="center"/>
        <w:rPr>
          <w:rFonts w:hint="eastAsia" w:ascii="宋体" w:hAnsi="宋体"/>
          <w:b/>
          <w:bCs/>
          <w:i/>
          <w:iCs/>
          <w:color w:val="000000"/>
          <w:sz w:val="44"/>
          <w:szCs w:val="44"/>
        </w:rPr>
      </w:pPr>
    </w:p>
    <w:p>
      <w:pPr>
        <w:spacing w:line="360" w:lineRule="auto"/>
        <w:jc w:val="center"/>
        <w:rPr>
          <w:rFonts w:ascii="宋体" w:hAnsi="宋体"/>
          <w:b/>
          <w:bCs/>
          <w:color w:val="000000"/>
          <w:sz w:val="44"/>
          <w:szCs w:val="44"/>
        </w:rPr>
      </w:pPr>
    </w:p>
    <w:p>
      <w:pPr>
        <w:spacing w:line="360" w:lineRule="auto"/>
        <w:rPr>
          <w:rFonts w:ascii="宋体" w:hAnsi="宋体"/>
          <w:b/>
          <w:bCs/>
          <w:color w:val="000000"/>
          <w:sz w:val="28"/>
        </w:rPr>
      </w:pPr>
    </w:p>
    <w:p>
      <w:pPr>
        <w:spacing w:line="360" w:lineRule="auto"/>
        <w:jc w:val="center"/>
        <w:rPr>
          <w:rFonts w:hint="eastAsia" w:ascii="黑体" w:hAnsi="宋体" w:eastAsia="黑体"/>
          <w:b/>
          <w:bCs/>
          <w:color w:val="000000"/>
          <w:sz w:val="84"/>
          <w:szCs w:val="44"/>
        </w:rPr>
      </w:pPr>
      <w:r>
        <w:rPr>
          <w:rFonts w:ascii="黑体" w:hAnsi="宋体" w:eastAsia="黑体"/>
          <w:b/>
          <w:bCs/>
          <w:color w:val="000000"/>
          <w:sz w:val="84"/>
          <w:szCs w:val="44"/>
        </w:rPr>
        <w:t>招</w:t>
      </w:r>
      <w:r>
        <w:rPr>
          <w:rFonts w:hint="eastAsia" w:ascii="黑体" w:hAnsi="宋体" w:eastAsia="黑体"/>
          <w:b/>
          <w:bCs/>
          <w:color w:val="000000"/>
          <w:sz w:val="84"/>
          <w:szCs w:val="44"/>
        </w:rPr>
        <w:t xml:space="preserve">  </w:t>
      </w:r>
      <w:r>
        <w:rPr>
          <w:rFonts w:ascii="黑体" w:hAnsi="宋体" w:eastAsia="黑体"/>
          <w:b/>
          <w:bCs/>
          <w:color w:val="000000"/>
          <w:sz w:val="84"/>
          <w:szCs w:val="44"/>
        </w:rPr>
        <w:t>标</w:t>
      </w:r>
      <w:r>
        <w:rPr>
          <w:rFonts w:hint="eastAsia" w:ascii="黑体" w:hAnsi="宋体" w:eastAsia="黑体"/>
          <w:b/>
          <w:bCs/>
          <w:color w:val="000000"/>
          <w:sz w:val="84"/>
          <w:szCs w:val="44"/>
        </w:rPr>
        <w:t xml:space="preserve">  </w:t>
      </w:r>
      <w:r>
        <w:rPr>
          <w:rFonts w:ascii="黑体" w:hAnsi="宋体" w:eastAsia="黑体"/>
          <w:b/>
          <w:bCs/>
          <w:color w:val="000000"/>
          <w:sz w:val="84"/>
          <w:szCs w:val="44"/>
        </w:rPr>
        <w:t>文</w:t>
      </w:r>
      <w:r>
        <w:rPr>
          <w:rFonts w:hint="eastAsia" w:ascii="黑体" w:hAnsi="宋体" w:eastAsia="黑体"/>
          <w:b/>
          <w:bCs/>
          <w:color w:val="000000"/>
          <w:sz w:val="84"/>
          <w:szCs w:val="44"/>
        </w:rPr>
        <w:t xml:space="preserve">  </w:t>
      </w:r>
      <w:r>
        <w:rPr>
          <w:rFonts w:ascii="黑体" w:hAnsi="宋体" w:eastAsia="黑体"/>
          <w:b/>
          <w:bCs/>
          <w:color w:val="000000"/>
          <w:sz w:val="84"/>
          <w:szCs w:val="44"/>
        </w:rPr>
        <w:t>件</w:t>
      </w:r>
    </w:p>
    <w:p>
      <w:pPr>
        <w:spacing w:line="360" w:lineRule="auto"/>
        <w:jc w:val="center"/>
        <w:rPr>
          <w:rFonts w:hint="eastAsia" w:ascii="宋体" w:hAnsi="宋体"/>
          <w:b/>
          <w:bCs/>
          <w:color w:val="000000"/>
          <w:sz w:val="52"/>
          <w:szCs w:val="44"/>
        </w:rPr>
      </w:pPr>
    </w:p>
    <w:p>
      <w:pPr>
        <w:spacing w:line="360" w:lineRule="auto"/>
        <w:jc w:val="center"/>
        <w:rPr>
          <w:rFonts w:hint="eastAsia" w:ascii="宋体" w:hAnsi="宋体"/>
          <w:b/>
          <w:color w:val="000000"/>
          <w:sz w:val="32"/>
          <w:szCs w:val="44"/>
        </w:rPr>
      </w:pPr>
      <w:r>
        <w:rPr>
          <w:rFonts w:ascii="宋体" w:hAnsi="宋体"/>
          <w:b/>
          <w:color w:val="000000"/>
          <w:sz w:val="32"/>
          <w:szCs w:val="44"/>
        </w:rPr>
        <w:t xml:space="preserve">招标编号： </w:t>
      </w:r>
      <w:r>
        <w:rPr>
          <w:rFonts w:hint="eastAsia" w:ascii="宋体" w:hAnsi="宋体"/>
          <w:b/>
          <w:color w:val="000000"/>
          <w:sz w:val="32"/>
          <w:szCs w:val="44"/>
        </w:rPr>
        <w:t>GZ2018163</w:t>
      </w:r>
    </w:p>
    <w:p>
      <w:pPr>
        <w:spacing w:line="360" w:lineRule="auto"/>
        <w:rPr>
          <w:rFonts w:ascii="宋体" w:hAnsi="宋体"/>
          <w:b/>
          <w:bCs/>
          <w:color w:val="000000"/>
          <w:sz w:val="52"/>
        </w:rPr>
      </w:pPr>
    </w:p>
    <w:p>
      <w:pPr>
        <w:spacing w:line="360" w:lineRule="auto"/>
        <w:rPr>
          <w:rFonts w:ascii="宋体" w:hAnsi="宋体"/>
          <w:b/>
          <w:bCs/>
          <w:color w:val="000000"/>
          <w:sz w:val="28"/>
        </w:rPr>
      </w:pPr>
    </w:p>
    <w:p>
      <w:pPr>
        <w:spacing w:line="360" w:lineRule="auto"/>
        <w:rPr>
          <w:rFonts w:ascii="宋体" w:hAnsi="宋体"/>
          <w:b/>
          <w:bCs/>
          <w:color w:val="000000"/>
          <w:sz w:val="28"/>
        </w:rPr>
      </w:pPr>
    </w:p>
    <w:p>
      <w:pPr>
        <w:spacing w:line="360" w:lineRule="auto"/>
        <w:rPr>
          <w:rFonts w:ascii="宋体" w:hAnsi="宋体"/>
          <w:b/>
          <w:bCs/>
          <w:color w:val="000000"/>
          <w:sz w:val="28"/>
        </w:rPr>
      </w:pPr>
    </w:p>
    <w:p>
      <w:pPr>
        <w:spacing w:line="360" w:lineRule="auto"/>
        <w:jc w:val="center"/>
        <w:rPr>
          <w:rFonts w:ascii="宋体" w:hAnsi="宋体"/>
          <w:b/>
          <w:bCs/>
          <w:color w:val="000000"/>
          <w:spacing w:val="80"/>
          <w:sz w:val="36"/>
        </w:rPr>
      </w:pPr>
    </w:p>
    <w:p>
      <w:pPr>
        <w:spacing w:line="360" w:lineRule="auto"/>
        <w:jc w:val="center"/>
        <w:rPr>
          <w:rFonts w:ascii="宋体" w:hAnsi="宋体"/>
          <w:b/>
          <w:bCs/>
          <w:color w:val="000000"/>
          <w:spacing w:val="80"/>
          <w:sz w:val="36"/>
          <w:szCs w:val="36"/>
        </w:rPr>
      </w:pPr>
      <w:r>
        <w:rPr>
          <w:rFonts w:hint="eastAsia" w:ascii="宋体" w:hAnsi="宋体" w:cs="Arial"/>
          <w:b/>
          <w:bCs/>
          <w:iCs/>
          <w:color w:val="000000"/>
          <w:sz w:val="36"/>
          <w:szCs w:val="36"/>
        </w:rPr>
        <w:t>绍兴市公安局上虞区分局</w:t>
      </w:r>
    </w:p>
    <w:p>
      <w:pPr>
        <w:spacing w:line="360" w:lineRule="auto"/>
        <w:jc w:val="center"/>
        <w:rPr>
          <w:rFonts w:hint="eastAsia" w:ascii="宋体" w:hAnsi="宋体"/>
          <w:b/>
          <w:color w:val="000000"/>
          <w:sz w:val="32"/>
        </w:rPr>
      </w:pPr>
      <w:r>
        <w:rPr>
          <w:rFonts w:ascii="宋体" w:hAnsi="宋体"/>
          <w:b/>
          <w:bCs/>
          <w:color w:val="000000"/>
          <w:sz w:val="36"/>
        </w:rPr>
        <w:t>绍兴市上虞区公共资源交易中心</w:t>
      </w:r>
    </w:p>
    <w:p>
      <w:pPr>
        <w:spacing w:line="360" w:lineRule="auto"/>
        <w:jc w:val="center"/>
        <w:rPr>
          <w:rFonts w:hint="eastAsia" w:ascii="宋体" w:hAnsi="宋体"/>
          <w:b/>
          <w:color w:val="000000"/>
          <w:sz w:val="32"/>
        </w:rPr>
      </w:pPr>
      <w:r>
        <w:rPr>
          <w:rFonts w:hint="eastAsia" w:ascii="宋体" w:hAnsi="宋体"/>
          <w:b/>
          <w:color w:val="000000"/>
          <w:sz w:val="32"/>
        </w:rPr>
        <w:t>招标文件目录</w:t>
      </w:r>
    </w:p>
    <w:p>
      <w:pPr>
        <w:pStyle w:val="34"/>
        <w:tabs>
          <w:tab w:val="right" w:leader="dot" w:pos="8495"/>
        </w:tabs>
        <w:rPr>
          <w:rFonts w:ascii="Times New Roman" w:hAnsi="Times New Roman"/>
          <w:lang/>
        </w:rPr>
      </w:pPr>
      <w:bookmarkStart w:id="0" w:name="_Toc130094904"/>
      <w:r>
        <w:rPr>
          <w:sz w:val="24"/>
        </w:rPr>
        <w:fldChar w:fldCharType="begin"/>
      </w:r>
      <w:r>
        <w:rPr>
          <w:sz w:val="24"/>
        </w:rPr>
        <w:instrText xml:space="preserve"> TOC \o "1-3" \h \z \u </w:instrText>
      </w:r>
      <w:r>
        <w:rPr>
          <w:sz w:val="24"/>
        </w:rPr>
        <w:fldChar w:fldCharType="separate"/>
      </w:r>
      <w:r>
        <w:rPr>
          <w:rStyle w:val="62"/>
          <w:lang/>
        </w:rPr>
        <w:fldChar w:fldCharType="begin"/>
      </w:r>
      <w:r>
        <w:rPr>
          <w:rStyle w:val="62"/>
          <w:lang/>
        </w:rPr>
        <w:instrText xml:space="preserve"> </w:instrText>
      </w:r>
      <w:r>
        <w:rPr>
          <w:lang/>
        </w:rPr>
        <w:instrText xml:space="preserve">HYPERLINK \l "_Toc2852576"</w:instrText>
      </w:r>
      <w:r>
        <w:rPr>
          <w:rStyle w:val="62"/>
          <w:lang/>
        </w:rPr>
        <w:instrText xml:space="preserve"> </w:instrText>
      </w:r>
      <w:r>
        <w:rPr>
          <w:rStyle w:val="62"/>
          <w:lang/>
        </w:rPr>
        <w:fldChar w:fldCharType="separate"/>
      </w:r>
      <w:r>
        <w:rPr>
          <w:rStyle w:val="62"/>
          <w:rFonts w:hint="eastAsia" w:ascii="黑体" w:eastAsia="黑体"/>
          <w:lang/>
        </w:rPr>
        <w:t>第一部分</w:t>
      </w:r>
      <w:r>
        <w:rPr>
          <w:rStyle w:val="62"/>
          <w:rFonts w:ascii="黑体" w:eastAsia="黑体"/>
          <w:lang/>
        </w:rPr>
        <w:t xml:space="preserve">   </w:t>
      </w:r>
      <w:r>
        <w:rPr>
          <w:rStyle w:val="62"/>
          <w:rFonts w:hint="eastAsia" w:ascii="黑体" w:eastAsia="黑体"/>
          <w:lang/>
        </w:rPr>
        <w:t>招标公告</w:t>
      </w:r>
      <w:r>
        <w:rPr>
          <w:lang/>
        </w:rPr>
        <w:tab/>
      </w:r>
      <w:r>
        <w:rPr>
          <w:lang/>
        </w:rPr>
        <w:fldChar w:fldCharType="begin"/>
      </w:r>
      <w:r>
        <w:rPr>
          <w:lang/>
        </w:rPr>
        <w:instrText xml:space="preserve"> PAGEREF _Toc2852576 \h </w:instrText>
      </w:r>
      <w:r>
        <w:rPr>
          <w:lang/>
        </w:rPr>
        <w:fldChar w:fldCharType="separate"/>
      </w:r>
      <w:r>
        <w:rPr>
          <w:lang/>
        </w:rPr>
        <w:t>3</w:t>
      </w:r>
      <w:r>
        <w:rPr>
          <w:lang/>
        </w:rPr>
        <w:fldChar w:fldCharType="end"/>
      </w:r>
      <w:r>
        <w:rPr>
          <w:rStyle w:val="62"/>
          <w:lang/>
        </w:rPr>
        <w:fldChar w:fldCharType="end"/>
      </w:r>
    </w:p>
    <w:p>
      <w:pPr>
        <w:pStyle w:val="34"/>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"_Toc2852577"</w:instrText>
      </w:r>
      <w:r>
        <w:rPr>
          <w:rStyle w:val="62"/>
          <w:lang/>
        </w:rPr>
        <w:instrText xml:space="preserve"> </w:instrText>
      </w:r>
      <w:r>
        <w:rPr>
          <w:rStyle w:val="62"/>
          <w:lang/>
        </w:rPr>
        <w:fldChar w:fldCharType="separate"/>
      </w:r>
      <w:r>
        <w:rPr>
          <w:rStyle w:val="62"/>
          <w:rFonts w:hint="eastAsia" w:ascii="黑体" w:eastAsia="黑体"/>
          <w:lang/>
        </w:rPr>
        <w:t>第二部分</w:t>
      </w:r>
      <w:r>
        <w:rPr>
          <w:rStyle w:val="62"/>
          <w:rFonts w:ascii="黑体" w:eastAsia="黑体"/>
          <w:lang/>
        </w:rPr>
        <w:t xml:space="preserve">   </w:t>
      </w:r>
      <w:r>
        <w:rPr>
          <w:rStyle w:val="62"/>
          <w:rFonts w:hint="eastAsia" w:ascii="黑体" w:eastAsia="黑体"/>
          <w:lang/>
        </w:rPr>
        <w:t>投标人须知</w:t>
      </w:r>
      <w:r>
        <w:rPr>
          <w:lang/>
        </w:rPr>
        <w:tab/>
      </w:r>
      <w:r>
        <w:rPr>
          <w:lang/>
        </w:rPr>
        <w:fldChar w:fldCharType="begin"/>
      </w:r>
      <w:r>
        <w:rPr>
          <w:lang/>
        </w:rPr>
        <w:instrText xml:space="preserve"> PAGEREF _Toc2852577 \h </w:instrText>
      </w:r>
      <w:r>
        <w:rPr>
          <w:lang/>
        </w:rPr>
        <w:fldChar w:fldCharType="separate"/>
      </w:r>
      <w:r>
        <w:rPr>
          <w:lang/>
        </w:rPr>
        <w:t>6</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"_Toc2852578"</w:instrText>
      </w:r>
      <w:r>
        <w:rPr>
          <w:rStyle w:val="62"/>
          <w:lang/>
        </w:rPr>
        <w:instrText xml:space="preserve"> </w:instrText>
      </w:r>
      <w:r>
        <w:rPr>
          <w:rStyle w:val="62"/>
          <w:lang/>
        </w:rPr>
        <w:fldChar w:fldCharType="separate"/>
      </w:r>
      <w:r>
        <w:rPr>
          <w:rStyle w:val="62"/>
          <w:rFonts w:hint="eastAsia" w:hAnsi="宋体"/>
          <w:lang/>
        </w:rPr>
        <w:t>投标人须知前附表</w:t>
      </w:r>
      <w:r>
        <w:rPr>
          <w:lang/>
        </w:rPr>
        <w:tab/>
      </w:r>
      <w:r>
        <w:rPr>
          <w:lang/>
        </w:rPr>
        <w:fldChar w:fldCharType="begin"/>
      </w:r>
      <w:r>
        <w:rPr>
          <w:lang/>
        </w:rPr>
        <w:instrText xml:space="preserve"> PAGEREF _Toc2852578 \h </w:instrText>
      </w:r>
      <w:r>
        <w:rPr>
          <w:lang/>
        </w:rPr>
        <w:fldChar w:fldCharType="separate"/>
      </w:r>
      <w:r>
        <w:rPr>
          <w:lang/>
        </w:rPr>
        <w:t>6</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"_Toc2852579"</w:instrText>
      </w:r>
      <w:r>
        <w:rPr>
          <w:rStyle w:val="62"/>
          <w:lang/>
        </w:rPr>
        <w:instrText xml:space="preserve"> </w:instrText>
      </w:r>
      <w:r>
        <w:rPr>
          <w:rStyle w:val="62"/>
          <w:lang/>
        </w:rPr>
        <w:fldChar w:fldCharType="separate"/>
      </w:r>
      <w:r>
        <w:rPr>
          <w:rStyle w:val="62"/>
          <w:rFonts w:hint="eastAsia" w:hAnsi="宋体"/>
          <w:lang/>
        </w:rPr>
        <w:t>第一章　说明</w:t>
      </w:r>
      <w:r>
        <w:rPr>
          <w:lang/>
        </w:rPr>
        <w:tab/>
      </w:r>
      <w:r>
        <w:rPr>
          <w:lang/>
        </w:rPr>
        <w:fldChar w:fldCharType="begin"/>
      </w:r>
      <w:r>
        <w:rPr>
          <w:lang/>
        </w:rPr>
        <w:instrText xml:space="preserve"> PAGEREF _Toc2852579 \h </w:instrText>
      </w:r>
      <w:r>
        <w:rPr>
          <w:lang/>
        </w:rPr>
        <w:fldChar w:fldCharType="separate"/>
      </w:r>
      <w:r>
        <w:rPr>
          <w:lang/>
        </w:rPr>
        <w:t>7</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"_Toc2852580"</w:instrText>
      </w:r>
      <w:r>
        <w:rPr>
          <w:rStyle w:val="62"/>
          <w:lang/>
        </w:rPr>
        <w:instrText xml:space="preserve"> </w:instrText>
      </w:r>
      <w:r>
        <w:rPr>
          <w:rStyle w:val="62"/>
          <w:lang/>
        </w:rPr>
        <w:fldChar w:fldCharType="separate"/>
      </w:r>
      <w:r>
        <w:rPr>
          <w:rStyle w:val="62"/>
          <w:rFonts w:hint="eastAsia" w:hAnsi="宋体"/>
          <w:lang/>
        </w:rPr>
        <w:t>第二章　招标文件</w:t>
      </w:r>
      <w:r>
        <w:rPr>
          <w:lang/>
        </w:rPr>
        <w:tab/>
      </w:r>
      <w:r>
        <w:rPr>
          <w:lang/>
        </w:rPr>
        <w:fldChar w:fldCharType="begin"/>
      </w:r>
      <w:r>
        <w:rPr>
          <w:lang/>
        </w:rPr>
        <w:instrText xml:space="preserve"> PAGEREF _Toc2852580 \h </w:instrText>
      </w:r>
      <w:r>
        <w:rPr>
          <w:lang/>
        </w:rPr>
        <w:fldChar w:fldCharType="separate"/>
      </w:r>
      <w:r>
        <w:rPr>
          <w:lang/>
        </w:rPr>
        <w:t>8</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"_Toc2852581"</w:instrText>
      </w:r>
      <w:r>
        <w:rPr>
          <w:rStyle w:val="62"/>
          <w:lang/>
        </w:rPr>
        <w:instrText xml:space="preserve"> </w:instrText>
      </w:r>
      <w:r>
        <w:rPr>
          <w:rStyle w:val="62"/>
          <w:lang/>
        </w:rPr>
        <w:fldChar w:fldCharType="separate"/>
      </w:r>
      <w:r>
        <w:rPr>
          <w:rStyle w:val="62"/>
          <w:rFonts w:hint="eastAsia" w:hAnsi="宋体"/>
          <w:lang/>
        </w:rPr>
        <w:t>第三章　投标文件</w:t>
      </w:r>
      <w:r>
        <w:rPr>
          <w:lang/>
        </w:rPr>
        <w:tab/>
      </w:r>
      <w:r>
        <w:rPr>
          <w:lang/>
        </w:rPr>
        <w:fldChar w:fldCharType="begin"/>
      </w:r>
      <w:r>
        <w:rPr>
          <w:lang/>
        </w:rPr>
        <w:instrText xml:space="preserve"> PAGEREF _Toc2852581 \h </w:instrText>
      </w:r>
      <w:r>
        <w:rPr>
          <w:lang/>
        </w:rPr>
        <w:fldChar w:fldCharType="separate"/>
      </w:r>
      <w:r>
        <w:rPr>
          <w:lang/>
        </w:rPr>
        <w:t>9</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"_Toc2852582"</w:instrText>
      </w:r>
      <w:r>
        <w:rPr>
          <w:rStyle w:val="62"/>
          <w:lang/>
        </w:rPr>
        <w:instrText xml:space="preserve"> </w:instrText>
      </w:r>
      <w:r>
        <w:rPr>
          <w:rStyle w:val="62"/>
          <w:lang/>
        </w:rPr>
        <w:fldChar w:fldCharType="separate"/>
      </w:r>
      <w:r>
        <w:rPr>
          <w:rStyle w:val="62"/>
          <w:rFonts w:hint="eastAsia" w:hAnsi="宋体"/>
          <w:lang/>
        </w:rPr>
        <w:t>第四章　投标文件的递交</w:t>
      </w:r>
      <w:r>
        <w:rPr>
          <w:lang/>
        </w:rPr>
        <w:tab/>
      </w:r>
      <w:r>
        <w:rPr>
          <w:lang/>
        </w:rPr>
        <w:fldChar w:fldCharType="begin"/>
      </w:r>
      <w:r>
        <w:rPr>
          <w:lang/>
        </w:rPr>
        <w:instrText xml:space="preserve"> PAGEREF _Toc2852582 \h </w:instrText>
      </w:r>
      <w:r>
        <w:rPr>
          <w:lang/>
        </w:rPr>
        <w:fldChar w:fldCharType="separate"/>
      </w:r>
      <w:r>
        <w:rPr>
          <w:lang/>
        </w:rPr>
        <w:t>13</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"_Toc2852583"</w:instrText>
      </w:r>
      <w:r>
        <w:rPr>
          <w:rStyle w:val="62"/>
          <w:lang/>
        </w:rPr>
        <w:instrText xml:space="preserve"> </w:instrText>
      </w:r>
      <w:r>
        <w:rPr>
          <w:rStyle w:val="62"/>
          <w:lang/>
        </w:rPr>
        <w:fldChar w:fldCharType="separate"/>
      </w:r>
      <w:r>
        <w:rPr>
          <w:rStyle w:val="62"/>
          <w:rFonts w:hint="eastAsia" w:hAnsi="宋体"/>
          <w:lang/>
        </w:rPr>
        <w:t>第五章　开标、评标和定标</w:t>
      </w:r>
      <w:r>
        <w:rPr>
          <w:lang/>
        </w:rPr>
        <w:tab/>
      </w:r>
      <w:r>
        <w:rPr>
          <w:lang/>
        </w:rPr>
        <w:fldChar w:fldCharType="begin"/>
      </w:r>
      <w:r>
        <w:rPr>
          <w:lang/>
        </w:rPr>
        <w:instrText xml:space="preserve"> PAGEREF _Toc2852583 \h </w:instrText>
      </w:r>
      <w:r>
        <w:rPr>
          <w:lang/>
        </w:rPr>
        <w:fldChar w:fldCharType="separate"/>
      </w:r>
      <w:r>
        <w:rPr>
          <w:lang/>
        </w:rPr>
        <w:t>13</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"_Toc2852584"</w:instrText>
      </w:r>
      <w:r>
        <w:rPr>
          <w:rStyle w:val="62"/>
          <w:lang/>
        </w:rPr>
        <w:instrText xml:space="preserve"> </w:instrText>
      </w:r>
      <w:r>
        <w:rPr>
          <w:rStyle w:val="62"/>
          <w:lang/>
        </w:rPr>
        <w:fldChar w:fldCharType="separate"/>
      </w:r>
      <w:r>
        <w:rPr>
          <w:rStyle w:val="62"/>
          <w:rFonts w:hint="eastAsia" w:hAnsi="宋体"/>
          <w:lang/>
        </w:rPr>
        <w:t>第六章　授予合同</w:t>
      </w:r>
      <w:r>
        <w:rPr>
          <w:lang/>
        </w:rPr>
        <w:tab/>
      </w:r>
      <w:r>
        <w:rPr>
          <w:lang/>
        </w:rPr>
        <w:fldChar w:fldCharType="begin"/>
      </w:r>
      <w:r>
        <w:rPr>
          <w:lang/>
        </w:rPr>
        <w:instrText xml:space="preserve"> PAGEREF _Toc2852584 \h </w:instrText>
      </w:r>
      <w:r>
        <w:rPr>
          <w:lang/>
        </w:rPr>
        <w:fldChar w:fldCharType="separate"/>
      </w:r>
      <w:r>
        <w:rPr>
          <w:lang/>
        </w:rPr>
        <w:t>18</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"_Toc2852585"</w:instrText>
      </w:r>
      <w:r>
        <w:rPr>
          <w:rStyle w:val="62"/>
          <w:lang/>
        </w:rPr>
        <w:instrText xml:space="preserve"> </w:instrText>
      </w:r>
      <w:r>
        <w:rPr>
          <w:rStyle w:val="62"/>
          <w:lang/>
        </w:rPr>
        <w:fldChar w:fldCharType="separate"/>
      </w:r>
      <w:r>
        <w:rPr>
          <w:rStyle w:val="62"/>
          <w:rFonts w:hint="eastAsia"/>
          <w:lang/>
        </w:rPr>
        <w:t>第七章　质疑与投诉</w:t>
      </w:r>
      <w:r>
        <w:rPr>
          <w:lang/>
        </w:rPr>
        <w:tab/>
      </w:r>
      <w:r>
        <w:rPr>
          <w:lang/>
        </w:rPr>
        <w:fldChar w:fldCharType="begin"/>
      </w:r>
      <w:r>
        <w:rPr>
          <w:lang/>
        </w:rPr>
        <w:instrText xml:space="preserve"> PAGEREF _Toc2852585 \h </w:instrText>
      </w:r>
      <w:r>
        <w:rPr>
          <w:lang/>
        </w:rPr>
        <w:fldChar w:fldCharType="separate"/>
      </w:r>
      <w:r>
        <w:rPr>
          <w:lang/>
        </w:rPr>
        <w:t>19</w:t>
      </w:r>
      <w:r>
        <w:rPr>
          <w:lang/>
        </w:rPr>
        <w:fldChar w:fldCharType="end"/>
      </w:r>
      <w:r>
        <w:rPr>
          <w:rStyle w:val="62"/>
          <w:lang/>
        </w:rPr>
        <w:fldChar w:fldCharType="end"/>
      </w:r>
    </w:p>
    <w:p>
      <w:pPr>
        <w:pStyle w:val="34"/>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"_Toc2852586"</w:instrText>
      </w:r>
      <w:r>
        <w:rPr>
          <w:rStyle w:val="62"/>
          <w:lang/>
        </w:rPr>
        <w:instrText xml:space="preserve"> </w:instrText>
      </w:r>
      <w:r>
        <w:rPr>
          <w:rStyle w:val="62"/>
          <w:lang/>
        </w:rPr>
        <w:fldChar w:fldCharType="separate"/>
      </w:r>
      <w:r>
        <w:rPr>
          <w:rStyle w:val="62"/>
          <w:rFonts w:hint="eastAsia" w:ascii="黑体" w:eastAsia="黑体"/>
          <w:lang/>
        </w:rPr>
        <w:t>第三部分　评标办法和评分标准</w:t>
      </w:r>
      <w:r>
        <w:rPr>
          <w:lang/>
        </w:rPr>
        <w:tab/>
      </w:r>
      <w:r>
        <w:rPr>
          <w:lang/>
        </w:rPr>
        <w:fldChar w:fldCharType="begin"/>
      </w:r>
      <w:r>
        <w:rPr>
          <w:lang/>
        </w:rPr>
        <w:instrText xml:space="preserve"> PAGEREF _Toc2852586 \h </w:instrText>
      </w:r>
      <w:r>
        <w:rPr>
          <w:lang/>
        </w:rPr>
        <w:fldChar w:fldCharType="separate"/>
      </w:r>
      <w:r>
        <w:rPr>
          <w:lang/>
        </w:rPr>
        <w:t>22</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"_Toc2852587"</w:instrText>
      </w:r>
      <w:r>
        <w:rPr>
          <w:rStyle w:val="62"/>
          <w:lang/>
        </w:rPr>
        <w:instrText xml:space="preserve"> </w:instrText>
      </w:r>
      <w:r>
        <w:rPr>
          <w:rStyle w:val="62"/>
          <w:lang/>
        </w:rPr>
        <w:fldChar w:fldCharType="separate"/>
      </w:r>
      <w:r>
        <w:rPr>
          <w:rStyle w:val="62"/>
          <w:rFonts w:hint="eastAsia"/>
          <w:lang/>
        </w:rPr>
        <w:t>第一章　评标办法</w:t>
      </w:r>
      <w:r>
        <w:rPr>
          <w:lang/>
        </w:rPr>
        <w:tab/>
      </w:r>
      <w:r>
        <w:rPr>
          <w:lang/>
        </w:rPr>
        <w:fldChar w:fldCharType="begin"/>
      </w:r>
      <w:r>
        <w:rPr>
          <w:lang/>
        </w:rPr>
        <w:instrText xml:space="preserve"> PAGEREF _Toc2852587 \h </w:instrText>
      </w:r>
      <w:r>
        <w:rPr>
          <w:lang/>
        </w:rPr>
        <w:fldChar w:fldCharType="separate"/>
      </w:r>
      <w:r>
        <w:rPr>
          <w:lang/>
        </w:rPr>
        <w:t>22</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"_Toc2852588"</w:instrText>
      </w:r>
      <w:r>
        <w:rPr>
          <w:rStyle w:val="62"/>
          <w:lang/>
        </w:rPr>
        <w:instrText xml:space="preserve"> </w:instrText>
      </w:r>
      <w:r>
        <w:rPr>
          <w:rStyle w:val="62"/>
          <w:lang/>
        </w:rPr>
        <w:fldChar w:fldCharType="separate"/>
      </w:r>
      <w:r>
        <w:rPr>
          <w:rStyle w:val="62"/>
          <w:rFonts w:hint="eastAsia"/>
          <w:lang/>
        </w:rPr>
        <w:t>第二章　评分标准</w:t>
      </w:r>
      <w:r>
        <w:rPr>
          <w:lang/>
        </w:rPr>
        <w:tab/>
      </w:r>
      <w:r>
        <w:rPr>
          <w:lang/>
        </w:rPr>
        <w:fldChar w:fldCharType="begin"/>
      </w:r>
      <w:r>
        <w:rPr>
          <w:lang/>
        </w:rPr>
        <w:instrText xml:space="preserve"> PAGEREF _Toc2852588 \h </w:instrText>
      </w:r>
      <w:r>
        <w:rPr>
          <w:lang/>
        </w:rPr>
        <w:fldChar w:fldCharType="separate"/>
      </w:r>
      <w:r>
        <w:rPr>
          <w:lang/>
        </w:rPr>
        <w:t>24</w:t>
      </w:r>
      <w:r>
        <w:rPr>
          <w:lang/>
        </w:rPr>
        <w:fldChar w:fldCharType="end"/>
      </w:r>
      <w:r>
        <w:rPr>
          <w:rStyle w:val="62"/>
          <w:lang/>
        </w:rPr>
        <w:fldChar w:fldCharType="end"/>
      </w:r>
    </w:p>
    <w:p>
      <w:pPr>
        <w:pStyle w:val="34"/>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"_Toc2852589"</w:instrText>
      </w:r>
      <w:r>
        <w:rPr>
          <w:rStyle w:val="62"/>
          <w:lang/>
        </w:rPr>
        <w:instrText xml:space="preserve"> </w:instrText>
      </w:r>
      <w:r>
        <w:rPr>
          <w:rStyle w:val="62"/>
          <w:lang/>
        </w:rPr>
        <w:fldChar w:fldCharType="separate"/>
      </w:r>
      <w:r>
        <w:rPr>
          <w:rStyle w:val="62"/>
          <w:rFonts w:hint="eastAsia" w:ascii="黑体" w:eastAsia="黑体"/>
          <w:lang/>
        </w:rPr>
        <w:t>第四部分</w:t>
      </w:r>
      <w:r>
        <w:rPr>
          <w:rStyle w:val="62"/>
          <w:rFonts w:ascii="黑体" w:eastAsia="黑体"/>
          <w:lang/>
        </w:rPr>
        <w:t xml:space="preserve"> </w:t>
      </w:r>
      <w:r>
        <w:rPr>
          <w:rStyle w:val="62"/>
          <w:rFonts w:hint="eastAsia" w:ascii="黑体" w:eastAsia="黑体"/>
          <w:lang/>
        </w:rPr>
        <w:t>招标采购内容与技术规格书</w:t>
      </w:r>
      <w:r>
        <w:rPr>
          <w:lang/>
        </w:rPr>
        <w:tab/>
      </w:r>
      <w:r>
        <w:rPr>
          <w:lang/>
        </w:rPr>
        <w:fldChar w:fldCharType="begin"/>
      </w:r>
      <w:r>
        <w:rPr>
          <w:lang/>
        </w:rPr>
        <w:instrText xml:space="preserve"> PAGEREF _Toc2852589 \h </w:instrText>
      </w:r>
      <w:r>
        <w:rPr>
          <w:lang/>
        </w:rPr>
        <w:fldChar w:fldCharType="separate"/>
      </w:r>
      <w:r>
        <w:rPr>
          <w:lang/>
        </w:rPr>
        <w:t>27</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"_Toc2852590"</w:instrText>
      </w:r>
      <w:r>
        <w:rPr>
          <w:rStyle w:val="62"/>
          <w:lang/>
        </w:rPr>
        <w:instrText xml:space="preserve"> </w:instrText>
      </w:r>
      <w:r>
        <w:rPr>
          <w:rStyle w:val="62"/>
          <w:lang/>
        </w:rPr>
        <w:fldChar w:fldCharType="separate"/>
      </w:r>
      <w:r>
        <w:rPr>
          <w:rStyle w:val="62"/>
          <w:rFonts w:hint="eastAsia"/>
          <w:kern w:val="0"/>
          <w:lang/>
        </w:rPr>
        <w:t>第一章　技术规范及要求</w:t>
      </w:r>
      <w:r>
        <w:rPr>
          <w:lang/>
        </w:rPr>
        <w:tab/>
      </w:r>
      <w:r>
        <w:rPr>
          <w:lang/>
        </w:rPr>
        <w:fldChar w:fldCharType="begin"/>
      </w:r>
      <w:r>
        <w:rPr>
          <w:lang/>
        </w:rPr>
        <w:instrText xml:space="preserve"> PAGEREF _Toc2852590 \h </w:instrText>
      </w:r>
      <w:r>
        <w:rPr>
          <w:lang/>
        </w:rPr>
        <w:fldChar w:fldCharType="separate"/>
      </w:r>
      <w:r>
        <w:rPr>
          <w:lang/>
        </w:rPr>
        <w:t>27</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"_Toc2852591"</w:instrText>
      </w:r>
      <w:r>
        <w:rPr>
          <w:rStyle w:val="62"/>
          <w:lang/>
        </w:rPr>
        <w:instrText xml:space="preserve"> </w:instrText>
      </w:r>
      <w:r>
        <w:rPr>
          <w:rStyle w:val="62"/>
          <w:lang/>
        </w:rPr>
        <w:fldChar w:fldCharType="separate"/>
      </w:r>
      <w:r>
        <w:rPr>
          <w:rStyle w:val="62"/>
          <w:rFonts w:hint="eastAsia"/>
          <w:kern w:val="0"/>
          <w:lang/>
        </w:rPr>
        <w:t>第二章　供货范围及要求</w:t>
      </w:r>
      <w:r>
        <w:rPr>
          <w:lang/>
        </w:rPr>
        <w:tab/>
      </w:r>
      <w:r>
        <w:rPr>
          <w:lang/>
        </w:rPr>
        <w:fldChar w:fldCharType="begin"/>
      </w:r>
      <w:r>
        <w:rPr>
          <w:lang/>
        </w:rPr>
        <w:instrText xml:space="preserve"> PAGEREF _Toc2852591 \h </w:instrText>
      </w:r>
      <w:r>
        <w:rPr>
          <w:lang/>
        </w:rPr>
        <w:fldChar w:fldCharType="separate"/>
      </w:r>
      <w:r>
        <w:rPr>
          <w:lang/>
        </w:rPr>
        <w:t>37</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"_Toc2852592"</w:instrText>
      </w:r>
      <w:r>
        <w:rPr>
          <w:rStyle w:val="62"/>
          <w:lang/>
        </w:rPr>
        <w:instrText xml:space="preserve"> </w:instrText>
      </w:r>
      <w:r>
        <w:rPr>
          <w:rStyle w:val="62"/>
          <w:lang/>
        </w:rPr>
        <w:fldChar w:fldCharType="separate"/>
      </w:r>
      <w:r>
        <w:rPr>
          <w:rStyle w:val="62"/>
          <w:rFonts w:hint="eastAsia"/>
          <w:kern w:val="0"/>
          <w:lang/>
        </w:rPr>
        <w:t>第三章　技术资料及交付要求</w:t>
      </w:r>
      <w:r>
        <w:rPr>
          <w:lang/>
        </w:rPr>
        <w:tab/>
      </w:r>
      <w:r>
        <w:rPr>
          <w:lang/>
        </w:rPr>
        <w:fldChar w:fldCharType="begin"/>
      </w:r>
      <w:r>
        <w:rPr>
          <w:lang/>
        </w:rPr>
        <w:instrText xml:space="preserve"> PAGEREF _Toc2852592 \h </w:instrText>
      </w:r>
      <w:r>
        <w:rPr>
          <w:lang/>
        </w:rPr>
        <w:fldChar w:fldCharType="separate"/>
      </w:r>
      <w:r>
        <w:rPr>
          <w:lang/>
        </w:rPr>
        <w:t>48</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"_Toc2852593"</w:instrText>
      </w:r>
      <w:r>
        <w:rPr>
          <w:rStyle w:val="62"/>
          <w:lang/>
        </w:rPr>
        <w:instrText xml:space="preserve"> </w:instrText>
      </w:r>
      <w:r>
        <w:rPr>
          <w:rStyle w:val="62"/>
          <w:lang/>
        </w:rPr>
        <w:fldChar w:fldCharType="separate"/>
      </w:r>
      <w:r>
        <w:rPr>
          <w:rStyle w:val="62"/>
          <w:rFonts w:hint="eastAsia"/>
          <w:kern w:val="0"/>
          <w:lang/>
        </w:rPr>
        <w:t>第四章　交货期限及要求</w:t>
      </w:r>
      <w:r>
        <w:rPr>
          <w:lang/>
        </w:rPr>
        <w:tab/>
      </w:r>
      <w:r>
        <w:rPr>
          <w:lang/>
        </w:rPr>
        <w:fldChar w:fldCharType="begin"/>
      </w:r>
      <w:r>
        <w:rPr>
          <w:lang/>
        </w:rPr>
        <w:instrText xml:space="preserve"> PAGEREF _Toc2852593 \h </w:instrText>
      </w:r>
      <w:r>
        <w:rPr>
          <w:lang/>
        </w:rPr>
        <w:fldChar w:fldCharType="separate"/>
      </w:r>
      <w:r>
        <w:rPr>
          <w:lang/>
        </w:rPr>
        <w:t>49</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"_Toc2852594"</w:instrText>
      </w:r>
      <w:r>
        <w:rPr>
          <w:rStyle w:val="62"/>
          <w:lang/>
        </w:rPr>
        <w:instrText xml:space="preserve"> </w:instrText>
      </w:r>
      <w:r>
        <w:rPr>
          <w:rStyle w:val="62"/>
          <w:lang/>
        </w:rPr>
        <w:fldChar w:fldCharType="separate"/>
      </w:r>
      <w:r>
        <w:rPr>
          <w:rStyle w:val="62"/>
          <w:rFonts w:hint="eastAsia"/>
          <w:kern w:val="0"/>
          <w:lang/>
        </w:rPr>
        <w:t>第五章　监造、检验、性能验收试验及要求</w:t>
      </w:r>
      <w:r>
        <w:rPr>
          <w:lang/>
        </w:rPr>
        <w:tab/>
      </w:r>
      <w:r>
        <w:rPr>
          <w:lang/>
        </w:rPr>
        <w:fldChar w:fldCharType="begin"/>
      </w:r>
      <w:r>
        <w:rPr>
          <w:lang/>
        </w:rPr>
        <w:instrText xml:space="preserve"> PAGEREF _Toc2852594 \h </w:instrText>
      </w:r>
      <w:r>
        <w:rPr>
          <w:lang/>
        </w:rPr>
        <w:fldChar w:fldCharType="separate"/>
      </w:r>
      <w:r>
        <w:rPr>
          <w:lang/>
        </w:rPr>
        <w:t>50</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"_Toc2852595"</w:instrText>
      </w:r>
      <w:r>
        <w:rPr>
          <w:rStyle w:val="62"/>
          <w:lang/>
        </w:rPr>
        <w:instrText xml:space="preserve"> </w:instrText>
      </w:r>
      <w:r>
        <w:rPr>
          <w:rStyle w:val="62"/>
          <w:lang/>
        </w:rPr>
        <w:fldChar w:fldCharType="separate"/>
      </w:r>
      <w:r>
        <w:rPr>
          <w:rStyle w:val="62"/>
          <w:rFonts w:hint="eastAsia"/>
          <w:kern w:val="0"/>
          <w:lang/>
        </w:rPr>
        <w:t>第六章　付款方式及要求</w:t>
      </w:r>
      <w:r>
        <w:rPr>
          <w:lang/>
        </w:rPr>
        <w:tab/>
      </w:r>
      <w:r>
        <w:rPr>
          <w:lang/>
        </w:rPr>
        <w:fldChar w:fldCharType="begin"/>
      </w:r>
      <w:r>
        <w:rPr>
          <w:lang/>
        </w:rPr>
        <w:instrText xml:space="preserve"> PAGEREF _Toc2852595 \h </w:instrText>
      </w:r>
      <w:r>
        <w:rPr>
          <w:lang/>
        </w:rPr>
        <w:fldChar w:fldCharType="separate"/>
      </w:r>
      <w:r>
        <w:rPr>
          <w:lang/>
        </w:rPr>
        <w:t>52</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"_Toc2852596"</w:instrText>
      </w:r>
      <w:r>
        <w:rPr>
          <w:rStyle w:val="62"/>
          <w:lang/>
        </w:rPr>
        <w:instrText xml:space="preserve"> </w:instrText>
      </w:r>
      <w:r>
        <w:rPr>
          <w:rStyle w:val="62"/>
          <w:lang/>
        </w:rPr>
        <w:fldChar w:fldCharType="separate"/>
      </w:r>
      <w:r>
        <w:rPr>
          <w:rStyle w:val="62"/>
          <w:rFonts w:hint="eastAsia"/>
          <w:kern w:val="0"/>
          <w:lang/>
        </w:rPr>
        <w:t>第七章　售后服务及要求</w:t>
      </w:r>
      <w:r>
        <w:rPr>
          <w:lang/>
        </w:rPr>
        <w:tab/>
      </w:r>
      <w:r>
        <w:rPr>
          <w:lang/>
        </w:rPr>
        <w:fldChar w:fldCharType="begin"/>
      </w:r>
      <w:r>
        <w:rPr>
          <w:lang/>
        </w:rPr>
        <w:instrText xml:space="preserve"> PAGEREF _Toc2852596 \h </w:instrText>
      </w:r>
      <w:r>
        <w:rPr>
          <w:lang/>
        </w:rPr>
        <w:fldChar w:fldCharType="separate"/>
      </w:r>
      <w:r>
        <w:rPr>
          <w:lang/>
        </w:rPr>
        <w:t>52</w:t>
      </w:r>
      <w:r>
        <w:rPr>
          <w:lang/>
        </w:rPr>
        <w:fldChar w:fldCharType="end"/>
      </w:r>
      <w:r>
        <w:rPr>
          <w:rStyle w:val="62"/>
          <w:lang/>
        </w:rPr>
        <w:fldChar w:fldCharType="end"/>
      </w:r>
    </w:p>
    <w:p>
      <w:pPr>
        <w:pStyle w:val="34"/>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"_Toc2852597"</w:instrText>
      </w:r>
      <w:r>
        <w:rPr>
          <w:rStyle w:val="62"/>
          <w:lang/>
        </w:rPr>
        <w:instrText xml:space="preserve"> </w:instrText>
      </w:r>
      <w:r>
        <w:rPr>
          <w:rStyle w:val="62"/>
          <w:lang/>
        </w:rPr>
        <w:fldChar w:fldCharType="separate"/>
      </w:r>
      <w:r>
        <w:rPr>
          <w:rStyle w:val="62"/>
          <w:rFonts w:hint="eastAsia" w:ascii="黑体" w:eastAsia="黑体"/>
          <w:lang/>
        </w:rPr>
        <w:t>第五部分　采购合同主要条款</w:t>
      </w:r>
      <w:r>
        <w:rPr>
          <w:lang/>
        </w:rPr>
        <w:tab/>
      </w:r>
      <w:r>
        <w:rPr>
          <w:lang/>
        </w:rPr>
        <w:fldChar w:fldCharType="begin"/>
      </w:r>
      <w:r>
        <w:rPr>
          <w:lang/>
        </w:rPr>
        <w:instrText xml:space="preserve"> PAGEREF _Toc2852597 \h </w:instrText>
      </w:r>
      <w:r>
        <w:rPr>
          <w:lang/>
        </w:rPr>
        <w:fldChar w:fldCharType="separate"/>
      </w:r>
      <w:r>
        <w:rPr>
          <w:lang/>
        </w:rPr>
        <w:t>56</w:t>
      </w:r>
      <w:r>
        <w:rPr>
          <w:lang/>
        </w:rPr>
        <w:fldChar w:fldCharType="end"/>
      </w:r>
      <w:r>
        <w:rPr>
          <w:rStyle w:val="62"/>
          <w:lang/>
        </w:rPr>
        <w:fldChar w:fldCharType="end"/>
      </w:r>
    </w:p>
    <w:p>
      <w:pPr>
        <w:pStyle w:val="34"/>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"_Toc2852598"</w:instrText>
      </w:r>
      <w:r>
        <w:rPr>
          <w:rStyle w:val="62"/>
          <w:lang/>
        </w:rPr>
        <w:instrText xml:space="preserve"> </w:instrText>
      </w:r>
      <w:r>
        <w:rPr>
          <w:rStyle w:val="62"/>
          <w:lang/>
        </w:rPr>
        <w:fldChar w:fldCharType="separate"/>
      </w:r>
      <w:r>
        <w:rPr>
          <w:rStyle w:val="62"/>
          <w:rFonts w:hint="eastAsia" w:ascii="黑体" w:eastAsia="黑体"/>
          <w:lang/>
        </w:rPr>
        <w:t>第六部分</w:t>
      </w:r>
      <w:r>
        <w:rPr>
          <w:rStyle w:val="62"/>
          <w:rFonts w:ascii="黑体" w:eastAsia="黑体"/>
          <w:lang/>
        </w:rPr>
        <w:t xml:space="preserve">   </w:t>
      </w:r>
      <w:r>
        <w:rPr>
          <w:rStyle w:val="62"/>
          <w:rFonts w:hint="eastAsia" w:ascii="黑体" w:eastAsia="黑体"/>
          <w:lang/>
        </w:rPr>
        <w:t>附件</w:t>
      </w:r>
      <w:r>
        <w:rPr>
          <w:rStyle w:val="62"/>
          <w:rFonts w:ascii="黑体" w:eastAsia="黑体"/>
          <w:lang/>
        </w:rPr>
        <w:t>—</w:t>
      </w:r>
      <w:r>
        <w:rPr>
          <w:rStyle w:val="62"/>
          <w:rFonts w:hint="eastAsia" w:ascii="黑体" w:eastAsia="黑体"/>
          <w:lang/>
        </w:rPr>
        <w:t>投标文件格式</w:t>
      </w:r>
      <w:r>
        <w:rPr>
          <w:lang/>
        </w:rPr>
        <w:tab/>
      </w:r>
      <w:r>
        <w:rPr>
          <w:lang/>
        </w:rPr>
        <w:fldChar w:fldCharType="begin"/>
      </w:r>
      <w:r>
        <w:rPr>
          <w:lang/>
        </w:rPr>
        <w:instrText xml:space="preserve"> PAGEREF _Toc2852598 \h </w:instrText>
      </w:r>
      <w:r>
        <w:rPr>
          <w:lang/>
        </w:rPr>
        <w:fldChar w:fldCharType="separate"/>
      </w:r>
      <w:r>
        <w:rPr>
          <w:lang/>
        </w:rPr>
        <w:t>60</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"_Toc2852599"</w:instrText>
      </w:r>
      <w:r>
        <w:rPr>
          <w:rStyle w:val="62"/>
          <w:lang/>
        </w:rPr>
        <w:instrText xml:space="preserve"> </w:instrText>
      </w:r>
      <w:r>
        <w:rPr>
          <w:rStyle w:val="62"/>
          <w:lang/>
        </w:rPr>
        <w:fldChar w:fldCharType="separate"/>
      </w:r>
      <w:r>
        <w:rPr>
          <w:rStyle w:val="62"/>
          <w:rFonts w:hint="eastAsia" w:hAnsi="宋体"/>
          <w:lang/>
        </w:rPr>
        <w:t>附件一、法定代表人身份证明书</w:t>
      </w:r>
      <w:r>
        <w:rPr>
          <w:lang/>
        </w:rPr>
        <w:tab/>
      </w:r>
      <w:r>
        <w:rPr>
          <w:lang/>
        </w:rPr>
        <w:fldChar w:fldCharType="begin"/>
      </w:r>
      <w:r>
        <w:rPr>
          <w:lang/>
        </w:rPr>
        <w:instrText xml:space="preserve"> PAGEREF _Toc2852599 \h </w:instrText>
      </w:r>
      <w:r>
        <w:rPr>
          <w:lang/>
        </w:rPr>
        <w:fldChar w:fldCharType="separate"/>
      </w:r>
      <w:r>
        <w:rPr>
          <w:lang/>
        </w:rPr>
        <w:t>60</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"_Toc2852600"</w:instrText>
      </w:r>
      <w:r>
        <w:rPr>
          <w:rStyle w:val="62"/>
          <w:lang/>
        </w:rPr>
        <w:instrText xml:space="preserve"> </w:instrText>
      </w:r>
      <w:r>
        <w:rPr>
          <w:rStyle w:val="62"/>
          <w:lang/>
        </w:rPr>
        <w:fldChar w:fldCharType="separate"/>
      </w:r>
      <w:r>
        <w:rPr>
          <w:rStyle w:val="62"/>
          <w:rFonts w:hint="eastAsia" w:hAnsi="宋体"/>
          <w:lang/>
        </w:rPr>
        <w:t>附件二、法定代表人授权书</w:t>
      </w:r>
      <w:r>
        <w:rPr>
          <w:lang/>
        </w:rPr>
        <w:tab/>
      </w:r>
      <w:r>
        <w:rPr>
          <w:lang/>
        </w:rPr>
        <w:fldChar w:fldCharType="begin"/>
      </w:r>
      <w:r>
        <w:rPr>
          <w:lang/>
        </w:rPr>
        <w:instrText xml:space="preserve"> PAGEREF _Toc2852600 \h </w:instrText>
      </w:r>
      <w:r>
        <w:rPr>
          <w:lang/>
        </w:rPr>
        <w:fldChar w:fldCharType="separate"/>
      </w:r>
      <w:r>
        <w:rPr>
          <w:lang/>
        </w:rPr>
        <w:t>61</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"_Toc2852601"</w:instrText>
      </w:r>
      <w:r>
        <w:rPr>
          <w:rStyle w:val="62"/>
          <w:lang/>
        </w:rPr>
        <w:instrText xml:space="preserve"> </w:instrText>
      </w:r>
      <w:r>
        <w:rPr>
          <w:rStyle w:val="62"/>
          <w:lang/>
        </w:rPr>
        <w:fldChar w:fldCharType="separate"/>
      </w:r>
      <w:r>
        <w:rPr>
          <w:rStyle w:val="62"/>
          <w:rFonts w:hint="eastAsia" w:hAnsi="宋体"/>
          <w:lang/>
        </w:rPr>
        <w:t>附件三、个体工商户身份证明书</w:t>
      </w:r>
      <w:r>
        <w:rPr>
          <w:lang/>
        </w:rPr>
        <w:tab/>
      </w:r>
      <w:r>
        <w:rPr>
          <w:lang/>
        </w:rPr>
        <w:fldChar w:fldCharType="begin"/>
      </w:r>
      <w:r>
        <w:rPr>
          <w:lang/>
        </w:rPr>
        <w:instrText xml:space="preserve"> PAGEREF _Toc2852601 \h </w:instrText>
      </w:r>
      <w:r>
        <w:rPr>
          <w:lang/>
        </w:rPr>
        <w:fldChar w:fldCharType="separate"/>
      </w:r>
      <w:r>
        <w:rPr>
          <w:lang/>
        </w:rPr>
        <w:t>62</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"_Toc2852602"</w:instrText>
      </w:r>
      <w:r>
        <w:rPr>
          <w:rStyle w:val="62"/>
          <w:lang/>
        </w:rPr>
        <w:instrText xml:space="preserve"> </w:instrText>
      </w:r>
      <w:r>
        <w:rPr>
          <w:rStyle w:val="62"/>
          <w:lang/>
        </w:rPr>
        <w:fldChar w:fldCharType="separate"/>
      </w:r>
      <w:r>
        <w:rPr>
          <w:rStyle w:val="62"/>
          <w:rFonts w:hint="eastAsia"/>
          <w:lang/>
        </w:rPr>
        <w:t>附件四、投标函</w:t>
      </w:r>
      <w:r>
        <w:rPr>
          <w:lang/>
        </w:rPr>
        <w:tab/>
      </w:r>
      <w:r>
        <w:rPr>
          <w:lang/>
        </w:rPr>
        <w:fldChar w:fldCharType="begin"/>
      </w:r>
      <w:r>
        <w:rPr>
          <w:lang/>
        </w:rPr>
        <w:instrText xml:space="preserve"> PAGEREF _Toc2852602 \h </w:instrText>
      </w:r>
      <w:r>
        <w:rPr>
          <w:lang/>
        </w:rPr>
        <w:fldChar w:fldCharType="separate"/>
      </w:r>
      <w:r>
        <w:rPr>
          <w:lang/>
        </w:rPr>
        <w:t>63</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"_Toc2852603"</w:instrText>
      </w:r>
      <w:r>
        <w:rPr>
          <w:rStyle w:val="62"/>
          <w:lang/>
        </w:rPr>
        <w:instrText xml:space="preserve"> </w:instrText>
      </w:r>
      <w:r>
        <w:rPr>
          <w:rStyle w:val="62"/>
          <w:lang/>
        </w:rPr>
        <w:fldChar w:fldCharType="separate"/>
      </w:r>
      <w:r>
        <w:rPr>
          <w:rStyle w:val="62"/>
          <w:rFonts w:hint="eastAsia"/>
          <w:lang/>
        </w:rPr>
        <w:t>附件五、开标一览表</w:t>
      </w:r>
      <w:r>
        <w:rPr>
          <w:lang/>
        </w:rPr>
        <w:tab/>
      </w:r>
      <w:r>
        <w:rPr>
          <w:lang/>
        </w:rPr>
        <w:fldChar w:fldCharType="begin"/>
      </w:r>
      <w:r>
        <w:rPr>
          <w:lang/>
        </w:rPr>
        <w:instrText xml:space="preserve"> PAGEREF _Toc2852603 \h </w:instrText>
      </w:r>
      <w:r>
        <w:rPr>
          <w:lang/>
        </w:rPr>
        <w:fldChar w:fldCharType="separate"/>
      </w:r>
      <w:r>
        <w:rPr>
          <w:lang/>
        </w:rPr>
        <w:t>64</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"_Toc2852604"</w:instrText>
      </w:r>
      <w:r>
        <w:rPr>
          <w:rStyle w:val="62"/>
          <w:lang/>
        </w:rPr>
        <w:instrText xml:space="preserve"> </w:instrText>
      </w:r>
      <w:r>
        <w:rPr>
          <w:rStyle w:val="62"/>
          <w:lang/>
        </w:rPr>
        <w:fldChar w:fldCharType="separate"/>
      </w:r>
      <w:r>
        <w:rPr>
          <w:rStyle w:val="62"/>
          <w:rFonts w:hint="eastAsia"/>
          <w:lang/>
        </w:rPr>
        <w:t>附件六、投标报价明细表</w:t>
      </w:r>
      <w:r>
        <w:rPr>
          <w:lang/>
        </w:rPr>
        <w:tab/>
      </w:r>
      <w:r>
        <w:rPr>
          <w:lang/>
        </w:rPr>
        <w:fldChar w:fldCharType="begin"/>
      </w:r>
      <w:r>
        <w:rPr>
          <w:lang/>
        </w:rPr>
        <w:instrText xml:space="preserve"> PAGEREF _Toc2852604 \h </w:instrText>
      </w:r>
      <w:r>
        <w:rPr>
          <w:lang/>
        </w:rPr>
        <w:fldChar w:fldCharType="separate"/>
      </w:r>
      <w:r>
        <w:rPr>
          <w:lang/>
        </w:rPr>
        <w:t>65</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"_Toc2852605"</w:instrText>
      </w:r>
      <w:r>
        <w:rPr>
          <w:rStyle w:val="62"/>
          <w:lang/>
        </w:rPr>
        <w:instrText xml:space="preserve"> </w:instrText>
      </w:r>
      <w:r>
        <w:rPr>
          <w:rStyle w:val="62"/>
          <w:lang/>
        </w:rPr>
        <w:fldChar w:fldCharType="separate"/>
      </w:r>
      <w:r>
        <w:rPr>
          <w:rStyle w:val="62"/>
          <w:rFonts w:hint="eastAsia"/>
          <w:lang/>
        </w:rPr>
        <w:t>附件七、商务条款偏离表</w:t>
      </w:r>
      <w:r>
        <w:rPr>
          <w:lang/>
        </w:rPr>
        <w:tab/>
      </w:r>
      <w:r>
        <w:rPr>
          <w:lang/>
        </w:rPr>
        <w:fldChar w:fldCharType="begin"/>
      </w:r>
      <w:r>
        <w:rPr>
          <w:lang/>
        </w:rPr>
        <w:instrText xml:space="preserve"> PAGEREF _Toc2852605 \h </w:instrText>
      </w:r>
      <w:r>
        <w:rPr>
          <w:lang/>
        </w:rPr>
        <w:fldChar w:fldCharType="separate"/>
      </w:r>
      <w:r>
        <w:rPr>
          <w:lang/>
        </w:rPr>
        <w:t>66</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"_Toc2852606"</w:instrText>
      </w:r>
      <w:r>
        <w:rPr>
          <w:rStyle w:val="62"/>
          <w:lang/>
        </w:rPr>
        <w:instrText xml:space="preserve"> </w:instrText>
      </w:r>
      <w:r>
        <w:rPr>
          <w:rStyle w:val="62"/>
          <w:lang/>
        </w:rPr>
        <w:fldChar w:fldCharType="separate"/>
      </w:r>
      <w:r>
        <w:rPr>
          <w:rStyle w:val="62"/>
          <w:rFonts w:hint="eastAsia"/>
          <w:lang/>
        </w:rPr>
        <w:t>附件八、货物说明一览表</w:t>
      </w:r>
      <w:r>
        <w:rPr>
          <w:lang/>
        </w:rPr>
        <w:tab/>
      </w:r>
      <w:r>
        <w:rPr>
          <w:lang/>
        </w:rPr>
        <w:fldChar w:fldCharType="begin"/>
      </w:r>
      <w:r>
        <w:rPr>
          <w:lang/>
        </w:rPr>
        <w:instrText xml:space="preserve"> PAGEREF _Toc2852606 \h </w:instrText>
      </w:r>
      <w:r>
        <w:rPr>
          <w:lang/>
        </w:rPr>
        <w:fldChar w:fldCharType="separate"/>
      </w:r>
      <w:r>
        <w:rPr>
          <w:lang/>
        </w:rPr>
        <w:t>66</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"_Toc2852607"</w:instrText>
      </w:r>
      <w:r>
        <w:rPr>
          <w:rStyle w:val="62"/>
          <w:lang/>
        </w:rPr>
        <w:instrText xml:space="preserve"> </w:instrText>
      </w:r>
      <w:r>
        <w:rPr>
          <w:rStyle w:val="62"/>
          <w:lang/>
        </w:rPr>
        <w:fldChar w:fldCharType="separate"/>
      </w:r>
      <w:r>
        <w:rPr>
          <w:rStyle w:val="62"/>
          <w:rFonts w:hint="eastAsia"/>
          <w:lang/>
        </w:rPr>
        <w:t>附件九、技术规范</w:t>
      </w:r>
      <w:r>
        <w:rPr>
          <w:rStyle w:val="62"/>
          <w:lang/>
        </w:rPr>
        <w:t>/</w:t>
      </w:r>
      <w:r>
        <w:rPr>
          <w:rStyle w:val="62"/>
          <w:rFonts w:hint="eastAsia"/>
          <w:lang/>
        </w:rPr>
        <w:t>规格偏离及建议表</w:t>
      </w:r>
      <w:r>
        <w:rPr>
          <w:lang/>
        </w:rPr>
        <w:tab/>
      </w:r>
      <w:r>
        <w:rPr>
          <w:lang/>
        </w:rPr>
        <w:fldChar w:fldCharType="begin"/>
      </w:r>
      <w:r>
        <w:rPr>
          <w:lang/>
        </w:rPr>
        <w:instrText xml:space="preserve"> PAGEREF _Toc2852607 \h </w:instrText>
      </w:r>
      <w:r>
        <w:rPr>
          <w:lang/>
        </w:rPr>
        <w:fldChar w:fldCharType="separate"/>
      </w:r>
      <w:r>
        <w:rPr>
          <w:lang/>
        </w:rPr>
        <w:t>67</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"_Toc2852608"</w:instrText>
      </w:r>
      <w:r>
        <w:rPr>
          <w:rStyle w:val="62"/>
          <w:lang/>
        </w:rPr>
        <w:instrText xml:space="preserve"> </w:instrText>
      </w:r>
      <w:r>
        <w:rPr>
          <w:rStyle w:val="62"/>
          <w:lang/>
        </w:rPr>
        <w:fldChar w:fldCharType="separate"/>
      </w:r>
      <w:r>
        <w:rPr>
          <w:rStyle w:val="62"/>
          <w:rFonts w:hint="eastAsia"/>
          <w:lang/>
        </w:rPr>
        <w:t>附件十、中小企业声明函</w:t>
      </w:r>
      <w:r>
        <w:rPr>
          <w:lang/>
        </w:rPr>
        <w:tab/>
      </w:r>
      <w:r>
        <w:rPr>
          <w:lang/>
        </w:rPr>
        <w:fldChar w:fldCharType="begin"/>
      </w:r>
      <w:r>
        <w:rPr>
          <w:lang/>
        </w:rPr>
        <w:instrText xml:space="preserve"> PAGEREF _Toc2852608 \h </w:instrText>
      </w:r>
      <w:r>
        <w:rPr>
          <w:lang/>
        </w:rPr>
        <w:fldChar w:fldCharType="separate"/>
      </w:r>
      <w:r>
        <w:rPr>
          <w:lang/>
        </w:rPr>
        <w:t>68</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"_Toc2852609"</w:instrText>
      </w:r>
      <w:r>
        <w:rPr>
          <w:rStyle w:val="62"/>
          <w:lang/>
        </w:rPr>
        <w:instrText xml:space="preserve"> </w:instrText>
      </w:r>
      <w:r>
        <w:rPr>
          <w:rStyle w:val="62"/>
          <w:lang/>
        </w:rPr>
        <w:fldChar w:fldCharType="separate"/>
      </w:r>
      <w:r>
        <w:rPr>
          <w:rStyle w:val="62"/>
          <w:rFonts w:hint="eastAsia" w:hAnsi="宋体"/>
          <w:lang/>
        </w:rPr>
        <w:t>附件十一、投标人情况表</w:t>
      </w:r>
      <w:r>
        <w:rPr>
          <w:lang/>
        </w:rPr>
        <w:tab/>
      </w:r>
      <w:r>
        <w:rPr>
          <w:lang/>
        </w:rPr>
        <w:fldChar w:fldCharType="begin"/>
      </w:r>
      <w:r>
        <w:rPr>
          <w:lang/>
        </w:rPr>
        <w:instrText xml:space="preserve"> PAGEREF _Toc2852609 \h </w:instrText>
      </w:r>
      <w:r>
        <w:rPr>
          <w:lang/>
        </w:rPr>
        <w:fldChar w:fldCharType="separate"/>
      </w:r>
      <w:r>
        <w:rPr>
          <w:lang/>
        </w:rPr>
        <w:t>69</w:t>
      </w:r>
      <w:r>
        <w:rPr>
          <w:lang/>
        </w:rPr>
        <w:fldChar w:fldCharType="end"/>
      </w:r>
      <w:r>
        <w:rPr>
          <w:rStyle w:val="62"/>
          <w:lang/>
        </w:rPr>
        <w:fldChar w:fldCharType="end"/>
      </w:r>
    </w:p>
    <w:p>
      <w:pPr>
        <w:pStyle w:val="45"/>
        <w:tabs>
          <w:tab w:val="right" w:leader="dot" w:pos="8495"/>
        </w:tabs>
        <w:rPr>
          <w:rFonts w:ascii="Times New Roman" w:hAnsi="Times New Roman"/>
          <w:lang/>
        </w:rPr>
      </w:pPr>
      <w:r>
        <w:rPr>
          <w:rStyle w:val="62"/>
          <w:lang/>
        </w:rPr>
        <w:fldChar w:fldCharType="begin"/>
      </w:r>
      <w:r>
        <w:rPr>
          <w:rStyle w:val="62"/>
          <w:lang/>
        </w:rPr>
        <w:instrText xml:space="preserve"> </w:instrText>
      </w:r>
      <w:r>
        <w:rPr>
          <w:lang/>
        </w:rPr>
        <w:instrText xml:space="preserve">HYPERLINK \l "_Toc2852610"</w:instrText>
      </w:r>
      <w:r>
        <w:rPr>
          <w:rStyle w:val="62"/>
          <w:lang/>
        </w:rPr>
        <w:instrText xml:space="preserve"> </w:instrText>
      </w:r>
      <w:r>
        <w:rPr>
          <w:rStyle w:val="62"/>
          <w:lang/>
        </w:rPr>
        <w:fldChar w:fldCharType="separate"/>
      </w:r>
      <w:r>
        <w:rPr>
          <w:rStyle w:val="62"/>
          <w:rFonts w:hint="eastAsia"/>
          <w:lang/>
        </w:rPr>
        <w:t>附件十二、售后服务承诺书</w:t>
      </w:r>
      <w:r>
        <w:rPr>
          <w:lang/>
        </w:rPr>
        <w:tab/>
      </w:r>
      <w:r>
        <w:rPr>
          <w:lang/>
        </w:rPr>
        <w:fldChar w:fldCharType="begin"/>
      </w:r>
      <w:r>
        <w:rPr>
          <w:lang/>
        </w:rPr>
        <w:instrText xml:space="preserve"> PAGEREF _Toc2852610 \h </w:instrText>
      </w:r>
      <w:r>
        <w:rPr>
          <w:lang/>
        </w:rPr>
        <w:fldChar w:fldCharType="separate"/>
      </w:r>
      <w:r>
        <w:rPr>
          <w:lang/>
        </w:rPr>
        <w:t>70</w:t>
      </w:r>
      <w:r>
        <w:rPr>
          <w:lang/>
        </w:rPr>
        <w:fldChar w:fldCharType="end"/>
      </w:r>
      <w:r>
        <w:rPr>
          <w:rStyle w:val="62"/>
          <w:lang/>
        </w:rPr>
        <w:fldChar w:fldCharType="end"/>
      </w:r>
    </w:p>
    <w:p>
      <w:pPr>
        <w:spacing w:line="360" w:lineRule="auto"/>
        <w:rPr>
          <w:rFonts w:hint="eastAsia"/>
          <w:sz w:val="24"/>
        </w:rPr>
      </w:pPr>
      <w:r>
        <w:rPr>
          <w:sz w:val="24"/>
        </w:rPr>
        <w:fldChar w:fldCharType="end"/>
      </w:r>
    </w:p>
    <w:p>
      <w:pPr>
        <w:spacing w:line="360" w:lineRule="auto"/>
        <w:rPr>
          <w:rFonts w:hint="eastAsia"/>
          <w:sz w:val="24"/>
        </w:rPr>
      </w:pPr>
    </w:p>
    <w:p>
      <w:pPr>
        <w:spacing w:line="360" w:lineRule="auto"/>
        <w:rPr>
          <w:rFonts w:hint="eastAsia"/>
          <w:sz w:val="24"/>
        </w:rPr>
      </w:pPr>
    </w:p>
    <w:p>
      <w:pPr>
        <w:pStyle w:val="2"/>
        <w:spacing w:line="360" w:lineRule="auto"/>
        <w:rPr>
          <w:rFonts w:ascii="黑体" w:eastAsia="黑体"/>
          <w:sz w:val="32"/>
        </w:rPr>
        <w:sectPr>
          <w:footerReference r:id="rId3" w:type="default"/>
          <w:footerReference r:id="rId4" w:type="even"/>
          <w:pgSz w:w="11907" w:h="16840"/>
          <w:pgMar w:top="1418" w:right="1701" w:bottom="1418" w:left="1701" w:header="851" w:footer="618" w:gutter="0"/>
          <w:pgNumType w:start="1"/>
          <w:cols w:space="720" w:num="1"/>
          <w:docGrid w:type="linesAndChars" w:linePitch="312" w:charSpace="0"/>
        </w:sectPr>
      </w:pPr>
    </w:p>
    <w:p>
      <w:pPr>
        <w:pStyle w:val="2"/>
        <w:spacing w:line="360" w:lineRule="auto"/>
        <w:rPr>
          <w:rFonts w:hint="eastAsia" w:ascii="黑体" w:eastAsia="黑体"/>
          <w:sz w:val="32"/>
        </w:rPr>
      </w:pPr>
      <w:bookmarkStart w:id="1" w:name="_Toc2852576"/>
      <w:r>
        <w:rPr>
          <w:rFonts w:hint="eastAsia" w:ascii="黑体" w:eastAsia="黑体"/>
          <w:sz w:val="32"/>
        </w:rPr>
        <w:t xml:space="preserve">第一部分   </w:t>
      </w:r>
      <w:bookmarkEnd w:id="0"/>
      <w:r>
        <w:rPr>
          <w:rFonts w:ascii="黑体" w:eastAsia="黑体"/>
          <w:sz w:val="32"/>
        </w:rPr>
        <w:t>招标公告</w:t>
      </w:r>
      <w:bookmarkEnd w:id="1"/>
    </w:p>
    <w:p>
      <w:pPr>
        <w:spacing w:line="360" w:lineRule="auto"/>
        <w:ind w:firstLine="3278" w:firstLineChars="1561"/>
        <w:rPr>
          <w:rFonts w:hint="eastAsia" w:ascii="宋体" w:hAnsi="宋体" w:cs="宋体"/>
          <w:b/>
          <w:bCs/>
          <w:color w:val="333333"/>
          <w:kern w:val="0"/>
          <w:szCs w:val="21"/>
        </w:rPr>
      </w:pPr>
      <w:r>
        <w:rPr>
          <w:rFonts w:hint="eastAsia" w:ascii="宋体" w:hAnsi="宋体" w:cs="宋体"/>
          <w:b/>
          <w:bCs/>
          <w:color w:val="333333"/>
          <w:kern w:val="0"/>
          <w:szCs w:val="21"/>
        </w:rPr>
        <w:t>（招标编号：GZ2018163）</w:t>
      </w:r>
    </w:p>
    <w:p>
      <w:pPr>
        <w:widowControl/>
        <w:spacing w:before="100" w:after="100"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根据《中华人民共和国政府采购法》等有关规定，</w:t>
      </w:r>
      <w:r>
        <w:rPr>
          <w:rFonts w:hint="eastAsia" w:ascii="宋体" w:hAnsi="宋体" w:cs="宋体"/>
          <w:b/>
          <w:bCs/>
          <w:color w:val="333333"/>
          <w:kern w:val="0"/>
          <w:szCs w:val="21"/>
          <w:u w:val="single"/>
        </w:rPr>
        <w:t>治安动态视频监控系统第二期等2019年度到期三个系统升级改造及租赁（租期五年）项目</w:t>
      </w:r>
      <w:r>
        <w:rPr>
          <w:rFonts w:hint="eastAsia" w:ascii="宋体" w:hAnsi="宋体" w:cs="宋体"/>
          <w:color w:val="000000"/>
          <w:kern w:val="0"/>
          <w:szCs w:val="21"/>
        </w:rPr>
        <w:t>进行公开招标，欢迎国内合格的供应商前来投标。</w:t>
      </w:r>
    </w:p>
    <w:p>
      <w:pPr>
        <w:widowControl/>
        <w:spacing w:before="100" w:after="100" w:line="360" w:lineRule="atLeast"/>
        <w:jc w:val="left"/>
        <w:rPr>
          <w:rFonts w:hint="eastAsia" w:ascii="宋体" w:hAnsi="宋体" w:cs="宋体"/>
          <w:kern w:val="0"/>
          <w:szCs w:val="21"/>
        </w:rPr>
      </w:pPr>
      <w:r>
        <w:rPr>
          <w:rFonts w:hint="eastAsia" w:ascii="宋体" w:hAnsi="宋体" w:cs="宋体"/>
          <w:b/>
          <w:bCs/>
          <w:color w:val="333333"/>
          <w:kern w:val="0"/>
          <w:szCs w:val="21"/>
        </w:rPr>
        <w:t xml:space="preserve">一．   招标项目编号: </w:t>
      </w:r>
      <w:r>
        <w:rPr>
          <w:rFonts w:hint="eastAsia" w:ascii="宋体" w:hAnsi="宋体" w:cs="宋体"/>
          <w:b/>
          <w:bCs/>
          <w:kern w:val="0"/>
          <w:szCs w:val="21"/>
        </w:rPr>
        <w:t> </w:t>
      </w:r>
      <w:r>
        <w:rPr>
          <w:rFonts w:ascii="宋体" w:hAnsi="宋体" w:cs="宋体"/>
          <w:b/>
          <w:kern w:val="0"/>
          <w:szCs w:val="21"/>
        </w:rPr>
        <w:t>GZ2018</w:t>
      </w:r>
      <w:r>
        <w:rPr>
          <w:rFonts w:hint="eastAsia" w:ascii="宋体" w:hAnsi="宋体" w:cs="宋体"/>
          <w:b/>
          <w:kern w:val="0"/>
          <w:szCs w:val="21"/>
        </w:rPr>
        <w:t>163</w:t>
      </w:r>
    </w:p>
    <w:p>
      <w:pPr>
        <w:widowControl/>
        <w:spacing w:before="100" w:after="100" w:line="360" w:lineRule="atLeast"/>
        <w:jc w:val="left"/>
        <w:rPr>
          <w:rFonts w:ascii="宋体" w:hAnsi="宋体" w:cs="宋体"/>
          <w:color w:val="333333"/>
          <w:kern w:val="0"/>
          <w:szCs w:val="21"/>
        </w:rPr>
      </w:pPr>
      <w:r>
        <w:rPr>
          <w:rFonts w:hint="eastAsia" w:ascii="宋体" w:hAnsi="宋体" w:cs="宋体"/>
          <w:b/>
          <w:bCs/>
          <w:color w:val="333333"/>
          <w:kern w:val="0"/>
          <w:szCs w:val="21"/>
        </w:rPr>
        <w:t>二．   采购组织类型：</w:t>
      </w:r>
      <w:r>
        <w:rPr>
          <w:rFonts w:hint="eastAsia" w:ascii="宋体" w:hAnsi="宋体" w:cs="宋体"/>
          <w:kern w:val="0"/>
          <w:szCs w:val="21"/>
        </w:rPr>
        <w:t>政府集中采购-委托本级集采</w:t>
      </w:r>
    </w:p>
    <w:p>
      <w:pPr>
        <w:widowControl/>
        <w:spacing w:before="100" w:after="100" w:line="360" w:lineRule="atLeast"/>
        <w:jc w:val="left"/>
        <w:rPr>
          <w:rFonts w:ascii="宋体" w:hAnsi="宋体"/>
          <w:szCs w:val="21"/>
        </w:rPr>
      </w:pPr>
      <w:r>
        <w:rPr>
          <w:rFonts w:hint="eastAsia" w:ascii="宋体" w:hAnsi="宋体" w:cs="宋体"/>
          <w:b/>
          <w:bCs/>
          <w:color w:val="333333"/>
          <w:kern w:val="0"/>
          <w:szCs w:val="21"/>
        </w:rPr>
        <w:t>三．   招标项目概况：</w:t>
      </w:r>
      <w:r>
        <w:rPr>
          <w:rFonts w:hint="eastAsia" w:ascii="宋体" w:hAnsi="宋体"/>
          <w:szCs w:val="21"/>
        </w:rPr>
        <w:t>本期招标是将于2019年租赁到期的《上虞区第二期社会治安动态视频监控系统（租期十年）》（2019年4月1日到期）、《公共自行车服务投放点视频监控系统第一期租赁（租期五年）》（2019年1月15日到期）、《上虞区易**化学品可视化管理系统租赁（租期五年）》（2019年5月31日到期）等三个视频监控系统进行升级改造，同时根据浙江省、绍兴市关于“雪亮工程”项目下发的有关视频图像感知系统建设任务清单，区、县监控平台需搭建视频监控云存储系统平台、视频解析云平台的要求，今后视频监控图像都采取云存储系统，为此本次改造需搭建云存储系统平台。本项目按照公安局提出的建设标准，由公安局负责招标采购，供应商投资建设，区公安分局、各乡镇、街道（杭州湾工业园区）与供应商签订租赁合同的形式（三个视频监控系统租期统一为五年），按前端每点每月计算租金，按年支付的方法进行采购。</w:t>
      </w:r>
    </w:p>
    <w:tbl>
      <w:tblPr>
        <w:tblStyle w:val="55"/>
        <w:tblW w:w="0" w:type="auto"/>
        <w:tblInd w:w="3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609"/>
        <w:gridCol w:w="2552"/>
        <w:gridCol w:w="992"/>
        <w:gridCol w:w="709"/>
        <w:gridCol w:w="1276"/>
        <w:gridCol w:w="28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wBefore w:w="0" w:type="dxa"/>
          <w:wAfter w:w="0" w:type="dxa"/>
        </w:trPr>
        <w:tc>
          <w:tcPr>
            <w:tcW w:w="609" w:type="dxa"/>
            <w:shd w:val="clear" w:color="auto" w:fill="FFFFFF"/>
            <w:noWrap w:val="0"/>
            <w:tcMar>
              <w:top w:w="75" w:type="dxa"/>
              <w:left w:w="75" w:type="dxa"/>
              <w:bottom w:w="75" w:type="dxa"/>
              <w:right w:w="75" w:type="dxa"/>
            </w:tcMar>
            <w:vAlign w:val="center"/>
          </w:tcPr>
          <w:p>
            <w:pPr>
              <w:widowControl/>
              <w:jc w:val="center"/>
              <w:rPr>
                <w:rFonts w:ascii="宋体" w:hAnsi="宋体"/>
                <w:color w:val="333333"/>
                <w:kern w:val="0"/>
                <w:szCs w:val="21"/>
              </w:rPr>
            </w:pPr>
            <w:r>
              <w:rPr>
                <w:rFonts w:hint="eastAsia" w:ascii="宋体" w:hAnsi="宋体"/>
                <w:b/>
                <w:bCs/>
                <w:color w:val="333333"/>
                <w:kern w:val="0"/>
                <w:szCs w:val="21"/>
              </w:rPr>
              <w:t>序号</w:t>
            </w:r>
          </w:p>
        </w:tc>
        <w:tc>
          <w:tcPr>
            <w:tcW w:w="2552" w:type="dxa"/>
            <w:shd w:val="clear" w:color="auto" w:fill="FFFFFF"/>
            <w:noWrap w:val="0"/>
            <w:tcMar>
              <w:top w:w="75" w:type="dxa"/>
              <w:left w:w="75" w:type="dxa"/>
              <w:bottom w:w="75" w:type="dxa"/>
              <w:right w:w="75" w:type="dxa"/>
            </w:tcMar>
            <w:vAlign w:val="center"/>
          </w:tcPr>
          <w:p>
            <w:pPr>
              <w:widowControl/>
              <w:jc w:val="center"/>
              <w:rPr>
                <w:rFonts w:ascii="宋体" w:hAnsi="宋体"/>
                <w:color w:val="333333"/>
                <w:kern w:val="0"/>
                <w:szCs w:val="21"/>
              </w:rPr>
            </w:pPr>
            <w:r>
              <w:rPr>
                <w:rFonts w:hint="eastAsia" w:ascii="宋体" w:hAnsi="宋体"/>
                <w:b/>
                <w:bCs/>
                <w:color w:val="333333"/>
                <w:kern w:val="0"/>
                <w:szCs w:val="21"/>
              </w:rPr>
              <w:t>项目名称</w:t>
            </w:r>
          </w:p>
        </w:tc>
        <w:tc>
          <w:tcPr>
            <w:tcW w:w="992" w:type="dxa"/>
            <w:shd w:val="clear" w:color="auto" w:fill="FFFFFF"/>
            <w:noWrap w:val="0"/>
            <w:tcMar>
              <w:top w:w="75" w:type="dxa"/>
              <w:left w:w="75" w:type="dxa"/>
              <w:bottom w:w="75" w:type="dxa"/>
              <w:right w:w="75" w:type="dxa"/>
            </w:tcMar>
            <w:vAlign w:val="center"/>
          </w:tcPr>
          <w:p>
            <w:pPr>
              <w:widowControl/>
              <w:jc w:val="center"/>
              <w:rPr>
                <w:rFonts w:ascii="宋体" w:hAnsi="宋体"/>
                <w:color w:val="333333"/>
                <w:kern w:val="0"/>
                <w:szCs w:val="21"/>
              </w:rPr>
            </w:pPr>
            <w:r>
              <w:rPr>
                <w:rFonts w:hint="eastAsia" w:ascii="宋体" w:hAnsi="宋体"/>
                <w:b/>
                <w:bCs/>
                <w:color w:val="333333"/>
                <w:kern w:val="0"/>
                <w:szCs w:val="21"/>
              </w:rPr>
              <w:t>数量</w:t>
            </w:r>
          </w:p>
        </w:tc>
        <w:tc>
          <w:tcPr>
            <w:tcW w:w="709" w:type="dxa"/>
            <w:shd w:val="clear" w:color="auto" w:fill="FFFFFF"/>
            <w:noWrap w:val="0"/>
            <w:tcMar>
              <w:top w:w="75" w:type="dxa"/>
              <w:left w:w="75" w:type="dxa"/>
              <w:bottom w:w="75" w:type="dxa"/>
              <w:right w:w="75" w:type="dxa"/>
            </w:tcMar>
            <w:vAlign w:val="center"/>
          </w:tcPr>
          <w:p>
            <w:pPr>
              <w:widowControl/>
              <w:jc w:val="center"/>
              <w:rPr>
                <w:rFonts w:ascii="宋体" w:hAnsi="宋体"/>
                <w:color w:val="333333"/>
                <w:kern w:val="0"/>
                <w:szCs w:val="21"/>
              </w:rPr>
            </w:pPr>
            <w:r>
              <w:rPr>
                <w:rFonts w:hint="eastAsia" w:ascii="宋体" w:hAnsi="宋体"/>
                <w:b/>
                <w:bCs/>
                <w:color w:val="333333"/>
                <w:kern w:val="0"/>
                <w:szCs w:val="21"/>
              </w:rPr>
              <w:t>单位</w:t>
            </w:r>
          </w:p>
        </w:tc>
        <w:tc>
          <w:tcPr>
            <w:tcW w:w="1276" w:type="dxa"/>
            <w:shd w:val="clear" w:color="auto" w:fill="FFFFFF"/>
            <w:noWrap w:val="0"/>
            <w:tcMar>
              <w:top w:w="75" w:type="dxa"/>
              <w:left w:w="75" w:type="dxa"/>
              <w:bottom w:w="75" w:type="dxa"/>
              <w:right w:w="75" w:type="dxa"/>
            </w:tcMar>
            <w:vAlign w:val="center"/>
          </w:tcPr>
          <w:p>
            <w:pPr>
              <w:widowControl/>
              <w:jc w:val="center"/>
              <w:rPr>
                <w:rFonts w:ascii="宋体" w:hAnsi="宋体"/>
                <w:color w:val="333333"/>
                <w:kern w:val="0"/>
                <w:szCs w:val="21"/>
              </w:rPr>
            </w:pPr>
            <w:r>
              <w:rPr>
                <w:rFonts w:hint="eastAsia" w:ascii="宋体" w:hAnsi="宋体"/>
                <w:b/>
                <w:bCs/>
                <w:color w:val="333333"/>
                <w:kern w:val="0"/>
                <w:szCs w:val="21"/>
              </w:rPr>
              <w:t>预算金额</w:t>
            </w:r>
          </w:p>
        </w:tc>
        <w:tc>
          <w:tcPr>
            <w:tcW w:w="2835" w:type="dxa"/>
            <w:shd w:val="clear" w:color="auto" w:fill="FFFFFF"/>
            <w:noWrap w:val="0"/>
            <w:tcMar>
              <w:top w:w="75" w:type="dxa"/>
              <w:left w:w="75" w:type="dxa"/>
              <w:bottom w:w="75" w:type="dxa"/>
              <w:right w:w="75" w:type="dxa"/>
            </w:tcMar>
            <w:vAlign w:val="center"/>
          </w:tcPr>
          <w:p>
            <w:pPr>
              <w:widowControl/>
              <w:jc w:val="center"/>
              <w:rPr>
                <w:rFonts w:ascii="宋体" w:hAnsi="宋体"/>
                <w:color w:val="333333"/>
                <w:kern w:val="0"/>
                <w:szCs w:val="21"/>
              </w:rPr>
            </w:pPr>
            <w:r>
              <w:rPr>
                <w:rFonts w:hint="eastAsia" w:ascii="宋体" w:hAnsi="宋体"/>
                <w:b/>
                <w:bCs/>
                <w:color w:val="333333"/>
                <w:kern w:val="0"/>
                <w:szCs w:val="21"/>
              </w:rPr>
              <w:t>简要规格描述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wBefore w:w="0" w:type="dxa"/>
          <w:wAfter w:w="0" w:type="dxa"/>
          <w:trHeight w:val="20" w:hRule="atLeast"/>
        </w:trPr>
        <w:tc>
          <w:tcPr>
            <w:tcW w:w="609"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olor w:val="333333"/>
                <w:kern w:val="0"/>
                <w:szCs w:val="21"/>
              </w:rPr>
            </w:pPr>
            <w:r>
              <w:rPr>
                <w:rFonts w:ascii="宋体" w:hAnsi="宋体" w:cs="Segoe UI"/>
                <w:color w:val="333333"/>
                <w:kern w:val="0"/>
                <w:szCs w:val="21"/>
              </w:rPr>
              <w:t>1</w:t>
            </w:r>
          </w:p>
        </w:tc>
        <w:tc>
          <w:tcPr>
            <w:tcW w:w="2552"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olor w:val="000000"/>
                <w:kern w:val="0"/>
                <w:szCs w:val="21"/>
              </w:rPr>
            </w:pPr>
            <w:r>
              <w:rPr>
                <w:rFonts w:hint="eastAsia" w:ascii="宋体" w:hAnsi="宋体"/>
                <w:color w:val="000000"/>
                <w:szCs w:val="21"/>
              </w:rPr>
              <w:t>《上虞区第二期社会治安动态视频监控系统升级改造及租赁（租期五年）》</w:t>
            </w:r>
          </w:p>
        </w:tc>
        <w:tc>
          <w:tcPr>
            <w:tcW w:w="992"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72</w:t>
            </w:r>
          </w:p>
        </w:tc>
        <w:tc>
          <w:tcPr>
            <w:tcW w:w="709"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olor w:val="000000"/>
                <w:kern w:val="0"/>
                <w:szCs w:val="21"/>
              </w:rPr>
            </w:pPr>
            <w:r>
              <w:rPr>
                <w:rFonts w:hint="eastAsia" w:ascii="宋体" w:hAnsi="宋体"/>
                <w:color w:val="000000"/>
                <w:kern w:val="0"/>
                <w:szCs w:val="21"/>
              </w:rPr>
              <w:t>点位</w:t>
            </w:r>
          </w:p>
        </w:tc>
        <w:tc>
          <w:tcPr>
            <w:tcW w:w="1276"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olor w:val="000000"/>
                <w:kern w:val="0"/>
                <w:szCs w:val="21"/>
              </w:rPr>
            </w:pPr>
            <w:r>
              <w:rPr>
                <w:rFonts w:hint="eastAsia" w:ascii="宋体" w:hAnsi="宋体"/>
                <w:color w:val="000000"/>
                <w:kern w:val="0"/>
                <w:szCs w:val="21"/>
              </w:rPr>
              <w:t>年租金134万元，五年共670万</w:t>
            </w:r>
          </w:p>
        </w:tc>
        <w:tc>
          <w:tcPr>
            <w:tcW w:w="2835" w:type="dxa"/>
            <w:shd w:val="clear" w:color="auto" w:fill="FFFFFF"/>
            <w:noWrap w:val="0"/>
            <w:tcMar>
              <w:top w:w="75" w:type="dxa"/>
              <w:left w:w="75" w:type="dxa"/>
              <w:bottom w:w="75" w:type="dxa"/>
              <w:right w:w="75" w:type="dxa"/>
            </w:tcMar>
            <w:vAlign w:val="center"/>
          </w:tcPr>
          <w:p>
            <w:pPr>
              <w:widowControl/>
              <w:jc w:val="center"/>
              <w:rPr>
                <w:rFonts w:ascii="宋体" w:hAnsi="宋体"/>
                <w:color w:val="000000"/>
                <w:kern w:val="0"/>
                <w:szCs w:val="21"/>
              </w:rPr>
            </w:pPr>
            <w:r>
              <w:rPr>
                <w:rFonts w:hint="eastAsia" w:ascii="宋体" w:hAnsi="宋体"/>
                <w:color w:val="000000"/>
                <w:kern w:val="0"/>
                <w:szCs w:val="21"/>
              </w:rPr>
              <w:t>172个前端视频监控点位升级改造及云存储平台搭建，验收前需出具第三方检测报告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wBefore w:w="0" w:type="dxa"/>
          <w:wAfter w:w="0" w:type="dxa"/>
          <w:trHeight w:val="952" w:hRule="atLeast"/>
        </w:trPr>
        <w:tc>
          <w:tcPr>
            <w:tcW w:w="609"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s="Segoe UI"/>
                <w:kern w:val="0"/>
                <w:szCs w:val="21"/>
              </w:rPr>
            </w:pPr>
            <w:r>
              <w:rPr>
                <w:rFonts w:hint="eastAsia" w:ascii="宋体" w:hAnsi="宋体" w:cs="Segoe UI"/>
                <w:kern w:val="0"/>
                <w:szCs w:val="21"/>
              </w:rPr>
              <w:t>2</w:t>
            </w:r>
          </w:p>
        </w:tc>
        <w:tc>
          <w:tcPr>
            <w:tcW w:w="2552"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color w:val="000000"/>
                <w:kern w:val="0"/>
                <w:szCs w:val="21"/>
              </w:rPr>
            </w:pPr>
            <w:r>
              <w:rPr>
                <w:rFonts w:hint="eastAsia" w:ascii="宋体" w:hAnsi="宋体"/>
                <w:color w:val="000000"/>
                <w:szCs w:val="21"/>
              </w:rPr>
              <w:t>《公共自行车服务投放点视频监控系统第一期升级改造及租赁（租期五年）》</w:t>
            </w:r>
          </w:p>
        </w:tc>
        <w:tc>
          <w:tcPr>
            <w:tcW w:w="992"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olor w:val="000000"/>
                <w:kern w:val="0"/>
                <w:szCs w:val="21"/>
              </w:rPr>
            </w:pPr>
            <w:r>
              <w:rPr>
                <w:rFonts w:hint="eastAsia" w:ascii="宋体" w:hAnsi="宋体"/>
                <w:color w:val="000000"/>
                <w:kern w:val="0"/>
                <w:szCs w:val="21"/>
              </w:rPr>
              <w:t>34</w:t>
            </w:r>
          </w:p>
        </w:tc>
        <w:tc>
          <w:tcPr>
            <w:tcW w:w="709"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color w:val="000000"/>
                <w:kern w:val="0"/>
                <w:szCs w:val="21"/>
              </w:rPr>
            </w:pPr>
            <w:r>
              <w:rPr>
                <w:rFonts w:hint="eastAsia" w:ascii="宋体" w:hAnsi="宋体"/>
                <w:color w:val="000000"/>
                <w:kern w:val="0"/>
                <w:szCs w:val="21"/>
              </w:rPr>
              <w:t>点位</w:t>
            </w:r>
          </w:p>
        </w:tc>
        <w:tc>
          <w:tcPr>
            <w:tcW w:w="1276"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color w:val="000000"/>
                <w:kern w:val="0"/>
                <w:szCs w:val="21"/>
              </w:rPr>
            </w:pPr>
            <w:r>
              <w:rPr>
                <w:rFonts w:hint="eastAsia" w:ascii="宋体" w:hAnsi="宋体"/>
                <w:color w:val="000000"/>
                <w:kern w:val="0"/>
                <w:szCs w:val="21"/>
              </w:rPr>
              <w:t>年租金18万元，五年共90万</w:t>
            </w:r>
          </w:p>
        </w:tc>
        <w:tc>
          <w:tcPr>
            <w:tcW w:w="2835" w:type="dxa"/>
            <w:shd w:val="clear" w:color="auto" w:fill="FFFFFF"/>
            <w:noWrap w:val="0"/>
            <w:tcMar>
              <w:top w:w="75" w:type="dxa"/>
              <w:left w:w="75" w:type="dxa"/>
              <w:bottom w:w="75" w:type="dxa"/>
              <w:right w:w="75" w:type="dxa"/>
            </w:tcMar>
            <w:vAlign w:val="center"/>
          </w:tcPr>
          <w:p>
            <w:pPr>
              <w:widowControl/>
              <w:jc w:val="center"/>
              <w:rPr>
                <w:rFonts w:hint="eastAsia" w:ascii="宋体" w:hAnsi="宋体"/>
                <w:color w:val="000000"/>
                <w:szCs w:val="21"/>
              </w:rPr>
            </w:pPr>
            <w:r>
              <w:rPr>
                <w:rFonts w:hint="eastAsia" w:ascii="宋体" w:hAnsi="宋体"/>
                <w:color w:val="000000"/>
                <w:szCs w:val="21"/>
              </w:rPr>
              <w:t>34个公共自行车服务投放点视频监控</w:t>
            </w:r>
            <w:r>
              <w:rPr>
                <w:rFonts w:hint="eastAsia" w:ascii="宋体" w:hAnsi="宋体"/>
                <w:color w:val="000000"/>
                <w:kern w:val="0"/>
                <w:szCs w:val="21"/>
              </w:rPr>
              <w:t>点位升级改造及云存储平台搭建，验收前需出具第三方检测报告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wBefore w:w="0" w:type="dxa"/>
          <w:wAfter w:w="0" w:type="dxa"/>
          <w:trHeight w:val="954" w:hRule="atLeast"/>
        </w:trPr>
        <w:tc>
          <w:tcPr>
            <w:tcW w:w="609"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s="Segoe UI"/>
                <w:color w:val="333333"/>
                <w:kern w:val="0"/>
                <w:szCs w:val="21"/>
              </w:rPr>
            </w:pPr>
            <w:r>
              <w:rPr>
                <w:rFonts w:hint="eastAsia" w:ascii="宋体" w:hAnsi="宋体" w:cs="Segoe UI"/>
                <w:color w:val="333333"/>
                <w:kern w:val="0"/>
                <w:szCs w:val="21"/>
              </w:rPr>
              <w:t>3</w:t>
            </w:r>
          </w:p>
        </w:tc>
        <w:tc>
          <w:tcPr>
            <w:tcW w:w="2552"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color w:val="000000"/>
                <w:kern w:val="0"/>
                <w:szCs w:val="21"/>
              </w:rPr>
            </w:pPr>
            <w:r>
              <w:rPr>
                <w:rFonts w:hint="eastAsia" w:ascii="宋体" w:hAnsi="宋体"/>
                <w:color w:val="000000"/>
                <w:szCs w:val="21"/>
              </w:rPr>
              <w:t>《上虞区易**化学品可视化管理系统升级改造及租赁（租期五年）》</w:t>
            </w:r>
          </w:p>
        </w:tc>
        <w:tc>
          <w:tcPr>
            <w:tcW w:w="992"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olor w:val="000000"/>
                <w:kern w:val="0"/>
                <w:szCs w:val="21"/>
              </w:rPr>
            </w:pPr>
            <w:r>
              <w:rPr>
                <w:rFonts w:hint="eastAsia" w:ascii="宋体" w:hAnsi="宋体"/>
                <w:color w:val="000000"/>
                <w:kern w:val="0"/>
                <w:szCs w:val="21"/>
              </w:rPr>
              <w:t>23</w:t>
            </w:r>
          </w:p>
        </w:tc>
        <w:tc>
          <w:tcPr>
            <w:tcW w:w="709"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color w:val="000000"/>
                <w:kern w:val="0"/>
                <w:szCs w:val="21"/>
              </w:rPr>
            </w:pPr>
            <w:r>
              <w:rPr>
                <w:rFonts w:hint="eastAsia" w:ascii="宋体" w:hAnsi="宋体"/>
                <w:color w:val="000000"/>
                <w:kern w:val="0"/>
                <w:szCs w:val="21"/>
              </w:rPr>
              <w:t>点位</w:t>
            </w:r>
          </w:p>
        </w:tc>
        <w:tc>
          <w:tcPr>
            <w:tcW w:w="1276"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color w:val="000000"/>
                <w:kern w:val="0"/>
                <w:szCs w:val="21"/>
              </w:rPr>
            </w:pPr>
            <w:r>
              <w:rPr>
                <w:rFonts w:hint="eastAsia" w:ascii="宋体" w:hAnsi="宋体"/>
                <w:color w:val="000000"/>
                <w:kern w:val="0"/>
                <w:szCs w:val="21"/>
              </w:rPr>
              <w:t>年租金14万元，五年共70万</w:t>
            </w:r>
          </w:p>
        </w:tc>
        <w:tc>
          <w:tcPr>
            <w:tcW w:w="2835" w:type="dxa"/>
            <w:shd w:val="clear" w:color="auto" w:fill="FFFFFF"/>
            <w:noWrap w:val="0"/>
            <w:tcMar>
              <w:top w:w="75" w:type="dxa"/>
              <w:left w:w="75" w:type="dxa"/>
              <w:bottom w:w="75" w:type="dxa"/>
              <w:right w:w="75" w:type="dxa"/>
            </w:tcMar>
            <w:vAlign w:val="center"/>
          </w:tcPr>
          <w:p>
            <w:pPr>
              <w:widowControl/>
              <w:jc w:val="center"/>
              <w:rPr>
                <w:rFonts w:hint="eastAsia" w:ascii="宋体" w:hAnsi="宋体"/>
                <w:color w:val="000000"/>
                <w:szCs w:val="21"/>
              </w:rPr>
            </w:pPr>
            <w:r>
              <w:rPr>
                <w:rFonts w:hint="eastAsia" w:ascii="宋体" w:hAnsi="宋体"/>
                <w:color w:val="000000"/>
                <w:szCs w:val="21"/>
              </w:rPr>
              <w:t>23家易**化学品可视化管理系统</w:t>
            </w:r>
            <w:r>
              <w:rPr>
                <w:rFonts w:hint="eastAsia" w:ascii="宋体" w:hAnsi="宋体"/>
                <w:color w:val="000000"/>
                <w:kern w:val="0"/>
                <w:szCs w:val="21"/>
              </w:rPr>
              <w:t>升级改造及云存储平台搭建，验收前需出具第三方检测报告</w:t>
            </w:r>
          </w:p>
        </w:tc>
      </w:tr>
    </w:tbl>
    <w:p>
      <w:pPr>
        <w:widowControl/>
        <w:spacing w:before="100" w:after="100" w:line="360" w:lineRule="atLeast"/>
        <w:jc w:val="left"/>
        <w:rPr>
          <w:rFonts w:cs="宋体"/>
          <w:color w:val="333333"/>
          <w:kern w:val="0"/>
          <w:szCs w:val="21"/>
        </w:rPr>
      </w:pPr>
      <w:r>
        <w:rPr>
          <w:rFonts w:hint="eastAsia" w:ascii="宋体" w:hAnsi="宋体" w:cs="宋体"/>
          <w:b/>
          <w:bCs/>
          <w:color w:val="333333"/>
          <w:kern w:val="0"/>
          <w:szCs w:val="21"/>
        </w:rPr>
        <w:t>四．   投标供应商资格要求:</w:t>
      </w:r>
    </w:p>
    <w:p>
      <w:pPr>
        <w:widowControl/>
        <w:spacing w:before="100" w:after="100" w:line="360" w:lineRule="atLeast"/>
        <w:jc w:val="left"/>
        <w:rPr>
          <w:rFonts w:hint="eastAsia" w:ascii="宋体" w:hAnsi="宋体" w:cs="Arial"/>
          <w:bCs/>
          <w:iCs/>
          <w:szCs w:val="21"/>
          <w:u w:val="single"/>
        </w:rPr>
      </w:pPr>
      <w:r>
        <w:rPr>
          <w:rFonts w:hint="eastAsia" w:ascii="宋体" w:hAnsi="宋体" w:cs="宋体"/>
          <w:b/>
          <w:bCs/>
          <w:color w:val="333333"/>
          <w:kern w:val="0"/>
          <w:szCs w:val="21"/>
        </w:rPr>
        <w:t xml:space="preserve">   </w:t>
      </w:r>
      <w:r>
        <w:rPr>
          <w:rFonts w:hint="eastAsia" w:ascii="宋体" w:hAnsi="宋体" w:cs="Arial"/>
          <w:bCs/>
          <w:iCs/>
          <w:szCs w:val="21"/>
          <w:u w:val="single"/>
        </w:rPr>
        <w:t>1、符合政府采购法第二十二条规定的投标人资格条件；</w:t>
      </w:r>
    </w:p>
    <w:p>
      <w:pPr>
        <w:widowControl/>
        <w:spacing w:before="100" w:after="100" w:line="360" w:lineRule="atLeast"/>
        <w:ind w:firstLine="420" w:firstLineChars="200"/>
        <w:jc w:val="left"/>
        <w:rPr>
          <w:rFonts w:hint="eastAsia" w:ascii="宋体" w:hAnsi="宋体" w:cs="Arial"/>
          <w:bCs/>
          <w:iCs/>
          <w:color w:val="000000"/>
          <w:szCs w:val="21"/>
          <w:u w:val="single"/>
        </w:rPr>
      </w:pPr>
      <w:r>
        <w:rPr>
          <w:rFonts w:hint="eastAsia" w:ascii="宋体" w:hAnsi="宋体" w:cs="Arial"/>
          <w:bCs/>
          <w:iCs/>
          <w:color w:val="000000"/>
          <w:szCs w:val="21"/>
          <w:u w:val="single"/>
        </w:rPr>
        <w:t>2、投标人具备通过光纤网络传输数据、图像、多媒体通信与信息服务的能力以及履行合同所必需的设备和专业技术能力；</w:t>
      </w:r>
    </w:p>
    <w:p>
      <w:pPr>
        <w:autoSpaceDE w:val="0"/>
        <w:autoSpaceDN w:val="0"/>
        <w:snapToGrid w:val="0"/>
        <w:spacing w:line="360" w:lineRule="auto"/>
        <w:ind w:firstLine="420" w:firstLineChars="200"/>
        <w:textAlignment w:val="bottom"/>
        <w:rPr>
          <w:rFonts w:hint="eastAsia" w:ascii="宋体" w:hAnsi="宋体"/>
          <w:sz w:val="24"/>
          <w:szCs w:val="21"/>
        </w:rPr>
      </w:pPr>
      <w:r>
        <w:rPr>
          <w:rFonts w:hint="eastAsia" w:ascii="宋体" w:hAnsi="宋体" w:cs="Arial"/>
          <w:bCs/>
          <w:iCs/>
          <w:szCs w:val="21"/>
          <w:u w:val="single"/>
        </w:rPr>
        <w:t>3、本次招标不接受联合体投标。</w:t>
      </w:r>
    </w:p>
    <w:p>
      <w:pPr>
        <w:autoSpaceDE w:val="0"/>
        <w:autoSpaceDN w:val="0"/>
        <w:snapToGrid w:val="0"/>
        <w:spacing w:line="360" w:lineRule="auto"/>
        <w:ind w:firstLine="420" w:firstLineChars="200"/>
        <w:textAlignment w:val="bottom"/>
        <w:rPr>
          <w:rFonts w:ascii="宋体" w:hAnsi="宋体"/>
          <w:sz w:val="24"/>
          <w:szCs w:val="21"/>
        </w:rPr>
      </w:pPr>
      <w:r>
        <w:rPr>
          <w:rFonts w:hint="eastAsia" w:ascii="宋体" w:hAnsi="宋体" w:cs="Arial"/>
          <w:bCs/>
          <w:iCs/>
          <w:szCs w:val="21"/>
          <w:u w:val="single"/>
        </w:rPr>
        <w:t>4、本次招标采用资格后审的审查方式，由采购人负责审查。</w:t>
      </w:r>
    </w:p>
    <w:p>
      <w:pPr>
        <w:widowControl/>
        <w:spacing w:before="100" w:after="100" w:line="360" w:lineRule="atLeast"/>
        <w:jc w:val="left"/>
        <w:rPr>
          <w:rFonts w:cs="宋体"/>
          <w:color w:val="333333"/>
          <w:kern w:val="0"/>
          <w:szCs w:val="21"/>
        </w:rPr>
      </w:pPr>
      <w:r>
        <w:rPr>
          <w:rFonts w:hint="eastAsia" w:ascii="宋体" w:hAnsi="宋体" w:cs="宋体"/>
          <w:b/>
          <w:bCs/>
          <w:color w:val="333333"/>
          <w:kern w:val="0"/>
          <w:szCs w:val="21"/>
        </w:rPr>
        <w:t>五．   招标文件的报名/发售时间、地址、售价:</w:t>
      </w:r>
    </w:p>
    <w:p>
      <w:pPr>
        <w:widowControl/>
        <w:spacing w:before="100" w:after="100" w:line="360" w:lineRule="atLeast"/>
        <w:ind w:firstLine="540"/>
        <w:jc w:val="left"/>
        <w:rPr>
          <w:rFonts w:cs="宋体"/>
          <w:color w:val="333333"/>
          <w:kern w:val="0"/>
          <w:szCs w:val="21"/>
        </w:rPr>
      </w:pPr>
      <w:r>
        <w:rPr>
          <w:rFonts w:hint="eastAsia" w:ascii="宋体" w:hAnsi="宋体" w:cs="宋体"/>
          <w:color w:val="333333"/>
          <w:kern w:val="0"/>
          <w:szCs w:val="21"/>
        </w:rPr>
        <w:t>   1． 报名时间：</w:t>
      </w:r>
      <w:r>
        <w:rPr>
          <w:rFonts w:hint="eastAsia" w:ascii="宋体" w:hAnsi="宋体" w:cs="宋体"/>
          <w:color w:val="000000"/>
          <w:kern w:val="0"/>
          <w:szCs w:val="21"/>
        </w:rPr>
        <w:t>2019-3- 11至2019- 4 - 1 (</w:t>
      </w:r>
      <w:r>
        <w:rPr>
          <w:rFonts w:hint="eastAsia" w:ascii="宋体" w:hAnsi="宋体" w:cs="宋体"/>
          <w:color w:val="333333"/>
          <w:kern w:val="0"/>
          <w:szCs w:val="21"/>
        </w:rPr>
        <w:t>双休日及法定节假日除外)</w:t>
      </w:r>
    </w:p>
    <w:p>
      <w:pPr>
        <w:widowControl/>
        <w:spacing w:before="100" w:after="100" w:line="360" w:lineRule="atLeast"/>
        <w:ind w:firstLine="540"/>
        <w:jc w:val="left"/>
        <w:rPr>
          <w:rFonts w:cs="宋体"/>
          <w:color w:val="333333"/>
          <w:kern w:val="0"/>
          <w:szCs w:val="21"/>
        </w:rPr>
      </w:pPr>
      <w:r>
        <w:rPr>
          <w:rFonts w:hint="eastAsia" w:ascii="宋体" w:hAnsi="宋体" w:cs="宋体"/>
          <w:color w:val="333333"/>
          <w:kern w:val="0"/>
          <w:szCs w:val="21"/>
        </w:rPr>
        <w:t>         上午：8:30-11:30；下午：14:30-17:00（逾期不再受理）</w:t>
      </w:r>
    </w:p>
    <w:p>
      <w:pPr>
        <w:widowControl/>
        <w:spacing w:before="100" w:after="100" w:line="360" w:lineRule="atLeast"/>
        <w:ind w:left="1575" w:leftChars="100" w:hanging="1365" w:hangingChars="650"/>
        <w:jc w:val="left"/>
        <w:rPr>
          <w:rFonts w:cs="宋体"/>
          <w:color w:val="333333"/>
          <w:kern w:val="0"/>
          <w:szCs w:val="21"/>
        </w:rPr>
      </w:pPr>
      <w:r>
        <w:rPr>
          <w:rFonts w:hint="eastAsia" w:ascii="宋体" w:hAnsi="宋体" w:cs="宋体"/>
          <w:color w:val="333333"/>
          <w:kern w:val="0"/>
          <w:szCs w:val="21"/>
        </w:rPr>
        <w:t>      2． 报名方式：网上在线报名。网上报名网站为浙江政府采购云平台，网址http://www.zcy.gov.cn/。</w:t>
      </w:r>
    </w:p>
    <w:p>
      <w:pPr>
        <w:widowControl/>
        <w:spacing w:before="100" w:after="100" w:line="360" w:lineRule="atLeast"/>
        <w:ind w:firstLine="540"/>
        <w:jc w:val="left"/>
        <w:rPr>
          <w:rFonts w:cs="宋体"/>
          <w:color w:val="333333"/>
          <w:kern w:val="0"/>
          <w:szCs w:val="21"/>
        </w:rPr>
      </w:pPr>
      <w:r>
        <w:rPr>
          <w:rFonts w:hint="eastAsia" w:ascii="宋体" w:hAnsi="宋体" w:cs="宋体"/>
          <w:color w:val="333333"/>
          <w:kern w:val="0"/>
          <w:szCs w:val="21"/>
        </w:rPr>
        <w:t>   3.招标文件售价：免费，</w:t>
      </w:r>
      <w:r>
        <w:rPr>
          <w:rFonts w:hint="eastAsia" w:ascii="宋体" w:hAnsi="宋体" w:cs="宋体"/>
          <w:color w:val="000000"/>
          <w:kern w:val="0"/>
          <w:szCs w:val="21"/>
        </w:rPr>
        <w:t>招标文件请至公告附件处下载。</w:t>
      </w:r>
    </w:p>
    <w:p>
      <w:pPr>
        <w:widowControl/>
        <w:shd w:val="clear" w:color="auto" w:fill="FFFFFF"/>
        <w:spacing w:before="100" w:after="100" w:line="435" w:lineRule="atLeast"/>
        <w:ind w:firstLine="540"/>
        <w:jc w:val="left"/>
        <w:rPr>
          <w:rFonts w:cs="宋体"/>
          <w:color w:val="333333"/>
          <w:kern w:val="0"/>
          <w:szCs w:val="21"/>
        </w:rPr>
      </w:pPr>
      <w:r>
        <w:rPr>
          <w:rFonts w:hint="eastAsia" w:ascii="宋体" w:hAnsi="宋体" w:cs="宋体"/>
          <w:color w:val="333333"/>
          <w:kern w:val="0"/>
          <w:szCs w:val="21"/>
        </w:rPr>
        <w:t>   4.报名联系电话：0575-82398111</w:t>
      </w:r>
    </w:p>
    <w:p>
      <w:pPr>
        <w:widowControl/>
        <w:shd w:val="clear" w:color="auto" w:fill="FFFFFF"/>
        <w:spacing w:before="100" w:after="100" w:line="435" w:lineRule="atLeast"/>
        <w:ind w:firstLine="540"/>
        <w:jc w:val="left"/>
        <w:rPr>
          <w:rFonts w:cs="宋体"/>
          <w:color w:val="333333"/>
          <w:kern w:val="0"/>
          <w:szCs w:val="21"/>
        </w:rPr>
      </w:pPr>
      <w:r>
        <w:rPr>
          <w:rFonts w:hint="eastAsia" w:ascii="仿宋_GB2312" w:eastAsia="仿宋_GB2312" w:cs="宋体"/>
          <w:color w:val="333333"/>
          <w:kern w:val="0"/>
          <w:sz w:val="24"/>
        </w:rPr>
        <w:t xml:space="preserve">      </w:t>
      </w:r>
      <w:r>
        <w:rPr>
          <w:rFonts w:hint="eastAsia" w:ascii="宋体" w:hAnsi="宋体" w:cs="宋体"/>
          <w:color w:val="333333"/>
          <w:kern w:val="0"/>
          <w:szCs w:val="21"/>
        </w:rPr>
        <w:t>5.提示：（1）采购机构将拒绝接受非报名供应商的投标文件。</w:t>
      </w:r>
    </w:p>
    <w:p>
      <w:pPr>
        <w:widowControl/>
        <w:shd w:val="clear" w:color="auto" w:fill="FFFFFF"/>
        <w:spacing w:before="100" w:after="100" w:line="435" w:lineRule="atLeast"/>
        <w:ind w:left="840" w:leftChars="100" w:hanging="630" w:hangingChars="300"/>
        <w:jc w:val="left"/>
        <w:rPr>
          <w:rFonts w:cs="宋体"/>
          <w:color w:val="333333"/>
          <w:kern w:val="0"/>
          <w:szCs w:val="21"/>
        </w:rPr>
      </w:pPr>
      <w:r>
        <w:rPr>
          <w:rFonts w:hint="eastAsia" w:ascii="宋体" w:hAnsi="宋体" w:cs="宋体"/>
          <w:color w:val="333333"/>
          <w:kern w:val="0"/>
          <w:szCs w:val="21"/>
        </w:rPr>
        <w:t>             （2）招标文件及更正补充公告请自行登录浙江政府采购网或绍兴市上虞区公共资源交易中心网站，在采购公告页面中下载。</w:t>
      </w:r>
    </w:p>
    <w:p>
      <w:pPr>
        <w:widowControl/>
        <w:spacing w:before="100" w:after="100" w:line="360" w:lineRule="atLeast"/>
        <w:jc w:val="left"/>
        <w:rPr>
          <w:rFonts w:cs="宋体"/>
          <w:color w:val="000000"/>
          <w:kern w:val="0"/>
          <w:szCs w:val="21"/>
        </w:rPr>
      </w:pPr>
      <w:r>
        <w:rPr>
          <w:rFonts w:hint="eastAsia" w:ascii="宋体" w:hAnsi="宋体" w:cs="宋体"/>
          <w:b/>
          <w:bCs/>
          <w:color w:val="333333"/>
          <w:kern w:val="0"/>
          <w:szCs w:val="21"/>
        </w:rPr>
        <w:t>六．   投标截止时间：2019-</w:t>
      </w:r>
      <w:r>
        <w:rPr>
          <w:rFonts w:hint="eastAsia" w:ascii="宋体" w:hAnsi="宋体" w:cs="宋体"/>
          <w:color w:val="000000"/>
          <w:kern w:val="0"/>
          <w:szCs w:val="21"/>
        </w:rPr>
        <w:t>4</w:t>
      </w:r>
      <w:r>
        <w:rPr>
          <w:rFonts w:ascii="宋体" w:hAnsi="宋体" w:cs="宋体"/>
          <w:b/>
          <w:bCs/>
          <w:color w:val="000000"/>
          <w:kern w:val="0"/>
          <w:szCs w:val="21"/>
        </w:rPr>
        <w:t>–</w:t>
      </w:r>
      <w:r>
        <w:rPr>
          <w:rFonts w:hint="eastAsia" w:ascii="宋体" w:hAnsi="宋体" w:cs="宋体"/>
          <w:color w:val="000000"/>
          <w:kern w:val="0"/>
          <w:szCs w:val="21"/>
        </w:rPr>
        <w:t xml:space="preserve"> 2</w:t>
      </w:r>
      <w:r>
        <w:rPr>
          <w:rFonts w:hint="eastAsia" w:ascii="宋体" w:hAnsi="宋体" w:cs="宋体"/>
          <w:b/>
          <w:bCs/>
          <w:color w:val="000000"/>
          <w:kern w:val="0"/>
          <w:szCs w:val="21"/>
        </w:rPr>
        <w:t xml:space="preserve"> 09:30:00</w:t>
      </w:r>
    </w:p>
    <w:p>
      <w:pPr>
        <w:widowControl/>
        <w:spacing w:before="100" w:after="100" w:line="360" w:lineRule="atLeast"/>
        <w:jc w:val="left"/>
        <w:rPr>
          <w:rFonts w:cs="宋体"/>
          <w:color w:val="000000"/>
          <w:kern w:val="0"/>
          <w:szCs w:val="21"/>
        </w:rPr>
      </w:pPr>
      <w:r>
        <w:rPr>
          <w:rFonts w:hint="eastAsia" w:ascii="宋体" w:hAnsi="宋体" w:cs="宋体"/>
          <w:b/>
          <w:bCs/>
          <w:color w:val="000000"/>
          <w:kern w:val="0"/>
          <w:szCs w:val="21"/>
        </w:rPr>
        <w:t>七．   投标地址：</w:t>
      </w:r>
      <w:r>
        <w:rPr>
          <w:rFonts w:hint="eastAsia" w:ascii="宋体" w:hAnsi="宋体" w:cs="宋体"/>
          <w:color w:val="000000"/>
          <w:kern w:val="0"/>
          <w:szCs w:val="21"/>
        </w:rPr>
        <w:t>上虞区便民中心三楼</w:t>
      </w:r>
    </w:p>
    <w:p>
      <w:pPr>
        <w:widowControl/>
        <w:spacing w:before="100" w:after="100" w:line="360" w:lineRule="atLeast"/>
        <w:jc w:val="left"/>
        <w:rPr>
          <w:rFonts w:cs="宋体"/>
          <w:color w:val="000000"/>
          <w:kern w:val="0"/>
          <w:szCs w:val="21"/>
        </w:rPr>
      </w:pPr>
      <w:r>
        <w:rPr>
          <w:rFonts w:hint="eastAsia" w:ascii="宋体" w:hAnsi="宋体" w:cs="宋体"/>
          <w:b/>
          <w:bCs/>
          <w:color w:val="000000"/>
          <w:kern w:val="0"/>
          <w:szCs w:val="21"/>
        </w:rPr>
        <w:t>八．   开标时间：</w:t>
      </w:r>
      <w:r>
        <w:rPr>
          <w:rFonts w:hint="eastAsia" w:ascii="宋体" w:hAnsi="宋体" w:cs="宋体"/>
          <w:b/>
          <w:bCs/>
          <w:color w:val="333333"/>
          <w:kern w:val="0"/>
          <w:szCs w:val="21"/>
        </w:rPr>
        <w:t>2019-</w:t>
      </w:r>
      <w:r>
        <w:rPr>
          <w:rFonts w:hint="eastAsia" w:ascii="宋体" w:hAnsi="宋体" w:cs="宋体"/>
          <w:color w:val="000000"/>
          <w:kern w:val="0"/>
          <w:szCs w:val="21"/>
        </w:rPr>
        <w:t>4</w:t>
      </w:r>
      <w:r>
        <w:rPr>
          <w:rFonts w:ascii="宋体" w:hAnsi="宋体" w:cs="宋体"/>
          <w:b/>
          <w:bCs/>
          <w:color w:val="000000"/>
          <w:kern w:val="0"/>
          <w:szCs w:val="21"/>
        </w:rPr>
        <w:t>–</w:t>
      </w:r>
      <w:r>
        <w:rPr>
          <w:rFonts w:hint="eastAsia" w:ascii="宋体" w:hAnsi="宋体" w:cs="宋体"/>
          <w:color w:val="000000"/>
          <w:kern w:val="0"/>
          <w:szCs w:val="21"/>
        </w:rPr>
        <w:t xml:space="preserve"> 2</w:t>
      </w:r>
      <w:r>
        <w:rPr>
          <w:rFonts w:hint="eastAsia" w:ascii="宋体" w:hAnsi="宋体" w:cs="宋体"/>
          <w:b/>
          <w:bCs/>
          <w:color w:val="000000"/>
          <w:kern w:val="0"/>
          <w:szCs w:val="21"/>
        </w:rPr>
        <w:t xml:space="preserve"> 09:30:00</w:t>
      </w:r>
    </w:p>
    <w:p>
      <w:pPr>
        <w:widowControl/>
        <w:spacing w:before="100" w:after="100" w:line="360" w:lineRule="atLeast"/>
        <w:jc w:val="left"/>
        <w:rPr>
          <w:rFonts w:cs="宋体"/>
          <w:color w:val="333333"/>
          <w:kern w:val="0"/>
          <w:szCs w:val="21"/>
        </w:rPr>
      </w:pPr>
      <w:r>
        <w:rPr>
          <w:rFonts w:hint="eastAsia" w:ascii="宋体" w:hAnsi="宋体" w:cs="宋体"/>
          <w:b/>
          <w:bCs/>
          <w:color w:val="333333"/>
          <w:kern w:val="0"/>
          <w:szCs w:val="21"/>
        </w:rPr>
        <w:t>九．   开标地址</w:t>
      </w:r>
      <w:r>
        <w:rPr>
          <w:rFonts w:hint="eastAsia" w:ascii="宋体" w:hAnsi="宋体" w:cs="宋体"/>
          <w:color w:val="333333"/>
          <w:kern w:val="0"/>
          <w:szCs w:val="21"/>
        </w:rPr>
        <w:t>：上虞区便民中心三楼</w:t>
      </w:r>
    </w:p>
    <w:p>
      <w:pPr>
        <w:widowControl/>
        <w:spacing w:before="100" w:after="100" w:line="360" w:lineRule="atLeast"/>
        <w:jc w:val="left"/>
        <w:rPr>
          <w:rFonts w:cs="宋体"/>
          <w:color w:val="333333"/>
          <w:kern w:val="0"/>
          <w:szCs w:val="21"/>
        </w:rPr>
      </w:pPr>
      <w:r>
        <w:rPr>
          <w:rFonts w:hint="eastAsia" w:ascii="宋体" w:hAnsi="宋体" w:cs="宋体"/>
          <w:b/>
          <w:bCs/>
          <w:color w:val="333333"/>
          <w:kern w:val="0"/>
          <w:szCs w:val="21"/>
        </w:rPr>
        <w:t>十．   投标保证金：</w:t>
      </w:r>
    </w:p>
    <w:p>
      <w:pPr>
        <w:widowControl/>
        <w:spacing w:before="100" w:after="100" w:line="360" w:lineRule="atLeast"/>
        <w:ind w:firstLine="540"/>
        <w:jc w:val="left"/>
        <w:rPr>
          <w:rFonts w:cs="宋体"/>
          <w:color w:val="333333"/>
          <w:kern w:val="0"/>
          <w:szCs w:val="21"/>
        </w:rPr>
      </w:pPr>
      <w:r>
        <w:rPr>
          <w:rFonts w:hint="eastAsia" w:ascii="宋体" w:hAnsi="宋体" w:cs="宋体"/>
          <w:color w:val="333333"/>
          <w:kern w:val="0"/>
          <w:szCs w:val="21"/>
        </w:rPr>
        <w:t xml:space="preserve">   投标保证金(元)：50000元 </w:t>
      </w:r>
    </w:p>
    <w:p>
      <w:pPr>
        <w:spacing w:line="360" w:lineRule="auto"/>
        <w:rPr>
          <w:rFonts w:hint="eastAsia" w:ascii="宋体" w:hAnsi="宋体" w:cs="宋体"/>
          <w:color w:val="333333"/>
          <w:kern w:val="0"/>
          <w:szCs w:val="21"/>
        </w:rPr>
      </w:pPr>
      <w:r>
        <w:rPr>
          <w:rFonts w:hint="eastAsia" w:ascii="宋体" w:hAnsi="宋体" w:cs="宋体"/>
          <w:color w:val="333333"/>
          <w:kern w:val="0"/>
          <w:szCs w:val="21"/>
        </w:rPr>
        <w:t>   交付方式：</w:t>
      </w:r>
      <w:r>
        <w:rPr>
          <w:rFonts w:ascii="宋体" w:hAnsi="宋体" w:cs="宋体"/>
          <w:color w:val="333333"/>
          <w:kern w:val="0"/>
          <w:szCs w:val="21"/>
        </w:rPr>
        <w:t>网上银行或柜面电汇或柜面行内转账（浙江农信）</w:t>
      </w:r>
    </w:p>
    <w:p>
      <w:pPr>
        <w:spacing w:line="360" w:lineRule="auto"/>
        <w:rPr>
          <w:rFonts w:cs="宋体"/>
          <w:color w:val="333333"/>
          <w:kern w:val="0"/>
          <w:szCs w:val="21"/>
        </w:rPr>
      </w:pPr>
      <w:r>
        <w:rPr>
          <w:rFonts w:hint="eastAsia" w:ascii="宋体" w:hAnsi="宋体" w:cs="宋体"/>
          <w:color w:val="333333"/>
          <w:kern w:val="0"/>
          <w:szCs w:val="21"/>
        </w:rPr>
        <w:t>   收款单位（户名）：绍兴市上虞区公共资源交易中心投标保证金专户</w:t>
      </w:r>
    </w:p>
    <w:p>
      <w:pPr>
        <w:widowControl/>
        <w:spacing w:before="100" w:after="100" w:line="360" w:lineRule="atLeast"/>
        <w:ind w:firstLine="540"/>
        <w:jc w:val="left"/>
        <w:rPr>
          <w:rFonts w:cs="宋体"/>
          <w:color w:val="333333"/>
          <w:kern w:val="0"/>
          <w:szCs w:val="21"/>
        </w:rPr>
      </w:pPr>
      <w:r>
        <w:rPr>
          <w:rFonts w:hint="eastAsia" w:ascii="宋体" w:hAnsi="宋体" w:cs="宋体"/>
          <w:color w:val="333333"/>
          <w:kern w:val="0"/>
          <w:szCs w:val="21"/>
        </w:rPr>
        <w:t>   开户银行： 浙江上虞农村商业银行股份有限公司百官支行</w:t>
      </w:r>
    </w:p>
    <w:p>
      <w:pPr>
        <w:widowControl/>
        <w:spacing w:before="100" w:after="100" w:line="360" w:lineRule="atLeast"/>
        <w:ind w:firstLine="540"/>
        <w:jc w:val="left"/>
        <w:rPr>
          <w:rFonts w:hint="eastAsia" w:ascii="宋体" w:hAnsi="宋体" w:cs="宋体"/>
          <w:color w:val="333333"/>
          <w:kern w:val="0"/>
          <w:szCs w:val="21"/>
        </w:rPr>
      </w:pPr>
      <w:r>
        <w:rPr>
          <w:rFonts w:hint="eastAsia" w:ascii="宋体" w:hAnsi="宋体" w:cs="宋体"/>
          <w:color w:val="333333"/>
          <w:kern w:val="0"/>
          <w:szCs w:val="21"/>
        </w:rPr>
        <w:t>   银行账号：201000167905864</w:t>
      </w:r>
    </w:p>
    <w:p>
      <w:pPr>
        <w:pStyle w:val="50"/>
        <w:spacing w:line="435" w:lineRule="atLeast"/>
        <w:rPr>
          <w:rFonts w:hint="eastAsia" w:ascii="微软雅黑" w:hAnsi="微软雅黑" w:eastAsia="微软雅黑"/>
          <w:color w:val="000000"/>
          <w:sz w:val="20"/>
          <w:szCs w:val="20"/>
        </w:rPr>
      </w:pPr>
      <w:r>
        <w:rPr>
          <w:rFonts w:hint="eastAsia"/>
          <w:b/>
          <w:bCs/>
          <w:color w:val="000000"/>
          <w:sz w:val="21"/>
          <w:szCs w:val="21"/>
        </w:rPr>
        <w:t>十一.公告期限：</w:t>
      </w:r>
      <w:r>
        <w:rPr>
          <w:rFonts w:hint="eastAsia"/>
          <w:color w:val="000000"/>
          <w:sz w:val="21"/>
          <w:szCs w:val="21"/>
        </w:rPr>
        <w:t>五个工作日。</w:t>
      </w:r>
    </w:p>
    <w:p>
      <w:pPr>
        <w:widowControl/>
        <w:spacing w:before="100" w:after="100" w:line="360" w:lineRule="atLeast"/>
        <w:jc w:val="left"/>
        <w:rPr>
          <w:rFonts w:cs="宋体"/>
          <w:color w:val="000000"/>
          <w:kern w:val="0"/>
          <w:szCs w:val="21"/>
        </w:rPr>
      </w:pPr>
      <w:r>
        <w:rPr>
          <w:rFonts w:hint="eastAsia" w:ascii="宋体" w:hAnsi="宋体" w:cs="宋体"/>
          <w:b/>
          <w:bCs/>
          <w:color w:val="000000"/>
          <w:kern w:val="0"/>
          <w:szCs w:val="21"/>
        </w:rPr>
        <w:t>十二．其他事项：</w:t>
      </w:r>
    </w:p>
    <w:p>
      <w:pPr>
        <w:widowControl/>
        <w:spacing w:before="100" w:after="100" w:line="264" w:lineRule="auto"/>
        <w:ind w:firstLine="420"/>
        <w:jc w:val="left"/>
        <w:rPr>
          <w:rFonts w:ascii="宋体" w:hAnsi="宋体" w:cs="宋体"/>
          <w:color w:val="000000"/>
          <w:kern w:val="0"/>
          <w:szCs w:val="21"/>
        </w:rPr>
      </w:pPr>
      <w:r>
        <w:rPr>
          <w:rFonts w:hint="eastAsia" w:ascii="宋体" w:hAnsi="宋体" w:cs="宋体"/>
          <w:color w:val="000000"/>
          <w:kern w:val="0"/>
          <w:szCs w:val="21"/>
        </w:rPr>
        <w:t>1．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100" w:after="100" w:line="360" w:lineRule="atLeast"/>
        <w:jc w:val="left"/>
        <w:rPr>
          <w:rFonts w:cs="宋体"/>
          <w:color w:val="333333"/>
          <w:kern w:val="0"/>
          <w:szCs w:val="21"/>
        </w:rPr>
      </w:pPr>
      <w:r>
        <w:rPr>
          <w:rFonts w:hint="eastAsia" w:ascii="宋体" w:hAnsi="宋体" w:cs="宋体"/>
          <w:b/>
          <w:bCs/>
          <w:color w:val="000000"/>
          <w:kern w:val="0"/>
          <w:szCs w:val="21"/>
        </w:rPr>
        <w:t>十二．联系方式</w:t>
      </w:r>
    </w:p>
    <w:p>
      <w:pPr>
        <w:widowControl/>
        <w:spacing w:before="100" w:after="100" w:line="360" w:lineRule="atLeast"/>
        <w:ind w:firstLine="540"/>
        <w:jc w:val="left"/>
        <w:rPr>
          <w:rFonts w:cs="宋体"/>
          <w:color w:val="333333"/>
          <w:kern w:val="0"/>
          <w:szCs w:val="21"/>
        </w:rPr>
      </w:pPr>
      <w:r>
        <w:rPr>
          <w:rFonts w:hint="eastAsia" w:ascii="宋体" w:hAnsi="宋体" w:cs="宋体"/>
          <w:color w:val="000000"/>
          <w:kern w:val="0"/>
          <w:szCs w:val="21"/>
        </w:rPr>
        <w:t>  1、绍兴市上虞区公共资源交易中心</w:t>
      </w:r>
    </w:p>
    <w:p>
      <w:pPr>
        <w:widowControl/>
        <w:spacing w:before="100" w:after="100" w:line="360" w:lineRule="atLeast"/>
        <w:ind w:firstLine="540"/>
        <w:jc w:val="left"/>
        <w:rPr>
          <w:rFonts w:cs="宋体"/>
          <w:color w:val="333333"/>
          <w:kern w:val="0"/>
          <w:szCs w:val="21"/>
        </w:rPr>
      </w:pPr>
      <w:r>
        <w:rPr>
          <w:rFonts w:hint="eastAsia" w:ascii="宋体" w:hAnsi="宋体" w:cs="宋体"/>
          <w:color w:val="000000"/>
          <w:kern w:val="0"/>
          <w:szCs w:val="21"/>
        </w:rPr>
        <w:t>       联系人：黄女士</w:t>
      </w:r>
    </w:p>
    <w:p>
      <w:pPr>
        <w:widowControl/>
        <w:spacing w:before="100" w:after="100" w:line="360" w:lineRule="atLeast"/>
        <w:ind w:firstLine="540"/>
        <w:jc w:val="left"/>
        <w:rPr>
          <w:rFonts w:cs="宋体"/>
          <w:color w:val="333333"/>
          <w:kern w:val="0"/>
          <w:szCs w:val="21"/>
        </w:rPr>
      </w:pPr>
      <w:r>
        <w:rPr>
          <w:rFonts w:hint="eastAsia" w:ascii="宋体" w:hAnsi="宋体" w:cs="宋体"/>
          <w:color w:val="000000"/>
          <w:kern w:val="0"/>
          <w:szCs w:val="21"/>
        </w:rPr>
        <w:t>       联系电话：0575-82398111</w:t>
      </w:r>
    </w:p>
    <w:p>
      <w:pPr>
        <w:widowControl/>
        <w:spacing w:before="100" w:after="100" w:line="360" w:lineRule="atLeast"/>
        <w:ind w:firstLine="540"/>
        <w:jc w:val="left"/>
        <w:rPr>
          <w:rFonts w:cs="宋体"/>
          <w:color w:val="333333"/>
          <w:kern w:val="0"/>
          <w:szCs w:val="21"/>
        </w:rPr>
      </w:pPr>
      <w:r>
        <w:rPr>
          <w:rFonts w:hint="eastAsia" w:ascii="宋体" w:hAnsi="宋体" w:cs="宋体"/>
          <w:color w:val="000000"/>
          <w:kern w:val="0"/>
          <w:szCs w:val="21"/>
        </w:rPr>
        <w:t>       传真：0575-82398102</w:t>
      </w:r>
    </w:p>
    <w:p>
      <w:pPr>
        <w:widowControl/>
        <w:spacing w:before="100" w:after="100" w:line="360" w:lineRule="atLeast"/>
        <w:ind w:firstLine="540"/>
        <w:jc w:val="left"/>
        <w:rPr>
          <w:rFonts w:cs="宋体"/>
          <w:color w:val="333333"/>
          <w:kern w:val="0"/>
          <w:szCs w:val="21"/>
        </w:rPr>
      </w:pPr>
      <w:r>
        <w:rPr>
          <w:rFonts w:hint="eastAsia" w:ascii="宋体" w:hAnsi="宋体" w:cs="宋体"/>
          <w:color w:val="000000"/>
          <w:kern w:val="0"/>
          <w:szCs w:val="21"/>
        </w:rPr>
        <w:t>       地址：</w:t>
      </w:r>
      <w:r>
        <w:rPr>
          <w:rFonts w:hint="eastAsia" w:ascii="宋体" w:hAnsi="宋体" w:cs="宋体"/>
          <w:bCs/>
          <w:color w:val="333333"/>
          <w:kern w:val="0"/>
          <w:szCs w:val="21"/>
        </w:rPr>
        <w:t>浙江省绍兴市上虞区便民服务中心三楼</w:t>
      </w:r>
    </w:p>
    <w:p>
      <w:pPr>
        <w:widowControl/>
        <w:spacing w:before="100" w:after="100" w:line="360" w:lineRule="atLeast"/>
        <w:ind w:firstLine="540"/>
        <w:jc w:val="left"/>
        <w:rPr>
          <w:rFonts w:ascii="宋体" w:hAnsi="宋体" w:cs="宋体"/>
          <w:color w:val="000000"/>
          <w:kern w:val="0"/>
          <w:szCs w:val="21"/>
        </w:rPr>
      </w:pPr>
      <w:r>
        <w:rPr>
          <w:rFonts w:hint="eastAsia" w:ascii="宋体" w:hAnsi="宋体" w:cs="宋体"/>
          <w:color w:val="000000"/>
          <w:kern w:val="0"/>
          <w:szCs w:val="21"/>
        </w:rPr>
        <w:t>  2、采购人名称：绍兴市公安局上虞区分局</w:t>
      </w:r>
    </w:p>
    <w:p>
      <w:pPr>
        <w:widowControl/>
        <w:spacing w:before="100" w:after="100" w:line="360" w:lineRule="atLeast"/>
        <w:ind w:firstLine="540"/>
        <w:jc w:val="left"/>
        <w:rPr>
          <w:rFonts w:ascii="宋体" w:hAnsi="宋体" w:cs="宋体"/>
          <w:color w:val="000000"/>
          <w:kern w:val="0"/>
          <w:szCs w:val="21"/>
        </w:rPr>
      </w:pPr>
      <w:r>
        <w:rPr>
          <w:rFonts w:hint="eastAsia" w:ascii="宋体" w:hAnsi="宋体" w:cs="宋体"/>
          <w:color w:val="000000"/>
          <w:kern w:val="0"/>
          <w:szCs w:val="21"/>
        </w:rPr>
        <w:t>      联系人：魏先生</w:t>
      </w:r>
    </w:p>
    <w:p>
      <w:pPr>
        <w:widowControl/>
        <w:spacing w:before="100" w:after="100" w:line="360" w:lineRule="atLeast"/>
        <w:ind w:firstLine="540"/>
        <w:jc w:val="left"/>
        <w:rPr>
          <w:rFonts w:ascii="宋体" w:hAnsi="宋体" w:cs="宋体"/>
          <w:color w:val="000000"/>
          <w:kern w:val="0"/>
          <w:szCs w:val="21"/>
        </w:rPr>
      </w:pPr>
      <w:r>
        <w:rPr>
          <w:rFonts w:hint="eastAsia" w:ascii="宋体" w:hAnsi="宋体" w:cs="宋体"/>
          <w:color w:val="000000"/>
          <w:kern w:val="0"/>
          <w:szCs w:val="21"/>
        </w:rPr>
        <w:t>      联系电话：</w:t>
      </w:r>
      <w:r>
        <w:rPr>
          <w:rFonts w:ascii="宋体" w:hAnsi="宋体" w:cs="宋体"/>
          <w:color w:val="000000"/>
          <w:kern w:val="0"/>
          <w:szCs w:val="21"/>
        </w:rPr>
        <w:t>0575-82766082</w:t>
      </w:r>
    </w:p>
    <w:p>
      <w:pPr>
        <w:widowControl/>
        <w:spacing w:before="100" w:after="100" w:line="360" w:lineRule="atLeast"/>
        <w:ind w:firstLine="540"/>
        <w:jc w:val="left"/>
        <w:rPr>
          <w:rFonts w:ascii="宋体" w:hAnsi="宋体" w:cs="宋体"/>
          <w:color w:val="000000"/>
          <w:kern w:val="0"/>
          <w:szCs w:val="21"/>
        </w:rPr>
      </w:pPr>
      <w:r>
        <w:rPr>
          <w:rFonts w:hint="eastAsia" w:ascii="宋体" w:hAnsi="宋体" w:cs="宋体"/>
          <w:color w:val="000000"/>
          <w:kern w:val="0"/>
          <w:szCs w:val="21"/>
        </w:rPr>
        <w:t>      传真：</w:t>
      </w:r>
      <w:r>
        <w:rPr>
          <w:rFonts w:ascii="宋体" w:hAnsi="宋体" w:cs="宋体"/>
          <w:color w:val="000000"/>
          <w:kern w:val="0"/>
          <w:szCs w:val="21"/>
        </w:rPr>
        <w:t>0575-82766082</w:t>
      </w:r>
    </w:p>
    <w:p>
      <w:pPr>
        <w:widowControl/>
        <w:spacing w:before="100" w:after="100" w:line="360" w:lineRule="atLeast"/>
        <w:ind w:firstLine="540"/>
        <w:jc w:val="left"/>
        <w:rPr>
          <w:rFonts w:hint="eastAsia" w:ascii="宋体" w:hAnsi="宋体" w:cs="宋体"/>
          <w:color w:val="000000"/>
          <w:kern w:val="0"/>
          <w:szCs w:val="21"/>
        </w:rPr>
      </w:pPr>
      <w:r>
        <w:rPr>
          <w:rFonts w:hint="eastAsia" w:ascii="宋体" w:hAnsi="宋体" w:cs="宋体"/>
          <w:color w:val="000000"/>
          <w:kern w:val="0"/>
          <w:szCs w:val="21"/>
        </w:rPr>
        <w:t>      地址：绍兴市上虞区百官街道王充路1117号</w:t>
      </w:r>
    </w:p>
    <w:p>
      <w:pPr>
        <w:widowControl/>
        <w:spacing w:before="100" w:after="100" w:line="360" w:lineRule="atLeast"/>
        <w:ind w:firstLine="540"/>
        <w:jc w:val="left"/>
        <w:rPr>
          <w:rFonts w:ascii="宋体" w:hAnsi="宋体" w:cs="宋体"/>
          <w:color w:val="000000"/>
          <w:kern w:val="0"/>
          <w:szCs w:val="21"/>
        </w:rPr>
      </w:pPr>
      <w:r>
        <w:rPr>
          <w:rFonts w:hint="eastAsia" w:ascii="宋体" w:hAnsi="宋体" w:cs="宋体"/>
          <w:color w:val="000000"/>
          <w:kern w:val="0"/>
          <w:szCs w:val="21"/>
        </w:rPr>
        <w:t> 3、同级政府采购监督管理部门名称：绍兴市上虞区财政局</w:t>
      </w:r>
    </w:p>
    <w:p>
      <w:pPr>
        <w:widowControl/>
        <w:spacing w:before="100" w:after="100" w:line="264" w:lineRule="auto"/>
        <w:ind w:firstLine="480"/>
        <w:jc w:val="left"/>
        <w:rPr>
          <w:rFonts w:ascii="宋体" w:hAnsi="宋体" w:cs="宋体"/>
          <w:kern w:val="0"/>
          <w:szCs w:val="21"/>
        </w:rPr>
      </w:pPr>
      <w:r>
        <w:rPr>
          <w:rFonts w:hint="eastAsia" w:ascii="宋体" w:hAnsi="宋体" w:cs="宋体"/>
          <w:color w:val="000000"/>
          <w:kern w:val="0"/>
          <w:szCs w:val="21"/>
        </w:rPr>
        <w:t xml:space="preserve">      </w:t>
      </w:r>
      <w:r>
        <w:rPr>
          <w:rFonts w:hint="eastAsia" w:ascii="宋体" w:hAnsi="宋体" w:cs="宋体"/>
          <w:kern w:val="0"/>
          <w:szCs w:val="21"/>
        </w:rPr>
        <w:t>联系人：许女士</w:t>
      </w:r>
    </w:p>
    <w:p>
      <w:pPr>
        <w:widowControl/>
        <w:spacing w:before="100" w:after="100" w:line="264" w:lineRule="auto"/>
        <w:ind w:firstLine="480"/>
        <w:jc w:val="left"/>
        <w:rPr>
          <w:rFonts w:ascii="宋体" w:hAnsi="宋体" w:cs="宋体"/>
          <w:kern w:val="0"/>
          <w:szCs w:val="21"/>
        </w:rPr>
      </w:pPr>
      <w:r>
        <w:rPr>
          <w:rFonts w:hint="eastAsia" w:ascii="宋体" w:hAnsi="宋体" w:cs="宋体"/>
          <w:kern w:val="0"/>
          <w:szCs w:val="21"/>
        </w:rPr>
        <w:t>      监督投诉电话：</w:t>
      </w:r>
      <w:r>
        <w:rPr>
          <w:rFonts w:ascii="宋体" w:hAnsi="宋体" w:cs="宋体"/>
          <w:kern w:val="0"/>
          <w:szCs w:val="21"/>
        </w:rPr>
        <w:t>0575-82130212</w:t>
      </w:r>
    </w:p>
    <w:p>
      <w:pPr>
        <w:widowControl/>
        <w:spacing w:before="100" w:after="100" w:line="264" w:lineRule="auto"/>
        <w:ind w:firstLine="480"/>
        <w:jc w:val="left"/>
        <w:rPr>
          <w:rFonts w:ascii="宋体" w:hAnsi="宋体" w:cs="宋体"/>
          <w:kern w:val="0"/>
          <w:szCs w:val="21"/>
        </w:rPr>
      </w:pPr>
      <w:r>
        <w:rPr>
          <w:rFonts w:hint="eastAsia" w:ascii="宋体" w:hAnsi="宋体" w:cs="宋体"/>
          <w:kern w:val="0"/>
          <w:szCs w:val="21"/>
        </w:rPr>
        <w:t>      传真：</w:t>
      </w:r>
      <w:r>
        <w:rPr>
          <w:rFonts w:ascii="宋体" w:hAnsi="宋体" w:cs="宋体"/>
          <w:kern w:val="0"/>
          <w:szCs w:val="21"/>
        </w:rPr>
        <w:t>0575-</w:t>
      </w:r>
      <w:r>
        <w:t xml:space="preserve"> </w:t>
      </w:r>
      <w:r>
        <w:rPr>
          <w:rFonts w:ascii="宋体" w:hAnsi="宋体" w:cs="宋体"/>
          <w:kern w:val="0"/>
          <w:szCs w:val="21"/>
        </w:rPr>
        <w:t>82130212</w:t>
      </w:r>
    </w:p>
    <w:p>
      <w:pPr>
        <w:widowControl/>
        <w:spacing w:before="100" w:after="100" w:line="360" w:lineRule="atLeast"/>
        <w:ind w:firstLine="540"/>
        <w:jc w:val="left"/>
        <w:rPr>
          <w:rFonts w:hint="eastAsia" w:ascii="宋体" w:hAnsi="宋体" w:cs="宋体"/>
          <w:color w:val="000000"/>
          <w:kern w:val="0"/>
          <w:szCs w:val="21"/>
        </w:rPr>
      </w:pPr>
      <w:bookmarkStart w:id="2" w:name="_Toc130094905"/>
      <w:bookmarkStart w:id="3" w:name="_Toc98731748"/>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ind w:firstLine="480"/>
        <w:jc w:val="left"/>
        <w:rPr>
          <w:rFonts w:hint="eastAsia" w:ascii="宋体" w:hAnsi="宋体" w:cs="宋体"/>
          <w:color w:val="000000"/>
          <w:kern w:val="0"/>
          <w:szCs w:val="21"/>
        </w:rPr>
      </w:pPr>
    </w:p>
    <w:p>
      <w:pPr>
        <w:widowControl/>
        <w:spacing w:before="100" w:after="100" w:line="360" w:lineRule="atLeast"/>
        <w:jc w:val="left"/>
        <w:rPr>
          <w:rFonts w:hint="eastAsia" w:ascii="宋体" w:hAnsi="宋体" w:cs="宋体"/>
          <w:color w:val="000000"/>
          <w:kern w:val="0"/>
          <w:szCs w:val="21"/>
        </w:rPr>
      </w:pPr>
    </w:p>
    <w:p>
      <w:pPr>
        <w:pStyle w:val="2"/>
        <w:spacing w:line="360" w:lineRule="auto"/>
        <w:rPr>
          <w:rFonts w:hint="eastAsia" w:ascii="黑体" w:eastAsia="黑体"/>
          <w:color w:val="000000"/>
          <w:sz w:val="32"/>
        </w:rPr>
      </w:pPr>
      <w:bookmarkStart w:id="4" w:name="_Toc2852577"/>
      <w:r>
        <w:rPr>
          <w:rFonts w:hint="eastAsia" w:ascii="黑体" w:eastAsia="黑体"/>
          <w:color w:val="000000"/>
          <w:sz w:val="32"/>
        </w:rPr>
        <w:t>第二部分</w:t>
      </w:r>
      <w:r>
        <w:rPr>
          <w:rFonts w:ascii="黑体" w:eastAsia="黑体"/>
          <w:color w:val="000000"/>
          <w:sz w:val="32"/>
        </w:rPr>
        <w:t xml:space="preserve">   </w:t>
      </w:r>
      <w:r>
        <w:rPr>
          <w:rFonts w:hint="eastAsia" w:ascii="黑体" w:eastAsia="黑体"/>
          <w:color w:val="000000"/>
          <w:sz w:val="32"/>
        </w:rPr>
        <w:t>投标人须知</w:t>
      </w:r>
      <w:bookmarkEnd w:id="2"/>
      <w:bookmarkEnd w:id="3"/>
      <w:bookmarkEnd w:id="4"/>
    </w:p>
    <w:p>
      <w:pPr>
        <w:pStyle w:val="3"/>
        <w:spacing w:line="360" w:lineRule="auto"/>
        <w:jc w:val="center"/>
        <w:rPr>
          <w:rFonts w:hint="eastAsia" w:hAnsi="宋体"/>
          <w:color w:val="000000"/>
        </w:rPr>
      </w:pPr>
      <w:bookmarkStart w:id="5" w:name="_Toc2852578"/>
      <w:bookmarkStart w:id="6" w:name="_Toc98731749"/>
      <w:bookmarkStart w:id="7" w:name="_Toc130094906"/>
      <w:r>
        <w:rPr>
          <w:rFonts w:hint="eastAsia" w:hAnsi="宋体"/>
          <w:color w:val="000000"/>
        </w:rPr>
        <w:t>投标人须知前附表</w:t>
      </w:r>
      <w:bookmarkEnd w:id="5"/>
      <w:bookmarkEnd w:id="6"/>
      <w:bookmarkEnd w:id="7"/>
    </w:p>
    <w:p>
      <w:pPr>
        <w:pStyle w:val="4"/>
        <w:spacing w:line="360" w:lineRule="auto"/>
        <w:rPr>
          <w:rFonts w:hint="eastAsia" w:ascii="宋体" w:hAnsi="宋体"/>
          <w:color w:val="000000"/>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20"/>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 w:type="dxa"/>
            <w:noWrap w:val="0"/>
            <w:vAlign w:val="top"/>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序号</w:t>
            </w:r>
          </w:p>
        </w:tc>
        <w:tc>
          <w:tcPr>
            <w:tcW w:w="8459" w:type="dxa"/>
            <w:gridSpan w:val="2"/>
            <w:noWrap w:val="0"/>
            <w:vAlign w:val="top"/>
          </w:tcPr>
          <w:p>
            <w:pPr>
              <w:spacing w:line="360" w:lineRule="auto"/>
              <w:ind w:left="1200" w:hanging="1200" w:hangingChars="500"/>
              <w:jc w:val="center"/>
              <w:rPr>
                <w:rFonts w:hint="eastAsia" w:ascii="宋体" w:hAnsi="宋体"/>
                <w:color w:val="000000"/>
                <w:sz w:val="24"/>
                <w:szCs w:val="21"/>
              </w:rPr>
            </w:pPr>
            <w:r>
              <w:rPr>
                <w:rFonts w:hint="eastAsia" w:ascii="宋体" w:hAnsi="宋体"/>
                <w:color w:val="000000"/>
                <w:sz w:val="24"/>
                <w:szCs w:val="21"/>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1</w:t>
            </w:r>
          </w:p>
        </w:tc>
        <w:tc>
          <w:tcPr>
            <w:tcW w:w="8459" w:type="dxa"/>
            <w:gridSpan w:val="2"/>
            <w:noWrap w:val="0"/>
            <w:vAlign w:val="center"/>
          </w:tcPr>
          <w:p>
            <w:pPr>
              <w:spacing w:line="360" w:lineRule="auto"/>
              <w:ind w:left="1200" w:hanging="1200" w:hangingChars="500"/>
              <w:rPr>
                <w:rFonts w:hint="eastAsia" w:ascii="宋体" w:hAnsi="宋体"/>
                <w:color w:val="FF0000"/>
                <w:sz w:val="24"/>
                <w:szCs w:val="21"/>
              </w:rPr>
            </w:pPr>
            <w:r>
              <w:rPr>
                <w:rFonts w:hint="eastAsia" w:ascii="宋体" w:hAnsi="宋体"/>
                <w:color w:val="000000"/>
                <w:sz w:val="24"/>
                <w:szCs w:val="21"/>
              </w:rPr>
              <w:t>项目名称：</w:t>
            </w:r>
            <w:r>
              <w:rPr>
                <w:rFonts w:hint="eastAsia" w:ascii="宋体" w:hAnsi="宋体" w:cs="宋体"/>
                <w:b/>
                <w:bCs/>
                <w:color w:val="333333"/>
                <w:kern w:val="0"/>
                <w:sz w:val="18"/>
                <w:szCs w:val="18"/>
                <w:u w:val="single"/>
              </w:rPr>
              <w:t>治安动态视频监控系统第二期等2019年度到期三个系统升级改造及租赁（租期五年）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2</w:t>
            </w:r>
          </w:p>
        </w:tc>
        <w:tc>
          <w:tcPr>
            <w:tcW w:w="8459" w:type="dxa"/>
            <w:gridSpan w:val="2"/>
            <w:noWrap w:val="0"/>
            <w:vAlign w:val="center"/>
          </w:tcPr>
          <w:p>
            <w:pPr>
              <w:spacing w:line="360" w:lineRule="auto"/>
              <w:ind w:left="1200" w:hanging="1200" w:hangingChars="500"/>
              <w:rPr>
                <w:rFonts w:hint="eastAsia" w:ascii="宋体" w:hAnsi="宋体"/>
                <w:color w:val="000000"/>
                <w:sz w:val="24"/>
                <w:szCs w:val="21"/>
              </w:rPr>
            </w:pPr>
            <w:r>
              <w:rPr>
                <w:rFonts w:hint="eastAsia" w:ascii="宋体" w:hAnsi="宋体"/>
                <w:color w:val="000000"/>
                <w:sz w:val="24"/>
                <w:szCs w:val="21"/>
              </w:rPr>
              <w:t>投标人资格：详见招标文件第二部分第一章第2条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3</w:t>
            </w:r>
          </w:p>
        </w:tc>
        <w:tc>
          <w:tcPr>
            <w:tcW w:w="8459" w:type="dxa"/>
            <w:gridSpan w:val="2"/>
            <w:noWrap w:val="0"/>
            <w:vAlign w:val="center"/>
          </w:tcPr>
          <w:p>
            <w:pPr>
              <w:spacing w:line="360" w:lineRule="auto"/>
              <w:ind w:left="1200" w:hanging="1200" w:hangingChars="500"/>
              <w:rPr>
                <w:rFonts w:hint="eastAsia" w:ascii="宋体" w:hAnsi="宋体"/>
                <w:color w:val="000000"/>
                <w:sz w:val="24"/>
                <w:szCs w:val="21"/>
              </w:rPr>
            </w:pPr>
            <w:r>
              <w:rPr>
                <w:rFonts w:hint="eastAsia" w:ascii="宋体" w:hAnsi="宋体"/>
                <w:color w:val="000000"/>
                <w:sz w:val="24"/>
                <w:szCs w:val="21"/>
              </w:rPr>
              <w:t>评标办法：</w:t>
            </w:r>
            <w:r>
              <w:rPr>
                <w:rFonts w:hint="eastAsia" w:ascii="宋体" w:hAnsi="宋体" w:cs="Courier New"/>
                <w:color w:val="000000"/>
                <w:spacing w:val="-6"/>
                <w:sz w:val="24"/>
                <w:szCs w:val="21"/>
              </w:rPr>
              <w:t>综合评分法</w:t>
            </w:r>
            <w:r>
              <w:rPr>
                <w:rFonts w:hint="eastAsia" w:ascii="宋体" w:hAnsi="宋体"/>
                <w:color w:val="000000"/>
                <w:sz w:val="24"/>
                <w:szCs w:val="21"/>
              </w:rPr>
              <w:t>（详见招标文件第三部分）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2"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4</w:t>
            </w:r>
          </w:p>
        </w:tc>
        <w:tc>
          <w:tcPr>
            <w:tcW w:w="8459"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投标有效期：自投标截止日起45天为投标文件的有效期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1"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5</w:t>
            </w:r>
          </w:p>
        </w:tc>
        <w:tc>
          <w:tcPr>
            <w:tcW w:w="8459" w:type="dxa"/>
            <w:gridSpan w:val="2"/>
            <w:noWrap w:val="0"/>
            <w:vAlign w:val="top"/>
          </w:tcPr>
          <w:p>
            <w:pPr>
              <w:autoSpaceDE w:val="0"/>
              <w:autoSpaceDN w:val="0"/>
              <w:adjustRightInd w:val="0"/>
              <w:snapToGrid w:val="0"/>
              <w:spacing w:line="360" w:lineRule="auto"/>
              <w:jc w:val="left"/>
              <w:textAlignment w:val="bottom"/>
              <w:rPr>
                <w:rFonts w:hint="eastAsia" w:ascii="宋体" w:hAnsi="宋体"/>
                <w:color w:val="000000"/>
                <w:sz w:val="24"/>
                <w:szCs w:val="21"/>
              </w:rPr>
            </w:pPr>
            <w:r>
              <w:rPr>
                <w:rFonts w:hint="eastAsia" w:ascii="宋体" w:hAnsi="宋体"/>
                <w:color w:val="000000"/>
                <w:sz w:val="24"/>
                <w:szCs w:val="21"/>
              </w:rPr>
              <w:t>投标保证金：人民币</w:t>
            </w:r>
            <w:r>
              <w:rPr>
                <w:rFonts w:hint="eastAsia" w:ascii="宋体" w:hAnsi="宋体"/>
                <w:color w:val="000000"/>
                <w:sz w:val="24"/>
                <w:szCs w:val="21"/>
                <w:u w:val="single"/>
              </w:rPr>
              <w:t>伍</w:t>
            </w:r>
            <w:r>
              <w:rPr>
                <w:rFonts w:hint="eastAsia" w:ascii="宋体" w:hAnsi="宋体"/>
                <w:color w:val="000000"/>
                <w:sz w:val="24"/>
                <w:szCs w:val="21"/>
              </w:rPr>
              <w:t>万</w:t>
            </w:r>
            <w:r>
              <w:rPr>
                <w:rFonts w:hint="eastAsia" w:ascii="宋体" w:hAnsi="宋体"/>
                <w:color w:val="000000"/>
                <w:sz w:val="24"/>
                <w:szCs w:val="21"/>
                <w:u w:val="single"/>
              </w:rPr>
              <w:t>零</w:t>
            </w:r>
            <w:r>
              <w:rPr>
                <w:rFonts w:hint="eastAsia" w:ascii="宋体" w:hAnsi="宋体"/>
                <w:color w:val="000000"/>
                <w:sz w:val="24"/>
                <w:szCs w:val="21"/>
              </w:rPr>
              <w:t>千</w:t>
            </w:r>
            <w:r>
              <w:rPr>
                <w:rFonts w:hint="eastAsia" w:ascii="宋体" w:hAnsi="宋体"/>
                <w:color w:val="000000"/>
                <w:sz w:val="24"/>
                <w:szCs w:val="21"/>
                <w:u w:val="single"/>
              </w:rPr>
              <w:t>零</w:t>
            </w:r>
            <w:r>
              <w:rPr>
                <w:rFonts w:hint="eastAsia" w:ascii="宋体" w:hAnsi="宋体"/>
                <w:color w:val="000000"/>
                <w:sz w:val="24"/>
                <w:szCs w:val="21"/>
              </w:rPr>
              <w:t>百元（小写：</w:t>
            </w:r>
            <w:r>
              <w:rPr>
                <w:rFonts w:hint="eastAsia" w:ascii="宋体" w:hAnsi="宋体"/>
                <w:color w:val="000000"/>
                <w:sz w:val="24"/>
                <w:szCs w:val="21"/>
                <w:u w:val="single"/>
              </w:rPr>
              <w:t>50000</w:t>
            </w:r>
            <w:r>
              <w:rPr>
                <w:rFonts w:hint="eastAsia" w:ascii="宋体" w:hAnsi="宋体"/>
                <w:color w:val="000000"/>
                <w:sz w:val="24"/>
                <w:szCs w:val="21"/>
              </w:rPr>
              <w:t>元）</w:t>
            </w:r>
          </w:p>
          <w:p>
            <w:pPr>
              <w:spacing w:line="360" w:lineRule="auto"/>
              <w:rPr>
                <w:rFonts w:hint="eastAsia" w:ascii="宋体" w:hAnsi="宋体"/>
                <w:color w:val="000000"/>
                <w:sz w:val="24"/>
                <w:szCs w:val="21"/>
              </w:rPr>
            </w:pPr>
            <w:r>
              <w:rPr>
                <w:rFonts w:hint="eastAsia" w:ascii="宋体" w:hAnsi="宋体"/>
                <w:b/>
                <w:color w:val="000000"/>
                <w:sz w:val="24"/>
                <w:szCs w:val="21"/>
              </w:rPr>
              <w:t>账户名称</w:t>
            </w:r>
            <w:r>
              <w:rPr>
                <w:rFonts w:hint="eastAsia" w:ascii="宋体" w:hAnsi="宋体"/>
                <w:color w:val="000000"/>
                <w:sz w:val="24"/>
                <w:szCs w:val="21"/>
              </w:rPr>
              <w:t>：绍兴市上虞区公共资源交易中心投标保证金专户</w:t>
            </w:r>
          </w:p>
          <w:p>
            <w:pPr>
              <w:autoSpaceDE w:val="0"/>
              <w:autoSpaceDN w:val="0"/>
              <w:adjustRightInd w:val="0"/>
              <w:snapToGrid w:val="0"/>
              <w:spacing w:line="360" w:lineRule="auto"/>
              <w:textAlignment w:val="bottom"/>
              <w:rPr>
                <w:rFonts w:ascii="宋体" w:hAnsi="宋体"/>
                <w:color w:val="000000"/>
                <w:sz w:val="24"/>
                <w:szCs w:val="21"/>
              </w:rPr>
            </w:pPr>
            <w:r>
              <w:rPr>
                <w:rFonts w:hint="eastAsia" w:ascii="宋体" w:hAnsi="宋体"/>
                <w:b/>
                <w:color w:val="000000"/>
                <w:sz w:val="24"/>
                <w:szCs w:val="21"/>
              </w:rPr>
              <w:t>开户银行</w:t>
            </w:r>
            <w:r>
              <w:rPr>
                <w:rFonts w:hint="eastAsia" w:ascii="宋体" w:hAnsi="宋体"/>
                <w:color w:val="000000"/>
                <w:sz w:val="24"/>
                <w:szCs w:val="21"/>
              </w:rPr>
              <w:t>：浙江上虞农村商业银行股份有限公司百官支行</w:t>
            </w:r>
          </w:p>
          <w:p>
            <w:pPr>
              <w:spacing w:line="360" w:lineRule="auto"/>
              <w:ind w:left="1181" w:hanging="1176" w:hangingChars="490"/>
              <w:rPr>
                <w:rFonts w:hint="eastAsia" w:ascii="宋体" w:hAnsi="宋体"/>
                <w:color w:val="000000"/>
                <w:sz w:val="24"/>
                <w:szCs w:val="21"/>
              </w:rPr>
            </w:pPr>
            <w:r>
              <w:rPr>
                <w:rFonts w:hint="eastAsia" w:ascii="宋体" w:hAnsi="宋体"/>
                <w:b/>
                <w:color w:val="000000"/>
                <w:sz w:val="24"/>
                <w:szCs w:val="21"/>
              </w:rPr>
              <w:t>帐</w:t>
            </w:r>
            <w:r>
              <w:rPr>
                <w:rFonts w:ascii="宋体" w:hAnsi="宋体"/>
                <w:b/>
                <w:color w:val="000000"/>
                <w:sz w:val="24"/>
                <w:szCs w:val="21"/>
              </w:rPr>
              <w:t xml:space="preserve">    </w:t>
            </w:r>
            <w:r>
              <w:rPr>
                <w:rFonts w:hint="eastAsia" w:ascii="宋体" w:hAnsi="宋体"/>
                <w:b/>
                <w:color w:val="000000"/>
                <w:sz w:val="24"/>
                <w:szCs w:val="21"/>
              </w:rPr>
              <w:t>号</w:t>
            </w:r>
            <w:r>
              <w:rPr>
                <w:rFonts w:hint="eastAsia" w:ascii="宋体" w:hAnsi="宋体"/>
                <w:color w:val="000000"/>
                <w:sz w:val="24"/>
                <w:szCs w:val="21"/>
              </w:rPr>
              <w:t>：</w:t>
            </w:r>
            <w:r>
              <w:rPr>
                <w:rFonts w:ascii="宋体" w:hAnsi="宋体"/>
                <w:color w:val="000000"/>
                <w:sz w:val="24"/>
                <w:szCs w:val="21"/>
              </w:rPr>
              <w:t>201000167905864</w:t>
            </w:r>
          </w:p>
          <w:p>
            <w:pPr>
              <w:spacing w:line="360" w:lineRule="auto"/>
              <w:rPr>
                <w:rFonts w:ascii="宋体" w:hAnsi="宋体" w:cs="宋体"/>
                <w:b/>
                <w:kern w:val="0"/>
                <w:sz w:val="24"/>
              </w:rPr>
            </w:pPr>
            <w:r>
              <w:rPr>
                <w:rFonts w:ascii="宋体" w:hAnsi="宋体" w:cs="宋体"/>
                <w:b/>
                <w:kern w:val="0"/>
                <w:sz w:val="24"/>
              </w:rPr>
              <w:t>投标保证金的交付方式：网上银行或柜面电汇或柜面行内转账（浙江农信）</w:t>
            </w:r>
            <w:r>
              <w:rPr>
                <w:rFonts w:hint="eastAsia" w:ascii="宋体" w:hAnsi="宋体" w:cs="宋体"/>
                <w:b/>
                <w:kern w:val="0"/>
                <w:sz w:val="24"/>
              </w:rPr>
              <w:t>；</w:t>
            </w:r>
          </w:p>
          <w:p>
            <w:pPr>
              <w:spacing w:line="360" w:lineRule="auto"/>
              <w:rPr>
                <w:rFonts w:hint="eastAsia" w:ascii="宋体" w:hAnsi="宋体" w:cs="宋体"/>
                <w:color w:val="FF0000"/>
                <w:kern w:val="0"/>
                <w:sz w:val="24"/>
              </w:rPr>
            </w:pPr>
            <w:r>
              <w:rPr>
                <w:rFonts w:ascii="宋体" w:hAnsi="宋体" w:cs="宋体"/>
                <w:b/>
                <w:kern w:val="0"/>
                <w:sz w:val="24"/>
              </w:rPr>
              <w:t>投标保证金的缴存时间：投标</w:t>
            </w:r>
            <w:r>
              <w:rPr>
                <w:rFonts w:hint="eastAsia" w:ascii="宋体" w:hAnsi="宋体" w:cs="宋体"/>
                <w:b/>
                <w:kern w:val="0"/>
                <w:sz w:val="24"/>
              </w:rPr>
              <w:t>保证金应在投标文件截止时间之</w:t>
            </w:r>
            <w:r>
              <w:rPr>
                <w:rFonts w:ascii="宋体" w:hAnsi="宋体" w:cs="宋体"/>
                <w:b/>
                <w:kern w:val="0"/>
                <w:sz w:val="24"/>
              </w:rPr>
              <w:t>前到账，按不少于规定的金额交纳投标保证金，投标保证金以到账时间为准</w:t>
            </w:r>
            <w:r>
              <w:rPr>
                <w:rFonts w:hint="eastAsia" w:ascii="宋体" w:hAnsi="宋体" w:cs="宋体"/>
                <w:b/>
                <w:kern w:val="0"/>
                <w:sz w:val="24"/>
              </w:rPr>
              <w:t>。</w:t>
            </w:r>
            <w:r>
              <w:rPr>
                <w:rFonts w:ascii="宋体" w:hAnsi="宋体" w:cs="宋体"/>
                <w:b/>
                <w:kern w:val="0"/>
                <w:sz w:val="24"/>
              </w:rPr>
              <w:t>若产生到账时间晚于保证金缴存截止时间或缴纳不足额，一律视为不响应招标文件，投标文件按无效处理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6</w:t>
            </w:r>
          </w:p>
        </w:tc>
        <w:tc>
          <w:tcPr>
            <w:tcW w:w="8459"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投标文件份数：正本</w:t>
            </w:r>
            <w:r>
              <w:rPr>
                <w:rFonts w:hint="eastAsia" w:ascii="宋体" w:hAnsi="宋体"/>
                <w:color w:val="000000"/>
                <w:sz w:val="24"/>
                <w:szCs w:val="21"/>
                <w:u w:val="single"/>
              </w:rPr>
              <w:t xml:space="preserve"> 1 </w:t>
            </w:r>
            <w:r>
              <w:rPr>
                <w:rFonts w:hint="eastAsia" w:ascii="宋体" w:hAnsi="宋体"/>
                <w:color w:val="000000"/>
                <w:sz w:val="24"/>
                <w:szCs w:val="21"/>
              </w:rPr>
              <w:t>份，副本</w:t>
            </w:r>
            <w:r>
              <w:rPr>
                <w:rFonts w:hint="eastAsia" w:ascii="宋体" w:hAnsi="宋体"/>
                <w:color w:val="000000"/>
                <w:sz w:val="24"/>
                <w:szCs w:val="21"/>
                <w:u w:val="single"/>
              </w:rPr>
              <w:t xml:space="preserve"> </w:t>
            </w:r>
            <w:r>
              <w:rPr>
                <w:rFonts w:hint="eastAsia"/>
                <w:color w:val="000000"/>
                <w:sz w:val="24"/>
                <w:u w:val="single"/>
              </w:rPr>
              <w:t xml:space="preserve">4 </w:t>
            </w:r>
            <w:r>
              <w:rPr>
                <w:rFonts w:hint="eastAsia" w:ascii="宋体" w:hAnsi="宋体"/>
                <w:color w:val="000000"/>
                <w:sz w:val="24"/>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7</w:t>
            </w:r>
          </w:p>
        </w:tc>
        <w:tc>
          <w:tcPr>
            <w:tcW w:w="8459" w:type="dxa"/>
            <w:gridSpan w:val="2"/>
            <w:noWrap w:val="0"/>
            <w:vAlign w:val="top"/>
          </w:tcPr>
          <w:p>
            <w:pPr>
              <w:autoSpaceDE w:val="0"/>
              <w:autoSpaceDN w:val="0"/>
              <w:adjustRightInd w:val="0"/>
              <w:snapToGrid w:val="0"/>
              <w:spacing w:line="360" w:lineRule="auto"/>
              <w:ind w:left="2240" w:hanging="2240" w:hangingChars="800"/>
              <w:jc w:val="left"/>
              <w:textAlignment w:val="bottom"/>
              <w:rPr>
                <w:rFonts w:hint="eastAsia" w:ascii="宋体" w:hAnsi="宋体"/>
                <w:color w:val="000000"/>
                <w:sz w:val="28"/>
              </w:rPr>
            </w:pPr>
            <w:r>
              <w:rPr>
                <w:rFonts w:hint="eastAsia" w:ascii="宋体" w:hAnsi="宋体"/>
                <w:color w:val="000000"/>
                <w:sz w:val="28"/>
              </w:rPr>
              <w:t>投标文件递交至：绍兴市上虞区公共资源交易中心</w:t>
            </w:r>
          </w:p>
          <w:p>
            <w:pPr>
              <w:autoSpaceDE w:val="0"/>
              <w:autoSpaceDN w:val="0"/>
              <w:adjustRightInd w:val="0"/>
              <w:snapToGrid w:val="0"/>
              <w:spacing w:line="360" w:lineRule="auto"/>
              <w:ind w:left="1955" w:leftChars="798" w:hanging="280" w:hangingChars="100"/>
              <w:jc w:val="left"/>
              <w:textAlignment w:val="bottom"/>
              <w:rPr>
                <w:rFonts w:hint="eastAsia" w:ascii="宋体" w:hAnsi="宋体"/>
                <w:color w:val="000000"/>
                <w:sz w:val="28"/>
              </w:rPr>
            </w:pPr>
            <w:r>
              <w:rPr>
                <w:rFonts w:ascii="宋体" w:hAnsi="宋体"/>
                <w:color w:val="000000"/>
                <w:sz w:val="28"/>
              </w:rPr>
              <w:t>（绍兴市上虞区城北</w:t>
            </w:r>
            <w:r>
              <w:rPr>
                <w:rFonts w:hint="eastAsia" w:ascii="宋体" w:hAnsi="宋体"/>
                <w:color w:val="000000"/>
                <w:sz w:val="28"/>
              </w:rPr>
              <w:t>便民服务</w:t>
            </w:r>
            <w:r>
              <w:rPr>
                <w:rFonts w:ascii="宋体" w:hAnsi="宋体"/>
                <w:color w:val="000000"/>
                <w:sz w:val="28"/>
              </w:rPr>
              <w:t>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8</w:t>
            </w:r>
          </w:p>
        </w:tc>
        <w:tc>
          <w:tcPr>
            <w:tcW w:w="8459" w:type="dxa"/>
            <w:gridSpan w:val="2"/>
            <w:noWrap w:val="0"/>
            <w:vAlign w:val="top"/>
          </w:tcPr>
          <w:p>
            <w:pPr>
              <w:autoSpaceDE w:val="0"/>
              <w:autoSpaceDN w:val="0"/>
              <w:adjustRightInd w:val="0"/>
              <w:snapToGrid w:val="0"/>
              <w:spacing w:line="360" w:lineRule="auto"/>
              <w:jc w:val="left"/>
              <w:textAlignment w:val="bottom"/>
              <w:rPr>
                <w:rFonts w:hint="eastAsia" w:ascii="宋体" w:hAnsi="宋体"/>
                <w:color w:val="000000"/>
                <w:sz w:val="24"/>
                <w:szCs w:val="21"/>
              </w:rPr>
            </w:pPr>
            <w:r>
              <w:rPr>
                <w:rFonts w:hint="eastAsia" w:ascii="宋体" w:hAnsi="宋体"/>
                <w:color w:val="000000"/>
                <w:sz w:val="24"/>
                <w:szCs w:val="21"/>
              </w:rPr>
              <w:t>投标截止时间：</w:t>
            </w:r>
            <w:r>
              <w:rPr>
                <w:rFonts w:hint="eastAsia" w:ascii="宋体" w:hAnsi="宋体"/>
                <w:color w:val="000000"/>
                <w:sz w:val="28"/>
              </w:rPr>
              <w:t>　</w:t>
            </w:r>
            <w:r>
              <w:rPr>
                <w:rFonts w:hint="eastAsia" w:ascii="宋体" w:hAnsi="宋体"/>
                <w:color w:val="000000"/>
                <w:sz w:val="28"/>
                <w:u w:val="single"/>
              </w:rPr>
              <w:t>　2019　</w:t>
            </w:r>
            <w:r>
              <w:rPr>
                <w:rFonts w:hint="eastAsia" w:ascii="宋体" w:hAnsi="宋体"/>
                <w:color w:val="000000"/>
                <w:sz w:val="28"/>
              </w:rPr>
              <w:t>年</w:t>
            </w:r>
            <w:r>
              <w:rPr>
                <w:rFonts w:hint="eastAsia" w:ascii="宋体" w:hAnsi="宋体"/>
                <w:color w:val="000000"/>
                <w:sz w:val="28"/>
                <w:u w:val="single"/>
              </w:rPr>
              <w:t>4</w:t>
            </w:r>
            <w:r>
              <w:rPr>
                <w:rFonts w:hint="eastAsia" w:ascii="宋体" w:hAnsi="宋体"/>
                <w:color w:val="000000"/>
                <w:sz w:val="28"/>
              </w:rPr>
              <w:t>月</w:t>
            </w:r>
            <w:r>
              <w:rPr>
                <w:rFonts w:hint="eastAsia" w:ascii="宋体" w:hAnsi="宋体"/>
                <w:color w:val="000000"/>
                <w:sz w:val="28"/>
                <w:u w:val="single"/>
              </w:rPr>
              <w:t>2</w:t>
            </w:r>
            <w:r>
              <w:rPr>
                <w:rFonts w:hint="eastAsia" w:ascii="宋体" w:hAnsi="宋体"/>
                <w:color w:val="000000"/>
                <w:sz w:val="28"/>
              </w:rPr>
              <w:t>日</w:t>
            </w:r>
            <w:r>
              <w:rPr>
                <w:rFonts w:hint="eastAsia" w:ascii="宋体" w:hAnsi="宋体"/>
                <w:color w:val="000000"/>
                <w:sz w:val="28"/>
                <w:u w:val="single"/>
              </w:rPr>
              <w:t>9</w:t>
            </w:r>
            <w:r>
              <w:rPr>
                <w:rFonts w:hint="eastAsia" w:ascii="宋体" w:hAnsi="宋体"/>
                <w:color w:val="000000"/>
                <w:sz w:val="24"/>
                <w:szCs w:val="21"/>
              </w:rPr>
              <w:t>：</w:t>
            </w:r>
            <w:r>
              <w:rPr>
                <w:rFonts w:hint="eastAsia" w:ascii="宋体" w:hAnsi="宋体"/>
                <w:color w:val="000000"/>
                <w:sz w:val="28"/>
                <w:u w:val="single"/>
              </w:rPr>
              <w:t>30</w:t>
            </w:r>
            <w:r>
              <w:rPr>
                <w:rFonts w:hint="eastAsia" w:ascii="宋体" w:hAnsi="宋体"/>
                <w:color w:val="000000"/>
                <w:sz w:val="24"/>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9</w:t>
            </w:r>
          </w:p>
        </w:tc>
        <w:tc>
          <w:tcPr>
            <w:tcW w:w="8459"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开标时间：</w:t>
            </w:r>
            <w:r>
              <w:rPr>
                <w:rFonts w:hint="eastAsia" w:ascii="宋体" w:hAnsi="宋体"/>
                <w:color w:val="000000"/>
                <w:sz w:val="28"/>
                <w:u w:val="single"/>
              </w:rPr>
              <w:t>　2019　</w:t>
            </w:r>
            <w:r>
              <w:rPr>
                <w:rFonts w:hint="eastAsia" w:ascii="宋体" w:hAnsi="宋体"/>
                <w:color w:val="000000"/>
                <w:sz w:val="28"/>
              </w:rPr>
              <w:t>年</w:t>
            </w:r>
            <w:r>
              <w:rPr>
                <w:rFonts w:hint="eastAsia" w:ascii="宋体" w:hAnsi="宋体"/>
                <w:color w:val="000000"/>
                <w:sz w:val="28"/>
                <w:u w:val="single"/>
              </w:rPr>
              <w:t>4</w:t>
            </w:r>
            <w:r>
              <w:rPr>
                <w:rFonts w:hint="eastAsia" w:ascii="宋体" w:hAnsi="宋体"/>
                <w:color w:val="000000"/>
                <w:sz w:val="28"/>
              </w:rPr>
              <w:t>月</w:t>
            </w:r>
            <w:r>
              <w:rPr>
                <w:rFonts w:hint="eastAsia" w:ascii="宋体" w:hAnsi="宋体"/>
                <w:color w:val="000000"/>
                <w:sz w:val="28"/>
                <w:u w:val="single"/>
              </w:rPr>
              <w:t>2</w:t>
            </w:r>
            <w:r>
              <w:rPr>
                <w:rFonts w:hint="eastAsia" w:ascii="宋体" w:hAnsi="宋体"/>
                <w:color w:val="000000"/>
                <w:sz w:val="28"/>
              </w:rPr>
              <w:t>日</w:t>
            </w:r>
            <w:r>
              <w:rPr>
                <w:rFonts w:hint="eastAsia" w:ascii="宋体" w:hAnsi="宋体"/>
                <w:color w:val="000000"/>
                <w:sz w:val="28"/>
                <w:u w:val="single"/>
              </w:rPr>
              <w:t>9</w:t>
            </w:r>
            <w:r>
              <w:rPr>
                <w:rFonts w:hint="eastAsia" w:ascii="宋体" w:hAnsi="宋体"/>
                <w:color w:val="000000"/>
                <w:sz w:val="24"/>
                <w:szCs w:val="21"/>
              </w:rPr>
              <w:t>：</w:t>
            </w:r>
            <w:r>
              <w:rPr>
                <w:rFonts w:hint="eastAsia" w:ascii="宋体" w:hAnsi="宋体"/>
                <w:color w:val="000000"/>
                <w:sz w:val="28"/>
                <w:u w:val="single"/>
              </w:rPr>
              <w:t>30</w:t>
            </w:r>
            <w:r>
              <w:rPr>
                <w:rFonts w:hint="eastAsia" w:ascii="宋体" w:hAnsi="宋体"/>
                <w:color w:val="000000"/>
                <w:sz w:val="24"/>
                <w:szCs w:val="21"/>
              </w:rPr>
              <w:t>（北京时间）</w:t>
            </w:r>
          </w:p>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开标地点：绍兴市上虞区公共资源交易中心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0"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10</w:t>
            </w:r>
          </w:p>
        </w:tc>
        <w:tc>
          <w:tcPr>
            <w:tcW w:w="8459" w:type="dxa"/>
            <w:gridSpan w:val="2"/>
            <w:noWrap w:val="0"/>
            <w:vAlign w:val="center"/>
          </w:tcPr>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color w:val="000000"/>
                <w:sz w:val="24"/>
                <w:szCs w:val="21"/>
              </w:rPr>
              <w:t>质疑与投诉：详见招标文件第二部分第七章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0" w:hRule="atLeast"/>
        </w:trPr>
        <w:tc>
          <w:tcPr>
            <w:tcW w:w="885" w:type="dxa"/>
            <w:noWrap w:val="0"/>
            <w:vAlign w:val="center"/>
          </w:tcPr>
          <w:p>
            <w:pPr>
              <w:autoSpaceDE w:val="0"/>
              <w:autoSpaceDN w:val="0"/>
              <w:spacing w:line="360" w:lineRule="auto"/>
              <w:jc w:val="center"/>
              <w:textAlignment w:val="bottom"/>
              <w:rPr>
                <w:rFonts w:hint="eastAsia" w:ascii="宋体" w:hAnsi="宋体"/>
                <w:color w:val="000000"/>
                <w:sz w:val="24"/>
                <w:szCs w:val="21"/>
              </w:rPr>
            </w:pPr>
            <w:r>
              <w:rPr>
                <w:rFonts w:hint="eastAsia" w:ascii="宋体" w:hAnsi="宋体"/>
                <w:color w:val="000000"/>
                <w:sz w:val="24"/>
                <w:szCs w:val="21"/>
              </w:rPr>
              <w:t>11</w:t>
            </w:r>
          </w:p>
        </w:tc>
        <w:tc>
          <w:tcPr>
            <w:tcW w:w="1020" w:type="dxa"/>
            <w:noWrap w:val="0"/>
            <w:vAlign w:val="center"/>
          </w:tcPr>
          <w:p>
            <w:pPr>
              <w:snapToGrid w:val="0"/>
              <w:spacing w:line="360" w:lineRule="auto"/>
              <w:jc w:val="center"/>
              <w:rPr>
                <w:rFonts w:hint="eastAsia" w:ascii="宋体" w:hAnsi="宋体"/>
                <w:sz w:val="24"/>
                <w:szCs w:val="21"/>
              </w:rPr>
            </w:pPr>
            <w:r>
              <w:rPr>
                <w:rFonts w:hint="eastAsia" w:ascii="宋体" w:hAnsi="宋体"/>
                <w:sz w:val="24"/>
                <w:szCs w:val="21"/>
              </w:rPr>
              <w:t>支持中小企业</w:t>
            </w:r>
          </w:p>
          <w:p>
            <w:pPr>
              <w:autoSpaceDE w:val="0"/>
              <w:autoSpaceDN w:val="0"/>
              <w:adjustRightInd w:val="0"/>
              <w:snapToGrid w:val="0"/>
              <w:spacing w:line="360" w:lineRule="auto"/>
              <w:textAlignment w:val="bottom"/>
              <w:rPr>
                <w:rFonts w:hint="eastAsia" w:ascii="宋体" w:hAnsi="宋体"/>
                <w:color w:val="000000"/>
                <w:sz w:val="24"/>
                <w:szCs w:val="21"/>
              </w:rPr>
            </w:pPr>
          </w:p>
        </w:tc>
        <w:tc>
          <w:tcPr>
            <w:tcW w:w="7439" w:type="dxa"/>
            <w:noWrap w:val="0"/>
            <w:vAlign w:val="center"/>
          </w:tcPr>
          <w:p>
            <w:pPr>
              <w:snapToGrid w:val="0"/>
              <w:spacing w:line="360" w:lineRule="auto"/>
              <w:rPr>
                <w:rFonts w:hint="eastAsia" w:ascii="宋体" w:hAnsi="宋体"/>
                <w:sz w:val="24"/>
                <w:szCs w:val="21"/>
              </w:rPr>
            </w:pPr>
            <w:r>
              <w:rPr>
                <w:rFonts w:hint="eastAsia" w:ascii="宋体" w:hAnsi="宋体"/>
                <w:sz w:val="24"/>
                <w:szCs w:val="21"/>
              </w:rPr>
              <w:t>价格扣除：根据工信部等部委发布的《关于印发中小企业划型标准规定的通知》（工信部联企业〔2011〕300号），根据具体品目确定相应标准。符合上述条件的中小微型企业应按照招标文件附件15的格式要求提供《中小企业声明函》、《中小企业资格确认意见书》。符合《关于促进残疾人就业政府采购政策的通知》（财库〔2017〕141号）规定的条件并提供《残疾人福利性单位声明函》（附件16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hint="eastAsia" w:ascii="宋体" w:hAnsi="宋体"/>
                <w:sz w:val="24"/>
                <w:szCs w:val="21"/>
              </w:rPr>
            </w:pPr>
            <w:r>
              <w:rPr>
                <w:rFonts w:hint="eastAsia" w:ascii="宋体" w:hAnsi="宋体"/>
                <w:sz w:val="24"/>
                <w:szCs w:val="21"/>
              </w:rPr>
              <w:t>根据财政部发布的《政府采购促进中小企业发展暂行办法》规定，对于非专门面向此类企业的项目，对小型和微型企业产品的投标价格给予6 %的扣除，用扣除后的价格参与评审。</w:t>
            </w:r>
          </w:p>
          <w:p>
            <w:pPr>
              <w:snapToGrid w:val="0"/>
              <w:spacing w:line="360" w:lineRule="auto"/>
              <w:rPr>
                <w:rFonts w:hint="eastAsia" w:ascii="宋体" w:hAnsi="宋体"/>
                <w:sz w:val="24"/>
                <w:szCs w:val="21"/>
              </w:rPr>
            </w:pPr>
            <w:r>
              <w:rPr>
                <w:rFonts w:hint="eastAsia" w:ascii="宋体" w:hAnsi="宋体"/>
                <w:sz w:val="24"/>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autoSpaceDE w:val="0"/>
              <w:autoSpaceDN w:val="0"/>
              <w:adjustRightInd w:val="0"/>
              <w:snapToGrid w:val="0"/>
              <w:spacing w:line="360" w:lineRule="auto"/>
              <w:textAlignment w:val="bottom"/>
              <w:rPr>
                <w:rFonts w:hint="eastAsia" w:ascii="宋体" w:hAnsi="宋体"/>
                <w:color w:val="000000"/>
                <w:sz w:val="24"/>
                <w:szCs w:val="21"/>
              </w:rPr>
            </w:pPr>
            <w:r>
              <w:rPr>
                <w:rFonts w:hint="eastAsia" w:ascii="宋体" w:hAnsi="宋体"/>
                <w:sz w:val="24"/>
                <w:szCs w:val="21"/>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5" w:hRule="atLeast"/>
        </w:trPr>
        <w:tc>
          <w:tcPr>
            <w:tcW w:w="885" w:type="dxa"/>
            <w:vMerge w:val="restart"/>
            <w:noWrap w:val="0"/>
            <w:vAlign w:val="center"/>
          </w:tcPr>
          <w:p>
            <w:pPr>
              <w:autoSpaceDE w:val="0"/>
              <w:autoSpaceDN w:val="0"/>
              <w:spacing w:line="360" w:lineRule="auto"/>
              <w:jc w:val="center"/>
              <w:textAlignment w:val="bottom"/>
              <w:rPr>
                <w:rFonts w:hint="eastAsia" w:ascii="宋体" w:hAnsi="宋体"/>
                <w:sz w:val="24"/>
                <w:szCs w:val="21"/>
              </w:rPr>
            </w:pPr>
            <w:r>
              <w:rPr>
                <w:rFonts w:hint="eastAsia" w:ascii="宋体" w:hAnsi="宋体"/>
                <w:sz w:val="24"/>
                <w:szCs w:val="21"/>
              </w:rPr>
              <w:t>投标人信用信息事项</w:t>
            </w:r>
          </w:p>
        </w:tc>
        <w:tc>
          <w:tcPr>
            <w:tcW w:w="8459" w:type="dxa"/>
            <w:gridSpan w:val="2"/>
            <w:noWrap w:val="0"/>
            <w:vAlign w:val="center"/>
          </w:tcPr>
          <w:p>
            <w:pPr>
              <w:snapToGrid w:val="0"/>
              <w:spacing w:line="360" w:lineRule="auto"/>
              <w:rPr>
                <w:rFonts w:hint="eastAsia" w:ascii="宋体" w:hAnsi="宋体"/>
                <w:sz w:val="24"/>
                <w:szCs w:val="21"/>
              </w:rPr>
            </w:pPr>
            <w:r>
              <w:rPr>
                <w:rFonts w:hint="eastAsia" w:ascii="宋体" w:hAnsi="宋体"/>
                <w:sz w:val="24"/>
                <w:szCs w:val="21"/>
              </w:rPr>
              <w:t>信用信息查询渠道及截止时间：项目评审组织人员将通过“信用中国”网站(www.creditchina.gov.cn)、中国政府采购网(</w:t>
            </w:r>
            <w:r>
              <w:rPr>
                <w:rFonts w:ascii="宋体" w:hAnsi="宋体"/>
                <w:sz w:val="24"/>
                <w:szCs w:val="21"/>
              </w:rPr>
              <w:fldChar w:fldCharType="begin"/>
            </w:r>
            <w:r>
              <w:rPr>
                <w:rFonts w:ascii="宋体" w:hAnsi="宋体"/>
                <w:sz w:val="24"/>
                <w:szCs w:val="21"/>
              </w:rPr>
              <w:instrText xml:space="preserve"> HYPERLINK "http://</w:instrText>
            </w:r>
            <w:r>
              <w:rPr>
                <w:rFonts w:hint="eastAsia" w:ascii="宋体" w:hAnsi="宋体"/>
                <w:sz w:val="24"/>
                <w:szCs w:val="21"/>
              </w:rPr>
              <w:instrText xml:space="preserve">www.ccgp.gov.cn</w:instrText>
            </w:r>
            <w:r>
              <w:rPr>
                <w:rFonts w:ascii="宋体" w:hAnsi="宋体"/>
                <w:sz w:val="24"/>
                <w:szCs w:val="21"/>
              </w:rPr>
              <w:instrText xml:space="preserve">" </w:instrText>
            </w:r>
            <w:r>
              <w:rPr>
                <w:rFonts w:ascii="宋体" w:hAnsi="宋体"/>
                <w:sz w:val="24"/>
                <w:szCs w:val="21"/>
              </w:rPr>
              <w:fldChar w:fldCharType="separate"/>
            </w:r>
            <w:r>
              <w:rPr>
                <w:rStyle w:val="62"/>
                <w:rFonts w:hint="eastAsia" w:ascii="宋体" w:hAnsi="宋体"/>
                <w:color w:val="auto"/>
                <w:sz w:val="24"/>
                <w:szCs w:val="21"/>
              </w:rPr>
              <w:t>www.ccgp.gov.cn</w:t>
            </w:r>
            <w:r>
              <w:rPr>
                <w:rFonts w:ascii="宋体" w:hAnsi="宋体"/>
                <w:sz w:val="24"/>
                <w:szCs w:val="21"/>
              </w:rPr>
              <w:fldChar w:fldCharType="end"/>
            </w:r>
            <w:r>
              <w:rPr>
                <w:rFonts w:hint="eastAsia" w:ascii="宋体" w:hAnsi="宋体"/>
                <w:sz w:val="24"/>
                <w:szCs w:val="21"/>
              </w:rPr>
              <w:t>)渠道查询投标人投标截止时间前的信用记录。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4" w:hRule="atLeast"/>
        </w:trPr>
        <w:tc>
          <w:tcPr>
            <w:tcW w:w="885" w:type="dxa"/>
            <w:vMerge w:val="continue"/>
            <w:noWrap w:val="0"/>
            <w:vAlign w:val="center"/>
          </w:tcPr>
          <w:p>
            <w:pPr>
              <w:autoSpaceDE w:val="0"/>
              <w:autoSpaceDN w:val="0"/>
              <w:spacing w:line="360" w:lineRule="auto"/>
              <w:jc w:val="center"/>
              <w:textAlignment w:val="bottom"/>
              <w:rPr>
                <w:rFonts w:hint="eastAsia" w:ascii="宋体" w:hAnsi="宋体"/>
                <w:sz w:val="24"/>
                <w:szCs w:val="21"/>
              </w:rPr>
            </w:pPr>
          </w:p>
        </w:tc>
        <w:tc>
          <w:tcPr>
            <w:tcW w:w="8459" w:type="dxa"/>
            <w:gridSpan w:val="2"/>
            <w:noWrap w:val="0"/>
            <w:vAlign w:val="center"/>
          </w:tcPr>
          <w:p>
            <w:pPr>
              <w:spacing w:line="360" w:lineRule="auto"/>
              <w:rPr>
                <w:rFonts w:hint="eastAsia" w:ascii="宋体" w:hAnsi="宋体"/>
                <w:sz w:val="24"/>
                <w:szCs w:val="21"/>
              </w:rPr>
            </w:pPr>
            <w:r>
              <w:rPr>
                <w:rFonts w:hint="eastAsia" w:ascii="宋体" w:hAnsi="宋体"/>
                <w:sz w:val="24"/>
                <w:szCs w:val="21"/>
              </w:rPr>
              <w:t>信用信息查询记录和证据留存的具体方式：项目评审组织人员现场查询投标人的信用记录，查询结果经确认后与采购文件一起存档。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4" w:hRule="atLeast"/>
        </w:trPr>
        <w:tc>
          <w:tcPr>
            <w:tcW w:w="885" w:type="dxa"/>
            <w:vMerge w:val="continue"/>
            <w:noWrap w:val="0"/>
            <w:vAlign w:val="center"/>
          </w:tcPr>
          <w:p>
            <w:pPr>
              <w:autoSpaceDE w:val="0"/>
              <w:autoSpaceDN w:val="0"/>
              <w:spacing w:line="360" w:lineRule="auto"/>
              <w:jc w:val="center"/>
              <w:textAlignment w:val="bottom"/>
              <w:rPr>
                <w:rFonts w:hint="eastAsia" w:ascii="宋体" w:hAnsi="宋体"/>
                <w:sz w:val="24"/>
                <w:szCs w:val="21"/>
              </w:rPr>
            </w:pPr>
          </w:p>
        </w:tc>
        <w:tc>
          <w:tcPr>
            <w:tcW w:w="8459" w:type="dxa"/>
            <w:gridSpan w:val="2"/>
            <w:noWrap w:val="0"/>
            <w:vAlign w:val="center"/>
          </w:tcPr>
          <w:p>
            <w:pPr>
              <w:snapToGrid w:val="0"/>
              <w:spacing w:line="360" w:lineRule="auto"/>
              <w:rPr>
                <w:rFonts w:hint="eastAsia" w:ascii="宋体" w:hAnsi="宋体"/>
                <w:sz w:val="24"/>
                <w:szCs w:val="21"/>
              </w:rPr>
            </w:pPr>
            <w:r>
              <w:rPr>
                <w:rFonts w:hint="eastAsia" w:ascii="宋体" w:hAnsi="宋体"/>
                <w:sz w:val="24"/>
                <w:szCs w:val="21"/>
              </w:rPr>
              <w:t>信用信息的使用规则：经查询列入失信被执行人名单、重大税收违法案件当事人名单、政府采购严重违法失信行为记录名单的投标人的投标文件将被拒绝。</w:t>
            </w:r>
          </w:p>
        </w:tc>
      </w:tr>
    </w:tbl>
    <w:p>
      <w:pPr>
        <w:pStyle w:val="4"/>
        <w:rPr>
          <w:rFonts w:hint="eastAsia"/>
        </w:rPr>
      </w:pPr>
    </w:p>
    <w:p>
      <w:pPr>
        <w:pStyle w:val="3"/>
        <w:spacing w:line="360" w:lineRule="auto"/>
        <w:jc w:val="center"/>
        <w:rPr>
          <w:rFonts w:hAnsi="宋体"/>
        </w:rPr>
      </w:pPr>
      <w:bookmarkStart w:id="8" w:name="_Toc2852579"/>
      <w:r>
        <w:rPr>
          <w:rFonts w:hint="eastAsia" w:hAnsi="宋体"/>
        </w:rPr>
        <w:t>第一章　说明</w:t>
      </w:r>
      <w:bookmarkEnd w:id="8"/>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　前言</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本次招标工作是按照《中华人民共和国招标投标法》、《中华人民共和国政府采购法》组织和实施，已经有关部门核准，采用公开招标方式，并按照“公平、公正、科学、择优”的原则选择中标人；本招标文件仅适用于招标公告中所叙述项目,共有</w:t>
      </w:r>
      <w:r>
        <w:rPr>
          <w:rFonts w:hint="eastAsia" w:ascii="宋体" w:hAnsi="宋体"/>
          <w:color w:val="000000"/>
          <w:sz w:val="24"/>
          <w:szCs w:val="21"/>
          <w:u w:val="single"/>
        </w:rPr>
        <w:t xml:space="preserve">　1 </w:t>
      </w:r>
      <w:r>
        <w:rPr>
          <w:rFonts w:hint="eastAsia"/>
          <w:color w:val="000000"/>
          <w:sz w:val="24"/>
          <w:u w:val="single"/>
        </w:rPr>
        <w:t xml:space="preserve"> </w:t>
      </w:r>
      <w:r>
        <w:rPr>
          <w:rFonts w:hint="eastAsia" w:ascii="宋体" w:hAnsi="宋体"/>
          <w:color w:val="000000"/>
          <w:sz w:val="24"/>
          <w:szCs w:val="21"/>
        </w:rPr>
        <w:t>个标段。</w:t>
      </w:r>
    </w:p>
    <w:p>
      <w:pPr>
        <w:autoSpaceDE w:val="0"/>
        <w:autoSpaceDN w:val="0"/>
        <w:snapToGrid w:val="0"/>
        <w:spacing w:line="360" w:lineRule="auto"/>
        <w:ind w:firstLine="470" w:firstLineChars="196"/>
        <w:textAlignment w:val="bottom"/>
        <w:rPr>
          <w:rFonts w:hint="eastAsia" w:ascii="仿宋_GB2312" w:hAnsi="宋体" w:cs="Arial"/>
          <w:b/>
          <w:color w:val="000000"/>
          <w:sz w:val="24"/>
        </w:rPr>
      </w:pPr>
      <w:r>
        <w:rPr>
          <w:rFonts w:hint="eastAsia" w:ascii="宋体" w:hAnsi="宋体"/>
          <w:color w:val="000000"/>
          <w:sz w:val="24"/>
        </w:rPr>
        <w:t>2　合格投标人</w:t>
      </w:r>
    </w:p>
    <w:p>
      <w:pPr>
        <w:autoSpaceDE w:val="0"/>
        <w:autoSpaceDN w:val="0"/>
        <w:snapToGrid w:val="0"/>
        <w:spacing w:line="360" w:lineRule="auto"/>
        <w:ind w:firstLine="480" w:firstLineChars="200"/>
        <w:textAlignment w:val="bottom"/>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　</w:t>
      </w:r>
      <w:r>
        <w:rPr>
          <w:rFonts w:ascii="仿宋_GB2312" w:hAnsi="宋体" w:cs="Arial"/>
          <w:sz w:val="24"/>
        </w:rPr>
        <w:t>符合政府采购法第二十二条规定的投标人资格条件；</w:t>
      </w:r>
    </w:p>
    <w:p>
      <w:pPr>
        <w:autoSpaceDE w:val="0"/>
        <w:autoSpaceDN w:val="0"/>
        <w:snapToGrid w:val="0"/>
        <w:spacing w:line="360" w:lineRule="auto"/>
        <w:ind w:firstLine="480" w:firstLineChars="200"/>
        <w:textAlignment w:val="bottom"/>
        <w:rPr>
          <w:rFonts w:hint="eastAsia" w:ascii="宋体" w:hAnsi="宋体"/>
          <w:sz w:val="24"/>
          <w:szCs w:val="21"/>
        </w:rPr>
      </w:pPr>
      <w:r>
        <w:rPr>
          <w:rFonts w:hint="eastAsia" w:ascii="宋体" w:hAnsi="宋体"/>
          <w:sz w:val="24"/>
          <w:szCs w:val="21"/>
        </w:rPr>
        <w:t xml:space="preserve">2.2  </w:t>
      </w:r>
      <w:r>
        <w:rPr>
          <w:rFonts w:hint="eastAsia" w:ascii="宋体" w:hAnsi="宋体" w:cs="Arial"/>
          <w:bCs/>
          <w:iCs/>
          <w:szCs w:val="21"/>
        </w:rPr>
        <w:t>具有履行合同所需的财务、技术和设计施工能力，并能严格履行本采购文件规定的。</w:t>
      </w:r>
    </w:p>
    <w:p>
      <w:pPr>
        <w:autoSpaceDE w:val="0"/>
        <w:autoSpaceDN w:val="0"/>
        <w:snapToGrid w:val="0"/>
        <w:spacing w:line="360" w:lineRule="auto"/>
        <w:ind w:firstLine="470" w:firstLineChars="196"/>
        <w:textAlignment w:val="bottom"/>
        <w:rPr>
          <w:rFonts w:hint="eastAsia" w:ascii="宋体" w:hAnsi="宋体"/>
          <w:bCs/>
          <w:sz w:val="24"/>
          <w:szCs w:val="21"/>
        </w:rPr>
      </w:pPr>
      <w:r>
        <w:rPr>
          <w:rFonts w:hint="eastAsia" w:ascii="宋体" w:hAnsi="宋体"/>
          <w:sz w:val="24"/>
          <w:szCs w:val="21"/>
        </w:rPr>
        <w:t>2</w:t>
      </w:r>
      <w:r>
        <w:rPr>
          <w:rFonts w:ascii="宋体" w:hAnsi="宋体"/>
          <w:sz w:val="24"/>
          <w:szCs w:val="21"/>
        </w:rPr>
        <w:t>.</w:t>
      </w:r>
      <w:r>
        <w:rPr>
          <w:rFonts w:hint="eastAsia" w:ascii="宋体" w:hAnsi="宋体"/>
          <w:sz w:val="24"/>
          <w:szCs w:val="21"/>
        </w:rPr>
        <w:t>3　</w:t>
      </w:r>
      <w:r>
        <w:rPr>
          <w:rFonts w:hint="eastAsia" w:ascii="宋体" w:hAnsi="宋体"/>
          <w:bCs/>
          <w:sz w:val="24"/>
          <w:szCs w:val="21"/>
        </w:rPr>
        <w:t>本次招标谢绝联合体参加投标。</w:t>
      </w:r>
    </w:p>
    <w:p>
      <w:pPr>
        <w:autoSpaceDE w:val="0"/>
        <w:autoSpaceDN w:val="0"/>
        <w:snapToGrid w:val="0"/>
        <w:spacing w:line="360" w:lineRule="auto"/>
        <w:ind w:firstLine="470" w:firstLineChars="196"/>
        <w:textAlignment w:val="bottom"/>
        <w:rPr>
          <w:rFonts w:hint="eastAsia" w:ascii="仿宋_GB2312" w:hAnsi="宋体" w:cs="Arial"/>
          <w:color w:val="000000"/>
          <w:sz w:val="24"/>
        </w:rPr>
      </w:pPr>
      <w:r>
        <w:rPr>
          <w:rFonts w:hint="eastAsia" w:ascii="仿宋_GB2312" w:hAnsi="宋体" w:cs="Arial"/>
          <w:color w:val="000000"/>
          <w:sz w:val="24"/>
        </w:rPr>
        <w:t>2.4  本次招标采用资格后审的审查方式，由采购人负责审查。</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3　定义</w:t>
      </w:r>
    </w:p>
    <w:p>
      <w:pPr>
        <w:autoSpaceDE w:val="0"/>
        <w:autoSpaceDN w:val="0"/>
        <w:snapToGrid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.1</w:t>
      </w:r>
      <w:r>
        <w:rPr>
          <w:rFonts w:hint="eastAsia" w:ascii="宋体" w:hAnsi="宋体"/>
          <w:color w:val="000000"/>
          <w:sz w:val="24"/>
          <w:szCs w:val="21"/>
        </w:rPr>
        <w:t>　“采购人”系指采购人或其委托的采购代理机构</w:t>
      </w:r>
      <w:r>
        <w:rPr>
          <w:rFonts w:hint="eastAsia" w:ascii="宋体" w:hAnsi="宋体"/>
          <w:color w:val="FF0000"/>
          <w:sz w:val="24"/>
          <w:szCs w:val="21"/>
        </w:rPr>
        <w:t>。</w:t>
      </w:r>
    </w:p>
    <w:p>
      <w:pPr>
        <w:autoSpaceDE w:val="0"/>
        <w:autoSpaceDN w:val="0"/>
        <w:snapToGrid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2  “投标人”系指向采购人提供投标文件所叙述的货物招标采购项目的供应商。</w:t>
      </w:r>
    </w:p>
    <w:p>
      <w:pPr>
        <w:autoSpaceDE w:val="0"/>
        <w:autoSpaceDN w:val="0"/>
        <w:snapToGrid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3　“中标人”系指按照招标文件确定的中标供应商。</w:t>
      </w:r>
    </w:p>
    <w:p>
      <w:pPr>
        <w:autoSpaceDE w:val="0"/>
        <w:autoSpaceDN w:val="0"/>
        <w:snapToGrid w:val="0"/>
        <w:spacing w:line="360" w:lineRule="auto"/>
        <w:ind w:firstLine="480" w:firstLineChars="200"/>
        <w:textAlignment w:val="bottom"/>
        <w:rPr>
          <w:rFonts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4　“货物”系指卖方按合同要求，须向买方提供的一切材料、设备、机械、仪器仪表、备品备件、工具、手册及其他技术资料和文字材料。</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3</w:t>
      </w:r>
      <w:r>
        <w:rPr>
          <w:rFonts w:ascii="宋体" w:hAnsi="宋体"/>
          <w:color w:val="000000"/>
          <w:sz w:val="24"/>
          <w:szCs w:val="21"/>
        </w:rPr>
        <w:t>.</w:t>
      </w:r>
      <w:r>
        <w:rPr>
          <w:rFonts w:hint="eastAsia" w:ascii="宋体" w:hAnsi="宋体"/>
          <w:color w:val="000000"/>
          <w:sz w:val="24"/>
          <w:szCs w:val="21"/>
        </w:rPr>
        <w:t>5　“服务”系指合同规定卖方须承担的设计、安装、调试、技术协助、校准、培训、售后服务以及其他类似的义务。</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4　投标费用</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4.1　无论投标过程中的作法和结果如何，投标人自行承担投标活动中所发生的全部费用。</w:t>
      </w:r>
    </w:p>
    <w:p>
      <w:pPr>
        <w:pStyle w:val="3"/>
        <w:spacing w:line="360" w:lineRule="auto"/>
        <w:jc w:val="center"/>
        <w:rPr>
          <w:rFonts w:hint="eastAsia" w:hAnsi="宋体"/>
          <w:color w:val="000000"/>
        </w:rPr>
      </w:pPr>
      <w:bookmarkStart w:id="9" w:name="_Toc2852580"/>
      <w:r>
        <w:rPr>
          <w:rFonts w:hint="eastAsia" w:hAnsi="宋体"/>
          <w:color w:val="000000"/>
        </w:rPr>
        <w:t>第二章　招标文件</w:t>
      </w:r>
      <w:bookmarkEnd w:id="9"/>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5　招标文件构成</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5.1　招标文件由招标文件总目录所列内容组成。</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6　招标文件的澄清或修改</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6.1　投标人对招标文件如有疑点要求澄清，或认为有必要与用户进行技术交流，可用书面形式通知采购人，在报名成功之日起（凭报名回执单）七个工作日内使采购人收到，采购人将用书面形式予以答复，并将不说明来源的答复发给各有关投标人。</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6.2　在投标截止时间的十五天前，采购人有权修改招标文件，并以书面形式通知投标人。修改的文件作为招标文件的补充和组成部分，对所有投标人均有约束力。</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color w:val="000000"/>
          <w:sz w:val="24"/>
        </w:rPr>
        <w:t>6.3　为使投标人有足够的时间按修改文件要求修正投标文件，采购人可酌情推迟投标截止时间和开标时间，并将此变更通知投标人。</w:t>
      </w:r>
    </w:p>
    <w:p>
      <w:pPr>
        <w:pStyle w:val="3"/>
        <w:spacing w:line="360" w:lineRule="auto"/>
        <w:jc w:val="center"/>
        <w:rPr>
          <w:rFonts w:hAnsi="宋体"/>
          <w:color w:val="000000"/>
        </w:rPr>
      </w:pPr>
      <w:bookmarkStart w:id="10" w:name="_Toc2852581"/>
      <w:r>
        <w:rPr>
          <w:rFonts w:hint="eastAsia" w:hAnsi="宋体"/>
          <w:color w:val="000000"/>
        </w:rPr>
        <w:t>第三章　投标文件</w:t>
      </w:r>
      <w:bookmarkEnd w:id="10"/>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　投标文件</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7.1　投标语言、计量及货币</w:t>
      </w:r>
    </w:p>
    <w:p>
      <w:pPr>
        <w:autoSpaceDE w:val="0"/>
        <w:autoSpaceDN w:val="0"/>
        <w:spacing w:line="360" w:lineRule="auto"/>
        <w:ind w:firstLine="456" w:firstLineChars="200"/>
        <w:textAlignment w:val="bottom"/>
        <w:rPr>
          <w:rFonts w:hint="eastAsia" w:ascii="宋体" w:hAnsi="宋体"/>
          <w:color w:val="000000"/>
          <w:spacing w:val="-6"/>
          <w:kern w:val="0"/>
          <w:sz w:val="24"/>
        </w:rPr>
      </w:pPr>
      <w:r>
        <w:rPr>
          <w:rFonts w:hint="eastAsia" w:ascii="宋体" w:hAnsi="宋体"/>
          <w:color w:val="000000"/>
          <w:spacing w:val="-6"/>
          <w:kern w:val="0"/>
          <w:sz w:val="24"/>
        </w:rPr>
        <w:t>7.1.1　投标文件及投标人和采购人就投标交换的文件、来往信件均以中文编写。</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7.1.2　除在技术规格中另有规定外，计量单位应使用公制单位。</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7.1.3　投标货币为人民币元。</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7.2　投标人应仔细阅读招标文件中的所有内容，按照招标文件及招标货物技术规格要求，详细编制投标文件，并保证投标文件的正确性和真实性。</w:t>
      </w:r>
    </w:p>
    <w:p>
      <w:pPr>
        <w:autoSpaceDE w:val="0"/>
        <w:autoSpaceDN w:val="0"/>
        <w:spacing w:line="360" w:lineRule="auto"/>
        <w:ind w:firstLine="480" w:firstLineChars="200"/>
        <w:textAlignment w:val="bottom"/>
        <w:rPr>
          <w:rFonts w:ascii="宋体" w:hAnsi="宋体"/>
          <w:b/>
          <w:bCs/>
          <w:color w:val="000000"/>
          <w:sz w:val="24"/>
        </w:rPr>
      </w:pPr>
      <w:r>
        <w:rPr>
          <w:rFonts w:hint="eastAsia" w:ascii="宋体" w:hAnsi="宋体"/>
          <w:b/>
          <w:bCs/>
          <w:color w:val="000000"/>
          <w:sz w:val="24"/>
        </w:rPr>
        <w:t>7.3　不按招标文件的要求提供的投标文件可能导致被拒绝。</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　投标文件构成</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投标文件由</w:t>
      </w:r>
      <w:r>
        <w:rPr>
          <w:rFonts w:hint="eastAsia" w:ascii="宋体" w:hAnsi="宋体"/>
          <w:b/>
          <w:bCs/>
          <w:color w:val="000000"/>
          <w:sz w:val="24"/>
        </w:rPr>
        <w:t>①</w:t>
      </w:r>
      <w:r>
        <w:rPr>
          <w:rFonts w:hint="eastAsia" w:ascii="宋体" w:hAnsi="宋体"/>
          <w:color w:val="000000"/>
          <w:sz w:val="24"/>
        </w:rPr>
        <w:t>资格文件、②资信标、③技术标、④商务标等组成。</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8.1  资格文件，根据本项目实际，本次招标需要投标人提供第　</w:t>
      </w:r>
      <w:r>
        <w:rPr>
          <w:rFonts w:hint="eastAsia" w:ascii="宋体" w:hAnsi="宋体" w:cs="Arial"/>
          <w:b/>
          <w:bCs/>
          <w:iCs/>
          <w:color w:val="000000"/>
          <w:sz w:val="36"/>
          <w:szCs w:val="36"/>
          <w:u w:val="single"/>
        </w:rPr>
        <w:t xml:space="preserve"> </w:t>
      </w:r>
      <w:r>
        <w:rPr>
          <w:rFonts w:hint="eastAsia" w:ascii="宋体" w:hAnsi="宋体" w:cs="Courier New"/>
          <w:b/>
          <w:color w:val="000000"/>
          <w:sz w:val="24"/>
          <w:szCs w:val="21"/>
          <w:u w:val="single"/>
        </w:rPr>
        <w:t>以下</w:t>
      </w:r>
      <w:r>
        <w:rPr>
          <w:rFonts w:hint="eastAsia" w:ascii="宋体" w:hAnsi="宋体"/>
          <w:b/>
          <w:bCs/>
          <w:color w:val="000000"/>
          <w:sz w:val="24"/>
          <w:u w:val="single"/>
        </w:rPr>
        <w:t>　</w:t>
      </w:r>
      <w:r>
        <w:rPr>
          <w:rFonts w:hint="eastAsia" w:ascii="宋体" w:hAnsi="宋体"/>
          <w:b/>
          <w:bCs/>
          <w:color w:val="000000"/>
          <w:sz w:val="24"/>
        </w:rPr>
        <w:t>项所列的文件：</w:t>
      </w:r>
    </w:p>
    <w:p>
      <w:pPr>
        <w:pStyle w:val="27"/>
        <w:spacing w:line="360" w:lineRule="auto"/>
        <w:ind w:firstLine="480" w:firstLineChars="200"/>
        <w:rPr>
          <w:rFonts w:hint="eastAsia" w:hAnsi="宋体"/>
          <w:color w:val="000000"/>
          <w:sz w:val="24"/>
        </w:rPr>
      </w:pPr>
      <w:r>
        <w:rPr>
          <w:rFonts w:hint="eastAsia" w:hAnsi="宋体"/>
          <w:color w:val="000000"/>
          <w:sz w:val="24"/>
        </w:rPr>
        <w:t>8.1.1　营业执照（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pStyle w:val="27"/>
        <w:spacing w:line="360" w:lineRule="auto"/>
        <w:ind w:firstLine="480" w:firstLineChars="200"/>
        <w:rPr>
          <w:rFonts w:hint="eastAsia" w:hAnsi="宋体"/>
          <w:color w:val="000000"/>
          <w:sz w:val="24"/>
        </w:rPr>
      </w:pPr>
      <w:r>
        <w:rPr>
          <w:rFonts w:hint="eastAsia" w:hAnsi="宋体"/>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8.1.2前一年度资产负债表等财务报表资料文件(新成立的公司，必须提供情况说明)；</w:t>
      </w:r>
    </w:p>
    <w:p>
      <w:pPr>
        <w:pStyle w:val="27"/>
        <w:spacing w:line="360" w:lineRule="auto"/>
        <w:ind w:firstLine="480" w:firstLineChars="200"/>
        <w:rPr>
          <w:rFonts w:hint="eastAsia" w:hAnsi="宋体"/>
          <w:color w:val="000000"/>
          <w:sz w:val="24"/>
        </w:rPr>
      </w:pPr>
      <w:r>
        <w:rPr>
          <w:rFonts w:hint="eastAsia" w:hAnsi="宋体"/>
          <w:color w:val="000000"/>
          <w:sz w:val="24"/>
        </w:rPr>
        <w:t>8.1.3具有履行合同所必需的设备和专业技术能力的承诺函；</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 xml:space="preserve">8.1.4参加政府采购活动前三年内，在经营活动中没有重大违法记录的声明（需要特别声明“没有因违反《浙江省政府采购供应商注册及诚信管理暂行办法》被列入‘黑名单’，在处罚有效期”）； </w:t>
      </w:r>
    </w:p>
    <w:p>
      <w:pPr>
        <w:autoSpaceDE w:val="0"/>
        <w:autoSpaceDN w:val="0"/>
        <w:spacing w:line="360" w:lineRule="auto"/>
        <w:ind w:firstLine="480" w:firstLineChars="200"/>
        <w:textAlignment w:val="bottom"/>
        <w:rPr>
          <w:rFonts w:ascii="宋体" w:hAnsi="宋体"/>
          <w:b/>
          <w:bCs/>
          <w:color w:val="000000"/>
          <w:sz w:val="24"/>
        </w:rPr>
      </w:pPr>
      <w:r>
        <w:rPr>
          <w:rFonts w:hint="eastAsia" w:ascii="宋体" w:hAnsi="宋体"/>
          <w:b/>
          <w:bCs/>
          <w:color w:val="000000"/>
          <w:sz w:val="24"/>
        </w:rPr>
        <w:t>8.2　资信标，根据本项目实际，本次招标需要投标人提供第</w:t>
      </w:r>
      <w:r>
        <w:rPr>
          <w:rFonts w:hint="eastAsia" w:ascii="宋体" w:hAnsi="宋体"/>
          <w:b/>
          <w:bCs/>
          <w:color w:val="000000"/>
          <w:sz w:val="24"/>
          <w:u w:val="single"/>
        </w:rPr>
        <w:t>　</w:t>
      </w:r>
      <w:r>
        <w:rPr>
          <w:rFonts w:hint="eastAsia"/>
          <w:b/>
          <w:color w:val="000000"/>
          <w:sz w:val="24"/>
          <w:u w:val="single"/>
        </w:rPr>
        <w:t>以下</w:t>
      </w:r>
      <w:r>
        <w:rPr>
          <w:rFonts w:hint="eastAsia" w:ascii="宋体" w:hAnsi="宋体"/>
          <w:b/>
          <w:bCs/>
          <w:color w:val="000000"/>
          <w:sz w:val="24"/>
          <w:u w:val="single"/>
        </w:rPr>
        <w:t>　</w:t>
      </w:r>
      <w:r>
        <w:rPr>
          <w:rFonts w:hint="eastAsia" w:ascii="宋体" w:hAnsi="宋体"/>
          <w:b/>
          <w:bCs/>
          <w:color w:val="000000"/>
          <w:sz w:val="24"/>
        </w:rPr>
        <w:t>项所列的证明文件：</w:t>
      </w:r>
    </w:p>
    <w:p>
      <w:pPr>
        <w:autoSpaceDE w:val="0"/>
        <w:autoSpaceDN w:val="0"/>
        <w:spacing w:line="360" w:lineRule="auto"/>
        <w:ind w:left="243" w:leftChars="116" w:firstLine="240" w:firstLineChars="100"/>
        <w:textAlignment w:val="bottom"/>
        <w:rPr>
          <w:rFonts w:hint="eastAsia" w:ascii="宋体" w:hAnsi="宋体"/>
          <w:color w:val="000000"/>
          <w:sz w:val="24"/>
        </w:rPr>
      </w:pPr>
      <w:r>
        <w:rPr>
          <w:rFonts w:hint="eastAsia" w:ascii="宋体" w:hAnsi="宋体"/>
          <w:color w:val="000000"/>
          <w:sz w:val="24"/>
        </w:rPr>
        <w:t xml:space="preserve">8.2.1　法定代表人身份证明书或法定代表人授权委托书或个体工商户身份证明书；                  </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8.2.2　近</w:t>
      </w:r>
      <w:r>
        <w:rPr>
          <w:rFonts w:hint="eastAsia" w:ascii="宋体" w:hAnsi="宋体"/>
          <w:color w:val="000000"/>
          <w:sz w:val="24"/>
          <w:u w:val="single"/>
        </w:rPr>
        <w:t>　</w:t>
      </w:r>
      <w:r>
        <w:rPr>
          <w:rFonts w:hint="eastAsia"/>
          <w:color w:val="000000"/>
          <w:sz w:val="24"/>
          <w:u w:val="single"/>
        </w:rPr>
        <w:t>3</w:t>
      </w:r>
      <w:r>
        <w:rPr>
          <w:rFonts w:hint="eastAsia" w:ascii="宋体" w:hAnsi="宋体"/>
          <w:color w:val="000000"/>
          <w:sz w:val="24"/>
          <w:u w:val="single"/>
        </w:rPr>
        <w:t>　</w:t>
      </w:r>
      <w:r>
        <w:rPr>
          <w:rFonts w:hint="eastAsia" w:ascii="宋体" w:hAnsi="宋体"/>
          <w:color w:val="000000"/>
          <w:sz w:val="24"/>
        </w:rPr>
        <w:t>年来类似产品的生产、销售情况及业绩表；</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8.3　技术标，根据本项目实际，本次招标需要投标人提供第</w:t>
      </w:r>
      <w:r>
        <w:rPr>
          <w:rFonts w:hint="eastAsia" w:ascii="宋体" w:hAnsi="宋体"/>
          <w:b/>
          <w:bCs/>
          <w:color w:val="000000"/>
          <w:sz w:val="24"/>
          <w:u w:val="single"/>
        </w:rPr>
        <w:t xml:space="preserve">　以下  </w:t>
      </w:r>
      <w:r>
        <w:rPr>
          <w:rFonts w:hint="eastAsia" w:ascii="宋体" w:hAnsi="宋体"/>
          <w:b/>
          <w:bCs/>
          <w:color w:val="000000"/>
          <w:sz w:val="24"/>
        </w:rPr>
        <w:t>项所列的技术文件,这些文件可以是资料、图表或说明。</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8.3.1　产品样本、说明书、技术规格书、选型手册、具体结构图等；</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8.3.2　产品的主要技术、结构、性能、特点和质量水平的详细描述；</w:t>
      </w:r>
    </w:p>
    <w:p>
      <w:pPr>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8.3.3　产品的供货范围及零部件清单；其中：零部件需说明制造商和国别；</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8.3.4　货物说明一览表，以及招标文件第四部分技术规格书所要求提供的文件。</w:t>
      </w:r>
    </w:p>
    <w:p>
      <w:pPr>
        <w:autoSpaceDE w:val="0"/>
        <w:autoSpaceDN w:val="0"/>
        <w:spacing w:line="360" w:lineRule="auto"/>
        <w:ind w:firstLine="480" w:firstLineChars="200"/>
        <w:textAlignment w:val="bottom"/>
        <w:rPr>
          <w:rFonts w:hint="eastAsia" w:ascii="宋体" w:hAnsi="宋体"/>
          <w:i/>
          <w:iCs/>
          <w:color w:val="FF0000"/>
          <w:sz w:val="24"/>
        </w:rPr>
      </w:pPr>
      <w:r>
        <w:rPr>
          <w:rFonts w:hint="eastAsia" w:ascii="宋体" w:hAnsi="宋体"/>
          <w:color w:val="000000"/>
          <w:sz w:val="24"/>
        </w:rPr>
        <w:t>8.3.5　产品的技术服务和售后服务的内容和措施</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8.3.6　距采购人最近的服务网点的详细介绍，包括资质资格、技术力量、工作业绩、服务内容及承诺</w:t>
      </w:r>
    </w:p>
    <w:p>
      <w:pPr>
        <w:autoSpaceDE w:val="0"/>
        <w:autoSpaceDN w:val="0"/>
        <w:spacing w:line="360" w:lineRule="auto"/>
        <w:ind w:firstLine="480" w:firstLineChars="200"/>
        <w:textAlignment w:val="bottom"/>
        <w:rPr>
          <w:rFonts w:hint="eastAsia"/>
          <w:color w:val="FF0000"/>
          <w:sz w:val="24"/>
          <w:u w:val="single"/>
        </w:rPr>
      </w:pPr>
      <w:r>
        <w:rPr>
          <w:rFonts w:hint="eastAsia" w:ascii="宋体" w:hAnsi="宋体"/>
          <w:color w:val="000000"/>
          <w:sz w:val="24"/>
        </w:rPr>
        <w:t>8.3.7　采购人认为需要提供的其他文件：</w:t>
      </w:r>
      <w:r>
        <w:rPr>
          <w:rFonts w:hint="eastAsia"/>
          <w:b/>
          <w:color w:val="000000"/>
          <w:sz w:val="24"/>
          <w:u w:val="single"/>
        </w:rPr>
        <w:t>系统综合设计分析及采购人可能疏忽的技术细节。</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8.4　商务标，一般要求提供下面所列的第1、2项的文件。根据本项目实际，本次招标还需要投标人第</w:t>
      </w:r>
      <w:r>
        <w:rPr>
          <w:rFonts w:hint="eastAsia" w:ascii="宋体" w:hAnsi="宋体"/>
          <w:b/>
          <w:bCs/>
          <w:color w:val="000000"/>
          <w:sz w:val="24"/>
          <w:u w:val="single"/>
        </w:rPr>
        <w:t>　</w:t>
      </w:r>
      <w:r>
        <w:rPr>
          <w:rFonts w:hint="eastAsia"/>
          <w:b/>
          <w:color w:val="000000"/>
          <w:sz w:val="24"/>
          <w:u w:val="single"/>
        </w:rPr>
        <w:t>1、2、3</w:t>
      </w:r>
      <w:r>
        <w:rPr>
          <w:rFonts w:hint="eastAsia" w:ascii="宋体" w:hAnsi="宋体"/>
          <w:b/>
          <w:bCs/>
          <w:color w:val="000000"/>
          <w:sz w:val="24"/>
          <w:u w:val="single"/>
        </w:rPr>
        <w:t>　</w:t>
      </w:r>
      <w:r>
        <w:rPr>
          <w:rFonts w:hint="eastAsia" w:ascii="宋体" w:hAnsi="宋体"/>
          <w:b/>
          <w:bCs/>
          <w:color w:val="000000"/>
          <w:sz w:val="24"/>
        </w:rPr>
        <w:t>项所列的文件：</w:t>
      </w:r>
    </w:p>
    <w:p>
      <w:pPr>
        <w:tabs>
          <w:tab w:val="left" w:pos="1440"/>
          <w:tab w:val="left" w:pos="1620"/>
          <w:tab w:val="left" w:pos="1800"/>
          <w:tab w:val="left" w:pos="1980"/>
        </w:tabs>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8.4.1　投标函</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8.4.2　开标一览表</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8.4.3　</w:t>
      </w:r>
      <w:r>
        <w:rPr>
          <w:rFonts w:hint="eastAsia" w:ascii="宋体" w:hAnsi="宋体" w:cs="Courier New"/>
          <w:color w:val="000000"/>
          <w:sz w:val="24"/>
          <w:szCs w:val="21"/>
        </w:rPr>
        <w:t>投标报价明细表</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8.4.4　商务条款偏离表</w:t>
      </w:r>
      <w:r>
        <w:rPr>
          <w:rFonts w:hint="eastAsia" w:ascii="宋体" w:hAnsi="宋体"/>
          <w:bCs/>
          <w:color w:val="000000"/>
          <w:sz w:val="24"/>
        </w:rPr>
        <w:t xml:space="preserve">      </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8.5　注意事项</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8.5.1　投标人提供的各类资格及资信证明文件必须是真实可靠且在有效期内的，否则有可能导致被认定为无效、取消投标资格、追究法律责任等不良后果。</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8.5.2　投标人可以在投标文件中对招标货物的技术规格要求提出推荐和替代意见，但所提出的意见应优于招标文件中提出的相应要求。</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b/>
          <w:bCs/>
          <w:color w:val="000000"/>
          <w:sz w:val="24"/>
        </w:rPr>
        <w:t>8.5.3　为方便开标和评标，投标人应按8.1、8.2、8.3和8.4条所列的顺序分别编制资格文件、资信标、技术标和商务标，否则对投标人造成影响的，采购人概不负责。</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b/>
          <w:color w:val="000000"/>
          <w:sz w:val="24"/>
        </w:rPr>
        <w:t>9　投标内容填写说明</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9.1　投标文件格式</w:t>
      </w:r>
    </w:p>
    <w:p>
      <w:pPr>
        <w:autoSpaceDE w:val="0"/>
        <w:autoSpaceDN w:val="0"/>
        <w:spacing w:line="360" w:lineRule="auto"/>
        <w:ind w:firstLine="570"/>
        <w:textAlignment w:val="bottom"/>
        <w:rPr>
          <w:rFonts w:hint="eastAsia" w:ascii="宋体" w:hAnsi="宋体"/>
          <w:color w:val="000000"/>
          <w:sz w:val="24"/>
        </w:rPr>
      </w:pPr>
      <w:r>
        <w:rPr>
          <w:rFonts w:hint="eastAsia" w:ascii="宋体" w:hAnsi="宋体"/>
          <w:color w:val="000000"/>
          <w:sz w:val="24"/>
        </w:rPr>
        <w:t>投标人应按照招标文件中所提出的格式及编制顺序填写。</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9.2　投标函和开标一览表为在开标仪式上唱标的内容，投标人需按格式填写，统一规范，不得自行增减内容。</w:t>
      </w:r>
    </w:p>
    <w:p>
      <w:pPr>
        <w:autoSpaceDE w:val="0"/>
        <w:autoSpaceDN w:val="0"/>
        <w:spacing w:line="360" w:lineRule="auto"/>
        <w:ind w:firstLine="480" w:firstLineChars="200"/>
        <w:textAlignment w:val="bottom"/>
        <w:rPr>
          <w:rFonts w:ascii="宋体" w:hAnsi="宋体"/>
          <w:color w:val="000000"/>
          <w:sz w:val="24"/>
        </w:rPr>
      </w:pPr>
      <w:r>
        <w:rPr>
          <w:rFonts w:hint="eastAsia" w:ascii="宋体" w:hAnsi="宋体"/>
          <w:color w:val="000000"/>
          <w:sz w:val="24"/>
        </w:rPr>
        <w:t>9.3　投标报价</w:t>
      </w:r>
    </w:p>
    <w:p>
      <w:pPr>
        <w:spacing w:line="360" w:lineRule="auto"/>
        <w:ind w:firstLine="480" w:firstLineChars="200"/>
        <w:rPr>
          <w:rFonts w:hint="eastAsia" w:ascii="宋体" w:hAnsi="宋体"/>
          <w:color w:val="000000"/>
          <w:sz w:val="24"/>
        </w:rPr>
      </w:pPr>
      <w:r>
        <w:rPr>
          <w:rFonts w:hint="eastAsia" w:ascii="宋体" w:hAnsi="宋体"/>
          <w:color w:val="000000"/>
          <w:sz w:val="24"/>
        </w:rPr>
        <w:t>9.3.1　</w:t>
      </w:r>
      <w:r>
        <w:rPr>
          <w:rFonts w:ascii="宋体" w:hAnsi="宋体"/>
          <w:color w:val="000000"/>
          <w:sz w:val="24"/>
        </w:rPr>
        <w:t>投标报价应在招标文件所附的</w:t>
      </w:r>
      <w:r>
        <w:rPr>
          <w:rFonts w:hint="eastAsia" w:ascii="宋体" w:hAnsi="宋体"/>
          <w:color w:val="000000"/>
          <w:sz w:val="24"/>
        </w:rPr>
        <w:t>开标一览</w:t>
      </w:r>
      <w:r>
        <w:rPr>
          <w:rFonts w:ascii="宋体" w:hAnsi="宋体"/>
          <w:color w:val="000000"/>
          <w:sz w:val="24"/>
        </w:rPr>
        <w:t>表上写明投标单价和投标总价。</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b/>
          <w:color w:val="000000"/>
          <w:sz w:val="24"/>
        </w:rPr>
        <w:t>9.3.2　投标报价只允许有一个报价，有选择的报价将不予接受。</w:t>
      </w:r>
    </w:p>
    <w:p>
      <w:pPr>
        <w:spacing w:line="360" w:lineRule="auto"/>
        <w:ind w:firstLine="480" w:firstLineChars="200"/>
        <w:rPr>
          <w:rFonts w:hint="eastAsia" w:ascii="宋体" w:hAnsi="宋体"/>
          <w:color w:val="000000"/>
          <w:sz w:val="24"/>
        </w:rPr>
      </w:pPr>
      <w:r>
        <w:rPr>
          <w:rFonts w:hint="eastAsia" w:ascii="宋体" w:hAnsi="宋体"/>
          <w:color w:val="000000"/>
          <w:sz w:val="24"/>
        </w:rPr>
        <w:t>9.3.3　投标人应对所列的所有货物进行报价。</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9.3.4　投标报价统一为人民币计价，并包括下列第</w:t>
      </w:r>
      <w:r>
        <w:rPr>
          <w:rFonts w:hint="eastAsia" w:ascii="宋体" w:hAnsi="宋体"/>
          <w:color w:val="000000"/>
          <w:sz w:val="24"/>
          <w:u w:val="single"/>
        </w:rPr>
        <w:t>　</w:t>
      </w:r>
      <w:r>
        <w:rPr>
          <w:rFonts w:hint="eastAsia"/>
          <w:b/>
          <w:color w:val="000000"/>
          <w:sz w:val="24"/>
          <w:u w:val="single"/>
        </w:rPr>
        <w:t>1、2、3、4</w:t>
      </w:r>
      <w:r>
        <w:rPr>
          <w:rFonts w:hint="eastAsia" w:ascii="宋体" w:hAnsi="宋体"/>
          <w:color w:val="000000"/>
          <w:sz w:val="24"/>
          <w:u w:val="single"/>
        </w:rPr>
        <w:t>　</w:t>
      </w:r>
      <w:r>
        <w:rPr>
          <w:rFonts w:hint="eastAsia" w:ascii="宋体" w:hAnsi="宋体"/>
          <w:color w:val="000000"/>
          <w:sz w:val="24"/>
        </w:rPr>
        <w:t>条规定的费用：</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9.3.4.1　向政府及行业部门交纳各种税费及规费。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9.3.4.2　货物运输、安装及调试费用等。</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9.3.4.3　现场将可能发生的临时设施费、脚手架、安装水电费、起重货物进场费用、成品保护费用等。</w:t>
      </w:r>
    </w:p>
    <w:p>
      <w:pPr>
        <w:snapToGrid w:val="0"/>
        <w:spacing w:line="360" w:lineRule="auto"/>
        <w:ind w:firstLine="480" w:firstLineChars="200"/>
        <w:rPr>
          <w:rFonts w:hint="eastAsia" w:ascii="宋体" w:hAnsi="宋体"/>
          <w:b/>
          <w:bCs/>
          <w:color w:val="000000"/>
          <w:sz w:val="24"/>
        </w:rPr>
      </w:pPr>
      <w:r>
        <w:rPr>
          <w:rFonts w:hint="eastAsia" w:ascii="宋体" w:hAnsi="宋体"/>
          <w:color w:val="000000"/>
          <w:sz w:val="24"/>
        </w:rPr>
        <w:t>9.3.4.4　其它：</w:t>
      </w:r>
      <w:r>
        <w:rPr>
          <w:rFonts w:hint="eastAsia" w:ascii="宋体" w:hAnsi="宋体"/>
          <w:b/>
          <w:bCs/>
          <w:color w:val="000000"/>
          <w:sz w:val="24"/>
          <w:u w:val="single"/>
        </w:rPr>
        <w:t>工程完成后设备运行所需的网络租费、电费、第三方技术检测费及租用期限内因市政施工、道路改道、房屋拆迁及其他客观原因，需要对前端点实行移位所产生的费用均包含在报价内</w:t>
      </w:r>
      <w:r>
        <w:rPr>
          <w:rFonts w:hint="eastAsia" w:ascii="宋体" w:hAnsi="宋体"/>
          <w:b/>
          <w:bCs/>
          <w:color w:val="000000"/>
          <w:sz w:val="24"/>
        </w:rPr>
        <w:t>。</w:t>
      </w:r>
    </w:p>
    <w:p>
      <w:pPr>
        <w:snapToGrid w:val="0"/>
        <w:spacing w:line="360" w:lineRule="auto"/>
        <w:ind w:firstLine="480" w:firstLineChars="200"/>
        <w:rPr>
          <w:rFonts w:hint="eastAsia" w:ascii="宋体" w:hAnsi="宋体"/>
          <w:color w:val="000000"/>
          <w:sz w:val="24"/>
        </w:rPr>
      </w:pPr>
      <w:r>
        <w:rPr>
          <w:rFonts w:hint="eastAsia" w:ascii="宋体" w:hAnsi="宋体"/>
          <w:b/>
          <w:bCs/>
          <w:color w:val="000000"/>
          <w:sz w:val="24"/>
        </w:rPr>
        <w:t>9.4　技术规范/规格偏离及建议</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投标货物如与招标货物在型号、规格、技术参数、性能、工艺、材料、质量技术标准等方面有微小偏离或对投标产品配置有好的建议，应填写《规格性能偏离及建议表》。</w:t>
      </w:r>
    </w:p>
    <w:p>
      <w:pPr>
        <w:autoSpaceDE w:val="0"/>
        <w:autoSpaceDN w:val="0"/>
        <w:spacing w:line="360" w:lineRule="auto"/>
        <w:ind w:firstLine="480" w:firstLineChars="200"/>
        <w:textAlignment w:val="bottom"/>
        <w:rPr>
          <w:rFonts w:hint="eastAsia" w:ascii="宋体" w:hAnsi="宋体"/>
          <w:b/>
          <w:bCs/>
          <w:color w:val="000000"/>
          <w:sz w:val="24"/>
        </w:rPr>
      </w:pPr>
      <w:r>
        <w:rPr>
          <w:rFonts w:hint="eastAsia" w:ascii="宋体" w:hAnsi="宋体"/>
          <w:b/>
          <w:bCs/>
          <w:color w:val="000000"/>
          <w:sz w:val="24"/>
        </w:rPr>
        <w:t>9.5　投标人根据招标文件载明的招标项目实际情况，拟在中标后将中标项目部分工作交由他人完成的，应当在投标文件中予以声明。</w:t>
      </w:r>
    </w:p>
    <w:p>
      <w:pPr>
        <w:pStyle w:val="27"/>
        <w:snapToGrid w:val="0"/>
        <w:spacing w:line="360" w:lineRule="auto"/>
        <w:ind w:firstLine="480" w:firstLineChars="200"/>
        <w:rPr>
          <w:rFonts w:hint="eastAsia" w:hAnsi="宋体"/>
          <w:b/>
          <w:color w:val="000000"/>
          <w:sz w:val="24"/>
        </w:rPr>
      </w:pPr>
      <w:r>
        <w:rPr>
          <w:rFonts w:hint="eastAsia" w:hAnsi="宋体"/>
          <w:b/>
          <w:color w:val="000000"/>
          <w:sz w:val="24"/>
        </w:rPr>
        <w:t>10　投标文件的编制与签署</w:t>
      </w:r>
    </w:p>
    <w:p>
      <w:pPr>
        <w:pStyle w:val="27"/>
        <w:snapToGrid w:val="0"/>
        <w:spacing w:line="360" w:lineRule="auto"/>
        <w:ind w:firstLine="480" w:firstLineChars="200"/>
        <w:rPr>
          <w:rFonts w:hint="eastAsia" w:hAnsi="宋体"/>
          <w:color w:val="000000"/>
          <w:sz w:val="24"/>
        </w:rPr>
      </w:pPr>
      <w:r>
        <w:rPr>
          <w:rFonts w:hint="eastAsia" w:hAnsi="宋体"/>
          <w:color w:val="000000"/>
          <w:sz w:val="24"/>
        </w:rPr>
        <w:t>10.1按招标文件8.1条、8.2条、8.3条、8.4条要求提供的各种文件，投标文件分为资格文件、资信标、技术标、商务标四部分，其中资信标、技术标可装订成一册，其余部分分别装订成册，投标文件的装订应采用胶订或线订形式，不得采用活页装订方式，否则投标文件按无效标处理。</w:t>
      </w:r>
    </w:p>
    <w:p>
      <w:pPr>
        <w:pStyle w:val="80"/>
        <w:snapToGrid w:val="0"/>
        <w:spacing w:before="0"/>
        <w:ind w:firstLine="480"/>
        <w:rPr>
          <w:rFonts w:hint="eastAsia" w:ascii="宋体" w:hAnsi="宋体" w:cs="Courier New"/>
          <w:color w:val="000000"/>
          <w:szCs w:val="21"/>
        </w:rPr>
      </w:pPr>
      <w:r>
        <w:rPr>
          <w:rFonts w:hint="eastAsia" w:ascii="宋体" w:hAnsi="宋体" w:cs="Courier New"/>
          <w:color w:val="000000"/>
          <w:szCs w:val="21"/>
        </w:rPr>
        <w:t>10.2　投标人按前附表规定的份数编制投标文件，并在封面上标明“正本”和“副本”。投标文件正本和副本如有不一致之处，以正本为准。</w:t>
      </w:r>
    </w:p>
    <w:p>
      <w:pPr>
        <w:pStyle w:val="80"/>
        <w:snapToGrid w:val="0"/>
        <w:spacing w:before="0"/>
        <w:ind w:firstLine="480"/>
        <w:rPr>
          <w:rFonts w:hint="eastAsia" w:ascii="仿宋_GB2312" w:hAnsi="仿宋_GB2312" w:eastAsia="仿宋_GB2312" w:cs="仿宋_GB2312"/>
          <w:szCs w:val="24"/>
        </w:rPr>
      </w:pPr>
      <w:r>
        <w:rPr>
          <w:rFonts w:hint="eastAsia" w:ascii="宋体" w:hAnsi="宋体" w:cs="Courier New"/>
          <w:color w:val="000000"/>
          <w:szCs w:val="21"/>
        </w:rPr>
        <w:t>10.3</w:t>
      </w:r>
      <w:r>
        <w:rPr>
          <w:rFonts w:hint="eastAsia" w:ascii="宋体" w:hAnsi="宋体"/>
          <w:szCs w:val="21"/>
        </w:rPr>
        <w:t>投标文件应用不褪色的材料书写或打印，并由投标人的法定代表人或其委托代理人签字或盖单位章。委托代理人签字的，投标文件应附法定代表人签署的授权委托书。并按照招标文件第六部分要求进行签字、盖章。</w:t>
      </w:r>
    </w:p>
    <w:p>
      <w:pPr>
        <w:autoSpaceDE w:val="0"/>
        <w:autoSpaceDN w:val="0"/>
        <w:snapToGrid w:val="0"/>
        <w:spacing w:line="360" w:lineRule="auto"/>
        <w:textAlignment w:val="bottom"/>
        <w:rPr>
          <w:rFonts w:hint="eastAsia" w:ascii="宋体" w:hAnsi="宋体"/>
          <w:b/>
          <w:bCs/>
          <w:color w:val="000000"/>
          <w:sz w:val="24"/>
        </w:rPr>
      </w:pPr>
      <w:r>
        <w:rPr>
          <w:rFonts w:hint="eastAsia" w:ascii="宋体" w:hAnsi="宋体"/>
          <w:sz w:val="24"/>
          <w:szCs w:val="21"/>
        </w:rPr>
        <w:t xml:space="preserve">  　10.4　投标文件应尽量避免涂改、行间插字或删除。如果出现上述情况，改动之处应加盖单位章或由投标人的法定代表人或其授权的代理人签字确认。</w:t>
      </w:r>
      <w:r>
        <w:rPr>
          <w:rFonts w:hint="eastAsia" w:ascii="宋体" w:hAnsi="宋体"/>
          <w:sz w:val="24"/>
          <w:szCs w:val="21"/>
        </w:rPr>
        <w:cr/>
      </w:r>
      <w:r>
        <w:rPr>
          <w:rFonts w:hint="eastAsia" w:ascii="宋体" w:hAnsi="宋体"/>
          <w:color w:val="000000"/>
          <w:sz w:val="24"/>
        </w:rPr>
        <w:t>　　10.5　由于字迹模糊或表达不清引起的后果由投标人负责。</w:t>
      </w:r>
    </w:p>
    <w:p>
      <w:pPr>
        <w:pStyle w:val="27"/>
        <w:snapToGrid w:val="0"/>
        <w:spacing w:line="360" w:lineRule="auto"/>
        <w:ind w:left="478" w:leftChars="228"/>
        <w:rPr>
          <w:rFonts w:hint="eastAsia" w:hAnsi="宋体"/>
          <w:color w:val="000000"/>
          <w:sz w:val="24"/>
        </w:rPr>
      </w:pPr>
      <w:r>
        <w:rPr>
          <w:rFonts w:hint="eastAsia" w:hAnsi="宋体"/>
          <w:b/>
          <w:color w:val="000000"/>
          <w:sz w:val="24"/>
        </w:rPr>
        <w:t>11　投标文件的密封及标记</w:t>
      </w:r>
      <w:r>
        <w:rPr>
          <w:rFonts w:hint="eastAsia" w:hAnsi="宋体"/>
          <w:b/>
          <w:color w:val="000000"/>
          <w:sz w:val="24"/>
        </w:rPr>
        <w:cr/>
      </w:r>
      <w:r>
        <w:rPr>
          <w:rFonts w:hint="eastAsia" w:hAnsi="宋体"/>
          <w:color w:val="000000"/>
          <w:sz w:val="24"/>
        </w:rPr>
        <w:t>11.1　投标文件应按以下方法分别装袋密封</w:t>
      </w:r>
    </w:p>
    <w:p>
      <w:pPr>
        <w:pStyle w:val="27"/>
        <w:snapToGrid w:val="0"/>
        <w:spacing w:line="360" w:lineRule="auto"/>
        <w:ind w:firstLine="480" w:firstLineChars="200"/>
        <w:rPr>
          <w:rFonts w:hint="eastAsia" w:hAnsi="宋体"/>
          <w:color w:val="000000"/>
          <w:sz w:val="24"/>
        </w:rPr>
      </w:pPr>
      <w:r>
        <w:rPr>
          <w:rFonts w:hint="eastAsia" w:hAnsi="宋体"/>
          <w:color w:val="000000"/>
          <w:sz w:val="24"/>
        </w:rPr>
        <w:t>11.1.1　投标文件密封袋内装投标文件正、副本。</w:t>
      </w:r>
      <w:r>
        <w:rPr>
          <w:rFonts w:hint="eastAsia" w:hAnsi="宋体"/>
          <w:b/>
          <w:color w:val="000000"/>
          <w:sz w:val="24"/>
        </w:rPr>
        <w:t>资格文件、</w:t>
      </w:r>
      <w:r>
        <w:rPr>
          <w:rFonts w:hint="eastAsia" w:hAnsi="宋体"/>
          <w:b/>
          <w:bCs/>
          <w:color w:val="000000"/>
          <w:sz w:val="24"/>
        </w:rPr>
        <w:t>商务标分别单独装订密封，资信标和技术标可装订成一册密封。</w:t>
      </w:r>
      <w:r>
        <w:rPr>
          <w:rFonts w:hint="eastAsia" w:hAnsi="宋体"/>
          <w:color w:val="000000"/>
          <w:sz w:val="24"/>
        </w:rPr>
        <w:cr/>
      </w:r>
      <w:r>
        <w:rPr>
          <w:rFonts w:hint="eastAsia" w:hAnsi="宋体"/>
          <w:color w:val="000000"/>
          <w:sz w:val="24"/>
        </w:rPr>
        <w:t>　　11.1.2　将全部投标文件包装完好，并在封皮上写明：</w:t>
      </w:r>
    </w:p>
    <w:p>
      <w:pPr>
        <w:pStyle w:val="27"/>
        <w:spacing w:line="360" w:lineRule="auto"/>
        <w:ind w:firstLine="480" w:firstLineChars="200"/>
        <w:rPr>
          <w:rFonts w:hint="eastAsia" w:hAnsi="宋体"/>
          <w:color w:val="000000"/>
          <w:sz w:val="24"/>
          <w:u w:val="single"/>
        </w:rPr>
      </w:pPr>
      <w:r>
        <w:rPr>
          <w:rFonts w:hint="eastAsia" w:hAnsi="宋体"/>
          <w:color w:val="000000"/>
          <w:sz w:val="24"/>
        </w:rPr>
        <w:t>11.1.2.1　采购人名称：</w:t>
      </w:r>
      <w:r>
        <w:rPr>
          <w:rFonts w:hint="eastAsia" w:hAnsi="宋体"/>
          <w:color w:val="000000"/>
          <w:sz w:val="24"/>
          <w:u w:val="single"/>
        </w:rPr>
        <w:t xml:space="preserve"> 　　　　　　　　　　　　　　　　　　</w:t>
      </w:r>
      <w:r>
        <w:rPr>
          <w:rFonts w:hint="eastAsia" w:hAnsi="宋体"/>
          <w:color w:val="000000"/>
          <w:sz w:val="24"/>
        </w:rPr>
        <w:t>。</w:t>
      </w:r>
    </w:p>
    <w:p>
      <w:pPr>
        <w:pStyle w:val="27"/>
        <w:spacing w:line="360" w:lineRule="auto"/>
        <w:ind w:firstLine="480"/>
        <w:rPr>
          <w:rFonts w:hint="eastAsia" w:hAnsi="宋体"/>
          <w:color w:val="000000"/>
          <w:sz w:val="24"/>
        </w:rPr>
      </w:pPr>
      <w:r>
        <w:rPr>
          <w:rFonts w:hint="eastAsia" w:hAnsi="宋体"/>
          <w:color w:val="000000"/>
          <w:sz w:val="24"/>
        </w:rPr>
        <w:t>11.1.2.2　采购项目：</w:t>
      </w:r>
      <w:r>
        <w:rPr>
          <w:rFonts w:hint="eastAsia" w:hAnsi="宋体"/>
          <w:color w:val="000000"/>
          <w:sz w:val="24"/>
          <w:u w:val="single"/>
        </w:rPr>
        <w:t>　　　　　　　　　　　　　　　　　　　　</w:t>
      </w:r>
      <w:r>
        <w:rPr>
          <w:rFonts w:hint="eastAsia" w:hAnsi="宋体"/>
          <w:color w:val="000000"/>
          <w:sz w:val="24"/>
        </w:rPr>
        <w:t>。</w:t>
      </w:r>
    </w:p>
    <w:p>
      <w:pPr>
        <w:pStyle w:val="27"/>
        <w:spacing w:line="360" w:lineRule="auto"/>
        <w:ind w:firstLine="480" w:firstLineChars="200"/>
        <w:rPr>
          <w:rFonts w:hint="eastAsia" w:hAnsi="宋体"/>
          <w:color w:val="000000"/>
          <w:sz w:val="24"/>
        </w:rPr>
      </w:pPr>
      <w:r>
        <w:rPr>
          <w:rFonts w:hint="eastAsia" w:hAnsi="宋体"/>
          <w:color w:val="000000"/>
          <w:sz w:val="24"/>
        </w:rPr>
        <w:t>11.1.2.3　投标人名称：</w:t>
      </w:r>
      <w:r>
        <w:rPr>
          <w:rFonts w:hint="eastAsia" w:hAnsi="宋体"/>
          <w:color w:val="000000"/>
          <w:sz w:val="24"/>
          <w:u w:val="single"/>
        </w:rPr>
        <w:t>　　　　　　　　　　　　　　　　　　　</w:t>
      </w:r>
      <w:r>
        <w:rPr>
          <w:rFonts w:hint="eastAsia" w:hAnsi="宋体"/>
          <w:color w:val="000000"/>
          <w:sz w:val="24"/>
        </w:rPr>
        <w:t>。</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11.2　如果投标人未按上述要求密封及加写标记，采购人对投标文件的误投和提前启封不负责任。</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b/>
          <w:color w:val="000000"/>
          <w:sz w:val="24"/>
        </w:rPr>
        <w:t>12　投标保证金</w:t>
      </w:r>
    </w:p>
    <w:p>
      <w:pPr>
        <w:autoSpaceDE w:val="0"/>
        <w:autoSpaceDN w:val="0"/>
        <w:spacing w:line="360" w:lineRule="auto"/>
        <w:ind w:firstLine="480" w:firstLineChars="200"/>
        <w:textAlignment w:val="bottom"/>
        <w:rPr>
          <w:rFonts w:hint="eastAsia" w:ascii="宋体" w:hAnsi="宋体" w:cs="Arial"/>
          <w:b/>
          <w:sz w:val="24"/>
        </w:rPr>
      </w:pPr>
      <w:r>
        <w:rPr>
          <w:rFonts w:hint="eastAsia" w:ascii="宋体" w:hAnsi="宋体"/>
          <w:color w:val="000000"/>
          <w:sz w:val="24"/>
        </w:rPr>
        <w:t>12.1　</w:t>
      </w:r>
      <w:r>
        <w:rPr>
          <w:rFonts w:ascii="宋体" w:hAnsi="宋体" w:cs="Arial"/>
          <w:b/>
          <w:sz w:val="24"/>
        </w:rPr>
        <w:t>投标人</w:t>
      </w:r>
      <w:r>
        <w:rPr>
          <w:rFonts w:hint="eastAsia" w:ascii="宋体" w:hAnsi="宋体" w:cs="Arial"/>
          <w:b/>
          <w:sz w:val="24"/>
        </w:rPr>
        <w:t>的</w:t>
      </w:r>
      <w:r>
        <w:rPr>
          <w:rFonts w:ascii="宋体" w:hAnsi="宋体" w:cs="Arial"/>
          <w:b/>
          <w:sz w:val="24"/>
        </w:rPr>
        <w:t>投标保证金</w:t>
      </w:r>
      <w:r>
        <w:rPr>
          <w:rFonts w:hint="eastAsia" w:ascii="宋体" w:hAnsi="宋体" w:cs="Arial"/>
          <w:b/>
          <w:sz w:val="24"/>
        </w:rPr>
        <w:t>要求具体详见前附表第五条</w:t>
      </w:r>
      <w:r>
        <w:rPr>
          <w:rFonts w:hint="eastAsia" w:ascii="宋体" w:hAnsi="宋体"/>
          <w:b/>
          <w:sz w:val="24"/>
        </w:rPr>
        <w:t>，</w:t>
      </w:r>
      <w:r>
        <w:rPr>
          <w:rFonts w:hint="eastAsia" w:ascii="宋体" w:hAnsi="宋体"/>
          <w:sz w:val="24"/>
        </w:rPr>
        <w:t>否则采购人将不接受投标文件。</w:t>
      </w:r>
    </w:p>
    <w:p>
      <w:pPr>
        <w:autoSpaceDE w:val="0"/>
        <w:autoSpaceDN w:val="0"/>
        <w:spacing w:line="360" w:lineRule="auto"/>
        <w:ind w:firstLine="480" w:firstLineChars="200"/>
        <w:textAlignment w:val="bottom"/>
        <w:rPr>
          <w:rFonts w:hint="eastAsia" w:ascii="宋体" w:hAnsi="宋体"/>
          <w:i/>
          <w:color w:val="000000"/>
          <w:sz w:val="24"/>
        </w:rPr>
      </w:pPr>
      <w:r>
        <w:rPr>
          <w:rFonts w:hint="eastAsia" w:ascii="宋体" w:hAnsi="宋体"/>
          <w:color w:val="000000"/>
          <w:sz w:val="24"/>
        </w:rPr>
        <w:t>12.2　投标保证金的交付人和投标人的名称必须一致，否则采购人将不接受投标文件。</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12.3　</w:t>
      </w:r>
      <w:r>
        <w:rPr>
          <w:rFonts w:ascii="宋体" w:hAnsi="宋体"/>
          <w:color w:val="000000"/>
          <w:sz w:val="24"/>
        </w:rPr>
        <w:t>中标人的投标保证金在绍兴市上虞区公共资源交易中心</w:t>
      </w:r>
      <w:r>
        <w:rPr>
          <w:rFonts w:hint="eastAsia" w:ascii="宋体" w:hAnsi="宋体"/>
          <w:color w:val="000000"/>
          <w:sz w:val="24"/>
        </w:rPr>
        <w:t>备案</w:t>
      </w:r>
      <w:r>
        <w:rPr>
          <w:rFonts w:ascii="宋体" w:hAnsi="宋体"/>
          <w:color w:val="000000"/>
          <w:sz w:val="24"/>
        </w:rPr>
        <w:t>采购合同</w:t>
      </w:r>
      <w:r>
        <w:rPr>
          <w:rFonts w:hint="eastAsia" w:ascii="宋体" w:hAnsi="宋体"/>
          <w:color w:val="000000"/>
          <w:sz w:val="24"/>
        </w:rPr>
        <w:t>原件后</w:t>
      </w:r>
      <w:r>
        <w:rPr>
          <w:rFonts w:ascii="宋体" w:hAnsi="宋体"/>
          <w:color w:val="000000"/>
          <w:sz w:val="24"/>
        </w:rPr>
        <w:t>五个工作日内</w:t>
      </w:r>
      <w:r>
        <w:rPr>
          <w:rFonts w:hint="eastAsia" w:ascii="宋体" w:hAnsi="宋体"/>
          <w:color w:val="000000"/>
          <w:sz w:val="24"/>
        </w:rPr>
        <w:t>无息退还。在签订合同前，中标人应按规定提交履约保证金。</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12.4　未</w:t>
      </w:r>
      <w:r>
        <w:rPr>
          <w:rFonts w:ascii="宋体" w:hAnsi="宋体"/>
          <w:color w:val="000000"/>
          <w:sz w:val="24"/>
        </w:rPr>
        <w:t>中标人的投标保证金在中标</w:t>
      </w:r>
      <w:r>
        <w:rPr>
          <w:rFonts w:hint="eastAsia" w:ascii="宋体" w:hAnsi="宋体"/>
          <w:color w:val="000000"/>
          <w:sz w:val="24"/>
        </w:rPr>
        <w:t>通知书发出后</w:t>
      </w:r>
      <w:r>
        <w:rPr>
          <w:rFonts w:hint="eastAsia" w:ascii="宋体" w:hAnsi="宋体"/>
          <w:bCs/>
          <w:color w:val="000000"/>
          <w:sz w:val="24"/>
        </w:rPr>
        <w:t>5个工作日</w:t>
      </w:r>
      <w:r>
        <w:rPr>
          <w:rFonts w:hint="eastAsia" w:ascii="宋体" w:hAnsi="宋体"/>
          <w:color w:val="000000"/>
          <w:sz w:val="24"/>
        </w:rPr>
        <w:t>内无息退还。</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12.5　发生下列情况之一，投标保证金将不予返还。</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12.5.1　投标人在投标有效期内撤回投标的；</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12.5.2　中标人或中标候选人放弃中标或中标候选人资格的；</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12.5.3　擅自修改或拒绝接受已经确认的条款；</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12.5.4　中</w:t>
      </w:r>
      <w:r>
        <w:rPr>
          <w:rFonts w:hint="eastAsia" w:ascii="宋体" w:hAnsi="宋体"/>
          <w:color w:val="000000"/>
          <w:spacing w:val="-6"/>
          <w:sz w:val="24"/>
        </w:rPr>
        <w:t>标人未按规定与采购人签订合同；</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12.5.5　未按规定提供履约保证金；</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12.5.6　投标人采取提供虚假资料等不正当手段的；</w:t>
      </w:r>
    </w:p>
    <w:p>
      <w:pPr>
        <w:autoSpaceDE w:val="0"/>
        <w:autoSpaceDN w:val="0"/>
        <w:spacing w:line="360" w:lineRule="auto"/>
        <w:ind w:firstLine="480" w:firstLineChars="200"/>
        <w:textAlignment w:val="bottom"/>
        <w:rPr>
          <w:rFonts w:hint="eastAsia" w:ascii="宋体" w:hAnsi="宋体"/>
          <w:color w:val="000000"/>
          <w:sz w:val="24"/>
          <w:szCs w:val="21"/>
        </w:rPr>
      </w:pPr>
      <w:r>
        <w:rPr>
          <w:rFonts w:hint="eastAsia" w:ascii="宋体" w:hAnsi="宋体"/>
          <w:color w:val="000000"/>
          <w:sz w:val="24"/>
          <w:szCs w:val="21"/>
        </w:rPr>
        <w:t>12.5.7  投标人在投标过程中串通投标的。</w:t>
      </w:r>
    </w:p>
    <w:p>
      <w:pPr>
        <w:autoSpaceDE w:val="0"/>
        <w:autoSpaceDN w:val="0"/>
        <w:spacing w:line="360" w:lineRule="auto"/>
        <w:ind w:firstLine="480" w:firstLineChars="200"/>
        <w:textAlignment w:val="bottom"/>
        <w:rPr>
          <w:rFonts w:hint="eastAsia" w:ascii="宋体" w:hAnsi="宋体"/>
          <w:b/>
          <w:color w:val="000000"/>
          <w:sz w:val="24"/>
        </w:rPr>
      </w:pPr>
      <w:r>
        <w:rPr>
          <w:rFonts w:hint="eastAsia" w:ascii="宋体" w:hAnsi="宋体"/>
          <w:b/>
          <w:color w:val="000000"/>
          <w:sz w:val="24"/>
        </w:rPr>
        <w:t>13　</w:t>
      </w:r>
      <w:r>
        <w:rPr>
          <w:rFonts w:hint="eastAsia" w:ascii="宋体" w:hAnsi="宋体"/>
          <w:b/>
          <w:color w:val="000000"/>
          <w:sz w:val="24"/>
          <w:szCs w:val="21"/>
        </w:rPr>
        <w:t>投标文件的有效期与效力</w:t>
      </w:r>
    </w:p>
    <w:p>
      <w:pPr>
        <w:spacing w:line="360" w:lineRule="auto"/>
        <w:ind w:firstLine="480" w:firstLineChars="200"/>
        <w:rPr>
          <w:rFonts w:ascii="宋体" w:hAnsi="宋体"/>
          <w:color w:val="000000"/>
          <w:sz w:val="24"/>
          <w:szCs w:val="21"/>
        </w:rPr>
      </w:pPr>
      <w:r>
        <w:rPr>
          <w:rFonts w:ascii="宋体" w:hAnsi="宋体"/>
          <w:color w:val="000000"/>
          <w:sz w:val="24"/>
          <w:szCs w:val="21"/>
        </w:rPr>
        <w:t>1</w:t>
      </w:r>
      <w:r>
        <w:rPr>
          <w:rFonts w:hint="eastAsia" w:ascii="宋体" w:hAnsi="宋体"/>
          <w:color w:val="000000"/>
          <w:sz w:val="24"/>
          <w:szCs w:val="21"/>
        </w:rPr>
        <w:t>3</w:t>
      </w:r>
      <w:r>
        <w:rPr>
          <w:rFonts w:ascii="宋体" w:hAnsi="宋体"/>
          <w:color w:val="000000"/>
          <w:sz w:val="24"/>
          <w:szCs w:val="21"/>
        </w:rPr>
        <w:t>.1</w:t>
      </w:r>
      <w:r>
        <w:rPr>
          <w:rFonts w:hint="eastAsia" w:ascii="宋体" w:hAnsi="宋体"/>
          <w:color w:val="000000"/>
          <w:sz w:val="24"/>
          <w:szCs w:val="21"/>
        </w:rPr>
        <w:t>　自投标截止日起45天为投标文件的有效期。</w:t>
      </w:r>
    </w:p>
    <w:p>
      <w:pPr>
        <w:spacing w:line="360" w:lineRule="auto"/>
        <w:ind w:firstLine="480" w:firstLineChars="200"/>
        <w:rPr>
          <w:rFonts w:ascii="仿宋_GB2312" w:hAnsi="宋体" w:eastAsia="仿宋_GB2312"/>
          <w:color w:val="000000"/>
        </w:rPr>
      </w:pPr>
      <w:r>
        <w:rPr>
          <w:rFonts w:ascii="宋体" w:hAnsi="宋体"/>
          <w:color w:val="000000"/>
          <w:sz w:val="24"/>
          <w:szCs w:val="21"/>
        </w:rPr>
        <w:t>1</w:t>
      </w:r>
      <w:r>
        <w:rPr>
          <w:rFonts w:hint="eastAsia" w:ascii="宋体" w:hAnsi="宋体"/>
          <w:color w:val="000000"/>
          <w:sz w:val="24"/>
          <w:szCs w:val="21"/>
        </w:rPr>
        <w:t>3</w:t>
      </w:r>
      <w:r>
        <w:rPr>
          <w:rFonts w:ascii="宋体" w:hAnsi="宋体"/>
          <w:color w:val="000000"/>
          <w:sz w:val="24"/>
          <w:szCs w:val="21"/>
        </w:rPr>
        <w:t>.2</w:t>
      </w:r>
      <w:r>
        <w:rPr>
          <w:rFonts w:hint="eastAsia" w:ascii="宋体" w:hAnsi="宋体"/>
          <w:color w:val="000000"/>
          <w:sz w:val="24"/>
          <w:szCs w:val="21"/>
        </w:rPr>
        <w:t>　如采购人认为必要，可延长至总计最长不超过60天。有效期短于这个规定期限的投标将被拒绝，这种要求和答复均以书面形式进行。投标人可以拒绝或者同意采购人的上述要求。如投标人同意延长的，其投标保证金的有效期也相应顺延并不得修改投标文件；如投标人拒绝延长的，采购人不得以此为理由不予退还投标保证金。</w:t>
      </w:r>
    </w:p>
    <w:p>
      <w:pPr>
        <w:pStyle w:val="27"/>
        <w:spacing w:line="360" w:lineRule="auto"/>
        <w:ind w:firstLine="480" w:firstLineChars="200"/>
        <w:rPr>
          <w:rFonts w:hint="eastAsia" w:hAnsi="宋体"/>
          <w:color w:val="000000"/>
          <w:sz w:val="24"/>
        </w:rPr>
      </w:pPr>
      <w:r>
        <w:rPr>
          <w:rFonts w:hAnsi="宋体"/>
          <w:color w:val="000000"/>
          <w:sz w:val="24"/>
        </w:rPr>
        <w:t>1</w:t>
      </w:r>
      <w:r>
        <w:rPr>
          <w:rFonts w:hint="eastAsia" w:hAnsi="宋体"/>
          <w:color w:val="000000"/>
          <w:sz w:val="24"/>
        </w:rPr>
        <w:t>3</w:t>
      </w:r>
      <w:r>
        <w:rPr>
          <w:rFonts w:hAnsi="宋体"/>
          <w:color w:val="000000"/>
          <w:sz w:val="24"/>
        </w:rPr>
        <w:t>.</w:t>
      </w:r>
      <w:r>
        <w:rPr>
          <w:rFonts w:hint="eastAsia" w:hAnsi="宋体"/>
          <w:color w:val="000000"/>
          <w:sz w:val="24"/>
        </w:rPr>
        <w:t>3　</w:t>
      </w:r>
      <w:r>
        <w:rPr>
          <w:rFonts w:hAnsi="宋体"/>
          <w:color w:val="000000"/>
          <w:sz w:val="24"/>
        </w:rPr>
        <w:t>招投标工作结束后，在合同履行期间如双方出现争议，则招标文件和询标记录等均是有效的法律文件。</w:t>
      </w:r>
    </w:p>
    <w:p>
      <w:pPr>
        <w:pStyle w:val="3"/>
        <w:spacing w:line="360" w:lineRule="auto"/>
        <w:jc w:val="center"/>
        <w:rPr>
          <w:rFonts w:hint="eastAsia" w:hAnsi="宋体"/>
          <w:color w:val="000000"/>
        </w:rPr>
      </w:pPr>
      <w:bookmarkStart w:id="11" w:name="_Toc2852582"/>
      <w:r>
        <w:rPr>
          <w:rFonts w:hint="eastAsia" w:hAnsi="宋体"/>
          <w:color w:val="000000"/>
        </w:rPr>
        <w:t>第四章　投标文件的递交</w:t>
      </w:r>
      <w:bookmarkEnd w:id="11"/>
    </w:p>
    <w:p>
      <w:pPr>
        <w:pStyle w:val="27"/>
        <w:spacing w:line="360" w:lineRule="auto"/>
        <w:ind w:firstLine="480" w:firstLineChars="200"/>
        <w:rPr>
          <w:rFonts w:hint="eastAsia" w:hAnsi="宋体"/>
          <w:b/>
          <w:color w:val="000000"/>
          <w:sz w:val="24"/>
        </w:rPr>
      </w:pPr>
      <w:r>
        <w:rPr>
          <w:rFonts w:hint="eastAsia" w:hAnsi="宋体"/>
          <w:b/>
          <w:color w:val="000000"/>
          <w:sz w:val="24"/>
        </w:rPr>
        <w:t>14　投标截止时间</w:t>
      </w:r>
    </w:p>
    <w:p>
      <w:pPr>
        <w:pStyle w:val="27"/>
        <w:spacing w:line="360" w:lineRule="auto"/>
        <w:ind w:firstLine="480" w:firstLineChars="200"/>
        <w:rPr>
          <w:rFonts w:hint="eastAsia" w:hAnsi="宋体"/>
          <w:color w:val="000000"/>
          <w:sz w:val="24"/>
        </w:rPr>
      </w:pPr>
      <w:r>
        <w:rPr>
          <w:rFonts w:hint="eastAsia" w:hAnsi="宋体"/>
          <w:color w:val="000000"/>
          <w:sz w:val="24"/>
        </w:rPr>
        <w:t>14.1　投标文件必须在规定的投标截止时间前派人送达指定的投标地点。以电报、电话、传真形式的投标概不接受。</w:t>
      </w:r>
    </w:p>
    <w:p>
      <w:pPr>
        <w:pStyle w:val="27"/>
        <w:spacing w:line="360" w:lineRule="auto"/>
        <w:ind w:firstLine="480" w:firstLineChars="200"/>
        <w:rPr>
          <w:rFonts w:hint="eastAsia" w:hAnsi="宋体"/>
          <w:color w:val="000000"/>
          <w:sz w:val="24"/>
        </w:rPr>
      </w:pPr>
      <w:r>
        <w:rPr>
          <w:rFonts w:hint="eastAsia" w:hAnsi="宋体"/>
          <w:color w:val="000000"/>
          <w:sz w:val="24"/>
        </w:rPr>
        <w:t>14.2　采购人因故推迟投标截止时间，将以书面形式通知所有投标人。在这种情况下，采购人和投标人的权利和义务将受到新的截止时间的约束。</w:t>
      </w:r>
    </w:p>
    <w:p>
      <w:pPr>
        <w:pStyle w:val="27"/>
        <w:spacing w:line="360" w:lineRule="auto"/>
        <w:ind w:firstLine="480" w:firstLineChars="200"/>
        <w:rPr>
          <w:rFonts w:hint="eastAsia" w:hAnsi="宋体"/>
          <w:b/>
          <w:color w:val="000000"/>
          <w:sz w:val="24"/>
        </w:rPr>
      </w:pPr>
      <w:r>
        <w:rPr>
          <w:rFonts w:hint="eastAsia" w:hAnsi="宋体"/>
          <w:b/>
          <w:color w:val="000000"/>
          <w:sz w:val="24"/>
        </w:rPr>
        <w:t>15　投标文件的修改和撤回</w:t>
      </w:r>
    </w:p>
    <w:p>
      <w:pPr>
        <w:pStyle w:val="27"/>
        <w:spacing w:line="360" w:lineRule="auto"/>
        <w:ind w:firstLine="480" w:firstLineChars="200"/>
        <w:rPr>
          <w:rFonts w:hint="eastAsia" w:hAnsi="宋体"/>
          <w:color w:val="000000"/>
          <w:sz w:val="24"/>
        </w:rPr>
      </w:pPr>
      <w:r>
        <w:rPr>
          <w:rFonts w:hint="eastAsia" w:hAnsi="宋体"/>
          <w:color w:val="000000"/>
          <w:sz w:val="24"/>
        </w:rPr>
        <w:t>15.1　投标人在投标以后如必须修改或撤回投标文件，必须在投标截止时间以前将书面的投标修改文件或撤标通知送达采购人。</w:t>
      </w:r>
    </w:p>
    <w:p>
      <w:pPr>
        <w:pStyle w:val="27"/>
        <w:spacing w:line="360" w:lineRule="auto"/>
        <w:ind w:firstLine="480" w:firstLineChars="200"/>
        <w:rPr>
          <w:rFonts w:hint="eastAsia" w:hAnsi="宋体"/>
          <w:color w:val="000000"/>
          <w:sz w:val="24"/>
        </w:rPr>
      </w:pPr>
      <w:r>
        <w:rPr>
          <w:rFonts w:hint="eastAsia" w:hAnsi="宋体"/>
          <w:color w:val="000000"/>
          <w:sz w:val="24"/>
        </w:rPr>
        <w:t>15.2　投标修改文件必须密封，在密封袋上写明招标编号、招标项目名称、投标人名称、并注明“修改文件”、“开标时启封”字样。</w:t>
      </w:r>
    </w:p>
    <w:p>
      <w:pPr>
        <w:pStyle w:val="27"/>
        <w:spacing w:line="360" w:lineRule="auto"/>
        <w:ind w:firstLine="480" w:firstLineChars="200"/>
        <w:rPr>
          <w:rFonts w:hint="eastAsia" w:hAnsi="宋体"/>
          <w:color w:val="000000"/>
          <w:sz w:val="24"/>
        </w:rPr>
      </w:pPr>
      <w:r>
        <w:rPr>
          <w:rFonts w:hint="eastAsia" w:hAnsi="宋体"/>
          <w:color w:val="000000"/>
          <w:sz w:val="24"/>
        </w:rPr>
        <w:t>15.3　投标人以传真或电报形式通知采购人撤标时，必须随后补充有法定代表人或法定代表人授权代表签署的正式文件。</w:t>
      </w:r>
    </w:p>
    <w:p>
      <w:pPr>
        <w:pStyle w:val="27"/>
        <w:spacing w:line="360" w:lineRule="auto"/>
        <w:ind w:left="243" w:leftChars="116" w:firstLine="240" w:firstLineChars="100"/>
        <w:rPr>
          <w:rFonts w:hint="eastAsia" w:hAnsi="宋体"/>
          <w:b/>
          <w:color w:val="000000"/>
          <w:sz w:val="24"/>
        </w:rPr>
      </w:pPr>
      <w:r>
        <w:rPr>
          <w:rFonts w:hint="eastAsia" w:hAnsi="宋体"/>
          <w:b/>
          <w:color w:val="000000"/>
          <w:sz w:val="24"/>
        </w:rPr>
        <w:t>16　投标文件的拒收</w:t>
      </w:r>
    </w:p>
    <w:p>
      <w:pPr>
        <w:pStyle w:val="27"/>
        <w:spacing w:line="360" w:lineRule="auto"/>
        <w:ind w:left="243" w:leftChars="116" w:firstLine="240" w:firstLineChars="100"/>
        <w:rPr>
          <w:rFonts w:hint="eastAsia" w:hAnsi="宋体"/>
          <w:color w:val="000000"/>
          <w:sz w:val="24"/>
        </w:rPr>
      </w:pPr>
      <w:r>
        <w:rPr>
          <w:rFonts w:hint="eastAsia" w:hAnsi="宋体"/>
          <w:color w:val="000000"/>
          <w:sz w:val="24"/>
        </w:rPr>
        <w:t>有下列情形之一的，采购人将拒绝接收投标人的投标文件：</w:t>
      </w:r>
    </w:p>
    <w:p>
      <w:pPr>
        <w:pStyle w:val="27"/>
        <w:spacing w:line="360" w:lineRule="auto"/>
        <w:ind w:firstLine="480" w:firstLineChars="200"/>
        <w:rPr>
          <w:rFonts w:hint="eastAsia" w:hAnsi="宋体"/>
          <w:color w:val="000000"/>
          <w:sz w:val="24"/>
        </w:rPr>
      </w:pPr>
      <w:r>
        <w:rPr>
          <w:rFonts w:hint="eastAsia" w:hAnsi="宋体"/>
          <w:color w:val="000000"/>
          <w:sz w:val="24"/>
        </w:rPr>
        <w:t>16.1　在投标截止时间以后送达的投标文件；</w:t>
      </w:r>
    </w:p>
    <w:p>
      <w:pPr>
        <w:pStyle w:val="27"/>
        <w:snapToGrid w:val="0"/>
        <w:spacing w:line="360" w:lineRule="auto"/>
        <w:ind w:firstLine="480" w:firstLineChars="200"/>
        <w:rPr>
          <w:rFonts w:hint="eastAsia" w:hAnsi="宋体"/>
          <w:color w:val="000000"/>
          <w:sz w:val="24"/>
        </w:rPr>
      </w:pPr>
      <w:r>
        <w:rPr>
          <w:rFonts w:hint="eastAsia" w:hAnsi="宋体"/>
          <w:color w:val="000000"/>
          <w:sz w:val="24"/>
        </w:rPr>
        <w:t>16.2　未密封的投标文件；</w:t>
      </w:r>
    </w:p>
    <w:p>
      <w:pPr>
        <w:pStyle w:val="27"/>
        <w:snapToGrid w:val="0"/>
        <w:spacing w:line="360" w:lineRule="auto"/>
        <w:ind w:firstLine="480" w:firstLineChars="200"/>
        <w:rPr>
          <w:rFonts w:hint="eastAsia" w:hAnsi="宋体"/>
          <w:color w:val="000000"/>
          <w:sz w:val="24"/>
        </w:rPr>
      </w:pPr>
      <w:r>
        <w:rPr>
          <w:rFonts w:hint="eastAsia" w:hAnsi="宋体"/>
          <w:color w:val="000000"/>
          <w:sz w:val="24"/>
        </w:rPr>
        <w:t>16.3　投标人没有按招标文件要求提供投标保证金的；</w:t>
      </w:r>
    </w:p>
    <w:p>
      <w:pPr>
        <w:pStyle w:val="27"/>
        <w:snapToGrid w:val="0"/>
        <w:spacing w:line="360" w:lineRule="auto"/>
        <w:ind w:firstLine="480" w:firstLineChars="200"/>
        <w:rPr>
          <w:rFonts w:hint="eastAsia" w:hAnsi="宋体"/>
          <w:color w:val="000000"/>
          <w:sz w:val="24"/>
        </w:rPr>
      </w:pPr>
      <w:r>
        <w:rPr>
          <w:rFonts w:hint="eastAsia" w:hAnsi="宋体"/>
          <w:color w:val="000000"/>
          <w:sz w:val="24"/>
        </w:rPr>
        <w:t>16.4　报名主体、提交保证金主体或投标主体不一致的。</w:t>
      </w:r>
    </w:p>
    <w:p>
      <w:pPr>
        <w:pStyle w:val="3"/>
        <w:spacing w:line="360" w:lineRule="auto"/>
        <w:jc w:val="center"/>
        <w:rPr>
          <w:rFonts w:hint="eastAsia" w:hAnsi="宋体"/>
          <w:color w:val="000000"/>
        </w:rPr>
      </w:pPr>
      <w:bookmarkStart w:id="12" w:name="_Toc2852583"/>
      <w:r>
        <w:rPr>
          <w:rFonts w:hint="eastAsia" w:hAnsi="宋体"/>
          <w:color w:val="000000"/>
        </w:rPr>
        <w:t>第五章　开标、评标和定标</w:t>
      </w:r>
      <w:bookmarkEnd w:id="12"/>
    </w:p>
    <w:p>
      <w:pPr>
        <w:pStyle w:val="27"/>
        <w:snapToGrid w:val="0"/>
        <w:spacing w:line="360" w:lineRule="auto"/>
        <w:ind w:firstLine="480" w:firstLineChars="200"/>
        <w:rPr>
          <w:rFonts w:hint="eastAsia" w:hAnsi="宋体"/>
          <w:b/>
          <w:color w:val="000000"/>
          <w:sz w:val="24"/>
        </w:rPr>
      </w:pPr>
      <w:r>
        <w:rPr>
          <w:rFonts w:hint="eastAsia" w:hAnsi="宋体"/>
          <w:b/>
          <w:color w:val="000000"/>
          <w:sz w:val="24"/>
        </w:rPr>
        <w:t>17　开标</w:t>
      </w:r>
    </w:p>
    <w:p>
      <w:pPr>
        <w:pStyle w:val="27"/>
        <w:snapToGrid w:val="0"/>
        <w:spacing w:line="360" w:lineRule="auto"/>
        <w:ind w:firstLine="480" w:firstLineChars="200"/>
        <w:rPr>
          <w:rFonts w:hint="eastAsia" w:hAnsi="宋体" w:cs="Times New Roman"/>
          <w:color w:val="000000"/>
          <w:sz w:val="24"/>
          <w:szCs w:val="24"/>
        </w:rPr>
      </w:pPr>
      <w:r>
        <w:rPr>
          <w:rFonts w:hint="eastAsia" w:hAnsi="宋体" w:cs="Times New Roman"/>
          <w:color w:val="000000"/>
          <w:sz w:val="24"/>
          <w:szCs w:val="24"/>
        </w:rPr>
        <w:t>17</w:t>
      </w:r>
      <w:r>
        <w:rPr>
          <w:rFonts w:hAnsi="宋体" w:cs="Times New Roman"/>
          <w:color w:val="000000"/>
          <w:sz w:val="24"/>
          <w:szCs w:val="24"/>
        </w:rPr>
        <w:t>.1</w:t>
      </w:r>
      <w:r>
        <w:rPr>
          <w:rFonts w:hint="eastAsia" w:hAnsi="宋体" w:cs="Times New Roman"/>
          <w:color w:val="000000"/>
          <w:sz w:val="24"/>
          <w:szCs w:val="24"/>
        </w:rPr>
        <w:t>　</w:t>
      </w:r>
      <w:r>
        <w:rPr>
          <w:rFonts w:hAnsi="宋体" w:cs="Times New Roman"/>
          <w:color w:val="000000"/>
          <w:sz w:val="24"/>
          <w:szCs w:val="24"/>
        </w:rPr>
        <w:t>在投标截止时间前按规定提交投标文件的投标人在三家</w:t>
      </w:r>
      <w:r>
        <w:rPr>
          <w:rFonts w:hint="eastAsia" w:hAnsi="宋体" w:cs="Times New Roman"/>
          <w:color w:val="000000"/>
          <w:sz w:val="24"/>
          <w:szCs w:val="24"/>
        </w:rPr>
        <w:t>（含）</w:t>
      </w:r>
      <w:r>
        <w:rPr>
          <w:rFonts w:hAnsi="宋体" w:cs="Times New Roman"/>
          <w:color w:val="000000"/>
          <w:sz w:val="24"/>
          <w:szCs w:val="24"/>
        </w:rPr>
        <w:t>以上的，由采购人组织进行开标。</w:t>
      </w:r>
    </w:p>
    <w:p>
      <w:pPr>
        <w:snapToGrid w:val="0"/>
        <w:spacing w:line="360" w:lineRule="auto"/>
        <w:ind w:firstLine="480" w:firstLineChars="200"/>
        <w:rPr>
          <w:rFonts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2　采购人按招标文件规定的时间、地点公开开标。</w:t>
      </w:r>
      <w:r>
        <w:rPr>
          <w:rFonts w:ascii="宋体" w:hAnsi="宋体"/>
          <w:color w:val="000000"/>
          <w:sz w:val="24"/>
        </w:rPr>
        <w:t>开标仪式由采购人主持及有关人员参加，绍兴市上虞区招标投标监督办公室</w:t>
      </w:r>
      <w:r>
        <w:rPr>
          <w:rFonts w:hint="eastAsia" w:ascii="宋体" w:hAnsi="宋体"/>
          <w:color w:val="000000"/>
          <w:sz w:val="24"/>
        </w:rPr>
        <w:t>（以下简称“</w:t>
      </w:r>
      <w:r>
        <w:rPr>
          <w:rFonts w:ascii="宋体" w:hAnsi="宋体"/>
          <w:color w:val="000000"/>
          <w:sz w:val="24"/>
        </w:rPr>
        <w:t>监督</w:t>
      </w:r>
      <w:r>
        <w:rPr>
          <w:rFonts w:hint="eastAsia" w:ascii="宋体" w:hAnsi="宋体"/>
          <w:color w:val="000000"/>
          <w:sz w:val="24"/>
        </w:rPr>
        <w:t>办”）</w:t>
      </w:r>
      <w:r>
        <w:rPr>
          <w:rFonts w:ascii="宋体" w:hAnsi="宋体"/>
          <w:color w:val="000000"/>
          <w:sz w:val="24"/>
        </w:rPr>
        <w:t>进行现场监督</w:t>
      </w:r>
      <w:r>
        <w:rPr>
          <w:rFonts w:hint="eastAsia" w:ascii="宋体" w:hAnsi="宋体"/>
          <w:color w:val="000000"/>
          <w:sz w:val="24"/>
        </w:rPr>
        <w:t>，绍兴市上虞区财政局政府采购管理办公室（以下简称“采购办”）进行管理</w:t>
      </w:r>
      <w:r>
        <w:rPr>
          <w:rFonts w:ascii="宋体" w:hAnsi="宋体"/>
          <w:color w:val="000000"/>
          <w:sz w:val="24"/>
        </w:rPr>
        <w:t>。</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17</w:t>
      </w:r>
      <w:r>
        <w:rPr>
          <w:rFonts w:ascii="宋体" w:hAnsi="宋体"/>
          <w:color w:val="000000"/>
          <w:sz w:val="24"/>
        </w:rPr>
        <w:t>.</w:t>
      </w:r>
      <w:r>
        <w:rPr>
          <w:rFonts w:hint="eastAsia" w:ascii="宋体" w:hAnsi="宋体"/>
          <w:color w:val="000000"/>
          <w:sz w:val="24"/>
        </w:rPr>
        <w:t>3</w:t>
      </w:r>
      <w:r>
        <w:rPr>
          <w:rFonts w:hint="eastAsia" w:ascii="宋体" w:hAnsi="宋体"/>
          <w:i/>
          <w:color w:val="000000"/>
          <w:sz w:val="24"/>
        </w:rPr>
        <w:t>　</w:t>
      </w:r>
      <w:r>
        <w:rPr>
          <w:rFonts w:hint="eastAsia" w:ascii="宋体" w:hAnsi="宋体"/>
          <w:color w:val="000000"/>
          <w:sz w:val="24"/>
        </w:rPr>
        <w:t>法定代表人参加开标会的须携带个人身份证明原件(本人身份证原件)。如授权代表参加投标的，则须有法定代表人出具的授权委托书及授权代表的个人身份证明原件(本人身份证原件)。个体工商户其经营者必须本人参加开标会(须携带本人身份证原件)。</w:t>
      </w:r>
    </w:p>
    <w:p>
      <w:pPr>
        <w:pStyle w:val="80"/>
        <w:spacing w:before="0"/>
        <w:ind w:firstLine="480"/>
        <w:rPr>
          <w:rFonts w:hint="eastAsia" w:ascii="宋体" w:hAnsi="宋体"/>
          <w:szCs w:val="24"/>
        </w:rPr>
      </w:pPr>
      <w:r>
        <w:rPr>
          <w:rFonts w:hint="eastAsia" w:ascii="宋体" w:hAnsi="宋体"/>
          <w:szCs w:val="24"/>
        </w:rPr>
        <w:t>17.4采购机构将通过“信用中国”网站(www.creditchina.gov.cn)、中国政府采购网(</w:t>
      </w:r>
      <w:r>
        <w:rPr>
          <w:rFonts w:ascii="宋体" w:hAnsi="宋体"/>
        </w:rPr>
        <w:fldChar w:fldCharType="begin"/>
      </w:r>
      <w:r>
        <w:rPr>
          <w:rFonts w:ascii="宋体" w:hAnsi="宋体"/>
        </w:rPr>
        <w:instrText xml:space="preserve"> HYPERLINK "http://</w:instrText>
      </w:r>
      <w:r>
        <w:rPr>
          <w:rFonts w:hint="eastAsia" w:ascii="宋体" w:hAnsi="宋体"/>
          <w:szCs w:val="24"/>
        </w:rPr>
        <w:instrText xml:space="preserve">www.ccgp.gov.cn</w:instrText>
      </w:r>
      <w:r>
        <w:rPr>
          <w:rFonts w:ascii="宋体" w:hAnsi="宋体"/>
        </w:rPr>
        <w:instrText xml:space="preserve">" </w:instrText>
      </w:r>
      <w:r>
        <w:rPr>
          <w:rFonts w:ascii="宋体" w:hAnsi="宋体"/>
        </w:rPr>
        <w:fldChar w:fldCharType="separate"/>
      </w:r>
      <w:r>
        <w:rPr>
          <w:rStyle w:val="62"/>
          <w:rFonts w:hint="eastAsia" w:ascii="宋体" w:hAnsi="宋体"/>
          <w:color w:val="auto"/>
        </w:rPr>
        <w:t>www.ccgp.gov.cn</w:t>
      </w:r>
      <w:r>
        <w:rPr>
          <w:rFonts w:ascii="宋体" w:hAnsi="宋体"/>
        </w:rPr>
        <w:fldChar w:fldCharType="end"/>
      </w:r>
      <w:r>
        <w:rPr>
          <w:rFonts w:hint="eastAsia" w:ascii="宋体" w:hAnsi="宋体"/>
          <w:szCs w:val="24"/>
        </w:rPr>
        <w:t>)渠道查询投标人投标截止时间前的信用记录。经查询投标人列入失信被执行人名单、重大税收违法案件当事人名单、政府采购严重违法失信行为记录名单的，其投标文件将被当场拒绝。</w:t>
      </w:r>
    </w:p>
    <w:p>
      <w:pPr>
        <w:pStyle w:val="80"/>
        <w:spacing w:before="0"/>
        <w:ind w:firstLine="480"/>
        <w:rPr>
          <w:rFonts w:hint="eastAsia" w:ascii="宋体" w:hAnsi="宋体"/>
          <w:szCs w:val="24"/>
        </w:rPr>
      </w:pPr>
      <w:r>
        <w:rPr>
          <w:rFonts w:hint="eastAsia" w:ascii="宋体" w:hAnsi="宋体"/>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7"/>
        <w:spacing w:line="360" w:lineRule="auto"/>
        <w:ind w:firstLine="480" w:firstLineChars="200"/>
        <w:rPr>
          <w:rFonts w:hAnsi="宋体" w:cs="Times New Roman"/>
          <w:b/>
          <w:color w:val="000000"/>
          <w:sz w:val="24"/>
          <w:szCs w:val="24"/>
        </w:rPr>
      </w:pPr>
      <w:r>
        <w:rPr>
          <w:rFonts w:hAnsi="宋体" w:cs="Times New Roman"/>
          <w:b/>
          <w:color w:val="000000"/>
          <w:sz w:val="24"/>
          <w:szCs w:val="24"/>
        </w:rPr>
        <w:t>18</w:t>
      </w:r>
      <w:r>
        <w:rPr>
          <w:rFonts w:hint="eastAsia" w:hAnsi="宋体" w:cs="Times New Roman"/>
          <w:b/>
          <w:color w:val="000000"/>
          <w:sz w:val="24"/>
          <w:szCs w:val="24"/>
        </w:rPr>
        <w:t>　投标文件资格审查</w:t>
      </w:r>
    </w:p>
    <w:p>
      <w:pPr>
        <w:autoSpaceDE w:val="0"/>
        <w:autoSpaceDN w:val="0"/>
        <w:spacing w:line="360" w:lineRule="auto"/>
        <w:ind w:firstLine="480" w:firstLineChars="200"/>
        <w:textAlignment w:val="bottom"/>
        <w:rPr>
          <w:rFonts w:hint="eastAsia" w:ascii="宋体" w:hAnsi="宋体"/>
          <w:color w:val="000000"/>
          <w:sz w:val="24"/>
        </w:rPr>
      </w:pPr>
      <w:r>
        <w:rPr>
          <w:rFonts w:ascii="宋体" w:hAnsi="宋体"/>
          <w:color w:val="000000"/>
          <w:sz w:val="24"/>
        </w:rPr>
        <w:t>18.1</w:t>
      </w:r>
      <w:r>
        <w:rPr>
          <w:rFonts w:hint="eastAsia" w:ascii="宋体" w:hAnsi="宋体"/>
          <w:i/>
          <w:color w:val="000000"/>
          <w:sz w:val="24"/>
        </w:rPr>
        <w:t>　</w:t>
      </w:r>
      <w:r>
        <w:rPr>
          <w:rFonts w:hint="eastAsia" w:ascii="宋体" w:hAnsi="宋体"/>
          <w:color w:val="000000"/>
          <w:sz w:val="24"/>
        </w:rPr>
        <w:t>开标后，采购人或采购代理机构将依法对投标人的资格进行审查</w:t>
      </w:r>
    </w:p>
    <w:p>
      <w:pPr>
        <w:autoSpaceDE w:val="0"/>
        <w:autoSpaceDN w:val="0"/>
        <w:spacing w:line="360" w:lineRule="auto"/>
        <w:ind w:firstLine="480" w:firstLineChars="200"/>
        <w:textAlignment w:val="bottom"/>
        <w:rPr>
          <w:rFonts w:hint="eastAsia" w:ascii="宋体" w:hAnsi="宋体"/>
          <w:color w:val="000000"/>
          <w:sz w:val="24"/>
        </w:rPr>
      </w:pPr>
      <w:r>
        <w:rPr>
          <w:rFonts w:hint="eastAsia" w:ascii="宋体" w:hAnsi="宋体"/>
          <w:color w:val="000000"/>
          <w:sz w:val="24"/>
        </w:rPr>
        <w:t>18.2  采购人或采购代理机构依据法律法规和招标文件的规定，对投标人的基本资格条件、特定资格条件进行审查。</w:t>
      </w:r>
    </w:p>
    <w:p>
      <w:pPr>
        <w:pStyle w:val="80"/>
        <w:spacing w:before="0"/>
        <w:ind w:firstLine="360" w:firstLineChars="150"/>
        <w:rPr>
          <w:rFonts w:hint="eastAsia" w:ascii="宋体" w:hAnsi="宋体"/>
          <w:color w:val="000000"/>
          <w:szCs w:val="24"/>
        </w:rPr>
      </w:pPr>
      <w:r>
        <w:rPr>
          <w:rFonts w:ascii="宋体" w:hAnsi="宋体"/>
        </w:rPr>
        <w:t>18.</w:t>
      </w:r>
      <w:r>
        <w:rPr>
          <w:rFonts w:hint="eastAsia" w:ascii="宋体" w:hAnsi="宋体"/>
        </w:rPr>
        <w:t>3</w:t>
      </w:r>
      <w:r>
        <w:rPr>
          <w:rFonts w:ascii="宋体" w:hAnsi="宋体"/>
        </w:rPr>
        <w:t xml:space="preserve"> </w:t>
      </w:r>
      <w:r>
        <w:rPr>
          <w:rFonts w:hint="eastAsia" w:ascii="宋体" w:hAnsi="宋体"/>
        </w:rPr>
        <w:t>采购人或采购代理机构出具《投标人资格审查意见表》，</w:t>
      </w:r>
      <w:r>
        <w:rPr>
          <w:rFonts w:hint="eastAsia" w:ascii="宋体" w:hAnsi="宋体"/>
          <w:color w:val="000000"/>
          <w:szCs w:val="24"/>
        </w:rPr>
        <w:t>投标人未按照招标文件要求提供与基本资格条件、特定资格条件相应的有效资格证明材料的，视为投标人不具备招标文件中规定的资格要求，其投标无效。</w:t>
      </w:r>
    </w:p>
    <w:p>
      <w:pPr>
        <w:pStyle w:val="27"/>
        <w:spacing w:line="360" w:lineRule="auto"/>
        <w:ind w:firstLine="480" w:firstLineChars="200"/>
        <w:rPr>
          <w:rFonts w:hint="eastAsia" w:hAnsi="宋体" w:cs="Times New Roman"/>
          <w:b/>
          <w:color w:val="000000"/>
          <w:sz w:val="24"/>
          <w:szCs w:val="24"/>
        </w:rPr>
      </w:pPr>
      <w:r>
        <w:rPr>
          <w:rFonts w:hint="eastAsia" w:hAnsi="宋体" w:cs="Times New Roman"/>
          <w:b/>
          <w:color w:val="000000"/>
          <w:sz w:val="24"/>
          <w:szCs w:val="24"/>
        </w:rPr>
        <w:t>19 评标原则</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70" w:firstLineChars="196"/>
        <w:rPr>
          <w:rFonts w:ascii="宋体" w:hAnsi="宋体"/>
          <w:b/>
          <w:bCs/>
          <w:color w:val="000000"/>
          <w:sz w:val="24"/>
          <w:szCs w:val="21"/>
        </w:rPr>
      </w:pPr>
      <w:r>
        <w:rPr>
          <w:rFonts w:hint="eastAsia" w:ascii="宋体" w:hAnsi="宋体"/>
          <w:b/>
          <w:bCs/>
          <w:color w:val="000000"/>
          <w:sz w:val="24"/>
          <w:szCs w:val="21"/>
        </w:rPr>
        <w:t>20  评标组织</w:t>
      </w:r>
    </w:p>
    <w:p>
      <w:pPr>
        <w:spacing w:line="360" w:lineRule="auto"/>
        <w:ind w:firstLine="470" w:firstLineChars="196"/>
        <w:rPr>
          <w:rFonts w:hint="eastAsia" w:ascii="宋体" w:hAnsi="宋体" w:cs="宋体"/>
          <w:b/>
          <w:i/>
          <w:color w:val="0000FF"/>
          <w:sz w:val="24"/>
          <w:szCs w:val="21"/>
        </w:rPr>
      </w:pPr>
      <w:r>
        <w:rPr>
          <w:rFonts w:hint="eastAsia" w:ascii="宋体" w:hAnsi="宋体"/>
          <w:color w:val="000000"/>
          <w:sz w:val="24"/>
          <w:szCs w:val="21"/>
        </w:rPr>
        <w:t>20.1</w:t>
      </w:r>
      <w:r>
        <w:rPr>
          <w:rFonts w:ascii="宋体" w:hAnsi="宋体"/>
          <w:color w:val="000000"/>
          <w:sz w:val="24"/>
          <w:szCs w:val="21"/>
        </w:rPr>
        <w:t>评标委员会由采购人代表和评审专家组成，成员人数应当为5人以上单数，其中评审专家不得少于成员总数的三分之二。</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20.2评标工作由评标委员会负责，并推选产生的组长主持。</w:t>
      </w:r>
    </w:p>
    <w:p>
      <w:pPr>
        <w:spacing w:line="360" w:lineRule="auto"/>
        <w:ind w:firstLine="480" w:firstLineChars="200"/>
        <w:rPr>
          <w:rFonts w:hint="eastAsia" w:ascii="宋体" w:hAnsi="宋体"/>
          <w:color w:val="00FF00"/>
          <w:sz w:val="24"/>
          <w:szCs w:val="21"/>
          <w:u w:val="single"/>
        </w:rPr>
      </w:pPr>
      <w:r>
        <w:rPr>
          <w:rFonts w:hint="eastAsia" w:ascii="宋体" w:hAnsi="宋体"/>
          <w:color w:val="000000"/>
          <w:sz w:val="24"/>
          <w:szCs w:val="21"/>
        </w:rPr>
        <w:t>20.3整个开标、评标全过程接受采购办、监督办等有关部门的监督和指导。</w:t>
      </w:r>
    </w:p>
    <w:p>
      <w:pPr>
        <w:pStyle w:val="80"/>
        <w:spacing w:before="0"/>
        <w:ind w:firstLine="352" w:firstLineChars="147"/>
        <w:rPr>
          <w:rFonts w:hint="eastAsia" w:ascii="宋体" w:hAnsi="宋体" w:cs="Courier New"/>
          <w:b/>
          <w:color w:val="000000"/>
          <w:szCs w:val="21"/>
        </w:rPr>
      </w:pPr>
      <w:r>
        <w:rPr>
          <w:rFonts w:hint="eastAsia" w:ascii="宋体" w:hAnsi="宋体" w:cs="Courier New"/>
          <w:b/>
          <w:color w:val="000000"/>
          <w:szCs w:val="21"/>
        </w:rPr>
        <w:t>21. 评标办法</w:t>
      </w:r>
    </w:p>
    <w:p>
      <w:pPr>
        <w:spacing w:line="360" w:lineRule="auto"/>
        <w:ind w:firstLine="465" w:firstLineChars="194"/>
        <w:rPr>
          <w:rFonts w:hint="eastAsia" w:ascii="宋体" w:hAnsi="宋体" w:cs="Courier New"/>
          <w:color w:val="000000"/>
          <w:sz w:val="24"/>
          <w:szCs w:val="21"/>
        </w:rPr>
      </w:pPr>
      <w:r>
        <w:rPr>
          <w:rFonts w:hint="eastAsia" w:ascii="宋体" w:hAnsi="宋体" w:cs="Courier New"/>
          <w:color w:val="000000"/>
          <w:sz w:val="24"/>
          <w:szCs w:val="21"/>
        </w:rPr>
        <w:t>具体评标办法与评分标准等详见招标文件第三部分。</w:t>
      </w:r>
    </w:p>
    <w:p>
      <w:pPr>
        <w:snapToGrid w:val="0"/>
        <w:spacing w:line="360" w:lineRule="auto"/>
        <w:ind w:firstLine="352" w:firstLineChars="147"/>
        <w:rPr>
          <w:rFonts w:hint="eastAsia" w:ascii="宋体" w:hAnsi="宋体" w:cs="Courier New"/>
          <w:b/>
          <w:color w:val="000000"/>
          <w:sz w:val="24"/>
          <w:szCs w:val="21"/>
        </w:rPr>
      </w:pPr>
      <w:r>
        <w:rPr>
          <w:rFonts w:hint="eastAsia" w:ascii="宋体" w:hAnsi="宋体" w:cs="Courier New"/>
          <w:b/>
          <w:color w:val="000000"/>
          <w:sz w:val="24"/>
          <w:szCs w:val="21"/>
        </w:rPr>
        <w:t>22. 投标文件符合性审查</w:t>
      </w:r>
    </w:p>
    <w:p>
      <w:pPr>
        <w:snapToGrid w:val="0"/>
        <w:spacing w:line="360" w:lineRule="auto"/>
        <w:ind w:firstLine="360" w:firstLineChars="150"/>
        <w:rPr>
          <w:rFonts w:hint="eastAsia" w:ascii="宋体" w:hAnsi="宋体" w:cs="Courier New"/>
          <w:color w:val="000000"/>
          <w:sz w:val="24"/>
          <w:szCs w:val="21"/>
        </w:rPr>
      </w:pPr>
      <w:r>
        <w:rPr>
          <w:rFonts w:hint="eastAsia" w:ascii="宋体" w:hAnsi="宋体" w:cs="Courier New"/>
          <w:color w:val="000000"/>
          <w:sz w:val="24"/>
          <w:szCs w:val="21"/>
        </w:rPr>
        <w:t>22.1 投标文件符合性审查：评标委员会依据招标文件的规定，从投标文件的有效性、完整性和对招标文件的响应程度进行审查，以确定是否对招标文件的要求作出实质性响应。</w:t>
      </w:r>
    </w:p>
    <w:p>
      <w:pPr>
        <w:snapToGrid w:val="0"/>
        <w:spacing w:line="360" w:lineRule="auto"/>
        <w:ind w:firstLine="360" w:firstLineChars="150"/>
        <w:rPr>
          <w:rFonts w:hint="eastAsia" w:ascii="宋体" w:hAnsi="宋体" w:cs="Courier New"/>
          <w:color w:val="000000"/>
          <w:sz w:val="24"/>
          <w:szCs w:val="21"/>
        </w:rPr>
      </w:pPr>
      <w:r>
        <w:rPr>
          <w:rFonts w:hint="eastAsia" w:ascii="宋体" w:hAnsi="宋体" w:cs="Courier New"/>
          <w:color w:val="000000"/>
          <w:sz w:val="24"/>
          <w:szCs w:val="21"/>
        </w:rPr>
        <w:t>22.2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 xml:space="preserve">22.3 如果投标文件没有实质上响应招标文件的要求，评标委员会将判定无效，投标人不得通过修改或撤销不合要求的偏离或保留而使其投标成为实质性响应的投标。 </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22.4修正原则</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投标文件报价出现前后不一致的，按照下列规定修正：</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(1)投标文件中开标一览表(报价表)内容与投标文件中相应内容不一致的，以开标一览表(报价表)为准;</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(2)大写金额和小写金额不一致的，以大写金额为准;</w:t>
      </w:r>
    </w:p>
    <w:p>
      <w:pPr>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(3)单价金额小数点或者百分比有明显错位的，以开标一览表的总价为准，并修改单价;</w:t>
      </w:r>
    </w:p>
    <w:p>
      <w:pPr>
        <w:snapToGrid w:val="0"/>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(4)总价金额与按单价汇总金额不一致的，以单价金额计算结果为准。</w:t>
      </w:r>
    </w:p>
    <w:p>
      <w:pPr>
        <w:snapToGrid w:val="0"/>
        <w:spacing w:line="360" w:lineRule="auto"/>
        <w:ind w:firstLine="360"/>
        <w:rPr>
          <w:rFonts w:hint="eastAsia" w:ascii="宋体" w:hAnsi="宋体" w:cs="Courier New"/>
          <w:color w:val="000000"/>
          <w:sz w:val="24"/>
          <w:szCs w:val="21"/>
        </w:rPr>
      </w:pPr>
      <w:r>
        <w:rPr>
          <w:rFonts w:hint="eastAsia" w:ascii="宋体" w:hAnsi="宋体" w:cs="Courier New"/>
          <w:color w:val="000000"/>
          <w:sz w:val="24"/>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80"/>
        <w:snapToGrid w:val="0"/>
        <w:spacing w:before="0"/>
        <w:ind w:firstLine="470" w:firstLineChars="196"/>
        <w:rPr>
          <w:rFonts w:hint="eastAsia" w:ascii="宋体" w:hAnsi="宋体" w:cs="Courier New"/>
          <w:b/>
          <w:szCs w:val="21"/>
        </w:rPr>
      </w:pPr>
      <w:r>
        <w:rPr>
          <w:rFonts w:hint="eastAsia" w:ascii="宋体" w:hAnsi="宋体" w:cs="Courier New"/>
          <w:b/>
          <w:szCs w:val="21"/>
        </w:rPr>
        <w:t>23 投标文件的澄清</w:t>
      </w:r>
    </w:p>
    <w:p>
      <w:pPr>
        <w:pStyle w:val="80"/>
        <w:snapToGrid w:val="0"/>
        <w:spacing w:before="0"/>
        <w:ind w:firstLine="480"/>
        <w:rPr>
          <w:rFonts w:hint="eastAsia" w:ascii="宋体" w:hAnsi="宋体" w:cs="Courier New"/>
          <w:color w:val="000000"/>
          <w:szCs w:val="21"/>
        </w:rPr>
      </w:pPr>
      <w:r>
        <w:rPr>
          <w:rFonts w:hint="eastAsia" w:ascii="宋体" w:hAnsi="宋体" w:cs="Courier New"/>
          <w:color w:val="000000"/>
          <w:szCs w:val="21"/>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7"/>
        <w:snapToGrid w:val="0"/>
        <w:spacing w:line="360" w:lineRule="auto"/>
        <w:ind w:firstLine="480" w:firstLineChars="200"/>
        <w:rPr>
          <w:rFonts w:hint="eastAsia" w:hAnsi="宋体"/>
          <w:b/>
          <w:color w:val="000000"/>
          <w:sz w:val="24"/>
        </w:rPr>
      </w:pPr>
      <w:r>
        <w:rPr>
          <w:rFonts w:hint="eastAsia" w:hAnsi="宋体"/>
          <w:b/>
          <w:color w:val="000000"/>
          <w:sz w:val="24"/>
        </w:rPr>
        <w:t>24 无效投标</w:t>
      </w:r>
    </w:p>
    <w:p>
      <w:pPr>
        <w:pStyle w:val="27"/>
        <w:snapToGrid w:val="0"/>
        <w:spacing w:line="360" w:lineRule="auto"/>
        <w:ind w:firstLine="480" w:firstLineChars="200"/>
        <w:rPr>
          <w:rFonts w:hint="eastAsia" w:hAnsi="宋体"/>
          <w:color w:val="000000"/>
          <w:sz w:val="24"/>
        </w:rPr>
      </w:pPr>
      <w:r>
        <w:rPr>
          <w:rFonts w:hint="eastAsia" w:hAnsi="宋体"/>
          <w:color w:val="000000"/>
          <w:sz w:val="24"/>
        </w:rPr>
        <w:t>经过审查，凡不符合有关规定，不响应招标文件的实质性条款，存在以下重大</w:t>
      </w:r>
      <w:r>
        <w:rPr>
          <w:rFonts w:hint="eastAsia" w:hAnsi="宋体"/>
          <w:sz w:val="24"/>
        </w:rPr>
        <w:t>偏离之一的，经评标委员会认定，并由采购人</w:t>
      </w:r>
      <w:r>
        <w:rPr>
          <w:rFonts w:hint="eastAsia" w:hAnsi="宋体"/>
          <w:color w:val="000000"/>
          <w:sz w:val="24"/>
        </w:rPr>
        <w:t>报采购办、监督办备案，将因未通过资格性或符合性审查而被作为无效投标处理：</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 xml:space="preserve">24.1 </w:t>
      </w:r>
      <w:r>
        <w:rPr>
          <w:rFonts w:hint="eastAsia" w:ascii="宋体" w:hAnsi="宋体" w:cs="Courier New"/>
          <w:b/>
          <w:sz w:val="24"/>
          <w:szCs w:val="21"/>
        </w:rPr>
        <w:t>未按规定交纳投标保证金</w:t>
      </w:r>
      <w:r>
        <w:rPr>
          <w:rFonts w:ascii="宋体" w:hAnsi="宋体" w:cs="Courier New"/>
          <w:b/>
          <w:sz w:val="24"/>
          <w:szCs w:val="21"/>
        </w:rPr>
        <w:t>或所提供的</w:t>
      </w:r>
      <w:r>
        <w:rPr>
          <w:rFonts w:hint="eastAsia" w:ascii="宋体" w:hAnsi="宋体" w:cs="Courier New"/>
          <w:b/>
          <w:sz w:val="24"/>
          <w:szCs w:val="21"/>
        </w:rPr>
        <w:t>投标保证金</w:t>
      </w:r>
      <w:r>
        <w:rPr>
          <w:rFonts w:ascii="宋体" w:hAnsi="宋体" w:cs="Courier New"/>
          <w:b/>
          <w:sz w:val="24"/>
          <w:szCs w:val="21"/>
        </w:rPr>
        <w:t>有瑕疵</w:t>
      </w:r>
      <w:r>
        <w:rPr>
          <w:rFonts w:hint="eastAsia" w:ascii="宋体" w:hAnsi="宋体" w:cs="Courier New"/>
          <w:b/>
          <w:sz w:val="24"/>
          <w:szCs w:val="21"/>
        </w:rPr>
        <w:t>的；</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 xml:space="preserve">24.2 </w:t>
      </w:r>
      <w:r>
        <w:rPr>
          <w:rFonts w:hint="eastAsia" w:ascii="宋体" w:hAnsi="宋体" w:cs="Courier New"/>
          <w:b/>
          <w:sz w:val="24"/>
          <w:szCs w:val="21"/>
        </w:rPr>
        <w:t>未按照招标文件规定要求装订、密封封装、签署、盖章的；</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 xml:space="preserve">24.3 </w:t>
      </w:r>
      <w:r>
        <w:rPr>
          <w:rFonts w:hint="eastAsia" w:ascii="宋体" w:hAnsi="宋体" w:cs="Courier New"/>
          <w:b/>
          <w:sz w:val="24"/>
          <w:szCs w:val="21"/>
        </w:rPr>
        <w:t>法定代表人参加开标会，未能出具身份证明或与《法定代表人身份证明书》不符的；授权代表无《法定代表人授权委托书》或未能出具身份证明的；</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24.4</w:t>
      </w:r>
      <w:r>
        <w:rPr>
          <w:rFonts w:hint="eastAsia" w:ascii="宋体" w:hAnsi="宋体" w:cs="Courier New"/>
          <w:b/>
          <w:sz w:val="24"/>
          <w:szCs w:val="21"/>
        </w:rPr>
        <w:t xml:space="preserve">《法定代表人授权委托书》或《法定代表人身份证明书》填写不全、错误、未加盖公章(《法定代表人授权委托书》要求公章和签字或盖章缺一不可）； </w:t>
      </w:r>
    </w:p>
    <w:p>
      <w:pPr>
        <w:snapToGrid w:val="0"/>
        <w:spacing w:line="360" w:lineRule="auto"/>
        <w:ind w:firstLine="480" w:firstLineChars="200"/>
        <w:jc w:val="left"/>
        <w:rPr>
          <w:rFonts w:hint="eastAsia" w:ascii="宋体" w:hAnsi="宋体" w:cs="Courier New"/>
          <w:b/>
          <w:sz w:val="24"/>
          <w:szCs w:val="21"/>
        </w:rPr>
      </w:pPr>
      <w:r>
        <w:rPr>
          <w:rFonts w:hint="eastAsia" w:hAnsi="宋体"/>
          <w:b/>
          <w:sz w:val="24"/>
        </w:rPr>
        <w:t>24.5</w:t>
      </w:r>
      <w:r>
        <w:rPr>
          <w:rFonts w:hint="eastAsia" w:ascii="宋体" w:hAnsi="宋体" w:cs="Courier New"/>
          <w:b/>
          <w:sz w:val="24"/>
          <w:szCs w:val="21"/>
        </w:rPr>
        <w:t>参加开标会的个体工商户提供的身份证明与营业执照不一致的；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24.6</w:t>
      </w:r>
      <w:r>
        <w:rPr>
          <w:rFonts w:hint="eastAsia" w:ascii="宋体" w:hAnsi="宋体" w:cs="Courier New"/>
          <w:b/>
          <w:color w:val="000000"/>
          <w:sz w:val="24"/>
          <w:szCs w:val="21"/>
        </w:rPr>
        <w:t>投标文件中的投标函未加盖投标人的企业公章或填写不全的；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24.7</w:t>
      </w:r>
      <w:r>
        <w:rPr>
          <w:rFonts w:hint="eastAsia" w:ascii="宋体" w:hAnsi="宋体" w:cs="Courier New"/>
          <w:b/>
          <w:color w:val="000000"/>
          <w:sz w:val="24"/>
          <w:szCs w:val="21"/>
        </w:rPr>
        <w:t>投标人递交两份或两份以上内容不同的投标书，且未声明哪一份有效的；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24.8</w:t>
      </w:r>
      <w:r>
        <w:rPr>
          <w:rFonts w:hint="eastAsia" w:ascii="宋体" w:hAnsi="宋体" w:cs="Courier New"/>
          <w:b/>
          <w:color w:val="000000"/>
          <w:sz w:val="24"/>
          <w:szCs w:val="21"/>
        </w:rPr>
        <w:t>报价一经涂改，未在涂改处加盖投标单位公章或者未经法定代表人或其授权代表签字或盖章的；</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24.9</w:t>
      </w:r>
      <w:r>
        <w:rPr>
          <w:rFonts w:hint="eastAsia" w:ascii="宋体" w:hAnsi="宋体" w:cs="Courier New"/>
          <w:b/>
          <w:sz w:val="24"/>
          <w:szCs w:val="21"/>
        </w:rPr>
        <w:t>因未按规定的格式填写，内容不全或主要实质性内容字迹模糊辨认不清,经评标委员会认定为无法评审的；</w:t>
      </w:r>
    </w:p>
    <w:p>
      <w:pPr>
        <w:pStyle w:val="27"/>
        <w:snapToGrid w:val="0"/>
        <w:spacing w:line="360" w:lineRule="auto"/>
        <w:ind w:firstLine="480" w:firstLineChars="200"/>
        <w:jc w:val="left"/>
        <w:rPr>
          <w:rFonts w:hint="eastAsia" w:hAnsi="宋体"/>
          <w:b/>
          <w:color w:val="000000"/>
          <w:sz w:val="24"/>
        </w:rPr>
      </w:pPr>
      <w:r>
        <w:rPr>
          <w:rFonts w:hint="eastAsia" w:ascii="Times New Roman" w:hAnsi="宋体" w:cs="Times New Roman"/>
          <w:b/>
          <w:sz w:val="24"/>
          <w:szCs w:val="24"/>
        </w:rPr>
        <w:t>24.10</w:t>
      </w:r>
      <w:r>
        <w:rPr>
          <w:rFonts w:hint="eastAsia" w:hAnsi="宋体"/>
          <w:b/>
          <w:color w:val="000000"/>
          <w:sz w:val="24"/>
        </w:rPr>
        <w:t>出现同一标的物或本次招标产品(服务)内的主要产品(重要组成部分)出现技术、商务描述不一致或前后描述不一致，经评标委员会认定后为无法评审的；</w:t>
      </w:r>
    </w:p>
    <w:p>
      <w:pPr>
        <w:pStyle w:val="27"/>
        <w:snapToGrid w:val="0"/>
        <w:spacing w:line="360" w:lineRule="auto"/>
        <w:ind w:firstLine="480" w:firstLineChars="200"/>
        <w:jc w:val="left"/>
        <w:rPr>
          <w:rFonts w:hint="eastAsia" w:hAnsi="宋体"/>
          <w:b/>
          <w:color w:val="000000"/>
          <w:sz w:val="24"/>
        </w:rPr>
      </w:pPr>
      <w:r>
        <w:rPr>
          <w:rFonts w:hint="eastAsia" w:ascii="Times New Roman" w:hAnsi="宋体" w:cs="Times New Roman"/>
          <w:b/>
          <w:sz w:val="24"/>
          <w:szCs w:val="24"/>
        </w:rPr>
        <w:t>24.11</w:t>
      </w:r>
      <w:r>
        <w:rPr>
          <w:rFonts w:hint="eastAsia" w:hAnsi="宋体"/>
          <w:b/>
          <w:color w:val="000000"/>
          <w:sz w:val="24"/>
        </w:rPr>
        <w:t>投标详细配置清单响应表不真实填写或弄虚作假的；改变招标文件提供的清单中的计量单位、工程数量；</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24.12</w:t>
      </w:r>
      <w:r>
        <w:rPr>
          <w:rFonts w:hint="eastAsia" w:ascii="宋体" w:hAnsi="宋体" w:cs="Courier New"/>
          <w:b/>
          <w:sz w:val="24"/>
          <w:szCs w:val="21"/>
        </w:rPr>
        <w:t>对招标产品技术规格未详细应答，致使其技术文件无法评审的；</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24.13</w:t>
      </w:r>
      <w:r>
        <w:rPr>
          <w:rFonts w:hint="eastAsia" w:ascii="宋体" w:hAnsi="宋体" w:cs="Courier New"/>
          <w:b/>
          <w:sz w:val="24"/>
          <w:szCs w:val="21"/>
        </w:rPr>
        <w:t>投标文件有招标方不能接受的条件；</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sz w:val="24"/>
        </w:rPr>
        <w:t>24.14</w:t>
      </w:r>
      <w:r>
        <w:rPr>
          <w:rFonts w:ascii="宋体" w:hAnsi="宋体" w:cs="Courier New"/>
          <w:b/>
          <w:color w:val="000000"/>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Courier New"/>
          <w:b/>
          <w:color w:val="000000"/>
          <w:sz w:val="24"/>
          <w:szCs w:val="21"/>
        </w:rPr>
        <w:t>；</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24.15</w:t>
      </w:r>
      <w:r>
        <w:rPr>
          <w:rFonts w:hint="eastAsia" w:ascii="宋体" w:hAnsi="宋体" w:cs="Courier New"/>
          <w:b/>
          <w:sz w:val="24"/>
          <w:szCs w:val="21"/>
        </w:rPr>
        <w:t>投标报价超过预算金额或最高限价的；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color w:val="000000"/>
          <w:sz w:val="24"/>
        </w:rPr>
        <w:t>24.16</w:t>
      </w:r>
      <w:r>
        <w:rPr>
          <w:rFonts w:hint="eastAsia" w:ascii="宋体" w:hAnsi="宋体" w:cs="Courier New"/>
          <w:b/>
          <w:color w:val="000000"/>
          <w:sz w:val="24"/>
          <w:szCs w:val="21"/>
        </w:rPr>
        <w:t>投标文件“资信技术文件资料”部分中出现《开标一览表》或《投标报价明细表》相关内容的；</w:t>
      </w:r>
    </w:p>
    <w:p>
      <w:pPr>
        <w:tabs>
          <w:tab w:val="left" w:pos="3870"/>
          <w:tab w:val="left" w:pos="4085"/>
        </w:tabs>
        <w:snapToGrid w:val="0"/>
        <w:spacing w:line="360" w:lineRule="auto"/>
        <w:ind w:firstLine="480" w:firstLineChars="200"/>
        <w:jc w:val="left"/>
        <w:rPr>
          <w:rFonts w:hint="eastAsia" w:ascii="宋体" w:hAnsi="宋体" w:cs="Courier New"/>
          <w:b/>
          <w:color w:val="000000"/>
          <w:sz w:val="24"/>
          <w:szCs w:val="21"/>
        </w:rPr>
      </w:pPr>
      <w:r>
        <w:rPr>
          <w:rFonts w:hint="eastAsia" w:hAnsi="宋体"/>
          <w:b/>
          <w:sz w:val="24"/>
        </w:rPr>
        <w:t>24.17</w:t>
      </w:r>
      <w:r>
        <w:rPr>
          <w:rFonts w:hint="eastAsia" w:ascii="宋体" w:hAnsi="宋体" w:cs="Courier New"/>
          <w:b/>
          <w:color w:val="000000"/>
          <w:sz w:val="24"/>
          <w:szCs w:val="21"/>
        </w:rPr>
        <w:t>评标委员会认定有重大偏差或实质性不响应招标文件要求的；</w:t>
      </w:r>
    </w:p>
    <w:p>
      <w:pPr>
        <w:tabs>
          <w:tab w:val="left" w:pos="3870"/>
          <w:tab w:val="left" w:pos="4085"/>
        </w:tabs>
        <w:snapToGrid w:val="0"/>
        <w:spacing w:line="360" w:lineRule="auto"/>
        <w:ind w:firstLine="480" w:firstLineChars="200"/>
        <w:jc w:val="left"/>
        <w:rPr>
          <w:rFonts w:hint="eastAsia" w:ascii="宋体" w:hAnsi="宋体" w:cs="Courier New"/>
          <w:b/>
          <w:sz w:val="24"/>
          <w:szCs w:val="21"/>
        </w:rPr>
      </w:pPr>
      <w:r>
        <w:rPr>
          <w:rFonts w:hint="eastAsia" w:hAnsi="宋体"/>
          <w:b/>
          <w:sz w:val="24"/>
        </w:rPr>
        <w:t xml:space="preserve">24.18 </w:t>
      </w:r>
      <w:r>
        <w:rPr>
          <w:rFonts w:hint="eastAsia" w:ascii="宋体" w:hAnsi="宋体" w:cs="Courier New"/>
          <w:b/>
          <w:sz w:val="24"/>
          <w:szCs w:val="21"/>
        </w:rPr>
        <w:t>投标人拒绝按招标文件规定的修正原则对投标文件进行修改的；</w:t>
      </w:r>
    </w:p>
    <w:p>
      <w:pPr>
        <w:pStyle w:val="22"/>
        <w:snapToGrid w:val="0"/>
        <w:spacing w:after="0" w:line="360" w:lineRule="auto"/>
        <w:ind w:left="0" w:leftChars="0" w:firstLine="470" w:firstLineChars="196"/>
        <w:rPr>
          <w:rFonts w:hint="eastAsia" w:ascii="宋体" w:hAnsi="宋体" w:cs="Courier New"/>
          <w:b/>
          <w:sz w:val="24"/>
          <w:szCs w:val="21"/>
        </w:rPr>
      </w:pPr>
      <w:r>
        <w:rPr>
          <w:rFonts w:hint="eastAsia" w:hAnsi="宋体"/>
          <w:b/>
          <w:sz w:val="24"/>
        </w:rPr>
        <w:t xml:space="preserve">24.19 </w:t>
      </w:r>
      <w:r>
        <w:rPr>
          <w:rFonts w:hint="eastAsia" w:ascii="宋体" w:hAnsi="宋体" w:cs="Courier New"/>
          <w:b/>
          <w:sz w:val="24"/>
          <w:szCs w:val="21"/>
        </w:rPr>
        <w:t>参与本次招标活动前三年内，投标人在政府采购领域中，在项目招标、投标和合同履约期间存在违法以及违反政府采购供应商行为规范且情节严重的；</w:t>
      </w:r>
    </w:p>
    <w:p>
      <w:pPr>
        <w:pStyle w:val="50"/>
        <w:snapToGrid w:val="0"/>
        <w:spacing w:before="0" w:beforeAutospacing="0" w:after="0" w:afterAutospacing="0" w:line="360" w:lineRule="auto"/>
        <w:ind w:firstLine="470" w:firstLineChars="196"/>
        <w:rPr>
          <w:rFonts w:cs="Courier New"/>
          <w:b/>
          <w:kern w:val="2"/>
          <w:szCs w:val="21"/>
        </w:rPr>
      </w:pPr>
      <w:r>
        <w:rPr>
          <w:rFonts w:hint="eastAsia" w:cs="Courier New"/>
          <w:b/>
          <w:kern w:val="2"/>
          <w:szCs w:val="21"/>
        </w:rPr>
        <w:t xml:space="preserve">24.20  </w:t>
      </w:r>
      <w:r>
        <w:rPr>
          <w:rFonts w:cs="Courier New"/>
          <w:b/>
          <w:kern w:val="2"/>
          <w:szCs w:val="21"/>
        </w:rPr>
        <w:t>有下列情形之一的，视为投标人串通投标，其投标无效：</w:t>
      </w:r>
    </w:p>
    <w:p>
      <w:pPr>
        <w:pStyle w:val="50"/>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24.20.1 </w:t>
      </w:r>
      <w:r>
        <w:rPr>
          <w:rFonts w:cs="Courier New"/>
          <w:b/>
          <w:kern w:val="2"/>
          <w:szCs w:val="21"/>
        </w:rPr>
        <w:t>不同投标人的投标文件由同一单位或者个人编制；</w:t>
      </w:r>
    </w:p>
    <w:p>
      <w:pPr>
        <w:pStyle w:val="50"/>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24.20.2 </w:t>
      </w:r>
      <w:r>
        <w:rPr>
          <w:rFonts w:cs="Courier New"/>
          <w:b/>
          <w:kern w:val="2"/>
          <w:szCs w:val="21"/>
        </w:rPr>
        <w:t>不同投标人委托同一单位或者个人办理投标事宜；</w:t>
      </w:r>
    </w:p>
    <w:p>
      <w:pPr>
        <w:pStyle w:val="50"/>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24.20.3 </w:t>
      </w:r>
      <w:r>
        <w:rPr>
          <w:rFonts w:cs="Courier New"/>
          <w:b/>
          <w:kern w:val="2"/>
          <w:szCs w:val="21"/>
        </w:rPr>
        <w:t>不同投标人的投标文件载明的项目管理成员或者联系人员为同一人；</w:t>
      </w:r>
    </w:p>
    <w:p>
      <w:pPr>
        <w:pStyle w:val="50"/>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24.20.4 </w:t>
      </w:r>
      <w:r>
        <w:rPr>
          <w:rFonts w:cs="Courier New"/>
          <w:b/>
          <w:kern w:val="2"/>
          <w:szCs w:val="21"/>
        </w:rPr>
        <w:t>不同投标人的投标文件异常一致或者投标报价呈规律性差异；</w:t>
      </w:r>
    </w:p>
    <w:p>
      <w:pPr>
        <w:pStyle w:val="50"/>
        <w:snapToGrid w:val="0"/>
        <w:spacing w:before="0" w:beforeAutospacing="0" w:after="0" w:afterAutospacing="0" w:line="360" w:lineRule="auto"/>
        <w:rPr>
          <w:rFonts w:cs="Courier New"/>
          <w:b/>
          <w:kern w:val="2"/>
          <w:szCs w:val="21"/>
        </w:rPr>
      </w:pPr>
      <w:r>
        <w:rPr>
          <w:rFonts w:cs="Courier New"/>
          <w:b/>
          <w:kern w:val="2"/>
          <w:szCs w:val="21"/>
        </w:rPr>
        <w:t>　　</w:t>
      </w:r>
      <w:r>
        <w:rPr>
          <w:rFonts w:hint="eastAsia" w:cs="Courier New"/>
          <w:b/>
          <w:kern w:val="2"/>
          <w:szCs w:val="21"/>
        </w:rPr>
        <w:t xml:space="preserve">24.20.5 </w:t>
      </w:r>
      <w:r>
        <w:rPr>
          <w:rFonts w:cs="Courier New"/>
          <w:b/>
          <w:kern w:val="2"/>
          <w:szCs w:val="21"/>
        </w:rPr>
        <w:t>不同投标人的投标文件相互混装；</w:t>
      </w:r>
    </w:p>
    <w:p>
      <w:pPr>
        <w:snapToGrid w:val="0"/>
        <w:spacing w:line="360" w:lineRule="auto"/>
        <w:ind w:firstLine="480" w:firstLineChars="200"/>
        <w:rPr>
          <w:rFonts w:hint="eastAsia" w:ascii="宋体" w:hAnsi="宋体" w:cs="Courier New"/>
          <w:b/>
          <w:sz w:val="24"/>
          <w:szCs w:val="21"/>
        </w:rPr>
      </w:pPr>
      <w:r>
        <w:rPr>
          <w:rFonts w:hint="eastAsia" w:ascii="宋体" w:hAnsi="宋体" w:cs="Courier New"/>
          <w:b/>
          <w:sz w:val="24"/>
          <w:szCs w:val="21"/>
        </w:rPr>
        <w:t xml:space="preserve">24.20.6 </w:t>
      </w:r>
      <w:r>
        <w:rPr>
          <w:rFonts w:ascii="宋体" w:hAnsi="宋体" w:cs="Courier New"/>
          <w:b/>
          <w:sz w:val="24"/>
          <w:szCs w:val="21"/>
        </w:rPr>
        <w:t>不同投标人的投标保证金从同一单位或者个人的账户转出。</w:t>
      </w:r>
    </w:p>
    <w:p>
      <w:pPr>
        <w:snapToGrid w:val="0"/>
        <w:spacing w:line="360" w:lineRule="auto"/>
        <w:ind w:firstLine="480" w:firstLineChars="200"/>
        <w:rPr>
          <w:rFonts w:hint="eastAsia" w:ascii="宋体" w:hAnsi="宋体" w:cs="Courier New"/>
          <w:b/>
          <w:bCs/>
          <w:sz w:val="24"/>
        </w:rPr>
      </w:pPr>
      <w:r>
        <w:rPr>
          <w:rFonts w:hint="eastAsia" w:ascii="宋体" w:hAnsi="宋体" w:cs="Courier New"/>
          <w:b/>
          <w:bCs/>
          <w:sz w:val="24"/>
        </w:rPr>
        <w:t>24.21 其他违反法律、法规的情形。</w:t>
      </w:r>
    </w:p>
    <w:p>
      <w:pPr>
        <w:pStyle w:val="27"/>
        <w:snapToGrid w:val="0"/>
        <w:spacing w:line="360" w:lineRule="auto"/>
        <w:ind w:firstLine="480" w:firstLineChars="200"/>
        <w:rPr>
          <w:rFonts w:hint="eastAsia" w:hAnsi="宋体"/>
          <w:b/>
          <w:sz w:val="24"/>
        </w:rPr>
      </w:pPr>
      <w:r>
        <w:rPr>
          <w:rFonts w:hint="eastAsia" w:hAnsi="宋体"/>
          <w:b/>
          <w:sz w:val="24"/>
        </w:rPr>
        <w:t>25</w:t>
      </w:r>
      <w:r>
        <w:rPr>
          <w:rFonts w:hint="eastAsia" w:hAnsi="宋体"/>
          <w:b/>
          <w:color w:val="FF0000"/>
          <w:sz w:val="24"/>
        </w:rPr>
        <w:t xml:space="preserve"> </w:t>
      </w:r>
      <w:r>
        <w:rPr>
          <w:rFonts w:hint="eastAsia" w:hAnsi="宋体"/>
          <w:b/>
          <w:sz w:val="24"/>
        </w:rPr>
        <w:t>评标委员会按照招标文件的要求和条件进行评标，同时考虑以下因素：</w:t>
      </w:r>
    </w:p>
    <w:p>
      <w:pPr>
        <w:pStyle w:val="27"/>
        <w:snapToGrid w:val="0"/>
        <w:spacing w:line="360" w:lineRule="auto"/>
        <w:ind w:firstLine="480" w:firstLineChars="200"/>
        <w:rPr>
          <w:rFonts w:hint="eastAsia" w:hAnsi="宋体"/>
          <w:color w:val="000000"/>
          <w:sz w:val="24"/>
        </w:rPr>
      </w:pPr>
      <w:r>
        <w:rPr>
          <w:rFonts w:hint="eastAsia" w:hAnsi="宋体"/>
          <w:color w:val="000000"/>
          <w:sz w:val="24"/>
        </w:rPr>
        <w:t>25.1　投标价格的竞争性；</w:t>
      </w:r>
    </w:p>
    <w:p>
      <w:pPr>
        <w:pStyle w:val="27"/>
        <w:snapToGrid w:val="0"/>
        <w:spacing w:line="360" w:lineRule="auto"/>
        <w:ind w:firstLine="480" w:firstLineChars="200"/>
        <w:rPr>
          <w:rFonts w:hAnsi="宋体"/>
          <w:color w:val="000000"/>
          <w:sz w:val="24"/>
        </w:rPr>
      </w:pPr>
      <w:r>
        <w:rPr>
          <w:rFonts w:hint="eastAsia" w:hAnsi="宋体"/>
          <w:color w:val="000000"/>
          <w:sz w:val="24"/>
        </w:rPr>
        <w:t>25.2　产品性能和质量可靠性；</w:t>
      </w:r>
    </w:p>
    <w:p>
      <w:pPr>
        <w:pStyle w:val="27"/>
        <w:snapToGrid w:val="0"/>
        <w:spacing w:line="360" w:lineRule="auto"/>
        <w:ind w:firstLine="480" w:firstLineChars="200"/>
        <w:rPr>
          <w:rFonts w:hint="eastAsia" w:hAnsi="宋体"/>
          <w:color w:val="000000"/>
          <w:sz w:val="24"/>
        </w:rPr>
      </w:pPr>
      <w:r>
        <w:rPr>
          <w:rFonts w:hint="eastAsia" w:hAnsi="宋体"/>
          <w:color w:val="000000"/>
          <w:sz w:val="24"/>
        </w:rPr>
        <w:t>25.3　备品备件供应承诺；</w:t>
      </w:r>
    </w:p>
    <w:p>
      <w:pPr>
        <w:pStyle w:val="27"/>
        <w:snapToGrid w:val="0"/>
        <w:spacing w:line="360" w:lineRule="auto"/>
        <w:ind w:firstLine="480" w:firstLineChars="200"/>
        <w:rPr>
          <w:rFonts w:hint="eastAsia" w:hAnsi="宋体"/>
          <w:color w:val="000000"/>
          <w:sz w:val="24"/>
        </w:rPr>
      </w:pPr>
      <w:r>
        <w:rPr>
          <w:rFonts w:hint="eastAsia" w:hAnsi="宋体"/>
          <w:color w:val="000000"/>
          <w:sz w:val="24"/>
        </w:rPr>
        <w:t>25.4　交货时间和安装竣工时间；</w:t>
      </w:r>
    </w:p>
    <w:p>
      <w:pPr>
        <w:pStyle w:val="27"/>
        <w:snapToGrid w:val="0"/>
        <w:spacing w:line="360" w:lineRule="auto"/>
        <w:ind w:firstLine="480" w:firstLineChars="200"/>
        <w:rPr>
          <w:rFonts w:hint="eastAsia" w:hAnsi="宋体"/>
          <w:color w:val="000000"/>
          <w:sz w:val="24"/>
        </w:rPr>
      </w:pPr>
      <w:r>
        <w:rPr>
          <w:rFonts w:hint="eastAsia" w:hAnsi="宋体"/>
          <w:color w:val="000000"/>
          <w:sz w:val="24"/>
        </w:rPr>
        <w:t>25.5　经营信誉、合同付款条件及合同执行能力；</w:t>
      </w:r>
    </w:p>
    <w:p>
      <w:pPr>
        <w:pStyle w:val="27"/>
        <w:spacing w:line="360" w:lineRule="auto"/>
        <w:ind w:firstLine="480" w:firstLineChars="200"/>
        <w:rPr>
          <w:rFonts w:hint="eastAsia" w:hAnsi="宋体"/>
          <w:color w:val="000000"/>
          <w:sz w:val="24"/>
        </w:rPr>
      </w:pPr>
      <w:r>
        <w:rPr>
          <w:rFonts w:hint="eastAsia" w:hAnsi="宋体"/>
          <w:color w:val="000000"/>
          <w:sz w:val="24"/>
        </w:rPr>
        <w:t>25.6　售后服务承诺。</w:t>
      </w:r>
    </w:p>
    <w:p>
      <w:pPr>
        <w:pStyle w:val="27"/>
        <w:spacing w:line="360" w:lineRule="auto"/>
        <w:ind w:firstLine="480" w:firstLineChars="200"/>
        <w:rPr>
          <w:rFonts w:hint="eastAsia" w:hAnsi="宋体"/>
          <w:b/>
          <w:color w:val="000000"/>
          <w:sz w:val="24"/>
        </w:rPr>
      </w:pPr>
      <w:r>
        <w:rPr>
          <w:rFonts w:hint="eastAsia" w:hAnsi="宋体"/>
          <w:b/>
          <w:color w:val="000000"/>
          <w:sz w:val="24"/>
        </w:rPr>
        <w:t>26 中标条件</w:t>
      </w:r>
    </w:p>
    <w:p>
      <w:pPr>
        <w:pStyle w:val="27"/>
        <w:spacing w:line="360" w:lineRule="auto"/>
        <w:ind w:firstLine="456" w:firstLineChars="200"/>
        <w:rPr>
          <w:rFonts w:hint="eastAsia" w:hAnsi="宋体"/>
          <w:color w:val="000000"/>
          <w:spacing w:val="-6"/>
          <w:sz w:val="24"/>
        </w:rPr>
      </w:pPr>
      <w:r>
        <w:rPr>
          <w:rFonts w:hint="eastAsia" w:hAnsi="宋体"/>
          <w:color w:val="000000"/>
          <w:spacing w:val="-6"/>
          <w:sz w:val="24"/>
        </w:rPr>
        <w:t>26.1　投标人能够提供质量、技术、商务、经济、</w:t>
      </w:r>
      <w:r>
        <w:rPr>
          <w:rFonts w:hint="eastAsia" w:hAnsi="宋体"/>
          <w:color w:val="000000"/>
          <w:sz w:val="24"/>
        </w:rPr>
        <w:t>售后服务</w:t>
      </w:r>
      <w:r>
        <w:rPr>
          <w:rFonts w:hint="eastAsia" w:hAnsi="宋体"/>
          <w:color w:val="000000"/>
          <w:spacing w:val="-6"/>
          <w:sz w:val="24"/>
        </w:rPr>
        <w:t>占综合优势的产品及服务；</w:t>
      </w:r>
    </w:p>
    <w:p>
      <w:pPr>
        <w:pStyle w:val="27"/>
        <w:spacing w:line="360" w:lineRule="auto"/>
        <w:ind w:firstLine="480" w:firstLineChars="200"/>
        <w:rPr>
          <w:rFonts w:hint="eastAsia" w:hAnsi="宋体"/>
          <w:color w:val="000000"/>
          <w:sz w:val="24"/>
        </w:rPr>
      </w:pPr>
      <w:r>
        <w:rPr>
          <w:rFonts w:hint="eastAsia" w:hAnsi="宋体"/>
          <w:color w:val="000000"/>
          <w:sz w:val="24"/>
        </w:rPr>
        <w:t>26.2　投标文件符合招标文件要求；</w:t>
      </w:r>
    </w:p>
    <w:p>
      <w:pPr>
        <w:pStyle w:val="27"/>
        <w:spacing w:line="360" w:lineRule="auto"/>
        <w:ind w:firstLine="480" w:firstLineChars="200"/>
        <w:rPr>
          <w:rFonts w:hint="eastAsia" w:hAnsi="宋体"/>
          <w:color w:val="000000"/>
          <w:sz w:val="24"/>
        </w:rPr>
      </w:pPr>
      <w:r>
        <w:rPr>
          <w:rFonts w:hint="eastAsia" w:hAnsi="宋体"/>
          <w:color w:val="000000"/>
          <w:sz w:val="24"/>
        </w:rPr>
        <w:t>26.3　投标人有很好的执行合同的能力；</w:t>
      </w:r>
    </w:p>
    <w:p>
      <w:pPr>
        <w:pStyle w:val="27"/>
        <w:spacing w:line="360" w:lineRule="auto"/>
        <w:ind w:firstLine="480" w:firstLineChars="200"/>
        <w:rPr>
          <w:rFonts w:hint="eastAsia" w:hAnsi="宋体"/>
          <w:color w:val="000000"/>
          <w:sz w:val="24"/>
        </w:rPr>
      </w:pPr>
      <w:r>
        <w:rPr>
          <w:rFonts w:hint="eastAsia" w:hAnsi="宋体"/>
          <w:color w:val="000000"/>
          <w:sz w:val="24"/>
        </w:rPr>
        <w:t>26.4　售价对采购人最有利；</w:t>
      </w:r>
    </w:p>
    <w:p>
      <w:pPr>
        <w:pStyle w:val="27"/>
        <w:spacing w:line="360" w:lineRule="auto"/>
        <w:ind w:firstLine="480" w:firstLineChars="200"/>
        <w:rPr>
          <w:rFonts w:hint="eastAsia" w:hAnsi="宋体"/>
          <w:color w:val="000000"/>
          <w:sz w:val="24"/>
        </w:rPr>
      </w:pPr>
      <w:r>
        <w:rPr>
          <w:rFonts w:hint="eastAsia" w:hAnsi="宋体"/>
          <w:color w:val="000000"/>
          <w:sz w:val="24"/>
        </w:rPr>
        <w:t>25.5　采购人将把中标通知书授予最佳投标者，不保证最低报价者中标。</w:t>
      </w:r>
    </w:p>
    <w:p>
      <w:pPr>
        <w:pStyle w:val="27"/>
        <w:spacing w:line="360" w:lineRule="auto"/>
        <w:ind w:firstLine="480" w:firstLineChars="200"/>
        <w:rPr>
          <w:rFonts w:hint="eastAsia" w:hAnsi="宋体"/>
          <w:b/>
          <w:color w:val="000000"/>
          <w:sz w:val="24"/>
        </w:rPr>
      </w:pPr>
      <w:r>
        <w:rPr>
          <w:rFonts w:hint="eastAsia" w:hAnsi="宋体"/>
          <w:b/>
          <w:color w:val="000000"/>
          <w:sz w:val="24"/>
        </w:rPr>
        <w:t>27</w:t>
      </w:r>
      <w:r>
        <w:rPr>
          <w:rFonts w:hAnsi="宋体"/>
          <w:b/>
          <w:color w:val="000000"/>
          <w:sz w:val="24"/>
        </w:rPr>
        <w:t>　废标</w:t>
      </w:r>
    </w:p>
    <w:p>
      <w:pPr>
        <w:pStyle w:val="22"/>
        <w:snapToGrid w:val="0"/>
        <w:spacing w:after="0" w:line="360" w:lineRule="auto"/>
        <w:ind w:left="0" w:leftChars="0" w:firstLine="480" w:firstLineChars="200"/>
        <w:rPr>
          <w:rFonts w:hint="eastAsia" w:ascii="宋体" w:hAnsi="宋体" w:cs="Courier New"/>
          <w:color w:val="000000"/>
          <w:sz w:val="24"/>
          <w:szCs w:val="21"/>
        </w:rPr>
      </w:pPr>
      <w:r>
        <w:rPr>
          <w:rFonts w:hint="eastAsia" w:ascii="宋体" w:hAnsi="宋体" w:cs="Courier New"/>
          <w:color w:val="000000"/>
          <w:sz w:val="24"/>
          <w:szCs w:val="21"/>
        </w:rPr>
        <w:t>根据《中华人民共和国政府采购法》第三十六条之规定，在采购中，出现下列情形之一的，应予废标：</w:t>
      </w:r>
    </w:p>
    <w:p>
      <w:pPr>
        <w:pStyle w:val="22"/>
        <w:snapToGrid w:val="0"/>
        <w:spacing w:after="0" w:line="360" w:lineRule="auto"/>
        <w:ind w:left="0" w:leftChars="0" w:firstLine="480" w:firstLineChars="200"/>
        <w:rPr>
          <w:rFonts w:hint="eastAsia" w:ascii="宋体" w:hAnsi="宋体" w:cs="Courier New"/>
          <w:color w:val="000000"/>
          <w:sz w:val="24"/>
          <w:szCs w:val="21"/>
        </w:rPr>
      </w:pPr>
      <w:r>
        <w:rPr>
          <w:rFonts w:hint="eastAsia" w:ascii="宋体" w:hAnsi="宋体" w:cs="Courier New"/>
          <w:color w:val="000000"/>
          <w:sz w:val="24"/>
          <w:szCs w:val="21"/>
        </w:rPr>
        <w:t>27.1 符合专业条件的供应商或者对招标文件作实质响应的供应商不足3家的；</w:t>
      </w:r>
    </w:p>
    <w:p>
      <w:pPr>
        <w:pStyle w:val="22"/>
        <w:snapToGrid w:val="0"/>
        <w:spacing w:after="0" w:line="360" w:lineRule="auto"/>
        <w:ind w:left="0" w:leftChars="0" w:firstLine="480" w:firstLineChars="200"/>
        <w:rPr>
          <w:rFonts w:hint="eastAsia" w:ascii="宋体" w:hAnsi="宋体" w:cs="Courier New"/>
          <w:color w:val="000000"/>
          <w:sz w:val="24"/>
          <w:szCs w:val="21"/>
        </w:rPr>
      </w:pPr>
      <w:r>
        <w:rPr>
          <w:rFonts w:ascii="宋体" w:hAnsi="宋体" w:cs="Courier New"/>
          <w:color w:val="000000"/>
          <w:sz w:val="24"/>
          <w:szCs w:val="21"/>
        </w:rPr>
        <w:t>2</w:t>
      </w:r>
      <w:r>
        <w:rPr>
          <w:rFonts w:hint="eastAsia" w:ascii="宋体" w:hAnsi="宋体" w:cs="Courier New"/>
          <w:color w:val="000000"/>
          <w:sz w:val="24"/>
          <w:szCs w:val="21"/>
        </w:rPr>
        <w:t>7</w:t>
      </w:r>
      <w:r>
        <w:rPr>
          <w:rFonts w:ascii="宋体" w:hAnsi="宋体" w:cs="Courier New"/>
          <w:color w:val="000000"/>
          <w:sz w:val="24"/>
          <w:szCs w:val="21"/>
        </w:rPr>
        <w:t>.</w:t>
      </w:r>
      <w:r>
        <w:rPr>
          <w:rFonts w:hint="eastAsia" w:ascii="宋体" w:hAnsi="宋体" w:cs="Courier New"/>
          <w:color w:val="000000"/>
          <w:sz w:val="24"/>
          <w:szCs w:val="21"/>
        </w:rPr>
        <w:t>2  出现影响采购公正的违法、违规行为的；</w:t>
      </w:r>
    </w:p>
    <w:p>
      <w:pPr>
        <w:pStyle w:val="22"/>
        <w:snapToGrid w:val="0"/>
        <w:spacing w:after="0" w:line="360" w:lineRule="auto"/>
        <w:ind w:left="0" w:leftChars="0" w:firstLine="480" w:firstLineChars="200"/>
        <w:rPr>
          <w:rFonts w:hint="eastAsia" w:ascii="宋体" w:hAnsi="宋体" w:cs="Courier New"/>
          <w:color w:val="000000"/>
          <w:sz w:val="24"/>
          <w:szCs w:val="21"/>
        </w:rPr>
      </w:pPr>
      <w:r>
        <w:rPr>
          <w:rFonts w:ascii="宋体" w:hAnsi="宋体" w:cs="Courier New"/>
          <w:color w:val="000000"/>
          <w:sz w:val="24"/>
          <w:szCs w:val="21"/>
        </w:rPr>
        <w:t>2</w:t>
      </w:r>
      <w:r>
        <w:rPr>
          <w:rFonts w:hint="eastAsia" w:ascii="宋体" w:hAnsi="宋体" w:cs="Courier New"/>
          <w:color w:val="000000"/>
          <w:sz w:val="24"/>
          <w:szCs w:val="21"/>
        </w:rPr>
        <w:t>7</w:t>
      </w:r>
      <w:r>
        <w:rPr>
          <w:rFonts w:ascii="宋体" w:hAnsi="宋体" w:cs="Courier New"/>
          <w:color w:val="000000"/>
          <w:sz w:val="24"/>
          <w:szCs w:val="21"/>
        </w:rPr>
        <w:t>.</w:t>
      </w:r>
      <w:r>
        <w:rPr>
          <w:rFonts w:hint="eastAsia" w:ascii="宋体" w:hAnsi="宋体" w:cs="Courier New"/>
          <w:color w:val="000000"/>
          <w:sz w:val="24"/>
          <w:szCs w:val="21"/>
        </w:rPr>
        <w:t>3  投标人的报价均超过了采购预算，采购人不能支付的；</w:t>
      </w:r>
    </w:p>
    <w:p>
      <w:pPr>
        <w:pStyle w:val="22"/>
        <w:snapToGrid w:val="0"/>
        <w:spacing w:after="0" w:line="360" w:lineRule="auto"/>
        <w:ind w:left="0" w:leftChars="0" w:firstLine="480" w:firstLineChars="200"/>
        <w:rPr>
          <w:rFonts w:hint="eastAsia" w:ascii="宋体" w:hAnsi="宋体" w:cs="Courier New"/>
          <w:color w:val="000000"/>
          <w:sz w:val="24"/>
          <w:szCs w:val="21"/>
        </w:rPr>
      </w:pPr>
      <w:r>
        <w:rPr>
          <w:rFonts w:ascii="宋体" w:hAnsi="宋体" w:cs="Courier New"/>
          <w:color w:val="000000"/>
          <w:sz w:val="24"/>
          <w:szCs w:val="21"/>
        </w:rPr>
        <w:t>2</w:t>
      </w:r>
      <w:r>
        <w:rPr>
          <w:rFonts w:hint="eastAsia" w:ascii="宋体" w:hAnsi="宋体" w:cs="Courier New"/>
          <w:color w:val="000000"/>
          <w:sz w:val="24"/>
          <w:szCs w:val="21"/>
        </w:rPr>
        <w:t>7</w:t>
      </w:r>
      <w:r>
        <w:rPr>
          <w:rFonts w:ascii="宋体" w:hAnsi="宋体" w:cs="Courier New"/>
          <w:color w:val="000000"/>
          <w:sz w:val="24"/>
          <w:szCs w:val="21"/>
        </w:rPr>
        <w:t>.</w:t>
      </w:r>
      <w:r>
        <w:rPr>
          <w:rFonts w:hint="eastAsia" w:ascii="宋体" w:hAnsi="宋体" w:cs="Courier New"/>
          <w:color w:val="000000"/>
          <w:sz w:val="24"/>
          <w:szCs w:val="21"/>
        </w:rPr>
        <w:t>4  因重大变故，采购任务取消的；</w:t>
      </w:r>
    </w:p>
    <w:p>
      <w:pPr>
        <w:pStyle w:val="22"/>
        <w:snapToGrid w:val="0"/>
        <w:spacing w:after="0" w:line="360" w:lineRule="auto"/>
        <w:ind w:left="0" w:leftChars="0" w:firstLine="480" w:firstLineChars="200"/>
        <w:rPr>
          <w:rFonts w:hint="eastAsia" w:ascii="宋体" w:hAnsi="宋体" w:cs="Courier New"/>
          <w:color w:val="000000"/>
          <w:sz w:val="24"/>
          <w:szCs w:val="21"/>
        </w:rPr>
      </w:pPr>
      <w:r>
        <w:rPr>
          <w:rFonts w:hint="eastAsia" w:ascii="宋体" w:hAnsi="宋体" w:cs="Courier New"/>
          <w:color w:val="000000"/>
          <w:sz w:val="24"/>
          <w:szCs w:val="21"/>
        </w:rPr>
        <w:t>27.5  废标后，采购机构应当将废标理由通知所有投标人，由采购人重新组织招标，或者经采购办、监督办批准后，变更采购方式予以采购。</w:t>
      </w:r>
    </w:p>
    <w:p>
      <w:pPr>
        <w:pStyle w:val="22"/>
        <w:spacing w:after="0" w:line="360" w:lineRule="auto"/>
        <w:ind w:left="876" w:hanging="453" w:hangingChars="199"/>
        <w:rPr>
          <w:rFonts w:hint="eastAsia" w:ascii="宋体" w:hAnsi="宋体" w:cs="Courier New"/>
          <w:b/>
          <w:color w:val="000000"/>
          <w:spacing w:val="-6"/>
          <w:sz w:val="24"/>
          <w:szCs w:val="21"/>
        </w:rPr>
      </w:pPr>
      <w:r>
        <w:rPr>
          <w:rFonts w:hint="eastAsia" w:ascii="宋体" w:hAnsi="宋体" w:cs="Courier New"/>
          <w:b/>
          <w:color w:val="000000"/>
          <w:spacing w:val="-6"/>
          <w:sz w:val="24"/>
          <w:szCs w:val="21"/>
        </w:rPr>
        <w:t>28  重新组织采购</w:t>
      </w:r>
    </w:p>
    <w:p>
      <w:pPr>
        <w:pStyle w:val="22"/>
        <w:snapToGrid w:val="0"/>
        <w:spacing w:after="0" w:line="360" w:lineRule="auto"/>
        <w:ind w:left="0" w:leftChars="0"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2"/>
        <w:spacing w:after="0" w:line="360" w:lineRule="auto"/>
        <w:ind w:left="876" w:hanging="453" w:hangingChars="199"/>
        <w:rPr>
          <w:rFonts w:hint="eastAsia" w:ascii="宋体" w:hAnsi="宋体" w:cs="Courier New"/>
          <w:b/>
          <w:color w:val="000000"/>
          <w:spacing w:val="-6"/>
          <w:sz w:val="24"/>
          <w:szCs w:val="21"/>
        </w:rPr>
      </w:pPr>
      <w:r>
        <w:rPr>
          <w:rFonts w:hint="eastAsia" w:ascii="宋体" w:hAnsi="宋体" w:cs="Courier New"/>
          <w:b/>
          <w:color w:val="000000"/>
          <w:spacing w:val="-6"/>
          <w:sz w:val="24"/>
          <w:szCs w:val="21"/>
        </w:rPr>
        <w:t>29  定标</w:t>
      </w:r>
    </w:p>
    <w:p>
      <w:pPr>
        <w:tabs>
          <w:tab w:val="left" w:pos="1155"/>
        </w:tabs>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29.1  本次招标采用综合评分法，依据所得分数高低确定第一、二中标候选人。</w:t>
      </w:r>
    </w:p>
    <w:p>
      <w:pPr>
        <w:pStyle w:val="27"/>
        <w:spacing w:line="360" w:lineRule="auto"/>
        <w:ind w:firstLine="456" w:firstLineChars="200"/>
        <w:rPr>
          <w:rFonts w:hint="eastAsia" w:hAnsi="宋体"/>
          <w:b/>
          <w:color w:val="000000"/>
          <w:spacing w:val="-6"/>
          <w:sz w:val="24"/>
        </w:rPr>
      </w:pPr>
      <w:r>
        <w:rPr>
          <w:rFonts w:hint="eastAsia" w:hAnsi="宋体"/>
          <w:b/>
          <w:color w:val="000000"/>
          <w:spacing w:val="-6"/>
          <w:sz w:val="24"/>
        </w:rPr>
        <w:t xml:space="preserve">30 </w:t>
      </w:r>
      <w:r>
        <w:rPr>
          <w:rFonts w:hAnsi="宋体"/>
          <w:b/>
          <w:color w:val="000000"/>
          <w:spacing w:val="-6"/>
          <w:sz w:val="24"/>
        </w:rPr>
        <w:t>保密及其它注意事项</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30.1　</w:t>
      </w:r>
      <w:r>
        <w:rPr>
          <w:rFonts w:ascii="宋体" w:hAnsi="宋体" w:cs="Courier New"/>
          <w:color w:val="000000"/>
          <w:spacing w:val="-6"/>
          <w:sz w:val="24"/>
          <w:szCs w:val="21"/>
        </w:rPr>
        <w:t>评标是招标工作的重要环节，评标工作</w:t>
      </w:r>
      <w:r>
        <w:rPr>
          <w:rFonts w:hint="eastAsia" w:ascii="宋体" w:hAnsi="宋体" w:cs="Courier New"/>
          <w:color w:val="000000"/>
          <w:spacing w:val="-6"/>
          <w:sz w:val="24"/>
          <w:szCs w:val="21"/>
        </w:rPr>
        <w:t>由</w:t>
      </w:r>
      <w:r>
        <w:rPr>
          <w:rFonts w:ascii="宋体" w:hAnsi="宋体" w:cs="Courier New"/>
          <w:color w:val="000000"/>
          <w:spacing w:val="-6"/>
          <w:sz w:val="24"/>
          <w:szCs w:val="21"/>
        </w:rPr>
        <w:t>评标委员会独立进行。评标委员会将遵照评标原则，公正、平等地对待所有投标人</w:t>
      </w:r>
      <w:r>
        <w:rPr>
          <w:rFonts w:hint="eastAsia" w:ascii="宋体" w:hAnsi="宋体" w:cs="Courier New"/>
          <w:color w:val="000000"/>
          <w:spacing w:val="-6"/>
          <w:sz w:val="24"/>
          <w:szCs w:val="21"/>
        </w:rPr>
        <w:t>；</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30.2　</w:t>
      </w:r>
      <w:r>
        <w:rPr>
          <w:rFonts w:ascii="宋体" w:hAnsi="宋体" w:cs="Courier New"/>
          <w:color w:val="000000"/>
          <w:spacing w:val="-6"/>
          <w:sz w:val="24"/>
          <w:szCs w:val="21"/>
        </w:rPr>
        <w:t>在开标、投标期间，投标人不得向评委询问评标情况，不得进行旨在影响评标结果的活动。</w:t>
      </w:r>
      <w:r>
        <w:rPr>
          <w:rFonts w:hint="eastAsia" w:ascii="宋体" w:hAnsi="宋体" w:cs="Courier New"/>
          <w:color w:val="000000"/>
          <w:spacing w:val="-6"/>
          <w:sz w:val="24"/>
          <w:szCs w:val="21"/>
        </w:rPr>
        <w:t>采购人不得在中标人确定前，与投标人就投标价格、投标方案等实质性内容进行谈判；</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30.3　</w:t>
      </w:r>
      <w:r>
        <w:rPr>
          <w:rFonts w:ascii="宋体" w:hAnsi="宋体" w:cs="Courier New"/>
          <w:color w:val="000000"/>
          <w:spacing w:val="-6"/>
          <w:sz w:val="24"/>
          <w:szCs w:val="21"/>
        </w:rPr>
        <w:t>为保证定标的公正性，在评标过程中，评委不得与投标人私下交换意见。在招标工作结束后，凡与评标情况有接触的任何人，不得也不应将评标情况扩散出评委人员之外</w:t>
      </w:r>
      <w:r>
        <w:rPr>
          <w:rFonts w:hint="eastAsia" w:ascii="宋体" w:hAnsi="宋体" w:cs="Courier New"/>
          <w:color w:val="000000"/>
          <w:spacing w:val="-6"/>
          <w:sz w:val="24"/>
          <w:szCs w:val="21"/>
        </w:rPr>
        <w:t>；</w:t>
      </w:r>
    </w:p>
    <w:p>
      <w:pPr>
        <w:spacing w:line="360" w:lineRule="auto"/>
        <w:ind w:firstLine="456" w:firstLineChars="200"/>
        <w:rPr>
          <w:rFonts w:hint="eastAsia" w:ascii="宋体" w:hAnsi="宋体" w:cs="Courier New"/>
          <w:color w:val="000000"/>
          <w:spacing w:val="-6"/>
          <w:sz w:val="24"/>
          <w:szCs w:val="21"/>
        </w:rPr>
      </w:pPr>
      <w:r>
        <w:rPr>
          <w:rFonts w:hint="eastAsia" w:ascii="宋体" w:hAnsi="宋体" w:cs="Courier New"/>
          <w:color w:val="000000"/>
          <w:spacing w:val="-6"/>
          <w:sz w:val="24"/>
          <w:szCs w:val="21"/>
        </w:rPr>
        <w:t>30.4　</w:t>
      </w:r>
      <w:r>
        <w:rPr>
          <w:rFonts w:ascii="宋体" w:hAnsi="宋体" w:cs="Courier New"/>
          <w:color w:val="000000"/>
          <w:spacing w:val="-6"/>
          <w:sz w:val="24"/>
          <w:szCs w:val="21"/>
        </w:rPr>
        <w:t>投标人</w:t>
      </w:r>
      <w:r>
        <w:rPr>
          <w:rFonts w:hint="eastAsia" w:ascii="宋体" w:hAnsi="宋体" w:cs="Courier New"/>
          <w:color w:val="000000"/>
          <w:spacing w:val="-6"/>
          <w:sz w:val="24"/>
          <w:szCs w:val="21"/>
        </w:rPr>
        <w:t>相互之间，或与采购人</w:t>
      </w:r>
      <w:r>
        <w:rPr>
          <w:rFonts w:ascii="宋体" w:hAnsi="宋体" w:cs="Courier New"/>
          <w:color w:val="000000"/>
          <w:spacing w:val="-6"/>
          <w:sz w:val="24"/>
          <w:szCs w:val="21"/>
        </w:rPr>
        <w:t>相互不得串通投标，不得排挤其他投标人的公平竞争，损害采购人或者其他投标人的合法权益</w:t>
      </w:r>
      <w:r>
        <w:rPr>
          <w:rFonts w:hint="eastAsia" w:ascii="宋体" w:hAnsi="宋体" w:cs="Courier New"/>
          <w:color w:val="000000"/>
          <w:spacing w:val="-6"/>
          <w:sz w:val="24"/>
          <w:szCs w:val="21"/>
        </w:rPr>
        <w:t>；</w:t>
      </w:r>
    </w:p>
    <w:p>
      <w:pPr>
        <w:spacing w:line="360" w:lineRule="auto"/>
        <w:ind w:firstLine="456" w:firstLineChars="200"/>
        <w:rPr>
          <w:rFonts w:ascii="宋体" w:hAnsi="宋体" w:cs="Courier New"/>
          <w:color w:val="000000"/>
          <w:spacing w:val="-6"/>
          <w:sz w:val="24"/>
          <w:szCs w:val="21"/>
        </w:rPr>
      </w:pPr>
      <w:r>
        <w:rPr>
          <w:rFonts w:hint="eastAsia" w:ascii="宋体" w:hAnsi="宋体" w:cs="Courier New"/>
          <w:color w:val="000000"/>
          <w:spacing w:val="-6"/>
          <w:sz w:val="24"/>
          <w:szCs w:val="21"/>
        </w:rPr>
        <w:t>30.5　</w:t>
      </w:r>
      <w:r>
        <w:rPr>
          <w:rFonts w:ascii="宋体" w:hAnsi="宋体" w:cs="Courier New"/>
          <w:color w:val="000000"/>
          <w:spacing w:val="-6"/>
          <w:sz w:val="24"/>
          <w:szCs w:val="21"/>
        </w:rPr>
        <w:t>评标委员会不向投标人解释未中标的原因，不退还投标文件。</w:t>
      </w:r>
    </w:p>
    <w:p>
      <w:pPr>
        <w:pStyle w:val="3"/>
        <w:spacing w:line="360" w:lineRule="auto"/>
        <w:jc w:val="center"/>
        <w:rPr>
          <w:rFonts w:hint="eastAsia" w:hAnsi="宋体"/>
          <w:color w:val="000000"/>
        </w:rPr>
      </w:pPr>
      <w:bookmarkStart w:id="13" w:name="_Toc2852584"/>
      <w:r>
        <w:rPr>
          <w:rFonts w:hint="eastAsia" w:hAnsi="宋体"/>
          <w:color w:val="000000"/>
        </w:rPr>
        <w:t>第六章　授予合同</w:t>
      </w:r>
      <w:bookmarkEnd w:id="13"/>
    </w:p>
    <w:p>
      <w:pPr>
        <w:pStyle w:val="27"/>
        <w:adjustRightInd w:val="0"/>
        <w:snapToGrid w:val="0"/>
        <w:spacing w:line="360" w:lineRule="auto"/>
        <w:ind w:firstLine="480" w:firstLineChars="200"/>
        <w:rPr>
          <w:rFonts w:hint="eastAsia" w:hAnsi="宋体"/>
          <w:b/>
          <w:color w:val="000000"/>
          <w:sz w:val="24"/>
        </w:rPr>
      </w:pPr>
      <w:r>
        <w:rPr>
          <w:rFonts w:hint="eastAsia" w:hAnsi="宋体"/>
          <w:b/>
          <w:color w:val="000000"/>
          <w:sz w:val="24"/>
        </w:rPr>
        <w:t>31　中标通知</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31.1　</w:t>
      </w:r>
      <w:r>
        <w:rPr>
          <w:rFonts w:ascii="宋体" w:hAnsi="宋体" w:cs="Courier New"/>
          <w:color w:val="000000"/>
          <w:sz w:val="24"/>
          <w:szCs w:val="21"/>
        </w:rPr>
        <w:t>评标结束后，绍兴市上虞区公共资源交易中心</w:t>
      </w:r>
      <w:r>
        <w:rPr>
          <w:rFonts w:hint="eastAsia" w:ascii="宋体" w:hAnsi="宋体" w:cs="Courier New"/>
          <w:color w:val="000000"/>
          <w:sz w:val="24"/>
          <w:szCs w:val="21"/>
        </w:rPr>
        <w:t>（以下简称“中心”）将在“中心”网站</w:t>
      </w:r>
      <w:r>
        <w:rPr>
          <w:rFonts w:ascii="宋体" w:hAnsi="宋体" w:cs="Courier New"/>
          <w:color w:val="000000"/>
          <w:sz w:val="24"/>
          <w:szCs w:val="21"/>
        </w:rPr>
        <w:t>发布中标公告</w:t>
      </w:r>
      <w:r>
        <w:rPr>
          <w:rFonts w:hint="eastAsia" w:ascii="宋体" w:hAnsi="宋体" w:cs="Courier New"/>
          <w:color w:val="000000"/>
          <w:sz w:val="24"/>
          <w:szCs w:val="21"/>
        </w:rPr>
        <w:t>，经公告无异议后</w:t>
      </w:r>
      <w:r>
        <w:rPr>
          <w:rFonts w:ascii="宋体" w:hAnsi="宋体" w:cs="Courier New"/>
          <w:color w:val="000000"/>
          <w:sz w:val="24"/>
          <w:szCs w:val="21"/>
        </w:rPr>
        <w:t>签发中标通知书</w:t>
      </w:r>
      <w:r>
        <w:rPr>
          <w:rFonts w:hint="eastAsia" w:ascii="宋体" w:hAnsi="宋体" w:cs="Courier New"/>
          <w:color w:val="000000"/>
          <w:sz w:val="24"/>
          <w:szCs w:val="21"/>
        </w:rPr>
        <w:t>；</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31.2　</w:t>
      </w:r>
      <w:r>
        <w:rPr>
          <w:rFonts w:ascii="宋体" w:hAnsi="宋体" w:cs="Courier New"/>
          <w:color w:val="000000"/>
          <w:sz w:val="24"/>
          <w:szCs w:val="21"/>
        </w:rPr>
        <w:t>中标通知书将作为签订合同的重要依据，对</w:t>
      </w:r>
      <w:r>
        <w:rPr>
          <w:rFonts w:hint="eastAsia" w:ascii="宋体" w:hAnsi="宋体" w:cs="Courier New"/>
          <w:color w:val="000000"/>
          <w:sz w:val="24"/>
          <w:szCs w:val="21"/>
        </w:rPr>
        <w:t>采购人</w:t>
      </w:r>
      <w:r>
        <w:rPr>
          <w:rFonts w:ascii="宋体" w:hAnsi="宋体" w:cs="Courier New"/>
          <w:color w:val="000000"/>
          <w:sz w:val="24"/>
          <w:szCs w:val="21"/>
        </w:rPr>
        <w:t>和中标人</w:t>
      </w:r>
      <w:r>
        <w:rPr>
          <w:rFonts w:hint="eastAsia" w:ascii="宋体" w:hAnsi="宋体" w:cs="Courier New"/>
          <w:color w:val="000000"/>
          <w:sz w:val="24"/>
          <w:szCs w:val="21"/>
        </w:rPr>
        <w:t>均</w:t>
      </w:r>
      <w:r>
        <w:rPr>
          <w:rFonts w:ascii="宋体" w:hAnsi="宋体" w:cs="Courier New"/>
          <w:color w:val="000000"/>
          <w:sz w:val="24"/>
          <w:szCs w:val="21"/>
        </w:rPr>
        <w:t>具有法律效力。</w:t>
      </w:r>
      <w:r>
        <w:rPr>
          <w:rFonts w:hint="eastAsia" w:ascii="宋体" w:hAnsi="宋体" w:cs="Courier New"/>
          <w:color w:val="000000"/>
          <w:sz w:val="24"/>
          <w:szCs w:val="21"/>
        </w:rPr>
        <w:t>采购人</w:t>
      </w:r>
      <w:r>
        <w:rPr>
          <w:rFonts w:ascii="宋体" w:hAnsi="宋体" w:cs="Courier New"/>
          <w:color w:val="000000"/>
          <w:sz w:val="24"/>
          <w:szCs w:val="21"/>
        </w:rPr>
        <w:t>改变中标结果或者中标人放弃中标项目的都应承担法律责任。中标人不得向他人转让中标项目，也不得将中标项目肢解后分别向他人转让。</w:t>
      </w:r>
    </w:p>
    <w:p>
      <w:pPr>
        <w:pStyle w:val="27"/>
        <w:adjustRightInd w:val="0"/>
        <w:snapToGrid w:val="0"/>
        <w:spacing w:line="360" w:lineRule="auto"/>
        <w:ind w:firstLine="480" w:firstLineChars="200"/>
        <w:rPr>
          <w:rFonts w:hint="eastAsia" w:hAnsi="宋体"/>
          <w:b/>
          <w:color w:val="000000"/>
          <w:sz w:val="24"/>
        </w:rPr>
      </w:pPr>
      <w:r>
        <w:rPr>
          <w:rFonts w:hint="eastAsia" w:hAnsi="宋体"/>
          <w:b/>
          <w:color w:val="000000"/>
          <w:sz w:val="24"/>
        </w:rPr>
        <w:t>32　签订合同</w:t>
      </w:r>
    </w:p>
    <w:p>
      <w:pPr>
        <w:snapToGrid w:val="0"/>
        <w:spacing w:line="360" w:lineRule="auto"/>
        <w:ind w:firstLine="480" w:firstLineChars="200"/>
        <w:jc w:val="left"/>
        <w:rPr>
          <w:rFonts w:hint="eastAsia" w:ascii="宋体" w:hAnsi="宋体" w:cs="Courier New"/>
          <w:color w:val="000000"/>
          <w:sz w:val="24"/>
          <w:szCs w:val="21"/>
        </w:rPr>
      </w:pPr>
      <w:r>
        <w:rPr>
          <w:rFonts w:hint="eastAsia" w:ascii="宋体" w:hAnsi="宋体" w:cs="Courier New"/>
          <w:color w:val="000000"/>
          <w:sz w:val="24"/>
          <w:szCs w:val="21"/>
        </w:rPr>
        <w:t>32.1　中标人须在中标通知书发出</w:t>
      </w:r>
      <w:r>
        <w:rPr>
          <w:rFonts w:ascii="宋体" w:hAnsi="宋体" w:cs="Courier New"/>
          <w:color w:val="000000"/>
          <w:sz w:val="24"/>
          <w:szCs w:val="21"/>
        </w:rPr>
        <w:t>之日起</w:t>
      </w:r>
      <w:r>
        <w:rPr>
          <w:rFonts w:hint="eastAsia" w:ascii="宋体" w:hAnsi="宋体" w:cs="Courier New"/>
          <w:color w:val="000000"/>
          <w:sz w:val="24"/>
          <w:szCs w:val="21"/>
        </w:rPr>
        <w:t>30日内，按招标文件和中标供应商投标文件的约定，凭中标通知书和采购人在约定的时间、地点，由法定代表人或授权委托人与采购人签订书面合同；</w:t>
      </w:r>
    </w:p>
    <w:p>
      <w:pPr>
        <w:spacing w:line="360" w:lineRule="auto"/>
        <w:ind w:firstLine="480" w:firstLineChars="200"/>
        <w:rPr>
          <w:rFonts w:hint="eastAsia" w:ascii="宋体" w:hAnsi="宋体" w:cs="Courier New"/>
          <w:color w:val="000000"/>
          <w:sz w:val="24"/>
          <w:szCs w:val="21"/>
        </w:rPr>
      </w:pPr>
      <w:r>
        <w:rPr>
          <w:rFonts w:hint="eastAsia" w:ascii="宋体" w:hAnsi="宋体" w:cs="Courier New"/>
          <w:color w:val="000000"/>
          <w:sz w:val="24"/>
          <w:szCs w:val="21"/>
        </w:rPr>
        <w:t>32.2　</w:t>
      </w:r>
      <w:r>
        <w:rPr>
          <w:rFonts w:ascii="宋体" w:hAnsi="宋体" w:cs="Courier New"/>
          <w:color w:val="000000"/>
          <w:sz w:val="24"/>
          <w:szCs w:val="21"/>
        </w:rPr>
        <w:t>招标文件和中标人的投标文件均为签订合同的依据</w:t>
      </w:r>
      <w:r>
        <w:rPr>
          <w:rFonts w:hint="eastAsia" w:ascii="宋体" w:hAnsi="宋体" w:cs="Courier New"/>
          <w:color w:val="000000"/>
          <w:sz w:val="24"/>
          <w:szCs w:val="21"/>
        </w:rPr>
        <w:t>，</w:t>
      </w:r>
      <w:r>
        <w:rPr>
          <w:rFonts w:ascii="宋体" w:hAnsi="宋体" w:cs="Courier New"/>
          <w:color w:val="000000"/>
          <w:sz w:val="24"/>
          <w:szCs w:val="21"/>
        </w:rPr>
        <w:t>所签订的合同不得对招标文件和中标人的投标文件做实质性修改</w:t>
      </w:r>
      <w:r>
        <w:rPr>
          <w:rFonts w:hint="eastAsia" w:ascii="宋体" w:hAnsi="宋体" w:cs="Courier New"/>
          <w:color w:val="000000"/>
          <w:sz w:val="24"/>
          <w:szCs w:val="21"/>
        </w:rPr>
        <w:t>；</w:t>
      </w:r>
    </w:p>
    <w:p>
      <w:pPr>
        <w:spacing w:line="360" w:lineRule="auto"/>
        <w:ind w:firstLine="480" w:firstLineChars="200"/>
        <w:jc w:val="left"/>
        <w:rPr>
          <w:rFonts w:hint="eastAsia" w:ascii="宋体" w:hAnsi="宋体" w:cs="Courier New"/>
          <w:color w:val="000000"/>
          <w:sz w:val="24"/>
          <w:szCs w:val="21"/>
        </w:rPr>
      </w:pPr>
      <w:r>
        <w:rPr>
          <w:rFonts w:hint="eastAsia" w:ascii="宋体" w:hAnsi="宋体" w:cs="Courier New"/>
          <w:color w:val="000000"/>
          <w:sz w:val="24"/>
          <w:szCs w:val="21"/>
        </w:rPr>
        <w:t>32.3拒签合同的责任</w:t>
      </w:r>
    </w:p>
    <w:p>
      <w:pPr>
        <w:pStyle w:val="27"/>
        <w:adjustRightInd w:val="0"/>
        <w:snapToGrid w:val="0"/>
        <w:spacing w:line="360" w:lineRule="auto"/>
        <w:ind w:firstLine="480" w:firstLineChars="200"/>
        <w:rPr>
          <w:rFonts w:hint="eastAsia" w:hAnsi="宋体"/>
          <w:color w:val="000000"/>
          <w:sz w:val="24"/>
        </w:rPr>
      </w:pPr>
      <w:r>
        <w:rPr>
          <w:rFonts w:hint="eastAsia" w:hAnsi="宋体"/>
          <w:color w:val="000000"/>
          <w:sz w:val="24"/>
        </w:rPr>
        <w:t>32.3.1　中标人接到中标通知书后，在规定时间内借故否认已经承诺的条件而拒签合同或拒交履约保证金的，以投标违约处理，其投标保证金不予退回，并赔偿采购人由此造成的直接经济损失；</w:t>
      </w:r>
    </w:p>
    <w:p>
      <w:pPr>
        <w:pStyle w:val="27"/>
        <w:adjustRightInd w:val="0"/>
        <w:snapToGrid w:val="0"/>
        <w:spacing w:line="360" w:lineRule="auto"/>
        <w:ind w:firstLine="480"/>
        <w:rPr>
          <w:rFonts w:hint="eastAsia" w:hAnsi="宋体"/>
          <w:color w:val="000000"/>
          <w:sz w:val="24"/>
        </w:rPr>
      </w:pPr>
      <w:r>
        <w:rPr>
          <w:rFonts w:hint="eastAsia" w:hAnsi="宋体"/>
          <w:color w:val="000000"/>
          <w:sz w:val="24"/>
        </w:rPr>
        <w:t>32.3.2　采购人在规定时间借故拒签合同者，以招标违约处理，向中标人退回双倍的投标保证金，并赔偿中标单位由此造成的直接经济损失；</w:t>
      </w:r>
    </w:p>
    <w:p>
      <w:pPr>
        <w:pStyle w:val="27"/>
        <w:adjustRightInd w:val="0"/>
        <w:snapToGrid w:val="0"/>
        <w:spacing w:line="360" w:lineRule="auto"/>
        <w:ind w:firstLine="480"/>
        <w:rPr>
          <w:rFonts w:hint="eastAsia" w:hAnsi="宋体"/>
          <w:color w:val="000000"/>
          <w:sz w:val="24"/>
        </w:rPr>
      </w:pPr>
      <w:r>
        <w:rPr>
          <w:rFonts w:hint="eastAsia" w:hAnsi="宋体"/>
          <w:color w:val="000000"/>
          <w:sz w:val="24"/>
        </w:rPr>
        <w:t>32.3.3　中标人或采购人无正当理由拒绝签订合同的，由采购办、监督办按规定进行处理；</w:t>
      </w:r>
    </w:p>
    <w:p>
      <w:pPr>
        <w:pStyle w:val="27"/>
        <w:adjustRightInd w:val="0"/>
        <w:snapToGrid w:val="0"/>
        <w:spacing w:line="360" w:lineRule="auto"/>
        <w:ind w:firstLine="480" w:firstLineChars="200"/>
        <w:rPr>
          <w:rFonts w:hint="eastAsia" w:hAnsi="宋体"/>
          <w:color w:val="000000"/>
          <w:sz w:val="24"/>
        </w:rPr>
      </w:pPr>
      <w:r>
        <w:rPr>
          <w:rFonts w:hint="eastAsia" w:hAnsi="宋体"/>
          <w:color w:val="000000"/>
          <w:sz w:val="24"/>
        </w:rPr>
        <w:t>32.4　采购人在和投标人签订合同时，经有关部门批准有权按照规定变更数量。</w:t>
      </w:r>
    </w:p>
    <w:p>
      <w:pPr>
        <w:spacing w:line="360" w:lineRule="auto"/>
        <w:ind w:firstLine="480" w:firstLineChars="200"/>
        <w:jc w:val="left"/>
        <w:rPr>
          <w:rFonts w:hint="eastAsia" w:ascii="宋体" w:hAnsi="宋体" w:cs="Courier New"/>
          <w:b/>
          <w:sz w:val="24"/>
          <w:szCs w:val="21"/>
        </w:rPr>
      </w:pPr>
      <w:r>
        <w:rPr>
          <w:rFonts w:hint="eastAsia" w:ascii="宋体" w:hAnsi="宋体" w:cs="Courier New"/>
          <w:b/>
          <w:sz w:val="24"/>
          <w:szCs w:val="21"/>
        </w:rPr>
        <w:t>33　合同备案</w:t>
      </w:r>
    </w:p>
    <w:p>
      <w:pPr>
        <w:spacing w:line="360" w:lineRule="auto"/>
        <w:ind w:firstLine="480" w:firstLineChars="200"/>
        <w:jc w:val="left"/>
        <w:rPr>
          <w:rFonts w:hint="eastAsia" w:ascii="宋体" w:hAnsi="宋体" w:cs="Courier New"/>
          <w:color w:val="000000"/>
          <w:sz w:val="24"/>
          <w:szCs w:val="21"/>
        </w:rPr>
      </w:pPr>
      <w:r>
        <w:rPr>
          <w:rFonts w:hint="eastAsia" w:ascii="宋体" w:hAnsi="宋体" w:cs="Courier New"/>
          <w:color w:val="000000"/>
          <w:sz w:val="24"/>
          <w:szCs w:val="21"/>
        </w:rPr>
        <w:t>33.1  中标人应当自采购合同签订之日起七个工作日内，按照有关规定将采购合同原件报区公共资源交易中心备案。</w:t>
      </w:r>
    </w:p>
    <w:p>
      <w:pPr>
        <w:spacing w:line="360" w:lineRule="auto"/>
        <w:ind w:firstLine="480" w:firstLineChars="200"/>
        <w:jc w:val="left"/>
        <w:rPr>
          <w:rFonts w:hint="eastAsia" w:ascii="宋体" w:hAnsi="宋体" w:cs="Courier New"/>
          <w:b/>
          <w:color w:val="000000"/>
          <w:sz w:val="24"/>
          <w:szCs w:val="21"/>
        </w:rPr>
      </w:pPr>
      <w:r>
        <w:rPr>
          <w:rFonts w:hint="eastAsia" w:ascii="宋体" w:hAnsi="宋体" w:cs="Courier New"/>
          <w:b/>
          <w:color w:val="000000"/>
          <w:sz w:val="24"/>
          <w:szCs w:val="21"/>
        </w:rPr>
        <w:t>33.2  未领取中标通知书，采购双方自行签订的合同不予备案。</w:t>
      </w:r>
    </w:p>
    <w:p>
      <w:pPr>
        <w:pStyle w:val="27"/>
        <w:adjustRightInd w:val="0"/>
        <w:snapToGrid w:val="0"/>
        <w:spacing w:line="360" w:lineRule="auto"/>
        <w:ind w:firstLine="480" w:firstLineChars="200"/>
        <w:rPr>
          <w:rFonts w:hint="eastAsia" w:hAnsi="宋体"/>
          <w:b/>
          <w:color w:val="000000"/>
          <w:sz w:val="24"/>
        </w:rPr>
      </w:pPr>
      <w:r>
        <w:rPr>
          <w:rFonts w:hint="eastAsia" w:hAnsi="宋体"/>
          <w:b/>
          <w:color w:val="000000"/>
          <w:sz w:val="24"/>
        </w:rPr>
        <w:t>34　履约保证金</w:t>
      </w:r>
    </w:p>
    <w:p>
      <w:pPr>
        <w:pStyle w:val="27"/>
        <w:adjustRightInd w:val="0"/>
        <w:snapToGrid w:val="0"/>
        <w:spacing w:line="360" w:lineRule="auto"/>
        <w:ind w:firstLine="480" w:firstLineChars="200"/>
        <w:rPr>
          <w:rFonts w:hint="eastAsia" w:hAnsi="宋体"/>
          <w:color w:val="000000"/>
          <w:sz w:val="24"/>
        </w:rPr>
      </w:pPr>
      <w:r>
        <w:rPr>
          <w:rFonts w:hint="eastAsia" w:hAnsi="宋体"/>
          <w:color w:val="000000"/>
          <w:sz w:val="24"/>
        </w:rPr>
        <w:t>34.1　中标人在收到中标通知书后，需向采购人提供合同总价</w:t>
      </w:r>
      <w:r>
        <w:rPr>
          <w:rFonts w:hint="eastAsia" w:hAnsi="宋体"/>
          <w:color w:val="000000"/>
          <w:sz w:val="24"/>
          <w:u w:val="single"/>
        </w:rPr>
        <w:t>　</w:t>
      </w:r>
      <w:r>
        <w:rPr>
          <w:rFonts w:hint="eastAsia" w:hAnsi="宋体"/>
          <w:b/>
          <w:color w:val="000000"/>
          <w:sz w:val="24"/>
          <w:u w:val="single"/>
        </w:rPr>
        <w:t>5</w:t>
      </w:r>
      <w:r>
        <w:rPr>
          <w:rFonts w:hint="eastAsia" w:hAnsi="宋体"/>
          <w:color w:val="000000"/>
          <w:sz w:val="24"/>
          <w:u w:val="single"/>
        </w:rPr>
        <w:t>　</w:t>
      </w:r>
      <w:r>
        <w:rPr>
          <w:rFonts w:hint="eastAsia" w:hAnsi="宋体"/>
          <w:color w:val="000000"/>
          <w:sz w:val="24"/>
        </w:rPr>
        <w:t>%的履约保证金，在中标人与采购人签订合同前递交。</w:t>
      </w:r>
    </w:p>
    <w:p>
      <w:pPr>
        <w:pStyle w:val="27"/>
        <w:adjustRightInd w:val="0"/>
        <w:snapToGrid w:val="0"/>
        <w:spacing w:line="360" w:lineRule="auto"/>
        <w:ind w:firstLine="480" w:firstLineChars="200"/>
        <w:rPr>
          <w:rFonts w:hint="eastAsia" w:hAnsi="宋体"/>
          <w:color w:val="000000"/>
          <w:sz w:val="24"/>
        </w:rPr>
      </w:pPr>
      <w:r>
        <w:rPr>
          <w:rFonts w:hint="eastAsia" w:hAnsi="宋体"/>
          <w:color w:val="000000"/>
          <w:sz w:val="24"/>
        </w:rPr>
        <w:t>34.2　采购人将按下列规定的情况时，向中标人无息退还其履约保证金：</w:t>
      </w:r>
    </w:p>
    <w:p>
      <w:pPr>
        <w:pStyle w:val="27"/>
        <w:adjustRightInd w:val="0"/>
        <w:snapToGrid w:val="0"/>
        <w:spacing w:line="360" w:lineRule="auto"/>
        <w:ind w:firstLine="480" w:firstLineChars="200"/>
        <w:rPr>
          <w:rFonts w:hint="eastAsia" w:hAnsi="宋体"/>
          <w:color w:val="000000"/>
          <w:sz w:val="24"/>
        </w:rPr>
      </w:pPr>
      <w:r>
        <w:rPr>
          <w:rFonts w:hint="eastAsia" w:hAnsi="宋体"/>
          <w:color w:val="000000"/>
          <w:sz w:val="24"/>
        </w:rPr>
        <w:t>34.2.1　在安装、调试完毕，并经验收合格后</w:t>
      </w:r>
      <w:r>
        <w:rPr>
          <w:rFonts w:hint="eastAsia" w:hAnsi="宋体"/>
          <w:color w:val="000000"/>
          <w:sz w:val="24"/>
          <w:u w:val="single"/>
        </w:rPr>
        <w:t>　10　</w:t>
      </w:r>
      <w:r>
        <w:rPr>
          <w:rFonts w:hint="eastAsia" w:hAnsi="宋体"/>
          <w:color w:val="000000"/>
          <w:sz w:val="24"/>
        </w:rPr>
        <w:t xml:space="preserve">个工作日内予以退还； </w:t>
      </w:r>
    </w:p>
    <w:p>
      <w:pPr>
        <w:pStyle w:val="50"/>
        <w:snapToGrid w:val="0"/>
        <w:spacing w:before="0" w:beforeAutospacing="0" w:after="0" w:afterAutospacing="0" w:line="360" w:lineRule="auto"/>
        <w:ind w:firstLine="470" w:firstLineChars="196"/>
        <w:rPr>
          <w:rFonts w:ascii="Arial" w:hAnsi="Arial" w:cs="Arial"/>
          <w:b/>
        </w:rPr>
      </w:pPr>
      <w:r>
        <w:rPr>
          <w:rFonts w:hint="eastAsia" w:ascii="Arial" w:hAnsi="Arial" w:cs="Arial"/>
          <w:b/>
        </w:rPr>
        <w:t>注：</w:t>
      </w:r>
      <w:r>
        <w:rPr>
          <w:rFonts w:ascii="Arial" w:hAnsi="Arial" w:cs="Arial"/>
          <w:b/>
        </w:rPr>
        <w:t>采购人可以邀请参加本项目的其他投标人或者第三方机构参与验收。参与验收的投标人或者第三方机构的意见作为验收书的参考资料一并存档。</w:t>
      </w:r>
    </w:p>
    <w:p>
      <w:pPr>
        <w:pStyle w:val="3"/>
        <w:snapToGrid w:val="0"/>
        <w:spacing w:line="360" w:lineRule="auto"/>
        <w:jc w:val="center"/>
        <w:rPr>
          <w:rFonts w:hint="eastAsia"/>
        </w:rPr>
      </w:pPr>
      <w:bookmarkStart w:id="14" w:name="_Toc2852585"/>
      <w:r>
        <w:rPr>
          <w:rFonts w:hint="eastAsia"/>
        </w:rPr>
        <w:t>第七章　质疑与投诉</w:t>
      </w:r>
      <w:bookmarkEnd w:id="14"/>
    </w:p>
    <w:p>
      <w:pPr>
        <w:pStyle w:val="27"/>
        <w:snapToGrid w:val="0"/>
        <w:spacing w:line="360" w:lineRule="auto"/>
        <w:ind w:firstLine="480" w:firstLineChars="200"/>
        <w:rPr>
          <w:rFonts w:hAnsi="宋体"/>
          <w:color w:val="000000"/>
          <w:sz w:val="24"/>
        </w:rPr>
      </w:pPr>
      <w:r>
        <w:rPr>
          <w:rFonts w:hint="eastAsia" w:hAnsi="宋体"/>
          <w:color w:val="000000"/>
          <w:sz w:val="24"/>
        </w:rPr>
        <w:t>根据《中华人民共和国政府采购法》、《中华人民共和国政府采购法实施条例》、</w:t>
      </w:r>
      <w:r>
        <w:rPr>
          <w:rFonts w:hAnsi="宋体"/>
          <w:color w:val="000000"/>
          <w:sz w:val="24"/>
        </w:rPr>
        <w:t>《政府采购质疑和投诉办法》</w:t>
      </w:r>
      <w:r>
        <w:rPr>
          <w:rFonts w:hint="eastAsia" w:hAnsi="宋体"/>
          <w:color w:val="000000"/>
          <w:sz w:val="24"/>
        </w:rPr>
        <w:t>，政府采购供应商可以依法提起质疑和投诉。</w:t>
      </w:r>
    </w:p>
    <w:p>
      <w:pPr>
        <w:autoSpaceDE w:val="0"/>
        <w:autoSpaceDN w:val="0"/>
        <w:snapToGrid w:val="0"/>
        <w:spacing w:line="360" w:lineRule="auto"/>
        <w:ind w:firstLine="470" w:firstLineChars="196"/>
        <w:jc w:val="left"/>
        <w:rPr>
          <w:rFonts w:ascii="宋体" w:hAnsi="宋体" w:cs="Courier New"/>
          <w:b/>
          <w:color w:val="000000"/>
          <w:sz w:val="24"/>
          <w:szCs w:val="21"/>
        </w:rPr>
      </w:pPr>
      <w:r>
        <w:rPr>
          <w:rFonts w:ascii="宋体" w:hAnsi="宋体" w:cs="Courier New"/>
          <w:b/>
          <w:color w:val="000000"/>
          <w:sz w:val="24"/>
          <w:szCs w:val="21"/>
        </w:rPr>
        <w:t>3</w:t>
      </w:r>
      <w:r>
        <w:rPr>
          <w:rFonts w:hint="eastAsia" w:ascii="宋体" w:hAnsi="宋体" w:cs="Courier New"/>
          <w:b/>
          <w:color w:val="000000"/>
          <w:sz w:val="24"/>
          <w:szCs w:val="21"/>
        </w:rPr>
        <w:t>5  供应商询问</w:t>
      </w:r>
    </w:p>
    <w:p>
      <w:pPr>
        <w:pStyle w:val="27"/>
        <w:spacing w:line="360" w:lineRule="auto"/>
        <w:ind w:firstLine="480" w:firstLineChars="200"/>
        <w:rPr>
          <w:rFonts w:hint="eastAsia"/>
          <w:sz w:val="24"/>
          <w:szCs w:val="24"/>
        </w:rPr>
      </w:pPr>
      <w:r>
        <w:rPr>
          <w:rFonts w:hint="eastAsia"/>
          <w:sz w:val="24"/>
          <w:szCs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0" w:firstLineChars="196"/>
        <w:jc w:val="left"/>
        <w:rPr>
          <w:rFonts w:ascii="宋体" w:hAnsi="宋体" w:cs="Courier New"/>
          <w:b/>
          <w:color w:val="000000"/>
          <w:sz w:val="24"/>
          <w:szCs w:val="21"/>
        </w:rPr>
      </w:pPr>
      <w:r>
        <w:rPr>
          <w:rFonts w:ascii="宋体" w:hAnsi="宋体" w:cs="Courier New"/>
          <w:b/>
          <w:color w:val="000000"/>
          <w:sz w:val="24"/>
          <w:szCs w:val="21"/>
        </w:rPr>
        <w:t>3</w:t>
      </w:r>
      <w:r>
        <w:rPr>
          <w:rFonts w:hint="eastAsia" w:ascii="宋体" w:hAnsi="宋体" w:cs="Courier New"/>
          <w:b/>
          <w:color w:val="000000"/>
          <w:sz w:val="24"/>
          <w:szCs w:val="21"/>
        </w:rPr>
        <w:t>6  供应商质疑</w:t>
      </w:r>
    </w:p>
    <w:p>
      <w:pPr>
        <w:adjustRightInd w:val="0"/>
        <w:snapToGrid w:val="0"/>
        <w:spacing w:line="360" w:lineRule="auto"/>
        <w:ind w:firstLine="480" w:firstLineChars="200"/>
        <w:rPr>
          <w:rFonts w:hint="eastAsia"/>
          <w:sz w:val="24"/>
        </w:rPr>
      </w:pPr>
      <w:r>
        <w:rPr>
          <w:rFonts w:hint="eastAsia" w:ascii="宋体" w:hAnsi="宋体" w:cs="Courier New"/>
          <w:sz w:val="24"/>
          <w:szCs w:val="21"/>
        </w:rPr>
        <w:t xml:space="preserve">36.1 </w:t>
      </w:r>
      <w:r>
        <w:rPr>
          <w:sz w:val="24"/>
        </w:rPr>
        <w:t>供应商认为采购文件、采购过程、中标或者成交结果使自己的权益受到损害的，可以在知道或者应知其权益受到损害之日起7个工作日内，以书面形式向采购人、采购代理机构提出质疑</w:t>
      </w:r>
      <w:r>
        <w:rPr>
          <w:rFonts w:hint="eastAsia"/>
          <w:sz w:val="24"/>
        </w:rPr>
        <w:t>；</w:t>
      </w:r>
    </w:p>
    <w:p>
      <w:pPr>
        <w:adjustRightInd w:val="0"/>
        <w:snapToGrid w:val="0"/>
        <w:spacing w:line="360" w:lineRule="auto"/>
        <w:ind w:firstLine="480" w:firstLineChars="200"/>
        <w:rPr>
          <w:rFonts w:hint="eastAsia"/>
          <w:sz w:val="24"/>
        </w:rPr>
      </w:pPr>
      <w:r>
        <w:rPr>
          <w:rFonts w:hint="eastAsia" w:ascii="宋体" w:hAnsi="宋体" w:cs="Courier New"/>
          <w:sz w:val="24"/>
          <w:szCs w:val="21"/>
        </w:rPr>
        <w:t xml:space="preserve">36.2 </w:t>
      </w:r>
      <w:r>
        <w:rPr>
          <w:sz w:val="24"/>
        </w:rPr>
        <w:t>提出质疑的供应商应当是参与所质疑项目采购活动的供应商</w:t>
      </w:r>
      <w:r>
        <w:rPr>
          <w:rFonts w:hint="eastAsia"/>
          <w:sz w:val="24"/>
        </w:rPr>
        <w:t>；</w:t>
      </w:r>
    </w:p>
    <w:p>
      <w:pPr>
        <w:adjustRightInd w:val="0"/>
        <w:snapToGrid w:val="0"/>
        <w:spacing w:line="360" w:lineRule="auto"/>
        <w:rPr>
          <w:sz w:val="24"/>
        </w:rPr>
      </w:pPr>
      <w:r>
        <w:rPr>
          <w:rFonts w:ascii="宋体" w:hAnsi="宋体" w:cs="Courier New"/>
          <w:sz w:val="24"/>
          <w:szCs w:val="21"/>
        </w:rPr>
        <w:t>　　</w:t>
      </w:r>
      <w:r>
        <w:rPr>
          <w:rFonts w:hint="eastAsia" w:ascii="宋体" w:hAnsi="宋体" w:cs="Courier New"/>
          <w:sz w:val="24"/>
          <w:szCs w:val="21"/>
        </w:rPr>
        <w:t xml:space="preserve">36.3 </w:t>
      </w:r>
      <w:r>
        <w:rPr>
          <w:sz w:val="24"/>
        </w:rPr>
        <w:t>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80" w:firstLineChars="200"/>
        <w:rPr>
          <w:sz w:val="24"/>
        </w:rPr>
      </w:pPr>
      <w:r>
        <w:rPr>
          <w:rFonts w:hint="eastAsia" w:ascii="宋体" w:hAnsi="宋体" w:cs="Courier New"/>
          <w:sz w:val="24"/>
          <w:szCs w:val="21"/>
        </w:rPr>
        <w:t xml:space="preserve">36.4  </w:t>
      </w:r>
      <w:r>
        <w:rPr>
          <w:sz w:val="24"/>
        </w:rPr>
        <w:t>供应商提出质疑应当提交质疑函和必要的证明材料。质疑函应当包括下列内容：</w:t>
      </w:r>
    </w:p>
    <w:p>
      <w:pPr>
        <w:adjustRightInd w:val="0"/>
        <w:snapToGrid w:val="0"/>
        <w:spacing w:line="360" w:lineRule="auto"/>
        <w:rPr>
          <w:sz w:val="24"/>
        </w:rPr>
      </w:pPr>
      <w:r>
        <w:rPr>
          <w:sz w:val="24"/>
        </w:rPr>
        <w:t>　　</w:t>
      </w:r>
      <w:r>
        <w:rPr>
          <w:rFonts w:hint="eastAsia"/>
          <w:sz w:val="24"/>
        </w:rPr>
        <w:t xml:space="preserve">36.4.1 </w:t>
      </w:r>
      <w:r>
        <w:rPr>
          <w:sz w:val="24"/>
        </w:rPr>
        <w:t>供应商的姓名或者名称、地址、邮编、联系人及联系电话；</w:t>
      </w:r>
    </w:p>
    <w:p>
      <w:pPr>
        <w:adjustRightInd w:val="0"/>
        <w:snapToGrid w:val="0"/>
        <w:spacing w:line="360" w:lineRule="auto"/>
        <w:rPr>
          <w:sz w:val="24"/>
        </w:rPr>
      </w:pPr>
      <w:r>
        <w:rPr>
          <w:sz w:val="24"/>
        </w:rPr>
        <w:t>　　</w:t>
      </w:r>
      <w:r>
        <w:rPr>
          <w:rFonts w:hint="eastAsia"/>
          <w:sz w:val="24"/>
        </w:rPr>
        <w:t xml:space="preserve">36.4.2 </w:t>
      </w:r>
      <w:r>
        <w:rPr>
          <w:sz w:val="24"/>
        </w:rPr>
        <w:t>质疑项目的名称、编号；</w:t>
      </w:r>
    </w:p>
    <w:p>
      <w:pPr>
        <w:adjustRightInd w:val="0"/>
        <w:snapToGrid w:val="0"/>
        <w:spacing w:line="360" w:lineRule="auto"/>
        <w:rPr>
          <w:sz w:val="24"/>
        </w:rPr>
      </w:pPr>
      <w:r>
        <w:rPr>
          <w:sz w:val="24"/>
        </w:rPr>
        <w:t>　　</w:t>
      </w:r>
      <w:r>
        <w:rPr>
          <w:rFonts w:hint="eastAsia"/>
          <w:sz w:val="24"/>
        </w:rPr>
        <w:t xml:space="preserve">36.4.3 </w:t>
      </w:r>
      <w:r>
        <w:rPr>
          <w:sz w:val="24"/>
        </w:rPr>
        <w:t>具体、明确的质疑事项和与质疑事项相关的请求；</w:t>
      </w:r>
    </w:p>
    <w:p>
      <w:pPr>
        <w:adjustRightInd w:val="0"/>
        <w:snapToGrid w:val="0"/>
        <w:spacing w:line="360" w:lineRule="auto"/>
        <w:rPr>
          <w:sz w:val="24"/>
        </w:rPr>
      </w:pPr>
      <w:r>
        <w:rPr>
          <w:sz w:val="24"/>
        </w:rPr>
        <w:t>　　</w:t>
      </w:r>
      <w:r>
        <w:rPr>
          <w:rFonts w:hint="eastAsia"/>
          <w:sz w:val="24"/>
        </w:rPr>
        <w:t xml:space="preserve">36.4.4 </w:t>
      </w:r>
      <w:r>
        <w:rPr>
          <w:sz w:val="24"/>
        </w:rPr>
        <w:t>事实依据；</w:t>
      </w:r>
    </w:p>
    <w:p>
      <w:pPr>
        <w:adjustRightInd w:val="0"/>
        <w:snapToGrid w:val="0"/>
        <w:spacing w:line="360" w:lineRule="auto"/>
        <w:rPr>
          <w:sz w:val="24"/>
        </w:rPr>
      </w:pPr>
      <w:r>
        <w:rPr>
          <w:sz w:val="24"/>
        </w:rPr>
        <w:t>　　</w:t>
      </w:r>
      <w:r>
        <w:rPr>
          <w:rFonts w:hint="eastAsia"/>
          <w:sz w:val="24"/>
        </w:rPr>
        <w:t xml:space="preserve">36.4.5 </w:t>
      </w:r>
      <w:r>
        <w:rPr>
          <w:sz w:val="24"/>
        </w:rPr>
        <w:t>必要的法律依据；</w:t>
      </w:r>
    </w:p>
    <w:p>
      <w:pPr>
        <w:adjustRightInd w:val="0"/>
        <w:snapToGrid w:val="0"/>
        <w:spacing w:line="360" w:lineRule="auto"/>
        <w:rPr>
          <w:rFonts w:hint="eastAsia"/>
          <w:sz w:val="24"/>
        </w:rPr>
      </w:pPr>
      <w:r>
        <w:rPr>
          <w:sz w:val="24"/>
        </w:rPr>
        <w:t>　　</w:t>
      </w:r>
      <w:r>
        <w:rPr>
          <w:rFonts w:hint="eastAsia"/>
          <w:sz w:val="24"/>
        </w:rPr>
        <w:t xml:space="preserve">36.4.6 </w:t>
      </w:r>
      <w:r>
        <w:rPr>
          <w:sz w:val="24"/>
        </w:rPr>
        <w:t>提出质疑的日期</w:t>
      </w:r>
      <w:r>
        <w:rPr>
          <w:rFonts w:hint="eastAsia"/>
          <w:sz w:val="24"/>
        </w:rPr>
        <w:t>。</w:t>
      </w:r>
    </w:p>
    <w:p>
      <w:pPr>
        <w:adjustRightInd w:val="0"/>
        <w:snapToGrid w:val="0"/>
        <w:spacing w:line="360" w:lineRule="auto"/>
        <w:ind w:firstLine="480"/>
        <w:rPr>
          <w:rFonts w:hint="eastAsia"/>
          <w:sz w:val="24"/>
        </w:rPr>
      </w:pPr>
      <w:r>
        <w:rPr>
          <w:rFonts w:hint="eastAsia"/>
          <w:sz w:val="24"/>
        </w:rPr>
        <w:t xml:space="preserve">36.5 </w:t>
      </w:r>
      <w:r>
        <w:rPr>
          <w:sz w:val="24"/>
        </w:rPr>
        <w:t>供应商为自然人的，应当由本人签字；供应商为法人或者其他组织的，应当由法定代表人、主要负责人，或者其授权代表签字或者盖章，并加盖公章</w:t>
      </w:r>
      <w:r>
        <w:rPr>
          <w:rFonts w:hint="eastAsia"/>
          <w:sz w:val="24"/>
        </w:rPr>
        <w:t>；</w:t>
      </w:r>
    </w:p>
    <w:p>
      <w:pPr>
        <w:pStyle w:val="27"/>
        <w:spacing w:line="360" w:lineRule="auto"/>
        <w:ind w:firstLine="480" w:firstLineChars="200"/>
        <w:rPr>
          <w:rFonts w:ascii="仿宋_GB2312" w:hAnsi="仿宋" w:eastAsia="仿宋_GB2312"/>
          <w:sz w:val="24"/>
        </w:rPr>
      </w:pPr>
      <w:r>
        <w:rPr>
          <w:rFonts w:hint="eastAsia"/>
          <w:sz w:val="24"/>
        </w:rPr>
        <w:t>36.6</w:t>
      </w:r>
      <w:r>
        <w:rPr>
          <w:sz w:val="24"/>
        </w:rPr>
        <w:t>采购人、采购代理机构不得拒收质疑供应商在法定质疑期内发出的质疑函，应当在收到质疑函后7个工作日内作出答复，并以书面形式通知质疑供应商和其他有关供应商</w:t>
      </w:r>
      <w:r>
        <w:rPr>
          <w:rFonts w:hint="eastAsia"/>
          <w:sz w:val="24"/>
        </w:rPr>
        <w:t>，但答复的内容不得涉及商业秘密。</w:t>
      </w:r>
    </w:p>
    <w:p>
      <w:pPr>
        <w:autoSpaceDE w:val="0"/>
        <w:autoSpaceDN w:val="0"/>
        <w:snapToGrid w:val="0"/>
        <w:spacing w:line="360" w:lineRule="auto"/>
        <w:ind w:firstLine="470" w:firstLineChars="196"/>
        <w:jc w:val="left"/>
        <w:rPr>
          <w:rFonts w:ascii="宋体" w:hAnsi="宋体" w:cs="Courier New"/>
          <w:b/>
          <w:sz w:val="24"/>
          <w:szCs w:val="21"/>
        </w:rPr>
      </w:pPr>
      <w:r>
        <w:rPr>
          <w:rFonts w:ascii="宋体" w:hAnsi="宋体" w:cs="Courier New"/>
          <w:b/>
          <w:sz w:val="24"/>
          <w:szCs w:val="21"/>
        </w:rPr>
        <w:t>3</w:t>
      </w:r>
      <w:r>
        <w:rPr>
          <w:rFonts w:hint="eastAsia" w:ascii="宋体" w:hAnsi="宋体" w:cs="Courier New"/>
          <w:b/>
          <w:sz w:val="24"/>
          <w:szCs w:val="21"/>
        </w:rPr>
        <w:t>7  供应商投诉</w:t>
      </w:r>
    </w:p>
    <w:p>
      <w:pPr>
        <w:adjustRightInd w:val="0"/>
        <w:snapToGrid w:val="0"/>
        <w:spacing w:line="360" w:lineRule="auto"/>
        <w:ind w:firstLine="480" w:firstLineChars="200"/>
        <w:rPr>
          <w:rFonts w:hint="eastAsia"/>
          <w:sz w:val="24"/>
        </w:rPr>
      </w:pPr>
      <w:r>
        <w:rPr>
          <w:rFonts w:hint="eastAsia" w:ascii="宋体" w:hAnsi="宋体" w:cs="Courier New"/>
          <w:sz w:val="24"/>
          <w:szCs w:val="21"/>
        </w:rPr>
        <w:t>37.1</w:t>
      </w:r>
      <w:r>
        <w:rPr>
          <w:sz w:val="24"/>
        </w:rPr>
        <w:t>质疑供应商对采购人、采购代理机构的答复不满意，或者采购人、采购代理机构未在规定时间内作出答复的，可以在答复期满后15个工作日内《政府采购质疑和投诉办法》第六条规定的向</w:t>
      </w:r>
      <w:r>
        <w:rPr>
          <w:rFonts w:hint="eastAsia"/>
          <w:sz w:val="24"/>
        </w:rPr>
        <w:t>采购办、监督办</w:t>
      </w:r>
      <w:r>
        <w:rPr>
          <w:sz w:val="24"/>
        </w:rPr>
        <w:t>提起投诉。</w:t>
      </w:r>
    </w:p>
    <w:p>
      <w:pPr>
        <w:adjustRightInd w:val="0"/>
        <w:snapToGrid w:val="0"/>
        <w:spacing w:line="360" w:lineRule="auto"/>
        <w:ind w:firstLine="480" w:firstLineChars="200"/>
        <w:rPr>
          <w:sz w:val="24"/>
        </w:rPr>
      </w:pPr>
      <w:r>
        <w:rPr>
          <w:rFonts w:hint="eastAsia"/>
          <w:sz w:val="24"/>
        </w:rPr>
        <w:t xml:space="preserve">37.2 </w:t>
      </w:r>
      <w:r>
        <w:rPr>
          <w:sz w:val="24"/>
        </w:rPr>
        <w:t>投诉人投诉时,应当提交投诉书和必要的证明材料，并按照被投诉采购人、采购代理机构和与投诉事项有关的供应商数量提供投诉书的副本。投诉书应当包括下列内容：</w:t>
      </w:r>
    </w:p>
    <w:p>
      <w:pPr>
        <w:adjustRightInd w:val="0"/>
        <w:snapToGrid w:val="0"/>
        <w:spacing w:line="360" w:lineRule="auto"/>
        <w:rPr>
          <w:sz w:val="24"/>
        </w:rPr>
      </w:pPr>
      <w:r>
        <w:rPr>
          <w:sz w:val="24"/>
        </w:rPr>
        <w:t>　　</w:t>
      </w:r>
      <w:r>
        <w:rPr>
          <w:rFonts w:hint="eastAsia"/>
          <w:sz w:val="24"/>
        </w:rPr>
        <w:t xml:space="preserve">37.2.1 </w:t>
      </w:r>
      <w:r>
        <w:rPr>
          <w:sz w:val="24"/>
        </w:rPr>
        <w:t>投诉人和被投诉人的姓名或者名称、通讯地址、邮编、联系人及联系电话；</w:t>
      </w:r>
    </w:p>
    <w:p>
      <w:pPr>
        <w:adjustRightInd w:val="0"/>
        <w:snapToGrid w:val="0"/>
        <w:spacing w:line="360" w:lineRule="auto"/>
        <w:rPr>
          <w:sz w:val="24"/>
        </w:rPr>
      </w:pPr>
      <w:r>
        <w:rPr>
          <w:sz w:val="24"/>
        </w:rPr>
        <w:t>　　</w:t>
      </w:r>
      <w:r>
        <w:rPr>
          <w:rFonts w:hint="eastAsia"/>
          <w:sz w:val="24"/>
        </w:rPr>
        <w:t xml:space="preserve">37.2.2 </w:t>
      </w:r>
      <w:r>
        <w:rPr>
          <w:sz w:val="24"/>
        </w:rPr>
        <w:t>质疑和质疑答复情况说明及相关证明材料；</w:t>
      </w:r>
    </w:p>
    <w:p>
      <w:pPr>
        <w:adjustRightInd w:val="0"/>
        <w:snapToGrid w:val="0"/>
        <w:spacing w:line="360" w:lineRule="auto"/>
        <w:rPr>
          <w:sz w:val="24"/>
        </w:rPr>
      </w:pPr>
      <w:r>
        <w:rPr>
          <w:sz w:val="24"/>
        </w:rPr>
        <w:t>　　</w:t>
      </w:r>
      <w:r>
        <w:rPr>
          <w:rFonts w:hint="eastAsia"/>
          <w:sz w:val="24"/>
        </w:rPr>
        <w:t xml:space="preserve">37.2.3 </w:t>
      </w:r>
      <w:r>
        <w:rPr>
          <w:sz w:val="24"/>
        </w:rPr>
        <w:t>具体、明确的投诉事项和与投诉事项相关的投诉请求；</w:t>
      </w:r>
    </w:p>
    <w:p>
      <w:pPr>
        <w:adjustRightInd w:val="0"/>
        <w:snapToGrid w:val="0"/>
        <w:spacing w:line="360" w:lineRule="auto"/>
        <w:rPr>
          <w:sz w:val="24"/>
        </w:rPr>
      </w:pPr>
      <w:r>
        <w:rPr>
          <w:sz w:val="24"/>
        </w:rPr>
        <w:t>　　</w:t>
      </w:r>
      <w:r>
        <w:rPr>
          <w:rFonts w:hint="eastAsia"/>
          <w:sz w:val="24"/>
        </w:rPr>
        <w:t xml:space="preserve">37.2.4 </w:t>
      </w:r>
      <w:r>
        <w:rPr>
          <w:sz w:val="24"/>
        </w:rPr>
        <w:t>事实依据；</w:t>
      </w:r>
    </w:p>
    <w:p>
      <w:pPr>
        <w:adjustRightInd w:val="0"/>
        <w:snapToGrid w:val="0"/>
        <w:spacing w:line="360" w:lineRule="auto"/>
        <w:rPr>
          <w:sz w:val="24"/>
        </w:rPr>
      </w:pPr>
      <w:r>
        <w:rPr>
          <w:sz w:val="24"/>
        </w:rPr>
        <w:t>　　</w:t>
      </w:r>
      <w:r>
        <w:rPr>
          <w:rFonts w:hint="eastAsia"/>
          <w:sz w:val="24"/>
        </w:rPr>
        <w:t xml:space="preserve">37.2.5 </w:t>
      </w:r>
      <w:r>
        <w:rPr>
          <w:sz w:val="24"/>
        </w:rPr>
        <w:t>法律依据；</w:t>
      </w:r>
    </w:p>
    <w:p>
      <w:pPr>
        <w:adjustRightInd w:val="0"/>
        <w:snapToGrid w:val="0"/>
        <w:spacing w:line="360" w:lineRule="auto"/>
        <w:rPr>
          <w:sz w:val="24"/>
        </w:rPr>
      </w:pPr>
      <w:r>
        <w:rPr>
          <w:sz w:val="24"/>
        </w:rPr>
        <w:t>　　</w:t>
      </w:r>
      <w:r>
        <w:rPr>
          <w:rFonts w:hint="eastAsia"/>
          <w:sz w:val="24"/>
        </w:rPr>
        <w:t xml:space="preserve">37.2.6 </w:t>
      </w:r>
      <w:r>
        <w:rPr>
          <w:sz w:val="24"/>
        </w:rPr>
        <w:t>提起投诉的日期。</w:t>
      </w:r>
    </w:p>
    <w:p>
      <w:pPr>
        <w:adjustRightInd w:val="0"/>
        <w:snapToGrid w:val="0"/>
        <w:spacing w:line="360" w:lineRule="auto"/>
        <w:ind w:firstLine="480" w:firstLineChars="200"/>
        <w:rPr>
          <w:sz w:val="24"/>
        </w:rPr>
      </w:pPr>
      <w:r>
        <w:rPr>
          <w:rFonts w:hint="eastAsia"/>
          <w:sz w:val="24"/>
        </w:rPr>
        <w:t>37.3</w:t>
      </w:r>
      <w:r>
        <w:rPr>
          <w:sz w:val="24"/>
        </w:rPr>
        <w:t>投诉人为自然人的，应当由本人签字；投诉人为法人或者其他组织的，应当由法定代表人、主要负责人，或者其授权代表签字或者盖章，并加盖公章。</w:t>
      </w:r>
    </w:p>
    <w:p>
      <w:pPr>
        <w:adjustRightInd w:val="0"/>
        <w:snapToGrid w:val="0"/>
        <w:spacing w:line="360" w:lineRule="auto"/>
        <w:ind w:firstLine="480" w:firstLineChars="200"/>
        <w:rPr>
          <w:sz w:val="24"/>
        </w:rPr>
      </w:pPr>
      <w:r>
        <w:rPr>
          <w:rFonts w:hint="eastAsia"/>
          <w:sz w:val="24"/>
        </w:rPr>
        <w:t xml:space="preserve">37.4 </w:t>
      </w:r>
      <w:r>
        <w:rPr>
          <w:sz w:val="24"/>
        </w:rPr>
        <w:t>投诉人提起投诉应当符合下列条件：</w:t>
      </w:r>
    </w:p>
    <w:p>
      <w:pPr>
        <w:adjustRightInd w:val="0"/>
        <w:snapToGrid w:val="0"/>
        <w:spacing w:line="360" w:lineRule="auto"/>
        <w:rPr>
          <w:sz w:val="24"/>
        </w:rPr>
      </w:pPr>
      <w:r>
        <w:rPr>
          <w:sz w:val="24"/>
        </w:rPr>
        <w:t>　　</w:t>
      </w:r>
      <w:r>
        <w:rPr>
          <w:rFonts w:hint="eastAsia"/>
          <w:sz w:val="24"/>
        </w:rPr>
        <w:t xml:space="preserve">37.4.1 </w:t>
      </w:r>
      <w:r>
        <w:rPr>
          <w:sz w:val="24"/>
        </w:rPr>
        <w:t>提起投诉前已依法进行质疑；</w:t>
      </w:r>
    </w:p>
    <w:p>
      <w:pPr>
        <w:adjustRightInd w:val="0"/>
        <w:snapToGrid w:val="0"/>
        <w:spacing w:line="360" w:lineRule="auto"/>
        <w:ind w:firstLine="480"/>
        <w:rPr>
          <w:sz w:val="24"/>
        </w:rPr>
      </w:pPr>
      <w:r>
        <w:rPr>
          <w:rFonts w:hint="eastAsia"/>
          <w:sz w:val="24"/>
        </w:rPr>
        <w:t xml:space="preserve">37.4.2 </w:t>
      </w:r>
      <w:r>
        <w:rPr>
          <w:sz w:val="24"/>
        </w:rPr>
        <w:t>投诉书内容符合本办法的规定；</w:t>
      </w:r>
    </w:p>
    <w:p>
      <w:pPr>
        <w:adjustRightInd w:val="0"/>
        <w:snapToGrid w:val="0"/>
        <w:spacing w:line="360" w:lineRule="auto"/>
        <w:rPr>
          <w:sz w:val="24"/>
        </w:rPr>
      </w:pPr>
      <w:r>
        <w:rPr>
          <w:sz w:val="24"/>
        </w:rPr>
        <w:t>　　</w:t>
      </w:r>
      <w:r>
        <w:rPr>
          <w:rFonts w:hint="eastAsia"/>
          <w:sz w:val="24"/>
        </w:rPr>
        <w:t xml:space="preserve">37.4.3 </w:t>
      </w:r>
      <w:r>
        <w:rPr>
          <w:sz w:val="24"/>
        </w:rPr>
        <w:t>在投诉有效期限内提起投诉；</w:t>
      </w:r>
    </w:p>
    <w:p>
      <w:pPr>
        <w:adjustRightInd w:val="0"/>
        <w:snapToGrid w:val="0"/>
        <w:spacing w:line="360" w:lineRule="auto"/>
        <w:rPr>
          <w:sz w:val="24"/>
        </w:rPr>
      </w:pPr>
      <w:r>
        <w:rPr>
          <w:sz w:val="24"/>
        </w:rPr>
        <w:t>　　</w:t>
      </w:r>
      <w:r>
        <w:rPr>
          <w:rFonts w:hint="eastAsia"/>
          <w:sz w:val="24"/>
        </w:rPr>
        <w:t xml:space="preserve">37.4.4 </w:t>
      </w:r>
      <w:r>
        <w:rPr>
          <w:sz w:val="24"/>
        </w:rPr>
        <w:t>同一投诉事项未经财政部门投诉处理；</w:t>
      </w:r>
    </w:p>
    <w:p>
      <w:pPr>
        <w:adjustRightInd w:val="0"/>
        <w:snapToGrid w:val="0"/>
        <w:spacing w:line="360" w:lineRule="auto"/>
        <w:rPr>
          <w:sz w:val="24"/>
        </w:rPr>
      </w:pPr>
      <w:r>
        <w:rPr>
          <w:sz w:val="24"/>
        </w:rPr>
        <w:t>　　</w:t>
      </w:r>
      <w:r>
        <w:rPr>
          <w:rFonts w:hint="eastAsia"/>
          <w:sz w:val="24"/>
        </w:rPr>
        <w:t xml:space="preserve">37.4.5 </w:t>
      </w:r>
      <w:r>
        <w:rPr>
          <w:sz w:val="24"/>
        </w:rPr>
        <w:t>财政部规定的其他条件。</w:t>
      </w:r>
    </w:p>
    <w:p>
      <w:pPr>
        <w:snapToGrid w:val="0"/>
        <w:spacing w:line="360" w:lineRule="auto"/>
        <w:ind w:firstLine="480" w:firstLineChars="200"/>
        <w:rPr>
          <w:rFonts w:hint="eastAsia"/>
          <w:sz w:val="24"/>
        </w:rPr>
      </w:pPr>
      <w:r>
        <w:rPr>
          <w:rFonts w:hint="eastAsia"/>
          <w:sz w:val="24"/>
        </w:rPr>
        <w:t xml:space="preserve">37.5 </w:t>
      </w:r>
      <w:r>
        <w:rPr>
          <w:sz w:val="24"/>
        </w:rPr>
        <w:t>供应商投诉的事项不得超出已质疑事项的范围，但基于质疑答复内容提出的投诉事项除外。</w:t>
      </w: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ind w:firstLine="480" w:firstLineChars="200"/>
        <w:rPr>
          <w:rFonts w:hint="eastAsia"/>
          <w:sz w:val="24"/>
        </w:rPr>
      </w:pPr>
    </w:p>
    <w:p>
      <w:pPr>
        <w:snapToGrid w:val="0"/>
        <w:spacing w:line="360" w:lineRule="auto"/>
        <w:rPr>
          <w:rFonts w:hint="eastAsia"/>
          <w:sz w:val="24"/>
        </w:rPr>
      </w:pPr>
    </w:p>
    <w:p>
      <w:pPr>
        <w:snapToGrid w:val="0"/>
        <w:spacing w:line="360" w:lineRule="auto"/>
        <w:rPr>
          <w:rFonts w:hint="eastAsia"/>
          <w:sz w:val="24"/>
        </w:rPr>
      </w:pPr>
    </w:p>
    <w:p>
      <w:pPr>
        <w:pStyle w:val="2"/>
        <w:spacing w:line="360" w:lineRule="auto"/>
        <w:rPr>
          <w:rFonts w:hint="eastAsia" w:ascii="黑体" w:eastAsia="黑体"/>
          <w:sz w:val="32"/>
        </w:rPr>
      </w:pPr>
      <w:bookmarkStart w:id="15" w:name="_Toc130094928"/>
      <w:bookmarkStart w:id="16" w:name="_Toc98731777"/>
      <w:bookmarkStart w:id="17" w:name="_Toc2852586"/>
      <w:bookmarkStart w:id="18" w:name="_Toc130094913"/>
      <w:bookmarkStart w:id="19" w:name="_Toc98731756"/>
      <w:r>
        <w:rPr>
          <w:rFonts w:hint="eastAsia" w:ascii="黑体" w:eastAsia="黑体"/>
          <w:sz w:val="32"/>
        </w:rPr>
        <w:t>第三部分　评标办法</w:t>
      </w:r>
      <w:bookmarkEnd w:id="15"/>
      <w:bookmarkEnd w:id="16"/>
      <w:r>
        <w:rPr>
          <w:rFonts w:hint="eastAsia" w:ascii="黑体" w:eastAsia="黑体"/>
          <w:sz w:val="32"/>
        </w:rPr>
        <w:t>和评分标准</w:t>
      </w:r>
      <w:bookmarkEnd w:id="17"/>
    </w:p>
    <w:p>
      <w:pPr>
        <w:pStyle w:val="3"/>
        <w:spacing w:line="360" w:lineRule="auto"/>
        <w:jc w:val="center"/>
        <w:rPr>
          <w:rFonts w:hint="eastAsia"/>
        </w:rPr>
      </w:pPr>
      <w:bookmarkStart w:id="20" w:name="_Toc2852587"/>
      <w:r>
        <w:rPr>
          <w:rFonts w:hint="eastAsia"/>
        </w:rPr>
        <w:t>第一章　评标办法</w:t>
      </w:r>
      <w:bookmarkEnd w:id="20"/>
    </w:p>
    <w:p>
      <w:pPr>
        <w:spacing w:line="360" w:lineRule="auto"/>
        <w:ind w:firstLine="480" w:firstLineChars="200"/>
        <w:rPr>
          <w:rFonts w:hint="eastAsia" w:ascii="宋体" w:hAnsi="宋体" w:cs="宋体"/>
          <w:color w:val="000000"/>
          <w:sz w:val="24"/>
          <w:szCs w:val="21"/>
        </w:rPr>
      </w:pPr>
      <w:r>
        <w:rPr>
          <w:rFonts w:hint="eastAsia" w:ascii="宋体" w:hAnsi="宋体" w:cs="宋体"/>
          <w:color w:val="000000"/>
          <w:sz w:val="24"/>
          <w:szCs w:val="21"/>
        </w:rPr>
        <w:t>为规范本次招标投标工作，根据《中华人民共和国招标投标法》、</w:t>
      </w:r>
      <w:r>
        <w:rPr>
          <w:rFonts w:hint="eastAsia" w:ascii="宋体" w:hAnsi="宋体"/>
          <w:color w:val="000000"/>
          <w:sz w:val="24"/>
          <w:szCs w:val="21"/>
        </w:rPr>
        <w:t>《中华人民共和国政府采购法》</w:t>
      </w:r>
      <w:r>
        <w:rPr>
          <w:rFonts w:hint="eastAsia" w:ascii="宋体" w:hAnsi="宋体" w:cs="宋体"/>
          <w:color w:val="000000"/>
          <w:sz w:val="24"/>
          <w:szCs w:val="21"/>
        </w:rPr>
        <w:t>的有关规定及此项目的实际情况，遵循公平、公正、科学择优的原则，特制定本办法。</w:t>
      </w:r>
    </w:p>
    <w:p>
      <w:pPr>
        <w:spacing w:line="360" w:lineRule="auto"/>
        <w:ind w:firstLine="480" w:firstLineChars="200"/>
        <w:jc w:val="left"/>
        <w:rPr>
          <w:rFonts w:hint="eastAsia" w:ascii="宋体" w:hAnsi="宋体" w:cs="宋体"/>
          <w:b/>
          <w:sz w:val="24"/>
          <w:szCs w:val="21"/>
        </w:rPr>
      </w:pPr>
      <w:r>
        <w:rPr>
          <w:rFonts w:hint="eastAsia" w:ascii="宋体" w:hAnsi="宋体" w:cs="宋体"/>
          <w:b/>
          <w:sz w:val="24"/>
          <w:szCs w:val="21"/>
        </w:rPr>
        <w:t>特别条款：</w:t>
      </w:r>
    </w:p>
    <w:p>
      <w:pPr>
        <w:pStyle w:val="50"/>
        <w:spacing w:before="0" w:beforeAutospacing="0" w:after="0" w:afterAutospacing="0" w:line="360" w:lineRule="auto"/>
        <w:ind w:right="-105" w:rightChars="-50" w:firstLine="480" w:firstLineChars="200"/>
        <w:rPr>
          <w:rFonts w:cs="Times New Roman"/>
          <w:b/>
          <w:kern w:val="2"/>
          <w:szCs w:val="21"/>
        </w:rPr>
      </w:pPr>
      <w:r>
        <w:rPr>
          <w:rFonts w:hint="eastAsia" w:cs="Times New Roman"/>
          <w:b/>
          <w:kern w:val="2"/>
          <w:szCs w:val="21"/>
        </w:rPr>
        <w:t>1、</w:t>
      </w:r>
      <w:r>
        <w:rPr>
          <w:rFonts w:cs="Times New Roman"/>
          <w:b/>
          <w:kern w:val="2"/>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50"/>
        <w:spacing w:before="0" w:beforeAutospacing="0" w:after="0" w:afterAutospacing="0" w:line="360" w:lineRule="auto"/>
        <w:ind w:right="-105" w:rightChars="-50"/>
        <w:rPr>
          <w:rFonts w:cs="Times New Roman"/>
          <w:b/>
          <w:kern w:val="2"/>
          <w:szCs w:val="21"/>
        </w:rPr>
      </w:pPr>
      <w:r>
        <w:rPr>
          <w:rFonts w:cs="Times New Roman"/>
          <w:b/>
          <w:kern w:val="2"/>
          <w:szCs w:val="21"/>
        </w:rPr>
        <w:t>　　</w:t>
      </w:r>
      <w:r>
        <w:rPr>
          <w:rFonts w:hint="eastAsia" w:cs="Times New Roman"/>
          <w:b/>
          <w:kern w:val="2"/>
          <w:szCs w:val="21"/>
        </w:rPr>
        <w:t>2、</w:t>
      </w:r>
      <w:r>
        <w:rPr>
          <w:rFonts w:cs="Times New Roman"/>
          <w:b/>
          <w:kern w:val="2"/>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0"/>
        <w:snapToGrid w:val="0"/>
        <w:spacing w:before="0" w:beforeAutospacing="0" w:after="0" w:afterAutospacing="0" w:line="360" w:lineRule="auto"/>
        <w:ind w:right="-105" w:rightChars="-50" w:firstLine="480"/>
        <w:rPr>
          <w:rFonts w:hint="eastAsia" w:cs="Times New Roman"/>
          <w:b/>
          <w:kern w:val="2"/>
          <w:szCs w:val="21"/>
        </w:rPr>
      </w:pPr>
      <w:r>
        <w:rPr>
          <w:rFonts w:hint="eastAsia" w:cs="Times New Roman"/>
          <w:b/>
          <w:kern w:val="2"/>
          <w:szCs w:val="21"/>
        </w:rPr>
        <w:t>3、</w:t>
      </w:r>
      <w:r>
        <w:rPr>
          <w:rFonts w:cs="Times New Roman"/>
          <w:b/>
          <w:kern w:val="2"/>
          <w:szCs w:val="21"/>
        </w:rPr>
        <w:t>非单一产品采购项目，采购人应当根据采购项目技术构成、产品价格比重等合理确定核心产品，并在招标文件中载明。多家投标人提供的核心产品品牌相同的，按前两款规定处理。</w:t>
      </w:r>
    </w:p>
    <w:p>
      <w:pPr>
        <w:pStyle w:val="50"/>
        <w:snapToGrid w:val="0"/>
        <w:spacing w:before="0" w:beforeAutospacing="0" w:after="0" w:afterAutospacing="0" w:line="360" w:lineRule="auto"/>
        <w:ind w:right="-105" w:rightChars="-50" w:firstLine="480"/>
        <w:rPr>
          <w:rFonts w:hint="eastAsia" w:cs="Times New Roman"/>
          <w:b/>
          <w:color w:val="FF0000"/>
          <w:kern w:val="2"/>
          <w:szCs w:val="21"/>
          <w:u w:val="single"/>
        </w:rPr>
      </w:pPr>
      <w:r>
        <w:rPr>
          <w:rFonts w:hint="eastAsia" w:cs="Times New Roman"/>
          <w:b/>
          <w:color w:val="FF0000"/>
          <w:kern w:val="2"/>
          <w:szCs w:val="21"/>
        </w:rPr>
        <w:t>本次招标的核心产品是</w:t>
      </w:r>
      <w:r>
        <w:rPr>
          <w:rFonts w:hint="eastAsia" w:cs="Times New Roman"/>
          <w:b/>
          <w:color w:val="FF0000"/>
          <w:kern w:val="2"/>
          <w:szCs w:val="21"/>
          <w:u w:val="single"/>
        </w:rPr>
        <w:t xml:space="preserve">   </w:t>
      </w:r>
      <w:r>
        <w:rPr>
          <w:rFonts w:hint="eastAsia"/>
          <w:b/>
          <w:color w:val="FF0000"/>
          <w:u w:val="single"/>
        </w:rPr>
        <w:t xml:space="preserve">交换机  </w:t>
      </w:r>
      <w:r>
        <w:rPr>
          <w:rFonts w:hint="eastAsia" w:cs="Times New Roman"/>
          <w:b/>
          <w:color w:val="FF0000"/>
          <w:kern w:val="2"/>
          <w:szCs w:val="21"/>
          <w:u w:val="single"/>
        </w:rPr>
        <w:t xml:space="preserve">    </w:t>
      </w:r>
      <w:r>
        <w:rPr>
          <w:rFonts w:hint="eastAsia" w:cs="Times New Roman"/>
          <w:b/>
          <w:color w:val="FF0000"/>
          <w:kern w:val="2"/>
          <w:szCs w:val="21"/>
        </w:rPr>
        <w:t xml:space="preserve">共 </w:t>
      </w:r>
      <w:r>
        <w:rPr>
          <w:rFonts w:hint="eastAsia" w:cs="Times New Roman"/>
          <w:b/>
          <w:color w:val="FF0000"/>
          <w:kern w:val="2"/>
          <w:szCs w:val="21"/>
          <w:u w:val="single"/>
        </w:rPr>
        <w:t xml:space="preserve"> 1 种</w:t>
      </w:r>
      <w:r>
        <w:rPr>
          <w:rFonts w:hint="eastAsia" w:cs="Times New Roman"/>
          <w:b/>
          <w:color w:val="FF0000"/>
          <w:kern w:val="2"/>
          <w:szCs w:val="21"/>
        </w:rPr>
        <w:t>。</w:t>
      </w:r>
    </w:p>
    <w:p>
      <w:pPr>
        <w:snapToGrid w:val="0"/>
        <w:spacing w:line="360" w:lineRule="auto"/>
        <w:ind w:right="-105" w:rightChars="-50" w:firstLine="470" w:firstLineChars="196"/>
        <w:jc w:val="left"/>
        <w:rPr>
          <w:rFonts w:hint="eastAsia" w:ascii="宋体" w:hAnsi="宋体"/>
          <w:b/>
          <w:sz w:val="24"/>
          <w:szCs w:val="21"/>
        </w:rPr>
      </w:pPr>
      <w:r>
        <w:rPr>
          <w:rFonts w:hint="eastAsia" w:ascii="宋体" w:hAnsi="宋体"/>
          <w:b/>
          <w:sz w:val="24"/>
          <w:szCs w:val="21"/>
        </w:rPr>
        <w:t>4、</w:t>
      </w:r>
      <w:r>
        <w:rPr>
          <w:rFonts w:ascii="宋体" w:hAnsi="宋体"/>
          <w:b/>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0"/>
        <w:snapToGrid w:val="0"/>
        <w:spacing w:before="0" w:beforeAutospacing="0" w:after="0" w:afterAutospacing="0" w:line="360" w:lineRule="auto"/>
        <w:ind w:firstLine="470" w:firstLineChars="196"/>
        <w:rPr>
          <w:rFonts w:cs="Times New Roman"/>
          <w:b/>
          <w:kern w:val="2"/>
          <w:szCs w:val="21"/>
        </w:rPr>
      </w:pPr>
      <w:r>
        <w:rPr>
          <w:rFonts w:hint="eastAsia" w:cs="Times New Roman"/>
          <w:b/>
          <w:kern w:val="2"/>
          <w:szCs w:val="21"/>
        </w:rPr>
        <w:t>5、</w:t>
      </w:r>
      <w:r>
        <w:rPr>
          <w:rFonts w:cs="Times New Roman"/>
          <w:b/>
          <w:kern w:val="2"/>
          <w:szCs w:val="21"/>
        </w:rPr>
        <w:t>公开招标数额标准以上的采购项目，投标截止后投标人不足3家或者通过资格审查或符合性审查的投标人不足3家的，除采购任务取消情形外，按照以下方式处理：</w:t>
      </w:r>
    </w:p>
    <w:p>
      <w:pPr>
        <w:pStyle w:val="50"/>
        <w:snapToGrid w:val="0"/>
        <w:spacing w:before="0" w:beforeAutospacing="0" w:after="0" w:afterAutospacing="0" w:line="360" w:lineRule="auto"/>
        <w:rPr>
          <w:rFonts w:cs="Times New Roman"/>
          <w:b/>
          <w:kern w:val="2"/>
          <w:szCs w:val="21"/>
        </w:rPr>
      </w:pPr>
      <w:r>
        <w:rPr>
          <w:rFonts w:cs="Times New Roman"/>
          <w:b/>
          <w:kern w:val="2"/>
          <w:szCs w:val="21"/>
        </w:rPr>
        <w:t>　　（一）招标文件存在不合理条款或者招标程序不符合规定的，采购人、采购代理机构改正后依法重新招标；</w:t>
      </w:r>
    </w:p>
    <w:p>
      <w:pPr>
        <w:pStyle w:val="50"/>
        <w:snapToGrid w:val="0"/>
        <w:spacing w:before="0" w:beforeAutospacing="0" w:after="0" w:afterAutospacing="0" w:line="360" w:lineRule="auto"/>
        <w:rPr>
          <w:rFonts w:hint="eastAsia" w:cs="Times New Roman"/>
          <w:b/>
          <w:kern w:val="2"/>
          <w:szCs w:val="21"/>
        </w:rPr>
      </w:pPr>
      <w:r>
        <w:rPr>
          <w:rFonts w:cs="Times New Roman"/>
          <w:b/>
          <w:kern w:val="2"/>
          <w:szCs w:val="21"/>
        </w:rPr>
        <w:t>　　（二）招标文件没有不合理条款、招标程序符合规定，需要采用其他采购方式采购的，采购人应当依法报财政部门批准。</w:t>
      </w:r>
      <w:r>
        <w:rPr>
          <w:rFonts w:ascii="Arial" w:hAnsi="Arial" w:cs="Arial"/>
          <w:b/>
        </w:rPr>
        <w:t>经本级财政部门批准后</w:t>
      </w:r>
      <w:r>
        <w:rPr>
          <w:rFonts w:hint="eastAsia" w:ascii="Arial" w:hAnsi="Arial" w:cs="Arial"/>
          <w:b/>
        </w:rPr>
        <w:t>采用</w:t>
      </w:r>
      <w:r>
        <w:rPr>
          <w:rFonts w:ascii="Arial" w:hAnsi="Arial" w:cs="Arial"/>
          <w:b/>
        </w:rPr>
        <w:t>竞争性谈判采购</w:t>
      </w:r>
      <w:r>
        <w:rPr>
          <w:rFonts w:hint="eastAsia" w:ascii="Arial" w:hAnsi="Arial" w:cs="Arial"/>
          <w:b/>
        </w:rPr>
        <w:t>的，其</w:t>
      </w:r>
      <w:r>
        <w:rPr>
          <w:rFonts w:hint="eastAsia" w:cs="Times New Roman"/>
          <w:b/>
          <w:kern w:val="2"/>
          <w:szCs w:val="21"/>
        </w:rPr>
        <w:t>评标办法和评分标准不变</w:t>
      </w:r>
      <w:r>
        <w:rPr>
          <w:rFonts w:hint="eastAsia" w:ascii="Arial" w:hAnsi="Arial" w:cs="Arial"/>
          <w:b/>
        </w:rPr>
        <w:t>。</w:t>
      </w:r>
    </w:p>
    <w:p>
      <w:pPr>
        <w:spacing w:line="360" w:lineRule="auto"/>
        <w:ind w:firstLine="480" w:firstLineChars="200"/>
        <w:rPr>
          <w:rFonts w:hint="eastAsia" w:ascii="宋体" w:hAnsi="宋体"/>
          <w:b/>
          <w:color w:val="000000"/>
          <w:sz w:val="24"/>
          <w:szCs w:val="21"/>
        </w:rPr>
      </w:pPr>
      <w:r>
        <w:rPr>
          <w:rFonts w:hint="eastAsia" w:ascii="宋体" w:hAnsi="宋体"/>
          <w:b/>
          <w:color w:val="000000"/>
          <w:sz w:val="24"/>
          <w:szCs w:val="21"/>
        </w:rPr>
        <w:t>本次招标将按下列评标办法进行评标：</w:t>
      </w:r>
    </w:p>
    <w:p>
      <w:pPr>
        <w:spacing w:line="360" w:lineRule="auto"/>
        <w:ind w:firstLine="480" w:firstLineChars="200"/>
        <w:rPr>
          <w:rFonts w:hint="eastAsia" w:ascii="宋体" w:hAnsi="宋体"/>
          <w:color w:val="000000"/>
          <w:sz w:val="24"/>
          <w:szCs w:val="21"/>
        </w:rPr>
      </w:pPr>
      <w:r>
        <w:rPr>
          <w:rFonts w:hint="eastAsia" w:ascii="宋体" w:hAnsi="宋体"/>
          <w:b/>
          <w:color w:val="000000"/>
          <w:sz w:val="24"/>
          <w:szCs w:val="21"/>
        </w:rPr>
        <w:t>综合评分法。</w:t>
      </w:r>
      <w:r>
        <w:rPr>
          <w:rFonts w:hint="eastAsia" w:ascii="宋体" w:hAnsi="宋体"/>
          <w:color w:val="000000"/>
          <w:sz w:val="24"/>
          <w:szCs w:val="21"/>
        </w:rPr>
        <w:t>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hint="eastAsia" w:ascii="宋体" w:hAnsi="宋体"/>
          <w:b/>
          <w:color w:val="000000"/>
          <w:sz w:val="24"/>
          <w:szCs w:val="21"/>
        </w:rPr>
      </w:pPr>
      <w:r>
        <w:rPr>
          <w:rFonts w:hint="eastAsia" w:ascii="宋体" w:hAnsi="宋体"/>
          <w:b/>
          <w:color w:val="000000"/>
          <w:sz w:val="24"/>
          <w:szCs w:val="21"/>
        </w:rPr>
        <w:t>（二）本次评标将在通过资格性和符合性审查的合格投标人中，按下列规定确定入围投标人，并进行商务标评标(其他投标人则不开启商务标)：</w:t>
      </w:r>
    </w:p>
    <w:p>
      <w:pPr>
        <w:spacing w:line="360" w:lineRule="auto"/>
        <w:ind w:firstLine="480" w:firstLineChars="200"/>
        <w:rPr>
          <w:rFonts w:hint="eastAsia" w:ascii="宋体" w:hAnsi="宋体"/>
          <w:color w:val="000000"/>
          <w:sz w:val="24"/>
          <w:szCs w:val="21"/>
        </w:rPr>
      </w:pPr>
      <w:r>
        <w:rPr>
          <w:rFonts w:hint="eastAsia" w:ascii="宋体" w:hAnsi="宋体"/>
          <w:b/>
          <w:color w:val="000000"/>
          <w:sz w:val="24"/>
          <w:szCs w:val="21"/>
        </w:rPr>
        <w:t>合格者入围法。</w:t>
      </w:r>
      <w:r>
        <w:rPr>
          <w:rFonts w:hint="eastAsia" w:ascii="宋体" w:hAnsi="宋体"/>
          <w:color w:val="000000"/>
          <w:sz w:val="24"/>
          <w:szCs w:val="21"/>
        </w:rPr>
        <w:t>除被拒绝投标或被取消投标资格的投标人外，其他合格的投标人均入围。</w:t>
      </w:r>
    </w:p>
    <w:p>
      <w:pPr>
        <w:spacing w:line="360" w:lineRule="auto"/>
        <w:ind w:firstLine="480" w:firstLineChars="200"/>
        <w:rPr>
          <w:rFonts w:hint="eastAsia" w:ascii="宋体" w:hAnsi="宋体"/>
          <w:b/>
          <w:color w:val="000000"/>
          <w:sz w:val="24"/>
          <w:szCs w:val="21"/>
        </w:rPr>
      </w:pPr>
      <w:r>
        <w:rPr>
          <w:rFonts w:hint="eastAsia" w:ascii="宋体" w:hAnsi="宋体"/>
          <w:b/>
          <w:color w:val="000000"/>
          <w:sz w:val="24"/>
          <w:szCs w:val="21"/>
        </w:rPr>
        <w:t>（三）中标候选人若被查处有问题或弃权的，采购人可以重新招标，经相关监管部门批准也可以选择第二名为中标候选人。</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二、评标程序</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评标工作按下列程序进行：</w:t>
      </w:r>
    </w:p>
    <w:p>
      <w:pPr>
        <w:spacing w:line="360" w:lineRule="auto"/>
        <w:ind w:firstLine="480" w:firstLineChars="200"/>
        <w:rPr>
          <w:rFonts w:ascii="宋体"/>
          <w:color w:val="000000"/>
          <w:sz w:val="24"/>
          <w:szCs w:val="21"/>
        </w:rPr>
      </w:pPr>
      <w:r>
        <w:rPr>
          <w:rFonts w:ascii="宋体" w:hAnsi="宋体"/>
          <w:color w:val="000000"/>
          <w:sz w:val="24"/>
          <w:szCs w:val="21"/>
        </w:rPr>
        <w:t>1</w:t>
      </w:r>
      <w:r>
        <w:rPr>
          <w:rFonts w:hint="eastAsia" w:ascii="宋体" w:hAnsi="宋体"/>
          <w:color w:val="000000"/>
          <w:sz w:val="24"/>
          <w:szCs w:val="21"/>
        </w:rPr>
        <w:t>、审查投标文件。即依据法律法规和招标文件的规定，对投标保证金以及投标文件的有效性、完整性和响应程度等，作符合性审查。</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2、要求澄清有关问题。即对投标文件中含义不明确、同类问题表述不一致或者有明显文字和计算错误的内容，要求投标人以书面方式作出必要的澄清、说明或者补正。</w:t>
      </w:r>
    </w:p>
    <w:p>
      <w:pPr>
        <w:spacing w:line="360" w:lineRule="auto"/>
        <w:ind w:firstLine="480" w:firstLineChars="200"/>
        <w:rPr>
          <w:rFonts w:hint="eastAsia" w:ascii="宋体" w:hAnsi="宋体"/>
          <w:sz w:val="24"/>
          <w:szCs w:val="21"/>
        </w:rPr>
      </w:pPr>
      <w:r>
        <w:rPr>
          <w:rFonts w:hint="eastAsia" w:ascii="宋体" w:hAnsi="宋体"/>
          <w:sz w:val="24"/>
          <w:szCs w:val="21"/>
        </w:rPr>
        <w:t>3、进行比较与评价。即按《评分标准》确定的标准，以经审查合格的投标文件进行资信、技术和商务评估，并综合进行比较与评价。根据《浙江省政府采购活动现场组织管理办法》的通知（浙财采监{2015}13号）规定，“</w:t>
      </w:r>
      <w:r>
        <w:rPr>
          <w:rFonts w:ascii="宋体" w:hAnsi="宋体"/>
          <w:sz w:val="24"/>
          <w:szCs w:val="21"/>
        </w:rPr>
        <w:t>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r>
        <w:rPr>
          <w:rFonts w:hint="eastAsia" w:ascii="宋体" w:hAnsi="宋体"/>
          <w:sz w:val="24"/>
          <w:szCs w:val="21"/>
        </w:rPr>
        <w:t>”</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4、推荐中标候选人。按招标文件中规定的评标方法，推荐一定数量的中标候选人。推荐的中标候选人在2家以上的，则应标明排列顺序。</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5、编写评标报告。</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三、评标要求</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评标工作应遵循以下要求：</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1、按照先评技术标、再评资信标、最后评商务标顺序进行评标。</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技术分由评委自行评议打分，资信分、商务分由评委统一评议计分,在统一评议过程中出现意见不一致情况时，按少数服从多数的原则确定评议意见，并予以计分。除《评分标准》另有明确规定外，一般按投标人资信优劣及商务偏差大小排序后，并根据评标委员会统一议定的分值档差进行计分，最优者得该分项满分，其余按其排名顺序按档扣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3、在资信标评议计分开始前，各评委应将技术标评议打分表交现场公证或者监管人员保管，然后在资信标评议计分结束后，由现场工作人员统计，各有效投标人的最终评审分为评标委员会成员评分的算术平均值。（四舍五入保留小数点后两位）</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4、在技术标、资信标评议计分结束前，各投标人的商务标统一由现场公证或者监管人员保管，然后在公布各投标人的技术和资信得分情况后，当众启封各投标人的商务标并交评委进行商务标评议计分。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1)开启入围投标人的商务标；</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2)进行商务标评议计分。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5、为提高评标效率，评标委员会可授权现场工作人员做好以下工作，并对结果予以签字确认：</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1)查阅各投标人的资信情况；</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2)对各投标人的技术分、资信分和商务分予以记录、计算和汇总；</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3)起草意见书、评标报告等；</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4)其他与评标有关的工作。</w:t>
      </w:r>
    </w:p>
    <w:p>
      <w:pPr>
        <w:pStyle w:val="3"/>
        <w:spacing w:line="360" w:lineRule="auto"/>
        <w:jc w:val="center"/>
        <w:rPr>
          <w:rFonts w:hint="eastAsia"/>
        </w:rPr>
      </w:pPr>
      <w:bookmarkStart w:id="21" w:name="_Toc2852588"/>
      <w:r>
        <w:rPr>
          <w:rFonts w:hint="eastAsia"/>
        </w:rPr>
        <w:t>第二章　评分标准</w:t>
      </w:r>
      <w:bookmarkEnd w:id="21"/>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本次评标将按</w:t>
      </w:r>
      <w:r>
        <w:rPr>
          <w:rFonts w:hint="eastAsia" w:ascii="宋体" w:hAnsi="宋体"/>
          <w:b/>
          <w:color w:val="000000"/>
          <w:sz w:val="24"/>
          <w:szCs w:val="21"/>
          <w:u w:val="single"/>
        </w:rPr>
        <w:t>综合评分法</w:t>
      </w:r>
      <w:r>
        <w:rPr>
          <w:rFonts w:hint="eastAsia" w:ascii="宋体" w:hAnsi="宋体"/>
          <w:color w:val="000000"/>
          <w:sz w:val="24"/>
          <w:szCs w:val="21"/>
        </w:rPr>
        <w:t>进行评标，并采用百分制计分，计算时四舍五入保留到小数点后两位。</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一、商务标评分标准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商务标主要是对投标人的有效报价进行评议，其评分标准及分值设置规则如下：</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1、本次评标设商务分30分。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2、本次招标最高限价规定如下：</w:t>
      </w:r>
    </w:p>
    <w:p>
      <w:pPr>
        <w:spacing w:line="360" w:lineRule="auto"/>
        <w:ind w:firstLine="480" w:firstLineChars="200"/>
        <w:rPr>
          <w:rFonts w:hint="eastAsia" w:ascii="宋体" w:hAnsi="宋体"/>
          <w:b/>
          <w:color w:val="000000"/>
          <w:sz w:val="24"/>
          <w:szCs w:val="21"/>
        </w:rPr>
      </w:pPr>
      <w:r>
        <w:rPr>
          <w:rFonts w:hint="eastAsia" w:ascii="宋体" w:hAnsi="宋体"/>
          <w:color w:val="000000"/>
          <w:sz w:val="24"/>
          <w:szCs w:val="21"/>
        </w:rPr>
        <w:t>本项目投标报价的最高限价为</w:t>
      </w:r>
    </w:p>
    <w:p>
      <w:pPr>
        <w:spacing w:line="360" w:lineRule="auto"/>
        <w:ind w:left="478" w:leftChars="228"/>
        <w:rPr>
          <w:rFonts w:hint="eastAsia" w:ascii="宋体" w:hAnsi="宋体"/>
          <w:b/>
          <w:color w:val="FF0000"/>
          <w:sz w:val="24"/>
          <w:szCs w:val="21"/>
        </w:rPr>
      </w:pPr>
      <w:r>
        <w:rPr>
          <w:rFonts w:hint="eastAsia" w:ascii="宋体" w:hAnsi="宋体"/>
          <w:b/>
          <w:color w:val="FF0000"/>
          <w:sz w:val="24"/>
          <w:szCs w:val="21"/>
        </w:rPr>
        <w:t>内容一、五年租金不高于人民币</w:t>
      </w:r>
      <w:r>
        <w:rPr>
          <w:rFonts w:hint="eastAsia" w:ascii="宋体" w:hAnsi="宋体"/>
          <w:b/>
          <w:color w:val="FF0000"/>
          <w:sz w:val="24"/>
          <w:szCs w:val="21"/>
          <w:u w:val="single"/>
        </w:rPr>
        <w:t xml:space="preserve"> </w:t>
      </w:r>
      <w:r>
        <w:rPr>
          <w:rFonts w:ascii="宋体" w:hAnsi="宋体"/>
          <w:b/>
          <w:color w:val="FF0000"/>
          <w:sz w:val="24"/>
          <w:szCs w:val="21"/>
          <w:u w:val="single"/>
        </w:rPr>
        <w:fldChar w:fldCharType="begin"/>
      </w:r>
      <w:r>
        <w:rPr>
          <w:rFonts w:ascii="宋体" w:hAnsi="宋体"/>
          <w:b/>
          <w:color w:val="FF0000"/>
          <w:sz w:val="24"/>
          <w:szCs w:val="21"/>
          <w:u w:val="single"/>
        </w:rPr>
        <w:instrText xml:space="preserve"> </w:instrText>
      </w:r>
      <w:r>
        <w:rPr>
          <w:rFonts w:hint="eastAsia" w:ascii="宋体" w:hAnsi="宋体"/>
          <w:b/>
          <w:color w:val="FF0000"/>
          <w:sz w:val="24"/>
          <w:szCs w:val="21"/>
          <w:u w:val="single"/>
        </w:rPr>
        <w:instrText xml:space="preserve">= 6700000 \* CHINESENUM2</w:instrText>
      </w:r>
      <w:r>
        <w:rPr>
          <w:rFonts w:ascii="宋体" w:hAnsi="宋体"/>
          <w:b/>
          <w:color w:val="FF0000"/>
          <w:sz w:val="24"/>
          <w:szCs w:val="21"/>
          <w:u w:val="single"/>
        </w:rPr>
        <w:instrText xml:space="preserve"> </w:instrText>
      </w:r>
      <w:r>
        <w:rPr>
          <w:rFonts w:ascii="宋体" w:hAnsi="宋体"/>
          <w:b/>
          <w:color w:val="FF0000"/>
          <w:sz w:val="24"/>
          <w:szCs w:val="21"/>
          <w:u w:val="single"/>
        </w:rPr>
        <w:fldChar w:fldCharType="separate"/>
      </w:r>
      <w:r>
        <w:rPr>
          <w:rFonts w:hint="eastAsia" w:ascii="宋体" w:hAnsi="宋体"/>
          <w:b/>
          <w:color w:val="FF0000"/>
          <w:sz w:val="24"/>
          <w:szCs w:val="21"/>
          <w:u w:val="single"/>
          <w:lang/>
        </w:rPr>
        <w:t>陆佰柒拾万</w:t>
      </w:r>
      <w:r>
        <w:rPr>
          <w:rFonts w:ascii="宋体" w:hAnsi="宋体"/>
          <w:b/>
          <w:color w:val="FF0000"/>
          <w:sz w:val="24"/>
          <w:szCs w:val="21"/>
          <w:u w:val="single"/>
        </w:rPr>
        <w:fldChar w:fldCharType="end"/>
      </w:r>
      <w:r>
        <w:rPr>
          <w:rFonts w:hint="eastAsia" w:ascii="宋体" w:hAnsi="宋体"/>
          <w:b/>
          <w:color w:val="FF0000"/>
          <w:sz w:val="24"/>
          <w:szCs w:val="21"/>
          <w:u w:val="single"/>
        </w:rPr>
        <w:t xml:space="preserve"> </w:t>
      </w:r>
      <w:r>
        <w:rPr>
          <w:rFonts w:hint="eastAsia" w:ascii="宋体" w:hAnsi="宋体"/>
          <w:b/>
          <w:color w:val="FF0000"/>
          <w:sz w:val="24"/>
          <w:szCs w:val="21"/>
        </w:rPr>
        <w:t>元（小写</w:t>
      </w:r>
      <w:r>
        <w:rPr>
          <w:rFonts w:hint="eastAsia" w:ascii="宋体" w:hAnsi="宋体"/>
          <w:b/>
          <w:color w:val="FF0000"/>
          <w:sz w:val="24"/>
          <w:szCs w:val="21"/>
          <w:u w:val="single"/>
        </w:rPr>
        <w:t xml:space="preserve"> </w:t>
      </w:r>
      <w:r>
        <w:rPr>
          <w:rFonts w:ascii="宋体" w:hAnsi="宋体"/>
          <w:b/>
          <w:color w:val="FF0000"/>
          <w:sz w:val="24"/>
          <w:szCs w:val="21"/>
          <w:u w:val="single"/>
        </w:rPr>
        <w:t>670</w:t>
      </w:r>
      <w:r>
        <w:rPr>
          <w:rFonts w:hint="eastAsia" w:ascii="宋体" w:hAnsi="宋体"/>
          <w:b/>
          <w:color w:val="FF0000"/>
          <w:sz w:val="24"/>
          <w:szCs w:val="21"/>
          <w:u w:val="single"/>
        </w:rPr>
        <w:t xml:space="preserve">0000 </w:t>
      </w:r>
      <w:r>
        <w:rPr>
          <w:rFonts w:hint="eastAsia" w:ascii="宋体" w:hAnsi="宋体"/>
          <w:b/>
          <w:color w:val="FF0000"/>
          <w:sz w:val="24"/>
          <w:szCs w:val="21"/>
        </w:rPr>
        <w:t>元）</w:t>
      </w:r>
    </w:p>
    <w:p>
      <w:pPr>
        <w:spacing w:line="360" w:lineRule="auto"/>
        <w:ind w:left="478" w:leftChars="228"/>
        <w:rPr>
          <w:rFonts w:hint="eastAsia" w:ascii="宋体" w:hAnsi="宋体"/>
          <w:b/>
          <w:color w:val="FF0000"/>
          <w:sz w:val="24"/>
          <w:szCs w:val="21"/>
        </w:rPr>
      </w:pPr>
      <w:r>
        <w:rPr>
          <w:rFonts w:hint="eastAsia" w:ascii="宋体" w:hAnsi="宋体"/>
          <w:b/>
          <w:color w:val="FF0000"/>
          <w:sz w:val="24"/>
          <w:szCs w:val="21"/>
        </w:rPr>
        <w:t>内容二、五年租金不高于人民币</w:t>
      </w:r>
      <w:r>
        <w:rPr>
          <w:rFonts w:hint="eastAsia" w:ascii="宋体" w:hAnsi="宋体"/>
          <w:b/>
          <w:color w:val="FF0000"/>
          <w:sz w:val="24"/>
          <w:szCs w:val="21"/>
          <w:u w:val="single"/>
        </w:rPr>
        <w:t xml:space="preserve"> </w:t>
      </w:r>
      <w:r>
        <w:rPr>
          <w:rFonts w:ascii="宋体" w:hAnsi="宋体"/>
          <w:b/>
          <w:color w:val="FF0000"/>
          <w:sz w:val="24"/>
          <w:szCs w:val="21"/>
          <w:u w:val="single"/>
        </w:rPr>
        <w:fldChar w:fldCharType="begin"/>
      </w:r>
      <w:r>
        <w:rPr>
          <w:rFonts w:ascii="宋体" w:hAnsi="宋体"/>
          <w:b/>
          <w:color w:val="FF0000"/>
          <w:sz w:val="24"/>
          <w:szCs w:val="21"/>
          <w:u w:val="single"/>
        </w:rPr>
        <w:instrText xml:space="preserve"> </w:instrText>
      </w:r>
      <w:r>
        <w:rPr>
          <w:rFonts w:hint="eastAsia" w:ascii="宋体" w:hAnsi="宋体"/>
          <w:b/>
          <w:color w:val="FF0000"/>
          <w:sz w:val="24"/>
          <w:szCs w:val="21"/>
          <w:u w:val="single"/>
        </w:rPr>
        <w:instrText xml:space="preserve">= 900000 \* CHINESENUM2</w:instrText>
      </w:r>
      <w:r>
        <w:rPr>
          <w:rFonts w:ascii="宋体" w:hAnsi="宋体"/>
          <w:b/>
          <w:color w:val="FF0000"/>
          <w:sz w:val="24"/>
          <w:szCs w:val="21"/>
          <w:u w:val="single"/>
        </w:rPr>
        <w:instrText xml:space="preserve"> </w:instrText>
      </w:r>
      <w:r>
        <w:rPr>
          <w:rFonts w:ascii="宋体" w:hAnsi="宋体"/>
          <w:b/>
          <w:color w:val="FF0000"/>
          <w:sz w:val="24"/>
          <w:szCs w:val="21"/>
          <w:u w:val="single"/>
        </w:rPr>
        <w:fldChar w:fldCharType="separate"/>
      </w:r>
      <w:r>
        <w:rPr>
          <w:rFonts w:hint="eastAsia" w:ascii="宋体" w:hAnsi="宋体"/>
          <w:b/>
          <w:color w:val="FF0000"/>
          <w:sz w:val="24"/>
          <w:szCs w:val="21"/>
          <w:u w:val="single"/>
          <w:lang/>
        </w:rPr>
        <w:t>玖拾万</w:t>
      </w:r>
      <w:r>
        <w:rPr>
          <w:rFonts w:ascii="宋体" w:hAnsi="宋体"/>
          <w:b/>
          <w:color w:val="FF0000"/>
          <w:sz w:val="24"/>
          <w:szCs w:val="21"/>
          <w:u w:val="single"/>
        </w:rPr>
        <w:fldChar w:fldCharType="end"/>
      </w:r>
      <w:r>
        <w:rPr>
          <w:rFonts w:hint="eastAsia" w:ascii="宋体" w:hAnsi="宋体"/>
          <w:b/>
          <w:color w:val="FF0000"/>
          <w:sz w:val="24"/>
          <w:szCs w:val="21"/>
        </w:rPr>
        <w:t>元（小写</w:t>
      </w:r>
      <w:r>
        <w:rPr>
          <w:rFonts w:hint="eastAsia" w:ascii="宋体" w:hAnsi="宋体"/>
          <w:b/>
          <w:color w:val="FF0000"/>
          <w:sz w:val="24"/>
          <w:szCs w:val="21"/>
          <w:u w:val="single"/>
        </w:rPr>
        <w:t xml:space="preserve"> </w:t>
      </w:r>
      <w:r>
        <w:rPr>
          <w:rFonts w:ascii="宋体" w:hAnsi="宋体"/>
          <w:b/>
          <w:color w:val="FF0000"/>
          <w:sz w:val="24"/>
          <w:szCs w:val="21"/>
          <w:u w:val="single"/>
        </w:rPr>
        <w:t>90</w:t>
      </w:r>
      <w:r>
        <w:rPr>
          <w:rFonts w:hint="eastAsia" w:ascii="宋体" w:hAnsi="宋体"/>
          <w:b/>
          <w:color w:val="FF0000"/>
          <w:sz w:val="24"/>
          <w:szCs w:val="21"/>
          <w:u w:val="single"/>
        </w:rPr>
        <w:t xml:space="preserve">0000 </w:t>
      </w:r>
      <w:r>
        <w:rPr>
          <w:rFonts w:hint="eastAsia" w:ascii="宋体" w:hAnsi="宋体"/>
          <w:b/>
          <w:color w:val="FF0000"/>
          <w:sz w:val="24"/>
          <w:szCs w:val="21"/>
        </w:rPr>
        <w:t>元）；</w:t>
      </w:r>
    </w:p>
    <w:p>
      <w:pPr>
        <w:spacing w:line="360" w:lineRule="auto"/>
        <w:ind w:firstLine="480" w:firstLineChars="200"/>
        <w:rPr>
          <w:rFonts w:hint="eastAsia" w:ascii="宋体" w:hAnsi="宋体"/>
          <w:b/>
          <w:color w:val="FF0000"/>
          <w:sz w:val="24"/>
          <w:szCs w:val="21"/>
          <w:u w:val="single"/>
        </w:rPr>
      </w:pPr>
      <w:r>
        <w:rPr>
          <w:rFonts w:hint="eastAsia" w:ascii="宋体" w:hAnsi="宋体"/>
          <w:b/>
          <w:color w:val="FF0000"/>
          <w:sz w:val="24"/>
          <w:szCs w:val="21"/>
        </w:rPr>
        <w:t>内容三、五年租金不高于人民币</w:t>
      </w:r>
      <w:r>
        <w:rPr>
          <w:rFonts w:hint="eastAsia" w:ascii="宋体" w:hAnsi="宋体"/>
          <w:b/>
          <w:color w:val="FF0000"/>
          <w:sz w:val="24"/>
          <w:szCs w:val="21"/>
          <w:u w:val="single"/>
        </w:rPr>
        <w:t xml:space="preserve"> </w:t>
      </w:r>
      <w:r>
        <w:rPr>
          <w:rFonts w:ascii="宋体" w:hAnsi="宋体"/>
          <w:b/>
          <w:color w:val="FF0000"/>
          <w:sz w:val="24"/>
          <w:szCs w:val="21"/>
          <w:u w:val="single"/>
        </w:rPr>
        <w:fldChar w:fldCharType="begin"/>
      </w:r>
      <w:r>
        <w:rPr>
          <w:rFonts w:ascii="宋体" w:hAnsi="宋体"/>
          <w:b/>
          <w:color w:val="FF0000"/>
          <w:sz w:val="24"/>
          <w:szCs w:val="21"/>
          <w:u w:val="single"/>
        </w:rPr>
        <w:instrText xml:space="preserve"> </w:instrText>
      </w:r>
      <w:r>
        <w:rPr>
          <w:rFonts w:hint="eastAsia" w:ascii="宋体" w:hAnsi="宋体"/>
          <w:b/>
          <w:color w:val="FF0000"/>
          <w:sz w:val="24"/>
          <w:szCs w:val="21"/>
          <w:u w:val="single"/>
        </w:rPr>
        <w:instrText xml:space="preserve">= 700000 \* CHINESENUM2</w:instrText>
      </w:r>
      <w:r>
        <w:rPr>
          <w:rFonts w:ascii="宋体" w:hAnsi="宋体"/>
          <w:b/>
          <w:color w:val="FF0000"/>
          <w:sz w:val="24"/>
          <w:szCs w:val="21"/>
          <w:u w:val="single"/>
        </w:rPr>
        <w:instrText xml:space="preserve"> </w:instrText>
      </w:r>
      <w:r>
        <w:rPr>
          <w:rFonts w:ascii="宋体" w:hAnsi="宋体"/>
          <w:b/>
          <w:color w:val="FF0000"/>
          <w:sz w:val="24"/>
          <w:szCs w:val="21"/>
          <w:u w:val="single"/>
        </w:rPr>
        <w:fldChar w:fldCharType="separate"/>
      </w:r>
      <w:r>
        <w:rPr>
          <w:rFonts w:hint="eastAsia" w:ascii="宋体" w:hAnsi="宋体"/>
          <w:b/>
          <w:color w:val="FF0000"/>
          <w:sz w:val="24"/>
          <w:szCs w:val="21"/>
          <w:u w:val="single"/>
          <w:lang/>
        </w:rPr>
        <w:t>柒拾万</w:t>
      </w:r>
      <w:r>
        <w:rPr>
          <w:rFonts w:ascii="宋体" w:hAnsi="宋体"/>
          <w:b/>
          <w:color w:val="FF0000"/>
          <w:sz w:val="24"/>
          <w:szCs w:val="21"/>
          <w:u w:val="single"/>
        </w:rPr>
        <w:fldChar w:fldCharType="end"/>
      </w:r>
      <w:r>
        <w:rPr>
          <w:rFonts w:hint="eastAsia" w:ascii="宋体" w:hAnsi="宋体"/>
          <w:b/>
          <w:color w:val="FF0000"/>
          <w:sz w:val="24"/>
          <w:szCs w:val="21"/>
        </w:rPr>
        <w:t>元（小写</w:t>
      </w:r>
      <w:r>
        <w:rPr>
          <w:rFonts w:hint="eastAsia" w:ascii="宋体" w:hAnsi="宋体"/>
          <w:b/>
          <w:color w:val="FF0000"/>
          <w:sz w:val="24"/>
          <w:szCs w:val="21"/>
          <w:u w:val="single"/>
        </w:rPr>
        <w:t xml:space="preserve"> </w:t>
      </w:r>
      <w:r>
        <w:rPr>
          <w:rFonts w:ascii="宋体" w:hAnsi="宋体"/>
          <w:b/>
          <w:color w:val="FF0000"/>
          <w:sz w:val="24"/>
          <w:szCs w:val="21"/>
          <w:u w:val="single"/>
        </w:rPr>
        <w:t>70</w:t>
      </w:r>
      <w:r>
        <w:rPr>
          <w:rFonts w:hint="eastAsia" w:ascii="宋体" w:hAnsi="宋体"/>
          <w:b/>
          <w:color w:val="FF0000"/>
          <w:sz w:val="24"/>
          <w:szCs w:val="21"/>
          <w:u w:val="single"/>
        </w:rPr>
        <w:t xml:space="preserve">0000 </w:t>
      </w:r>
      <w:r>
        <w:rPr>
          <w:rFonts w:hint="eastAsia" w:ascii="宋体" w:hAnsi="宋体"/>
          <w:b/>
          <w:color w:val="FF0000"/>
          <w:sz w:val="24"/>
          <w:szCs w:val="21"/>
        </w:rPr>
        <w:t>元）。</w:t>
      </w:r>
    </w:p>
    <w:p>
      <w:pPr>
        <w:spacing w:line="360" w:lineRule="auto"/>
        <w:ind w:firstLine="480" w:firstLineChars="200"/>
        <w:rPr>
          <w:rFonts w:hint="eastAsia" w:ascii="宋体" w:hAnsi="宋体"/>
          <w:b/>
          <w:color w:val="000000"/>
          <w:sz w:val="24"/>
          <w:szCs w:val="21"/>
        </w:rPr>
      </w:pPr>
      <w:r>
        <w:rPr>
          <w:rFonts w:hint="eastAsia" w:ascii="宋体" w:hAnsi="宋体"/>
          <w:b/>
          <w:color w:val="000000"/>
          <w:sz w:val="24"/>
          <w:szCs w:val="21"/>
        </w:rPr>
        <w:t>最高限价由采购人根据市场价格的调查设定，并且不高于本项目财政预算。</w:t>
      </w:r>
    </w:p>
    <w:p>
      <w:pPr>
        <w:spacing w:line="360" w:lineRule="auto"/>
        <w:ind w:firstLine="480" w:firstLineChars="200"/>
        <w:rPr>
          <w:rFonts w:hint="eastAsia" w:ascii="宋体" w:hAnsi="宋体"/>
          <w:sz w:val="24"/>
          <w:szCs w:val="21"/>
        </w:rPr>
      </w:pPr>
      <w:r>
        <w:rPr>
          <w:rFonts w:hint="eastAsia" w:ascii="宋体" w:hAnsi="宋体"/>
          <w:sz w:val="24"/>
          <w:szCs w:val="21"/>
        </w:rPr>
        <w:t>价格扣除：根据工信部等部委发布的《关于印发中小企业划型标准规定的通知》（工信部联企业〔2011〕300号），根据具体品目确定相应标准。符合上述条件的中小微型企业应按照招标文件附件14的格式要求提供《中小企业声明函》、《中小企业资格确认意见书》。符合《关于促进残疾人就业政府采购政策的通知》（财库〔2017〕141号）规定的条件并提供提供《残疾人福利性单位声明函》（附件15）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宋体" w:hAnsi="宋体"/>
          <w:sz w:val="24"/>
          <w:szCs w:val="21"/>
        </w:rPr>
      </w:pPr>
      <w:r>
        <w:rPr>
          <w:rFonts w:hint="eastAsia" w:ascii="宋体" w:hAnsi="宋体"/>
          <w:sz w:val="24"/>
          <w:szCs w:val="21"/>
        </w:rPr>
        <w:t>根据财政部发布的《政府采购促进中小企业发展暂行办法》规定，对于非专门面向此类企业的项目，对小型和微型企业产品的投标价格给予6 %的扣除，用扣除后的价格参与评审。</w:t>
      </w:r>
    </w:p>
    <w:p>
      <w:pPr>
        <w:spacing w:line="360" w:lineRule="auto"/>
        <w:ind w:firstLine="480" w:firstLineChars="200"/>
        <w:rPr>
          <w:rFonts w:hint="eastAsia" w:ascii="宋体" w:hAnsi="宋体"/>
          <w:sz w:val="24"/>
          <w:szCs w:val="21"/>
        </w:rPr>
      </w:pPr>
      <w:r>
        <w:rPr>
          <w:rFonts w:hint="eastAsia" w:ascii="宋体" w:hAnsi="宋体"/>
          <w:sz w:val="24"/>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宋体" w:hAnsi="宋体"/>
          <w:b/>
          <w:color w:val="000000"/>
          <w:sz w:val="24"/>
          <w:szCs w:val="21"/>
        </w:rPr>
      </w:pPr>
      <w:r>
        <w:rPr>
          <w:rFonts w:hint="eastAsia" w:ascii="宋体" w:hAnsi="宋体"/>
          <w:sz w:val="24"/>
          <w:szCs w:val="21"/>
        </w:rPr>
        <w:t>联合体各方均为小型、微型企业的，联合体视同为小型、微型企业。</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3、本次评标设有最佳报价。最佳报价确定方式：</w:t>
      </w:r>
    </w:p>
    <w:p>
      <w:pPr>
        <w:spacing w:line="360" w:lineRule="auto"/>
        <w:ind w:firstLine="480" w:firstLineChars="200"/>
        <w:rPr>
          <w:rFonts w:hint="eastAsia" w:ascii="宋体" w:hAnsi="宋体"/>
          <w:b/>
          <w:color w:val="000000"/>
          <w:sz w:val="24"/>
          <w:szCs w:val="21"/>
        </w:rPr>
      </w:pPr>
      <w:r>
        <w:rPr>
          <w:rFonts w:hint="eastAsia" w:ascii="宋体" w:hAnsi="宋体"/>
          <w:b/>
          <w:color w:val="000000"/>
          <w:sz w:val="24"/>
          <w:szCs w:val="21"/>
        </w:rPr>
        <w:t>根据所有入围投标人有效报价中的最低报价作为最佳报价。</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4、最佳报价者的商务分为</w:t>
      </w:r>
      <w:r>
        <w:rPr>
          <w:rFonts w:hint="eastAsia"/>
          <w:color w:val="000000"/>
          <w:sz w:val="24"/>
        </w:rPr>
        <w:t>满</w:t>
      </w:r>
      <w:r>
        <w:rPr>
          <w:rFonts w:hint="eastAsia" w:ascii="宋体" w:hAnsi="宋体"/>
          <w:color w:val="000000"/>
          <w:sz w:val="24"/>
          <w:szCs w:val="21"/>
        </w:rPr>
        <w:t>分，其他投标人的有效报价与最佳报价相比，按下列方法计算其商务分：</w:t>
      </w:r>
    </w:p>
    <w:p>
      <w:pPr>
        <w:spacing w:line="360" w:lineRule="auto"/>
        <w:ind w:firstLine="480" w:firstLineChars="200"/>
        <w:rPr>
          <w:rFonts w:hint="eastAsia" w:ascii="宋体" w:hAnsi="宋体"/>
          <w:color w:val="000000"/>
          <w:sz w:val="24"/>
          <w:szCs w:val="21"/>
        </w:rPr>
      </w:pPr>
      <w:r>
        <w:rPr>
          <w:rFonts w:hint="eastAsia" w:ascii="宋体" w:hAnsi="宋体"/>
          <w:color w:val="000000"/>
          <w:sz w:val="24"/>
          <w:szCs w:val="21"/>
        </w:rPr>
        <w:t>1）投标报价得分=(最佳报价/投标报价)*价格权值*100。</w:t>
      </w:r>
    </w:p>
    <w:p>
      <w:pPr>
        <w:spacing w:line="360" w:lineRule="auto"/>
        <w:ind w:firstLine="480" w:firstLineChars="200"/>
        <w:rPr>
          <w:rFonts w:hint="eastAsia" w:ascii="宋体" w:hAnsi="宋体"/>
          <w:b/>
          <w:bCs/>
          <w:color w:val="000000"/>
          <w:sz w:val="24"/>
          <w:szCs w:val="21"/>
        </w:rPr>
      </w:pPr>
      <w:r>
        <w:rPr>
          <w:rFonts w:hint="eastAsia" w:ascii="宋体" w:hAnsi="宋体"/>
          <w:b/>
          <w:bCs/>
          <w:color w:val="000000"/>
          <w:sz w:val="24"/>
          <w:szCs w:val="21"/>
        </w:rPr>
        <w:t>二、资信标评分标准</w:t>
      </w:r>
    </w:p>
    <w:p>
      <w:pPr>
        <w:spacing w:line="360" w:lineRule="auto"/>
        <w:ind w:firstLine="480" w:firstLineChars="200"/>
        <w:rPr>
          <w:rFonts w:hint="eastAsia" w:ascii="宋体" w:hAnsi="宋体"/>
          <w:sz w:val="24"/>
          <w:szCs w:val="21"/>
        </w:rPr>
      </w:pPr>
      <w:r>
        <w:rPr>
          <w:rFonts w:hint="eastAsia" w:ascii="宋体" w:hAnsi="宋体"/>
          <w:sz w:val="24"/>
          <w:szCs w:val="21"/>
        </w:rPr>
        <w:t>资信标主要是对投标人提供的资质、信誉、业绩、服务及财务状况等进行综合评议。其评分标准及分值设置规则如下：</w:t>
      </w:r>
    </w:p>
    <w:p>
      <w:pPr>
        <w:spacing w:line="360" w:lineRule="auto"/>
        <w:ind w:firstLine="480" w:firstLineChars="200"/>
        <w:rPr>
          <w:rFonts w:hint="eastAsia" w:ascii="宋体" w:hAnsi="宋体"/>
          <w:sz w:val="24"/>
          <w:szCs w:val="21"/>
        </w:rPr>
      </w:pPr>
      <w:r>
        <w:rPr>
          <w:rFonts w:hint="eastAsia" w:ascii="宋体" w:hAnsi="宋体"/>
          <w:sz w:val="24"/>
          <w:szCs w:val="21"/>
        </w:rPr>
        <w:t>1、本次评标设资信分</w:t>
      </w:r>
      <w:r>
        <w:rPr>
          <w:rFonts w:hint="eastAsia" w:ascii="宋体" w:hAnsi="宋体"/>
          <w:b/>
          <w:sz w:val="24"/>
          <w:szCs w:val="21"/>
          <w:u w:val="single"/>
        </w:rPr>
        <w:t>10</w:t>
      </w:r>
      <w:r>
        <w:rPr>
          <w:rFonts w:hint="eastAsia" w:ascii="宋体" w:hAnsi="宋体"/>
          <w:sz w:val="24"/>
          <w:szCs w:val="21"/>
        </w:rPr>
        <w:t>分。</w:t>
      </w:r>
    </w:p>
    <w:p>
      <w:pPr>
        <w:spacing w:line="360" w:lineRule="auto"/>
        <w:ind w:firstLine="480" w:firstLineChars="200"/>
        <w:rPr>
          <w:rFonts w:hint="eastAsia" w:ascii="宋体" w:hAnsi="宋体"/>
          <w:sz w:val="24"/>
          <w:szCs w:val="21"/>
        </w:rPr>
      </w:pPr>
      <w:r>
        <w:rPr>
          <w:rFonts w:hint="eastAsia" w:ascii="宋体" w:hAnsi="宋体"/>
          <w:sz w:val="24"/>
          <w:szCs w:val="21"/>
        </w:rPr>
        <w:t>2、本次评标设定的评分内容有：</w:t>
      </w:r>
    </w:p>
    <w:p>
      <w:pPr>
        <w:autoSpaceDE w:val="0"/>
        <w:autoSpaceDN w:val="0"/>
        <w:spacing w:line="300" w:lineRule="auto"/>
        <w:ind w:firstLine="480" w:firstLineChars="200"/>
        <w:textAlignment w:val="bottom"/>
        <w:rPr>
          <w:rFonts w:hint="eastAsia" w:ascii="宋体" w:hAnsi="宋体"/>
          <w:color w:val="000000"/>
          <w:sz w:val="24"/>
        </w:rPr>
      </w:pPr>
      <w:r>
        <w:rPr>
          <w:rFonts w:hint="eastAsia" w:ascii="宋体" w:hAnsi="宋体"/>
          <w:color w:val="000000"/>
          <w:sz w:val="24"/>
        </w:rPr>
        <w:t>①公司业绩(0-10分):每提供1只</w:t>
      </w:r>
      <w:r>
        <w:rPr>
          <w:rFonts w:hint="eastAsia" w:ascii="宋体" w:hAnsi="宋体"/>
          <w:b/>
          <w:color w:val="000000"/>
          <w:sz w:val="24"/>
          <w:u w:val="single"/>
        </w:rPr>
        <w:t xml:space="preserve"> 2016年1月 </w:t>
      </w:r>
      <w:r>
        <w:rPr>
          <w:rFonts w:hint="eastAsia" w:ascii="宋体" w:hAnsi="宋体"/>
          <w:color w:val="000000"/>
          <w:sz w:val="24"/>
        </w:rPr>
        <w:t>以来</w:t>
      </w:r>
      <w:r>
        <w:rPr>
          <w:rFonts w:hint="eastAsia" w:ascii="宋体" w:hAnsi="宋体"/>
          <w:sz w:val="24"/>
        </w:rPr>
        <w:t>（以合同签订时间为准）</w:t>
      </w:r>
      <w:r>
        <w:rPr>
          <w:rFonts w:hint="eastAsia" w:ascii="宋体" w:hAnsi="宋体"/>
          <w:color w:val="000000"/>
          <w:sz w:val="24"/>
        </w:rPr>
        <w:t>投标人参与正式施工建设的治安监控（卡口）类项目合同，每个合同得2分，最高10分。 投标时提供合同复印件，签订合同时提供原件。</w:t>
      </w:r>
    </w:p>
    <w:p>
      <w:pPr>
        <w:spacing w:line="360" w:lineRule="auto"/>
        <w:ind w:firstLine="480" w:firstLineChars="200"/>
        <w:rPr>
          <w:rFonts w:hint="eastAsia" w:ascii="宋体" w:hAnsi="宋体"/>
          <w:b/>
          <w:bCs/>
          <w:sz w:val="28"/>
          <w:szCs w:val="28"/>
        </w:rPr>
      </w:pPr>
      <w:r>
        <w:rPr>
          <w:rFonts w:hint="eastAsia" w:ascii="宋体" w:hAnsi="宋体"/>
          <w:b/>
          <w:bCs/>
          <w:sz w:val="24"/>
          <w:szCs w:val="21"/>
        </w:rPr>
        <w:t>三、技术标评分标准</w:t>
      </w:r>
    </w:p>
    <w:p>
      <w:pPr>
        <w:spacing w:line="360" w:lineRule="auto"/>
        <w:ind w:firstLine="480" w:firstLineChars="200"/>
        <w:rPr>
          <w:rFonts w:hint="eastAsia" w:ascii="宋体" w:hAnsi="宋体"/>
          <w:sz w:val="24"/>
          <w:szCs w:val="21"/>
        </w:rPr>
      </w:pPr>
      <w:r>
        <w:rPr>
          <w:rFonts w:hint="eastAsia" w:ascii="宋体" w:hAnsi="宋体"/>
          <w:sz w:val="24"/>
          <w:szCs w:val="21"/>
        </w:rPr>
        <w:t>技术标主要是对投标产品具备的技术、性能以及对招标文件的响应程度等进行综合评议。其评分标准及分值设置规则如下：</w:t>
      </w:r>
    </w:p>
    <w:p>
      <w:pPr>
        <w:spacing w:line="360" w:lineRule="auto"/>
        <w:ind w:firstLine="480" w:firstLineChars="200"/>
        <w:rPr>
          <w:rFonts w:hint="eastAsia" w:ascii="宋体" w:hAnsi="宋体"/>
          <w:sz w:val="24"/>
          <w:szCs w:val="21"/>
        </w:rPr>
      </w:pPr>
      <w:r>
        <w:rPr>
          <w:rFonts w:hint="eastAsia" w:ascii="宋体" w:hAnsi="宋体"/>
          <w:sz w:val="24"/>
          <w:szCs w:val="21"/>
        </w:rPr>
        <w:t>1、本次评标设技术分</w:t>
      </w:r>
      <w:r>
        <w:rPr>
          <w:rFonts w:hint="eastAsia" w:ascii="宋体" w:hAnsi="宋体"/>
          <w:b/>
          <w:sz w:val="24"/>
          <w:szCs w:val="21"/>
          <w:u w:val="single"/>
        </w:rPr>
        <w:t>60</w:t>
      </w:r>
      <w:r>
        <w:rPr>
          <w:rFonts w:hint="eastAsia" w:ascii="宋体" w:hAnsi="宋体"/>
          <w:sz w:val="24"/>
          <w:szCs w:val="21"/>
        </w:rPr>
        <w:t>分。</w:t>
      </w:r>
    </w:p>
    <w:p>
      <w:pPr>
        <w:spacing w:line="360" w:lineRule="auto"/>
        <w:ind w:firstLine="480" w:firstLineChars="200"/>
        <w:rPr>
          <w:rFonts w:hint="eastAsia" w:ascii="宋体" w:hAnsi="宋体"/>
          <w:sz w:val="24"/>
          <w:szCs w:val="21"/>
        </w:rPr>
      </w:pPr>
      <w:r>
        <w:rPr>
          <w:rFonts w:hint="eastAsia" w:ascii="宋体" w:hAnsi="宋体"/>
          <w:sz w:val="24"/>
          <w:szCs w:val="21"/>
        </w:rPr>
        <w:t>2、本次评标设定的技术评分内容有：</w:t>
      </w:r>
    </w:p>
    <w:p>
      <w:pPr>
        <w:spacing w:line="360" w:lineRule="auto"/>
        <w:rPr>
          <w:rFonts w:hint="eastAsia" w:ascii="宋体" w:hAnsi="宋体"/>
          <w:sz w:val="24"/>
          <w:szCs w:val="21"/>
        </w:rPr>
      </w:pP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160"/>
        <w:gridCol w:w="903"/>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line="320" w:lineRule="exact"/>
              <w:jc w:val="center"/>
              <w:rPr>
                <w:rFonts w:ascii="宋体" w:hAnsi="宋体"/>
                <w:b/>
                <w:szCs w:val="21"/>
              </w:rPr>
            </w:pPr>
            <w:r>
              <w:rPr>
                <w:rFonts w:hint="eastAsia" w:ascii="宋体" w:hAnsi="宋体"/>
                <w:b/>
                <w:szCs w:val="21"/>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line="320" w:lineRule="exact"/>
              <w:jc w:val="center"/>
              <w:rPr>
                <w:rFonts w:ascii="宋体" w:hAnsi="宋体"/>
                <w:b/>
                <w:szCs w:val="21"/>
              </w:rPr>
            </w:pPr>
            <w:r>
              <w:rPr>
                <w:rFonts w:hint="eastAsia" w:ascii="宋体" w:hAnsi="宋体"/>
                <w:b/>
                <w:szCs w:val="21"/>
              </w:rPr>
              <w:t>评审因素</w:t>
            </w:r>
          </w:p>
        </w:tc>
        <w:tc>
          <w:tcPr>
            <w:tcW w:w="903"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line="320" w:lineRule="exact"/>
              <w:jc w:val="center"/>
              <w:rPr>
                <w:rFonts w:ascii="宋体" w:hAnsi="宋体"/>
                <w:b/>
                <w:szCs w:val="21"/>
              </w:rPr>
            </w:pPr>
            <w:r>
              <w:rPr>
                <w:rFonts w:hint="eastAsia" w:ascii="宋体" w:hAnsi="宋体"/>
                <w:b/>
                <w:szCs w:val="21"/>
              </w:rPr>
              <w:t>分值</w:t>
            </w:r>
          </w:p>
        </w:tc>
        <w:tc>
          <w:tcPr>
            <w:tcW w:w="4877"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line="320" w:lineRule="exact"/>
              <w:jc w:val="center"/>
              <w:rPr>
                <w:rFonts w:ascii="宋体" w:hAnsi="宋体"/>
                <w:b/>
                <w:szCs w:val="21"/>
              </w:rPr>
            </w:pPr>
            <w:r>
              <w:rPr>
                <w:rFonts w:hint="eastAsia" w:ascii="宋体" w:hAnsi="宋体"/>
                <w:b/>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191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315" w:firstLineChars="150"/>
              <w:jc w:val="left"/>
              <w:rPr>
                <w:rFonts w:hint="eastAsia" w:ascii="宋体" w:hAnsi="宋体"/>
                <w:szCs w:val="21"/>
              </w:rPr>
            </w:pPr>
            <w:r>
              <w:rPr>
                <w:rFonts w:hint="eastAsia" w:ascii="宋体" w:hAnsi="宋体"/>
                <w:szCs w:val="21"/>
              </w:rPr>
              <w:t>1</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line="320" w:lineRule="exact"/>
              <w:rPr>
                <w:rFonts w:ascii="宋体" w:hAnsi="宋体"/>
                <w:szCs w:val="21"/>
              </w:rPr>
            </w:pPr>
            <w:r>
              <w:rPr>
                <w:rFonts w:hint="eastAsia" w:ascii="宋体" w:hAnsi="宋体"/>
                <w:szCs w:val="21"/>
              </w:rPr>
              <w:t>对采购文件第四部分“技术规格书”的响应程度</w:t>
            </w:r>
          </w:p>
        </w:tc>
        <w:tc>
          <w:tcPr>
            <w:tcW w:w="903"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line="320" w:lineRule="exact"/>
              <w:jc w:val="center"/>
              <w:rPr>
                <w:rFonts w:ascii="宋体" w:hAnsi="宋体"/>
                <w:szCs w:val="21"/>
              </w:rPr>
            </w:pPr>
            <w:r>
              <w:rPr>
                <w:rFonts w:hint="eastAsia" w:ascii="宋体" w:hAnsi="宋体"/>
                <w:szCs w:val="21"/>
              </w:rPr>
              <w:t>0-25</w:t>
            </w:r>
          </w:p>
        </w:tc>
        <w:tc>
          <w:tcPr>
            <w:tcW w:w="4877" w:type="dxa"/>
            <w:tcBorders>
              <w:top w:val="single" w:color="auto" w:sz="4" w:space="0"/>
              <w:left w:val="single" w:color="auto" w:sz="4" w:space="0"/>
              <w:right w:val="single" w:color="auto" w:sz="4" w:space="0"/>
            </w:tcBorders>
            <w:noWrap w:val="0"/>
            <w:vAlign w:val="center"/>
          </w:tcPr>
          <w:p>
            <w:pPr>
              <w:tabs>
                <w:tab w:val="left" w:pos="645"/>
              </w:tabs>
              <w:spacing w:line="320" w:lineRule="exact"/>
              <w:rPr>
                <w:rFonts w:ascii="宋体" w:hAnsi="宋体"/>
                <w:color w:val="000000"/>
                <w:szCs w:val="21"/>
              </w:rPr>
            </w:pPr>
            <w:r>
              <w:rPr>
                <w:rFonts w:hint="eastAsia" w:ascii="宋体" w:hAnsi="宋体"/>
                <w:color w:val="000000"/>
                <w:szCs w:val="21"/>
              </w:rPr>
              <w:t>投标设备技术参数及性能指标完全满足采购文件要求的得25分。</w:t>
            </w:r>
          </w:p>
          <w:p>
            <w:pPr>
              <w:tabs>
                <w:tab w:val="left" w:pos="645"/>
              </w:tabs>
              <w:spacing w:line="320" w:lineRule="exact"/>
              <w:rPr>
                <w:rFonts w:ascii="宋体" w:hAnsi="宋体"/>
                <w:color w:val="000000"/>
                <w:szCs w:val="21"/>
              </w:rPr>
            </w:pPr>
            <w:r>
              <w:rPr>
                <w:rFonts w:hint="eastAsia" w:ascii="宋体" w:hAnsi="宋体"/>
                <w:color w:val="000000"/>
                <w:szCs w:val="21"/>
              </w:rPr>
              <w:t>对打“</w:t>
            </w:r>
            <w:r>
              <w:rPr>
                <w:rFonts w:ascii="宋体" w:hAnsi="宋体" w:cs="宋体"/>
                <w:color w:val="000000"/>
                <w:kern w:val="0"/>
                <w:sz w:val="24"/>
              </w:rPr>
              <w:t>▲</w:t>
            </w:r>
            <w:r>
              <w:rPr>
                <w:rFonts w:hint="eastAsia" w:ascii="宋体" w:hAnsi="宋体" w:cs="宋体"/>
                <w:color w:val="000000"/>
                <w:kern w:val="0"/>
                <w:sz w:val="24"/>
              </w:rPr>
              <w:t>”的</w:t>
            </w:r>
            <w:r>
              <w:rPr>
                <w:rFonts w:hint="eastAsia" w:ascii="宋体" w:hAnsi="宋体"/>
                <w:color w:val="000000"/>
                <w:szCs w:val="21"/>
              </w:rPr>
              <w:t>技术参数及性能指标有负偏离的，每一项负偏离扣3分，其他技术参数及性能指标有负偏离的，每一项负偏离扣1分。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70" w:hRule="atLeast"/>
        </w:trPr>
        <w:tc>
          <w:tcPr>
            <w:tcW w:w="828" w:type="dxa"/>
            <w:tcBorders>
              <w:top w:val="single" w:color="auto" w:sz="4" w:space="0"/>
              <w:left w:val="single" w:color="auto" w:sz="4" w:space="0"/>
              <w:right w:val="single" w:color="auto" w:sz="4" w:space="0"/>
            </w:tcBorders>
            <w:noWrap w:val="0"/>
            <w:vAlign w:val="center"/>
          </w:tcPr>
          <w:p>
            <w:pPr>
              <w:tabs>
                <w:tab w:val="left" w:pos="645"/>
              </w:tabs>
              <w:spacing w:line="320" w:lineRule="exact"/>
              <w:jc w:val="center"/>
              <w:rPr>
                <w:rFonts w:ascii="宋体" w:hAnsi="宋体"/>
                <w:color w:val="000000"/>
                <w:szCs w:val="21"/>
              </w:rPr>
            </w:pPr>
            <w:r>
              <w:rPr>
                <w:rFonts w:hint="eastAsia" w:ascii="宋体" w:hAnsi="宋体"/>
                <w:color w:val="000000"/>
                <w:szCs w:val="21"/>
              </w:rPr>
              <w:t>2</w:t>
            </w:r>
          </w:p>
        </w:tc>
        <w:tc>
          <w:tcPr>
            <w:tcW w:w="2160"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宋体" w:hAnsi="宋体"/>
                <w:color w:val="000000"/>
                <w:szCs w:val="21"/>
              </w:rPr>
            </w:pPr>
            <w:r>
              <w:rPr>
                <w:rFonts w:hint="eastAsia" w:ascii="宋体" w:hAnsi="宋体"/>
                <w:color w:val="000000"/>
                <w:szCs w:val="21"/>
              </w:rPr>
              <w:t>对采购文件技术方案的深化设计及建设性意见和建议</w:t>
            </w:r>
          </w:p>
        </w:tc>
        <w:tc>
          <w:tcPr>
            <w:tcW w:w="903" w:type="dxa"/>
            <w:tcBorders>
              <w:top w:val="single" w:color="auto" w:sz="4" w:space="0"/>
              <w:left w:val="single" w:color="auto" w:sz="4" w:space="0"/>
              <w:right w:val="single" w:color="auto" w:sz="4" w:space="0"/>
            </w:tcBorders>
            <w:noWrap w:val="0"/>
            <w:vAlign w:val="center"/>
          </w:tcPr>
          <w:p>
            <w:pPr>
              <w:widowControl/>
              <w:spacing w:line="320" w:lineRule="exact"/>
              <w:ind w:firstLine="210" w:firstLineChars="100"/>
              <w:jc w:val="left"/>
              <w:rPr>
                <w:rFonts w:hint="eastAsia" w:ascii="宋体" w:hAnsi="宋体"/>
                <w:color w:val="000000"/>
                <w:szCs w:val="21"/>
              </w:rPr>
            </w:pPr>
            <w:r>
              <w:rPr>
                <w:rFonts w:hint="eastAsia" w:ascii="宋体" w:hAnsi="宋体"/>
                <w:color w:val="000000"/>
                <w:szCs w:val="21"/>
              </w:rPr>
              <w:t>0-10分</w:t>
            </w:r>
          </w:p>
        </w:tc>
        <w:tc>
          <w:tcPr>
            <w:tcW w:w="48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000000"/>
                <w:szCs w:val="21"/>
              </w:rPr>
            </w:pPr>
            <w:r>
              <w:rPr>
                <w:rFonts w:hint="eastAsia" w:ascii="宋体" w:hAnsi="宋体"/>
                <w:color w:val="000000"/>
                <w:szCs w:val="21"/>
              </w:rPr>
              <w:t>通过实质性的现场勘察（招标文件发布后第7日统一到分局集中由采购人带队踏勘，过期不再组织，休息日顺延），组织技术人员论证，对采购文件设计方案提出独到的优化方案或建设性意见。通过横向对比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06" w:hRule="atLeast"/>
        </w:trPr>
        <w:tc>
          <w:tcPr>
            <w:tcW w:w="828" w:type="dxa"/>
            <w:tcBorders>
              <w:top w:val="single" w:color="auto" w:sz="4" w:space="0"/>
              <w:left w:val="single" w:color="auto" w:sz="4" w:space="0"/>
              <w:right w:val="single" w:color="auto" w:sz="4" w:space="0"/>
            </w:tcBorders>
            <w:noWrap w:val="0"/>
            <w:vAlign w:val="center"/>
          </w:tcPr>
          <w:p>
            <w:pPr>
              <w:tabs>
                <w:tab w:val="left" w:pos="645"/>
              </w:tabs>
              <w:spacing w:line="320" w:lineRule="exact"/>
              <w:jc w:val="center"/>
              <w:rPr>
                <w:rFonts w:ascii="宋体" w:hAnsi="宋体"/>
                <w:color w:val="000000"/>
                <w:szCs w:val="21"/>
              </w:rPr>
            </w:pPr>
            <w:r>
              <w:rPr>
                <w:rFonts w:hint="eastAsia" w:ascii="宋体" w:hAnsi="宋体"/>
                <w:color w:val="000000"/>
                <w:szCs w:val="21"/>
              </w:rPr>
              <w:t>3</w:t>
            </w:r>
          </w:p>
        </w:tc>
        <w:tc>
          <w:tcPr>
            <w:tcW w:w="2160" w:type="dxa"/>
            <w:tcBorders>
              <w:top w:val="single" w:color="auto" w:sz="4" w:space="0"/>
              <w:left w:val="single" w:color="auto" w:sz="4" w:space="0"/>
              <w:right w:val="single" w:color="auto" w:sz="4" w:space="0"/>
            </w:tcBorders>
            <w:noWrap w:val="0"/>
            <w:vAlign w:val="center"/>
          </w:tcPr>
          <w:p>
            <w:pPr>
              <w:tabs>
                <w:tab w:val="left" w:pos="645"/>
              </w:tabs>
              <w:spacing w:line="320" w:lineRule="exact"/>
              <w:rPr>
                <w:rFonts w:ascii="宋体" w:hAnsi="宋体"/>
                <w:color w:val="000000"/>
                <w:szCs w:val="21"/>
              </w:rPr>
            </w:pPr>
            <w:r>
              <w:rPr>
                <w:rFonts w:hint="eastAsia" w:ascii="宋体" w:hAnsi="宋体"/>
                <w:color w:val="000000"/>
                <w:szCs w:val="21"/>
              </w:rPr>
              <w:t>光缆链路组织情况、工程进度安排综合评分</w:t>
            </w:r>
          </w:p>
        </w:tc>
        <w:tc>
          <w:tcPr>
            <w:tcW w:w="903" w:type="dxa"/>
            <w:tcBorders>
              <w:top w:val="single" w:color="auto" w:sz="4" w:space="0"/>
              <w:left w:val="single" w:color="auto" w:sz="4" w:space="0"/>
              <w:right w:val="single" w:color="auto" w:sz="4" w:space="0"/>
            </w:tcBorders>
            <w:noWrap w:val="0"/>
            <w:vAlign w:val="center"/>
          </w:tcPr>
          <w:p>
            <w:pPr>
              <w:tabs>
                <w:tab w:val="left" w:pos="645"/>
              </w:tabs>
              <w:spacing w:line="320" w:lineRule="exact"/>
              <w:jc w:val="center"/>
              <w:rPr>
                <w:rFonts w:ascii="宋体" w:hAnsi="宋体"/>
                <w:color w:val="000000"/>
                <w:szCs w:val="21"/>
              </w:rPr>
            </w:pPr>
            <w:r>
              <w:rPr>
                <w:rFonts w:hint="eastAsia" w:ascii="宋体" w:hAnsi="宋体"/>
                <w:color w:val="000000"/>
                <w:szCs w:val="21"/>
              </w:rPr>
              <w:t>0-10分</w:t>
            </w:r>
          </w:p>
        </w:tc>
        <w:tc>
          <w:tcPr>
            <w:tcW w:w="48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000000"/>
                <w:szCs w:val="21"/>
              </w:rPr>
            </w:pPr>
            <w:r>
              <w:rPr>
                <w:rFonts w:hint="eastAsia" w:ascii="宋体" w:hAnsi="宋体"/>
                <w:color w:val="000000"/>
                <w:szCs w:val="21"/>
              </w:rPr>
              <w:t>具有明确详细的光缆链路组织结构图，并根据工程工期要求合理安排施工进度，作出进度承诺，是否能提前完工等。通过横向对比综合打分。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129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szCs w:val="21"/>
              </w:rPr>
              <w:t>4</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szCs w:val="21"/>
              </w:rPr>
              <w:t>施工组织方案</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szCs w:val="21"/>
              </w:rPr>
              <w:t>0-10分</w:t>
            </w:r>
          </w:p>
        </w:tc>
        <w:tc>
          <w:tcPr>
            <w:tcW w:w="4877"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line="320" w:lineRule="exact"/>
              <w:ind w:left="105" w:leftChars="50"/>
              <w:rPr>
                <w:rFonts w:ascii="宋体" w:hAnsi="宋体"/>
                <w:szCs w:val="21"/>
              </w:rPr>
            </w:pPr>
            <w:r>
              <w:rPr>
                <w:rFonts w:hint="eastAsia" w:ascii="宋体" w:hAnsi="宋体"/>
                <w:color w:val="000000"/>
                <w:szCs w:val="21"/>
              </w:rPr>
              <w:t>综合施工单位的技术实力，施工组织计划的合理性，</w:t>
            </w:r>
          </w:p>
          <w:p>
            <w:pPr>
              <w:tabs>
                <w:tab w:val="left" w:pos="645"/>
              </w:tabs>
              <w:spacing w:line="320" w:lineRule="exact"/>
              <w:ind w:left="105" w:leftChars="50"/>
              <w:rPr>
                <w:rFonts w:hint="eastAsia" w:ascii="宋体" w:hAnsi="宋体"/>
                <w:color w:val="000000"/>
                <w:szCs w:val="21"/>
              </w:rPr>
            </w:pPr>
            <w:r>
              <w:rPr>
                <w:rFonts w:hint="eastAsia" w:ascii="宋体" w:hAnsi="宋体"/>
                <w:color w:val="000000"/>
                <w:szCs w:val="21"/>
              </w:rPr>
              <w:t>工程进度安排情况及针对本次投标工程的质量保</w:t>
            </w:r>
          </w:p>
          <w:p>
            <w:pPr>
              <w:tabs>
                <w:tab w:val="left" w:pos="645"/>
              </w:tabs>
              <w:spacing w:line="320" w:lineRule="exact"/>
              <w:ind w:left="105" w:leftChars="50"/>
              <w:rPr>
                <w:rFonts w:hint="eastAsia" w:ascii="宋体" w:hAnsi="宋体"/>
                <w:szCs w:val="21"/>
              </w:rPr>
            </w:pPr>
            <w:r>
              <w:rPr>
                <w:rFonts w:hint="eastAsia" w:ascii="宋体" w:hAnsi="宋体"/>
                <w:color w:val="000000"/>
                <w:szCs w:val="21"/>
              </w:rPr>
              <w:t>证体系，综合打分。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1890" w:hRule="atLeast"/>
        </w:trPr>
        <w:tc>
          <w:tcPr>
            <w:tcW w:w="828"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szCs w:val="21"/>
              </w:rPr>
              <w:t>5</w:t>
            </w:r>
          </w:p>
        </w:tc>
        <w:tc>
          <w:tcPr>
            <w:tcW w:w="2160"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cs="宋体"/>
                <w:szCs w:val="21"/>
                <w:lang w:bidi="ar"/>
              </w:rPr>
              <w:t>售后服务、维修网点设置及维修人员配备情况综合评分</w:t>
            </w:r>
          </w:p>
        </w:tc>
        <w:tc>
          <w:tcPr>
            <w:tcW w:w="903"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szCs w:val="21"/>
              </w:rPr>
              <w:t>0-5分</w:t>
            </w:r>
          </w:p>
        </w:tc>
        <w:tc>
          <w:tcPr>
            <w:tcW w:w="48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kern w:val="0"/>
                <w:sz w:val="24"/>
                <w:szCs w:val="68"/>
              </w:rPr>
            </w:pPr>
            <w:r>
              <w:rPr>
                <w:rFonts w:hint="eastAsia"/>
              </w:rPr>
              <w:t>投标人提供的售后维护机构和人员等情况，是否具有较强的本地化服务能力，在本地是否拥有常驻服务和技术支持机构（非本地投标人在上虞是否有分公司或办事处或第三方协作单位作为常驻服务和技术支持机构）以及较强的专业技术队伍（提供技术人员技术职称复印件），能提供快速的售后服务响应。</w:t>
            </w:r>
            <w:r>
              <w:rPr>
                <w:rFonts w:hint="eastAsia" w:ascii="宋体" w:hAnsi="宋体"/>
                <w:color w:val="000000"/>
                <w:szCs w:val="21"/>
              </w:rPr>
              <w:t>综合打分。</w:t>
            </w:r>
          </w:p>
        </w:tc>
      </w:tr>
    </w:tbl>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pStyle w:val="2"/>
        <w:spacing w:line="360" w:lineRule="auto"/>
        <w:rPr>
          <w:rFonts w:hint="eastAsia" w:ascii="黑体" w:eastAsia="黑体"/>
          <w:sz w:val="32"/>
        </w:rPr>
      </w:pPr>
      <w:bookmarkStart w:id="22" w:name="_Toc2852589"/>
      <w:r>
        <w:rPr>
          <w:rFonts w:hint="eastAsia" w:ascii="黑体" w:eastAsia="黑体"/>
          <w:sz w:val="32"/>
        </w:rPr>
        <w:t>第四部分 招标采购内容与技术规格书</w:t>
      </w:r>
      <w:bookmarkEnd w:id="18"/>
      <w:bookmarkEnd w:id="19"/>
      <w:bookmarkEnd w:id="22"/>
    </w:p>
    <w:p>
      <w:pPr>
        <w:pStyle w:val="3"/>
        <w:spacing w:line="360" w:lineRule="auto"/>
        <w:jc w:val="center"/>
        <w:rPr>
          <w:kern w:val="0"/>
        </w:rPr>
      </w:pPr>
      <w:bookmarkStart w:id="23" w:name="_Toc2852590"/>
      <w:r>
        <w:rPr>
          <w:rFonts w:hint="eastAsia"/>
          <w:kern w:val="0"/>
        </w:rPr>
        <w:t>第一章　技术规范及要求</w:t>
      </w:r>
      <w:bookmarkEnd w:id="23"/>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　</w:t>
      </w:r>
      <w:r>
        <w:rPr>
          <w:rFonts w:hint="eastAsia" w:ascii="宋体"/>
          <w:kern w:val="0"/>
          <w:sz w:val="24"/>
        </w:rPr>
        <w:t>总则</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1.1　</w:t>
      </w:r>
      <w:r>
        <w:rPr>
          <w:rFonts w:hint="eastAsia" w:ascii="宋体"/>
          <w:kern w:val="0"/>
          <w:sz w:val="24"/>
        </w:rPr>
        <w:t>本章提出了货物的功能设计、结构、性能、安装和试验等方面的技术要求。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　</w:t>
      </w:r>
      <w:r>
        <w:rPr>
          <w:rFonts w:hint="eastAsia" w:ascii="宋体"/>
          <w:kern w:val="0"/>
          <w:sz w:val="24"/>
        </w:rPr>
        <w:t>中标人提供的货物必须符合国家及浙江省等有关安全、环保等强制性标准的要求（如锅炉与压力容器、高电压货物等）。</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　</w:t>
      </w:r>
      <w:r>
        <w:rPr>
          <w:rFonts w:hint="eastAsia" w:ascii="宋体"/>
          <w:kern w:val="0"/>
          <w:sz w:val="24"/>
        </w:rPr>
        <w:t>采购人在本章中还可提出本次采购的技术要求。</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1.4　</w:t>
      </w:r>
      <w:r>
        <w:rPr>
          <w:rFonts w:hint="eastAsia" w:ascii="宋体"/>
          <w:kern w:val="0"/>
          <w:sz w:val="24"/>
        </w:rPr>
        <w:t>中标人应提供一套满足本规范书和所列标准要求的高质量产品及其相应服务。</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1.5　</w:t>
      </w:r>
      <w:r>
        <w:rPr>
          <w:rFonts w:hint="eastAsia" w:ascii="宋体"/>
          <w:kern w:val="0"/>
          <w:sz w:val="24"/>
        </w:rPr>
        <w:t>如未对本规范书提出偏差，将认为中标人提供的货物符合规范书和标准的要求。偏差（无论多少）都必须清楚地表示在投标文件中（要求填写附件</w:t>
      </w:r>
      <w:r>
        <w:rPr>
          <w:rFonts w:hint="eastAsia" w:ascii="宋体"/>
          <w:kern w:val="0"/>
          <w:sz w:val="24"/>
          <w:szCs w:val="68"/>
        </w:rPr>
        <w:t>七：</w:t>
      </w:r>
      <w:r>
        <w:rPr>
          <w:rFonts w:hint="eastAsia" w:ascii="宋体"/>
          <w:kern w:val="0"/>
          <w:sz w:val="24"/>
        </w:rPr>
        <w:t>《技术规范</w:t>
      </w:r>
      <w:r>
        <w:rPr>
          <w:rFonts w:hint="eastAsia" w:ascii="宋体" w:hAnsi="宋体"/>
          <w:kern w:val="0"/>
          <w:sz w:val="24"/>
        </w:rPr>
        <w:t>/</w:t>
      </w:r>
      <w:r>
        <w:rPr>
          <w:rFonts w:hint="eastAsia" w:ascii="宋体"/>
          <w:kern w:val="0"/>
          <w:sz w:val="24"/>
        </w:rPr>
        <w:t>规格偏离及建议表》）。</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1.6　</w:t>
      </w:r>
      <w:r>
        <w:rPr>
          <w:rFonts w:hint="eastAsia" w:ascii="宋体"/>
          <w:kern w:val="0"/>
          <w:sz w:val="24"/>
        </w:rPr>
        <w:t>中标人须执行本规范书所列标准。标准若有矛盾时，按较高标准执行。</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1.7　</w:t>
      </w:r>
      <w:r>
        <w:rPr>
          <w:rFonts w:hint="eastAsia" w:ascii="宋体"/>
          <w:kern w:val="0"/>
          <w:sz w:val="24"/>
        </w:rPr>
        <w:t>按本章</w:t>
      </w:r>
      <w:r>
        <w:rPr>
          <w:rFonts w:hint="eastAsia" w:ascii="宋体"/>
          <w:kern w:val="0"/>
          <w:sz w:val="24"/>
          <w:szCs w:val="68"/>
        </w:rPr>
        <w:t>第3.3条的</w:t>
      </w:r>
      <w:r>
        <w:rPr>
          <w:rFonts w:hint="eastAsia" w:ascii="宋体"/>
          <w:kern w:val="0"/>
          <w:sz w:val="24"/>
        </w:rPr>
        <w:t>要求，中标人需提出合同货物的设计、制造、检验</w:t>
      </w:r>
      <w:r>
        <w:rPr>
          <w:rFonts w:hint="eastAsia" w:ascii="宋体"/>
          <w:kern w:val="0"/>
          <w:sz w:val="24"/>
          <w:szCs w:val="68"/>
        </w:rPr>
        <w:t>和</w:t>
      </w:r>
      <w:r>
        <w:rPr>
          <w:rFonts w:hint="eastAsia" w:ascii="宋体"/>
          <w:kern w:val="0"/>
          <w:sz w:val="24"/>
        </w:rPr>
        <w:t>试验、装配、安装、调试、试运、验收、试验、运行和维护等标准清单，并获得采购人确认。具体的时间要求为：合同签订后</w:t>
      </w:r>
      <w:r>
        <w:rPr>
          <w:rFonts w:hint="eastAsia" w:ascii="宋体"/>
          <w:kern w:val="0"/>
          <w:sz w:val="24"/>
          <w:u w:val="single"/>
        </w:rPr>
        <w:t>　7　</w:t>
      </w:r>
      <w:r>
        <w:rPr>
          <w:rFonts w:hint="eastAsia" w:ascii="宋体"/>
          <w:kern w:val="0"/>
          <w:sz w:val="24"/>
        </w:rPr>
        <w:t>天内。</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　</w:t>
      </w:r>
      <w:r>
        <w:rPr>
          <w:rFonts w:hint="eastAsia" w:ascii="宋体"/>
          <w:kern w:val="0"/>
          <w:sz w:val="24"/>
        </w:rPr>
        <w:t>项目概况</w:t>
      </w:r>
    </w:p>
    <w:p>
      <w:pPr>
        <w:autoSpaceDE w:val="0"/>
        <w:autoSpaceDN w:val="0"/>
        <w:adjustRightInd w:val="0"/>
        <w:spacing w:line="360" w:lineRule="auto"/>
        <w:ind w:firstLine="480" w:firstLineChars="200"/>
        <w:jc w:val="left"/>
        <w:rPr>
          <w:rFonts w:ascii="宋体"/>
          <w:b/>
          <w:kern w:val="0"/>
          <w:sz w:val="24"/>
        </w:rPr>
      </w:pPr>
      <w:r>
        <w:rPr>
          <w:rFonts w:hint="eastAsia" w:ascii="宋体"/>
          <w:b/>
          <w:kern w:val="0"/>
          <w:sz w:val="24"/>
          <w:szCs w:val="68"/>
        </w:rPr>
        <w:t>2.1　</w:t>
      </w:r>
      <w:r>
        <w:rPr>
          <w:rFonts w:hint="eastAsia" w:ascii="宋体"/>
          <w:b/>
          <w:kern w:val="0"/>
          <w:sz w:val="24"/>
        </w:rPr>
        <w:t>总体情况</w:t>
      </w:r>
    </w:p>
    <w:p>
      <w:pPr>
        <w:autoSpaceDE w:val="0"/>
        <w:autoSpaceDN w:val="0"/>
        <w:adjustRightInd w:val="0"/>
        <w:spacing w:line="300" w:lineRule="exact"/>
        <w:ind w:firstLine="480" w:firstLineChars="200"/>
        <w:jc w:val="left"/>
        <w:rPr>
          <w:rFonts w:ascii="宋体"/>
          <w:color w:val="000000"/>
          <w:kern w:val="0"/>
          <w:sz w:val="24"/>
        </w:rPr>
      </w:pPr>
      <w:r>
        <w:rPr>
          <w:rFonts w:hint="eastAsia" w:ascii="宋体"/>
          <w:b/>
          <w:color w:val="000000"/>
          <w:kern w:val="0"/>
          <w:sz w:val="24"/>
        </w:rPr>
        <w:t>2.1.1　地理位置：</w:t>
      </w:r>
      <w:r>
        <w:rPr>
          <w:rFonts w:hint="eastAsia" w:ascii="宋体"/>
          <w:color w:val="000000"/>
          <w:kern w:val="0"/>
          <w:sz w:val="24"/>
        </w:rPr>
        <w:t>绍兴市上虞区有关乡镇、街道、杭州湾上虞工业园区管委会。</w:t>
      </w:r>
    </w:p>
    <w:p>
      <w:pPr>
        <w:spacing w:line="360" w:lineRule="auto"/>
        <w:ind w:firstLine="480" w:firstLineChars="200"/>
        <w:rPr>
          <w:rFonts w:ascii="宋体"/>
          <w:b/>
          <w:color w:val="000000"/>
          <w:kern w:val="0"/>
          <w:sz w:val="24"/>
        </w:rPr>
      </w:pPr>
      <w:r>
        <w:rPr>
          <w:rFonts w:hint="eastAsia" w:ascii="宋体"/>
          <w:b/>
          <w:color w:val="000000"/>
          <w:kern w:val="0"/>
          <w:sz w:val="24"/>
        </w:rPr>
        <w:t>2.1.2　项目规模：</w:t>
      </w:r>
    </w:p>
    <w:p>
      <w:pPr>
        <w:autoSpaceDE w:val="0"/>
        <w:autoSpaceDN w:val="0"/>
        <w:adjustRightInd w:val="0"/>
        <w:spacing w:line="360" w:lineRule="auto"/>
        <w:ind w:firstLine="480" w:firstLineChars="200"/>
        <w:jc w:val="left"/>
        <w:rPr>
          <w:rFonts w:ascii="宋体"/>
          <w:b/>
          <w:kern w:val="0"/>
          <w:sz w:val="24"/>
          <w:szCs w:val="68"/>
        </w:rPr>
      </w:pPr>
      <w:r>
        <w:rPr>
          <w:rFonts w:hint="eastAsia" w:ascii="宋体"/>
          <w:kern w:val="0"/>
          <w:sz w:val="24"/>
          <w:szCs w:val="68"/>
        </w:rPr>
        <w:t>⑴《上虞区第二期社会治安动态视频监控系统升级改造及租赁（租期五年）》项目拟对172个视频监控点位进行升级改造，其中：百官60个，驿亭6个，小越12个，盖北12个，道墟6个，曹娥40个，上浦6个，汤浦6个，梁湖12个，丰惠6个，永和6个。本次升级改造前端监控点及中心存储设备，模拟球机升级为最新的200万像素高清黑光快球，加装172个400万像素高清枪式摄像机并用LED灯补光，以补充监控死角。同时根据浙江省、绍兴市关于“雪亮工程”项目下发的有关视频图像感知系统建设任务清单，区、县监控平台需搭建视频监控云存储系统平台、视频解析云平台的要求，今后视频监控图像都采取云存储系统，为此本次改造需搭建云存储系统平台。</w:t>
      </w:r>
      <w:r>
        <w:rPr>
          <w:rFonts w:hint="eastAsia" w:ascii="宋体"/>
          <w:b/>
          <w:kern w:val="0"/>
          <w:sz w:val="24"/>
          <w:szCs w:val="68"/>
        </w:rPr>
        <w:t>年租金预算134万元，五年共670万。</w:t>
      </w:r>
    </w:p>
    <w:p>
      <w:pPr>
        <w:autoSpaceDE w:val="0"/>
        <w:autoSpaceDN w:val="0"/>
        <w:adjustRightInd w:val="0"/>
        <w:spacing w:line="360" w:lineRule="auto"/>
        <w:ind w:firstLine="480" w:firstLineChars="200"/>
        <w:jc w:val="left"/>
        <w:rPr>
          <w:rFonts w:ascii="宋体"/>
          <w:kern w:val="0"/>
          <w:sz w:val="24"/>
          <w:szCs w:val="68"/>
        </w:rPr>
      </w:pPr>
      <w:r>
        <w:rPr>
          <w:rFonts w:hint="eastAsia" w:ascii="宋体"/>
          <w:kern w:val="0"/>
          <w:sz w:val="24"/>
          <w:szCs w:val="68"/>
        </w:rPr>
        <w:t>⑵《公共自行车服务投放点视频监控系统第一期升级改造及租赁（租期五年）》将原34公共自行车服务投放点视频监控点升级为200万像素摄像机，同时进行视频监控云存储改造。</w:t>
      </w:r>
      <w:r>
        <w:rPr>
          <w:rFonts w:hint="eastAsia" w:ascii="宋体"/>
          <w:b/>
          <w:kern w:val="0"/>
          <w:sz w:val="24"/>
          <w:szCs w:val="68"/>
        </w:rPr>
        <w:t>年租金预算18万元，五年共90万。</w:t>
      </w:r>
    </w:p>
    <w:p>
      <w:pPr>
        <w:autoSpaceDE w:val="0"/>
        <w:autoSpaceDN w:val="0"/>
        <w:adjustRightInd w:val="0"/>
        <w:spacing w:line="360" w:lineRule="auto"/>
        <w:ind w:firstLine="480" w:firstLineChars="200"/>
        <w:jc w:val="left"/>
        <w:rPr>
          <w:rFonts w:ascii="宋体"/>
          <w:b/>
          <w:color w:val="000000"/>
          <w:kern w:val="0"/>
          <w:sz w:val="24"/>
        </w:rPr>
      </w:pPr>
      <w:r>
        <w:rPr>
          <w:rFonts w:hint="eastAsia" w:ascii="宋体"/>
          <w:kern w:val="0"/>
          <w:sz w:val="24"/>
          <w:szCs w:val="68"/>
        </w:rPr>
        <w:t>⑶《上虞区易**化学品可视化管理系统升级改造及租赁（租期五年）》项目，将原25家易**企业中（已有倒闭2家）23家易**企业视频监控点升级为200万像素摄像机，同时进行视频监控云存储改造。</w:t>
      </w:r>
      <w:r>
        <w:rPr>
          <w:rFonts w:hint="eastAsia" w:ascii="宋体"/>
          <w:b/>
          <w:kern w:val="0"/>
          <w:sz w:val="24"/>
          <w:szCs w:val="68"/>
        </w:rPr>
        <w:t>年租金预算14万元，五年共70万。</w:t>
      </w:r>
      <w:r>
        <w:rPr>
          <w:rFonts w:hint="eastAsia" w:ascii="宋体"/>
          <w:b/>
          <w:color w:val="000000"/>
          <w:kern w:val="0"/>
          <w:sz w:val="24"/>
        </w:rPr>
        <w:t xml:space="preserve">             </w:t>
      </w:r>
    </w:p>
    <w:p>
      <w:pPr>
        <w:autoSpaceDE w:val="0"/>
        <w:autoSpaceDN w:val="0"/>
        <w:adjustRightInd w:val="0"/>
        <w:spacing w:line="360" w:lineRule="auto"/>
        <w:ind w:firstLine="480" w:firstLineChars="200"/>
        <w:jc w:val="left"/>
        <w:rPr>
          <w:rFonts w:ascii="宋体"/>
          <w:kern w:val="0"/>
          <w:sz w:val="24"/>
          <w:szCs w:val="68"/>
        </w:rPr>
      </w:pPr>
      <w:r>
        <w:rPr>
          <w:rFonts w:hint="eastAsia" w:ascii="宋体"/>
          <w:b/>
          <w:kern w:val="0"/>
          <w:sz w:val="24"/>
          <w:szCs w:val="68"/>
        </w:rPr>
        <w:t>2.1.3　其他情况：</w:t>
      </w:r>
      <w:r>
        <w:rPr>
          <w:rFonts w:hint="eastAsia" w:ascii="宋体"/>
          <w:kern w:val="0"/>
          <w:sz w:val="24"/>
          <w:szCs w:val="68"/>
        </w:rPr>
        <w:t>本项目按照绍兴市公安局上虞区分局提出的建设标准，供应商投资建设，公安分局通过公开招标的方式，由成交供应商与区公安分局、有关乡镇、街道、杭州湾上虞工业园区管委会签订租赁合同的形式，按年支付租金的方法进行采购。租金包含监控等设备正常运行所需电费、网络租赁费、点位移机，工程完成后所需的其他费用等。</w:t>
      </w:r>
    </w:p>
    <w:p>
      <w:pPr>
        <w:autoSpaceDE w:val="0"/>
        <w:autoSpaceDN w:val="0"/>
        <w:adjustRightInd w:val="0"/>
        <w:spacing w:line="360" w:lineRule="auto"/>
        <w:ind w:firstLine="480" w:firstLineChars="200"/>
        <w:jc w:val="left"/>
        <w:rPr>
          <w:rFonts w:ascii="宋体"/>
          <w:b/>
          <w:kern w:val="0"/>
          <w:sz w:val="24"/>
          <w:szCs w:val="68"/>
        </w:rPr>
      </w:pPr>
      <w:r>
        <w:rPr>
          <w:rFonts w:hint="eastAsia" w:ascii="宋体"/>
          <w:b/>
          <w:kern w:val="0"/>
          <w:sz w:val="24"/>
          <w:szCs w:val="68"/>
        </w:rPr>
        <w:t>2.2指导思想</w:t>
      </w:r>
    </w:p>
    <w:p>
      <w:pPr>
        <w:tabs>
          <w:tab w:val="left" w:pos="0"/>
        </w:tabs>
        <w:snapToGrid w:val="0"/>
        <w:spacing w:line="300" w:lineRule="exact"/>
        <w:ind w:firstLine="480" w:firstLineChars="200"/>
        <w:jc w:val="left"/>
        <w:rPr>
          <w:bCs/>
          <w:color w:val="000000"/>
          <w:sz w:val="24"/>
        </w:rPr>
      </w:pPr>
      <w:r>
        <w:rPr>
          <w:rFonts w:hint="eastAsia"/>
          <w:bCs/>
          <w:color w:val="000000"/>
          <w:sz w:val="24"/>
        </w:rPr>
        <w:t>2．2．1 本着“可靠、先进、经济、实用”和“统一规划、分步实施”的原则，充分利用现有资源，结合绍兴市上虞区具体情况和实际需求进行设计选型。</w:t>
      </w:r>
    </w:p>
    <w:p>
      <w:pPr>
        <w:tabs>
          <w:tab w:val="left" w:pos="1260"/>
        </w:tabs>
        <w:snapToGrid w:val="0"/>
        <w:spacing w:line="300" w:lineRule="exact"/>
        <w:ind w:left="1260" w:leftChars="343" w:hanging="540" w:hangingChars="225"/>
        <w:jc w:val="left"/>
        <w:rPr>
          <w:rFonts w:ascii="Verdana" w:hAnsi="Verdana"/>
          <w:color w:val="000000"/>
          <w:sz w:val="24"/>
          <w:szCs w:val="18"/>
        </w:rPr>
      </w:pPr>
      <w:r>
        <w:rPr>
          <w:rFonts w:hint="eastAsia" w:ascii="Verdana" w:hAnsi="Verdana"/>
          <w:b/>
          <w:color w:val="000000"/>
          <w:sz w:val="24"/>
          <w:szCs w:val="18"/>
        </w:rPr>
        <w:t>可靠：</w:t>
      </w:r>
      <w:r>
        <w:rPr>
          <w:rFonts w:hint="eastAsia" w:ascii="Verdana" w:hAnsi="Verdana"/>
          <w:color w:val="000000"/>
          <w:sz w:val="24"/>
          <w:szCs w:val="18"/>
        </w:rPr>
        <w:t>在本地大气条件下平均无故障工作时间（</w:t>
      </w:r>
      <w:r>
        <w:rPr>
          <w:color w:val="000000"/>
          <w:sz w:val="24"/>
          <w:szCs w:val="18"/>
        </w:rPr>
        <w:t>MTBF</w:t>
      </w:r>
      <w:r>
        <w:rPr>
          <w:rFonts w:hint="eastAsia" w:ascii="Verdana" w:hAnsi="Verdana"/>
          <w:color w:val="000000"/>
          <w:sz w:val="24"/>
          <w:szCs w:val="18"/>
        </w:rPr>
        <w:t>）不小于</w:t>
      </w:r>
      <w:r>
        <w:rPr>
          <w:color w:val="000000"/>
          <w:sz w:val="24"/>
          <w:szCs w:val="18"/>
        </w:rPr>
        <w:t>10000小时</w:t>
      </w:r>
      <w:r>
        <w:rPr>
          <w:rFonts w:hint="eastAsia" w:ascii="Verdana" w:hAnsi="Verdana"/>
          <w:color w:val="000000"/>
          <w:sz w:val="24"/>
          <w:szCs w:val="18"/>
        </w:rPr>
        <w:t>。</w:t>
      </w:r>
    </w:p>
    <w:p>
      <w:pPr>
        <w:tabs>
          <w:tab w:val="left" w:pos="1260"/>
        </w:tabs>
        <w:snapToGrid w:val="0"/>
        <w:spacing w:line="300" w:lineRule="exact"/>
        <w:ind w:left="1260" w:leftChars="343" w:hanging="540" w:hangingChars="225"/>
        <w:jc w:val="left"/>
        <w:rPr>
          <w:rFonts w:ascii="Verdana" w:hAnsi="Verdana"/>
          <w:color w:val="000000"/>
          <w:sz w:val="24"/>
          <w:szCs w:val="18"/>
        </w:rPr>
      </w:pPr>
      <w:r>
        <w:rPr>
          <w:rFonts w:hint="eastAsia" w:ascii="Verdana" w:hAnsi="Verdana"/>
          <w:b/>
          <w:color w:val="000000"/>
          <w:sz w:val="24"/>
          <w:szCs w:val="18"/>
        </w:rPr>
        <w:t>先进：</w:t>
      </w:r>
      <w:r>
        <w:rPr>
          <w:rFonts w:hint="eastAsia" w:ascii="Verdana" w:hAnsi="Verdana"/>
          <w:color w:val="000000"/>
          <w:sz w:val="24"/>
          <w:szCs w:val="18"/>
        </w:rPr>
        <w:t>在技术上应有适度超前，便于扩展和升级，在一定时期内具有先进性。</w:t>
      </w:r>
    </w:p>
    <w:p>
      <w:pPr>
        <w:tabs>
          <w:tab w:val="left" w:pos="1260"/>
        </w:tabs>
        <w:snapToGrid w:val="0"/>
        <w:spacing w:line="300" w:lineRule="exact"/>
        <w:ind w:left="1260" w:leftChars="343" w:hanging="540" w:hangingChars="225"/>
        <w:jc w:val="left"/>
        <w:rPr>
          <w:rFonts w:ascii="Verdana" w:hAnsi="Verdana"/>
          <w:color w:val="000000"/>
          <w:sz w:val="24"/>
          <w:szCs w:val="18"/>
        </w:rPr>
      </w:pPr>
      <w:r>
        <w:rPr>
          <w:rFonts w:hint="eastAsia" w:ascii="Verdana" w:hAnsi="Verdana"/>
          <w:b/>
          <w:color w:val="000000"/>
          <w:sz w:val="24"/>
          <w:szCs w:val="18"/>
        </w:rPr>
        <w:t>经济：</w:t>
      </w:r>
      <w:r>
        <w:rPr>
          <w:rFonts w:hint="eastAsia" w:ascii="Verdana" w:hAnsi="Verdana"/>
          <w:color w:val="000000"/>
          <w:sz w:val="24"/>
          <w:szCs w:val="18"/>
        </w:rPr>
        <w:t>优化设计，造价合理，具有较高的性能价格比和较低的维护开销。</w:t>
      </w:r>
    </w:p>
    <w:p>
      <w:pPr>
        <w:tabs>
          <w:tab w:val="left" w:pos="1260"/>
        </w:tabs>
        <w:snapToGrid w:val="0"/>
        <w:spacing w:line="300" w:lineRule="exact"/>
        <w:ind w:left="1260" w:leftChars="343" w:hanging="540" w:hangingChars="225"/>
        <w:jc w:val="left"/>
        <w:rPr>
          <w:bCs/>
          <w:color w:val="000000"/>
          <w:sz w:val="24"/>
        </w:rPr>
      </w:pPr>
      <w:r>
        <w:rPr>
          <w:rFonts w:hint="eastAsia" w:ascii="Verdana" w:hAnsi="Verdana"/>
          <w:b/>
          <w:color w:val="000000"/>
          <w:sz w:val="24"/>
          <w:szCs w:val="18"/>
        </w:rPr>
        <w:t>实用：</w:t>
      </w:r>
      <w:r>
        <w:rPr>
          <w:rFonts w:hint="eastAsia" w:ascii="Verdana" w:hAnsi="Verdana"/>
          <w:color w:val="000000"/>
          <w:sz w:val="24"/>
          <w:szCs w:val="18"/>
        </w:rPr>
        <w:t>操作简单，显示明了，维修方便，经久耐用</w:t>
      </w:r>
      <w:r>
        <w:rPr>
          <w:rFonts w:hint="eastAsia"/>
          <w:bCs/>
          <w:color w:val="000000"/>
          <w:sz w:val="24"/>
        </w:rPr>
        <w:t>，</w:t>
      </w:r>
      <w:r>
        <w:rPr>
          <w:rFonts w:hint="eastAsia" w:ascii="Verdana" w:hAnsi="Verdana"/>
          <w:color w:val="000000"/>
          <w:sz w:val="24"/>
          <w:szCs w:val="18"/>
        </w:rPr>
        <w:t>实现系统的计算机网络化处理及信息共享，并保证系统及网络安全。</w:t>
      </w:r>
    </w:p>
    <w:p>
      <w:pPr>
        <w:spacing w:line="300" w:lineRule="exact"/>
        <w:ind w:firstLine="480" w:firstLineChars="200"/>
        <w:rPr>
          <w:b/>
          <w:bCs/>
          <w:sz w:val="24"/>
        </w:rPr>
      </w:pPr>
      <w:r>
        <w:rPr>
          <w:rFonts w:hint="eastAsia"/>
          <w:bCs/>
          <w:sz w:val="24"/>
        </w:rPr>
        <w:t>2．2．2</w:t>
      </w:r>
      <w:r>
        <w:rPr>
          <w:rFonts w:hint="eastAsia"/>
          <w:b/>
          <w:bCs/>
          <w:sz w:val="24"/>
        </w:rPr>
        <w:t>建设目标</w:t>
      </w:r>
    </w:p>
    <w:p>
      <w:pPr>
        <w:tabs>
          <w:tab w:val="left" w:pos="0"/>
        </w:tabs>
        <w:snapToGrid w:val="0"/>
        <w:spacing w:line="300" w:lineRule="exact"/>
        <w:ind w:firstLine="470" w:firstLineChars="196"/>
        <w:jc w:val="left"/>
        <w:rPr>
          <w:bCs/>
          <w:sz w:val="24"/>
        </w:rPr>
      </w:pPr>
      <w:r>
        <w:rPr>
          <w:rFonts w:hint="eastAsia" w:ascii="宋体" w:hAnsi="宋体"/>
          <w:bCs/>
          <w:sz w:val="24"/>
        </w:rPr>
        <w:t>①</w:t>
      </w:r>
      <w:r>
        <w:rPr>
          <w:rFonts w:hint="eastAsia"/>
          <w:bCs/>
          <w:sz w:val="24"/>
        </w:rPr>
        <w:t>本系统按照一级安全防范系统工程设计。</w:t>
      </w:r>
    </w:p>
    <w:p>
      <w:pPr>
        <w:tabs>
          <w:tab w:val="left" w:pos="0"/>
        </w:tabs>
        <w:snapToGrid w:val="0"/>
        <w:spacing w:line="300" w:lineRule="exact"/>
        <w:ind w:firstLine="480" w:firstLineChars="200"/>
        <w:jc w:val="left"/>
        <w:rPr>
          <w:bCs/>
          <w:sz w:val="24"/>
        </w:rPr>
      </w:pPr>
      <w:r>
        <w:rPr>
          <w:rFonts w:hint="eastAsia" w:ascii="宋体" w:hAnsi="宋体"/>
          <w:bCs/>
          <w:sz w:val="24"/>
        </w:rPr>
        <w:t>②</w:t>
      </w:r>
      <w:r>
        <w:rPr>
          <w:rFonts w:hint="eastAsia"/>
          <w:bCs/>
          <w:sz w:val="24"/>
        </w:rPr>
        <w:t>采用当今成熟的网络、通信、图像编解码、集中存贮等先进技术，</w:t>
      </w:r>
      <w:r>
        <w:rPr>
          <w:rFonts w:hint="eastAsia"/>
          <w:b/>
          <w:bCs/>
          <w:sz w:val="24"/>
        </w:rPr>
        <w:t>采用全数字化模式</w:t>
      </w:r>
      <w:r>
        <w:rPr>
          <w:rFonts w:hint="eastAsia"/>
          <w:bCs/>
          <w:sz w:val="24"/>
        </w:rPr>
        <w:t>，准确、直观、快捷，反映和记录现场有关部位的实时动态情况。</w:t>
      </w:r>
    </w:p>
    <w:p>
      <w:pPr>
        <w:tabs>
          <w:tab w:val="left" w:pos="0"/>
        </w:tabs>
        <w:snapToGrid w:val="0"/>
        <w:spacing w:line="300" w:lineRule="exact"/>
        <w:ind w:firstLine="480" w:firstLineChars="200"/>
        <w:jc w:val="left"/>
        <w:rPr>
          <w:rFonts w:ascii="Verdana" w:hAnsi="Verdana"/>
          <w:color w:val="000000"/>
          <w:sz w:val="24"/>
          <w:szCs w:val="18"/>
        </w:rPr>
      </w:pPr>
      <w:r>
        <w:rPr>
          <w:rFonts w:hint="eastAsia" w:ascii="宋体" w:hAnsi="宋体"/>
          <w:bCs/>
          <w:sz w:val="24"/>
        </w:rPr>
        <w:t>③</w:t>
      </w:r>
      <w:r>
        <w:rPr>
          <w:rFonts w:hint="eastAsia"/>
          <w:bCs/>
          <w:sz w:val="24"/>
        </w:rPr>
        <w:t>新建成的图像监控系</w:t>
      </w:r>
      <w:r>
        <w:rPr>
          <w:rFonts w:hint="eastAsia" w:ascii="Verdana" w:hAnsi="Verdana"/>
          <w:color w:val="000000"/>
          <w:sz w:val="24"/>
          <w:szCs w:val="18"/>
        </w:rPr>
        <w:t>统便于指挥中心、各***现有的监控系统联网。前端图像传到辖区***监控中心、交警大队监控分中心、局指挥中心三级网络，达到资源共享、信息共享的功能；</w:t>
      </w:r>
    </w:p>
    <w:p>
      <w:pPr>
        <w:tabs>
          <w:tab w:val="left" w:pos="0"/>
        </w:tabs>
        <w:snapToGrid w:val="0"/>
        <w:spacing w:line="300" w:lineRule="exact"/>
        <w:ind w:firstLine="480" w:firstLineChars="200"/>
        <w:jc w:val="left"/>
        <w:rPr>
          <w:bCs/>
          <w:sz w:val="24"/>
        </w:rPr>
      </w:pPr>
      <w:r>
        <w:rPr>
          <w:rFonts w:hint="eastAsia" w:ascii="宋体" w:hAnsi="宋体"/>
          <w:bCs/>
          <w:sz w:val="24"/>
        </w:rPr>
        <w:t>④</w:t>
      </w:r>
      <w:r>
        <w:rPr>
          <w:rFonts w:hint="eastAsia" w:ascii="Verdana" w:hAnsi="Verdana"/>
          <w:color w:val="000000"/>
          <w:sz w:val="24"/>
          <w:szCs w:val="18"/>
        </w:rPr>
        <w:t>在相应***建设一套独立运行的监控系统，能对前</w:t>
      </w:r>
      <w:r>
        <w:rPr>
          <w:rFonts w:hint="eastAsia"/>
          <w:bCs/>
          <w:sz w:val="24"/>
        </w:rPr>
        <w:t>端监控图像进行实时监视、切换、控制、录像、查阅；</w:t>
      </w:r>
    </w:p>
    <w:p>
      <w:pPr>
        <w:spacing w:line="300" w:lineRule="exact"/>
        <w:ind w:firstLine="480" w:firstLineChars="200"/>
        <w:rPr>
          <w:bCs/>
          <w:sz w:val="24"/>
        </w:rPr>
      </w:pPr>
      <w:r>
        <w:rPr>
          <w:rFonts w:hint="eastAsia" w:ascii="宋体" w:hAnsi="宋体"/>
          <w:bCs/>
          <w:sz w:val="24"/>
        </w:rPr>
        <w:t>⑤利用数字传输技术</w:t>
      </w:r>
      <w:r>
        <w:rPr>
          <w:rFonts w:hint="eastAsia"/>
          <w:bCs/>
          <w:sz w:val="24"/>
        </w:rPr>
        <w:t>，每位公安专网电脑用户，可以按照不同授权，对图像进行浏览、控制、回放、下载等操作，并可以最终实现与绍兴市局和省公安厅的平台对接。</w:t>
      </w:r>
    </w:p>
    <w:p>
      <w:pPr>
        <w:spacing w:line="300" w:lineRule="exact"/>
        <w:ind w:firstLine="470" w:firstLineChars="196"/>
        <w:rPr>
          <w:rFonts w:ascii="宋体" w:hAnsi="宋体"/>
          <w:b/>
          <w:sz w:val="24"/>
        </w:rPr>
      </w:pPr>
      <w:r>
        <w:rPr>
          <w:rFonts w:hint="eastAsia" w:ascii="宋体" w:hAnsi="宋体"/>
          <w:b/>
          <w:sz w:val="24"/>
        </w:rPr>
        <w:t>2.2.3采购原则：</w:t>
      </w:r>
    </w:p>
    <w:p>
      <w:pPr>
        <w:spacing w:line="300" w:lineRule="exact"/>
        <w:ind w:firstLine="240" w:firstLineChars="100"/>
        <w:rPr>
          <w:rFonts w:ascii="宋体" w:hAnsi="宋体"/>
          <w:sz w:val="24"/>
        </w:rPr>
      </w:pPr>
      <w:r>
        <w:rPr>
          <w:rFonts w:hint="eastAsia" w:ascii="宋体" w:hAnsi="宋体"/>
          <w:bCs/>
          <w:sz w:val="24"/>
        </w:rPr>
        <w:t>（1）</w:t>
      </w:r>
      <w:r>
        <w:rPr>
          <w:rFonts w:hint="eastAsia" w:ascii="宋体" w:hAnsi="宋体"/>
          <w:sz w:val="24"/>
        </w:rPr>
        <w:t>本着“实用、可靠、先进、经济”的原则,充分利用现有资源，结合采购人的具体情况和实际工作需求进行配置。</w:t>
      </w:r>
    </w:p>
    <w:p>
      <w:pPr>
        <w:spacing w:line="300" w:lineRule="exact"/>
        <w:ind w:firstLine="240" w:firstLineChars="100"/>
        <w:rPr>
          <w:rFonts w:ascii="宋体" w:hAnsi="宋体"/>
          <w:sz w:val="24"/>
        </w:rPr>
      </w:pPr>
      <w:r>
        <w:rPr>
          <w:rFonts w:hint="eastAsia" w:ascii="宋体" w:hAnsi="宋体"/>
          <w:bCs/>
          <w:sz w:val="24"/>
        </w:rPr>
        <w:t>（2）</w:t>
      </w:r>
      <w:r>
        <w:rPr>
          <w:rFonts w:hint="eastAsia" w:ascii="宋体" w:hAnsi="宋体"/>
          <w:sz w:val="24"/>
        </w:rPr>
        <w:t>在技术和系统容量上留有充分扩展余地，在较长时间内保持系统的先进性。</w:t>
      </w:r>
    </w:p>
    <w:p>
      <w:pPr>
        <w:spacing w:line="300" w:lineRule="exact"/>
        <w:ind w:firstLine="240" w:firstLineChars="100"/>
        <w:rPr>
          <w:rFonts w:ascii="宋体" w:hAnsi="宋体"/>
          <w:sz w:val="24"/>
        </w:rPr>
      </w:pPr>
      <w:r>
        <w:rPr>
          <w:rFonts w:hint="eastAsia" w:ascii="宋体" w:hAnsi="宋体"/>
          <w:sz w:val="24"/>
        </w:rPr>
        <w:t>（3）</w:t>
      </w:r>
      <w:r>
        <w:rPr>
          <w:rFonts w:hint="eastAsia" w:ascii="宋体" w:hAnsi="宋体"/>
          <w:bCs/>
          <w:sz w:val="24"/>
        </w:rPr>
        <w:t>充分考虑现有系统的技术架构，使本次工程项目和已建的系统能前后衔接实现无缝集成，发挥工程的整体效果，在价格合理的前提下，优先使用和原系统同样品牌的产品，以充分利用已有的投资</w:t>
      </w:r>
      <w:r>
        <w:rPr>
          <w:rFonts w:hint="eastAsia" w:ascii="宋体" w:hAnsi="宋体"/>
          <w:b/>
          <w:bCs/>
          <w:sz w:val="24"/>
        </w:rPr>
        <w:t>。</w:t>
      </w:r>
    </w:p>
    <w:p>
      <w:pPr>
        <w:spacing w:line="300" w:lineRule="exact"/>
        <w:ind w:firstLine="480" w:firstLineChars="200"/>
        <w:rPr>
          <w:rFonts w:ascii="宋体" w:hAnsi="宋体"/>
          <w:b/>
          <w:bCs/>
          <w:sz w:val="24"/>
        </w:rPr>
      </w:pPr>
      <w:r>
        <w:rPr>
          <w:rFonts w:hint="eastAsia" w:ascii="宋体" w:hAnsi="宋体"/>
          <w:b/>
          <w:bCs/>
          <w:sz w:val="24"/>
        </w:rPr>
        <w:t>2.3产品的标准和规范</w:t>
      </w:r>
    </w:p>
    <w:p>
      <w:pPr>
        <w:spacing w:line="300" w:lineRule="exact"/>
        <w:ind w:firstLine="480" w:firstLineChars="200"/>
        <w:rPr>
          <w:sz w:val="24"/>
        </w:rPr>
      </w:pPr>
      <w:r>
        <w:rPr>
          <w:rFonts w:hint="eastAsia"/>
          <w:sz w:val="24"/>
        </w:rPr>
        <w:t>投标人应达到下列标准、规范和条例最新版本的要求。</w:t>
      </w:r>
    </w:p>
    <w:p>
      <w:pPr>
        <w:spacing w:line="300" w:lineRule="exact"/>
        <w:ind w:firstLine="480" w:firstLineChars="200"/>
        <w:rPr>
          <w:rFonts w:ascii="宋体" w:hAnsi="宋体"/>
          <w:sz w:val="24"/>
        </w:rPr>
      </w:pPr>
      <w:r>
        <w:rPr>
          <w:rFonts w:hint="eastAsia"/>
          <w:sz w:val="24"/>
        </w:rPr>
        <w:t>系统所有施工和材料所涉及的设计标准规范；产品标准、规范；工程标准、规范；验收标准、规范等必须完全符合所有中华人民共和国现行的条例及规范，包括：</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《浙江省社会治安动态视频监控系统技术规范》</w:t>
      </w:r>
    </w:p>
    <w:p>
      <w:pPr>
        <w:spacing w:line="300" w:lineRule="exact"/>
        <w:ind w:firstLine="480" w:firstLineChars="200"/>
        <w:rPr>
          <w:sz w:val="24"/>
        </w:rPr>
      </w:pPr>
      <w:r>
        <w:rPr>
          <w:rFonts w:hint="eastAsia"/>
          <w:sz w:val="24"/>
        </w:rPr>
        <w:t>《安全防范工程技术规范》               （</w:t>
      </w:r>
      <w:r>
        <w:rPr>
          <w:sz w:val="24"/>
        </w:rPr>
        <w:t>G</w:t>
      </w:r>
      <w:r>
        <w:rPr>
          <w:rFonts w:hint="eastAsia"/>
          <w:sz w:val="24"/>
        </w:rPr>
        <w:t>B50348-2004）</w:t>
      </w:r>
    </w:p>
    <w:p>
      <w:pPr>
        <w:spacing w:line="300" w:lineRule="exact"/>
        <w:ind w:firstLine="470" w:firstLineChars="196"/>
        <w:rPr>
          <w:sz w:val="24"/>
        </w:rPr>
      </w:pPr>
      <w:r>
        <w:rPr>
          <w:rFonts w:hint="eastAsia"/>
          <w:sz w:val="24"/>
        </w:rPr>
        <w:t>《社会治安动态视频监控系统技术规范》     (DB33/T 502-2004)</w:t>
      </w:r>
    </w:p>
    <w:p>
      <w:pPr>
        <w:pStyle w:val="50"/>
        <w:snapToGrid w:val="0"/>
        <w:spacing w:before="0" w:beforeAutospacing="0" w:after="15" w:afterAutospacing="0" w:line="300" w:lineRule="exact"/>
        <w:ind w:left="480"/>
        <w:rPr>
          <w:rFonts w:ascii="Times New Roman" w:hAnsi="Times New Roman"/>
          <w:kern w:val="2"/>
        </w:rPr>
      </w:pPr>
      <w:r>
        <w:rPr>
          <w:rFonts w:ascii="Times New Roman" w:hAnsi="Times New Roman"/>
          <w:kern w:val="2"/>
        </w:rPr>
        <w:t>《安全防范工程程序与要求》               （GA/T75-94）</w:t>
      </w:r>
    </w:p>
    <w:p>
      <w:pPr>
        <w:pStyle w:val="50"/>
        <w:snapToGrid w:val="0"/>
        <w:spacing w:before="0" w:beforeAutospacing="0" w:after="15" w:afterAutospacing="0" w:line="300" w:lineRule="exact"/>
        <w:ind w:left="480"/>
        <w:rPr>
          <w:rFonts w:ascii="Times New Roman" w:hAnsi="Times New Roman"/>
          <w:kern w:val="2"/>
        </w:rPr>
      </w:pPr>
      <w:r>
        <w:rPr>
          <w:rFonts w:ascii="Times New Roman" w:hAnsi="Times New Roman"/>
          <w:kern w:val="2"/>
        </w:rPr>
        <w:t xml:space="preserve">《安全防范系统验收规则》     </w:t>
      </w:r>
      <w:r>
        <w:rPr>
          <w:kern w:val="2"/>
          <w:szCs w:val="28"/>
        </w:rPr>
        <w:t xml:space="preserve">                （</w:t>
      </w:r>
      <w:r>
        <w:rPr>
          <w:rFonts w:ascii="Times New Roman" w:hAnsi="Times New Roman"/>
          <w:kern w:val="2"/>
        </w:rPr>
        <w:t>GA308-2001）</w:t>
      </w:r>
    </w:p>
    <w:p>
      <w:pPr>
        <w:pStyle w:val="27"/>
        <w:spacing w:line="300" w:lineRule="exact"/>
        <w:ind w:firstLine="461"/>
        <w:rPr>
          <w:rFonts w:ascii="Times New Roman" w:hAnsi="Times New Roman" w:cs="Times New Roman"/>
          <w:sz w:val="24"/>
          <w:szCs w:val="24"/>
        </w:rPr>
      </w:pPr>
      <w:r>
        <w:rPr>
          <w:rFonts w:hint="eastAsia"/>
          <w:szCs w:val="28"/>
        </w:rPr>
        <w:t>《</w:t>
      </w:r>
      <w:r>
        <w:rPr>
          <w:rFonts w:hint="eastAsia" w:ascii="Times New Roman" w:hAnsi="Times New Roman" w:cs="Times New Roman"/>
          <w:sz w:val="24"/>
          <w:szCs w:val="24"/>
        </w:rPr>
        <w:t>安全防范系统通用图形符号》             （</w:t>
      </w:r>
      <w:r>
        <w:rPr>
          <w:rFonts w:ascii="Times New Roman" w:hAnsi="Times New Roman" w:cs="Times New Roman"/>
          <w:sz w:val="24"/>
          <w:szCs w:val="24"/>
        </w:rPr>
        <w:t>GA/T7</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2000）</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《民用闭路电视监控系统工程技术规范》     （</w:t>
      </w:r>
      <w:r>
        <w:rPr>
          <w:rFonts w:ascii="Times New Roman" w:hAnsi="Times New Roman" w:cs="Times New Roman"/>
          <w:sz w:val="24"/>
          <w:szCs w:val="24"/>
        </w:rPr>
        <w:t>GB50198-94</w:t>
      </w:r>
      <w:r>
        <w:rPr>
          <w:rFonts w:hint="eastAsia" w:ascii="Times New Roman" w:hAnsi="Times New Roman" w:cs="Times New Roman"/>
          <w:sz w:val="24"/>
          <w:szCs w:val="24"/>
        </w:rPr>
        <w:t>）</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《工业电视系统工程设计规范》             （</w:t>
      </w:r>
      <w:r>
        <w:rPr>
          <w:rFonts w:ascii="Times New Roman" w:hAnsi="Times New Roman" w:cs="Times New Roman"/>
          <w:sz w:val="24"/>
          <w:szCs w:val="24"/>
        </w:rPr>
        <w:t>GBJ115-87</w:t>
      </w:r>
      <w:r>
        <w:rPr>
          <w:rFonts w:hint="eastAsia" w:ascii="Times New Roman" w:hAnsi="Times New Roman" w:cs="Times New Roman"/>
          <w:sz w:val="24"/>
          <w:szCs w:val="24"/>
        </w:rPr>
        <w:t>）</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《电子计算机场地通用规范》                GB/T 2887-2000</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《城市公安指挥中心技术系统设备配置建议》GA099-1996；</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《测量、控制和试验室用电气设备的安全要求》(GB4793-2001)</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《信息技术设备的安全》                   （GB4943-2001）</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《邮电通信网光纤数据传输系统工程施工及验收暂行技术规范》</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《安全防范系统》（浙江省地方标准）        （DB33/T334-2001）</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浙江省公共安全技术防范管理办法</w:t>
      </w:r>
      <w:r>
        <w:rPr>
          <w:rFonts w:hint="eastAsia" w:ascii="Times New Roman" w:hAnsi="Times New Roman" w:cs="Times New Roman"/>
          <w:sz w:val="24"/>
          <w:szCs w:val="24"/>
        </w:rPr>
        <w:t>》</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《通信系统机房设计》                      （</w:t>
      </w:r>
      <w:r>
        <w:rPr>
          <w:rFonts w:ascii="Times New Roman" w:hAnsi="Times New Roman" w:cs="Times New Roman"/>
          <w:sz w:val="24"/>
          <w:szCs w:val="24"/>
        </w:rPr>
        <w:t>GBKJ-90</w:t>
      </w:r>
      <w:r>
        <w:rPr>
          <w:rFonts w:hint="eastAsia" w:ascii="Times New Roman" w:hAnsi="Times New Roman" w:cs="Times New Roman"/>
          <w:sz w:val="24"/>
          <w:szCs w:val="24"/>
        </w:rPr>
        <w:t>）；</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《视频安防监控系统技术要求》GA/T 367-2001</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《安全防范系统》DB33/T 334-2001</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《防雷及接地安装工艺标准》（322-1998）</w:t>
      </w:r>
    </w:p>
    <w:p>
      <w:pPr>
        <w:pStyle w:val="27"/>
        <w:spacing w:line="300" w:lineRule="exact"/>
        <w:ind w:firstLine="461"/>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浙江省安全技术防范</w:t>
      </w:r>
      <w:r>
        <w:rPr>
          <w:rFonts w:hint="eastAsia" w:ascii="Times New Roman" w:hAnsi="Times New Roman" w:cs="Times New Roman"/>
          <w:sz w:val="24"/>
          <w:szCs w:val="24"/>
        </w:rPr>
        <w:t>系统建设技术规范》    （DB33/768-2009）</w:t>
      </w:r>
    </w:p>
    <w:p>
      <w:pPr>
        <w:spacing w:line="300" w:lineRule="exact"/>
        <w:ind w:firstLine="480" w:firstLineChars="200"/>
        <w:rPr>
          <w:rFonts w:ascii="宋体" w:hAnsi="宋体"/>
          <w:b/>
          <w:sz w:val="24"/>
        </w:rPr>
      </w:pPr>
      <w:r>
        <w:rPr>
          <w:rFonts w:hint="eastAsia" w:ascii="宋体" w:hAnsi="宋体"/>
          <w:b/>
          <w:sz w:val="24"/>
        </w:rPr>
        <w:t>2.4 总体要求</w:t>
      </w:r>
    </w:p>
    <w:p>
      <w:pPr>
        <w:spacing w:line="300" w:lineRule="exact"/>
        <w:ind w:firstLine="470" w:firstLineChars="196"/>
        <w:rPr>
          <w:rFonts w:ascii="宋体" w:hAnsi="宋体"/>
          <w:b/>
          <w:bCs/>
          <w:color w:val="000000"/>
          <w:sz w:val="24"/>
        </w:rPr>
      </w:pPr>
      <w:r>
        <w:rPr>
          <w:rFonts w:hint="eastAsia" w:ascii="宋体" w:hAnsi="宋体"/>
          <w:b/>
          <w:bCs/>
          <w:color w:val="000000"/>
          <w:sz w:val="24"/>
        </w:rPr>
        <w:t>2.5系统功能</w:t>
      </w:r>
    </w:p>
    <w:p>
      <w:pPr>
        <w:adjustRightInd w:val="0"/>
        <w:snapToGrid w:val="0"/>
        <w:spacing w:line="300" w:lineRule="exact"/>
        <w:ind w:firstLine="235" w:firstLineChars="98"/>
        <w:rPr>
          <w:rFonts w:ascii="宋体" w:hAnsi="宋体"/>
          <w:color w:val="000000"/>
          <w:sz w:val="24"/>
        </w:rPr>
      </w:pPr>
      <w:r>
        <w:rPr>
          <w:rFonts w:hint="eastAsia" w:ascii="宋体" w:hAnsi="宋体"/>
          <w:color w:val="000000"/>
          <w:sz w:val="24"/>
        </w:rPr>
        <w:t>（1）全天候、全方位监视功能</w:t>
      </w:r>
    </w:p>
    <w:p>
      <w:pPr>
        <w:spacing w:line="300" w:lineRule="exact"/>
        <w:ind w:firstLine="480" w:firstLineChars="200"/>
        <w:rPr>
          <w:rFonts w:ascii="宋体" w:hAnsi="宋体"/>
          <w:color w:val="000000"/>
          <w:sz w:val="24"/>
        </w:rPr>
      </w:pPr>
      <w:r>
        <w:rPr>
          <w:rFonts w:hint="eastAsia" w:ascii="宋体" w:hAnsi="宋体"/>
          <w:color w:val="000000"/>
          <w:sz w:val="24"/>
        </w:rPr>
        <w:t>前端配置</w:t>
      </w:r>
      <w:r>
        <w:rPr>
          <w:rFonts w:ascii="宋体" w:hAnsi="宋体"/>
          <w:color w:val="000000"/>
          <w:sz w:val="24"/>
        </w:rPr>
        <w:t>最高分辨率</w:t>
      </w:r>
      <w:r>
        <w:rPr>
          <w:rFonts w:hint="eastAsia" w:ascii="宋体" w:hAnsi="宋体"/>
          <w:color w:val="000000"/>
          <w:sz w:val="24"/>
        </w:rPr>
        <w:t>大于等于200万像素</w:t>
      </w:r>
      <w:r>
        <w:rPr>
          <w:rFonts w:ascii="宋体" w:hAnsi="宋体"/>
          <w:color w:val="000000"/>
          <w:sz w:val="24"/>
        </w:rPr>
        <w:t>(1</w:t>
      </w:r>
      <w:r>
        <w:rPr>
          <w:rFonts w:hint="eastAsia" w:ascii="宋体" w:hAnsi="宋体"/>
          <w:color w:val="000000"/>
          <w:sz w:val="24"/>
        </w:rPr>
        <w:t>920</w:t>
      </w:r>
      <w:r>
        <w:rPr>
          <w:rFonts w:ascii="宋体" w:hAnsi="宋体"/>
          <w:color w:val="000000"/>
          <w:kern w:val="0"/>
          <w:sz w:val="24"/>
        </w:rPr>
        <w:t>×</w:t>
      </w:r>
      <w:r>
        <w:rPr>
          <w:rFonts w:hint="eastAsia" w:ascii="宋体" w:hAnsi="宋体"/>
          <w:color w:val="000000"/>
          <w:sz w:val="24"/>
        </w:rPr>
        <w:t>1080</w:t>
      </w:r>
      <w:r>
        <w:rPr>
          <w:rFonts w:ascii="宋体" w:hAnsi="宋体"/>
          <w:color w:val="000000"/>
          <w:sz w:val="24"/>
        </w:rPr>
        <w:t>), 并可在该分辨率下输出实时视频（图片）</w:t>
      </w:r>
      <w:r>
        <w:rPr>
          <w:rFonts w:hint="eastAsia" w:ascii="宋体" w:hAnsi="宋体"/>
          <w:color w:val="000000"/>
          <w:sz w:val="24"/>
        </w:rPr>
        <w:t>；</w:t>
      </w:r>
      <w:r>
        <w:rPr>
          <w:rFonts w:ascii="宋体" w:hAnsi="宋体"/>
          <w:color w:val="000000"/>
          <w:sz w:val="24"/>
        </w:rPr>
        <w:t>采用先进的视频压缩技术,压缩比高,且处理灵活</w:t>
      </w:r>
      <w:r>
        <w:rPr>
          <w:rFonts w:hint="eastAsia" w:ascii="宋体" w:hAnsi="宋体"/>
          <w:color w:val="000000"/>
          <w:sz w:val="24"/>
        </w:rPr>
        <w:t>；</w:t>
      </w:r>
      <w:r>
        <w:rPr>
          <w:rFonts w:ascii="宋体" w:hAnsi="宋体"/>
          <w:color w:val="000000"/>
          <w:sz w:val="24"/>
        </w:rPr>
        <w:t>采用高效红外灯</w:t>
      </w:r>
      <w:r>
        <w:rPr>
          <w:rFonts w:hint="eastAsia" w:ascii="宋体" w:hAnsi="宋体"/>
          <w:color w:val="000000"/>
          <w:sz w:val="24"/>
        </w:rPr>
        <w:t>,</w:t>
      </w:r>
      <w:r>
        <w:rPr>
          <w:rFonts w:ascii="宋体" w:hAnsi="宋体"/>
          <w:color w:val="000000"/>
          <w:sz w:val="24"/>
        </w:rPr>
        <w:t>使用寿命长</w:t>
      </w:r>
      <w:r>
        <w:rPr>
          <w:rFonts w:hint="eastAsia" w:ascii="宋体" w:hAnsi="宋体"/>
          <w:color w:val="000000"/>
          <w:sz w:val="24"/>
        </w:rPr>
        <w:t>,</w:t>
      </w:r>
      <w:r>
        <w:rPr>
          <w:rFonts w:ascii="宋体" w:hAnsi="宋体"/>
          <w:color w:val="000000"/>
          <w:sz w:val="24"/>
        </w:rPr>
        <w:t>照射距离可达</w:t>
      </w:r>
      <w:r>
        <w:rPr>
          <w:rFonts w:hint="eastAsia" w:ascii="宋体" w:hAnsi="宋体"/>
          <w:color w:val="000000"/>
          <w:sz w:val="24"/>
        </w:rPr>
        <w:t>80-120</w:t>
      </w:r>
      <w:r>
        <w:rPr>
          <w:rFonts w:ascii="宋体" w:hAnsi="宋体"/>
          <w:color w:val="000000"/>
          <w:sz w:val="24"/>
        </w:rPr>
        <w:t>米</w:t>
      </w:r>
      <w:r>
        <w:rPr>
          <w:rFonts w:hint="eastAsia" w:ascii="宋体" w:hAnsi="宋体"/>
          <w:color w:val="000000"/>
          <w:sz w:val="24"/>
        </w:rPr>
        <w:t>，</w:t>
      </w:r>
      <w:r>
        <w:rPr>
          <w:rFonts w:ascii="宋体" w:hAnsi="宋体"/>
          <w:color w:val="000000"/>
          <w:sz w:val="24"/>
        </w:rPr>
        <w:t>支持宽动态范围达120dB,适合逆光环境监控</w:t>
      </w:r>
      <w:r>
        <w:rPr>
          <w:rFonts w:hint="eastAsia" w:ascii="宋体" w:hAnsi="宋体"/>
          <w:color w:val="000000"/>
          <w:sz w:val="24"/>
        </w:rPr>
        <w:t>；</w:t>
      </w:r>
      <w:r>
        <w:rPr>
          <w:rFonts w:ascii="宋体" w:hAnsi="宋体"/>
          <w:color w:val="000000"/>
          <w:sz w:val="24"/>
        </w:rPr>
        <w:t>支持3D数字降噪功能</w:t>
      </w:r>
      <w:r>
        <w:rPr>
          <w:rFonts w:hint="eastAsia" w:ascii="宋体" w:hAnsi="宋体"/>
          <w:color w:val="000000"/>
          <w:sz w:val="24"/>
        </w:rPr>
        <w:t>，</w:t>
      </w:r>
      <w:r>
        <w:rPr>
          <w:rFonts w:hint="eastAsia" w:ascii="宋体" w:hAnsi="宋体"/>
          <w:bCs/>
          <w:color w:val="000000"/>
          <w:sz w:val="24"/>
        </w:rPr>
        <w:t>按各个监控点周围的夜间照明情况进行合理补光</w:t>
      </w:r>
      <w:r>
        <w:rPr>
          <w:rFonts w:hint="eastAsia" w:ascii="宋体" w:hAnsi="宋体"/>
          <w:color w:val="000000"/>
          <w:sz w:val="24"/>
        </w:rPr>
        <w:t>。</w:t>
      </w:r>
    </w:p>
    <w:p>
      <w:pPr>
        <w:adjustRightInd w:val="0"/>
        <w:snapToGrid w:val="0"/>
        <w:spacing w:line="300" w:lineRule="exact"/>
        <w:ind w:firstLine="120" w:firstLineChars="50"/>
        <w:rPr>
          <w:rFonts w:hAnsi="宋体"/>
          <w:szCs w:val="28"/>
        </w:rPr>
      </w:pPr>
      <w:r>
        <w:rPr>
          <w:rFonts w:hint="eastAsia"/>
          <w:sz w:val="24"/>
        </w:rPr>
        <w:t>（2）视频（图片）调度功能</w:t>
      </w:r>
    </w:p>
    <w:p>
      <w:pPr>
        <w:adjustRightInd w:val="0"/>
        <w:snapToGrid w:val="0"/>
        <w:spacing w:line="300" w:lineRule="exact"/>
        <w:ind w:firstLine="420"/>
        <w:rPr>
          <w:sz w:val="24"/>
        </w:rPr>
      </w:pPr>
      <w:r>
        <w:rPr>
          <w:rFonts w:hint="eastAsia"/>
          <w:sz w:val="24"/>
        </w:rPr>
        <w:t>系统配置矩阵主机，输出中的每一路都可以切换显示任一监控点的视频。通过</w:t>
      </w:r>
      <w:r>
        <w:rPr>
          <w:rFonts w:hint="eastAsia" w:ascii="宋体" w:hAnsi="宋体"/>
          <w:sz w:val="24"/>
          <w:szCs w:val="28"/>
        </w:rPr>
        <w:t>视频服务器</w:t>
      </w:r>
      <w:r>
        <w:rPr>
          <w:rFonts w:hint="eastAsia"/>
          <w:sz w:val="24"/>
        </w:rPr>
        <w:t>可以使中心或者局域网上的每一台授权计算机都成为视频监控终端，可以实现监视、切换、控制每一路前端视频。</w:t>
      </w:r>
    </w:p>
    <w:p>
      <w:pPr>
        <w:adjustRightInd w:val="0"/>
        <w:snapToGrid w:val="0"/>
        <w:spacing w:line="300" w:lineRule="exact"/>
        <w:ind w:firstLine="120" w:firstLineChars="50"/>
        <w:rPr>
          <w:rFonts w:hAnsi="宋体"/>
          <w:szCs w:val="28"/>
        </w:rPr>
      </w:pPr>
      <w:r>
        <w:rPr>
          <w:rFonts w:hint="eastAsia"/>
          <w:sz w:val="24"/>
        </w:rPr>
        <w:t>（3）视频的记录和备份功能</w:t>
      </w:r>
    </w:p>
    <w:p>
      <w:pPr>
        <w:adjustRightInd w:val="0"/>
        <w:snapToGrid w:val="0"/>
        <w:spacing w:line="300" w:lineRule="exact"/>
        <w:ind w:firstLine="420"/>
        <w:rPr>
          <w:rFonts w:ascii="宋体" w:hAnsi="宋体"/>
          <w:b/>
          <w:sz w:val="24"/>
        </w:rPr>
      </w:pPr>
      <w:r>
        <w:rPr>
          <w:rFonts w:hint="eastAsia"/>
          <w:b/>
          <w:sz w:val="24"/>
        </w:rPr>
        <w:t>采用云存储技术</w:t>
      </w:r>
      <w:r>
        <w:rPr>
          <w:rFonts w:hint="eastAsia" w:ascii="宋体" w:hAnsi="宋体"/>
          <w:b/>
          <w:sz w:val="24"/>
        </w:rPr>
        <w:t>，构建云存储平台，视频</w:t>
      </w:r>
      <w:r>
        <w:rPr>
          <w:rFonts w:ascii="宋体" w:hAnsi="宋体"/>
          <w:b/>
          <w:color w:val="000000"/>
          <w:sz w:val="24"/>
        </w:rPr>
        <w:t>分辨率</w:t>
      </w:r>
      <w:r>
        <w:rPr>
          <w:rFonts w:hint="eastAsia" w:ascii="宋体" w:hAnsi="宋体"/>
          <w:b/>
          <w:color w:val="000000"/>
          <w:sz w:val="24"/>
        </w:rPr>
        <w:t>大于</w:t>
      </w:r>
      <w:r>
        <w:rPr>
          <w:rFonts w:ascii="宋体" w:hAnsi="宋体"/>
          <w:b/>
          <w:color w:val="000000"/>
          <w:sz w:val="24"/>
        </w:rPr>
        <w:t>1.3M(1280</w:t>
      </w:r>
      <w:r>
        <w:rPr>
          <w:rFonts w:ascii="宋体" w:hAnsi="宋体"/>
          <w:b/>
          <w:color w:val="000000"/>
          <w:kern w:val="0"/>
          <w:sz w:val="24"/>
        </w:rPr>
        <w:t>×</w:t>
      </w:r>
      <w:r>
        <w:rPr>
          <w:rFonts w:ascii="宋体" w:hAnsi="宋体"/>
          <w:b/>
          <w:color w:val="000000"/>
          <w:sz w:val="24"/>
        </w:rPr>
        <w:t>960)</w:t>
      </w:r>
      <w:r>
        <w:rPr>
          <w:rFonts w:hint="eastAsia" w:ascii="宋体" w:hAnsi="宋体"/>
          <w:b/>
          <w:sz w:val="24"/>
        </w:rPr>
        <w:t>标准以上， 25帧/秒路；视频录像保存时间30天以上。</w:t>
      </w:r>
    </w:p>
    <w:p>
      <w:pPr>
        <w:spacing w:line="300" w:lineRule="exact"/>
        <w:ind w:firstLine="470" w:firstLineChars="196"/>
        <w:jc w:val="left"/>
        <w:rPr>
          <w:rFonts w:ascii="宋体" w:hAnsi="宋体"/>
          <w:b/>
          <w:bCs/>
          <w:color w:val="000000"/>
          <w:sz w:val="24"/>
        </w:rPr>
      </w:pPr>
      <w:r>
        <w:rPr>
          <w:rFonts w:hint="eastAsia" w:ascii="宋体" w:hAnsi="宋体"/>
          <w:b/>
          <w:bCs/>
          <w:color w:val="000000"/>
          <w:sz w:val="24"/>
        </w:rPr>
        <w:t>2.6  建设点位等一览表</w:t>
      </w:r>
    </w:p>
    <w:p>
      <w:pPr>
        <w:spacing w:line="300" w:lineRule="exact"/>
        <w:ind w:firstLine="470" w:firstLineChars="196"/>
        <w:jc w:val="left"/>
        <w:rPr>
          <w:rFonts w:ascii="宋体" w:hAnsi="宋体"/>
          <w:b/>
          <w:bCs/>
          <w:color w:val="000000"/>
          <w:sz w:val="24"/>
        </w:rPr>
      </w:pPr>
      <w:r>
        <w:rPr>
          <w:rFonts w:hint="eastAsia" w:ascii="宋体" w:hAnsi="宋体"/>
          <w:b/>
          <w:bCs/>
          <w:color w:val="000000"/>
          <w:sz w:val="24"/>
        </w:rPr>
        <w:t>2.6.1  内容一</w:t>
      </w:r>
    </w:p>
    <w:p>
      <w:pPr>
        <w:spacing w:line="300" w:lineRule="exact"/>
        <w:ind w:firstLine="470" w:firstLineChars="196"/>
        <w:jc w:val="left"/>
        <w:rPr>
          <w:rFonts w:ascii="宋体" w:hAnsi="宋体"/>
          <w:b/>
          <w:bCs/>
          <w:color w:val="000000"/>
          <w:sz w:val="24"/>
        </w:rPr>
      </w:pPr>
      <w:r>
        <w:rPr>
          <w:rFonts w:hint="eastAsia" w:ascii="宋体"/>
          <w:b/>
          <w:kern w:val="0"/>
          <w:sz w:val="24"/>
          <w:szCs w:val="68"/>
        </w:rPr>
        <w:t>《上虞区第二期社会治安动态视频监控系统升级改造及租赁（租期五年）》点位表</w:t>
      </w:r>
    </w:p>
    <w:tbl>
      <w:tblPr>
        <w:tblStyle w:val="5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autofit"/>
        <w:tblCellMar>
          <w:top w:w="0" w:type="dxa"/>
          <w:left w:w="108" w:type="dxa"/>
          <w:bottom w:w="0" w:type="dxa"/>
          <w:right w:w="108" w:type="dxa"/>
        </w:tblCellMar>
      </w:tblPr>
      <w:tblGrid>
        <w:gridCol w:w="2319"/>
        <w:gridCol w:w="1134"/>
        <w:gridCol w:w="382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0" w:hRule="atLeast"/>
          <w:jc w:val="center"/>
        </w:trPr>
        <w:tc>
          <w:tcPr>
            <w:tcW w:w="2319" w:type="dxa"/>
            <w:shd w:val="clear" w:color="000000" w:fill="FFFFFF"/>
            <w:noWrap w:val="0"/>
            <w:vAlign w:val="bottom"/>
          </w:tcPr>
          <w:p>
            <w:pPr>
              <w:widowControl/>
              <w:jc w:val="center"/>
              <w:rPr>
                <w:rFonts w:ascii="宋体" w:hAnsi="宋体" w:cs="宋体"/>
                <w:b/>
                <w:kern w:val="0"/>
                <w:sz w:val="18"/>
                <w:szCs w:val="18"/>
              </w:rPr>
            </w:pPr>
            <w:r>
              <w:rPr>
                <w:rFonts w:hint="eastAsia" w:ascii="宋体" w:hAnsi="宋体" w:cs="宋体"/>
                <w:b/>
                <w:kern w:val="0"/>
                <w:sz w:val="18"/>
                <w:szCs w:val="18"/>
              </w:rPr>
              <w:t>属性</w:t>
            </w:r>
          </w:p>
        </w:tc>
        <w:tc>
          <w:tcPr>
            <w:tcW w:w="1134" w:type="dxa"/>
            <w:shd w:val="clear" w:color="000000" w:fill="FFFFFF"/>
            <w:noWrap w:val="0"/>
            <w:vAlign w:val="bottom"/>
          </w:tcPr>
          <w:p>
            <w:pPr>
              <w:widowControl/>
              <w:jc w:val="center"/>
              <w:rPr>
                <w:rFonts w:ascii="宋体" w:hAnsi="宋体" w:cs="宋体"/>
                <w:b/>
                <w:kern w:val="0"/>
                <w:sz w:val="18"/>
                <w:szCs w:val="18"/>
              </w:rPr>
            </w:pPr>
            <w:r>
              <w:rPr>
                <w:rFonts w:hint="eastAsia" w:ascii="宋体" w:hAnsi="宋体" w:cs="宋体"/>
                <w:b/>
                <w:kern w:val="0"/>
                <w:sz w:val="18"/>
                <w:szCs w:val="18"/>
              </w:rPr>
              <w:t>序号</w:t>
            </w:r>
          </w:p>
        </w:tc>
        <w:tc>
          <w:tcPr>
            <w:tcW w:w="3827" w:type="dxa"/>
            <w:shd w:val="clear" w:color="000000" w:fill="FFFFFF"/>
            <w:noWrap w:val="0"/>
            <w:vAlign w:val="bottom"/>
          </w:tcPr>
          <w:p>
            <w:pPr>
              <w:widowControl/>
              <w:jc w:val="center"/>
              <w:rPr>
                <w:rFonts w:ascii="宋体" w:hAnsi="宋体" w:cs="宋体"/>
                <w:b/>
                <w:kern w:val="0"/>
                <w:sz w:val="18"/>
                <w:szCs w:val="18"/>
              </w:rPr>
            </w:pPr>
            <w:r>
              <w:rPr>
                <w:rFonts w:hint="eastAsia" w:ascii="宋体" w:hAnsi="宋体" w:cs="宋体"/>
                <w:b/>
                <w:kern w:val="0"/>
                <w:sz w:val="18"/>
                <w:szCs w:val="18"/>
              </w:rPr>
              <w:t>点位</w:t>
            </w:r>
          </w:p>
        </w:tc>
        <w:tc>
          <w:tcPr>
            <w:tcW w:w="1666" w:type="dxa"/>
            <w:shd w:val="clear" w:color="000000" w:fill="FFFFFF"/>
            <w:noWrap/>
            <w:vAlign w:val="center"/>
          </w:tcPr>
          <w:p>
            <w:pPr>
              <w:widowControl/>
              <w:jc w:val="center"/>
              <w:rPr>
                <w:rFonts w:ascii="宋体" w:hAnsi="宋体" w:cs="宋体"/>
                <w:b/>
                <w:kern w:val="0"/>
                <w:sz w:val="18"/>
                <w:szCs w:val="18"/>
              </w:rPr>
            </w:pPr>
            <w:r>
              <w:rPr>
                <w:rFonts w:hint="eastAsia" w:ascii="宋体" w:hAnsi="宋体" w:cs="宋体"/>
                <w:b/>
                <w:kern w:val="0"/>
                <w:sz w:val="18"/>
                <w:szCs w:val="18"/>
              </w:rPr>
              <w:t>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50多世路与百岭路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51多元世纪城门口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52百岭路与江山路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53文化广场西南角</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54龙山路与凤山路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55上虞宾馆门口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56老妇保医院门口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57解放街阳光路口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58解放街横街口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59解放街劳动口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60解放街胜利路口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61米罗咖啡</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62绿岛门口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63凤山支路口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64凤山路劳动路口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65老大通南面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68老大通东面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69党校门口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70新妇保医院门口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71五羊花园门口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72新建路与联盟路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73半山路与假山路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74半山路与新建路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75新建路体育场路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76体育场路江东路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77文化路与江东路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78体育场路财政局</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79舜江路与峰山路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29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80芳华酒店门口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81曹娥江酒店门口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82百崧公路悬沙路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83舜江东路与凤鸣路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84舜江东路汽车东站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85江扬路与恒利路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87虹漾公园门口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89天天加油站</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90环山路与凤山路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91百谢路与山阴路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39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92新大通南面路口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93三二九国道梁家山</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94嘉年华门口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95VIP门口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96花都俱乐部门口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97藕舫路与凤鸣路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98万和城西面麦当劳</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99万和城北面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100新大通南面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101万和城东北角</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49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102大润发门口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103缤纷年代门口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104新人民医院门口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105峰山路与三环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106三环南湖入口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107凤鸣路与三环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108江东路三环桥脚</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109成功馆门口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111江扬路与王充路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112凤鸣路与王充路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59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113保驾山路与王充路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114工业园区疾控中心对面</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百官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1037光明村口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1038人民西路徐家塘村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1039人民路与四环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1040一零四国道与新光公路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1041梁巷铁路道口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7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1044一零四国道与新沙铁路涵洞</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1045南环线里睦桥村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1046新光公路董村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69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1047一零四国道严村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1050第二自来水厂路口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1051一零四国道蒿庄村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7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1052朱山公路蒿坝村塘路涵洞</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1053董村联防队</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1054朱山公路上沙村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1055一零四国道狮子村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1056联丰路与沙联路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1057渡江路下沙村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1058一零四国道南环线</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79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1059通江路与三环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1060联谊中路与永兴路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1061五星中路与鸿雁路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1062上虞火车站广场</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1063五甲渡</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1064舜江西路与文锦路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1065舜杰路与文锦路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1066江西路人民大桥下</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1067腾飞路与花园东路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1068花园东路与迎春路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89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1069花园东路与鸿雁路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1070腾飞路与通江路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1073通江路与舜杰路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1074通江路与通达路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1075舜杰路与越秀路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1076金沙海滩门口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1079越秀路与聚英路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1080通江路与聚英路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1081庆祥路与舜江西路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1082人民西路武警中队</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99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1083人民西路与博文路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1084通江路与迎春路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曹娥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40"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2507菜市场路口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2508工业园区</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2509人民西路五四村</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2510韩浜村与钱上村</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2511称海村与肖泾公路</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2512杜浦村塘路口</w:t>
            </w:r>
          </w:p>
        </w:tc>
        <w:tc>
          <w:tcPr>
            <w:tcW w:w="1666"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道墟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3001三立铜业</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3002丰惠加油站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109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3003新天龙公司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3004人民路信用社</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3005工业园区**室</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3006祝家庄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丰惠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3030锦绣四明路口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3031永和镇政府</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3032永和村三角站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3033朱巷集镇</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3034黄竹岭</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3035剡岙水库</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永和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119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3501百丰公路江山路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3502张杰中学</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3503南穴叉口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3504百丰公路顶天钢构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3505百丰公路祝家庄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3506玉水河路与禄泽路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3507禄泽市场</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3508万可电气</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3509晾网山路西首</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3510晾网山路与文昌阁路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129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3511晾网山路东首</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3512百丰公路与黄潘公路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梁湖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5501三二九国道越女像</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5502三二九国道倪梁村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5503建发公寓与越兴路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5504农贸市场门口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5505小越中学门口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5506农村信用社</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5507三二九国道沃尔特公司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5508双堰工业区进口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139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5509赵港桥与五五公路</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5510三二九国道进港线</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5511三二九国道石狮商贸城</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5512越谢路口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小越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6001盖北镇政府</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6002进港公路盖山进口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6003进港公路河东桥头</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6004盖北中学</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6005珠海村进士路口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6006镇海村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149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6007镇江村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6008棉场村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6009镇丰村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6010夏盖山村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6011沿海村十三组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6012山海村三组</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7001一零四国道西上线</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7002一零四国道***</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7003一零四国道上峰休闲城</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7004一零四国道上风建筑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159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7005一零四国道上浦闸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7006上浦闸路口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上浦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7011西上线与水坑口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7012汤浦集镇转盘</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163</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7013汤浦集镇舜源路口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164</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7014西下线霞漳路口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165</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7015鱼家渡桥头</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166</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7016达郭樟树下</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汤浦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167</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7516五爱五洲村</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168</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7517横塘徐家岙</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169</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7518驿亭**室</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170</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7519镇政府内</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171</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7520五夫铁道路口</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19"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治安监控二期</w:t>
            </w:r>
          </w:p>
        </w:tc>
        <w:tc>
          <w:tcPr>
            <w:tcW w:w="1134" w:type="dxa"/>
            <w:shd w:val="clear" w:color="000000" w:fill="FFFFFF"/>
            <w:noWrap w:val="0"/>
            <w:vAlign w:val="bottom"/>
          </w:tcPr>
          <w:p>
            <w:pPr>
              <w:jc w:val="center"/>
              <w:rPr>
                <w:rFonts w:ascii="宋体" w:hAnsi="宋体" w:cs="宋体"/>
                <w:color w:val="000000"/>
                <w:sz w:val="18"/>
                <w:szCs w:val="18"/>
              </w:rPr>
            </w:pPr>
            <w:r>
              <w:rPr>
                <w:rFonts w:hint="eastAsia" w:ascii="宋体" w:hAnsi="宋体"/>
                <w:color w:val="000000"/>
                <w:sz w:val="18"/>
                <w:szCs w:val="18"/>
              </w:rPr>
              <w:t>172</w:t>
            </w:r>
          </w:p>
        </w:tc>
        <w:tc>
          <w:tcPr>
            <w:tcW w:w="3827"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7521富华澳泰公司</w:t>
            </w:r>
          </w:p>
        </w:tc>
        <w:tc>
          <w:tcPr>
            <w:tcW w:w="1666" w:type="dxa"/>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驿亭</w:t>
            </w:r>
          </w:p>
        </w:tc>
      </w:tr>
    </w:tbl>
    <w:p>
      <w:pPr>
        <w:spacing w:line="300" w:lineRule="exact"/>
        <w:ind w:firstLine="352" w:firstLineChars="147"/>
        <w:rPr>
          <w:rFonts w:ascii="宋体" w:hAnsi="宋体"/>
          <w:b/>
          <w:color w:val="000000"/>
          <w:sz w:val="24"/>
        </w:rPr>
      </w:pPr>
    </w:p>
    <w:p>
      <w:pPr>
        <w:spacing w:line="300" w:lineRule="exact"/>
        <w:ind w:firstLine="352" w:firstLineChars="147"/>
        <w:rPr>
          <w:rFonts w:ascii="宋体" w:hAnsi="宋体"/>
          <w:b/>
          <w:color w:val="000000"/>
          <w:sz w:val="24"/>
        </w:rPr>
      </w:pPr>
    </w:p>
    <w:p>
      <w:pPr>
        <w:spacing w:line="300" w:lineRule="exact"/>
        <w:ind w:firstLine="352" w:firstLineChars="147"/>
        <w:rPr>
          <w:rFonts w:ascii="宋体" w:hAnsi="宋体"/>
          <w:b/>
          <w:color w:val="000000"/>
          <w:sz w:val="24"/>
        </w:rPr>
      </w:pPr>
      <w:r>
        <w:rPr>
          <w:rFonts w:hint="eastAsia" w:ascii="宋体" w:hAnsi="宋体"/>
          <w:b/>
          <w:color w:val="000000"/>
          <w:sz w:val="24"/>
        </w:rPr>
        <w:t>2.6.2  内容二</w:t>
      </w:r>
    </w:p>
    <w:p>
      <w:pPr>
        <w:spacing w:line="300" w:lineRule="exact"/>
        <w:ind w:firstLine="431" w:firstLineChars="196"/>
        <w:rPr>
          <w:rFonts w:ascii="宋体"/>
          <w:b/>
          <w:kern w:val="0"/>
          <w:sz w:val="22"/>
          <w:szCs w:val="22"/>
        </w:rPr>
      </w:pPr>
      <w:bookmarkStart w:id="24" w:name="_Toc340136125"/>
      <w:bookmarkStart w:id="25" w:name="_Toc314572258"/>
      <w:bookmarkStart w:id="26" w:name="_Toc391544947"/>
      <w:r>
        <w:rPr>
          <w:rFonts w:hint="eastAsia" w:ascii="宋体"/>
          <w:b/>
          <w:kern w:val="0"/>
          <w:sz w:val="22"/>
          <w:szCs w:val="22"/>
        </w:rPr>
        <w:t>《公共自行车服务投放点视频监控系统第一期升级改造及租赁（租期五年）》点位表</w:t>
      </w:r>
    </w:p>
    <w:tbl>
      <w:tblPr>
        <w:tblStyle w:val="55"/>
        <w:tblW w:w="9087" w:type="dxa"/>
        <w:jc w:val="center"/>
        <w:tblLayout w:type="autofit"/>
        <w:tblCellMar>
          <w:top w:w="0" w:type="dxa"/>
          <w:left w:w="108" w:type="dxa"/>
          <w:bottom w:w="0" w:type="dxa"/>
          <w:right w:w="108" w:type="dxa"/>
        </w:tblCellMar>
      </w:tblPr>
      <w:tblGrid>
        <w:gridCol w:w="866"/>
        <w:gridCol w:w="5812"/>
        <w:gridCol w:w="2409"/>
      </w:tblGrid>
      <w:tr>
        <w:tblPrEx>
          <w:tblCellMar>
            <w:top w:w="0" w:type="dxa"/>
            <w:left w:w="108" w:type="dxa"/>
            <w:bottom w:w="0" w:type="dxa"/>
            <w:right w:w="108" w:type="dxa"/>
          </w:tblCellMar>
        </w:tblPrEx>
        <w:trPr>
          <w:trHeight w:val="480" w:hRule="atLeast"/>
          <w:jc w:val="center"/>
        </w:trPr>
        <w:tc>
          <w:tcPr>
            <w:tcW w:w="9087" w:type="dxa"/>
            <w:gridSpan w:val="3"/>
            <w:tcBorders>
              <w:top w:val="nil"/>
              <w:left w:val="nil"/>
              <w:bottom w:val="single" w:color="auto" w:sz="4" w:space="0"/>
              <w:right w:val="nil"/>
            </w:tcBorders>
            <w:shd w:val="clear" w:color="auto" w:fill="auto"/>
            <w:noWrap/>
            <w:vAlign w:val="center"/>
          </w:tcPr>
          <w:p>
            <w:pPr>
              <w:widowControl/>
              <w:rPr>
                <w:rFonts w:ascii="宋体" w:hAnsi="宋体" w:cs="宋体"/>
                <w:b/>
                <w:bCs/>
                <w:color w:val="000000"/>
                <w:kern w:val="0"/>
                <w:sz w:val="24"/>
              </w:rPr>
            </w:pPr>
          </w:p>
        </w:tc>
      </w:tr>
      <w:tr>
        <w:tblPrEx>
          <w:tblCellMar>
            <w:top w:w="0" w:type="dxa"/>
            <w:left w:w="108" w:type="dxa"/>
            <w:bottom w:w="0" w:type="dxa"/>
            <w:right w:w="108" w:type="dxa"/>
          </w:tblCellMar>
        </w:tblPrEx>
        <w:trPr>
          <w:trHeight w:val="45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站点名称</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期数</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SY0712高铁架空层下站1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SY0713高铁架空层下站2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SY0714便民中心正门口站1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SY0715便民中心正门口站2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SY0716江东路信义广场站1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SY0717江东路信义广场站2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SY0718青少年活动中心对面站1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SY0719青少年活动中心对面站2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SY0720金通华府西门站枪1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SY0721金通华府西门站2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SY0722区政府正门口东站1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SY0723区政府正门口东站2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SY0724时代广场正门东站1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SY0725时代广场正门东站2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SY0726人民医院市民大道门口西站1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SY0727人民医院市民大道门口西站2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SY0728舜祥公寓西门站1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SY0729舜祥公寓西门站2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SY0730恒利社区门口站1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SY0731恒利社区门口站2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SY0732藕舫路凤鸣路口站1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SY0733藕舫路凤鸣路口站2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SY0734藕舫路凤鸣路口站3</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SY0735水务中心西侧人行道站1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SY0736水务中心西侧人行道站2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SY0737西横河社区门口站1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SY0738西横河社区门口站2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SY0739汽车东站门口站1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SY0740汽车东站门口站2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SY0741金鱼湾小区虹蛘公园门口站1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SY0742金鱼湾小区虹蛘公园门口站2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SY0743财政局与环保局之间站1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SY0744财政局与环保局之间站2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SY0745江东路建设局对面站1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SY0746江东路建设局对面站2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SY0747半山路妇保医院西侧站1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SY0748半山路妇保医院西侧站2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SY0749步行街北端站1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SY0750步行街北端站2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SY0751步行街北端站3</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SY0752一号桥里侧站1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SY0753一号桥里侧站2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SY0754龙山路滨江豪园西南角站1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SY0755龙山路滨江豪园西南角站2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SY0756龙山路滨江豪园西南角站3</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SY0757文化广场西面站1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SY0758文化广场西面站2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SY0759龙山公园正门口站1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SY0760龙山公园正门口站2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SY0761银河湾门口站1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SY0762银河湾门口站2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SY0763多元世纪城北站1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SY0764多元世纪城北站2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SY0765湿地公园站1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SY0766湿地公园站2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SY1498江滨新村西侧站1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SY1499江滨新村西侧站2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SY1488花园东路腾飞路交叉口站1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SY1489花园东路腾飞路交叉口站2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SY1490天香西园东北角站1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SY1491天香西园东北角站2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SY1492厚诚口腔医院门口站1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SY1493厚诚口腔医院门口站2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SY1494开发区越秀路站1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SY1495开发区越秀路站2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SY1496渡江路站1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SY1497渡江路站2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SY1500汽车西站站1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SY1501汽车西站站2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SY1502舜耕公园站1</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r>
        <w:tblPrEx>
          <w:tblCellMar>
            <w:top w:w="0" w:type="dxa"/>
            <w:left w:w="108" w:type="dxa"/>
            <w:bottom w:w="0" w:type="dxa"/>
            <w:right w:w="108" w:type="dxa"/>
          </w:tblCellMar>
        </w:tblPrEx>
        <w:trPr>
          <w:trHeight w:val="270"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58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SY1503舜耕公园站2</w:t>
            </w:r>
          </w:p>
        </w:tc>
        <w:tc>
          <w:tcPr>
            <w:tcW w:w="24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公共自行车监控一期</w:t>
            </w:r>
          </w:p>
        </w:tc>
      </w:tr>
    </w:tbl>
    <w:p>
      <w:pPr>
        <w:spacing w:line="300" w:lineRule="exact"/>
        <w:ind w:firstLine="470" w:firstLineChars="196"/>
        <w:rPr>
          <w:rFonts w:ascii="宋体"/>
          <w:b/>
          <w:kern w:val="0"/>
          <w:sz w:val="24"/>
          <w:szCs w:val="68"/>
        </w:rPr>
      </w:pPr>
    </w:p>
    <w:p>
      <w:pPr>
        <w:spacing w:line="300" w:lineRule="exact"/>
        <w:ind w:firstLine="470" w:firstLineChars="196"/>
        <w:rPr>
          <w:rFonts w:ascii="宋体"/>
          <w:b/>
          <w:kern w:val="0"/>
          <w:sz w:val="24"/>
          <w:szCs w:val="68"/>
        </w:rPr>
      </w:pPr>
    </w:p>
    <w:p>
      <w:pPr>
        <w:spacing w:line="300" w:lineRule="exact"/>
        <w:ind w:firstLine="352" w:firstLineChars="147"/>
        <w:rPr>
          <w:rFonts w:ascii="宋体" w:hAnsi="宋体"/>
          <w:b/>
          <w:color w:val="000000"/>
          <w:sz w:val="24"/>
        </w:rPr>
      </w:pPr>
      <w:r>
        <w:rPr>
          <w:rFonts w:hint="eastAsia" w:ascii="宋体" w:hAnsi="宋体"/>
          <w:b/>
          <w:color w:val="000000"/>
          <w:sz w:val="24"/>
        </w:rPr>
        <w:t>2.6.3 内容三</w:t>
      </w:r>
    </w:p>
    <w:p>
      <w:pPr>
        <w:spacing w:line="300" w:lineRule="exact"/>
        <w:ind w:firstLine="470" w:firstLineChars="196"/>
        <w:rPr>
          <w:rFonts w:ascii="宋体" w:hAnsi="宋体"/>
          <w:b/>
          <w:bCs/>
          <w:sz w:val="24"/>
        </w:rPr>
      </w:pPr>
      <w:r>
        <w:rPr>
          <w:rFonts w:hint="eastAsia" w:ascii="宋体"/>
          <w:b/>
          <w:kern w:val="0"/>
          <w:sz w:val="24"/>
          <w:szCs w:val="68"/>
        </w:rPr>
        <w:t>《上虞区易**化学品可视化管理系统升级改造及租赁（租期五年）》点位表</w:t>
      </w:r>
    </w:p>
    <w:tbl>
      <w:tblPr>
        <w:tblStyle w:val="55"/>
        <w:tblW w:w="9087" w:type="dxa"/>
        <w:tblInd w:w="93" w:type="dxa"/>
        <w:tblLayout w:type="autofit"/>
        <w:tblCellMar>
          <w:top w:w="0" w:type="dxa"/>
          <w:left w:w="108" w:type="dxa"/>
          <w:bottom w:w="0" w:type="dxa"/>
          <w:right w:w="108" w:type="dxa"/>
        </w:tblCellMar>
      </w:tblPr>
      <w:tblGrid>
        <w:gridCol w:w="750"/>
        <w:gridCol w:w="2809"/>
        <w:gridCol w:w="1233"/>
        <w:gridCol w:w="3161"/>
        <w:gridCol w:w="1134"/>
      </w:tblGrid>
      <w:tr>
        <w:tblPrEx>
          <w:tblCellMar>
            <w:top w:w="0" w:type="dxa"/>
            <w:left w:w="108" w:type="dxa"/>
            <w:bottom w:w="0" w:type="dxa"/>
            <w:right w:w="108" w:type="dxa"/>
          </w:tblCellMar>
        </w:tblPrEx>
        <w:trPr>
          <w:trHeight w:val="285"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编号</w:t>
            </w:r>
          </w:p>
        </w:tc>
        <w:tc>
          <w:tcPr>
            <w:tcW w:w="28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123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辖区</w:t>
            </w:r>
          </w:p>
        </w:tc>
        <w:tc>
          <w:tcPr>
            <w:tcW w:w="316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通信地址</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摄像机数</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上虞盛晖化工有限公司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杭州湾精细化工园区纬五路2号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上虞市银邦化工有限公司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杭州湾精细化工园区纬五路1号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浙江国邦药业有限公司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杭州湾上虞化工园区纬五路6号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浙江新和成药业有限公司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杭州湾上虞工业园区纬五路32号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上虞新和成生物化工有限公司 </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杭州湾上虞工业园区纬五路32号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浙江劲光化工有限公司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杭州湾上虞工业园区纬五路27号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浙江洪翔化学工业有限公司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杭州湾精细化工园区纬三路7号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上虞亿得化工有限公司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杭州湾精细化工园区纬三路9号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上虞颖泰精细化工有限公司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杭州湾精细化工园区纬九路9号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浙江金科日化原料有限公司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杭州湾上虞工业园区纬九路5号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浙江迪邦化工有限公司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杭州湾精细工业园区纬七东路1号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浙江宏达化学制品有限公司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杭州湾精细化工园区经9路5号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浙江新三和医药化工股份有限公司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浙江杭州湾上虞工业园区经一路3号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浙江舜龙化工有限公司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杭州湾精细化工园区纬三东路9号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浙江龙盛集团股份有限公司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道墟</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上虞市道墟镇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浙江瑞华化工有限公司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道墟</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上虞市道墟镇称海村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34"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浙江闰土股份有限公司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道墟</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上虞市道墟镇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浙江皇马科技股份有限公司</w:t>
            </w:r>
            <w:r>
              <w:rPr>
                <w:rFonts w:ascii="Times New Roman" w:hAnsi="Times New Roman"/>
                <w:color w:val="000000"/>
                <w:kern w:val="0"/>
                <w:sz w:val="20"/>
                <w:szCs w:val="20"/>
              </w:rPr>
              <w:t xml:space="preserve"> </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章镇</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上虞市章镇工业区</w:t>
            </w:r>
            <w:r>
              <w:rPr>
                <w:rFonts w:ascii="Times New Roman" w:hAnsi="Times New Roman"/>
                <w:color w:val="000000"/>
                <w:kern w:val="0"/>
                <w:sz w:val="20"/>
                <w:szCs w:val="20"/>
              </w:rPr>
              <w:t xml:space="preserve">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上虞市民爆化建有限公司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百官</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百官工业园区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上虞市医药有限责任公司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曹娥</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上虞市解放街138呈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上虞舜联化工有限公司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杭州湾上虞工业园区纬三东路1-1号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上虞市新利化工有限公司</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杭州湾精细化工园区纬三东路11号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r>
        <w:tblPrEx>
          <w:tblCellMar>
            <w:top w:w="0" w:type="dxa"/>
            <w:left w:w="108" w:type="dxa"/>
            <w:bottom w:w="0" w:type="dxa"/>
            <w:right w:w="108" w:type="dxa"/>
          </w:tblCellMar>
        </w:tblPrEx>
        <w:trPr>
          <w:trHeight w:val="480" w:hRule="atLeast"/>
        </w:trPr>
        <w:tc>
          <w:tcPr>
            <w:tcW w:w="7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23</w:t>
            </w:r>
          </w:p>
        </w:tc>
        <w:tc>
          <w:tcPr>
            <w:tcW w:w="28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上虞大新色彩化工有限公司  </w:t>
            </w:r>
          </w:p>
        </w:tc>
        <w:tc>
          <w:tcPr>
            <w:tcW w:w="123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园区</w:t>
            </w:r>
          </w:p>
        </w:tc>
        <w:tc>
          <w:tcPr>
            <w:tcW w:w="316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杭州湾精细化工园区纬三东路11号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2枪</w:t>
            </w:r>
          </w:p>
        </w:tc>
      </w:tr>
    </w:tbl>
    <w:p>
      <w:pPr>
        <w:spacing w:line="300" w:lineRule="exact"/>
        <w:ind w:firstLine="470" w:firstLineChars="196"/>
        <w:rPr>
          <w:rFonts w:ascii="宋体" w:hAnsi="宋体"/>
          <w:b/>
          <w:bCs/>
          <w:sz w:val="24"/>
        </w:rPr>
      </w:pPr>
    </w:p>
    <w:p>
      <w:pPr>
        <w:spacing w:line="300" w:lineRule="exact"/>
        <w:ind w:firstLine="470" w:firstLineChars="196"/>
        <w:rPr>
          <w:rFonts w:ascii="宋体" w:hAnsi="宋体"/>
          <w:b/>
          <w:bCs/>
          <w:sz w:val="24"/>
        </w:rPr>
      </w:pPr>
      <w:r>
        <w:rPr>
          <w:rFonts w:hint="eastAsia" w:ascii="宋体" w:hAnsi="宋体"/>
          <w:b/>
          <w:bCs/>
          <w:sz w:val="24"/>
        </w:rPr>
        <w:t>2.7  摄像机立杆和机柜要求：</w:t>
      </w:r>
    </w:p>
    <w:p>
      <w:pPr>
        <w:spacing w:line="300" w:lineRule="exact"/>
        <w:ind w:left="1" w:leftChars="-84" w:hanging="177" w:hangingChars="74"/>
        <w:rPr>
          <w:rFonts w:ascii="宋体" w:hAnsi="宋体"/>
          <w:sz w:val="24"/>
        </w:rPr>
      </w:pPr>
      <w:r>
        <w:rPr>
          <w:rFonts w:hint="eastAsia" w:ascii="宋体" w:hAnsi="宋体"/>
          <w:sz w:val="24"/>
        </w:rPr>
        <w:t xml:space="preserve">     a. 立杆要求如下： 立杆高度4.5.0-5.5m，摄象机安装位置与立杆垂直线之间水平距离≥0.5M的比例约为4：3：3。立杆下端管径应在180mm±10mm上端管径应在130mm±5mm,管壁厚度应≥4mm，杆型为六边或八边形。杆体在40米/秒的风速条件下，不应发生明显抖动、严重歪斜或永久性变形，杆体需牢固、美观，表面镀锌喷塑。</w:t>
      </w:r>
    </w:p>
    <w:p>
      <w:pPr>
        <w:adjustRightInd w:val="0"/>
        <w:snapToGrid w:val="0"/>
        <w:spacing w:line="300" w:lineRule="exact"/>
        <w:ind w:right="205" w:firstLine="480" w:firstLineChars="200"/>
        <w:rPr>
          <w:rFonts w:ascii="宋体" w:hAnsi="宋体"/>
          <w:sz w:val="24"/>
        </w:rPr>
      </w:pPr>
      <w:r>
        <w:rPr>
          <w:rFonts w:hint="eastAsia" w:ascii="宋体" w:hAnsi="宋体"/>
          <w:sz w:val="24"/>
        </w:rPr>
        <w:t>b 立杆的基础要求如下：</w:t>
      </w:r>
    </w:p>
    <w:p>
      <w:pPr>
        <w:adjustRightInd w:val="0"/>
        <w:snapToGrid w:val="0"/>
        <w:spacing w:line="300" w:lineRule="exact"/>
        <w:ind w:firstLine="420"/>
        <w:rPr>
          <w:rFonts w:ascii="宋体" w:hAnsi="宋体"/>
          <w:sz w:val="24"/>
        </w:rPr>
      </w:pPr>
      <w:r>
        <w:rPr>
          <w:rFonts w:hint="eastAsia" w:ascii="宋体" w:hAnsi="宋体"/>
          <w:sz w:val="24"/>
        </w:rPr>
        <w:t>可根据监控点的现场实际勘查情况，前端摄像机安装采用单独立竿的方式进行安装。</w:t>
      </w:r>
    </w:p>
    <w:p>
      <w:pPr>
        <w:numPr>
          <w:ilvl w:val="0"/>
          <w:numId w:val="15"/>
        </w:numPr>
        <w:adjustRightInd w:val="0"/>
        <w:snapToGrid w:val="0"/>
        <w:spacing w:line="300" w:lineRule="exact"/>
        <w:rPr>
          <w:rFonts w:ascii="宋体" w:hAnsi="宋体"/>
          <w:sz w:val="24"/>
        </w:rPr>
      </w:pPr>
      <w:r>
        <w:rPr>
          <w:rFonts w:hint="eastAsia" w:ascii="宋体" w:hAnsi="宋体"/>
          <w:sz w:val="24"/>
        </w:rPr>
        <w:t>基础要求：设计安装立杆的路口必须先灌筑基础。基础深度应在1.0米左右，基础直径大于800mm。</w:t>
      </w:r>
    </w:p>
    <w:p>
      <w:pPr>
        <w:numPr>
          <w:ilvl w:val="0"/>
          <w:numId w:val="15"/>
        </w:numPr>
        <w:adjustRightInd w:val="0"/>
        <w:snapToGrid w:val="0"/>
        <w:spacing w:line="300" w:lineRule="exact"/>
        <w:rPr>
          <w:rFonts w:ascii="宋体" w:hAnsi="宋体"/>
          <w:sz w:val="24"/>
        </w:rPr>
      </w:pPr>
      <w:r>
        <w:rPr>
          <w:rFonts w:hint="eastAsia" w:ascii="宋体" w:hAnsi="宋体"/>
          <w:sz w:val="24"/>
        </w:rPr>
        <w:t>前端机箱落地安装，电源进线和光缆引入机箱内，考虑和立杆统一接地，以避雷。</w:t>
      </w:r>
    </w:p>
    <w:p>
      <w:pPr>
        <w:numPr>
          <w:ilvl w:val="0"/>
          <w:numId w:val="15"/>
        </w:numPr>
        <w:adjustRightInd w:val="0"/>
        <w:snapToGrid w:val="0"/>
        <w:spacing w:line="300" w:lineRule="exact"/>
        <w:rPr>
          <w:rFonts w:ascii="宋体" w:hAnsi="宋体"/>
          <w:sz w:val="24"/>
        </w:rPr>
      </w:pPr>
      <w:r>
        <w:rPr>
          <w:rFonts w:hint="eastAsia" w:ascii="宋体" w:hAnsi="宋体"/>
          <w:sz w:val="24"/>
        </w:rPr>
        <w:t>电源进线可采用就近取电源。</w:t>
      </w:r>
    </w:p>
    <w:p>
      <w:pPr>
        <w:adjustRightInd w:val="0"/>
        <w:snapToGrid w:val="0"/>
        <w:spacing w:line="300" w:lineRule="exact"/>
        <w:rPr>
          <w:rFonts w:ascii="宋体" w:hAnsi="宋体"/>
          <w:sz w:val="24"/>
        </w:rPr>
      </w:pPr>
      <w:r>
        <w:rPr>
          <w:rFonts w:hint="eastAsia" w:ascii="宋体" w:hAnsi="宋体"/>
          <w:sz w:val="24"/>
        </w:rPr>
        <w:t>c. 监控机箱要求如下：</w:t>
      </w:r>
    </w:p>
    <w:p>
      <w:pPr>
        <w:numPr>
          <w:ilvl w:val="0"/>
          <w:numId w:val="16"/>
        </w:numPr>
        <w:adjustRightInd w:val="0"/>
        <w:snapToGrid w:val="0"/>
        <w:spacing w:line="300" w:lineRule="exact"/>
        <w:rPr>
          <w:rFonts w:ascii="宋体" w:hAnsi="宋体"/>
          <w:sz w:val="24"/>
        </w:rPr>
      </w:pPr>
      <w:r>
        <w:rPr>
          <w:rFonts w:hint="eastAsia" w:ascii="宋体" w:hAnsi="宋体"/>
          <w:sz w:val="24"/>
        </w:rPr>
        <w:t>在监控机箱设计电源保护装置，即过流过压保护装置和电源防雷保护装置。</w:t>
      </w:r>
    </w:p>
    <w:p>
      <w:pPr>
        <w:numPr>
          <w:ilvl w:val="0"/>
          <w:numId w:val="16"/>
        </w:numPr>
        <w:adjustRightInd w:val="0"/>
        <w:snapToGrid w:val="0"/>
        <w:spacing w:line="300" w:lineRule="exact"/>
        <w:rPr>
          <w:rFonts w:ascii="宋体" w:hAnsi="宋体"/>
          <w:sz w:val="24"/>
        </w:rPr>
      </w:pPr>
      <w:r>
        <w:rPr>
          <w:rFonts w:hint="eastAsia" w:ascii="宋体" w:hAnsi="宋体"/>
          <w:sz w:val="24"/>
        </w:rPr>
        <w:t>在监控机箱中加装电源保护装置，即过流过压保护装置，里面放置光端机、电源设备，接线端子、光纤终端盒、维修开关和插座。</w:t>
      </w:r>
    </w:p>
    <w:p>
      <w:pPr>
        <w:numPr>
          <w:ilvl w:val="0"/>
          <w:numId w:val="16"/>
        </w:numPr>
        <w:adjustRightInd w:val="0"/>
        <w:snapToGrid w:val="0"/>
        <w:spacing w:line="300" w:lineRule="exact"/>
        <w:rPr>
          <w:rFonts w:ascii="宋体" w:hAnsi="宋体"/>
          <w:sz w:val="24"/>
        </w:rPr>
      </w:pPr>
      <w:r>
        <w:rPr>
          <w:rFonts w:hint="eastAsia" w:ascii="宋体" w:hAnsi="宋体"/>
          <w:sz w:val="24"/>
        </w:rPr>
        <w:t>机柜要充分考虑温度，密封和安全性能。</w:t>
      </w:r>
    </w:p>
    <w:p>
      <w:pPr>
        <w:numPr>
          <w:ilvl w:val="0"/>
          <w:numId w:val="16"/>
        </w:numPr>
        <w:adjustRightInd w:val="0"/>
        <w:snapToGrid w:val="0"/>
        <w:spacing w:line="300" w:lineRule="exact"/>
        <w:rPr>
          <w:rFonts w:ascii="宋体" w:hAnsi="宋体"/>
          <w:sz w:val="24"/>
        </w:rPr>
      </w:pPr>
      <w:r>
        <w:rPr>
          <w:rFonts w:hint="eastAsia" w:ascii="宋体" w:hAnsi="宋体"/>
          <w:b/>
          <w:color w:val="000000"/>
        </w:rPr>
        <w:t>系统有完整的防雷体系。</w:t>
      </w:r>
    </w:p>
    <w:p>
      <w:pPr>
        <w:adjustRightInd w:val="0"/>
        <w:snapToGrid w:val="0"/>
        <w:spacing w:line="300" w:lineRule="exact"/>
        <w:ind w:firstLine="470" w:firstLineChars="196"/>
        <w:rPr>
          <w:rFonts w:ascii="宋体" w:hAnsi="宋体"/>
          <w:b/>
          <w:bCs/>
          <w:sz w:val="24"/>
        </w:rPr>
      </w:pPr>
      <w:r>
        <w:rPr>
          <w:rFonts w:hint="eastAsia" w:ascii="宋体" w:hAnsi="宋体"/>
          <w:b/>
          <w:bCs/>
          <w:sz w:val="24"/>
        </w:rPr>
        <w:t>2.8 监控点的避雷与接地</w:t>
      </w:r>
    </w:p>
    <w:p>
      <w:pPr>
        <w:adjustRightInd w:val="0"/>
        <w:snapToGrid w:val="0"/>
        <w:spacing w:line="300" w:lineRule="exact"/>
        <w:ind w:firstLine="540" w:firstLineChars="225"/>
        <w:rPr>
          <w:rFonts w:ascii="宋体" w:hAnsi="宋体"/>
          <w:sz w:val="24"/>
        </w:rPr>
      </w:pPr>
      <w:r>
        <w:rPr>
          <w:rFonts w:hint="eastAsia" w:ascii="宋体" w:hAnsi="宋体"/>
          <w:sz w:val="24"/>
        </w:rPr>
        <w:t>前端设备安装于室外，易遭到雷电打击，为了前端设备能可靠、长久地运行，摄像机杆和前端机箱须接地。在前端采用电源防雷措施，监控立竿和监控箱统一接地，每个监控点做一套独立接地系统，要求接地电阻≤10</w:t>
      </w:r>
      <w:r>
        <w:rPr>
          <w:rFonts w:ascii="宋体" w:hAnsi="宋体"/>
          <w:sz w:val="24"/>
        </w:rPr>
        <w:t>Ω</w:t>
      </w:r>
      <w:r>
        <w:rPr>
          <w:rFonts w:hint="eastAsia" w:ascii="宋体" w:hAnsi="宋体"/>
          <w:sz w:val="24"/>
        </w:rPr>
        <w:t>。机箱和立杆统一接地。</w:t>
      </w:r>
    </w:p>
    <w:p>
      <w:pPr>
        <w:adjustRightInd w:val="0"/>
        <w:snapToGrid w:val="0"/>
        <w:spacing w:line="300" w:lineRule="exact"/>
        <w:rPr>
          <w:rFonts w:ascii="宋体" w:hAnsi="宋体"/>
          <w:sz w:val="24"/>
        </w:rPr>
      </w:pPr>
      <w:r>
        <w:rPr>
          <w:rFonts w:hint="eastAsia" w:ascii="宋体" w:hAnsi="宋体"/>
          <w:sz w:val="24"/>
        </w:rPr>
        <w:t>避雷器要求：</w:t>
      </w:r>
    </w:p>
    <w:p>
      <w:pPr>
        <w:adjustRightInd w:val="0"/>
        <w:snapToGrid w:val="0"/>
        <w:spacing w:line="300" w:lineRule="exact"/>
        <w:ind w:firstLine="360" w:firstLineChars="150"/>
        <w:rPr>
          <w:rFonts w:ascii="宋体" w:hAnsi="宋体"/>
          <w:sz w:val="24"/>
        </w:rPr>
      </w:pPr>
      <w:r>
        <w:rPr>
          <w:rFonts w:hint="eastAsia" w:ascii="宋体" w:hAnsi="宋体"/>
          <w:sz w:val="24"/>
        </w:rPr>
        <w:t>（1）电源避雷器</w:t>
      </w:r>
    </w:p>
    <w:p>
      <w:pPr>
        <w:adjustRightInd w:val="0"/>
        <w:snapToGrid w:val="0"/>
        <w:spacing w:line="300" w:lineRule="exact"/>
        <w:ind w:firstLine="480" w:firstLineChars="200"/>
        <w:rPr>
          <w:rFonts w:ascii="宋体" w:hAnsi="宋体"/>
          <w:sz w:val="24"/>
        </w:rPr>
      </w:pPr>
      <w:r>
        <w:rPr>
          <w:rFonts w:hint="eastAsia" w:ascii="宋体" w:hAnsi="宋体"/>
          <w:sz w:val="24"/>
        </w:rPr>
        <w:t>雷电通流量（8/20us）≥20 KA；电压保护水平（8/20us 20 KA）≤2KV；电压保护水平（8/20us 3 KA）≤1KV；工作电压：220V；接线方式：并联。</w:t>
      </w:r>
    </w:p>
    <w:p>
      <w:pPr>
        <w:adjustRightInd w:val="0"/>
        <w:snapToGrid w:val="0"/>
        <w:spacing w:line="300" w:lineRule="exact"/>
        <w:ind w:firstLine="480" w:firstLineChars="200"/>
        <w:rPr>
          <w:rFonts w:ascii="宋体" w:hAnsi="宋体"/>
          <w:sz w:val="24"/>
        </w:rPr>
      </w:pPr>
      <w:r>
        <w:rPr>
          <w:rFonts w:hint="eastAsia" w:ascii="宋体" w:hAnsi="宋体"/>
          <w:sz w:val="24"/>
        </w:rPr>
        <w:t xml:space="preserve">(2) 视频避雷器     </w:t>
      </w:r>
    </w:p>
    <w:p>
      <w:pPr>
        <w:adjustRightInd w:val="0"/>
        <w:snapToGrid w:val="0"/>
        <w:spacing w:line="300" w:lineRule="exact"/>
        <w:ind w:firstLine="480" w:firstLineChars="200"/>
        <w:rPr>
          <w:rFonts w:ascii="宋体" w:hAnsi="宋体"/>
          <w:sz w:val="24"/>
        </w:rPr>
      </w:pPr>
      <w:r>
        <w:rPr>
          <w:rFonts w:hint="eastAsia" w:ascii="宋体" w:hAnsi="宋体"/>
          <w:sz w:val="24"/>
        </w:rPr>
        <w:t>主要元件进口；接入方式:串；特性阻抗(Ω):75；接口类型:BNC；工作电压(V):25；电压保护水平Up(V)线与线: ≤90V；电压保护水平Up(V)线与地: ≤90V；雷电通流量（8/20us） ≥ 20 KA；工作频率≤15MHZ；插入损耗≤(dB):0.5。</w:t>
      </w:r>
    </w:p>
    <w:p>
      <w:pPr>
        <w:adjustRightInd w:val="0"/>
        <w:snapToGrid w:val="0"/>
        <w:spacing w:line="300" w:lineRule="exact"/>
        <w:ind w:firstLine="470" w:firstLineChars="196"/>
        <w:rPr>
          <w:rFonts w:ascii="宋体" w:hAnsi="宋体"/>
          <w:b/>
          <w:bCs/>
          <w:color w:val="000000"/>
          <w:sz w:val="24"/>
        </w:rPr>
      </w:pPr>
      <w:r>
        <w:rPr>
          <w:rFonts w:hint="eastAsia" w:ascii="宋体" w:hAnsi="宋体"/>
          <w:b/>
          <w:bCs/>
          <w:color w:val="000000"/>
          <w:sz w:val="24"/>
        </w:rPr>
        <w:t>2.9 前端取电</w:t>
      </w:r>
    </w:p>
    <w:p>
      <w:pPr>
        <w:adjustRightInd w:val="0"/>
        <w:snapToGrid w:val="0"/>
        <w:spacing w:line="300" w:lineRule="exact"/>
        <w:ind w:firstLine="480" w:firstLineChars="200"/>
        <w:rPr>
          <w:rFonts w:ascii="宋体" w:hAnsi="宋体"/>
          <w:sz w:val="24"/>
        </w:rPr>
      </w:pPr>
      <w:r>
        <w:rPr>
          <w:rFonts w:hint="eastAsia" w:ascii="宋体" w:hAnsi="宋体"/>
          <w:sz w:val="24"/>
        </w:rPr>
        <w:t>前端取电采取就近取电方式。包括破路及修复、套管、电线、接电盒等所有配件材料。</w:t>
      </w:r>
    </w:p>
    <w:p>
      <w:pPr>
        <w:spacing w:line="440" w:lineRule="exact"/>
        <w:ind w:firstLine="470" w:firstLineChars="196"/>
        <w:rPr>
          <w:rFonts w:ascii="宋体" w:hAnsi="宋体"/>
          <w:b/>
          <w:bCs/>
          <w:color w:val="000000"/>
          <w:sz w:val="24"/>
        </w:rPr>
      </w:pPr>
      <w:r>
        <w:rPr>
          <w:rFonts w:hint="eastAsia" w:ascii="宋体" w:hAnsi="宋体"/>
          <w:b/>
          <w:bCs/>
          <w:color w:val="000000"/>
          <w:sz w:val="24"/>
        </w:rPr>
        <w:t xml:space="preserve">2.10  系统主要设备技术指标要求（详见采购清单技术指标要求栏）    </w:t>
      </w:r>
    </w:p>
    <w:p>
      <w:pPr>
        <w:spacing w:line="440" w:lineRule="exact"/>
        <w:ind w:firstLine="470" w:firstLineChars="196"/>
        <w:rPr>
          <w:rFonts w:ascii="宋体" w:hAnsi="宋体"/>
          <w:b/>
          <w:bCs/>
          <w:color w:val="000000"/>
          <w:sz w:val="24"/>
        </w:rPr>
      </w:pPr>
      <w:r>
        <w:rPr>
          <w:rFonts w:hint="eastAsia" w:ascii="宋体" w:hAnsi="宋体"/>
          <w:b/>
          <w:bCs/>
          <w:color w:val="000000"/>
          <w:sz w:val="24"/>
        </w:rPr>
        <w:t>2.11  工程准备的要求</w:t>
      </w:r>
    </w:p>
    <w:p>
      <w:pPr>
        <w:spacing w:line="440" w:lineRule="exact"/>
        <w:ind w:firstLine="480" w:firstLineChars="200"/>
        <w:rPr>
          <w:rFonts w:ascii="宋体" w:hAnsi="宋体"/>
          <w:b/>
          <w:sz w:val="24"/>
        </w:rPr>
      </w:pPr>
      <w:r>
        <w:rPr>
          <w:rFonts w:hint="eastAsia" w:ascii="宋体" w:hAnsi="宋体"/>
          <w:color w:val="000000"/>
          <w:sz w:val="24"/>
        </w:rPr>
        <w:t>投标方必须在技术标</w:t>
      </w:r>
      <w:r>
        <w:rPr>
          <w:rFonts w:hint="eastAsia" w:ascii="宋体" w:hAnsi="宋体"/>
          <w:sz w:val="24"/>
        </w:rPr>
        <w:t>中包含工程施工以前的详细施工方案，包括立杆基础、机柜基础、系统接电、系统接地，各种线缆走向、井道等示意图；如果市政部门要求提供施工方案，要负责各种提供各种市政部门需要的图纸。工程施工完毕必须提供工程实际施工时的实际施工图，必须提供工程中使用的主要设备的使用说明书和质保单。</w:t>
      </w:r>
      <w:bookmarkEnd w:id="24"/>
      <w:bookmarkEnd w:id="25"/>
      <w:r>
        <w:rPr>
          <w:rFonts w:hint="eastAsia" w:ascii="宋体" w:hAnsi="宋体"/>
          <w:b/>
          <w:sz w:val="24"/>
        </w:rPr>
        <w:t>本工程施工管线需采取全地埋施工工艺。</w:t>
      </w:r>
    </w:p>
    <w:p>
      <w:pPr>
        <w:autoSpaceDE w:val="0"/>
        <w:autoSpaceDN w:val="0"/>
        <w:spacing w:line="360" w:lineRule="auto"/>
        <w:ind w:firstLine="470" w:firstLineChars="196"/>
        <w:textAlignment w:val="bottom"/>
        <w:rPr>
          <w:rFonts w:ascii="宋体" w:hAnsi="宋体" w:cs="宋体"/>
          <w:b/>
          <w:sz w:val="24"/>
        </w:rPr>
      </w:pPr>
      <w:r>
        <w:rPr>
          <w:rFonts w:hint="eastAsia" w:ascii="宋体" w:hAnsi="宋体"/>
          <w:b/>
          <w:bCs/>
          <w:color w:val="000000"/>
          <w:sz w:val="24"/>
        </w:rPr>
        <w:t>2.12 工程其他要求：</w:t>
      </w:r>
      <w:r>
        <w:rPr>
          <w:rFonts w:hint="eastAsia" w:ascii="宋体" w:hAnsi="宋体" w:cs="宋体"/>
          <w:b/>
          <w:sz w:val="24"/>
        </w:rPr>
        <w:t>提供实施本项目必须的自有光纤网络证明文件，没有自有光纤网络的需提供自建光纤网络或租赁光纤网络的承诺书。</w:t>
      </w:r>
    </w:p>
    <w:p>
      <w:pPr>
        <w:spacing w:line="440" w:lineRule="exact"/>
        <w:rPr>
          <w:rFonts w:ascii="宋体" w:hAnsi="宋体"/>
          <w:b/>
          <w:bCs/>
          <w:color w:val="000000"/>
          <w:sz w:val="24"/>
        </w:rPr>
      </w:pPr>
    </w:p>
    <w:p>
      <w:pPr>
        <w:spacing w:line="440" w:lineRule="exact"/>
        <w:ind w:firstLine="480" w:firstLineChars="200"/>
        <w:rPr>
          <w:rFonts w:ascii="宋体" w:hAnsi="宋体"/>
          <w:b/>
          <w:bCs/>
          <w:color w:val="000000"/>
          <w:sz w:val="24"/>
        </w:rPr>
      </w:pPr>
    </w:p>
    <w:p>
      <w:pPr>
        <w:pStyle w:val="3"/>
        <w:spacing w:line="300" w:lineRule="exact"/>
        <w:jc w:val="center"/>
        <w:rPr>
          <w:color w:val="000000"/>
          <w:kern w:val="0"/>
        </w:rPr>
      </w:pPr>
      <w:bookmarkStart w:id="27" w:name="_Toc492909722"/>
      <w:bookmarkStart w:id="28" w:name="_Toc2852591"/>
      <w:r>
        <w:rPr>
          <w:rFonts w:hint="eastAsia"/>
          <w:color w:val="000000"/>
          <w:kern w:val="0"/>
        </w:rPr>
        <w:t>第二章　供货范围及要求</w:t>
      </w:r>
      <w:bookmarkEnd w:id="26"/>
      <w:bookmarkEnd w:id="27"/>
      <w:bookmarkEnd w:id="28"/>
    </w:p>
    <w:p>
      <w:pPr>
        <w:rPr>
          <w:sz w:val="24"/>
        </w:rPr>
      </w:pPr>
      <w:r>
        <w:rPr>
          <w:rFonts w:hint="eastAsia"/>
          <w:sz w:val="24"/>
        </w:rPr>
        <w:t>3 一般要求</w:t>
      </w:r>
    </w:p>
    <w:p>
      <w:pPr>
        <w:rPr>
          <w:sz w:val="24"/>
        </w:rPr>
      </w:pPr>
      <w:r>
        <w:rPr>
          <w:rFonts w:hint="eastAsia"/>
          <w:sz w:val="24"/>
        </w:rPr>
        <w:t>3.1　成交供应商须保证提供货物为全新的、先进的、成熟的、完整的和安全可靠的，且货物的技术经济性能符合本部分第一章规定的要求。</w:t>
      </w:r>
    </w:p>
    <w:p>
      <w:pPr>
        <w:rPr>
          <w:sz w:val="24"/>
        </w:rPr>
      </w:pPr>
      <w:r>
        <w:rPr>
          <w:rFonts w:hint="eastAsia"/>
          <w:sz w:val="24"/>
        </w:rPr>
        <w:t>3.2　成交供应商应提供详细供货清单，清单中依次说明型号、数量、产地、生产厂家等内容。</w:t>
      </w:r>
    </w:p>
    <w:p>
      <w:pPr>
        <w:rPr>
          <w:sz w:val="24"/>
        </w:rPr>
      </w:pPr>
      <w:r>
        <w:rPr>
          <w:rFonts w:hint="eastAsia"/>
          <w:sz w:val="24"/>
        </w:rPr>
        <w:t>3.3　除有特别注明外，所列数量均为一套（台）所需。对于属于整套货物运行和施工所必需的部件，即使在本部分第一章中未列出或数目不足，成交供应商仍须在执行合同时补足。</w:t>
      </w:r>
    </w:p>
    <w:p>
      <w:pPr>
        <w:rPr>
          <w:sz w:val="24"/>
        </w:rPr>
      </w:pPr>
      <w:r>
        <w:rPr>
          <w:rFonts w:hint="eastAsia"/>
          <w:sz w:val="24"/>
        </w:rPr>
        <w:t>3.4　成交供应商应提供所有安装和检修所需专用工具和消耗材料等，并提供详细供货清单。</w:t>
      </w:r>
    </w:p>
    <w:p>
      <w:pPr>
        <w:rPr>
          <w:sz w:val="24"/>
        </w:rPr>
      </w:pPr>
      <w:r>
        <w:rPr>
          <w:rFonts w:hint="eastAsia"/>
          <w:sz w:val="24"/>
        </w:rPr>
        <w:t>3.5　提供随机备品备件和</w:t>
      </w:r>
      <w:r>
        <w:rPr>
          <w:rFonts w:hint="eastAsia"/>
          <w:sz w:val="24"/>
          <w:u w:val="single"/>
        </w:rPr>
        <w:t>　1　</w:t>
      </w:r>
      <w:r>
        <w:rPr>
          <w:rFonts w:hint="eastAsia"/>
          <w:sz w:val="24"/>
        </w:rPr>
        <w:t>年运行所需的备品备件，并在谈判文件中给出具体清单。</w:t>
      </w:r>
    </w:p>
    <w:p>
      <w:pPr>
        <w:rPr>
          <w:sz w:val="24"/>
        </w:rPr>
      </w:pPr>
      <w:r>
        <w:rPr>
          <w:rFonts w:hint="eastAsia"/>
          <w:sz w:val="24"/>
        </w:rPr>
        <w:t>3.6　提供所供货物中的进口件清单。</w:t>
      </w:r>
    </w:p>
    <w:p>
      <w:pPr>
        <w:rPr>
          <w:sz w:val="24"/>
        </w:rPr>
      </w:pPr>
      <w:r>
        <w:rPr>
          <w:rFonts w:hint="eastAsia"/>
          <w:sz w:val="24"/>
        </w:rPr>
        <w:t>3.7　成交供应商提供的技术资料清单见本部分第三章。</w:t>
      </w:r>
    </w:p>
    <w:p>
      <w:pPr>
        <w:rPr>
          <w:sz w:val="24"/>
        </w:rPr>
      </w:pPr>
      <w:r>
        <w:rPr>
          <w:rFonts w:hint="eastAsia"/>
          <w:sz w:val="24"/>
        </w:rPr>
        <w:t>4　供货范围</w:t>
      </w:r>
    </w:p>
    <w:p>
      <w:pPr>
        <w:numPr>
          <w:ilvl w:val="1"/>
          <w:numId w:val="17"/>
        </w:numPr>
        <w:rPr>
          <w:sz w:val="24"/>
        </w:rPr>
      </w:pPr>
      <w:r>
        <w:rPr>
          <w:rFonts w:hint="eastAsia"/>
          <w:sz w:val="24"/>
        </w:rPr>
        <w:t>货物范围（详见下表）：</w:t>
      </w:r>
    </w:p>
    <w:p>
      <w:pPr>
        <w:spacing w:line="360" w:lineRule="auto"/>
        <w:ind w:firstLine="470" w:firstLineChars="196"/>
        <w:jc w:val="left"/>
        <w:rPr>
          <w:b/>
          <w:sz w:val="24"/>
        </w:rPr>
      </w:pPr>
      <w:r>
        <w:rPr>
          <w:rFonts w:hint="eastAsia"/>
          <w:b/>
          <w:sz w:val="24"/>
        </w:rPr>
        <w:t>特别声明：下列三个投标内容，都是在原有监控点位上进行升级改造，为了在施工建设中不破坏市容市貌，部分杆件、光链路及接电线路可以利旧使用。中标单位如需使用，请自行与原有前端设备资产所有单位中国电信股份有限公司上虞分公司进行协商 。</w:t>
      </w:r>
    </w:p>
    <w:p>
      <w:pPr>
        <w:spacing w:line="360" w:lineRule="auto"/>
        <w:ind w:left="540"/>
        <w:rPr>
          <w:sz w:val="24"/>
        </w:rPr>
      </w:pPr>
    </w:p>
    <w:p>
      <w:pPr>
        <w:widowControl/>
        <w:jc w:val="center"/>
        <w:rPr>
          <w:rFonts w:ascii="宋体" w:hAnsi="宋体" w:cs="宋体"/>
          <w:b/>
          <w:bCs/>
          <w:kern w:val="0"/>
          <w:sz w:val="36"/>
          <w:szCs w:val="36"/>
        </w:rPr>
        <w:sectPr>
          <w:headerReference r:id="rId5" w:type="default"/>
          <w:footerReference r:id="rId6" w:type="even"/>
          <w:pgSz w:w="11906" w:h="16838"/>
          <w:pgMar w:top="1077" w:right="1077" w:bottom="1077" w:left="1701" w:header="851" w:footer="992" w:gutter="0"/>
          <w:cols w:space="720" w:num="1"/>
          <w:titlePg/>
          <w:docGrid w:type="linesAndChars" w:linePitch="312" w:charSpace="0"/>
        </w:sectPr>
      </w:pPr>
    </w:p>
    <w:p>
      <w:pPr>
        <w:rPr>
          <w:sz w:val="24"/>
        </w:rPr>
      </w:pPr>
    </w:p>
    <w:tbl>
      <w:tblPr>
        <w:tblStyle w:val="55"/>
        <w:tblW w:w="13907" w:type="dxa"/>
        <w:tblInd w:w="93" w:type="dxa"/>
        <w:tblLayout w:type="fixed"/>
        <w:tblCellMar>
          <w:top w:w="0" w:type="dxa"/>
          <w:left w:w="108" w:type="dxa"/>
          <w:bottom w:w="0" w:type="dxa"/>
          <w:right w:w="108" w:type="dxa"/>
        </w:tblCellMar>
      </w:tblPr>
      <w:tblGrid>
        <w:gridCol w:w="866"/>
        <w:gridCol w:w="992"/>
        <w:gridCol w:w="1304"/>
        <w:gridCol w:w="4608"/>
        <w:gridCol w:w="42"/>
        <w:gridCol w:w="992"/>
        <w:gridCol w:w="709"/>
        <w:gridCol w:w="992"/>
        <w:gridCol w:w="1134"/>
        <w:gridCol w:w="1276"/>
        <w:gridCol w:w="992"/>
      </w:tblGrid>
      <w:tr>
        <w:tblPrEx>
          <w:tblCellMar>
            <w:top w:w="0" w:type="dxa"/>
            <w:left w:w="108" w:type="dxa"/>
            <w:bottom w:w="0" w:type="dxa"/>
            <w:right w:w="108" w:type="dxa"/>
          </w:tblCellMar>
        </w:tblPrEx>
        <w:trPr>
          <w:trHeight w:val="570" w:hRule="atLeast"/>
        </w:trPr>
        <w:tc>
          <w:tcPr>
            <w:tcW w:w="13907" w:type="dxa"/>
            <w:gridSpan w:val="11"/>
            <w:tcBorders>
              <w:top w:val="nil"/>
              <w:left w:val="nil"/>
              <w:bottom w:val="single" w:color="auto" w:sz="4" w:space="0"/>
              <w:right w:val="nil"/>
            </w:tcBorders>
            <w:shd w:val="clear" w:color="auto" w:fill="auto"/>
            <w:noWrap w:val="0"/>
            <w:vAlign w:val="center"/>
          </w:tcPr>
          <w:p>
            <w:pPr>
              <w:widowControl/>
              <w:jc w:val="center"/>
              <w:rPr>
                <w:rFonts w:ascii="宋体" w:hAnsi="宋体" w:cs="宋体"/>
                <w:b/>
                <w:bCs/>
                <w:color w:val="000000"/>
                <w:kern w:val="0"/>
                <w:sz w:val="44"/>
                <w:szCs w:val="44"/>
              </w:rPr>
            </w:pPr>
            <w:r>
              <w:rPr>
                <w:rFonts w:hint="eastAsia" w:ascii="宋体"/>
                <w:b/>
                <w:kern w:val="0"/>
                <w:sz w:val="24"/>
                <w:szCs w:val="68"/>
              </w:rPr>
              <w:t>内容一   《上虞区第二期社会治安动态视频监控系统升级改造及租赁（租期五年）》采购清单</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设备名称</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参考型号</w:t>
            </w:r>
          </w:p>
        </w:tc>
        <w:tc>
          <w:tcPr>
            <w:tcW w:w="460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主要参数</w:t>
            </w:r>
          </w:p>
        </w:tc>
        <w:tc>
          <w:tcPr>
            <w:tcW w:w="10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参照或相当于品牌</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单价（元）</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50" w:hRule="atLeast"/>
        </w:trPr>
        <w:tc>
          <w:tcPr>
            <w:tcW w:w="13907"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1、监控前端设备</w:t>
            </w:r>
          </w:p>
        </w:tc>
      </w:tr>
      <w:tr>
        <w:tblPrEx>
          <w:tblCellMar>
            <w:top w:w="0" w:type="dxa"/>
            <w:left w:w="108" w:type="dxa"/>
            <w:bottom w:w="0" w:type="dxa"/>
            <w:right w:w="108" w:type="dxa"/>
          </w:tblCellMar>
        </w:tblPrEx>
        <w:trPr>
          <w:trHeight w:val="1860"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200万高清网络球型摄像机</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内置GPU芯片（以公安部认可的检测机构出具检验报告为准）。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▲具备双路视频融合功能。同一镜头内具有2个Sensor传感器，一个Sensor传感器采集黑白信息，一个Sensor传感器采集色彩信息，球机对采集后的视频信息进行融合（以公安部认可的检测机构出具检验报告为准）。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红外距离不小于550米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支持同时输出不少于2路分辨率1920×1080高清图像支持最低照度可达彩色0.0002Lux，黑白0.0001Lux（以公安部认可的检测机构出具检验报告为准）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▲照度适应范围不小于145dB，宽动态能力综合得分不小于139，信噪比不小于64dB（以公安部检验报告为准）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支持水平手控速度不小于800°/S,垂直手控速度不小于300°/s。水平旋转范围为360°连续旋转，垂直旋转范围为-20°~90°（以公安部认可的检测机构出具检验报告为准）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支持300个预置位，可按照所设置的预置位完成不小于8条巡航路径，每条巡航路径可设置不小于32个预置点。支持预置位视频冻结功能；支持优先控制功能。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快速聚焦功能，当设备跟踪行人或机动车等移动目标并录像时，单帧回放录像文件，每1帧画面均应清晰可见网络传输能力满足设备与客户端之间用350m五类非屏蔽网线直接连接，发送3000个数据包，重复三次，无丢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具备较强的网络自适应能力，在丢包率为32%的网络环境下，可正常显示监视画面。</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支持采用H.264、MJPEG、H.265视频编码标准；支持smart265功能。（以公安部认可的检测机构出具检验报告为准）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支持7路报警输入接口，2路报警输出接口，支持1路音频输入和输出接口。有SD卡槽，最大支持256GB的SD卡。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支持区域入侵、越界入侵、徘徊、物品遗留、物品移除、人员聚集、快速移动、进入区域、离开区域等行为分析功能；人脸检测功能；音频异常侦测功能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室外球机应具备较好防护性能，支持IP67；具备较好的电磁兼容性，支持空气放电20KV，接触放电10KV，15KV防浪涌</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海康威视、宇视、大华</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05"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400万高清网络智能摄像机</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400万星光级1/1.8” CMOS筒型网络摄像机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支持三种智能资源切换：人脸抓拍（默认）、道路监控、Smart事件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人脸抓拍：支持对运动人脸进行检测、跟踪、抓拍、评分、筛选，输出最优的人脸抓图，最多同时检测30张人脸。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道路监控：车牌抓拍，车辆颜色、类型，机非人识别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smart事件：越界侦测,区域入侵侦测,进入/离开区域侦测,徘徊侦测,人员聚集侦测,快速运动侦测,停车侦测,物品遗留/拿取侦测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支持ONVIF(profile S/profile G)、ISAPI、GB/T28181和E-HOME接入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支持五码流技术，双路高清，支持同时20路取流最低照度彩色不大于0.001 lx，黑白不大于0.0001 lx，最大亮度鉴别等级不小于11级。（公安部认可的检测机构出具的检验报告证明）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镜头：（2.8-12mm）@F1.2，水平视场角：100.7°~39.2°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▲支持人脸区域自动曝光功能，可根据外部不同场景和光照变化自动调节人脸区域曝光参数。（公安部认可的检测机构出具的检验报告证明）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支持H.264、H.265、MJPEG视频编码格式，且具有High Profile编码能力。</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在分辨率2688x1520 @ 25fps，延时不大于130ms。</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需支持四码流技术，主码流分辨率不小于2688x1520@25fps，子码流不小于704x576@25fps，第三码流不小于1920x1080@25fps，第四码流不小于704x576@25fps，且支持在各码流最大分辨率和帧率时同时输出。</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存储功能：支持Micro SD（即为TF卡）/SDHC /SDXC卡(128G)断网本地存储,NAS(NFS,SMB/CIFS均支持)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需具有大于120分的宽动态能力。</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海康威视、宇视、大华</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650"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恒定补光灯</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光源；大于40颗3W大功率LED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色温：6000K—6500K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光通量：7700LM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功耗：50W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工作温度：-30℃—80℃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做全景补光时用（含时控开关等）</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亿嘉、浙大中控、希士顿</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万向鸭嘴支架</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抱箍直径150-200MM</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稳压电源</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500w</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接地极</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L50*5*2500镀锌角铁；BVR16导线等，接地电阻≤10Ω</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基础立杆</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H=4.5-5.5米，倒L杆</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含基础</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抱杆机箱</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450*350*250全不锈钢制作、机柜内壁隔热膜处理，45度以上高温强力换气扇自动启动</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电源防雷器</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最大持续工作电压Uc：275V，额定工作电压Un：单相220V/50Hz，最大放电电流Imax（8/20μs）：20KA，标称放电电流In（8/20μs）：10KA，电压保护水平Up：1.25KV，响应时间Ta：25ns，外型尺寸：标准模块 2P。</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奥顿、雷晟、信达</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电源接入</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VV2*4，从电源接入处至监控点，配电箱等及前端取电的道路、绿化挖掘的修复及赔偿等</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要求管线全入地</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前端安装调试</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含各类抱箍、支架、空开及各类接插件等</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标牌</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　</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48mm*36mm</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r>
              <w:rPr>
                <w:rFonts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供电局申请落火费用</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包含电缆抱箍、电缆引上、PVC管、不锈钢箱、横担、搭火等费用</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处</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cs="宋体"/>
                <w:color w:val="000000"/>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trPr>
        <w:tc>
          <w:tcPr>
            <w:tcW w:w="11639"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499" w:hRule="atLeast"/>
        </w:trPr>
        <w:tc>
          <w:tcPr>
            <w:tcW w:w="13907"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2、监控中心设备及软件</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绍兴市公安局共享平台接入</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IVMS-8200 V1.2</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支持流媒体、录像管理、云台管理等功能，支持DB33标准</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路</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130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千兆交换机</w:t>
            </w:r>
          </w:p>
        </w:tc>
        <w:tc>
          <w:tcPr>
            <w:tcW w:w="4650" w:type="dxa"/>
            <w:gridSpan w:val="2"/>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传输速率1000Mbps；端口结构非模块化；端口数量28个；端口描述24个10/100/1000Base-T以太网端口，4个1000Base-X SFP千兆以太网端口；背板带宽92Gbps</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华为、华三、</w:t>
            </w:r>
            <w:r>
              <w:rPr>
                <w:rFonts w:ascii="Arial" w:hAnsi="Arial" w:cs="Arial"/>
                <w:color w:val="000000"/>
                <w:kern w:val="0"/>
                <w:sz w:val="18"/>
                <w:szCs w:val="18"/>
              </w:rPr>
              <w:t xml:space="preserve"> NETGEAR</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含光模块</w:t>
            </w:r>
          </w:p>
        </w:tc>
      </w:tr>
      <w:tr>
        <w:tblPrEx>
          <w:tblCellMar>
            <w:top w:w="0" w:type="dxa"/>
            <w:left w:w="108" w:type="dxa"/>
            <w:bottom w:w="0" w:type="dxa"/>
            <w:right w:w="108" w:type="dxa"/>
          </w:tblCellMar>
        </w:tblPrEx>
        <w:trPr>
          <w:trHeight w:val="1063"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云存储扩容</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▲8U机架式48盘位；双控制器；冗余电源；支持SAS硬盘；支持网络RAID；每个控制器：64位多核处理器；32GB缓存；6个千兆网口,3个12Gb SAS接口；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控制器 架构 双控制器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处理器 64位多核处理器/控制器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高速缓存 16G-32GB/控制器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 磁盘数量 48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磁盘接口 SAS/SATA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内部交换 12Gbps SAS3.0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RAID级别 VRAID2.0 / N+1、N+2、N+3、N+4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存储管理 磁盘管理 磁盘检测预警及修复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逻辑卷管理 录像卷管理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缓存保护 支持BBU，意外掉电时，保护缓存数据不丢失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录像管理 录像方式 定时录像，手动录像，主子码流录像，报警录像等多种录像方式</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海康威视、宇视、大华</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希捷企业级硬盘</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6TB/128MB（12GB/秒 NCQ）/7200RPM/SAS  3.5HDD</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希捷、 西部数据 、HGST</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视频云存储管理服务器</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2颗E5-2620 V3/32GB DDR4 ECC/480G SSD x3 + 150G SSD x1/热插拔/以太网口1Gx2/冗余电源/2U</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注：操作系统：CentOS7 64位</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海康威视、宇视、大华</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视频云存储运维服务器</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2颗E5-2620 V3/16GB DDR4 ECC/1T SATAx2 磁盘/热插拔/以太网口1Gx2/冗余电源/2U,</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注：操作系统：CentOS7 64位</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海康威视、宇视、大华</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视频云存储软件</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海康威视、宇视、大华</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视频云存储运维软件</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集成视频云存储的运维系统，可进行软件、硬件、系统的运维。</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海康威视、宇视、大华</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机柜</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网孔机柜</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800*600*2200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建云、图腾、DELL</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辅助材料</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网线、电源线、插线板等</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安装、调试费</w:t>
            </w:r>
          </w:p>
        </w:tc>
        <w:tc>
          <w:tcPr>
            <w:tcW w:w="130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650"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后端所有设备的安装与调试</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11639"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499" w:hRule="atLeast"/>
        </w:trPr>
        <w:tc>
          <w:tcPr>
            <w:tcW w:w="11639"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rPr>
          <w:sz w:val="24"/>
        </w:rPr>
      </w:pPr>
    </w:p>
    <w:p>
      <w:pPr>
        <w:rPr>
          <w:sz w:val="24"/>
        </w:rPr>
      </w:pPr>
    </w:p>
    <w:p>
      <w:pPr>
        <w:jc w:val="center"/>
        <w:rPr>
          <w:sz w:val="24"/>
        </w:rPr>
      </w:pPr>
      <w:r>
        <w:rPr>
          <w:rFonts w:hint="eastAsia" w:ascii="宋体"/>
          <w:b/>
          <w:kern w:val="0"/>
          <w:sz w:val="24"/>
          <w:szCs w:val="68"/>
        </w:rPr>
        <w:t xml:space="preserve">内容二  </w:t>
      </w:r>
      <w:r>
        <w:rPr>
          <w:rFonts w:hint="eastAsia" w:ascii="宋体"/>
          <w:b/>
          <w:kern w:val="0"/>
          <w:sz w:val="22"/>
          <w:szCs w:val="22"/>
        </w:rPr>
        <w:t>《公共自行车服务投放点视频监控系统第一期升级改造及租赁（租期五年）》采购清单</w:t>
      </w:r>
    </w:p>
    <w:p>
      <w:pPr>
        <w:rPr>
          <w:sz w:val="24"/>
        </w:rPr>
      </w:pPr>
    </w:p>
    <w:tbl>
      <w:tblPr>
        <w:tblStyle w:val="55"/>
        <w:tblW w:w="13820" w:type="dxa"/>
        <w:tblInd w:w="93" w:type="dxa"/>
        <w:tblLayout w:type="autofit"/>
        <w:tblCellMar>
          <w:top w:w="0" w:type="dxa"/>
          <w:left w:w="108" w:type="dxa"/>
          <w:bottom w:w="0" w:type="dxa"/>
          <w:right w:w="108" w:type="dxa"/>
        </w:tblCellMar>
      </w:tblPr>
      <w:tblGrid>
        <w:gridCol w:w="680"/>
        <w:gridCol w:w="1603"/>
        <w:gridCol w:w="1701"/>
        <w:gridCol w:w="4678"/>
        <w:gridCol w:w="1276"/>
        <w:gridCol w:w="850"/>
        <w:gridCol w:w="709"/>
        <w:gridCol w:w="992"/>
        <w:gridCol w:w="1331"/>
      </w:tblGrid>
      <w:tr>
        <w:tblPrEx>
          <w:tblCellMar>
            <w:top w:w="0" w:type="dxa"/>
            <w:left w:w="108" w:type="dxa"/>
            <w:bottom w:w="0" w:type="dxa"/>
            <w:right w:w="108" w:type="dxa"/>
          </w:tblCellMar>
        </w:tblPrEx>
        <w:trPr>
          <w:trHeight w:val="375"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60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参考型号</w:t>
            </w:r>
          </w:p>
        </w:tc>
        <w:tc>
          <w:tcPr>
            <w:tcW w:w="467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规格、主要技术指标</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参照或相当于品牌</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w:t>
            </w:r>
          </w:p>
        </w:tc>
      </w:tr>
      <w:tr>
        <w:tblPrEx>
          <w:tblCellMar>
            <w:top w:w="0" w:type="dxa"/>
            <w:left w:w="108" w:type="dxa"/>
            <w:bottom w:w="0" w:type="dxa"/>
            <w:right w:w="108" w:type="dxa"/>
          </w:tblCellMar>
        </w:tblPrEx>
        <w:trPr>
          <w:trHeight w:val="106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200万高清网络智能摄像机</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▲200万星光级1/1.8” CMOS智能日夜型筒型网络摄像机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抓图分辨率：分辨率：1920x1080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背景大图图片字符叠加功能：支持设备编号、抓拍时间、监测点信息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抓拍次数：支持抓拍次数（1-10次）可设宽动态：超宽动态范围达120dB，室内逆光环境下监控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道路监控：支持车辆检测：车牌抓拍，车辆颜色、类型，机非人识别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Smart事件：支持越界侦测,区域入侵侦测,进入/离开区域侦测,徘徊侦测,人员聚集侦测,快速运动侦测,停车侦测,物品遗留/拿取侦测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最低照度：彩色:0.0005 Lux @(F1.2,AGC ON)；黑白:0.0001Lux @(F1.2,AGC ON)，0 Lux with IR</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镜头：2.8-12mm F1.2, 水平视场角 99.5°~38.6°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视频压缩标准：H.265/H.264 / MJPEG</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hint="eastAsia" w:ascii="宋体" w:hAnsi="宋体" w:cs="宋体"/>
                <w:color w:val="000000"/>
                <w:kern w:val="0"/>
                <w:sz w:val="18"/>
                <w:szCs w:val="18"/>
              </w:rPr>
              <w:t>海康威视、宇视、大华</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67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摄像机电源</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12V，1A</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hint="eastAsia" w:ascii="宋体" w:hAnsi="宋体" w:cs="宋体"/>
                <w:color w:val="000000"/>
                <w:kern w:val="0"/>
                <w:sz w:val="18"/>
                <w:szCs w:val="18"/>
              </w:rPr>
              <w:t>海康威视、宇视、大华</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354"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云存储阵列</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8U机架式48盘位；双控制器；冗余电源；支持SAS硬盘；支持网络RAID；每个控制器：64位多核处理器；32GB缓存；6个千兆网口,3个12Gb SAS接口；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控制器 架构 双控制器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处理器 64位多核处理器/控制器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高速缓存 16G-32GB/控制器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 磁盘数量 48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磁盘接口 SAS/SATA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内部交换 12Gbps SAS3.0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RAID级别 VRAID2.0 / N+1、N+2、N+3、N+4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存储管理 磁盘管理 磁盘检测预警及修复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逻辑卷管理 录像卷管理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缓存保护 支持BBU，意外掉电时，保护缓存数据不丢失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录像管理 录像方式 定时录像，手动录像，主子码流录像，报警录像等多种录像方式</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hint="eastAsia" w:ascii="宋体" w:hAnsi="宋体" w:cs="宋体"/>
                <w:color w:val="000000"/>
                <w:kern w:val="0"/>
                <w:sz w:val="18"/>
                <w:szCs w:val="18"/>
              </w:rPr>
              <w:t>海康威视、宇视、大华</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64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希捷企业级硬盘</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6TB/128MB（12GB/秒 NCQ）/7200RPM/SAS  3.5HDD</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color w:val="000000"/>
                <w:kern w:val="0"/>
                <w:sz w:val="20"/>
                <w:szCs w:val="20"/>
              </w:rPr>
            </w:pPr>
            <w:r>
              <w:rPr>
                <w:rFonts w:hint="eastAsia" w:ascii="宋体" w:hAnsi="宋体" w:cs="宋体"/>
                <w:color w:val="000000"/>
                <w:kern w:val="0"/>
                <w:sz w:val="18"/>
                <w:szCs w:val="18"/>
              </w:rPr>
              <w:t>希捷、 西部数据 、HGST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55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接入、流媒体服务器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集中监控流媒体管理系统</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海康威视、宇视、大华</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设备机柜</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800×600mm 40U</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摄像机立杆（枪）</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定做H=3.5M,L=0.5M</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含基础件、混凝土灌筑</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壁装支架</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一体化机箱（杆上）</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定做</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定做</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鸭嘴支架</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定做</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定做</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定做</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稳压电源</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500W</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电源防雷器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奥顿、雷晟、信达</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接地装置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L50×5镀锌角铁</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警示牌</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58cm×38cm铝制反光标牌</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补光灯及时控开关</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6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50W  LED灯</w:t>
            </w:r>
          </w:p>
        </w:tc>
        <w:tc>
          <w:tcPr>
            <w:tcW w:w="1276"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亿嘉、浙大中控、希士顿</w:t>
            </w:r>
          </w:p>
        </w:tc>
        <w:tc>
          <w:tcPr>
            <w:tcW w:w="85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570"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安装敷料+前端安装调试</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光跳线、视、控线缆、接插件等</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615"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安装敷料+中心安装调试</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1000M交换机、光模块、网线、电源线等</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1140" w:hRule="atLeast"/>
        </w:trPr>
        <w:tc>
          <w:tcPr>
            <w:tcW w:w="6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60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前端取电（落火）</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67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包含前端所有设备的安装调试及安装辅料（BNC头、接电附件、管线等），接地装置（50*5角钢/Φ10圆钢（镀锌）），取电破路审批、修复及赔偿等。</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处</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p>
        </w:tc>
      </w:tr>
      <w:tr>
        <w:tblPrEx>
          <w:tblCellMar>
            <w:top w:w="0" w:type="dxa"/>
            <w:left w:w="108" w:type="dxa"/>
            <w:bottom w:w="0" w:type="dxa"/>
            <w:right w:w="108" w:type="dxa"/>
          </w:tblCellMar>
        </w:tblPrEx>
        <w:trPr>
          <w:trHeight w:val="420" w:hRule="atLeast"/>
        </w:trPr>
        <w:tc>
          <w:tcPr>
            <w:tcW w:w="12489"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13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0"/>
                <w:szCs w:val="20"/>
              </w:rPr>
            </w:pPr>
          </w:p>
        </w:tc>
      </w:tr>
    </w:tbl>
    <w:p>
      <w:pPr>
        <w:rPr>
          <w:sz w:val="24"/>
        </w:rPr>
      </w:pPr>
    </w:p>
    <w:p>
      <w:pPr>
        <w:rPr>
          <w:sz w:val="24"/>
        </w:rPr>
      </w:pPr>
    </w:p>
    <w:p>
      <w:pPr>
        <w:rPr>
          <w:sz w:val="24"/>
        </w:rPr>
      </w:pPr>
    </w:p>
    <w:p>
      <w:pPr>
        <w:jc w:val="center"/>
        <w:rPr>
          <w:rFonts w:ascii="宋体"/>
          <w:b/>
          <w:kern w:val="0"/>
          <w:sz w:val="24"/>
          <w:szCs w:val="68"/>
        </w:rPr>
      </w:pPr>
      <w:r>
        <w:rPr>
          <w:rFonts w:hint="eastAsia" w:ascii="宋体"/>
          <w:b/>
          <w:kern w:val="0"/>
          <w:sz w:val="24"/>
          <w:szCs w:val="68"/>
        </w:rPr>
        <w:t>内容三   《上虞区易**化学品可视化管理系统升级改造及租赁（租期五年）》</w:t>
      </w:r>
    </w:p>
    <w:p>
      <w:pPr>
        <w:rPr>
          <w:rFonts w:ascii="宋体"/>
          <w:b/>
          <w:kern w:val="0"/>
          <w:sz w:val="24"/>
          <w:szCs w:val="68"/>
        </w:rPr>
      </w:pPr>
    </w:p>
    <w:tbl>
      <w:tblPr>
        <w:tblStyle w:val="55"/>
        <w:tblW w:w="13765" w:type="dxa"/>
        <w:tblInd w:w="93" w:type="dxa"/>
        <w:tblLayout w:type="fixed"/>
        <w:tblCellMar>
          <w:top w:w="0" w:type="dxa"/>
          <w:left w:w="108" w:type="dxa"/>
          <w:bottom w:w="0" w:type="dxa"/>
          <w:right w:w="108" w:type="dxa"/>
        </w:tblCellMar>
      </w:tblPr>
      <w:tblGrid>
        <w:gridCol w:w="640"/>
        <w:gridCol w:w="1643"/>
        <w:gridCol w:w="1560"/>
        <w:gridCol w:w="1275"/>
        <w:gridCol w:w="5245"/>
        <w:gridCol w:w="709"/>
        <w:gridCol w:w="850"/>
        <w:gridCol w:w="567"/>
        <w:gridCol w:w="1276"/>
      </w:tblGrid>
      <w:tr>
        <w:tblPrEx>
          <w:tblCellMar>
            <w:top w:w="0" w:type="dxa"/>
            <w:left w:w="108" w:type="dxa"/>
            <w:bottom w:w="0" w:type="dxa"/>
            <w:right w:w="108"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643"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参考型号</w:t>
            </w:r>
          </w:p>
        </w:tc>
        <w:tc>
          <w:tcPr>
            <w:tcW w:w="1275"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参照或相当于品牌</w:t>
            </w:r>
          </w:p>
        </w:tc>
        <w:tc>
          <w:tcPr>
            <w:tcW w:w="5245"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技术参数</w:t>
            </w:r>
          </w:p>
        </w:tc>
        <w:tc>
          <w:tcPr>
            <w:tcW w:w="709"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单位</w:t>
            </w:r>
          </w:p>
        </w:tc>
        <w:tc>
          <w:tcPr>
            <w:tcW w:w="85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单价</w:t>
            </w:r>
          </w:p>
        </w:tc>
        <w:tc>
          <w:tcPr>
            <w:tcW w:w="567"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1276"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r>
      <w:tr>
        <w:tblPrEx>
          <w:tblCellMar>
            <w:top w:w="0" w:type="dxa"/>
            <w:left w:w="108" w:type="dxa"/>
            <w:bottom w:w="0" w:type="dxa"/>
            <w:right w:w="108" w:type="dxa"/>
          </w:tblCellMar>
        </w:tblPrEx>
        <w:trPr>
          <w:trHeight w:val="102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200万高清网络智能摄像机</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color w:val="000000"/>
                <w:kern w:val="0"/>
                <w:sz w:val="18"/>
                <w:szCs w:val="18"/>
              </w:rPr>
              <w:t>海康威视、宇视、大华</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color w:val="000000"/>
                <w:kern w:val="0"/>
                <w:sz w:val="18"/>
                <w:szCs w:val="18"/>
              </w:rPr>
              <w:t>▲200万星光级1/1.8” CMOS智能日夜型筒型网络摄像机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抓图分辨率：分辨率：1920x1080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背景大图图片字符叠加功能：支持设备编号、抓拍时间、监测点信息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抓拍次数：支持抓拍次数（1-10次）可设宽动态：超宽动态范围达120dB，室内逆光环境下监控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道路监控：支持车辆检测：车牌抓拍，车辆颜色、类型，机非人识别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Smart事件：支持越界侦测,区域入侵侦测,进入/离开区域侦测,徘徊侦测,人员聚集侦测,快速运动侦测,停车侦测,物品遗留/拿取侦测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最低照度：彩色:0.0005 Lux @(F1.2,AGC ON)；黑白:0.0001Lux @(F1.2,AGC ON)，0 Lux with IR</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镜头：2.8-12mm F1.2, 水平视场角 99.5°~38.6°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视频压缩标准：H.265/H.264 / MJPEG</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79"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云存储扩容</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color w:val="000000"/>
                <w:kern w:val="0"/>
                <w:sz w:val="18"/>
                <w:szCs w:val="18"/>
              </w:rPr>
              <w:t>海康威视、宇视、大华</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8U机架式48盘位；双控制器；冗余电源；支持SAS硬盘；支持网络RAID；每个控制器：64位多核处理器；32GB缓存；6个千兆网口,3个12Gb SAS接口；控制器 架构 双控制器；处理器 64位多核处理器/控制器； 高速缓存 16G-32GB/控制器；存储 磁盘数量 48； 磁盘接口 SAS/SATA； 内部交换 12Gbps SAS3.0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RAID级别 VRAID2.0 / N+1、N+2、N+3、N+4；存储管理 磁盘管理 磁盘检测预警及修复； 逻辑卷管理 录像卷管理； 缓存保护 支持BBU，意外掉电时，保护缓存数据不丢失；录像管理 录像方式 定时录像，手动录像，主子码流录像，报警录像等多种录像方式</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希捷企业级硬盘</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color w:val="000000"/>
                <w:kern w:val="0"/>
                <w:sz w:val="18"/>
                <w:szCs w:val="18"/>
              </w:rPr>
              <w:t>希捷、 西部数据 、HGST</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6TB/128MB（12GB/秒 NCQ）/7200RPM/SAS  3.5HDD</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视频云存储管理服务器</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海康威视、宇视、大华</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2颗E5-2620 V3/32GB DDR4 ECC/480G SSD x3 + 150G SSD x1/热插拔/以太网口1Gx2/冗余电源/2U</w:t>
            </w:r>
            <w:r>
              <w:rPr>
                <w:rFonts w:hint="eastAsia" w:ascii="宋体" w:hAnsi="宋体" w:cs="宋体"/>
                <w:kern w:val="0"/>
                <w:sz w:val="20"/>
                <w:szCs w:val="20"/>
              </w:rPr>
              <w:br w:type="textWrapping"/>
            </w:r>
            <w:r>
              <w:rPr>
                <w:rFonts w:hint="eastAsia" w:ascii="宋体" w:hAnsi="宋体" w:cs="宋体"/>
                <w:kern w:val="0"/>
                <w:sz w:val="20"/>
                <w:szCs w:val="20"/>
              </w:rPr>
              <w:t>注：操作系统：CentOS7 64位</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大鸭嘴支架</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color w:val="000000"/>
                <w:kern w:val="0"/>
                <w:sz w:val="18"/>
                <w:szCs w:val="18"/>
              </w:rPr>
              <w:t>海康威视、宇视、大华</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稳压电源</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500W</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ONU</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F400</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中兴、华为、华三</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4个数据口，带电源</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立杆</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高度4-4.5米</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定制（含基础件）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机箱</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不锈钢 定制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墙装/抱杆支架</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亚泰</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线缆标牌</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65"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设备取电、线缆及附材</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项目所需的一切线缆和附材</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系统安装调试费</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2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7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849" w:type="dxa"/>
            <w:gridSpan w:val="7"/>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合计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kern w:val="0"/>
                <w:sz w:val="20"/>
                <w:szCs w:val="20"/>
              </w:rPr>
            </w:pPr>
          </w:p>
        </w:tc>
      </w:tr>
      <w:tr>
        <w:tblPrEx>
          <w:tblCellMar>
            <w:top w:w="0" w:type="dxa"/>
            <w:left w:w="108" w:type="dxa"/>
            <w:bottom w:w="0" w:type="dxa"/>
            <w:right w:w="108" w:type="dxa"/>
          </w:tblCellMar>
        </w:tblPrEx>
        <w:trPr>
          <w:trHeight w:val="1085" w:hRule="atLeast"/>
        </w:trPr>
        <w:tc>
          <w:tcPr>
            <w:tcW w:w="13765" w:type="dxa"/>
            <w:gridSpan w:val="9"/>
            <w:tcBorders>
              <w:top w:val="single" w:color="auto" w:sz="4" w:space="0"/>
              <w:left w:val="single" w:color="auto" w:sz="4" w:space="0"/>
              <w:bottom w:val="single" w:color="auto" w:sz="4" w:space="0"/>
              <w:right w:val="single" w:color="000000" w:sz="4" w:space="0"/>
            </w:tcBorders>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说明：1、每个单位安装两个高清200万枪机，分别为仓库门口和物流通道门口。                                                                                                                  2、原共25个单位安装，现两家倒闭。剩23个单位年租金区财政补贴30</w:t>
            </w:r>
            <w:r>
              <w:rPr>
                <w:rFonts w:hint="eastAsia" w:ascii="宋体" w:hAnsi="宋体" w:cs="宋体"/>
                <w:strike/>
                <w:kern w:val="0"/>
                <w:sz w:val="20"/>
                <w:szCs w:val="20"/>
              </w:rPr>
              <w:t>%</w:t>
            </w:r>
            <w:r>
              <w:rPr>
                <w:rFonts w:hint="eastAsia" w:ascii="宋体" w:hAnsi="宋体" w:cs="宋体"/>
                <w:kern w:val="0"/>
                <w:sz w:val="20"/>
                <w:szCs w:val="20"/>
              </w:rPr>
              <w:t xml:space="preserve"> ，单位自行承担70%。                                                                                                                       3、监控系统接入绍兴市公安局上虞区分局视频专网。由中标建设单位负责安装及维护。</w:t>
            </w:r>
          </w:p>
        </w:tc>
      </w:tr>
    </w:tbl>
    <w:p>
      <w:pPr>
        <w:rPr>
          <w:rFonts w:ascii="宋体"/>
          <w:b/>
          <w:kern w:val="0"/>
          <w:sz w:val="24"/>
          <w:szCs w:val="68"/>
        </w:rPr>
      </w:pPr>
    </w:p>
    <w:p>
      <w:pPr>
        <w:jc w:val="left"/>
        <w:rPr>
          <w:sz w:val="24"/>
        </w:rPr>
        <w:sectPr>
          <w:pgSz w:w="16838" w:h="11906" w:orient="landscape"/>
          <w:pgMar w:top="779" w:right="1440" w:bottom="779" w:left="1440" w:header="851" w:footer="992" w:gutter="0"/>
          <w:cols w:space="720" w:num="1"/>
          <w:titlePg/>
          <w:docGrid w:type="lines" w:linePitch="312" w:charSpace="0"/>
        </w:sectPr>
      </w:pPr>
    </w:p>
    <w:p>
      <w:pPr>
        <w:autoSpaceDE w:val="0"/>
        <w:autoSpaceDN w:val="0"/>
        <w:adjustRightInd w:val="0"/>
        <w:ind w:firstLine="480"/>
        <w:jc w:val="left"/>
        <w:rPr>
          <w:rFonts w:ascii="宋体"/>
          <w:b/>
          <w:color w:val="000000"/>
          <w:kern w:val="0"/>
          <w:sz w:val="24"/>
          <w:szCs w:val="21"/>
        </w:rPr>
      </w:pPr>
      <w:r>
        <w:rPr>
          <w:rFonts w:hint="eastAsia" w:ascii="宋体"/>
          <w:b/>
          <w:color w:val="000000"/>
          <w:kern w:val="0"/>
          <w:sz w:val="24"/>
          <w:szCs w:val="21"/>
        </w:rPr>
        <w:t>3.2</w:t>
      </w:r>
      <w:r>
        <w:rPr>
          <w:rFonts w:hint="eastAsia" w:ascii="宋体"/>
          <w:b/>
          <w:color w:val="000000"/>
          <w:kern w:val="0"/>
          <w:sz w:val="24"/>
        </w:rPr>
        <w:t>　</w:t>
      </w:r>
      <w:r>
        <w:rPr>
          <w:rFonts w:hint="eastAsia" w:ascii="宋体"/>
          <w:b/>
          <w:color w:val="000000"/>
          <w:kern w:val="0"/>
          <w:sz w:val="24"/>
          <w:szCs w:val="21"/>
        </w:rPr>
        <w:t>中标人要确认本条所列范围，并提供细化清单。</w:t>
      </w:r>
    </w:p>
    <w:p>
      <w:pPr>
        <w:autoSpaceDE w:val="0"/>
        <w:autoSpaceDN w:val="0"/>
        <w:adjustRightInd w:val="0"/>
        <w:ind w:firstLine="480"/>
        <w:jc w:val="left"/>
        <w:rPr>
          <w:rFonts w:ascii="宋体"/>
          <w:b/>
          <w:bCs/>
          <w:color w:val="000000"/>
          <w:kern w:val="0"/>
          <w:sz w:val="24"/>
          <w:szCs w:val="21"/>
        </w:rPr>
      </w:pPr>
      <w:r>
        <w:rPr>
          <w:rFonts w:hint="eastAsia" w:ascii="宋体"/>
          <w:b/>
          <w:bCs/>
          <w:color w:val="000000"/>
          <w:kern w:val="0"/>
          <w:sz w:val="24"/>
          <w:szCs w:val="21"/>
        </w:rPr>
        <w:t>4特别声明</w:t>
      </w:r>
    </w:p>
    <w:p>
      <w:pPr>
        <w:autoSpaceDE w:val="0"/>
        <w:autoSpaceDN w:val="0"/>
        <w:adjustRightInd w:val="0"/>
        <w:ind w:firstLine="480"/>
        <w:jc w:val="left"/>
        <w:rPr>
          <w:rFonts w:ascii="宋体"/>
          <w:b/>
          <w:bCs/>
          <w:color w:val="FF0000"/>
          <w:kern w:val="0"/>
          <w:sz w:val="24"/>
          <w:szCs w:val="21"/>
        </w:rPr>
      </w:pPr>
      <w:r>
        <w:rPr>
          <w:rFonts w:hint="eastAsia" w:ascii="宋体"/>
          <w:b/>
          <w:bCs/>
          <w:color w:val="FF0000"/>
          <w:kern w:val="0"/>
          <w:sz w:val="24"/>
          <w:szCs w:val="21"/>
        </w:rPr>
        <w:t>4.1　在本章中，为了方便起见，可能会采取按某种品牌货物的规格和型号予以表述，但并不因此限制或者拒绝投标人以其他能满足本项目技术需求且性能与所明确参照品牌相当的货物参加投标。</w:t>
      </w:r>
    </w:p>
    <w:p/>
    <w:p>
      <w:pPr>
        <w:pStyle w:val="3"/>
        <w:spacing w:line="360" w:lineRule="auto"/>
        <w:jc w:val="center"/>
        <w:rPr>
          <w:kern w:val="0"/>
        </w:rPr>
      </w:pPr>
      <w:bookmarkStart w:id="29" w:name="_Toc2852592"/>
      <w:r>
        <w:rPr>
          <w:rFonts w:hint="eastAsia"/>
          <w:kern w:val="0"/>
        </w:rPr>
        <w:t>第三章　技术资料及交付要求</w:t>
      </w:r>
      <w:bookmarkEnd w:id="29"/>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　</w:t>
      </w:r>
      <w:r>
        <w:rPr>
          <w:rFonts w:hint="eastAsia" w:ascii="宋体"/>
          <w:kern w:val="0"/>
          <w:sz w:val="24"/>
        </w:rPr>
        <w:t>一般要求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12.1　</w:t>
      </w:r>
      <w:r>
        <w:rPr>
          <w:rFonts w:hint="eastAsia" w:ascii="宋体"/>
          <w:kern w:val="0"/>
          <w:sz w:val="24"/>
        </w:rPr>
        <w:t>中标人提供的资料应使用国家法定单位制即国际单位制，语言为中文。</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12.2　中标人提供的</w:t>
      </w:r>
      <w:r>
        <w:rPr>
          <w:rFonts w:hint="eastAsia" w:ascii="宋体"/>
          <w:kern w:val="0"/>
          <w:sz w:val="24"/>
        </w:rPr>
        <w:t>资料须组织结构清晰、逻辑性强，内容要正确、准确、一致、清晰完整，能满足项目要求。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12.3　</w:t>
      </w:r>
      <w:r>
        <w:rPr>
          <w:rFonts w:hint="eastAsia" w:ascii="宋体"/>
          <w:kern w:val="0"/>
          <w:sz w:val="24"/>
        </w:rPr>
        <w:t>中标人应在合同签订后</w:t>
      </w:r>
      <w:r>
        <w:rPr>
          <w:rFonts w:hint="eastAsia" w:ascii="宋体"/>
          <w:kern w:val="0"/>
          <w:sz w:val="24"/>
          <w:u w:val="single"/>
        </w:rPr>
        <w:t>　7　</w:t>
      </w:r>
      <w:r>
        <w:rPr>
          <w:rFonts w:hint="eastAsia" w:ascii="宋体"/>
          <w:kern w:val="0"/>
          <w:sz w:val="24"/>
        </w:rPr>
        <w:t>天内给出全部技术资料清单和交付进度，并经采购人确认。</w:t>
      </w:r>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szCs w:val="68"/>
        </w:rPr>
        <w:t>12.4　</w:t>
      </w:r>
      <w:r>
        <w:rPr>
          <w:rFonts w:hint="eastAsia" w:ascii="宋体"/>
          <w:kern w:val="0"/>
          <w:sz w:val="24"/>
        </w:rPr>
        <w:t>中标人提供的技术资料一般可分为投标阶段，配合项目设计阶段，货物监造检验阶段，安装调试、试运、性能验收试验和运行维护服务阶段等四个方面。</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12.5　对于其他没有列入合同技术资料清单，却是项目所必需的文件和资料，一经发现，中标人也应及时免费提供。如本期项目为多种货物构成，且实行分期分批供货，后续货物如有改进时，中标人应及时免费提供新的技术资料。</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12.6　</w:t>
      </w:r>
      <w:r>
        <w:rPr>
          <w:rFonts w:hint="eastAsia" w:ascii="宋体"/>
          <w:kern w:val="0"/>
          <w:sz w:val="24"/>
        </w:rPr>
        <w:t>采购人要及时提供与合同货物设计制造有关的资料。</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12.7　</w:t>
      </w:r>
      <w:r>
        <w:rPr>
          <w:rFonts w:hint="eastAsia" w:ascii="宋体"/>
          <w:kern w:val="0"/>
          <w:sz w:val="24"/>
        </w:rPr>
        <w:t>中标人提供的技术资料为每台货物</w:t>
      </w:r>
      <w:r>
        <w:rPr>
          <w:rFonts w:hint="eastAsia" w:ascii="宋体"/>
          <w:kern w:val="0"/>
          <w:sz w:val="24"/>
          <w:szCs w:val="68"/>
          <w:u w:val="single"/>
        </w:rPr>
        <w:t>　1　</w:t>
      </w:r>
      <w:r>
        <w:rPr>
          <w:rFonts w:hint="eastAsia" w:ascii="宋体"/>
          <w:kern w:val="0"/>
          <w:sz w:val="24"/>
        </w:rPr>
        <w:t>套。</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　</w:t>
      </w:r>
      <w:r>
        <w:rPr>
          <w:rFonts w:hint="eastAsia" w:ascii="宋体"/>
          <w:kern w:val="0"/>
          <w:sz w:val="24"/>
        </w:rPr>
        <w:t>资料提交的基本要求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13.1　</w:t>
      </w:r>
      <w:r>
        <w:rPr>
          <w:rFonts w:hint="eastAsia" w:ascii="宋体"/>
          <w:kern w:val="0"/>
          <w:sz w:val="24"/>
        </w:rPr>
        <w:t>在投标阶段，采购人可根据具体货物提出清单，中标人补充和细化所列技术资料须满足项目初设要求。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13.2　在</w:t>
      </w:r>
      <w:r>
        <w:rPr>
          <w:rFonts w:hint="eastAsia" w:ascii="宋体"/>
          <w:kern w:val="0"/>
          <w:sz w:val="24"/>
        </w:rPr>
        <w:t>配合项目设计阶段，中标人应及时提供满足项目设计的资料和图纸。</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13.3　在</w:t>
      </w:r>
      <w:r>
        <w:rPr>
          <w:rFonts w:hint="eastAsia" w:ascii="宋体"/>
          <w:kern w:val="0"/>
          <w:sz w:val="24"/>
        </w:rPr>
        <w:t>货物监造检验阶段，中标人应提供满足合同货物监造、检验</w:t>
      </w:r>
      <w:r>
        <w:rPr>
          <w:rFonts w:hint="eastAsia" w:ascii="宋体"/>
          <w:kern w:val="0"/>
          <w:sz w:val="24"/>
          <w:szCs w:val="68"/>
        </w:rPr>
        <w:t>和</w:t>
      </w:r>
      <w:r>
        <w:rPr>
          <w:rFonts w:hint="eastAsia" w:ascii="宋体"/>
          <w:kern w:val="0"/>
          <w:sz w:val="24"/>
        </w:rPr>
        <w:t>见证所需的全部技术资料。</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13.4　</w:t>
      </w:r>
      <w:r>
        <w:rPr>
          <w:rFonts w:hint="eastAsia" w:ascii="宋体"/>
          <w:kern w:val="0"/>
          <w:sz w:val="24"/>
        </w:rPr>
        <w:t>在安装调试、试运、性能试验和运行维护阶段，所需的技术资料包括但不限于：</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13.4.1　</w:t>
      </w:r>
      <w:r>
        <w:rPr>
          <w:rFonts w:hint="eastAsia" w:ascii="宋体"/>
          <w:kern w:val="0"/>
          <w:sz w:val="24"/>
        </w:rPr>
        <w:t>提供货物安装、调试和试运说明书，以及组装、拆卸时所需用的技术资料。</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13.4.2　</w:t>
      </w:r>
      <w:r>
        <w:rPr>
          <w:rFonts w:hint="eastAsia" w:ascii="宋体"/>
          <w:kern w:val="0"/>
          <w:sz w:val="24"/>
        </w:rPr>
        <w:t>安装、运行、维护、检修所需的详尽图纸和技术文件，包括货物总图、部件总图、分图和必要的零件图、计算资料等。</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13.4.3　</w:t>
      </w:r>
      <w:r>
        <w:rPr>
          <w:rFonts w:hint="eastAsia" w:ascii="宋体"/>
          <w:kern w:val="0"/>
          <w:sz w:val="24"/>
        </w:rPr>
        <w:t>货物的安装、运行、维护、检修说明书，包括货物结构特点、安装程序和工艺要求、起动调试要领。运行操作规定和控制数据、定期校验和维护说明等。</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13.4.4　中标人应提供备品、配件总清单和易损零件图。</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13.5　</w:t>
      </w:r>
      <w:r>
        <w:rPr>
          <w:rFonts w:hint="eastAsia" w:ascii="宋体"/>
          <w:kern w:val="0"/>
          <w:sz w:val="24"/>
        </w:rPr>
        <w:t>中标人须提供的其他技术资料包括以下但不限于：</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13.5.1　</w:t>
      </w:r>
      <w:r>
        <w:rPr>
          <w:rFonts w:hint="eastAsia" w:ascii="宋体"/>
          <w:kern w:val="0"/>
          <w:sz w:val="24"/>
        </w:rPr>
        <w:t>检验记录、试验报告及质量合格证等出厂报告。</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13.5.2　</w:t>
      </w:r>
      <w:r>
        <w:rPr>
          <w:rFonts w:hint="eastAsia" w:ascii="宋体"/>
          <w:kern w:val="0"/>
          <w:sz w:val="24"/>
        </w:rPr>
        <w:t>中标人提供在设计、制造时所遵循的规范、标准和规定清单。</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13.5.3　</w:t>
      </w:r>
      <w:r>
        <w:rPr>
          <w:rFonts w:hint="eastAsia" w:ascii="宋体"/>
          <w:kern w:val="0"/>
          <w:sz w:val="24"/>
        </w:rPr>
        <w:t>货物和备品管理资料文件，包括货物和备品发运和装箱的详细资料（各种清单），货物和备品存放与保管技术要求，运输超重和超大件的明细表和外形图。</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13.5.4　</w:t>
      </w:r>
      <w:r>
        <w:rPr>
          <w:rFonts w:hint="eastAsia" w:ascii="宋体"/>
          <w:kern w:val="0"/>
          <w:sz w:val="24"/>
        </w:rPr>
        <w:t>详细的产品质量文件，包括材质、材质检验、焊接、热处理，加工质量，外形尺寸，水压试验和性能检验等的证明。</w:t>
      </w:r>
    </w:p>
    <w:p>
      <w:pPr>
        <w:autoSpaceDE w:val="0"/>
        <w:autoSpaceDN w:val="0"/>
        <w:adjustRightInd w:val="0"/>
        <w:spacing w:line="360" w:lineRule="auto"/>
        <w:ind w:firstLine="480" w:firstLineChars="200"/>
        <w:jc w:val="left"/>
        <w:rPr>
          <w:rFonts w:hint="eastAsia" w:ascii="宋体"/>
          <w:kern w:val="0"/>
          <w:sz w:val="24"/>
          <w:szCs w:val="27"/>
        </w:rPr>
      </w:pPr>
      <w:r>
        <w:rPr>
          <w:rFonts w:hint="eastAsia" w:ascii="宋体"/>
          <w:kern w:val="0"/>
          <w:sz w:val="24"/>
        </w:rPr>
        <w:t>13.6　技术资料由采购人提出要求，中标人予以细化。细化后的技术资料清单，经采购人确定后，由中标人根据项目实际，及时、充分地予以提供，并能满足项目进度的要求。</w:t>
      </w:r>
    </w:p>
    <w:p>
      <w:pPr>
        <w:pStyle w:val="3"/>
        <w:spacing w:line="360" w:lineRule="auto"/>
        <w:jc w:val="center"/>
        <w:rPr>
          <w:kern w:val="0"/>
        </w:rPr>
      </w:pPr>
      <w:bookmarkStart w:id="30" w:name="_Toc2852593"/>
      <w:r>
        <w:rPr>
          <w:rFonts w:hint="eastAsia"/>
          <w:kern w:val="0"/>
        </w:rPr>
        <w:t>第四章　交货期限及要求</w:t>
      </w:r>
      <w:bookmarkEnd w:id="30"/>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rPr>
        <w:t>14　货物交货期限具体按下列规定执行：</w:t>
      </w:r>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rPr>
        <w:t>14.1　</w:t>
      </w:r>
      <w:r>
        <w:rPr>
          <w:rFonts w:hint="eastAsia" w:ascii="宋体"/>
          <w:b/>
          <w:color w:val="000000"/>
          <w:kern w:val="0"/>
          <w:sz w:val="24"/>
          <w:u w:val="single"/>
        </w:rPr>
        <w:t>合同签订后60天内完工，试运行30天后，经验收合格交付使用</w:t>
      </w:r>
      <w:r>
        <w:rPr>
          <w:rFonts w:hint="eastAsia" w:ascii="宋体"/>
          <w:kern w:val="0"/>
          <w:sz w:val="24"/>
        </w:rPr>
        <w:t>。</w:t>
      </w:r>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rPr>
        <w:t>15　货物交货顺序要满足项目安装进度的要求。</w:t>
      </w:r>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rPr>
        <w:t>15.1　交货进度表（详见下表）：</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800"/>
        <w:gridCol w:w="1218"/>
        <w:gridCol w:w="1582"/>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序号</w:t>
            </w:r>
          </w:p>
        </w:tc>
        <w:tc>
          <w:tcPr>
            <w:tcW w:w="2520"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货物名称及型号</w:t>
            </w:r>
          </w:p>
        </w:tc>
        <w:tc>
          <w:tcPr>
            <w:tcW w:w="720"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数量</w:t>
            </w:r>
          </w:p>
        </w:tc>
        <w:tc>
          <w:tcPr>
            <w:tcW w:w="800"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重量</w:t>
            </w:r>
          </w:p>
        </w:tc>
        <w:tc>
          <w:tcPr>
            <w:tcW w:w="1218"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交货时间</w:t>
            </w:r>
          </w:p>
        </w:tc>
        <w:tc>
          <w:tcPr>
            <w:tcW w:w="1582"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送达地点</w:t>
            </w:r>
          </w:p>
        </w:tc>
        <w:tc>
          <w:tcPr>
            <w:tcW w:w="854"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rPr>
            </w:pPr>
          </w:p>
        </w:tc>
        <w:tc>
          <w:tcPr>
            <w:tcW w:w="2520" w:type="dxa"/>
            <w:noWrap w:val="0"/>
            <w:vAlign w:val="top"/>
          </w:tcPr>
          <w:p>
            <w:pPr>
              <w:autoSpaceDE w:val="0"/>
              <w:autoSpaceDN w:val="0"/>
              <w:adjustRightInd w:val="0"/>
              <w:spacing w:line="360" w:lineRule="auto"/>
              <w:jc w:val="left"/>
              <w:rPr>
                <w:rFonts w:hint="eastAsia" w:ascii="宋体"/>
                <w:kern w:val="0"/>
                <w:sz w:val="24"/>
              </w:rPr>
            </w:pPr>
          </w:p>
        </w:tc>
        <w:tc>
          <w:tcPr>
            <w:tcW w:w="720" w:type="dxa"/>
            <w:noWrap w:val="0"/>
            <w:vAlign w:val="top"/>
          </w:tcPr>
          <w:p>
            <w:pPr>
              <w:autoSpaceDE w:val="0"/>
              <w:autoSpaceDN w:val="0"/>
              <w:adjustRightInd w:val="0"/>
              <w:spacing w:line="360" w:lineRule="auto"/>
              <w:jc w:val="left"/>
              <w:rPr>
                <w:rFonts w:hint="eastAsia" w:ascii="宋体"/>
                <w:kern w:val="0"/>
                <w:sz w:val="24"/>
              </w:rPr>
            </w:pPr>
          </w:p>
        </w:tc>
        <w:tc>
          <w:tcPr>
            <w:tcW w:w="800"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582" w:type="dxa"/>
            <w:noWrap w:val="0"/>
            <w:vAlign w:val="top"/>
          </w:tcPr>
          <w:p>
            <w:pPr>
              <w:autoSpaceDE w:val="0"/>
              <w:autoSpaceDN w:val="0"/>
              <w:adjustRightInd w:val="0"/>
              <w:spacing w:line="360" w:lineRule="auto"/>
              <w:jc w:val="left"/>
              <w:rPr>
                <w:rFonts w:hint="eastAsia" w:ascii="宋体"/>
                <w:kern w:val="0"/>
                <w:sz w:val="24"/>
              </w:rPr>
            </w:pPr>
          </w:p>
        </w:tc>
        <w:tc>
          <w:tcPr>
            <w:tcW w:w="85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rPr>
            </w:pPr>
          </w:p>
        </w:tc>
        <w:tc>
          <w:tcPr>
            <w:tcW w:w="2520" w:type="dxa"/>
            <w:noWrap w:val="0"/>
            <w:vAlign w:val="top"/>
          </w:tcPr>
          <w:p>
            <w:pPr>
              <w:autoSpaceDE w:val="0"/>
              <w:autoSpaceDN w:val="0"/>
              <w:adjustRightInd w:val="0"/>
              <w:spacing w:line="360" w:lineRule="auto"/>
              <w:jc w:val="left"/>
              <w:rPr>
                <w:rFonts w:hint="eastAsia" w:ascii="宋体"/>
                <w:kern w:val="0"/>
                <w:sz w:val="24"/>
              </w:rPr>
            </w:pPr>
          </w:p>
        </w:tc>
        <w:tc>
          <w:tcPr>
            <w:tcW w:w="720" w:type="dxa"/>
            <w:noWrap w:val="0"/>
            <w:vAlign w:val="top"/>
          </w:tcPr>
          <w:p>
            <w:pPr>
              <w:autoSpaceDE w:val="0"/>
              <w:autoSpaceDN w:val="0"/>
              <w:adjustRightInd w:val="0"/>
              <w:spacing w:line="360" w:lineRule="auto"/>
              <w:jc w:val="left"/>
              <w:rPr>
                <w:rFonts w:hint="eastAsia" w:ascii="宋体"/>
                <w:kern w:val="0"/>
                <w:sz w:val="24"/>
              </w:rPr>
            </w:pPr>
          </w:p>
        </w:tc>
        <w:tc>
          <w:tcPr>
            <w:tcW w:w="800"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582" w:type="dxa"/>
            <w:noWrap w:val="0"/>
            <w:vAlign w:val="top"/>
          </w:tcPr>
          <w:p>
            <w:pPr>
              <w:autoSpaceDE w:val="0"/>
              <w:autoSpaceDN w:val="0"/>
              <w:adjustRightInd w:val="0"/>
              <w:spacing w:line="360" w:lineRule="auto"/>
              <w:jc w:val="left"/>
              <w:rPr>
                <w:rFonts w:hint="eastAsia" w:ascii="宋体"/>
                <w:kern w:val="0"/>
                <w:sz w:val="24"/>
              </w:rPr>
            </w:pPr>
          </w:p>
        </w:tc>
        <w:tc>
          <w:tcPr>
            <w:tcW w:w="85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rPr>
            </w:pPr>
          </w:p>
        </w:tc>
        <w:tc>
          <w:tcPr>
            <w:tcW w:w="2520" w:type="dxa"/>
            <w:noWrap w:val="0"/>
            <w:vAlign w:val="top"/>
          </w:tcPr>
          <w:p>
            <w:pPr>
              <w:autoSpaceDE w:val="0"/>
              <w:autoSpaceDN w:val="0"/>
              <w:adjustRightInd w:val="0"/>
              <w:spacing w:line="360" w:lineRule="auto"/>
              <w:jc w:val="left"/>
              <w:rPr>
                <w:rFonts w:hint="eastAsia" w:ascii="宋体"/>
                <w:kern w:val="0"/>
                <w:sz w:val="24"/>
              </w:rPr>
            </w:pPr>
          </w:p>
        </w:tc>
        <w:tc>
          <w:tcPr>
            <w:tcW w:w="720" w:type="dxa"/>
            <w:noWrap w:val="0"/>
            <w:vAlign w:val="top"/>
          </w:tcPr>
          <w:p>
            <w:pPr>
              <w:autoSpaceDE w:val="0"/>
              <w:autoSpaceDN w:val="0"/>
              <w:adjustRightInd w:val="0"/>
              <w:spacing w:line="360" w:lineRule="auto"/>
              <w:jc w:val="left"/>
              <w:rPr>
                <w:rFonts w:hint="eastAsia" w:ascii="宋体"/>
                <w:kern w:val="0"/>
                <w:sz w:val="24"/>
              </w:rPr>
            </w:pPr>
          </w:p>
        </w:tc>
        <w:tc>
          <w:tcPr>
            <w:tcW w:w="800"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582" w:type="dxa"/>
            <w:noWrap w:val="0"/>
            <w:vAlign w:val="top"/>
          </w:tcPr>
          <w:p>
            <w:pPr>
              <w:autoSpaceDE w:val="0"/>
              <w:autoSpaceDN w:val="0"/>
              <w:adjustRightInd w:val="0"/>
              <w:spacing w:line="360" w:lineRule="auto"/>
              <w:jc w:val="left"/>
              <w:rPr>
                <w:rFonts w:hint="eastAsia" w:ascii="宋体"/>
                <w:kern w:val="0"/>
                <w:sz w:val="24"/>
              </w:rPr>
            </w:pPr>
          </w:p>
        </w:tc>
        <w:tc>
          <w:tcPr>
            <w:tcW w:w="85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rPr>
            </w:pPr>
          </w:p>
        </w:tc>
        <w:tc>
          <w:tcPr>
            <w:tcW w:w="2520" w:type="dxa"/>
            <w:noWrap w:val="0"/>
            <w:vAlign w:val="top"/>
          </w:tcPr>
          <w:p>
            <w:pPr>
              <w:autoSpaceDE w:val="0"/>
              <w:autoSpaceDN w:val="0"/>
              <w:adjustRightInd w:val="0"/>
              <w:spacing w:line="360" w:lineRule="auto"/>
              <w:jc w:val="left"/>
              <w:rPr>
                <w:rFonts w:hint="eastAsia" w:ascii="宋体"/>
                <w:kern w:val="0"/>
                <w:sz w:val="24"/>
              </w:rPr>
            </w:pPr>
          </w:p>
        </w:tc>
        <w:tc>
          <w:tcPr>
            <w:tcW w:w="720" w:type="dxa"/>
            <w:noWrap w:val="0"/>
            <w:vAlign w:val="top"/>
          </w:tcPr>
          <w:p>
            <w:pPr>
              <w:autoSpaceDE w:val="0"/>
              <w:autoSpaceDN w:val="0"/>
              <w:adjustRightInd w:val="0"/>
              <w:spacing w:line="360" w:lineRule="auto"/>
              <w:jc w:val="left"/>
              <w:rPr>
                <w:rFonts w:hint="eastAsia" w:ascii="宋体"/>
                <w:kern w:val="0"/>
                <w:sz w:val="24"/>
              </w:rPr>
            </w:pPr>
          </w:p>
        </w:tc>
        <w:tc>
          <w:tcPr>
            <w:tcW w:w="800"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582" w:type="dxa"/>
            <w:noWrap w:val="0"/>
            <w:vAlign w:val="top"/>
          </w:tcPr>
          <w:p>
            <w:pPr>
              <w:autoSpaceDE w:val="0"/>
              <w:autoSpaceDN w:val="0"/>
              <w:adjustRightInd w:val="0"/>
              <w:spacing w:line="360" w:lineRule="auto"/>
              <w:jc w:val="left"/>
              <w:rPr>
                <w:rFonts w:hint="eastAsia" w:ascii="宋体"/>
                <w:kern w:val="0"/>
                <w:sz w:val="24"/>
              </w:rPr>
            </w:pPr>
          </w:p>
        </w:tc>
        <w:tc>
          <w:tcPr>
            <w:tcW w:w="85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rPr>
            </w:pPr>
          </w:p>
        </w:tc>
        <w:tc>
          <w:tcPr>
            <w:tcW w:w="2520" w:type="dxa"/>
            <w:noWrap w:val="0"/>
            <w:vAlign w:val="top"/>
          </w:tcPr>
          <w:p>
            <w:pPr>
              <w:autoSpaceDE w:val="0"/>
              <w:autoSpaceDN w:val="0"/>
              <w:adjustRightInd w:val="0"/>
              <w:spacing w:line="360" w:lineRule="auto"/>
              <w:jc w:val="left"/>
              <w:rPr>
                <w:rFonts w:hint="eastAsia" w:ascii="宋体"/>
                <w:kern w:val="0"/>
                <w:sz w:val="24"/>
              </w:rPr>
            </w:pPr>
          </w:p>
        </w:tc>
        <w:tc>
          <w:tcPr>
            <w:tcW w:w="720" w:type="dxa"/>
            <w:noWrap w:val="0"/>
            <w:vAlign w:val="top"/>
          </w:tcPr>
          <w:p>
            <w:pPr>
              <w:autoSpaceDE w:val="0"/>
              <w:autoSpaceDN w:val="0"/>
              <w:adjustRightInd w:val="0"/>
              <w:spacing w:line="360" w:lineRule="auto"/>
              <w:jc w:val="left"/>
              <w:rPr>
                <w:rFonts w:hint="eastAsia" w:ascii="宋体"/>
                <w:kern w:val="0"/>
                <w:sz w:val="24"/>
              </w:rPr>
            </w:pPr>
          </w:p>
        </w:tc>
        <w:tc>
          <w:tcPr>
            <w:tcW w:w="800"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582" w:type="dxa"/>
            <w:noWrap w:val="0"/>
            <w:vAlign w:val="top"/>
          </w:tcPr>
          <w:p>
            <w:pPr>
              <w:autoSpaceDE w:val="0"/>
              <w:autoSpaceDN w:val="0"/>
              <w:adjustRightInd w:val="0"/>
              <w:spacing w:line="360" w:lineRule="auto"/>
              <w:jc w:val="left"/>
              <w:rPr>
                <w:rFonts w:hint="eastAsia" w:ascii="宋体"/>
                <w:kern w:val="0"/>
                <w:sz w:val="24"/>
              </w:rPr>
            </w:pPr>
          </w:p>
        </w:tc>
        <w:tc>
          <w:tcPr>
            <w:tcW w:w="85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rPr>
            </w:pPr>
          </w:p>
        </w:tc>
        <w:tc>
          <w:tcPr>
            <w:tcW w:w="2520" w:type="dxa"/>
            <w:noWrap w:val="0"/>
            <w:vAlign w:val="top"/>
          </w:tcPr>
          <w:p>
            <w:pPr>
              <w:autoSpaceDE w:val="0"/>
              <w:autoSpaceDN w:val="0"/>
              <w:adjustRightInd w:val="0"/>
              <w:spacing w:line="360" w:lineRule="auto"/>
              <w:jc w:val="left"/>
              <w:rPr>
                <w:rFonts w:hint="eastAsia" w:ascii="宋体"/>
                <w:kern w:val="0"/>
                <w:sz w:val="24"/>
              </w:rPr>
            </w:pPr>
          </w:p>
        </w:tc>
        <w:tc>
          <w:tcPr>
            <w:tcW w:w="720" w:type="dxa"/>
            <w:noWrap w:val="0"/>
            <w:vAlign w:val="top"/>
          </w:tcPr>
          <w:p>
            <w:pPr>
              <w:autoSpaceDE w:val="0"/>
              <w:autoSpaceDN w:val="0"/>
              <w:adjustRightInd w:val="0"/>
              <w:spacing w:line="360" w:lineRule="auto"/>
              <w:jc w:val="left"/>
              <w:rPr>
                <w:rFonts w:hint="eastAsia" w:ascii="宋体"/>
                <w:kern w:val="0"/>
                <w:sz w:val="24"/>
              </w:rPr>
            </w:pPr>
          </w:p>
        </w:tc>
        <w:tc>
          <w:tcPr>
            <w:tcW w:w="800"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582" w:type="dxa"/>
            <w:noWrap w:val="0"/>
            <w:vAlign w:val="top"/>
          </w:tcPr>
          <w:p>
            <w:pPr>
              <w:autoSpaceDE w:val="0"/>
              <w:autoSpaceDN w:val="0"/>
              <w:adjustRightInd w:val="0"/>
              <w:spacing w:line="360" w:lineRule="auto"/>
              <w:jc w:val="left"/>
              <w:rPr>
                <w:rFonts w:hint="eastAsia" w:ascii="宋体"/>
                <w:kern w:val="0"/>
                <w:sz w:val="24"/>
              </w:rPr>
            </w:pPr>
          </w:p>
        </w:tc>
        <w:tc>
          <w:tcPr>
            <w:tcW w:w="85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rPr>
            </w:pPr>
          </w:p>
        </w:tc>
        <w:tc>
          <w:tcPr>
            <w:tcW w:w="2520" w:type="dxa"/>
            <w:noWrap w:val="0"/>
            <w:vAlign w:val="top"/>
          </w:tcPr>
          <w:p>
            <w:pPr>
              <w:autoSpaceDE w:val="0"/>
              <w:autoSpaceDN w:val="0"/>
              <w:adjustRightInd w:val="0"/>
              <w:spacing w:line="360" w:lineRule="auto"/>
              <w:jc w:val="left"/>
              <w:rPr>
                <w:rFonts w:hint="eastAsia" w:ascii="宋体"/>
                <w:kern w:val="0"/>
                <w:sz w:val="24"/>
              </w:rPr>
            </w:pPr>
          </w:p>
        </w:tc>
        <w:tc>
          <w:tcPr>
            <w:tcW w:w="720" w:type="dxa"/>
            <w:noWrap w:val="0"/>
            <w:vAlign w:val="top"/>
          </w:tcPr>
          <w:p>
            <w:pPr>
              <w:autoSpaceDE w:val="0"/>
              <w:autoSpaceDN w:val="0"/>
              <w:adjustRightInd w:val="0"/>
              <w:spacing w:line="360" w:lineRule="auto"/>
              <w:jc w:val="left"/>
              <w:rPr>
                <w:rFonts w:hint="eastAsia" w:ascii="宋体"/>
                <w:kern w:val="0"/>
                <w:sz w:val="24"/>
              </w:rPr>
            </w:pPr>
          </w:p>
        </w:tc>
        <w:tc>
          <w:tcPr>
            <w:tcW w:w="800"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582" w:type="dxa"/>
            <w:noWrap w:val="0"/>
            <w:vAlign w:val="top"/>
          </w:tcPr>
          <w:p>
            <w:pPr>
              <w:autoSpaceDE w:val="0"/>
              <w:autoSpaceDN w:val="0"/>
              <w:adjustRightInd w:val="0"/>
              <w:spacing w:line="360" w:lineRule="auto"/>
              <w:jc w:val="left"/>
              <w:rPr>
                <w:rFonts w:hint="eastAsia" w:ascii="宋体"/>
                <w:kern w:val="0"/>
                <w:sz w:val="24"/>
              </w:rPr>
            </w:pPr>
          </w:p>
        </w:tc>
        <w:tc>
          <w:tcPr>
            <w:tcW w:w="854" w:type="dxa"/>
            <w:noWrap w:val="0"/>
            <w:vAlign w:val="top"/>
          </w:tcPr>
          <w:p>
            <w:pPr>
              <w:autoSpaceDE w:val="0"/>
              <w:autoSpaceDN w:val="0"/>
              <w:adjustRightInd w:val="0"/>
              <w:spacing w:line="360" w:lineRule="auto"/>
              <w:jc w:val="left"/>
              <w:rPr>
                <w:rFonts w:hint="eastAsia" w:ascii="宋体"/>
                <w:kern w:val="0"/>
                <w:sz w:val="24"/>
              </w:rPr>
            </w:pPr>
          </w:p>
        </w:tc>
      </w:tr>
    </w:tbl>
    <w:p>
      <w:pPr>
        <w:autoSpaceDE w:val="0"/>
        <w:autoSpaceDN w:val="0"/>
        <w:adjustRightInd w:val="0"/>
        <w:spacing w:line="360" w:lineRule="auto"/>
        <w:ind w:firstLine="480"/>
        <w:jc w:val="left"/>
        <w:rPr>
          <w:rFonts w:hint="eastAsia" w:ascii="宋体"/>
          <w:kern w:val="0"/>
          <w:sz w:val="24"/>
        </w:rPr>
      </w:pPr>
      <w:r>
        <w:rPr>
          <w:rFonts w:hint="eastAsia" w:ascii="宋体"/>
          <w:kern w:val="0"/>
          <w:sz w:val="24"/>
        </w:rPr>
        <w:t>15.2　备品备件、专用工具和进口件的交货进度，如双方无特别约定，应视为与主货物的交货进度一致。</w:t>
      </w:r>
    </w:p>
    <w:p>
      <w:pPr>
        <w:autoSpaceDE w:val="0"/>
        <w:autoSpaceDN w:val="0"/>
        <w:adjustRightInd w:val="0"/>
        <w:spacing w:line="360" w:lineRule="auto"/>
        <w:jc w:val="left"/>
        <w:rPr>
          <w:rFonts w:ascii="宋体"/>
          <w:kern w:val="0"/>
          <w:sz w:val="24"/>
          <w:szCs w:val="18"/>
        </w:rPr>
      </w:pPr>
      <w:r>
        <w:rPr>
          <w:rFonts w:hint="eastAsia" w:ascii="宋体"/>
          <w:kern w:val="0"/>
          <w:sz w:val="24"/>
          <w:szCs w:val="18"/>
        </w:rPr>
        <w:t>　　15.3　交货进度表的序号要与供货范围分项清单序号保持一致。</w:t>
      </w:r>
    </w:p>
    <w:p>
      <w:pPr>
        <w:autoSpaceDE w:val="0"/>
        <w:autoSpaceDN w:val="0"/>
        <w:adjustRightInd w:val="0"/>
        <w:spacing w:line="360" w:lineRule="auto"/>
        <w:jc w:val="left"/>
        <w:rPr>
          <w:rFonts w:hint="eastAsia" w:ascii="宋体"/>
          <w:kern w:val="0"/>
          <w:sz w:val="24"/>
          <w:szCs w:val="18"/>
        </w:rPr>
      </w:pPr>
    </w:p>
    <w:p>
      <w:pPr>
        <w:pStyle w:val="3"/>
        <w:spacing w:line="360" w:lineRule="auto"/>
        <w:jc w:val="center"/>
        <w:rPr>
          <w:kern w:val="0"/>
        </w:rPr>
      </w:pPr>
      <w:bookmarkStart w:id="31" w:name="_Toc2852594"/>
      <w:r>
        <w:rPr>
          <w:rFonts w:hint="eastAsia"/>
          <w:kern w:val="0"/>
          <w:szCs w:val="18"/>
        </w:rPr>
        <w:t>第五章　</w:t>
      </w:r>
      <w:r>
        <w:rPr>
          <w:rFonts w:hint="eastAsia"/>
          <w:kern w:val="0"/>
        </w:rPr>
        <w:t>监造、检验、性能验收试验及要求</w:t>
      </w:r>
      <w:bookmarkEnd w:id="31"/>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16　</w:t>
      </w:r>
      <w:r>
        <w:rPr>
          <w:rFonts w:hint="eastAsia" w:ascii="宋体"/>
          <w:kern w:val="0"/>
          <w:sz w:val="24"/>
        </w:rPr>
        <w:t>概述</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16.1　本章的规定适</w:t>
      </w:r>
      <w:r>
        <w:rPr>
          <w:rFonts w:hint="eastAsia" w:ascii="宋体"/>
          <w:kern w:val="0"/>
          <w:sz w:val="24"/>
        </w:rPr>
        <w:t>用于合同执行期间对中标人所提供的货物（包括对分包外购货物）进行监造、检验和性能验收试验，确保中标人所提供的货物符合本部分第一章的规定要求。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16.2　</w:t>
      </w:r>
      <w:r>
        <w:rPr>
          <w:rFonts w:hint="eastAsia" w:ascii="宋体"/>
          <w:kern w:val="0"/>
          <w:sz w:val="24"/>
        </w:rPr>
        <w:t>中标人应在本合同生效后</w:t>
      </w:r>
      <w:r>
        <w:rPr>
          <w:rFonts w:hint="eastAsia" w:ascii="宋体"/>
          <w:kern w:val="0"/>
          <w:sz w:val="24"/>
          <w:szCs w:val="68"/>
          <w:u w:val="single"/>
        </w:rPr>
        <w:t>　1　</w:t>
      </w:r>
      <w:r>
        <w:rPr>
          <w:rFonts w:hint="eastAsia" w:ascii="宋体"/>
          <w:kern w:val="0"/>
          <w:sz w:val="24"/>
        </w:rPr>
        <w:t>个月内，向采购人提供与本合同货物有关的监造、检验、性能验收试验标准。有关标准应符合本部分第一章第4.6条的规定。</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17　</w:t>
      </w:r>
      <w:r>
        <w:rPr>
          <w:rFonts w:hint="eastAsia" w:ascii="宋体"/>
          <w:kern w:val="0"/>
          <w:sz w:val="24"/>
        </w:rPr>
        <w:t>工厂检验</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17.1　</w:t>
      </w:r>
      <w:r>
        <w:rPr>
          <w:rFonts w:hint="eastAsia" w:ascii="宋体"/>
          <w:kern w:val="0"/>
          <w:sz w:val="24"/>
        </w:rPr>
        <w:t>工厂检验是质量控制的一个重要组成部分。中标人须严格进行厂内各生产环节的检验和试验。中标人提供的合同货物须签发质量证明、检验记录和测试报告，并且作为交货时质量证明文件的组成部分。</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17.2　</w:t>
      </w:r>
      <w:r>
        <w:rPr>
          <w:rFonts w:hint="eastAsia" w:ascii="宋体"/>
          <w:kern w:val="0"/>
          <w:sz w:val="24"/>
        </w:rPr>
        <w:t>检验的范围包括原材料和元器件的进厂，部件的加工、组装、试验至出厂试验。</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17.3　</w:t>
      </w:r>
      <w:r>
        <w:rPr>
          <w:rFonts w:hint="eastAsia" w:ascii="宋体"/>
          <w:kern w:val="0"/>
          <w:sz w:val="24"/>
        </w:rPr>
        <w:t>中标人检验的结果要满足采购人的要求，如有不符之处或达不到标准要求，中标人要采取措施处理直至满足要求，同时向采购人提交不一致性报告。中标人发生重大质量问题时应将情况及时通知采购人。</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17.4　</w:t>
      </w:r>
      <w:r>
        <w:rPr>
          <w:rFonts w:hint="eastAsia" w:ascii="宋体"/>
          <w:kern w:val="0"/>
          <w:sz w:val="24"/>
        </w:rPr>
        <w:t>工厂检验的所有费用包括在合同总价之中。</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18　</w:t>
      </w:r>
      <w:r>
        <w:rPr>
          <w:rFonts w:hint="eastAsia" w:ascii="宋体"/>
          <w:kern w:val="0"/>
          <w:sz w:val="24"/>
        </w:rPr>
        <w:t>货物监造</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18.1　</w:t>
      </w:r>
      <w:r>
        <w:rPr>
          <w:rFonts w:hint="eastAsia" w:ascii="宋体"/>
          <w:kern w:val="0"/>
          <w:sz w:val="24"/>
        </w:rPr>
        <w:t>监造依据。根据本合同和</w:t>
      </w:r>
      <w:r>
        <w:rPr>
          <w:rFonts w:hint="eastAsia" w:ascii="宋体"/>
          <w:b/>
          <w:color w:val="000000"/>
          <w:kern w:val="0"/>
          <w:sz w:val="24"/>
          <w:u w:val="single"/>
        </w:rPr>
        <w:t>浙江省</w:t>
      </w:r>
      <w:r>
        <w:rPr>
          <w:rFonts w:hint="eastAsia" w:ascii="宋体"/>
          <w:kern w:val="0"/>
          <w:sz w:val="24"/>
        </w:rPr>
        <w:t>的规定，以及国家有关规定。</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18.2　</w:t>
      </w:r>
      <w:r>
        <w:rPr>
          <w:rFonts w:hint="eastAsia" w:ascii="宋体"/>
          <w:kern w:val="0"/>
          <w:sz w:val="24"/>
        </w:rPr>
        <w:t>监造方式。具体包括文件见证、现场见证和停工待检三种。每次监造内容完成后，中标人和监造代表均须在见证表上履行签字手续。中标人复印3份，交监造代表</w:t>
      </w:r>
      <w:r>
        <w:rPr>
          <w:rFonts w:hint="eastAsia" w:ascii="宋体"/>
          <w:kern w:val="0"/>
          <w:sz w:val="24"/>
          <w:szCs w:val="68"/>
        </w:rPr>
        <w:t>1</w:t>
      </w:r>
      <w:r>
        <w:rPr>
          <w:rFonts w:hint="eastAsia" w:ascii="宋体"/>
          <w:kern w:val="0"/>
          <w:sz w:val="24"/>
        </w:rPr>
        <w:t>份。</w:t>
      </w:r>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szCs w:val="68"/>
        </w:rPr>
        <w:t>18.3　</w:t>
      </w:r>
      <w:r>
        <w:rPr>
          <w:rFonts w:hint="eastAsia" w:ascii="宋体"/>
          <w:kern w:val="0"/>
          <w:sz w:val="24"/>
        </w:rPr>
        <w:t>监造内容（详见下表）：</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563"/>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48"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序</w:t>
            </w:r>
          </w:p>
          <w:p>
            <w:pPr>
              <w:autoSpaceDE w:val="0"/>
              <w:autoSpaceDN w:val="0"/>
              <w:adjustRightInd w:val="0"/>
              <w:spacing w:line="360" w:lineRule="auto"/>
              <w:jc w:val="center"/>
              <w:rPr>
                <w:rFonts w:hint="eastAsia" w:ascii="宋体"/>
                <w:kern w:val="0"/>
                <w:sz w:val="24"/>
              </w:rPr>
            </w:pPr>
            <w:r>
              <w:rPr>
                <w:rFonts w:hint="eastAsia" w:ascii="宋体"/>
                <w:kern w:val="0"/>
                <w:sz w:val="24"/>
              </w:rPr>
              <w:t>号</w:t>
            </w:r>
          </w:p>
        </w:tc>
        <w:tc>
          <w:tcPr>
            <w:tcW w:w="1440"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监造</w:t>
            </w:r>
          </w:p>
          <w:p>
            <w:pPr>
              <w:autoSpaceDE w:val="0"/>
              <w:autoSpaceDN w:val="0"/>
              <w:adjustRightInd w:val="0"/>
              <w:spacing w:line="360" w:lineRule="auto"/>
              <w:jc w:val="center"/>
              <w:rPr>
                <w:rFonts w:hint="eastAsia" w:ascii="宋体"/>
                <w:kern w:val="0"/>
                <w:sz w:val="24"/>
              </w:rPr>
            </w:pPr>
            <w:r>
              <w:rPr>
                <w:rFonts w:hint="eastAsia" w:ascii="宋体"/>
                <w:kern w:val="0"/>
                <w:sz w:val="24"/>
              </w:rPr>
              <w:t>部套</w:t>
            </w:r>
          </w:p>
        </w:tc>
        <w:tc>
          <w:tcPr>
            <w:tcW w:w="1563"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监造</w:t>
            </w:r>
          </w:p>
          <w:p>
            <w:pPr>
              <w:autoSpaceDE w:val="0"/>
              <w:autoSpaceDN w:val="0"/>
              <w:adjustRightInd w:val="0"/>
              <w:spacing w:line="360" w:lineRule="auto"/>
              <w:jc w:val="center"/>
              <w:rPr>
                <w:rFonts w:hint="eastAsia" w:ascii="宋体"/>
                <w:kern w:val="0"/>
                <w:sz w:val="24"/>
              </w:rPr>
            </w:pPr>
            <w:r>
              <w:rPr>
                <w:rFonts w:hint="eastAsia" w:ascii="宋体"/>
                <w:kern w:val="0"/>
                <w:sz w:val="24"/>
              </w:rPr>
              <w:t>内容</w:t>
            </w:r>
          </w:p>
        </w:tc>
        <w:tc>
          <w:tcPr>
            <w:tcW w:w="3653" w:type="dxa"/>
            <w:gridSpan w:val="3"/>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监造方式</w:t>
            </w:r>
          </w:p>
        </w:tc>
        <w:tc>
          <w:tcPr>
            <w:tcW w:w="1218"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检验</w:t>
            </w:r>
          </w:p>
          <w:p>
            <w:pPr>
              <w:autoSpaceDE w:val="0"/>
              <w:autoSpaceDN w:val="0"/>
              <w:adjustRightInd w:val="0"/>
              <w:spacing w:line="360" w:lineRule="auto"/>
              <w:jc w:val="center"/>
              <w:rPr>
                <w:rFonts w:hint="eastAsia" w:ascii="宋体"/>
                <w:kern w:val="0"/>
                <w:sz w:val="24"/>
              </w:rPr>
            </w:pPr>
            <w:r>
              <w:rPr>
                <w:rFonts w:hint="eastAsia" w:ascii="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48" w:type="dxa"/>
            <w:vMerge w:val="continue"/>
            <w:noWrap w:val="0"/>
            <w:vAlign w:val="top"/>
          </w:tcPr>
          <w:p>
            <w:pPr>
              <w:autoSpaceDE w:val="0"/>
              <w:autoSpaceDN w:val="0"/>
              <w:adjustRightInd w:val="0"/>
              <w:spacing w:line="360" w:lineRule="auto"/>
              <w:jc w:val="left"/>
              <w:rPr>
                <w:rFonts w:hint="eastAsia" w:ascii="宋体"/>
                <w:kern w:val="0"/>
                <w:sz w:val="24"/>
              </w:rPr>
            </w:pPr>
          </w:p>
        </w:tc>
        <w:tc>
          <w:tcPr>
            <w:tcW w:w="1440" w:type="dxa"/>
            <w:vMerge w:val="continue"/>
            <w:noWrap w:val="0"/>
            <w:vAlign w:val="top"/>
          </w:tcPr>
          <w:p>
            <w:pPr>
              <w:autoSpaceDE w:val="0"/>
              <w:autoSpaceDN w:val="0"/>
              <w:adjustRightInd w:val="0"/>
              <w:spacing w:line="360" w:lineRule="auto"/>
              <w:jc w:val="left"/>
              <w:rPr>
                <w:rFonts w:hint="eastAsia" w:ascii="宋体"/>
                <w:kern w:val="0"/>
                <w:sz w:val="24"/>
              </w:rPr>
            </w:pPr>
          </w:p>
        </w:tc>
        <w:tc>
          <w:tcPr>
            <w:tcW w:w="1563" w:type="dxa"/>
            <w:vMerge w:val="continue"/>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r>
              <w:rPr>
                <w:rFonts w:hint="eastAsia" w:ascii="宋体"/>
                <w:kern w:val="0"/>
                <w:sz w:val="24"/>
              </w:rPr>
              <w:t>文件见证</w:t>
            </w:r>
          </w:p>
        </w:tc>
        <w:tc>
          <w:tcPr>
            <w:tcW w:w="1218" w:type="dxa"/>
            <w:noWrap w:val="0"/>
            <w:vAlign w:val="top"/>
          </w:tcPr>
          <w:p>
            <w:pPr>
              <w:autoSpaceDE w:val="0"/>
              <w:autoSpaceDN w:val="0"/>
              <w:adjustRightInd w:val="0"/>
              <w:spacing w:line="360" w:lineRule="auto"/>
              <w:jc w:val="left"/>
              <w:rPr>
                <w:rFonts w:hint="eastAsia" w:ascii="宋体"/>
                <w:kern w:val="0"/>
                <w:sz w:val="24"/>
              </w:rPr>
            </w:pPr>
            <w:r>
              <w:rPr>
                <w:rFonts w:hint="eastAsia" w:ascii="宋体"/>
                <w:kern w:val="0"/>
                <w:sz w:val="24"/>
              </w:rPr>
              <w:t>现场见证</w:t>
            </w:r>
          </w:p>
        </w:tc>
        <w:tc>
          <w:tcPr>
            <w:tcW w:w="1218" w:type="dxa"/>
            <w:noWrap w:val="0"/>
            <w:vAlign w:val="top"/>
          </w:tcPr>
          <w:p>
            <w:pPr>
              <w:autoSpaceDE w:val="0"/>
              <w:autoSpaceDN w:val="0"/>
              <w:adjustRightInd w:val="0"/>
              <w:spacing w:line="360" w:lineRule="auto"/>
              <w:jc w:val="left"/>
              <w:rPr>
                <w:rFonts w:hint="eastAsia" w:ascii="宋体"/>
                <w:kern w:val="0"/>
                <w:sz w:val="24"/>
              </w:rPr>
            </w:pPr>
            <w:r>
              <w:rPr>
                <w:rFonts w:hint="eastAsia" w:ascii="宋体"/>
                <w:kern w:val="0"/>
                <w:sz w:val="24"/>
              </w:rPr>
              <w:t>停工待检</w:t>
            </w:r>
          </w:p>
        </w:tc>
        <w:tc>
          <w:tcPr>
            <w:tcW w:w="1218" w:type="dxa"/>
            <w:vMerge w:val="continue"/>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noWrap w:val="0"/>
            <w:vAlign w:val="top"/>
          </w:tcPr>
          <w:p>
            <w:pPr>
              <w:autoSpaceDE w:val="0"/>
              <w:autoSpaceDN w:val="0"/>
              <w:adjustRightInd w:val="0"/>
              <w:spacing w:line="360" w:lineRule="auto"/>
              <w:jc w:val="left"/>
              <w:rPr>
                <w:rFonts w:hint="eastAsia" w:ascii="宋体"/>
                <w:kern w:val="0"/>
                <w:sz w:val="24"/>
              </w:rPr>
            </w:pPr>
          </w:p>
        </w:tc>
        <w:tc>
          <w:tcPr>
            <w:tcW w:w="1440" w:type="dxa"/>
            <w:noWrap w:val="0"/>
            <w:vAlign w:val="top"/>
          </w:tcPr>
          <w:p>
            <w:pPr>
              <w:autoSpaceDE w:val="0"/>
              <w:autoSpaceDN w:val="0"/>
              <w:adjustRightInd w:val="0"/>
              <w:spacing w:line="360" w:lineRule="auto"/>
              <w:jc w:val="left"/>
              <w:rPr>
                <w:rFonts w:hint="eastAsia" w:ascii="宋体"/>
                <w:kern w:val="0"/>
                <w:sz w:val="24"/>
              </w:rPr>
            </w:pPr>
          </w:p>
        </w:tc>
        <w:tc>
          <w:tcPr>
            <w:tcW w:w="1563"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noWrap w:val="0"/>
            <w:vAlign w:val="top"/>
          </w:tcPr>
          <w:p>
            <w:pPr>
              <w:autoSpaceDE w:val="0"/>
              <w:autoSpaceDN w:val="0"/>
              <w:adjustRightInd w:val="0"/>
              <w:spacing w:line="360" w:lineRule="auto"/>
              <w:jc w:val="left"/>
              <w:rPr>
                <w:rFonts w:hint="eastAsia" w:ascii="宋体"/>
                <w:kern w:val="0"/>
                <w:sz w:val="24"/>
              </w:rPr>
            </w:pPr>
          </w:p>
        </w:tc>
        <w:tc>
          <w:tcPr>
            <w:tcW w:w="1440" w:type="dxa"/>
            <w:noWrap w:val="0"/>
            <w:vAlign w:val="top"/>
          </w:tcPr>
          <w:p>
            <w:pPr>
              <w:autoSpaceDE w:val="0"/>
              <w:autoSpaceDN w:val="0"/>
              <w:adjustRightInd w:val="0"/>
              <w:spacing w:line="360" w:lineRule="auto"/>
              <w:jc w:val="left"/>
              <w:rPr>
                <w:rFonts w:hint="eastAsia" w:ascii="宋体"/>
                <w:kern w:val="0"/>
                <w:sz w:val="24"/>
              </w:rPr>
            </w:pPr>
          </w:p>
        </w:tc>
        <w:tc>
          <w:tcPr>
            <w:tcW w:w="1563"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noWrap w:val="0"/>
            <w:vAlign w:val="top"/>
          </w:tcPr>
          <w:p>
            <w:pPr>
              <w:autoSpaceDE w:val="0"/>
              <w:autoSpaceDN w:val="0"/>
              <w:adjustRightInd w:val="0"/>
              <w:spacing w:line="360" w:lineRule="auto"/>
              <w:jc w:val="left"/>
              <w:rPr>
                <w:rFonts w:hint="eastAsia" w:ascii="宋体"/>
                <w:kern w:val="0"/>
                <w:sz w:val="24"/>
              </w:rPr>
            </w:pPr>
          </w:p>
        </w:tc>
        <w:tc>
          <w:tcPr>
            <w:tcW w:w="1440" w:type="dxa"/>
            <w:noWrap w:val="0"/>
            <w:vAlign w:val="top"/>
          </w:tcPr>
          <w:p>
            <w:pPr>
              <w:autoSpaceDE w:val="0"/>
              <w:autoSpaceDN w:val="0"/>
              <w:adjustRightInd w:val="0"/>
              <w:spacing w:line="360" w:lineRule="auto"/>
              <w:jc w:val="left"/>
              <w:rPr>
                <w:rFonts w:hint="eastAsia" w:ascii="宋体"/>
                <w:kern w:val="0"/>
                <w:sz w:val="24"/>
              </w:rPr>
            </w:pPr>
          </w:p>
        </w:tc>
        <w:tc>
          <w:tcPr>
            <w:tcW w:w="1563"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48" w:type="dxa"/>
            <w:noWrap w:val="0"/>
            <w:vAlign w:val="top"/>
          </w:tcPr>
          <w:p>
            <w:pPr>
              <w:autoSpaceDE w:val="0"/>
              <w:autoSpaceDN w:val="0"/>
              <w:adjustRightInd w:val="0"/>
              <w:spacing w:line="360" w:lineRule="auto"/>
              <w:jc w:val="left"/>
              <w:rPr>
                <w:rFonts w:hint="eastAsia" w:ascii="宋体"/>
                <w:kern w:val="0"/>
                <w:sz w:val="24"/>
              </w:rPr>
            </w:pPr>
          </w:p>
        </w:tc>
        <w:tc>
          <w:tcPr>
            <w:tcW w:w="1440" w:type="dxa"/>
            <w:noWrap w:val="0"/>
            <w:vAlign w:val="top"/>
          </w:tcPr>
          <w:p>
            <w:pPr>
              <w:autoSpaceDE w:val="0"/>
              <w:autoSpaceDN w:val="0"/>
              <w:adjustRightInd w:val="0"/>
              <w:spacing w:line="360" w:lineRule="auto"/>
              <w:jc w:val="left"/>
              <w:rPr>
                <w:rFonts w:hint="eastAsia" w:ascii="宋体"/>
                <w:kern w:val="0"/>
                <w:sz w:val="24"/>
              </w:rPr>
            </w:pPr>
          </w:p>
        </w:tc>
        <w:tc>
          <w:tcPr>
            <w:tcW w:w="1563"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r>
    </w:tbl>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21"/>
        </w:rPr>
        <w:t>18.4　</w:t>
      </w:r>
      <w:r>
        <w:rPr>
          <w:rFonts w:hint="eastAsia" w:ascii="宋体"/>
          <w:kern w:val="0"/>
          <w:sz w:val="24"/>
        </w:rPr>
        <w:t>中标人必须配合监造的要求。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　</w:t>
      </w:r>
      <w:r>
        <w:rPr>
          <w:rFonts w:hint="eastAsia" w:ascii="宋体"/>
          <w:kern w:val="0"/>
          <w:sz w:val="24"/>
        </w:rPr>
        <w:t>性能验收试验</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19.1　</w:t>
      </w:r>
      <w:r>
        <w:rPr>
          <w:rFonts w:hint="eastAsia" w:ascii="宋体"/>
          <w:kern w:val="0"/>
          <w:sz w:val="24"/>
        </w:rPr>
        <w:t>性能验收试验的目的为了检验合同货物的所有性能是否符合本部分第一章规定的要求。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19.2　</w:t>
      </w:r>
      <w:r>
        <w:rPr>
          <w:rFonts w:hint="eastAsia" w:ascii="宋体"/>
          <w:kern w:val="0"/>
          <w:sz w:val="24"/>
        </w:rPr>
        <w:t>性能验收试验的地点由合同确定：采购人现场。</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19.3　</w:t>
      </w:r>
      <w:r>
        <w:rPr>
          <w:rFonts w:hint="eastAsia" w:ascii="宋体"/>
          <w:kern w:val="0"/>
          <w:sz w:val="24"/>
        </w:rPr>
        <w:t>性能试验的时间：试验一般在</w:t>
      </w:r>
      <w:r>
        <w:rPr>
          <w:rFonts w:hint="eastAsia" w:ascii="宋体"/>
          <w:kern w:val="0"/>
          <w:sz w:val="24"/>
          <w:szCs w:val="68"/>
          <w:u w:val="single"/>
        </w:rPr>
        <w:t>　72　</w:t>
      </w:r>
      <w:r>
        <w:rPr>
          <w:rFonts w:hint="eastAsia" w:ascii="宋体"/>
          <w:kern w:val="0"/>
          <w:sz w:val="24"/>
        </w:rPr>
        <w:t>小时试运之后</w:t>
      </w:r>
      <w:r>
        <w:rPr>
          <w:rFonts w:hint="eastAsia" w:ascii="宋体"/>
          <w:kern w:val="0"/>
          <w:sz w:val="24"/>
          <w:u w:val="single"/>
        </w:rPr>
        <w:t>　3　</w:t>
      </w:r>
      <w:r>
        <w:rPr>
          <w:rFonts w:hint="eastAsia" w:ascii="宋体"/>
          <w:kern w:val="0"/>
          <w:sz w:val="24"/>
        </w:rPr>
        <w:t>天内进行，具体试验时间由采购人和中标人确定；单台货物的试验供需双方协商确定。</w:t>
      </w:r>
    </w:p>
    <w:p>
      <w:pPr>
        <w:autoSpaceDE w:val="0"/>
        <w:autoSpaceDN w:val="0"/>
        <w:adjustRightInd w:val="0"/>
        <w:spacing w:line="360" w:lineRule="auto"/>
        <w:ind w:firstLine="480" w:firstLineChars="200"/>
        <w:jc w:val="left"/>
        <w:rPr>
          <w:rFonts w:hint="eastAsia" w:ascii="宋体"/>
          <w:kern w:val="0"/>
          <w:sz w:val="24"/>
          <w:szCs w:val="21"/>
        </w:rPr>
      </w:pPr>
      <w:r>
        <w:rPr>
          <w:rFonts w:hint="eastAsia" w:ascii="宋体"/>
          <w:kern w:val="0"/>
          <w:sz w:val="24"/>
          <w:szCs w:val="68"/>
        </w:rPr>
        <w:t>19.4　</w:t>
      </w:r>
      <w:r>
        <w:rPr>
          <w:rFonts w:hint="eastAsia" w:ascii="宋体"/>
          <w:kern w:val="0"/>
          <w:sz w:val="24"/>
        </w:rPr>
        <w:t>能验收试验由采购人主持，中标人参加。试验大纲由采购人提供，与中标人讨论后确定。如试验在现场进行，中标人要按要求进行配合；如试验在工厂进行，试验所需的人力和物力等由中标人提供。</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19.5　性能验收试验的内容，视具体货物而定。</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19.6　</w:t>
      </w:r>
      <w:r>
        <w:rPr>
          <w:rFonts w:hint="eastAsia" w:ascii="宋体"/>
          <w:kern w:val="0"/>
          <w:sz w:val="24"/>
        </w:rPr>
        <w:t>性能验收试验的标准和方法，按具体货物要求填写。</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19.7　</w:t>
      </w:r>
      <w:r>
        <w:rPr>
          <w:rFonts w:hint="eastAsia" w:ascii="宋体"/>
          <w:kern w:val="0"/>
          <w:sz w:val="24"/>
        </w:rPr>
        <w:t>性能验收试验所需的测点、一次元件和就地仪表的装设应由中标人提供，参加方配合。中标人也要提供试验所需的技术配合和人员配合。</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19.8　</w:t>
      </w:r>
      <w:r>
        <w:rPr>
          <w:rFonts w:hint="eastAsia" w:ascii="宋体"/>
          <w:kern w:val="0"/>
          <w:sz w:val="24"/>
        </w:rPr>
        <w:t>性能验收试验的费用。本章第19.7条和中标人试验的配合等费用已在合同总价内。其他费用，如试验在现场进行，由采购人承担；在中标人工厂进行，则已包含在合同总价之中。</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19.9　</w:t>
      </w:r>
      <w:r>
        <w:rPr>
          <w:rFonts w:hint="eastAsia" w:ascii="宋体"/>
          <w:kern w:val="0"/>
          <w:sz w:val="24"/>
        </w:rPr>
        <w:t>性能验收试验结果的确认。</w:t>
      </w:r>
    </w:p>
    <w:p>
      <w:pPr>
        <w:autoSpaceDE w:val="0"/>
        <w:autoSpaceDN w:val="0"/>
        <w:adjustRightInd w:val="0"/>
        <w:spacing w:line="360" w:lineRule="auto"/>
        <w:ind w:firstLine="482" w:firstLineChars="200"/>
        <w:jc w:val="left"/>
        <w:rPr>
          <w:rFonts w:ascii="宋体"/>
          <w:b/>
          <w:kern w:val="0"/>
          <w:sz w:val="24"/>
        </w:rPr>
      </w:pPr>
      <w:r>
        <w:rPr>
          <w:rFonts w:hint="eastAsia" w:ascii="宋体"/>
          <w:b/>
          <w:kern w:val="0"/>
          <w:sz w:val="24"/>
        </w:rPr>
        <w:t>19.9.1　采购人在中标人送货后对本项目进行检查验收，如果发现数量不足或有质量、技术等问题，中标人应负责根据合同及使用单位的要求采取补足或更换等处理措施，并承担由此发生的一切损失和费用。验收合格后，采购人在验收单上签字并加盖单位公章。</w:t>
      </w:r>
    </w:p>
    <w:p>
      <w:pPr>
        <w:spacing w:line="360" w:lineRule="auto"/>
        <w:rPr>
          <w:rFonts w:hint="eastAsia" w:ascii="宋体"/>
          <w:kern w:val="0"/>
          <w:sz w:val="24"/>
        </w:rPr>
      </w:pPr>
      <w:r>
        <w:rPr>
          <w:rFonts w:hint="eastAsia" w:ascii="宋体"/>
          <w:kern w:val="0"/>
          <w:sz w:val="24"/>
        </w:rPr>
        <w:t>19.9.2　进行性能验收试验时，一方接到另一方试验通知而不派人参加试验，则被视为对验收试验结果的同意，并进行确认签名盖章。</w:t>
      </w:r>
    </w:p>
    <w:p>
      <w:pPr>
        <w:spacing w:line="360" w:lineRule="auto"/>
        <w:rPr>
          <w:rFonts w:hint="eastAsia" w:ascii="宋体"/>
          <w:kern w:val="0"/>
          <w:sz w:val="24"/>
        </w:rPr>
      </w:pPr>
    </w:p>
    <w:p>
      <w:pPr>
        <w:pStyle w:val="3"/>
        <w:spacing w:line="360" w:lineRule="auto"/>
        <w:jc w:val="center"/>
        <w:rPr>
          <w:rFonts w:hint="eastAsia"/>
          <w:kern w:val="0"/>
          <w:sz w:val="24"/>
        </w:rPr>
      </w:pPr>
      <w:bookmarkStart w:id="32" w:name="_Toc2852595"/>
      <w:r>
        <w:rPr>
          <w:rFonts w:hint="eastAsia"/>
          <w:kern w:val="0"/>
        </w:rPr>
        <w:t>第六章　付款方式及要求</w:t>
      </w:r>
      <w:bookmarkEnd w:id="32"/>
    </w:p>
    <w:p>
      <w:pPr>
        <w:snapToGrid w:val="0"/>
        <w:spacing w:line="360" w:lineRule="auto"/>
        <w:ind w:firstLine="480"/>
        <w:rPr>
          <w:rFonts w:hint="eastAsia" w:ascii="宋体"/>
          <w:kern w:val="0"/>
          <w:sz w:val="24"/>
        </w:rPr>
      </w:pPr>
      <w:r>
        <w:rPr>
          <w:rFonts w:hint="eastAsia" w:ascii="宋体"/>
          <w:kern w:val="0"/>
          <w:sz w:val="24"/>
          <w:szCs w:val="27"/>
        </w:rPr>
        <w:t>20　</w:t>
      </w:r>
      <w:r>
        <w:rPr>
          <w:rFonts w:hint="eastAsia" w:ascii="宋体"/>
          <w:kern w:val="0"/>
          <w:sz w:val="24"/>
        </w:rPr>
        <w:t>本项目采取下列付款方式：</w:t>
      </w:r>
      <w:r>
        <w:rPr>
          <w:rFonts w:hint="eastAsia"/>
          <w:color w:val="000000"/>
          <w:sz w:val="24"/>
          <w:u w:val="single"/>
        </w:rPr>
        <w:t>租用期限自系统验收合格之日算起，租用期开始后一个月内采购人支付年租金总额的百分之四十，百分之六十的年租金余款根据供应商租用服务承诺，对系统运行质量、服务质量进行考核后在年租用期满后一个月内给予支付，具体考核细则由供应商与区公安分局协商制定。</w:t>
      </w:r>
    </w:p>
    <w:p>
      <w:pPr>
        <w:pStyle w:val="3"/>
        <w:spacing w:line="360" w:lineRule="auto"/>
        <w:jc w:val="center"/>
        <w:rPr>
          <w:kern w:val="0"/>
        </w:rPr>
      </w:pPr>
      <w:bookmarkStart w:id="33" w:name="_Toc2852596"/>
      <w:r>
        <w:rPr>
          <w:rFonts w:hint="eastAsia"/>
          <w:kern w:val="0"/>
        </w:rPr>
        <w:t>第七章　售后服务及要求</w:t>
      </w:r>
      <w:bookmarkEnd w:id="33"/>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21　质保要求</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21.1　中标人</w:t>
      </w:r>
      <w:r>
        <w:rPr>
          <w:rFonts w:hint="eastAsia" w:ascii="宋体"/>
          <w:b/>
          <w:kern w:val="0"/>
          <w:sz w:val="24"/>
          <w:szCs w:val="68"/>
          <w:u w:val="single"/>
        </w:rPr>
        <w:t>在租赁期内</w:t>
      </w:r>
      <w:r>
        <w:rPr>
          <w:rFonts w:hint="eastAsia" w:ascii="宋体"/>
          <w:kern w:val="0"/>
          <w:sz w:val="24"/>
          <w:szCs w:val="68"/>
        </w:rPr>
        <w:t>对提供的货物须提供完整的质量保证。</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21.2　在质量保证期限内双方的权利和义务按第五部分规定执行。</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22　安装和调试要求</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22.1　货物的安装和调试工作由中标人负责，并承担相关费用。</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22.2　中标人应在下列第</w:t>
      </w:r>
      <w:r>
        <w:rPr>
          <w:rFonts w:hint="eastAsia" w:ascii="宋体"/>
          <w:b/>
          <w:kern w:val="0"/>
          <w:sz w:val="24"/>
          <w:szCs w:val="68"/>
          <w:u w:val="single"/>
        </w:rPr>
        <w:t>　1　</w:t>
      </w:r>
      <w:r>
        <w:rPr>
          <w:rFonts w:hint="eastAsia" w:ascii="宋体"/>
          <w:b/>
          <w:kern w:val="0"/>
          <w:sz w:val="24"/>
          <w:szCs w:val="68"/>
        </w:rPr>
        <w:t>条</w:t>
      </w:r>
      <w:r>
        <w:rPr>
          <w:rFonts w:hint="eastAsia" w:ascii="宋体"/>
          <w:kern w:val="0"/>
          <w:sz w:val="24"/>
          <w:szCs w:val="68"/>
        </w:rPr>
        <w:t>的规定时间内完成货物的安装和调试工作：</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22.2.1　</w:t>
      </w:r>
      <w:r>
        <w:rPr>
          <w:rFonts w:hint="eastAsia" w:ascii="宋体"/>
          <w:b/>
          <w:color w:val="000000"/>
          <w:kern w:val="0"/>
          <w:sz w:val="24"/>
          <w:u w:val="single"/>
        </w:rPr>
        <w:t>合同签订后60天内完工，试运行30天后，经验收合格交付使用</w:t>
      </w:r>
      <w:r>
        <w:rPr>
          <w:rFonts w:hint="eastAsia" w:ascii="宋体"/>
          <w:kern w:val="0"/>
          <w:sz w:val="24"/>
          <w:szCs w:val="68"/>
        </w:rPr>
        <w:t>。</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23　维修服务要求</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23.1　在接到采购人的故障通知后，中标人须在</w:t>
      </w:r>
      <w:r>
        <w:rPr>
          <w:rFonts w:hint="eastAsia" w:ascii="宋体"/>
          <w:kern w:val="0"/>
          <w:sz w:val="24"/>
          <w:szCs w:val="68"/>
          <w:u w:val="single"/>
        </w:rPr>
        <w:t xml:space="preserve">　1 </w:t>
      </w:r>
      <w:r>
        <w:rPr>
          <w:rFonts w:hint="eastAsia" w:ascii="宋体"/>
          <w:kern w:val="0"/>
          <w:sz w:val="24"/>
          <w:szCs w:val="68"/>
        </w:rPr>
        <w:t>小时内作出响应，并在最短的时间内提出解决方案，直至修复货物。</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23.2　中标人须按下列规定的要求，为采购人提供维修服务：</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23.2.1　在采购人附近设置维修服务网点。</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23.2.2　在</w:t>
      </w:r>
      <w:r>
        <w:rPr>
          <w:rFonts w:hint="eastAsia" w:ascii="宋体"/>
          <w:kern w:val="0"/>
          <w:sz w:val="24"/>
          <w:szCs w:val="68"/>
          <w:u w:val="single"/>
        </w:rPr>
        <w:t xml:space="preserve">　2 </w:t>
      </w:r>
      <w:r>
        <w:rPr>
          <w:rFonts w:hint="eastAsia" w:ascii="宋体"/>
          <w:kern w:val="0"/>
          <w:sz w:val="24"/>
          <w:szCs w:val="68"/>
        </w:rPr>
        <w:t>小时期限内为采购人提供上门维修服务。</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szCs w:val="68"/>
        </w:rPr>
        <w:t>23.2.3　在</w:t>
      </w:r>
      <w:r>
        <w:rPr>
          <w:rFonts w:hint="eastAsia" w:ascii="宋体"/>
          <w:kern w:val="0"/>
          <w:sz w:val="24"/>
          <w:szCs w:val="68"/>
          <w:u w:val="single"/>
        </w:rPr>
        <w:t>　24　</w:t>
      </w:r>
      <w:r>
        <w:rPr>
          <w:rFonts w:hint="eastAsia" w:ascii="宋体"/>
          <w:kern w:val="0"/>
          <w:sz w:val="24"/>
          <w:szCs w:val="68"/>
        </w:rPr>
        <w:t>小时内未能修复货物的情况下，要求为采购人免费提供备用货物。</w:t>
      </w:r>
    </w:p>
    <w:p>
      <w:pPr>
        <w:ind w:firstLine="555"/>
        <w:rPr>
          <w:rFonts w:hint="eastAsia" w:ascii="仿宋_GB2312" w:hAnsi="宋体" w:eastAsia="仿宋_GB2312"/>
          <w:b/>
          <w:color w:val="000000"/>
          <w:sz w:val="28"/>
        </w:rPr>
      </w:pPr>
      <w:r>
        <w:rPr>
          <w:rFonts w:hint="eastAsia" w:ascii="宋体"/>
          <w:kern w:val="0"/>
          <w:sz w:val="24"/>
          <w:szCs w:val="68"/>
        </w:rPr>
        <w:t>23.2.4　其他：</w:t>
      </w:r>
      <w:r>
        <w:rPr>
          <w:rFonts w:hint="eastAsia" w:ascii="宋体"/>
          <w:b/>
          <w:color w:val="000000"/>
          <w:kern w:val="0"/>
          <w:sz w:val="24"/>
          <w:szCs w:val="68"/>
        </w:rPr>
        <w:t>租用期限内，如因市政施工、道路改道、房屋拆迁及其他客观原因，需要对前端点实行移位的，供应商应及时给予落实，产生的费用由供应商承担。如有到得相应赔偿的，归供应商所有。</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　</w:t>
      </w:r>
      <w:r>
        <w:rPr>
          <w:rFonts w:hint="eastAsia" w:ascii="宋体"/>
          <w:kern w:val="0"/>
          <w:sz w:val="24"/>
        </w:rPr>
        <w:t>技术服务要求</w:t>
      </w:r>
    </w:p>
    <w:p>
      <w:pPr>
        <w:spacing w:line="360" w:lineRule="auto"/>
        <w:rPr>
          <w:rFonts w:hint="eastAsia" w:ascii="宋体"/>
          <w:kern w:val="0"/>
          <w:sz w:val="24"/>
        </w:rPr>
      </w:pPr>
      <w:r>
        <w:rPr>
          <w:rFonts w:hint="eastAsia" w:ascii="宋体"/>
          <w:kern w:val="0"/>
          <w:sz w:val="24"/>
          <w:szCs w:val="68"/>
        </w:rPr>
        <w:t>24.1　</w:t>
      </w:r>
      <w:r>
        <w:rPr>
          <w:rFonts w:hint="eastAsia" w:ascii="宋体"/>
          <w:kern w:val="0"/>
          <w:sz w:val="24"/>
        </w:rPr>
        <w:t>中标人须派合格的现场服务人员，为采购人提供上门技术服务，确保所供货物安全、正常投运。在投标阶段应提供包括服务人数的现场服务计划表（详见下表）；如果此人数不能满足工程需要，中标人要追加人数，且不发生费用：</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828" w:type="dxa"/>
            <w:vMerge w:val="restart"/>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序</w:t>
            </w:r>
          </w:p>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号</w:t>
            </w:r>
          </w:p>
        </w:tc>
        <w:tc>
          <w:tcPr>
            <w:tcW w:w="2012" w:type="dxa"/>
            <w:vMerge w:val="restart"/>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技术服务</w:t>
            </w:r>
          </w:p>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内　　容</w:t>
            </w:r>
          </w:p>
        </w:tc>
        <w:tc>
          <w:tcPr>
            <w:tcW w:w="1420" w:type="dxa"/>
            <w:vMerge w:val="restart"/>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计　划</w:t>
            </w:r>
          </w:p>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人  数</w:t>
            </w:r>
          </w:p>
        </w:tc>
        <w:tc>
          <w:tcPr>
            <w:tcW w:w="2841" w:type="dxa"/>
            <w:gridSpan w:val="2"/>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派出人员构成</w:t>
            </w:r>
          </w:p>
        </w:tc>
        <w:tc>
          <w:tcPr>
            <w:tcW w:w="1421" w:type="dxa"/>
            <w:vMerge w:val="restart"/>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备</w:t>
            </w:r>
          </w:p>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828" w:type="dxa"/>
            <w:vMerge w:val="continue"/>
            <w:noWrap w:val="0"/>
            <w:vAlign w:val="top"/>
          </w:tcPr>
          <w:p>
            <w:pPr>
              <w:autoSpaceDE w:val="0"/>
              <w:autoSpaceDN w:val="0"/>
              <w:adjustRightInd w:val="0"/>
              <w:spacing w:line="360" w:lineRule="auto"/>
              <w:jc w:val="center"/>
              <w:rPr>
                <w:rFonts w:hint="eastAsia" w:ascii="宋体"/>
                <w:kern w:val="0"/>
                <w:sz w:val="24"/>
                <w:szCs w:val="21"/>
              </w:rPr>
            </w:pPr>
          </w:p>
        </w:tc>
        <w:tc>
          <w:tcPr>
            <w:tcW w:w="2012" w:type="dxa"/>
            <w:vMerge w:val="continue"/>
            <w:noWrap w:val="0"/>
            <w:vAlign w:val="top"/>
          </w:tcPr>
          <w:p>
            <w:pPr>
              <w:autoSpaceDE w:val="0"/>
              <w:autoSpaceDN w:val="0"/>
              <w:adjustRightInd w:val="0"/>
              <w:spacing w:line="360" w:lineRule="auto"/>
              <w:jc w:val="center"/>
              <w:rPr>
                <w:rFonts w:hint="eastAsia" w:ascii="宋体"/>
                <w:kern w:val="0"/>
                <w:sz w:val="24"/>
                <w:szCs w:val="21"/>
              </w:rPr>
            </w:pPr>
          </w:p>
        </w:tc>
        <w:tc>
          <w:tcPr>
            <w:tcW w:w="1420" w:type="dxa"/>
            <w:vMerge w:val="continue"/>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职称</w:t>
            </w:r>
          </w:p>
        </w:tc>
        <w:tc>
          <w:tcPr>
            <w:tcW w:w="1421"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人数</w:t>
            </w:r>
          </w:p>
        </w:tc>
        <w:tc>
          <w:tcPr>
            <w:tcW w:w="1421" w:type="dxa"/>
            <w:vMerge w:val="continue"/>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1</w:t>
            </w: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2</w:t>
            </w: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p>
        </w:tc>
        <w:tc>
          <w:tcPr>
            <w:tcW w:w="2012"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0"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c>
          <w:tcPr>
            <w:tcW w:w="1421" w:type="dxa"/>
            <w:noWrap w:val="0"/>
            <w:vAlign w:val="top"/>
          </w:tcPr>
          <w:p>
            <w:pPr>
              <w:autoSpaceDE w:val="0"/>
              <w:autoSpaceDN w:val="0"/>
              <w:adjustRightInd w:val="0"/>
              <w:spacing w:line="360" w:lineRule="auto"/>
              <w:jc w:val="center"/>
              <w:rPr>
                <w:rFonts w:hint="eastAsia" w:ascii="宋体"/>
                <w:kern w:val="0"/>
                <w:sz w:val="24"/>
                <w:szCs w:val="21"/>
              </w:rPr>
            </w:pPr>
          </w:p>
        </w:tc>
      </w:tr>
    </w:tbl>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24.2　中标人现场服务人员应具有下列资质：</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24.2.1　遵守法纪，遵守现场的各项规章和制度；</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24.2.2　</w:t>
      </w:r>
      <w:r>
        <w:rPr>
          <w:rFonts w:hint="eastAsia" w:ascii="宋体"/>
          <w:kern w:val="0"/>
          <w:sz w:val="24"/>
        </w:rPr>
        <w:t>有较强的责任感和事业心，按时到位；</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24.2.3　</w:t>
      </w:r>
      <w:r>
        <w:rPr>
          <w:rFonts w:hint="eastAsia" w:ascii="宋体"/>
          <w:kern w:val="0"/>
          <w:sz w:val="24"/>
        </w:rPr>
        <w:t>了解合同货物的设计，熟悉其结构，有相同或相近机组的现场工作经验，能够正确地进行现场指导；</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24.2.4　</w:t>
      </w:r>
      <w:r>
        <w:rPr>
          <w:rFonts w:hint="eastAsia" w:ascii="宋体"/>
          <w:kern w:val="0"/>
          <w:sz w:val="24"/>
        </w:rPr>
        <w:t>身体健康，适应现场工作的条件。</w:t>
      </w:r>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rPr>
        <w:t>24.3　服务人员情况表</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24.3.1　中标人要向采购人提供服务人员情况表（详见下表）：</w:t>
      </w:r>
      <w:r>
        <w:rPr>
          <w:rFonts w:ascii="宋体"/>
          <w:kern w:val="0"/>
          <w:sz w:val="24"/>
        </w:rPr>
        <w:t xml:space="preserve">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42"/>
        <w:gridCol w:w="1578"/>
        <w:gridCol w:w="1080"/>
        <w:gridCol w:w="720"/>
        <w:gridCol w:w="1080"/>
        <w:gridCol w:w="86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姓　　名</w:t>
            </w:r>
          </w:p>
        </w:tc>
        <w:tc>
          <w:tcPr>
            <w:tcW w:w="942" w:type="dxa"/>
            <w:noWrap w:val="0"/>
            <w:vAlign w:val="top"/>
          </w:tcPr>
          <w:p>
            <w:pPr>
              <w:autoSpaceDE w:val="0"/>
              <w:autoSpaceDN w:val="0"/>
              <w:adjustRightInd w:val="0"/>
              <w:spacing w:line="360" w:lineRule="auto"/>
              <w:jc w:val="center"/>
              <w:rPr>
                <w:rFonts w:hint="eastAsia" w:ascii="宋体"/>
                <w:kern w:val="0"/>
                <w:sz w:val="24"/>
                <w:szCs w:val="21"/>
              </w:rPr>
            </w:pPr>
          </w:p>
        </w:tc>
        <w:tc>
          <w:tcPr>
            <w:tcW w:w="157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性　　别</w:t>
            </w:r>
          </w:p>
        </w:tc>
        <w:tc>
          <w:tcPr>
            <w:tcW w:w="1080" w:type="dxa"/>
            <w:noWrap w:val="0"/>
            <w:vAlign w:val="top"/>
          </w:tcPr>
          <w:p>
            <w:pPr>
              <w:autoSpaceDE w:val="0"/>
              <w:autoSpaceDN w:val="0"/>
              <w:adjustRightInd w:val="0"/>
              <w:spacing w:line="360" w:lineRule="auto"/>
              <w:jc w:val="center"/>
              <w:rPr>
                <w:rFonts w:hint="eastAsia" w:ascii="宋体"/>
                <w:kern w:val="0"/>
                <w:sz w:val="24"/>
                <w:szCs w:val="21"/>
              </w:rPr>
            </w:pPr>
          </w:p>
        </w:tc>
        <w:tc>
          <w:tcPr>
            <w:tcW w:w="720"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年龄</w:t>
            </w:r>
          </w:p>
        </w:tc>
        <w:tc>
          <w:tcPr>
            <w:tcW w:w="1080" w:type="dxa"/>
            <w:noWrap w:val="0"/>
            <w:vAlign w:val="top"/>
          </w:tcPr>
          <w:p>
            <w:pPr>
              <w:autoSpaceDE w:val="0"/>
              <w:autoSpaceDN w:val="0"/>
              <w:adjustRightInd w:val="0"/>
              <w:spacing w:line="360" w:lineRule="auto"/>
              <w:jc w:val="center"/>
              <w:rPr>
                <w:rFonts w:hint="eastAsia" w:ascii="宋体"/>
                <w:kern w:val="0"/>
                <w:sz w:val="24"/>
                <w:szCs w:val="21"/>
              </w:rPr>
            </w:pPr>
          </w:p>
        </w:tc>
        <w:tc>
          <w:tcPr>
            <w:tcW w:w="86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民族</w:t>
            </w:r>
          </w:p>
        </w:tc>
        <w:tc>
          <w:tcPr>
            <w:tcW w:w="1066" w:type="dxa"/>
            <w:noWrap w:val="0"/>
            <w:vAlign w:val="top"/>
          </w:tcPr>
          <w:p>
            <w:pPr>
              <w:autoSpaceDE w:val="0"/>
              <w:autoSpaceDN w:val="0"/>
              <w:adjustRightInd w:val="0"/>
              <w:spacing w:line="360" w:lineRule="auto"/>
              <w:jc w:val="left"/>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政治面貌</w:t>
            </w:r>
          </w:p>
        </w:tc>
        <w:tc>
          <w:tcPr>
            <w:tcW w:w="942" w:type="dxa"/>
            <w:noWrap w:val="0"/>
            <w:vAlign w:val="top"/>
          </w:tcPr>
          <w:p>
            <w:pPr>
              <w:autoSpaceDE w:val="0"/>
              <w:autoSpaceDN w:val="0"/>
              <w:adjustRightInd w:val="0"/>
              <w:spacing w:line="360" w:lineRule="auto"/>
              <w:jc w:val="center"/>
              <w:rPr>
                <w:rFonts w:hint="eastAsia" w:ascii="宋体"/>
                <w:kern w:val="0"/>
                <w:sz w:val="24"/>
                <w:szCs w:val="21"/>
              </w:rPr>
            </w:pPr>
          </w:p>
        </w:tc>
        <w:tc>
          <w:tcPr>
            <w:tcW w:w="157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学校和专业</w:t>
            </w:r>
          </w:p>
        </w:tc>
        <w:tc>
          <w:tcPr>
            <w:tcW w:w="1080" w:type="dxa"/>
            <w:noWrap w:val="0"/>
            <w:vAlign w:val="top"/>
          </w:tcPr>
          <w:p>
            <w:pPr>
              <w:autoSpaceDE w:val="0"/>
              <w:autoSpaceDN w:val="0"/>
              <w:adjustRightInd w:val="0"/>
              <w:spacing w:line="360" w:lineRule="auto"/>
              <w:jc w:val="center"/>
              <w:rPr>
                <w:rFonts w:hint="eastAsia" w:ascii="宋体"/>
                <w:kern w:val="0"/>
                <w:sz w:val="24"/>
                <w:szCs w:val="21"/>
              </w:rPr>
            </w:pPr>
          </w:p>
        </w:tc>
        <w:tc>
          <w:tcPr>
            <w:tcW w:w="720"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职务</w:t>
            </w:r>
          </w:p>
        </w:tc>
        <w:tc>
          <w:tcPr>
            <w:tcW w:w="1080" w:type="dxa"/>
            <w:noWrap w:val="0"/>
            <w:vAlign w:val="top"/>
          </w:tcPr>
          <w:p>
            <w:pPr>
              <w:autoSpaceDE w:val="0"/>
              <w:autoSpaceDN w:val="0"/>
              <w:adjustRightInd w:val="0"/>
              <w:spacing w:line="360" w:lineRule="auto"/>
              <w:jc w:val="center"/>
              <w:rPr>
                <w:rFonts w:hint="eastAsia" w:ascii="宋体"/>
                <w:kern w:val="0"/>
                <w:sz w:val="24"/>
                <w:szCs w:val="21"/>
              </w:rPr>
            </w:pPr>
          </w:p>
        </w:tc>
        <w:tc>
          <w:tcPr>
            <w:tcW w:w="86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职称</w:t>
            </w:r>
          </w:p>
        </w:tc>
        <w:tc>
          <w:tcPr>
            <w:tcW w:w="1066" w:type="dxa"/>
            <w:noWrap w:val="0"/>
            <w:vAlign w:val="top"/>
          </w:tcPr>
          <w:p>
            <w:pPr>
              <w:autoSpaceDE w:val="0"/>
              <w:autoSpaceDN w:val="0"/>
              <w:adjustRightInd w:val="0"/>
              <w:spacing w:line="360" w:lineRule="auto"/>
              <w:jc w:val="left"/>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18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工作</w:t>
            </w:r>
          </w:p>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简历</w:t>
            </w:r>
          </w:p>
        </w:tc>
        <w:tc>
          <w:tcPr>
            <w:tcW w:w="7334" w:type="dxa"/>
            <w:gridSpan w:val="7"/>
            <w:noWrap w:val="0"/>
            <w:vAlign w:val="top"/>
          </w:tcPr>
          <w:p>
            <w:pPr>
              <w:autoSpaceDE w:val="0"/>
              <w:autoSpaceDN w:val="0"/>
              <w:adjustRightInd w:val="0"/>
              <w:spacing w:line="360" w:lineRule="auto"/>
              <w:jc w:val="left"/>
              <w:rPr>
                <w:rFonts w:hint="eastAsia" w:ascii="宋体"/>
                <w:kern w:val="0"/>
                <w:sz w:val="24"/>
                <w:szCs w:val="21"/>
              </w:rPr>
            </w:pPr>
          </w:p>
          <w:p>
            <w:pPr>
              <w:autoSpaceDE w:val="0"/>
              <w:autoSpaceDN w:val="0"/>
              <w:adjustRightInd w:val="0"/>
              <w:spacing w:line="360" w:lineRule="auto"/>
              <w:jc w:val="left"/>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18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单位</w:t>
            </w:r>
          </w:p>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评价</w:t>
            </w:r>
          </w:p>
        </w:tc>
        <w:tc>
          <w:tcPr>
            <w:tcW w:w="7334" w:type="dxa"/>
            <w:gridSpan w:val="7"/>
            <w:noWrap w:val="0"/>
            <w:vAlign w:val="top"/>
          </w:tcPr>
          <w:p>
            <w:pPr>
              <w:autoSpaceDE w:val="0"/>
              <w:autoSpaceDN w:val="0"/>
              <w:adjustRightInd w:val="0"/>
              <w:spacing w:line="360" w:lineRule="auto"/>
              <w:jc w:val="left"/>
              <w:rPr>
                <w:rFonts w:hint="eastAsia" w:ascii="宋体"/>
                <w:kern w:val="0"/>
                <w:sz w:val="24"/>
                <w:szCs w:val="21"/>
              </w:rPr>
            </w:pPr>
          </w:p>
        </w:tc>
      </w:tr>
    </w:tbl>
    <w:p>
      <w:pPr>
        <w:autoSpaceDE w:val="0"/>
        <w:autoSpaceDN w:val="0"/>
        <w:adjustRightInd w:val="0"/>
        <w:spacing w:line="360" w:lineRule="auto"/>
        <w:ind w:firstLine="480" w:firstLineChars="200"/>
        <w:jc w:val="left"/>
        <w:rPr>
          <w:rFonts w:hint="eastAsia" w:ascii="宋体"/>
          <w:kern w:val="0"/>
          <w:sz w:val="24"/>
          <w:szCs w:val="18"/>
        </w:rPr>
      </w:pPr>
      <w:r>
        <w:rPr>
          <w:rFonts w:hint="eastAsia" w:ascii="宋体"/>
          <w:kern w:val="0"/>
          <w:sz w:val="24"/>
          <w:szCs w:val="21"/>
        </w:rPr>
        <w:t>24.3.2　</w:t>
      </w:r>
      <w:r>
        <w:rPr>
          <w:rFonts w:hint="eastAsia" w:ascii="宋体"/>
          <w:kern w:val="0"/>
          <w:sz w:val="24"/>
        </w:rPr>
        <w:t>中标人须更换不合格的中标人现场服务人员。在填写时，</w:t>
      </w:r>
      <w:r>
        <w:rPr>
          <w:rFonts w:hint="eastAsia" w:ascii="宋体"/>
          <w:kern w:val="0"/>
          <w:sz w:val="24"/>
          <w:szCs w:val="21"/>
        </w:rPr>
        <w:t>服务人员的工</w:t>
      </w:r>
      <w:r>
        <w:rPr>
          <w:rFonts w:hint="eastAsia" w:ascii="宋体"/>
          <w:kern w:val="0"/>
          <w:sz w:val="24"/>
          <w:szCs w:val="18"/>
        </w:rPr>
        <w:t>作简历包括参加了哪些工程的现场服务；单位评价按第21.2条规定的内容逐条作出评价。</w:t>
      </w:r>
    </w:p>
    <w:p>
      <w:pPr>
        <w:autoSpaceDE w:val="0"/>
        <w:autoSpaceDN w:val="0"/>
        <w:adjustRightInd w:val="0"/>
        <w:spacing w:line="360" w:lineRule="auto"/>
        <w:ind w:firstLine="480" w:firstLineChars="200"/>
        <w:jc w:val="left"/>
        <w:rPr>
          <w:rFonts w:hint="eastAsia" w:ascii="宋体"/>
          <w:kern w:val="0"/>
          <w:sz w:val="24"/>
          <w:szCs w:val="18"/>
        </w:rPr>
      </w:pPr>
      <w:r>
        <w:rPr>
          <w:rFonts w:hint="eastAsia" w:ascii="宋体"/>
          <w:kern w:val="0"/>
          <w:sz w:val="24"/>
          <w:szCs w:val="18"/>
        </w:rPr>
        <w:t>24.3.3　服务人员情况表应一人一表，并加盖中标人单位公章。</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24.4　中标人现场服务人员的职责。</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24.4.1　</w:t>
      </w:r>
      <w:r>
        <w:rPr>
          <w:rFonts w:hint="eastAsia" w:ascii="宋体"/>
          <w:kern w:val="0"/>
          <w:sz w:val="24"/>
        </w:rPr>
        <w:t>中标人现场服务人员的任务主要包括货物催交、货物的开箱检验、货物质量问题的处理、指导安装和调试、参加试运和性能验收试验。</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24.4.2　</w:t>
      </w:r>
      <w:r>
        <w:rPr>
          <w:rFonts w:hint="eastAsia" w:ascii="宋体"/>
          <w:kern w:val="0"/>
          <w:sz w:val="24"/>
        </w:rPr>
        <w:t>在安装和调试前，中标人技术服务人员应向采购人技术交底，讲解和示范将要进行的程序和方法。对重要工序，中标人技术人员要对施工情况进行确认和签证，否则采购人不能进行下一道工序。经中标人确认和签证的工序如因中标人技术服务人员指导错误而发生问题，中标人负全部责任。</w:t>
      </w:r>
    </w:p>
    <w:p>
      <w:pPr>
        <w:autoSpaceDE w:val="0"/>
        <w:autoSpaceDN w:val="0"/>
        <w:adjustRightInd w:val="0"/>
        <w:spacing w:line="360" w:lineRule="auto"/>
        <w:ind w:firstLine="480" w:firstLineChars="200"/>
        <w:jc w:val="left"/>
        <w:rPr>
          <w:rFonts w:hint="eastAsia" w:ascii="宋体"/>
          <w:kern w:val="0"/>
          <w:sz w:val="24"/>
          <w:szCs w:val="21"/>
        </w:rPr>
      </w:pPr>
      <w:r>
        <w:rPr>
          <w:rFonts w:hint="eastAsia" w:ascii="宋体"/>
          <w:kern w:val="0"/>
          <w:sz w:val="24"/>
          <w:szCs w:val="21"/>
        </w:rPr>
        <w:t>24.4.2.1　中标人提供的安装、调试重要工序表（详见下表）：</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0"/>
        <w:gridCol w:w="286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序号</w:t>
            </w:r>
          </w:p>
        </w:tc>
        <w:tc>
          <w:tcPr>
            <w:tcW w:w="2700"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工序名称</w:t>
            </w:r>
          </w:p>
        </w:tc>
        <w:tc>
          <w:tcPr>
            <w:tcW w:w="2863"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工序主要内容</w:t>
            </w:r>
          </w:p>
        </w:tc>
        <w:tc>
          <w:tcPr>
            <w:tcW w:w="2131" w:type="dxa"/>
            <w:noWrap w:val="0"/>
            <w:vAlign w:val="top"/>
          </w:tcPr>
          <w:p>
            <w:pPr>
              <w:autoSpaceDE w:val="0"/>
              <w:autoSpaceDN w:val="0"/>
              <w:adjustRightInd w:val="0"/>
              <w:spacing w:line="360" w:lineRule="auto"/>
              <w:jc w:val="center"/>
              <w:rPr>
                <w:rFonts w:hint="eastAsia" w:ascii="宋体"/>
                <w:kern w:val="0"/>
                <w:sz w:val="24"/>
                <w:szCs w:val="21"/>
              </w:rPr>
            </w:pPr>
            <w:r>
              <w:rPr>
                <w:rFonts w:hint="eastAsia" w:ascii="宋体"/>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szCs w:val="21"/>
              </w:rPr>
            </w:pPr>
          </w:p>
        </w:tc>
        <w:tc>
          <w:tcPr>
            <w:tcW w:w="2700" w:type="dxa"/>
            <w:noWrap w:val="0"/>
            <w:vAlign w:val="top"/>
          </w:tcPr>
          <w:p>
            <w:pPr>
              <w:autoSpaceDE w:val="0"/>
              <w:autoSpaceDN w:val="0"/>
              <w:adjustRightInd w:val="0"/>
              <w:spacing w:line="360" w:lineRule="auto"/>
              <w:jc w:val="left"/>
              <w:rPr>
                <w:rFonts w:hint="eastAsia" w:ascii="宋体"/>
                <w:kern w:val="0"/>
                <w:sz w:val="24"/>
                <w:szCs w:val="21"/>
              </w:rPr>
            </w:pPr>
          </w:p>
        </w:tc>
        <w:tc>
          <w:tcPr>
            <w:tcW w:w="2863" w:type="dxa"/>
            <w:noWrap w:val="0"/>
            <w:vAlign w:val="top"/>
          </w:tcPr>
          <w:p>
            <w:pPr>
              <w:autoSpaceDE w:val="0"/>
              <w:autoSpaceDN w:val="0"/>
              <w:adjustRightInd w:val="0"/>
              <w:spacing w:line="360" w:lineRule="auto"/>
              <w:jc w:val="left"/>
              <w:rPr>
                <w:rFonts w:hint="eastAsia" w:ascii="宋体"/>
                <w:kern w:val="0"/>
                <w:sz w:val="24"/>
                <w:szCs w:val="21"/>
              </w:rPr>
            </w:pPr>
          </w:p>
        </w:tc>
        <w:tc>
          <w:tcPr>
            <w:tcW w:w="2131" w:type="dxa"/>
            <w:noWrap w:val="0"/>
            <w:vAlign w:val="top"/>
          </w:tcPr>
          <w:p>
            <w:pPr>
              <w:autoSpaceDE w:val="0"/>
              <w:autoSpaceDN w:val="0"/>
              <w:adjustRightInd w:val="0"/>
              <w:spacing w:line="360" w:lineRule="auto"/>
              <w:jc w:val="left"/>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szCs w:val="21"/>
              </w:rPr>
            </w:pPr>
          </w:p>
        </w:tc>
        <w:tc>
          <w:tcPr>
            <w:tcW w:w="2700" w:type="dxa"/>
            <w:noWrap w:val="0"/>
            <w:vAlign w:val="top"/>
          </w:tcPr>
          <w:p>
            <w:pPr>
              <w:autoSpaceDE w:val="0"/>
              <w:autoSpaceDN w:val="0"/>
              <w:adjustRightInd w:val="0"/>
              <w:spacing w:line="360" w:lineRule="auto"/>
              <w:jc w:val="left"/>
              <w:rPr>
                <w:rFonts w:hint="eastAsia" w:ascii="宋体"/>
                <w:kern w:val="0"/>
                <w:sz w:val="24"/>
                <w:szCs w:val="21"/>
              </w:rPr>
            </w:pPr>
          </w:p>
        </w:tc>
        <w:tc>
          <w:tcPr>
            <w:tcW w:w="2863" w:type="dxa"/>
            <w:noWrap w:val="0"/>
            <w:vAlign w:val="top"/>
          </w:tcPr>
          <w:p>
            <w:pPr>
              <w:autoSpaceDE w:val="0"/>
              <w:autoSpaceDN w:val="0"/>
              <w:adjustRightInd w:val="0"/>
              <w:spacing w:line="360" w:lineRule="auto"/>
              <w:jc w:val="left"/>
              <w:rPr>
                <w:rFonts w:hint="eastAsia" w:ascii="宋体"/>
                <w:kern w:val="0"/>
                <w:sz w:val="24"/>
                <w:szCs w:val="21"/>
              </w:rPr>
            </w:pPr>
          </w:p>
        </w:tc>
        <w:tc>
          <w:tcPr>
            <w:tcW w:w="2131" w:type="dxa"/>
            <w:noWrap w:val="0"/>
            <w:vAlign w:val="top"/>
          </w:tcPr>
          <w:p>
            <w:pPr>
              <w:autoSpaceDE w:val="0"/>
              <w:autoSpaceDN w:val="0"/>
              <w:adjustRightInd w:val="0"/>
              <w:spacing w:line="360" w:lineRule="auto"/>
              <w:jc w:val="left"/>
              <w:rPr>
                <w:rFonts w:hint="eastAsia" w:ascii="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adjustRightInd w:val="0"/>
              <w:spacing w:line="360" w:lineRule="auto"/>
              <w:jc w:val="left"/>
              <w:rPr>
                <w:rFonts w:hint="eastAsia" w:ascii="宋体"/>
                <w:kern w:val="0"/>
                <w:sz w:val="24"/>
                <w:szCs w:val="21"/>
              </w:rPr>
            </w:pPr>
          </w:p>
        </w:tc>
        <w:tc>
          <w:tcPr>
            <w:tcW w:w="2700" w:type="dxa"/>
            <w:noWrap w:val="0"/>
            <w:vAlign w:val="top"/>
          </w:tcPr>
          <w:p>
            <w:pPr>
              <w:autoSpaceDE w:val="0"/>
              <w:autoSpaceDN w:val="0"/>
              <w:adjustRightInd w:val="0"/>
              <w:spacing w:line="360" w:lineRule="auto"/>
              <w:jc w:val="left"/>
              <w:rPr>
                <w:rFonts w:hint="eastAsia" w:ascii="宋体"/>
                <w:kern w:val="0"/>
                <w:sz w:val="24"/>
                <w:szCs w:val="21"/>
              </w:rPr>
            </w:pPr>
          </w:p>
        </w:tc>
        <w:tc>
          <w:tcPr>
            <w:tcW w:w="2863" w:type="dxa"/>
            <w:noWrap w:val="0"/>
            <w:vAlign w:val="top"/>
          </w:tcPr>
          <w:p>
            <w:pPr>
              <w:autoSpaceDE w:val="0"/>
              <w:autoSpaceDN w:val="0"/>
              <w:adjustRightInd w:val="0"/>
              <w:spacing w:line="360" w:lineRule="auto"/>
              <w:jc w:val="left"/>
              <w:rPr>
                <w:rFonts w:hint="eastAsia" w:ascii="宋体"/>
                <w:kern w:val="0"/>
                <w:sz w:val="24"/>
                <w:szCs w:val="21"/>
              </w:rPr>
            </w:pPr>
          </w:p>
        </w:tc>
        <w:tc>
          <w:tcPr>
            <w:tcW w:w="2131" w:type="dxa"/>
            <w:noWrap w:val="0"/>
            <w:vAlign w:val="top"/>
          </w:tcPr>
          <w:p>
            <w:pPr>
              <w:autoSpaceDE w:val="0"/>
              <w:autoSpaceDN w:val="0"/>
              <w:adjustRightInd w:val="0"/>
              <w:spacing w:line="360" w:lineRule="auto"/>
              <w:jc w:val="left"/>
              <w:rPr>
                <w:rFonts w:hint="eastAsia" w:ascii="宋体"/>
                <w:kern w:val="0"/>
                <w:sz w:val="24"/>
                <w:szCs w:val="21"/>
              </w:rPr>
            </w:pPr>
          </w:p>
        </w:tc>
      </w:tr>
    </w:tbl>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24.4.3　中标人现场服务人员应有权全权处理现场出现的一切技术和商务问题。如现场发生质量问题，中标人现场人员要在采购人规定的时间内处理解决。如中标人委托采购人进行处理，中标人现场服务人员要出委托书并承担相应的经济责任。</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24.4.4　</w:t>
      </w:r>
      <w:r>
        <w:rPr>
          <w:rFonts w:hint="eastAsia" w:ascii="宋体"/>
          <w:kern w:val="0"/>
          <w:sz w:val="24"/>
        </w:rPr>
        <w:t>中标人对其现场服务人员的一切行为负全部责任。</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24.4.5　</w:t>
      </w:r>
      <w:r>
        <w:rPr>
          <w:rFonts w:hint="eastAsia" w:ascii="宋体"/>
          <w:kern w:val="0"/>
          <w:sz w:val="24"/>
        </w:rPr>
        <w:t>中标人现场服务人员的正常来去和更换事先与采购人协商。</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24.5　</w:t>
      </w:r>
      <w:r>
        <w:rPr>
          <w:rFonts w:hint="eastAsia" w:ascii="宋体"/>
          <w:kern w:val="0"/>
          <w:sz w:val="24"/>
        </w:rPr>
        <w:t>采购人的义务。采购人要配合中标人现场服务人员的工作，并在生活、交通和通讯上提供中标人方便。</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25　</w:t>
      </w:r>
      <w:r>
        <w:rPr>
          <w:rFonts w:hint="eastAsia" w:ascii="宋体"/>
          <w:kern w:val="0"/>
          <w:sz w:val="24"/>
        </w:rPr>
        <w:t>培训服务要求</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25.1　</w:t>
      </w:r>
      <w:r>
        <w:rPr>
          <w:rFonts w:hint="eastAsia" w:ascii="宋体"/>
          <w:kern w:val="0"/>
          <w:sz w:val="24"/>
        </w:rPr>
        <w:t>为使合同货物能正常安装和运行，中标人有责任提供相应的技术培训。培训内容应与工程进度相一致。</w:t>
      </w:r>
    </w:p>
    <w:p>
      <w:pPr>
        <w:autoSpaceDE w:val="0"/>
        <w:autoSpaceDN w:val="0"/>
        <w:adjustRightInd w:val="0"/>
        <w:spacing w:line="360" w:lineRule="auto"/>
        <w:ind w:firstLine="480" w:firstLineChars="200"/>
        <w:jc w:val="left"/>
        <w:rPr>
          <w:rFonts w:hint="eastAsia" w:ascii="宋体"/>
          <w:kern w:val="0"/>
          <w:sz w:val="24"/>
        </w:rPr>
      </w:pPr>
      <w:r>
        <w:rPr>
          <w:rFonts w:hint="eastAsia" w:ascii="宋体"/>
          <w:kern w:val="0"/>
          <w:sz w:val="24"/>
          <w:szCs w:val="68"/>
        </w:rPr>
        <w:t>25.2　</w:t>
      </w:r>
      <w:r>
        <w:rPr>
          <w:rFonts w:hint="eastAsia" w:ascii="宋体"/>
          <w:kern w:val="0"/>
          <w:sz w:val="24"/>
        </w:rPr>
        <w:t>培训计划和内容由中标人在投标文件中列出（详见下表）：</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86"/>
        <w:gridCol w:w="1217"/>
        <w:gridCol w:w="1217"/>
        <w:gridCol w:w="1218"/>
        <w:gridCol w:w="140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648"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序</w:t>
            </w:r>
          </w:p>
          <w:p>
            <w:pPr>
              <w:autoSpaceDE w:val="0"/>
              <w:autoSpaceDN w:val="0"/>
              <w:adjustRightInd w:val="0"/>
              <w:spacing w:line="360" w:lineRule="auto"/>
              <w:jc w:val="center"/>
              <w:rPr>
                <w:rFonts w:hint="eastAsia" w:ascii="宋体"/>
                <w:kern w:val="0"/>
                <w:sz w:val="24"/>
              </w:rPr>
            </w:pPr>
            <w:r>
              <w:rPr>
                <w:rFonts w:hint="eastAsia" w:ascii="宋体"/>
                <w:kern w:val="0"/>
                <w:sz w:val="24"/>
              </w:rPr>
              <w:t>号</w:t>
            </w:r>
          </w:p>
        </w:tc>
        <w:tc>
          <w:tcPr>
            <w:tcW w:w="1786"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培　训</w:t>
            </w:r>
          </w:p>
          <w:p>
            <w:pPr>
              <w:autoSpaceDE w:val="0"/>
              <w:autoSpaceDN w:val="0"/>
              <w:adjustRightInd w:val="0"/>
              <w:spacing w:line="360" w:lineRule="auto"/>
              <w:jc w:val="center"/>
              <w:rPr>
                <w:rFonts w:hint="eastAsia" w:ascii="宋体"/>
                <w:kern w:val="0"/>
                <w:sz w:val="24"/>
              </w:rPr>
            </w:pPr>
            <w:r>
              <w:rPr>
                <w:rFonts w:hint="eastAsia" w:ascii="宋体"/>
                <w:kern w:val="0"/>
                <w:sz w:val="24"/>
              </w:rPr>
              <w:t>内　容</w:t>
            </w:r>
          </w:p>
        </w:tc>
        <w:tc>
          <w:tcPr>
            <w:tcW w:w="1217"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计　划</w:t>
            </w:r>
          </w:p>
          <w:p>
            <w:pPr>
              <w:autoSpaceDE w:val="0"/>
              <w:autoSpaceDN w:val="0"/>
              <w:adjustRightInd w:val="0"/>
              <w:spacing w:line="360" w:lineRule="auto"/>
              <w:jc w:val="center"/>
              <w:rPr>
                <w:rFonts w:hint="eastAsia" w:ascii="宋体"/>
                <w:kern w:val="0"/>
                <w:sz w:val="24"/>
              </w:rPr>
            </w:pPr>
            <w:r>
              <w:rPr>
                <w:rFonts w:hint="eastAsia" w:ascii="宋体"/>
                <w:kern w:val="0"/>
                <w:sz w:val="24"/>
              </w:rPr>
              <w:t>人  数</w:t>
            </w:r>
          </w:p>
        </w:tc>
        <w:tc>
          <w:tcPr>
            <w:tcW w:w="2435" w:type="dxa"/>
            <w:gridSpan w:val="2"/>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培训教师构成</w:t>
            </w:r>
          </w:p>
        </w:tc>
        <w:tc>
          <w:tcPr>
            <w:tcW w:w="1402"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培　训</w:t>
            </w:r>
          </w:p>
          <w:p>
            <w:pPr>
              <w:autoSpaceDE w:val="0"/>
              <w:autoSpaceDN w:val="0"/>
              <w:adjustRightInd w:val="0"/>
              <w:spacing w:line="360" w:lineRule="auto"/>
              <w:jc w:val="center"/>
              <w:rPr>
                <w:rFonts w:hint="eastAsia" w:ascii="宋体"/>
                <w:kern w:val="0"/>
                <w:sz w:val="24"/>
              </w:rPr>
            </w:pPr>
            <w:r>
              <w:rPr>
                <w:rFonts w:hint="eastAsia" w:ascii="宋体"/>
                <w:kern w:val="0"/>
                <w:sz w:val="24"/>
              </w:rPr>
              <w:t>地　点</w:t>
            </w:r>
          </w:p>
        </w:tc>
        <w:tc>
          <w:tcPr>
            <w:tcW w:w="1034" w:type="dxa"/>
            <w:vMerge w:val="restart"/>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备</w:t>
            </w:r>
          </w:p>
          <w:p>
            <w:pPr>
              <w:autoSpaceDE w:val="0"/>
              <w:autoSpaceDN w:val="0"/>
              <w:adjustRightInd w:val="0"/>
              <w:spacing w:line="360" w:lineRule="auto"/>
              <w:jc w:val="center"/>
              <w:rPr>
                <w:rFonts w:hint="eastAsia" w:ascii="宋体"/>
                <w:kern w:val="0"/>
                <w:sz w:val="24"/>
              </w:rPr>
            </w:pPr>
            <w:r>
              <w:rPr>
                <w:rFonts w:hint="eastAsia" w:ascii="宋体"/>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648" w:type="dxa"/>
            <w:vMerge w:val="continue"/>
            <w:noWrap w:val="0"/>
            <w:vAlign w:val="top"/>
          </w:tcPr>
          <w:p>
            <w:pPr>
              <w:autoSpaceDE w:val="0"/>
              <w:autoSpaceDN w:val="0"/>
              <w:adjustRightInd w:val="0"/>
              <w:spacing w:line="360" w:lineRule="auto"/>
              <w:jc w:val="left"/>
              <w:rPr>
                <w:rFonts w:hint="eastAsia" w:ascii="宋体"/>
                <w:kern w:val="0"/>
                <w:sz w:val="24"/>
              </w:rPr>
            </w:pPr>
          </w:p>
        </w:tc>
        <w:tc>
          <w:tcPr>
            <w:tcW w:w="1786" w:type="dxa"/>
            <w:vMerge w:val="continue"/>
            <w:noWrap w:val="0"/>
            <w:vAlign w:val="top"/>
          </w:tcPr>
          <w:p>
            <w:pPr>
              <w:autoSpaceDE w:val="0"/>
              <w:autoSpaceDN w:val="0"/>
              <w:adjustRightInd w:val="0"/>
              <w:spacing w:line="360" w:lineRule="auto"/>
              <w:jc w:val="left"/>
              <w:rPr>
                <w:rFonts w:hint="eastAsia" w:ascii="宋体"/>
                <w:kern w:val="0"/>
                <w:sz w:val="24"/>
              </w:rPr>
            </w:pPr>
          </w:p>
        </w:tc>
        <w:tc>
          <w:tcPr>
            <w:tcW w:w="1217" w:type="dxa"/>
            <w:vMerge w:val="continue"/>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职称</w:t>
            </w:r>
          </w:p>
        </w:tc>
        <w:tc>
          <w:tcPr>
            <w:tcW w:w="1218" w:type="dxa"/>
            <w:noWrap w:val="0"/>
            <w:vAlign w:val="top"/>
          </w:tcPr>
          <w:p>
            <w:pPr>
              <w:autoSpaceDE w:val="0"/>
              <w:autoSpaceDN w:val="0"/>
              <w:adjustRightInd w:val="0"/>
              <w:spacing w:line="360" w:lineRule="auto"/>
              <w:jc w:val="center"/>
              <w:rPr>
                <w:rFonts w:hint="eastAsia" w:ascii="宋体"/>
                <w:kern w:val="0"/>
                <w:sz w:val="24"/>
              </w:rPr>
            </w:pPr>
            <w:r>
              <w:rPr>
                <w:rFonts w:hint="eastAsia" w:ascii="宋体"/>
                <w:kern w:val="0"/>
                <w:sz w:val="24"/>
              </w:rPr>
              <w:t>人数</w:t>
            </w:r>
          </w:p>
        </w:tc>
        <w:tc>
          <w:tcPr>
            <w:tcW w:w="1402" w:type="dxa"/>
            <w:vMerge w:val="continue"/>
            <w:noWrap w:val="0"/>
            <w:vAlign w:val="top"/>
          </w:tcPr>
          <w:p>
            <w:pPr>
              <w:autoSpaceDE w:val="0"/>
              <w:autoSpaceDN w:val="0"/>
              <w:adjustRightInd w:val="0"/>
              <w:spacing w:line="360" w:lineRule="auto"/>
              <w:jc w:val="left"/>
              <w:rPr>
                <w:rFonts w:hint="eastAsia" w:ascii="宋体"/>
                <w:kern w:val="0"/>
                <w:sz w:val="24"/>
              </w:rPr>
            </w:pPr>
          </w:p>
        </w:tc>
        <w:tc>
          <w:tcPr>
            <w:tcW w:w="1034" w:type="dxa"/>
            <w:vMerge w:val="continue"/>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pPr>
              <w:autoSpaceDE w:val="0"/>
              <w:autoSpaceDN w:val="0"/>
              <w:adjustRightInd w:val="0"/>
              <w:spacing w:line="360" w:lineRule="auto"/>
              <w:jc w:val="left"/>
              <w:rPr>
                <w:rFonts w:hint="eastAsia" w:ascii="宋体"/>
                <w:kern w:val="0"/>
                <w:sz w:val="24"/>
              </w:rPr>
            </w:pPr>
          </w:p>
        </w:tc>
        <w:tc>
          <w:tcPr>
            <w:tcW w:w="1786"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402" w:type="dxa"/>
            <w:noWrap w:val="0"/>
            <w:vAlign w:val="top"/>
          </w:tcPr>
          <w:p>
            <w:pPr>
              <w:autoSpaceDE w:val="0"/>
              <w:autoSpaceDN w:val="0"/>
              <w:adjustRightInd w:val="0"/>
              <w:spacing w:line="360" w:lineRule="auto"/>
              <w:jc w:val="left"/>
              <w:rPr>
                <w:rFonts w:hint="eastAsia" w:ascii="宋体"/>
                <w:kern w:val="0"/>
                <w:sz w:val="24"/>
              </w:rPr>
            </w:pPr>
          </w:p>
        </w:tc>
        <w:tc>
          <w:tcPr>
            <w:tcW w:w="103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pPr>
              <w:autoSpaceDE w:val="0"/>
              <w:autoSpaceDN w:val="0"/>
              <w:adjustRightInd w:val="0"/>
              <w:spacing w:line="360" w:lineRule="auto"/>
              <w:jc w:val="left"/>
              <w:rPr>
                <w:rFonts w:hint="eastAsia" w:ascii="宋体"/>
                <w:kern w:val="0"/>
                <w:sz w:val="24"/>
              </w:rPr>
            </w:pPr>
          </w:p>
        </w:tc>
        <w:tc>
          <w:tcPr>
            <w:tcW w:w="1786"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402" w:type="dxa"/>
            <w:noWrap w:val="0"/>
            <w:vAlign w:val="top"/>
          </w:tcPr>
          <w:p>
            <w:pPr>
              <w:autoSpaceDE w:val="0"/>
              <w:autoSpaceDN w:val="0"/>
              <w:adjustRightInd w:val="0"/>
              <w:spacing w:line="360" w:lineRule="auto"/>
              <w:jc w:val="left"/>
              <w:rPr>
                <w:rFonts w:hint="eastAsia" w:ascii="宋体"/>
                <w:kern w:val="0"/>
                <w:sz w:val="24"/>
              </w:rPr>
            </w:pPr>
          </w:p>
        </w:tc>
        <w:tc>
          <w:tcPr>
            <w:tcW w:w="1034" w:type="dxa"/>
            <w:noWrap w:val="0"/>
            <w:vAlign w:val="top"/>
          </w:tcPr>
          <w:p>
            <w:pPr>
              <w:autoSpaceDE w:val="0"/>
              <w:autoSpaceDN w:val="0"/>
              <w:adjustRightInd w:val="0"/>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top"/>
          </w:tcPr>
          <w:p>
            <w:pPr>
              <w:autoSpaceDE w:val="0"/>
              <w:autoSpaceDN w:val="0"/>
              <w:adjustRightInd w:val="0"/>
              <w:spacing w:line="360" w:lineRule="auto"/>
              <w:jc w:val="left"/>
              <w:rPr>
                <w:rFonts w:hint="eastAsia" w:ascii="宋体"/>
                <w:kern w:val="0"/>
                <w:sz w:val="24"/>
              </w:rPr>
            </w:pPr>
          </w:p>
        </w:tc>
        <w:tc>
          <w:tcPr>
            <w:tcW w:w="1786"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7" w:type="dxa"/>
            <w:noWrap w:val="0"/>
            <w:vAlign w:val="top"/>
          </w:tcPr>
          <w:p>
            <w:pPr>
              <w:autoSpaceDE w:val="0"/>
              <w:autoSpaceDN w:val="0"/>
              <w:adjustRightInd w:val="0"/>
              <w:spacing w:line="360" w:lineRule="auto"/>
              <w:jc w:val="left"/>
              <w:rPr>
                <w:rFonts w:hint="eastAsia" w:ascii="宋体"/>
                <w:kern w:val="0"/>
                <w:sz w:val="24"/>
              </w:rPr>
            </w:pPr>
          </w:p>
        </w:tc>
        <w:tc>
          <w:tcPr>
            <w:tcW w:w="1218" w:type="dxa"/>
            <w:noWrap w:val="0"/>
            <w:vAlign w:val="top"/>
          </w:tcPr>
          <w:p>
            <w:pPr>
              <w:autoSpaceDE w:val="0"/>
              <w:autoSpaceDN w:val="0"/>
              <w:adjustRightInd w:val="0"/>
              <w:spacing w:line="360" w:lineRule="auto"/>
              <w:jc w:val="left"/>
              <w:rPr>
                <w:rFonts w:hint="eastAsia" w:ascii="宋体"/>
                <w:kern w:val="0"/>
                <w:sz w:val="24"/>
              </w:rPr>
            </w:pPr>
          </w:p>
        </w:tc>
        <w:tc>
          <w:tcPr>
            <w:tcW w:w="1402" w:type="dxa"/>
            <w:noWrap w:val="0"/>
            <w:vAlign w:val="top"/>
          </w:tcPr>
          <w:p>
            <w:pPr>
              <w:autoSpaceDE w:val="0"/>
              <w:autoSpaceDN w:val="0"/>
              <w:adjustRightInd w:val="0"/>
              <w:spacing w:line="360" w:lineRule="auto"/>
              <w:jc w:val="left"/>
              <w:rPr>
                <w:rFonts w:hint="eastAsia" w:ascii="宋体"/>
                <w:kern w:val="0"/>
                <w:sz w:val="24"/>
              </w:rPr>
            </w:pPr>
          </w:p>
        </w:tc>
        <w:tc>
          <w:tcPr>
            <w:tcW w:w="1034" w:type="dxa"/>
            <w:noWrap w:val="0"/>
            <w:vAlign w:val="top"/>
          </w:tcPr>
          <w:p>
            <w:pPr>
              <w:autoSpaceDE w:val="0"/>
              <w:autoSpaceDN w:val="0"/>
              <w:adjustRightInd w:val="0"/>
              <w:spacing w:line="360" w:lineRule="auto"/>
              <w:jc w:val="left"/>
              <w:rPr>
                <w:rFonts w:hint="eastAsia" w:ascii="宋体"/>
                <w:kern w:val="0"/>
                <w:sz w:val="24"/>
              </w:rPr>
            </w:pPr>
          </w:p>
        </w:tc>
      </w:tr>
    </w:tbl>
    <w:p>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25.3　培训的时间、人数、地点等具体内容由供需双方商定。</w:t>
      </w:r>
    </w:p>
    <w:p>
      <w:pPr>
        <w:autoSpaceDE w:val="0"/>
        <w:autoSpaceDN w:val="0"/>
        <w:adjustRightInd w:val="0"/>
        <w:spacing w:line="360" w:lineRule="auto"/>
        <w:ind w:firstLine="480" w:firstLineChars="200"/>
        <w:jc w:val="left"/>
        <w:rPr>
          <w:rFonts w:ascii="宋体"/>
          <w:kern w:val="0"/>
          <w:sz w:val="24"/>
        </w:rPr>
      </w:pPr>
      <w:r>
        <w:rPr>
          <w:rFonts w:hint="eastAsia" w:ascii="宋体"/>
          <w:kern w:val="0"/>
          <w:sz w:val="24"/>
          <w:szCs w:val="68"/>
        </w:rPr>
        <w:t>25.4　</w:t>
      </w:r>
      <w:r>
        <w:rPr>
          <w:rFonts w:hint="eastAsia" w:ascii="宋体"/>
          <w:kern w:val="0"/>
          <w:sz w:val="24"/>
        </w:rPr>
        <w:t>中标人为采购人培训人员提供货物、场地、资料等培训条件，并提供食宿和交通方便。</w:t>
      </w:r>
    </w:p>
    <w:p>
      <w:pPr>
        <w:autoSpaceDE w:val="0"/>
        <w:autoSpaceDN w:val="0"/>
        <w:adjustRightInd w:val="0"/>
        <w:spacing w:line="360" w:lineRule="auto"/>
        <w:ind w:firstLine="480" w:firstLineChars="200"/>
        <w:jc w:val="left"/>
        <w:rPr>
          <w:rFonts w:hint="eastAsia" w:ascii="宋体"/>
          <w:kern w:val="0"/>
          <w:sz w:val="24"/>
          <w:szCs w:val="68"/>
        </w:rPr>
      </w:pPr>
      <w:r>
        <w:rPr>
          <w:rFonts w:hint="eastAsia" w:ascii="宋体"/>
          <w:kern w:val="0"/>
          <w:sz w:val="24"/>
        </w:rPr>
        <w:t>26　其他服务要求</w:t>
      </w:r>
      <w:r>
        <w:rPr>
          <w:rFonts w:hint="eastAsia" w:ascii="宋体"/>
          <w:kern w:val="0"/>
          <w:sz w:val="24"/>
          <w:szCs w:val="68"/>
        </w:rPr>
        <w:t>：</w:t>
      </w:r>
      <w:r>
        <w:rPr>
          <w:rFonts w:hint="eastAsia" w:ascii="宋体"/>
          <w:kern w:val="0"/>
          <w:sz w:val="24"/>
          <w:szCs w:val="68"/>
          <w:u w:val="single"/>
        </w:rPr>
        <w:t>　　　　　　　　　    　</w:t>
      </w:r>
      <w:r>
        <w:rPr>
          <w:rFonts w:hint="eastAsia" w:ascii="宋体"/>
          <w:kern w:val="0"/>
          <w:sz w:val="24"/>
          <w:szCs w:val="68"/>
        </w:rPr>
        <w:t>。</w:t>
      </w: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pStyle w:val="2"/>
        <w:spacing w:line="360" w:lineRule="auto"/>
        <w:rPr>
          <w:rFonts w:hint="eastAsia" w:ascii="黑体" w:eastAsia="黑体"/>
          <w:sz w:val="32"/>
        </w:rPr>
      </w:pPr>
      <w:bookmarkStart w:id="34" w:name="_Toc130094921"/>
      <w:bookmarkStart w:id="35" w:name="_Toc2852597"/>
      <w:bookmarkStart w:id="36" w:name="_Toc109441447"/>
      <w:r>
        <w:rPr>
          <w:rFonts w:hint="eastAsia" w:ascii="黑体" w:eastAsia="黑体"/>
          <w:sz w:val="32"/>
        </w:rPr>
        <w:t>第五部分　采购合同</w:t>
      </w:r>
      <w:bookmarkEnd w:id="34"/>
      <w:r>
        <w:rPr>
          <w:rFonts w:hint="eastAsia" w:ascii="黑体" w:eastAsia="黑体"/>
          <w:sz w:val="32"/>
        </w:rPr>
        <w:t>主要条款</w:t>
      </w:r>
      <w:bookmarkEnd w:id="35"/>
    </w:p>
    <w:bookmarkEnd w:id="36"/>
    <w:p>
      <w:pPr>
        <w:spacing w:line="360" w:lineRule="auto"/>
        <w:ind w:firstLine="480" w:firstLineChars="200"/>
        <w:jc w:val="left"/>
        <w:rPr>
          <w:rFonts w:hint="eastAsia" w:ascii="宋体"/>
          <w:kern w:val="0"/>
          <w:sz w:val="24"/>
        </w:rPr>
      </w:pPr>
      <w:r>
        <w:rPr>
          <w:rFonts w:hint="eastAsia" w:ascii="宋体"/>
          <w:kern w:val="0"/>
          <w:sz w:val="24"/>
        </w:rPr>
        <w:t>　合同编号：（2019）第</w:t>
      </w:r>
      <w:r>
        <w:rPr>
          <w:rFonts w:hint="eastAsia" w:ascii="宋体"/>
          <w:kern w:val="0"/>
          <w:sz w:val="24"/>
          <w:u w:val="single"/>
        </w:rPr>
        <w:t>　　号</w:t>
      </w:r>
    </w:p>
    <w:p>
      <w:pPr>
        <w:spacing w:line="360" w:lineRule="auto"/>
        <w:ind w:firstLine="480" w:firstLineChars="200"/>
        <w:jc w:val="left"/>
        <w:rPr>
          <w:rFonts w:hint="eastAsia" w:ascii="宋体"/>
          <w:kern w:val="0"/>
          <w:sz w:val="24"/>
        </w:rPr>
      </w:pPr>
      <w:r>
        <w:rPr>
          <w:rFonts w:hint="eastAsia" w:ascii="宋体"/>
          <w:kern w:val="0"/>
          <w:sz w:val="24"/>
        </w:rPr>
        <w:t>　签订日期：2019年</w:t>
      </w:r>
      <w:r>
        <w:rPr>
          <w:rFonts w:hint="eastAsia" w:ascii="宋体"/>
          <w:kern w:val="0"/>
          <w:sz w:val="24"/>
          <w:u w:val="single"/>
        </w:rPr>
        <w:t>　　</w:t>
      </w:r>
      <w:r>
        <w:rPr>
          <w:rFonts w:hint="eastAsia" w:ascii="宋体"/>
          <w:kern w:val="0"/>
          <w:sz w:val="24"/>
        </w:rPr>
        <w:t>月</w:t>
      </w:r>
      <w:r>
        <w:rPr>
          <w:rFonts w:hint="eastAsia" w:ascii="宋体"/>
          <w:kern w:val="0"/>
          <w:sz w:val="24"/>
          <w:u w:val="single"/>
        </w:rPr>
        <w:t>　　</w:t>
      </w:r>
      <w:r>
        <w:rPr>
          <w:rFonts w:hint="eastAsia" w:ascii="宋体"/>
          <w:kern w:val="0"/>
          <w:sz w:val="24"/>
        </w:rPr>
        <w:t>日</w:t>
      </w:r>
    </w:p>
    <w:p>
      <w:pPr>
        <w:spacing w:line="360" w:lineRule="auto"/>
        <w:ind w:firstLine="480" w:firstLineChars="200"/>
        <w:rPr>
          <w:rFonts w:hint="eastAsia" w:ascii="宋体" w:hAnsi="宋体"/>
          <w:sz w:val="28"/>
          <w:u w:val="single"/>
        </w:rPr>
      </w:pPr>
      <w:r>
        <w:rPr>
          <w:rFonts w:hint="eastAsia" w:ascii="宋体"/>
          <w:kern w:val="0"/>
          <w:sz w:val="24"/>
        </w:rPr>
        <w:t>　供方</w:t>
      </w:r>
      <w:r>
        <w:rPr>
          <w:rFonts w:hint="eastAsia" w:ascii="宋体" w:hAnsi="宋体"/>
          <w:sz w:val="28"/>
        </w:rPr>
        <w:t>：</w:t>
      </w:r>
      <w:r>
        <w:rPr>
          <w:rFonts w:hint="eastAsia" w:ascii="宋体" w:hAnsi="宋体"/>
          <w:sz w:val="28"/>
          <w:u w:val="single"/>
        </w:rPr>
        <w:t>　　　　　　　　　　　　　　　　　　　　　　　　　</w:t>
      </w:r>
    </w:p>
    <w:p>
      <w:pPr>
        <w:spacing w:line="360" w:lineRule="auto"/>
        <w:ind w:firstLine="720" w:firstLineChars="300"/>
        <w:jc w:val="left"/>
        <w:rPr>
          <w:rFonts w:hint="eastAsia" w:ascii="宋体" w:hAnsi="宋体"/>
          <w:sz w:val="28"/>
          <w:u w:val="single"/>
        </w:rPr>
      </w:pPr>
      <w:r>
        <w:rPr>
          <w:rFonts w:hint="eastAsia" w:ascii="宋体"/>
          <w:kern w:val="0"/>
          <w:sz w:val="24"/>
        </w:rPr>
        <w:t>需方</w:t>
      </w:r>
      <w:r>
        <w:rPr>
          <w:rFonts w:hint="eastAsia" w:ascii="宋体" w:hAnsi="宋体"/>
          <w:sz w:val="28"/>
        </w:rPr>
        <w:t>：</w:t>
      </w:r>
      <w:r>
        <w:rPr>
          <w:rFonts w:hint="eastAsia" w:ascii="宋体" w:hAnsi="宋体"/>
          <w:sz w:val="28"/>
          <w:u w:val="single"/>
        </w:rPr>
        <w:t>　　绍兴市公安局上虞区分局　　　　　　　　　　　　　　　　</w:t>
      </w:r>
    </w:p>
    <w:p>
      <w:pPr>
        <w:spacing w:line="360" w:lineRule="auto"/>
        <w:ind w:firstLine="480" w:firstLineChars="200"/>
        <w:jc w:val="left"/>
        <w:rPr>
          <w:rFonts w:hint="eastAsia" w:ascii="宋体"/>
          <w:kern w:val="0"/>
          <w:sz w:val="24"/>
        </w:rPr>
      </w:pPr>
      <w:r>
        <w:rPr>
          <w:rFonts w:hint="eastAsia" w:ascii="宋体"/>
          <w:kern w:val="0"/>
          <w:sz w:val="24"/>
        </w:rPr>
        <w:t>1　根据《中华人民共和国合同法》、政府采购编号为</w:t>
      </w:r>
      <w:r>
        <w:rPr>
          <w:rFonts w:hint="eastAsia" w:ascii="宋体"/>
          <w:color w:val="FF0000"/>
          <w:kern w:val="0"/>
          <w:sz w:val="24"/>
        </w:rPr>
        <w:t>GZ2018163</w:t>
      </w:r>
      <w:r>
        <w:rPr>
          <w:rFonts w:hint="eastAsia" w:ascii="宋体"/>
          <w:kern w:val="0"/>
          <w:sz w:val="24"/>
        </w:rPr>
        <w:t>招标文件、中标人投标文件的规定，经公开招标，签订本合同。</w:t>
      </w:r>
    </w:p>
    <w:p>
      <w:pPr>
        <w:spacing w:line="360" w:lineRule="auto"/>
        <w:ind w:firstLine="480" w:firstLineChars="200"/>
        <w:jc w:val="left"/>
        <w:rPr>
          <w:rFonts w:hint="eastAsia" w:ascii="宋体"/>
          <w:kern w:val="0"/>
          <w:sz w:val="24"/>
        </w:rPr>
      </w:pPr>
      <w:r>
        <w:rPr>
          <w:rFonts w:hint="eastAsia" w:ascii="宋体"/>
          <w:kern w:val="0"/>
          <w:sz w:val="24"/>
        </w:rPr>
        <w:t>2　产品规格、数量及价格</w:t>
      </w:r>
    </w:p>
    <w:tbl>
      <w:tblPr>
        <w:tblStyle w:val="5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2" w:hRule="atLeast"/>
        </w:trPr>
        <w:tc>
          <w:tcPr>
            <w:tcW w:w="900" w:type="dxa"/>
            <w:noWrap w:val="0"/>
            <w:vAlign w:val="center"/>
          </w:tcPr>
          <w:p>
            <w:pPr>
              <w:spacing w:line="360" w:lineRule="auto"/>
              <w:jc w:val="center"/>
              <w:rPr>
                <w:rFonts w:hint="eastAsia" w:ascii="宋体"/>
                <w:kern w:val="0"/>
                <w:sz w:val="24"/>
              </w:rPr>
            </w:pPr>
            <w:r>
              <w:rPr>
                <w:rFonts w:hint="eastAsia" w:ascii="宋体"/>
                <w:kern w:val="0"/>
                <w:sz w:val="24"/>
              </w:rPr>
              <w:t>序号</w:t>
            </w:r>
          </w:p>
        </w:tc>
        <w:tc>
          <w:tcPr>
            <w:tcW w:w="1440" w:type="dxa"/>
            <w:noWrap w:val="0"/>
            <w:vAlign w:val="center"/>
          </w:tcPr>
          <w:p>
            <w:pPr>
              <w:spacing w:line="360" w:lineRule="auto"/>
              <w:jc w:val="center"/>
              <w:rPr>
                <w:rFonts w:hint="eastAsia" w:ascii="宋体"/>
                <w:kern w:val="0"/>
                <w:sz w:val="24"/>
              </w:rPr>
            </w:pPr>
            <w:r>
              <w:rPr>
                <w:rFonts w:hint="eastAsia" w:ascii="宋体"/>
                <w:kern w:val="0"/>
                <w:sz w:val="24"/>
              </w:rPr>
              <w:t>货物名称</w:t>
            </w:r>
          </w:p>
        </w:tc>
        <w:tc>
          <w:tcPr>
            <w:tcW w:w="1440" w:type="dxa"/>
            <w:noWrap w:val="0"/>
            <w:vAlign w:val="center"/>
          </w:tcPr>
          <w:p>
            <w:pPr>
              <w:spacing w:line="360" w:lineRule="auto"/>
              <w:jc w:val="center"/>
              <w:rPr>
                <w:rFonts w:hint="eastAsia" w:ascii="宋体"/>
                <w:kern w:val="0"/>
                <w:sz w:val="24"/>
              </w:rPr>
            </w:pPr>
            <w:r>
              <w:rPr>
                <w:rFonts w:hint="eastAsia" w:ascii="宋体"/>
                <w:kern w:val="0"/>
                <w:sz w:val="24"/>
              </w:rPr>
              <w:t>规格、型号</w:t>
            </w:r>
          </w:p>
        </w:tc>
        <w:tc>
          <w:tcPr>
            <w:tcW w:w="900" w:type="dxa"/>
            <w:noWrap w:val="0"/>
            <w:vAlign w:val="center"/>
          </w:tcPr>
          <w:p>
            <w:pPr>
              <w:spacing w:line="360" w:lineRule="auto"/>
              <w:jc w:val="center"/>
              <w:rPr>
                <w:rFonts w:hint="eastAsia" w:ascii="宋体"/>
                <w:kern w:val="0"/>
                <w:sz w:val="24"/>
              </w:rPr>
            </w:pPr>
            <w:r>
              <w:rPr>
                <w:rFonts w:hint="eastAsia" w:ascii="宋体"/>
                <w:kern w:val="0"/>
                <w:sz w:val="24"/>
              </w:rPr>
              <w:t>单位</w:t>
            </w:r>
          </w:p>
        </w:tc>
        <w:tc>
          <w:tcPr>
            <w:tcW w:w="900" w:type="dxa"/>
            <w:noWrap w:val="0"/>
            <w:vAlign w:val="center"/>
          </w:tcPr>
          <w:p>
            <w:pPr>
              <w:spacing w:line="360" w:lineRule="auto"/>
              <w:jc w:val="center"/>
              <w:rPr>
                <w:rFonts w:hint="eastAsia" w:ascii="宋体"/>
                <w:kern w:val="0"/>
                <w:sz w:val="24"/>
              </w:rPr>
            </w:pPr>
            <w:r>
              <w:rPr>
                <w:rFonts w:hint="eastAsia" w:ascii="宋体"/>
                <w:kern w:val="0"/>
                <w:sz w:val="24"/>
              </w:rPr>
              <w:t>单价</w:t>
            </w:r>
          </w:p>
        </w:tc>
        <w:tc>
          <w:tcPr>
            <w:tcW w:w="900" w:type="dxa"/>
            <w:noWrap w:val="0"/>
            <w:vAlign w:val="center"/>
          </w:tcPr>
          <w:p>
            <w:pPr>
              <w:spacing w:line="360" w:lineRule="auto"/>
              <w:jc w:val="center"/>
              <w:rPr>
                <w:rFonts w:hint="eastAsia" w:ascii="宋体"/>
                <w:kern w:val="0"/>
                <w:sz w:val="24"/>
              </w:rPr>
            </w:pPr>
            <w:r>
              <w:rPr>
                <w:rFonts w:hint="eastAsia" w:ascii="宋体"/>
                <w:kern w:val="0"/>
                <w:sz w:val="24"/>
              </w:rPr>
              <w:t>数量</w:t>
            </w:r>
          </w:p>
        </w:tc>
        <w:tc>
          <w:tcPr>
            <w:tcW w:w="1620" w:type="dxa"/>
            <w:noWrap w:val="0"/>
            <w:vAlign w:val="center"/>
          </w:tcPr>
          <w:p>
            <w:pPr>
              <w:spacing w:line="360" w:lineRule="auto"/>
              <w:jc w:val="center"/>
              <w:rPr>
                <w:rFonts w:hint="eastAsia" w:ascii="宋体"/>
                <w:kern w:val="0"/>
                <w:sz w:val="24"/>
              </w:rPr>
            </w:pPr>
            <w:r>
              <w:rPr>
                <w:rFonts w:hint="eastAsia" w:ascii="宋体"/>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1440" w:type="dxa"/>
            <w:tcBorders>
              <w:bottom w:val="single" w:color="auto" w:sz="4" w:space="0"/>
            </w:tcBorders>
            <w:noWrap w:val="0"/>
            <w:vAlign w:val="center"/>
          </w:tcPr>
          <w:p>
            <w:pPr>
              <w:spacing w:line="360" w:lineRule="auto"/>
              <w:jc w:val="left"/>
              <w:rPr>
                <w:rFonts w:hint="eastAsia" w:ascii="宋体"/>
                <w:kern w:val="0"/>
                <w:sz w:val="24"/>
              </w:rPr>
            </w:pPr>
          </w:p>
        </w:tc>
        <w:tc>
          <w:tcPr>
            <w:tcW w:w="1440" w:type="dxa"/>
            <w:tcBorders>
              <w:bottom w:val="single" w:color="auto" w:sz="4" w:space="0"/>
            </w:tcBorders>
            <w:noWrap w:val="0"/>
            <w:vAlign w:val="center"/>
          </w:tcPr>
          <w:p>
            <w:pPr>
              <w:spacing w:line="360" w:lineRule="auto"/>
              <w:jc w:val="left"/>
              <w:rPr>
                <w:rFonts w:hint="eastAsia" w:ascii="宋体"/>
                <w:kern w:val="0"/>
                <w:sz w:val="24"/>
              </w:rPr>
            </w:pPr>
          </w:p>
        </w:tc>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900" w:type="dxa"/>
            <w:tcBorders>
              <w:bottom w:val="single" w:color="auto" w:sz="4" w:space="0"/>
            </w:tcBorders>
            <w:noWrap w:val="0"/>
            <w:vAlign w:val="center"/>
          </w:tcPr>
          <w:p>
            <w:pPr>
              <w:spacing w:line="360" w:lineRule="auto"/>
              <w:jc w:val="left"/>
              <w:rPr>
                <w:rFonts w:ascii="宋体"/>
                <w:kern w:val="0"/>
                <w:sz w:val="24"/>
              </w:rPr>
            </w:pPr>
          </w:p>
        </w:tc>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1620" w:type="dxa"/>
            <w:tcBorders>
              <w:bottom w:val="single" w:color="auto" w:sz="4" w:space="0"/>
            </w:tcBorders>
            <w:noWrap w:val="0"/>
            <w:vAlign w:val="center"/>
          </w:tcPr>
          <w:p>
            <w:pPr>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1440" w:type="dxa"/>
            <w:tcBorders>
              <w:bottom w:val="single" w:color="auto" w:sz="4" w:space="0"/>
            </w:tcBorders>
            <w:noWrap w:val="0"/>
            <w:vAlign w:val="center"/>
          </w:tcPr>
          <w:p>
            <w:pPr>
              <w:spacing w:line="360" w:lineRule="auto"/>
              <w:jc w:val="left"/>
              <w:rPr>
                <w:rFonts w:hint="eastAsia" w:ascii="宋体"/>
                <w:kern w:val="0"/>
                <w:sz w:val="24"/>
              </w:rPr>
            </w:pPr>
          </w:p>
        </w:tc>
        <w:tc>
          <w:tcPr>
            <w:tcW w:w="1440" w:type="dxa"/>
            <w:tcBorders>
              <w:bottom w:val="single" w:color="auto" w:sz="4" w:space="0"/>
            </w:tcBorders>
            <w:noWrap w:val="0"/>
            <w:vAlign w:val="center"/>
          </w:tcPr>
          <w:p>
            <w:pPr>
              <w:spacing w:line="360" w:lineRule="auto"/>
              <w:jc w:val="left"/>
              <w:rPr>
                <w:rFonts w:hint="eastAsia" w:ascii="宋体"/>
                <w:kern w:val="0"/>
                <w:sz w:val="24"/>
              </w:rPr>
            </w:pPr>
          </w:p>
        </w:tc>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900" w:type="dxa"/>
            <w:tcBorders>
              <w:bottom w:val="single" w:color="auto" w:sz="4" w:space="0"/>
            </w:tcBorders>
            <w:noWrap w:val="0"/>
            <w:vAlign w:val="center"/>
          </w:tcPr>
          <w:p>
            <w:pPr>
              <w:spacing w:line="360" w:lineRule="auto"/>
              <w:jc w:val="left"/>
              <w:rPr>
                <w:rFonts w:ascii="宋体"/>
                <w:kern w:val="0"/>
                <w:sz w:val="24"/>
              </w:rPr>
            </w:pPr>
          </w:p>
        </w:tc>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1620" w:type="dxa"/>
            <w:tcBorders>
              <w:bottom w:val="single" w:color="auto" w:sz="4" w:space="0"/>
            </w:tcBorders>
            <w:noWrap w:val="0"/>
            <w:vAlign w:val="center"/>
          </w:tcPr>
          <w:p>
            <w:pPr>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1" w:hRule="atLeast"/>
        </w:trPr>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1440" w:type="dxa"/>
            <w:tcBorders>
              <w:bottom w:val="single" w:color="auto" w:sz="4" w:space="0"/>
            </w:tcBorders>
            <w:noWrap w:val="0"/>
            <w:vAlign w:val="center"/>
          </w:tcPr>
          <w:p>
            <w:pPr>
              <w:spacing w:line="360" w:lineRule="auto"/>
              <w:jc w:val="left"/>
              <w:rPr>
                <w:rFonts w:hint="eastAsia" w:ascii="宋体"/>
                <w:kern w:val="0"/>
                <w:sz w:val="24"/>
              </w:rPr>
            </w:pPr>
          </w:p>
        </w:tc>
        <w:tc>
          <w:tcPr>
            <w:tcW w:w="1440" w:type="dxa"/>
            <w:tcBorders>
              <w:bottom w:val="single" w:color="auto" w:sz="4" w:space="0"/>
            </w:tcBorders>
            <w:noWrap w:val="0"/>
            <w:vAlign w:val="center"/>
          </w:tcPr>
          <w:p>
            <w:pPr>
              <w:spacing w:line="360" w:lineRule="auto"/>
              <w:jc w:val="left"/>
              <w:rPr>
                <w:rFonts w:hint="eastAsia" w:ascii="宋体"/>
                <w:kern w:val="0"/>
                <w:sz w:val="24"/>
              </w:rPr>
            </w:pPr>
          </w:p>
        </w:tc>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900" w:type="dxa"/>
            <w:tcBorders>
              <w:bottom w:val="single" w:color="auto" w:sz="4" w:space="0"/>
            </w:tcBorders>
            <w:noWrap w:val="0"/>
            <w:vAlign w:val="center"/>
          </w:tcPr>
          <w:p>
            <w:pPr>
              <w:spacing w:line="360" w:lineRule="auto"/>
              <w:jc w:val="left"/>
              <w:rPr>
                <w:rFonts w:ascii="宋体"/>
                <w:kern w:val="0"/>
                <w:sz w:val="24"/>
              </w:rPr>
            </w:pPr>
          </w:p>
        </w:tc>
        <w:tc>
          <w:tcPr>
            <w:tcW w:w="900" w:type="dxa"/>
            <w:tcBorders>
              <w:bottom w:val="single" w:color="auto" w:sz="4" w:space="0"/>
            </w:tcBorders>
            <w:noWrap w:val="0"/>
            <w:vAlign w:val="center"/>
          </w:tcPr>
          <w:p>
            <w:pPr>
              <w:spacing w:line="360" w:lineRule="auto"/>
              <w:jc w:val="left"/>
              <w:rPr>
                <w:rFonts w:hint="eastAsia" w:ascii="宋体"/>
                <w:kern w:val="0"/>
                <w:sz w:val="24"/>
              </w:rPr>
            </w:pPr>
          </w:p>
        </w:tc>
        <w:tc>
          <w:tcPr>
            <w:tcW w:w="1620" w:type="dxa"/>
            <w:tcBorders>
              <w:bottom w:val="single" w:color="auto" w:sz="4" w:space="0"/>
            </w:tcBorders>
            <w:noWrap w:val="0"/>
            <w:vAlign w:val="center"/>
          </w:tcPr>
          <w:p>
            <w:pPr>
              <w:spacing w:line="360" w:lineRule="auto"/>
              <w:jc w:val="left"/>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2340" w:type="dxa"/>
            <w:gridSpan w:val="2"/>
            <w:noWrap w:val="0"/>
            <w:vAlign w:val="center"/>
          </w:tcPr>
          <w:p>
            <w:pPr>
              <w:spacing w:line="360" w:lineRule="auto"/>
              <w:jc w:val="left"/>
              <w:rPr>
                <w:rFonts w:hint="eastAsia" w:ascii="宋体"/>
                <w:kern w:val="0"/>
                <w:sz w:val="24"/>
              </w:rPr>
            </w:pPr>
            <w:r>
              <w:rPr>
                <w:rFonts w:hint="eastAsia" w:ascii="宋体"/>
                <w:kern w:val="0"/>
                <w:sz w:val="24"/>
              </w:rPr>
              <w:t>合计金额</w:t>
            </w:r>
          </w:p>
        </w:tc>
        <w:tc>
          <w:tcPr>
            <w:tcW w:w="5760" w:type="dxa"/>
            <w:gridSpan w:val="5"/>
            <w:noWrap w:val="0"/>
            <w:vAlign w:val="center"/>
          </w:tcPr>
          <w:p>
            <w:pPr>
              <w:spacing w:line="360" w:lineRule="auto"/>
              <w:jc w:val="left"/>
              <w:rPr>
                <w:rFonts w:hint="eastAsia" w:ascii="宋体"/>
                <w:kern w:val="0"/>
                <w:sz w:val="24"/>
              </w:rPr>
            </w:pPr>
            <w:r>
              <w:rPr>
                <w:rFonts w:hint="eastAsia" w:ascii="宋体"/>
                <w:kern w:val="0"/>
                <w:sz w:val="24"/>
              </w:rPr>
              <w:t>　　　　元（大写：　　　　　　　　　　　　　　）</w:t>
            </w:r>
          </w:p>
        </w:tc>
      </w:tr>
    </w:tbl>
    <w:p>
      <w:pPr>
        <w:snapToGrid w:val="0"/>
        <w:spacing w:line="360" w:lineRule="auto"/>
        <w:ind w:firstLine="482"/>
        <w:rPr>
          <w:rFonts w:hint="eastAsia" w:ascii="宋体"/>
          <w:kern w:val="0"/>
          <w:sz w:val="24"/>
        </w:rPr>
      </w:pPr>
      <w:r>
        <w:rPr>
          <w:rFonts w:hint="eastAsia" w:ascii="宋体"/>
          <w:kern w:val="0"/>
          <w:sz w:val="24"/>
        </w:rPr>
        <w:t>3　货物质量标准和保证，包装，装运标记、条件和通知，保险责任，运输，伴随服务，合同的变更、修改和终止，及争端解决方式等，按招标文件第四部分第一章和中标人的投标文件的规定执行。</w:t>
      </w:r>
    </w:p>
    <w:p>
      <w:pPr>
        <w:snapToGrid w:val="0"/>
        <w:spacing w:line="360" w:lineRule="auto"/>
        <w:ind w:firstLine="482"/>
        <w:rPr>
          <w:rFonts w:hint="eastAsia" w:ascii="宋体"/>
          <w:kern w:val="0"/>
          <w:sz w:val="24"/>
        </w:rPr>
      </w:pPr>
      <w:r>
        <w:rPr>
          <w:rFonts w:hint="eastAsia" w:ascii="宋体"/>
          <w:kern w:val="0"/>
          <w:sz w:val="24"/>
        </w:rPr>
        <w:t>4　交货期限及地点</w:t>
      </w:r>
    </w:p>
    <w:p>
      <w:pPr>
        <w:snapToGrid w:val="0"/>
        <w:spacing w:line="360" w:lineRule="auto"/>
        <w:ind w:firstLine="482"/>
        <w:rPr>
          <w:rFonts w:hint="eastAsia" w:ascii="宋体"/>
          <w:kern w:val="0"/>
          <w:sz w:val="24"/>
          <w:u w:val="single"/>
        </w:rPr>
      </w:pPr>
      <w:r>
        <w:rPr>
          <w:rFonts w:hint="eastAsia" w:ascii="宋体"/>
          <w:kern w:val="0"/>
          <w:sz w:val="24"/>
        </w:rPr>
        <w:t>4.1　交货期限：</w:t>
      </w:r>
      <w:r>
        <w:rPr>
          <w:rFonts w:hint="eastAsia" w:ascii="宋体"/>
          <w:b/>
          <w:color w:val="000000"/>
          <w:kern w:val="0"/>
          <w:sz w:val="24"/>
          <w:u w:val="single"/>
        </w:rPr>
        <w:t>合同签订后60天内完工，试运行30天后，经验收合格交付使用</w:t>
      </w:r>
    </w:p>
    <w:p>
      <w:pPr>
        <w:snapToGrid w:val="0"/>
        <w:spacing w:line="360" w:lineRule="auto"/>
        <w:ind w:firstLine="482"/>
        <w:rPr>
          <w:rFonts w:hint="eastAsia" w:ascii="宋体"/>
          <w:b/>
          <w:kern w:val="0"/>
          <w:sz w:val="24"/>
          <w:u w:val="single"/>
        </w:rPr>
      </w:pPr>
      <w:r>
        <w:rPr>
          <w:rFonts w:hint="eastAsia" w:ascii="宋体"/>
          <w:b/>
          <w:kern w:val="0"/>
          <w:sz w:val="24"/>
        </w:rPr>
        <w:t>4.2　交货地点：</w:t>
      </w:r>
      <w:r>
        <w:rPr>
          <w:rFonts w:hint="eastAsia" w:ascii="宋体"/>
          <w:b/>
          <w:kern w:val="0"/>
          <w:sz w:val="24"/>
          <w:u w:val="single"/>
        </w:rPr>
        <w:t>　上虞区范围内。</w:t>
      </w:r>
    </w:p>
    <w:p>
      <w:pPr>
        <w:snapToGrid w:val="0"/>
        <w:spacing w:line="360" w:lineRule="auto"/>
        <w:ind w:firstLine="482"/>
        <w:rPr>
          <w:rFonts w:hint="eastAsia" w:ascii="宋体"/>
          <w:b/>
          <w:kern w:val="0"/>
          <w:sz w:val="24"/>
        </w:rPr>
      </w:pPr>
      <w:r>
        <w:rPr>
          <w:rFonts w:hint="eastAsia" w:ascii="宋体"/>
          <w:b/>
          <w:kern w:val="0"/>
          <w:sz w:val="24"/>
        </w:rPr>
        <w:t>4.3  由于三个标段存在租赁到期时间不同，因此要求卖方根据买方要求，合理安排施工方案，根据各标段租赁到期时间，完成竣工验收，每个标段分别签订租赁合同，使买方续租时间不间断。</w:t>
      </w:r>
    </w:p>
    <w:p>
      <w:pPr>
        <w:snapToGrid w:val="0"/>
        <w:spacing w:line="360" w:lineRule="auto"/>
        <w:ind w:firstLine="482"/>
        <w:rPr>
          <w:rFonts w:hint="eastAsia" w:ascii="宋体"/>
          <w:kern w:val="0"/>
          <w:sz w:val="24"/>
        </w:rPr>
      </w:pPr>
      <w:r>
        <w:rPr>
          <w:rFonts w:hint="eastAsia" w:ascii="宋体"/>
          <w:kern w:val="0"/>
          <w:sz w:val="24"/>
        </w:rPr>
        <w:t>4.4 其他约定：如买方根据项目进展的实际情况，需提前交货的，则提前15天通知卖方交货，卖方必须按买方要求将货物送达指定地点；如需延期交货的，且延期时间在90天内的，由卖方负责保管货物并另收保管费。</w:t>
      </w:r>
    </w:p>
    <w:p>
      <w:pPr>
        <w:snapToGrid w:val="0"/>
        <w:spacing w:line="360" w:lineRule="auto"/>
        <w:ind w:firstLine="482"/>
        <w:rPr>
          <w:rFonts w:hint="eastAsia" w:ascii="宋体"/>
          <w:kern w:val="0"/>
          <w:sz w:val="24"/>
        </w:rPr>
      </w:pPr>
      <w:r>
        <w:rPr>
          <w:rFonts w:hint="eastAsia" w:ascii="宋体"/>
          <w:kern w:val="0"/>
          <w:sz w:val="24"/>
        </w:rPr>
        <w:t>5　质量保证期限及要求</w:t>
      </w:r>
    </w:p>
    <w:p>
      <w:pPr>
        <w:snapToGrid w:val="0"/>
        <w:spacing w:line="360" w:lineRule="auto"/>
        <w:ind w:firstLine="482"/>
        <w:rPr>
          <w:rFonts w:hint="eastAsia" w:ascii="宋体"/>
          <w:kern w:val="0"/>
          <w:sz w:val="24"/>
        </w:rPr>
      </w:pPr>
      <w:r>
        <w:rPr>
          <w:rFonts w:hint="eastAsia" w:ascii="宋体"/>
          <w:kern w:val="0"/>
          <w:sz w:val="24"/>
        </w:rPr>
        <w:t>5.1　卖方提供的货物必须符合招标文件及中标人投标文件中规定的规格型号和技术性能。</w:t>
      </w:r>
    </w:p>
    <w:p>
      <w:pPr>
        <w:spacing w:line="360" w:lineRule="auto"/>
        <w:rPr>
          <w:rFonts w:hint="eastAsia" w:ascii="宋体"/>
          <w:kern w:val="0"/>
          <w:sz w:val="24"/>
        </w:rPr>
      </w:pPr>
      <w:r>
        <w:rPr>
          <w:rFonts w:hint="eastAsia" w:ascii="宋体"/>
          <w:kern w:val="0"/>
          <w:sz w:val="24"/>
        </w:rPr>
        <w:t>5.2　质保期（即保修期）自</w:t>
      </w:r>
      <w:r>
        <w:rPr>
          <w:rFonts w:hint="eastAsia" w:ascii="宋体"/>
          <w:kern w:val="0"/>
          <w:sz w:val="24"/>
          <w:u w:val="single"/>
        </w:rPr>
        <w:t>　　　　　　　　　　　　　　　</w:t>
      </w:r>
      <w:r>
        <w:rPr>
          <w:rFonts w:hint="eastAsia" w:ascii="宋体"/>
          <w:kern w:val="0"/>
          <w:sz w:val="24"/>
        </w:rPr>
        <w:t>之日起计算，</w:t>
      </w:r>
    </w:p>
    <w:p>
      <w:pPr>
        <w:snapToGrid w:val="0"/>
        <w:spacing w:line="360" w:lineRule="auto"/>
        <w:ind w:firstLine="482"/>
        <w:rPr>
          <w:rFonts w:hint="eastAsia" w:ascii="宋体"/>
          <w:kern w:val="0"/>
          <w:sz w:val="24"/>
        </w:rPr>
      </w:pPr>
      <w:r>
        <w:rPr>
          <w:rFonts w:hint="eastAsia" w:ascii="宋体"/>
          <w:kern w:val="0"/>
          <w:sz w:val="24"/>
        </w:rPr>
        <w:t>共计为</w:t>
      </w:r>
      <w:r>
        <w:rPr>
          <w:rFonts w:hint="eastAsia" w:ascii="宋体"/>
          <w:kern w:val="0"/>
          <w:sz w:val="24"/>
          <w:u w:val="single"/>
        </w:rPr>
        <w:t>　</w:t>
      </w:r>
      <w:r>
        <w:rPr>
          <w:rFonts w:hint="eastAsia" w:ascii="宋体"/>
          <w:kern w:val="0"/>
          <w:sz w:val="24"/>
        </w:rPr>
        <w:t>个月。</w:t>
      </w:r>
    </w:p>
    <w:p>
      <w:pPr>
        <w:snapToGrid w:val="0"/>
        <w:spacing w:line="360" w:lineRule="auto"/>
        <w:ind w:firstLine="482"/>
        <w:rPr>
          <w:rFonts w:hint="eastAsia" w:ascii="宋体"/>
          <w:kern w:val="0"/>
          <w:sz w:val="24"/>
        </w:rPr>
      </w:pPr>
      <w:r>
        <w:rPr>
          <w:rFonts w:hint="eastAsia" w:ascii="宋体"/>
          <w:kern w:val="0"/>
          <w:sz w:val="24"/>
        </w:rPr>
        <w:t>5.3　在质保期内，如非因买方人为原因而出现质量问题的，由卖方负责负责包修、包换或者包退，并承担修理、调换或者退货的实际费用；如因买方使用不当造成故障的，由卖方负责包修、包换或者包退，实际费用由双方另行协商确定。</w:t>
      </w:r>
    </w:p>
    <w:p>
      <w:pPr>
        <w:snapToGrid w:val="0"/>
        <w:spacing w:line="360" w:lineRule="auto"/>
        <w:ind w:firstLine="482"/>
        <w:rPr>
          <w:rFonts w:hint="eastAsia" w:ascii="宋体"/>
          <w:kern w:val="0"/>
          <w:sz w:val="24"/>
          <w:u w:val="single"/>
        </w:rPr>
      </w:pPr>
      <w:r>
        <w:rPr>
          <w:rFonts w:hint="eastAsia" w:ascii="宋体"/>
          <w:kern w:val="0"/>
          <w:sz w:val="24"/>
        </w:rPr>
        <w:t>5.4　其他约定：</w:t>
      </w:r>
      <w:r>
        <w:rPr>
          <w:rFonts w:hint="eastAsia" w:ascii="宋体"/>
          <w:kern w:val="0"/>
          <w:sz w:val="24"/>
          <w:u w:val="single"/>
        </w:rPr>
        <w:t>　　　　　　　　　　　　　　　　　　　　　　　　　　</w:t>
      </w:r>
    </w:p>
    <w:p>
      <w:pPr>
        <w:snapToGrid w:val="0"/>
        <w:spacing w:line="360" w:lineRule="auto"/>
        <w:ind w:firstLine="482"/>
        <w:rPr>
          <w:rFonts w:hint="eastAsia" w:ascii="宋体"/>
          <w:kern w:val="0"/>
          <w:sz w:val="24"/>
        </w:rPr>
      </w:pPr>
      <w:r>
        <w:rPr>
          <w:rFonts w:hint="eastAsia" w:ascii="宋体"/>
          <w:kern w:val="0"/>
          <w:sz w:val="24"/>
        </w:rPr>
        <w:t>6　售后服务及要求</w:t>
      </w:r>
    </w:p>
    <w:p>
      <w:pPr>
        <w:snapToGrid w:val="0"/>
        <w:spacing w:line="360" w:lineRule="auto"/>
        <w:ind w:firstLine="482"/>
        <w:rPr>
          <w:rFonts w:hint="eastAsia" w:ascii="宋体"/>
          <w:kern w:val="0"/>
          <w:sz w:val="24"/>
        </w:rPr>
      </w:pPr>
      <w:r>
        <w:rPr>
          <w:rFonts w:hint="eastAsia" w:ascii="宋体"/>
          <w:kern w:val="0"/>
          <w:sz w:val="24"/>
        </w:rPr>
        <w:t>6.1　根据招标文件第四部分及投标时的承诺，卖方将为买方提供下列售后服务：</w:t>
      </w:r>
    </w:p>
    <w:p>
      <w:pPr>
        <w:snapToGrid w:val="0"/>
        <w:spacing w:line="360" w:lineRule="auto"/>
        <w:ind w:firstLine="482"/>
        <w:rPr>
          <w:rFonts w:hint="eastAsia" w:ascii="宋体"/>
          <w:kern w:val="0"/>
          <w:sz w:val="24"/>
        </w:rPr>
      </w:pPr>
      <w:r>
        <w:rPr>
          <w:rFonts w:hint="eastAsia" w:ascii="宋体"/>
          <w:kern w:val="0"/>
          <w:sz w:val="24"/>
        </w:rPr>
        <w:t>6.1.1　安装和调试服务：卖方将在合同签订后</w:t>
      </w:r>
      <w:r>
        <w:rPr>
          <w:rFonts w:hint="eastAsia" w:ascii="宋体"/>
          <w:kern w:val="0"/>
          <w:sz w:val="24"/>
          <w:u w:val="single"/>
        </w:rPr>
        <w:t>　　</w:t>
      </w:r>
      <w:r>
        <w:rPr>
          <w:rFonts w:hint="eastAsia" w:ascii="宋体"/>
          <w:kern w:val="0"/>
          <w:sz w:val="24"/>
        </w:rPr>
        <w:t>天向买方提供安装、调试方案及相关资料，并按有关标准在</w:t>
      </w:r>
      <w:r>
        <w:rPr>
          <w:rFonts w:hint="eastAsia" w:ascii="宋体"/>
          <w:kern w:val="0"/>
          <w:sz w:val="24"/>
          <w:u w:val="single"/>
        </w:rPr>
        <w:t>　　　　　　　　</w:t>
      </w:r>
      <w:r>
        <w:rPr>
          <w:rFonts w:hint="eastAsia" w:ascii="宋体"/>
          <w:kern w:val="0"/>
          <w:sz w:val="24"/>
        </w:rPr>
        <w:t>完成安装、调试工作。</w:t>
      </w:r>
    </w:p>
    <w:p>
      <w:pPr>
        <w:snapToGrid w:val="0"/>
        <w:spacing w:line="360" w:lineRule="auto"/>
        <w:ind w:firstLine="482"/>
        <w:rPr>
          <w:rFonts w:hint="eastAsia" w:ascii="宋体"/>
          <w:kern w:val="0"/>
          <w:sz w:val="24"/>
        </w:rPr>
      </w:pPr>
      <w:r>
        <w:rPr>
          <w:rFonts w:hint="eastAsia" w:ascii="宋体"/>
          <w:kern w:val="0"/>
          <w:sz w:val="24"/>
        </w:rPr>
        <w:t>6.1.2　维修服务：</w:t>
      </w:r>
      <w:r>
        <w:rPr>
          <w:rFonts w:hint="eastAsia" w:ascii="宋体"/>
          <w:kern w:val="0"/>
          <w:sz w:val="24"/>
          <w:u w:val="single"/>
        </w:rPr>
        <w:t>　　　　　　　　　　　　　　　　　　　　　　　</w:t>
      </w:r>
      <w:r>
        <w:rPr>
          <w:rFonts w:hint="eastAsia" w:ascii="宋体"/>
          <w:kern w:val="0"/>
          <w:sz w:val="24"/>
        </w:rPr>
        <w:t>。</w:t>
      </w:r>
    </w:p>
    <w:p>
      <w:pPr>
        <w:snapToGrid w:val="0"/>
        <w:spacing w:line="360" w:lineRule="auto"/>
        <w:ind w:firstLine="482"/>
        <w:rPr>
          <w:rFonts w:hint="eastAsia" w:ascii="宋体"/>
          <w:kern w:val="0"/>
          <w:sz w:val="24"/>
        </w:rPr>
      </w:pPr>
      <w:r>
        <w:rPr>
          <w:rFonts w:hint="eastAsia" w:ascii="宋体"/>
          <w:kern w:val="0"/>
          <w:sz w:val="24"/>
        </w:rPr>
        <w:t>6.1.3　技术服务：</w:t>
      </w:r>
    </w:p>
    <w:p>
      <w:pPr>
        <w:snapToGrid w:val="0"/>
        <w:spacing w:line="360" w:lineRule="auto"/>
        <w:ind w:firstLine="482"/>
        <w:rPr>
          <w:rFonts w:hint="eastAsia" w:ascii="宋体"/>
          <w:kern w:val="0"/>
          <w:sz w:val="24"/>
        </w:rPr>
      </w:pPr>
      <w:r>
        <w:rPr>
          <w:rFonts w:hint="eastAsia" w:ascii="宋体"/>
          <w:kern w:val="0"/>
          <w:sz w:val="24"/>
        </w:rPr>
        <w:t>6.1.3.1　卖方应随货物向买方提交产品使用说明书、产品合格证、保修卡及相关的配件和技术资料。</w:t>
      </w:r>
    </w:p>
    <w:p>
      <w:pPr>
        <w:snapToGrid w:val="0"/>
        <w:spacing w:line="360" w:lineRule="auto"/>
        <w:ind w:firstLine="482"/>
        <w:rPr>
          <w:rFonts w:hint="eastAsia" w:ascii="宋体"/>
          <w:kern w:val="0"/>
          <w:sz w:val="24"/>
        </w:rPr>
      </w:pPr>
      <w:r>
        <w:rPr>
          <w:rFonts w:hint="eastAsia" w:ascii="宋体"/>
          <w:kern w:val="0"/>
          <w:sz w:val="24"/>
        </w:rPr>
        <w:t>6.1.3.2　其他：</w:t>
      </w:r>
      <w:r>
        <w:rPr>
          <w:rFonts w:hint="eastAsia" w:ascii="宋体"/>
          <w:kern w:val="0"/>
          <w:sz w:val="24"/>
          <w:u w:val="single"/>
        </w:rPr>
        <w:t>　　　　　　　　　　　　　　　　　　　　　　　　</w:t>
      </w:r>
      <w:r>
        <w:rPr>
          <w:rFonts w:hint="eastAsia" w:ascii="宋体"/>
          <w:kern w:val="0"/>
          <w:sz w:val="24"/>
        </w:rPr>
        <w:t>。</w:t>
      </w:r>
    </w:p>
    <w:p>
      <w:pPr>
        <w:snapToGrid w:val="0"/>
        <w:spacing w:line="360" w:lineRule="auto"/>
        <w:ind w:firstLine="482"/>
        <w:rPr>
          <w:rFonts w:hint="eastAsia" w:ascii="宋体"/>
          <w:kern w:val="0"/>
          <w:sz w:val="24"/>
        </w:rPr>
      </w:pPr>
      <w:r>
        <w:rPr>
          <w:rFonts w:hint="eastAsia" w:ascii="宋体"/>
          <w:kern w:val="0"/>
          <w:sz w:val="24"/>
        </w:rPr>
        <w:t>6.1.4　培训服务：</w:t>
      </w:r>
      <w:r>
        <w:rPr>
          <w:rFonts w:hint="eastAsia" w:ascii="宋体"/>
          <w:kern w:val="0"/>
          <w:sz w:val="24"/>
          <w:u w:val="single"/>
        </w:rPr>
        <w:t>　　　　　　　　　　　　　　　　　　　　　　　</w:t>
      </w:r>
      <w:r>
        <w:rPr>
          <w:rFonts w:hint="eastAsia" w:ascii="宋体"/>
          <w:kern w:val="0"/>
          <w:sz w:val="24"/>
        </w:rPr>
        <w:t>。</w:t>
      </w:r>
    </w:p>
    <w:p>
      <w:pPr>
        <w:snapToGrid w:val="0"/>
        <w:spacing w:line="360" w:lineRule="auto"/>
        <w:ind w:firstLine="482"/>
        <w:rPr>
          <w:rFonts w:hint="eastAsia" w:ascii="宋体"/>
          <w:kern w:val="0"/>
          <w:sz w:val="24"/>
        </w:rPr>
      </w:pPr>
      <w:r>
        <w:rPr>
          <w:rFonts w:hint="eastAsia" w:ascii="宋体"/>
          <w:kern w:val="0"/>
          <w:sz w:val="24"/>
        </w:rPr>
        <w:t>6.2　安装、调试或培训的所需的费用由卖方承担，但双方在招标文件或中标的投标文件中另有约定的，按其约定执行。</w:t>
      </w:r>
    </w:p>
    <w:p>
      <w:pPr>
        <w:snapToGrid w:val="0"/>
        <w:spacing w:line="360" w:lineRule="auto"/>
        <w:ind w:firstLine="482"/>
        <w:rPr>
          <w:rFonts w:hint="eastAsia" w:ascii="宋体"/>
          <w:kern w:val="0"/>
          <w:sz w:val="24"/>
        </w:rPr>
      </w:pPr>
      <w:r>
        <w:rPr>
          <w:rFonts w:hint="eastAsia" w:ascii="宋体"/>
          <w:kern w:val="0"/>
          <w:sz w:val="24"/>
        </w:rPr>
        <w:t>6.3　卖方应对其所提供的货物及其内在的安装质量负全部责任。</w:t>
      </w:r>
    </w:p>
    <w:p>
      <w:pPr>
        <w:snapToGrid w:val="0"/>
        <w:spacing w:line="360" w:lineRule="auto"/>
        <w:ind w:firstLine="482"/>
        <w:rPr>
          <w:rFonts w:hint="eastAsia" w:ascii="宋体"/>
          <w:kern w:val="0"/>
          <w:sz w:val="24"/>
        </w:rPr>
      </w:pPr>
      <w:r>
        <w:rPr>
          <w:rFonts w:hint="eastAsia" w:ascii="宋体"/>
          <w:kern w:val="0"/>
          <w:sz w:val="24"/>
        </w:rPr>
        <w:t>7　验收方法</w:t>
      </w:r>
    </w:p>
    <w:p>
      <w:pPr>
        <w:snapToGrid w:val="0"/>
        <w:spacing w:line="360" w:lineRule="auto"/>
        <w:ind w:firstLine="482"/>
        <w:rPr>
          <w:rFonts w:hint="eastAsia" w:ascii="宋体"/>
          <w:kern w:val="0"/>
          <w:sz w:val="24"/>
        </w:rPr>
      </w:pPr>
      <w:r>
        <w:rPr>
          <w:rFonts w:hint="eastAsia" w:ascii="宋体"/>
          <w:kern w:val="0"/>
          <w:sz w:val="24"/>
        </w:rPr>
        <w:t>7.1　验收标准按招标文件及卖方提供的货物验收标准、安全技术规范执行。</w:t>
      </w:r>
    </w:p>
    <w:p>
      <w:pPr>
        <w:snapToGrid w:val="0"/>
        <w:spacing w:line="360" w:lineRule="auto"/>
        <w:ind w:firstLine="482"/>
        <w:rPr>
          <w:rFonts w:hint="eastAsia" w:ascii="宋体"/>
          <w:kern w:val="0"/>
          <w:sz w:val="24"/>
        </w:rPr>
      </w:pPr>
      <w:r>
        <w:rPr>
          <w:rFonts w:hint="eastAsia" w:ascii="宋体"/>
          <w:kern w:val="0"/>
          <w:sz w:val="24"/>
        </w:rPr>
        <w:t>7.2　货物到达项目现场后</w:t>
      </w:r>
      <w:r>
        <w:rPr>
          <w:rFonts w:hint="eastAsia" w:ascii="宋体"/>
          <w:kern w:val="0"/>
          <w:sz w:val="24"/>
          <w:u w:val="single"/>
        </w:rPr>
        <w:t>　　</w:t>
      </w:r>
      <w:r>
        <w:rPr>
          <w:rFonts w:hint="eastAsia" w:ascii="宋体"/>
          <w:kern w:val="0"/>
          <w:sz w:val="24"/>
        </w:rPr>
        <w:t>天内，或安装、调试结束后</w:t>
      </w:r>
      <w:r>
        <w:rPr>
          <w:rFonts w:hint="eastAsia" w:ascii="宋体"/>
          <w:kern w:val="0"/>
          <w:sz w:val="24"/>
          <w:u w:val="single"/>
        </w:rPr>
        <w:t>　　</w:t>
      </w:r>
      <w:r>
        <w:rPr>
          <w:rFonts w:hint="eastAsia" w:ascii="宋体"/>
          <w:kern w:val="0"/>
          <w:sz w:val="24"/>
        </w:rPr>
        <w:t>天内，由买方会同卖方及相关专业部门等单位共同参与验收。</w:t>
      </w:r>
    </w:p>
    <w:p>
      <w:pPr>
        <w:snapToGrid w:val="0"/>
        <w:spacing w:line="360" w:lineRule="auto"/>
        <w:ind w:firstLine="482"/>
        <w:rPr>
          <w:rFonts w:hint="eastAsia" w:ascii="宋体"/>
          <w:kern w:val="0"/>
          <w:sz w:val="24"/>
        </w:rPr>
      </w:pPr>
      <w:r>
        <w:rPr>
          <w:rFonts w:hint="eastAsia" w:ascii="宋体"/>
          <w:kern w:val="0"/>
          <w:sz w:val="24"/>
        </w:rPr>
        <w:t>8　付款方式</w:t>
      </w:r>
    </w:p>
    <w:p>
      <w:pPr>
        <w:snapToGrid w:val="0"/>
        <w:spacing w:line="360" w:lineRule="auto"/>
        <w:ind w:firstLine="480"/>
        <w:rPr>
          <w:rFonts w:hint="eastAsia" w:ascii="宋体"/>
          <w:kern w:val="0"/>
          <w:sz w:val="24"/>
        </w:rPr>
      </w:pPr>
      <w:r>
        <w:rPr>
          <w:rFonts w:hint="eastAsia" w:ascii="宋体"/>
          <w:kern w:val="0"/>
          <w:sz w:val="24"/>
        </w:rPr>
        <w:t>8.1　本项目采取的付款方式为：</w:t>
      </w:r>
      <w:r>
        <w:rPr>
          <w:rFonts w:hint="eastAsia"/>
          <w:color w:val="000000"/>
          <w:sz w:val="24"/>
          <w:u w:val="single"/>
        </w:rPr>
        <w:t>租用期限自系统验收合格之日算起，租用期开始后一个月内采购人支付年租金总额的百分之四十，百分之六十的年租金余款根据供应商租用服务承诺，对系统运行质量、服务质量进行考核后在年租用期满后一个月内给予支付，具体考核细则由供应商与区公安分局协商制定。</w:t>
      </w:r>
    </w:p>
    <w:p>
      <w:pPr>
        <w:snapToGrid w:val="0"/>
        <w:spacing w:line="360" w:lineRule="auto"/>
        <w:ind w:firstLine="482"/>
        <w:rPr>
          <w:rFonts w:hint="eastAsia" w:ascii="宋体"/>
          <w:kern w:val="0"/>
          <w:sz w:val="24"/>
        </w:rPr>
      </w:pPr>
      <w:r>
        <w:rPr>
          <w:rFonts w:hint="eastAsia" w:ascii="宋体"/>
          <w:kern w:val="0"/>
          <w:sz w:val="24"/>
        </w:rPr>
        <w:t>9　履约保证金</w:t>
      </w:r>
    </w:p>
    <w:p>
      <w:pPr>
        <w:snapToGrid w:val="0"/>
        <w:spacing w:line="360" w:lineRule="auto"/>
        <w:ind w:firstLine="482"/>
        <w:rPr>
          <w:rFonts w:hint="eastAsia" w:ascii="宋体"/>
          <w:kern w:val="0"/>
          <w:sz w:val="24"/>
        </w:rPr>
      </w:pPr>
      <w:r>
        <w:rPr>
          <w:rFonts w:hint="eastAsia" w:ascii="宋体"/>
          <w:kern w:val="0"/>
          <w:sz w:val="24"/>
        </w:rPr>
        <w:t>9.1　在签订合同时，卖方需向买方交纳合同总价</w:t>
      </w:r>
      <w:r>
        <w:rPr>
          <w:rFonts w:hint="eastAsia" w:ascii="宋体"/>
          <w:kern w:val="0"/>
          <w:sz w:val="24"/>
          <w:u w:val="single"/>
        </w:rPr>
        <w:t>　5　</w:t>
      </w:r>
      <w:r>
        <w:rPr>
          <w:rFonts w:hint="eastAsia" w:ascii="宋体"/>
          <w:kern w:val="0"/>
          <w:sz w:val="24"/>
        </w:rPr>
        <w:t>%的履约保证金。</w:t>
      </w:r>
    </w:p>
    <w:p>
      <w:pPr>
        <w:snapToGrid w:val="0"/>
        <w:spacing w:line="360" w:lineRule="auto"/>
        <w:ind w:firstLine="482"/>
        <w:rPr>
          <w:rFonts w:hint="eastAsia" w:ascii="宋体"/>
          <w:kern w:val="0"/>
          <w:sz w:val="24"/>
        </w:rPr>
      </w:pPr>
      <w:r>
        <w:rPr>
          <w:rFonts w:hint="eastAsia" w:ascii="宋体"/>
          <w:kern w:val="0"/>
          <w:sz w:val="24"/>
        </w:rPr>
        <w:t>9.2　买方接受卖方按本部分第一章第</w:t>
      </w:r>
      <w:r>
        <w:rPr>
          <w:rFonts w:hint="eastAsia" w:ascii="宋体"/>
          <w:kern w:val="0"/>
          <w:sz w:val="24"/>
          <w:u w:val="single"/>
        </w:rPr>
        <w:t>　　</w:t>
      </w:r>
      <w:r>
        <w:rPr>
          <w:rFonts w:hint="eastAsia" w:ascii="宋体"/>
          <w:kern w:val="0"/>
          <w:sz w:val="24"/>
        </w:rPr>
        <w:t>条规定，即以</w:t>
      </w:r>
      <w:r>
        <w:rPr>
          <w:rFonts w:hint="eastAsia" w:ascii="宋体"/>
          <w:kern w:val="0"/>
          <w:sz w:val="24"/>
          <w:u w:val="single"/>
        </w:rPr>
        <w:t>　　　　　　</w:t>
      </w:r>
      <w:r>
        <w:rPr>
          <w:rFonts w:hint="eastAsia" w:ascii="宋体"/>
          <w:kern w:val="0"/>
          <w:sz w:val="24"/>
        </w:rPr>
        <w:t>方式提交的履约保证金。</w:t>
      </w:r>
    </w:p>
    <w:p>
      <w:pPr>
        <w:snapToGrid w:val="0"/>
        <w:spacing w:line="360" w:lineRule="auto"/>
        <w:ind w:firstLine="482"/>
        <w:rPr>
          <w:rFonts w:hint="eastAsia" w:ascii="宋体"/>
          <w:kern w:val="0"/>
          <w:sz w:val="24"/>
        </w:rPr>
      </w:pPr>
      <w:r>
        <w:rPr>
          <w:rFonts w:hint="eastAsia" w:ascii="宋体"/>
          <w:kern w:val="0"/>
          <w:sz w:val="24"/>
        </w:rPr>
        <w:t>9.3　买方将按招标文件第二部分第六章第29.2.</w:t>
      </w:r>
      <w:r>
        <w:rPr>
          <w:rFonts w:hint="eastAsia" w:ascii="宋体"/>
          <w:kern w:val="0"/>
          <w:sz w:val="24"/>
          <w:u w:val="single"/>
        </w:rPr>
        <w:t>　</w:t>
      </w:r>
      <w:r>
        <w:rPr>
          <w:rFonts w:hint="eastAsia" w:ascii="宋体"/>
          <w:kern w:val="0"/>
          <w:sz w:val="24"/>
        </w:rPr>
        <w:t>条的规定向卖方无息退还履约保证金。</w:t>
      </w:r>
    </w:p>
    <w:p>
      <w:pPr>
        <w:snapToGrid w:val="0"/>
        <w:spacing w:line="360" w:lineRule="auto"/>
        <w:ind w:firstLine="482"/>
        <w:rPr>
          <w:rFonts w:hint="eastAsia" w:ascii="宋体"/>
          <w:kern w:val="0"/>
          <w:sz w:val="24"/>
        </w:rPr>
      </w:pPr>
      <w:r>
        <w:rPr>
          <w:rFonts w:hint="eastAsia" w:ascii="宋体"/>
          <w:kern w:val="0"/>
          <w:sz w:val="24"/>
        </w:rPr>
        <w:t>10　违约责任</w:t>
      </w:r>
    </w:p>
    <w:p>
      <w:pPr>
        <w:snapToGrid w:val="0"/>
        <w:spacing w:line="360" w:lineRule="auto"/>
        <w:ind w:firstLine="482"/>
        <w:rPr>
          <w:rFonts w:hint="eastAsia" w:ascii="宋体"/>
          <w:kern w:val="0"/>
          <w:sz w:val="24"/>
        </w:rPr>
      </w:pPr>
      <w:r>
        <w:rPr>
          <w:rFonts w:hint="eastAsia" w:ascii="宋体"/>
          <w:kern w:val="0"/>
          <w:sz w:val="24"/>
        </w:rPr>
        <w:t>10.1　买方无正当理由拒收货物的，卖方有要求买方赔偿的权利。</w:t>
      </w:r>
    </w:p>
    <w:p>
      <w:pPr>
        <w:snapToGrid w:val="0"/>
        <w:spacing w:line="360" w:lineRule="auto"/>
        <w:ind w:firstLine="482"/>
        <w:rPr>
          <w:rFonts w:hint="eastAsia" w:ascii="宋体"/>
          <w:kern w:val="0"/>
          <w:sz w:val="24"/>
        </w:rPr>
      </w:pPr>
      <w:r>
        <w:rPr>
          <w:rFonts w:hint="eastAsia" w:ascii="宋体"/>
          <w:kern w:val="0"/>
          <w:sz w:val="24"/>
        </w:rPr>
        <w:t>10.2　买方无正当理由拒绝支付货款或者延期支付货款的，由买方按应付货款支付每天万分之</w:t>
      </w:r>
      <w:r>
        <w:rPr>
          <w:rFonts w:hint="eastAsia" w:ascii="宋体"/>
          <w:kern w:val="0"/>
          <w:sz w:val="24"/>
          <w:u w:val="single"/>
        </w:rPr>
        <w:t>　　</w:t>
      </w:r>
      <w:r>
        <w:rPr>
          <w:rFonts w:hint="eastAsia" w:ascii="宋体"/>
          <w:kern w:val="0"/>
          <w:sz w:val="24"/>
        </w:rPr>
        <w:t>的延期违约金。</w:t>
      </w:r>
    </w:p>
    <w:p>
      <w:pPr>
        <w:snapToGrid w:val="0"/>
        <w:spacing w:line="360" w:lineRule="auto"/>
        <w:ind w:firstLine="482"/>
        <w:rPr>
          <w:rFonts w:hint="eastAsia" w:ascii="宋体"/>
          <w:kern w:val="0"/>
          <w:sz w:val="24"/>
        </w:rPr>
      </w:pPr>
      <w:r>
        <w:rPr>
          <w:rFonts w:hint="eastAsia" w:ascii="宋体"/>
          <w:kern w:val="0"/>
          <w:sz w:val="24"/>
        </w:rPr>
        <w:t>10.3　卖方所交付货物品种、型号、规格、数量、质量不符合合同规定标准的，买方有权拒绝接收，不予退还履约保证金，并有要求卖方赔偿的权利。</w:t>
      </w:r>
    </w:p>
    <w:p>
      <w:pPr>
        <w:snapToGrid w:val="0"/>
        <w:spacing w:line="360" w:lineRule="auto"/>
        <w:ind w:firstLine="482"/>
        <w:rPr>
          <w:rFonts w:hint="eastAsia" w:ascii="宋体"/>
          <w:kern w:val="0"/>
          <w:sz w:val="24"/>
        </w:rPr>
      </w:pPr>
      <w:r>
        <w:rPr>
          <w:rFonts w:hint="eastAsia" w:ascii="宋体"/>
          <w:kern w:val="0"/>
          <w:sz w:val="24"/>
        </w:rPr>
        <w:t>10.4　卖方未能及时交货或其它非买方原因引起验收交货延迟的，由卖方支付迟交货物合同价每天万分之</w:t>
      </w:r>
      <w:r>
        <w:rPr>
          <w:rFonts w:hint="eastAsia" w:ascii="宋体"/>
          <w:kern w:val="0"/>
          <w:sz w:val="24"/>
          <w:u w:val="single"/>
        </w:rPr>
        <w:t>　3　</w:t>
      </w:r>
      <w:r>
        <w:rPr>
          <w:rFonts w:hint="eastAsia" w:ascii="宋体"/>
          <w:kern w:val="0"/>
          <w:sz w:val="24"/>
        </w:rPr>
        <w:t>的误期赔偿费。</w:t>
      </w:r>
    </w:p>
    <w:p>
      <w:pPr>
        <w:snapToGrid w:val="0"/>
        <w:spacing w:line="360" w:lineRule="auto"/>
        <w:ind w:firstLine="482"/>
        <w:rPr>
          <w:rFonts w:hint="eastAsia" w:ascii="宋体"/>
          <w:kern w:val="0"/>
          <w:sz w:val="24"/>
        </w:rPr>
      </w:pPr>
      <w:r>
        <w:rPr>
          <w:rFonts w:hint="eastAsia" w:ascii="宋体"/>
          <w:kern w:val="0"/>
          <w:sz w:val="24"/>
        </w:rPr>
        <w:t>10.5　其他：</w:t>
      </w:r>
      <w:r>
        <w:rPr>
          <w:rFonts w:hint="eastAsia" w:ascii="宋体"/>
          <w:kern w:val="0"/>
          <w:sz w:val="24"/>
          <w:u w:val="single"/>
        </w:rPr>
        <w:t>　　　　　　　　　　　　　　　　　　　　　　　　</w:t>
      </w:r>
      <w:r>
        <w:rPr>
          <w:rFonts w:hint="eastAsia" w:ascii="宋体"/>
          <w:kern w:val="0"/>
          <w:sz w:val="24"/>
        </w:rPr>
        <w:t>。</w:t>
      </w:r>
    </w:p>
    <w:p>
      <w:pPr>
        <w:spacing w:line="360" w:lineRule="auto"/>
        <w:ind w:firstLine="480" w:firstLineChars="200"/>
        <w:jc w:val="left"/>
        <w:rPr>
          <w:rFonts w:hint="eastAsia" w:ascii="宋体"/>
          <w:kern w:val="0"/>
          <w:sz w:val="24"/>
        </w:rPr>
      </w:pPr>
      <w:r>
        <w:rPr>
          <w:rFonts w:hint="eastAsia" w:ascii="宋体"/>
          <w:kern w:val="0"/>
          <w:sz w:val="24"/>
        </w:rPr>
        <w:t>11　售后服务及要求</w:t>
      </w:r>
    </w:p>
    <w:p>
      <w:pPr>
        <w:spacing w:line="360" w:lineRule="auto"/>
        <w:ind w:firstLine="480" w:firstLineChars="200"/>
        <w:jc w:val="left"/>
        <w:rPr>
          <w:rFonts w:hint="eastAsia" w:ascii="宋体"/>
          <w:kern w:val="0"/>
          <w:sz w:val="24"/>
        </w:rPr>
      </w:pPr>
      <w:r>
        <w:rPr>
          <w:rFonts w:hint="eastAsia" w:ascii="宋体"/>
          <w:kern w:val="0"/>
          <w:sz w:val="24"/>
        </w:rPr>
        <w:t>11.1　售后服务期限：</w:t>
      </w:r>
      <w:r>
        <w:rPr>
          <w:rFonts w:hint="eastAsia" w:ascii="宋体"/>
          <w:kern w:val="0"/>
          <w:sz w:val="24"/>
          <w:u w:val="single"/>
        </w:rPr>
        <w:t>　　　　　　　　　　　　　　　　　　　　</w:t>
      </w:r>
      <w:r>
        <w:rPr>
          <w:rFonts w:hint="eastAsia" w:ascii="宋体"/>
          <w:kern w:val="0"/>
          <w:sz w:val="24"/>
        </w:rPr>
        <w:t>。</w:t>
      </w:r>
    </w:p>
    <w:p>
      <w:pPr>
        <w:spacing w:line="360" w:lineRule="auto"/>
        <w:ind w:firstLine="480" w:firstLineChars="200"/>
        <w:jc w:val="left"/>
        <w:rPr>
          <w:rFonts w:hint="eastAsia" w:ascii="宋体"/>
          <w:kern w:val="0"/>
          <w:sz w:val="24"/>
        </w:rPr>
      </w:pPr>
      <w:r>
        <w:rPr>
          <w:rFonts w:hint="eastAsia" w:ascii="宋体"/>
          <w:kern w:val="0"/>
          <w:sz w:val="24"/>
        </w:rPr>
        <w:t>11.2　售后服务方式及响应时间：</w:t>
      </w:r>
      <w:r>
        <w:rPr>
          <w:rFonts w:hint="eastAsia" w:ascii="宋体"/>
          <w:kern w:val="0"/>
          <w:sz w:val="24"/>
          <w:u w:val="single"/>
        </w:rPr>
        <w:t>　　　　　　　　　　　　　　　　</w:t>
      </w:r>
      <w:r>
        <w:rPr>
          <w:rFonts w:hint="eastAsia" w:ascii="宋体"/>
          <w:kern w:val="0"/>
          <w:sz w:val="24"/>
        </w:rPr>
        <w:t>。</w:t>
      </w:r>
    </w:p>
    <w:p>
      <w:pPr>
        <w:spacing w:line="360" w:lineRule="auto"/>
        <w:ind w:firstLine="480" w:firstLineChars="200"/>
        <w:jc w:val="left"/>
        <w:rPr>
          <w:rFonts w:hint="eastAsia" w:ascii="宋体"/>
          <w:kern w:val="0"/>
          <w:sz w:val="24"/>
        </w:rPr>
      </w:pPr>
      <w:r>
        <w:rPr>
          <w:rFonts w:hint="eastAsia" w:ascii="宋体"/>
          <w:kern w:val="0"/>
          <w:sz w:val="24"/>
        </w:rPr>
        <w:t>11.3　售后服务期限内收费：</w:t>
      </w:r>
      <w:r>
        <w:rPr>
          <w:rFonts w:hint="eastAsia" w:ascii="宋体"/>
          <w:kern w:val="0"/>
          <w:sz w:val="24"/>
          <w:u w:val="single"/>
        </w:rPr>
        <w:t>　　　　　　　　　　　　　　　　　　</w:t>
      </w:r>
      <w:r>
        <w:rPr>
          <w:rFonts w:hint="eastAsia" w:ascii="宋体"/>
          <w:kern w:val="0"/>
          <w:sz w:val="24"/>
        </w:rPr>
        <w:t xml:space="preserve">。 </w:t>
      </w:r>
    </w:p>
    <w:p>
      <w:pPr>
        <w:spacing w:line="360" w:lineRule="auto"/>
        <w:ind w:firstLine="480" w:firstLineChars="200"/>
        <w:jc w:val="left"/>
        <w:rPr>
          <w:rFonts w:hint="eastAsia" w:ascii="宋体"/>
          <w:kern w:val="0"/>
          <w:sz w:val="24"/>
        </w:rPr>
      </w:pPr>
      <w:r>
        <w:rPr>
          <w:rFonts w:hint="eastAsia" w:ascii="宋体"/>
          <w:kern w:val="0"/>
          <w:sz w:val="24"/>
        </w:rPr>
        <w:t>11.4　其他：</w:t>
      </w:r>
      <w:r>
        <w:rPr>
          <w:rFonts w:hint="eastAsia" w:ascii="宋体"/>
          <w:b/>
          <w:bCs/>
          <w:kern w:val="0"/>
          <w:sz w:val="24"/>
          <w:u w:val="single"/>
        </w:rPr>
        <w:t>中标供应商与采购方签订合同后10个工作日内，在合同约定的工期内不能完成自建光纤网络的或没有自有光纤网络的，必须提供实施本项目的光纤网络租赁合同原件，逾期未能提供租赁合同或明显不能完成约定事项的，采购方有权中止合同，违约责任由中标方承担　</w:t>
      </w:r>
      <w:r>
        <w:rPr>
          <w:rFonts w:hint="eastAsia" w:ascii="宋体"/>
          <w:kern w:val="0"/>
          <w:sz w:val="24"/>
        </w:rPr>
        <w:t>。</w:t>
      </w:r>
    </w:p>
    <w:p>
      <w:pPr>
        <w:spacing w:line="360" w:lineRule="auto"/>
        <w:ind w:firstLine="480" w:firstLineChars="200"/>
        <w:jc w:val="left"/>
        <w:rPr>
          <w:rFonts w:hint="eastAsia" w:ascii="宋体"/>
          <w:kern w:val="0"/>
          <w:sz w:val="24"/>
        </w:rPr>
      </w:pPr>
      <w:r>
        <w:rPr>
          <w:rFonts w:hint="eastAsia" w:ascii="宋体"/>
          <w:kern w:val="0"/>
          <w:sz w:val="24"/>
        </w:rPr>
        <w:t>12　本合同依法签订，即具有法律效力。双方必须全面履行，不得单方擅自变更或解除。因故需要变更或解除合同，应双方协商，依法另立协议。</w:t>
      </w:r>
    </w:p>
    <w:p>
      <w:pPr>
        <w:spacing w:line="360" w:lineRule="auto"/>
        <w:ind w:firstLine="482" w:firstLineChars="200"/>
        <w:jc w:val="left"/>
        <w:rPr>
          <w:rFonts w:hint="eastAsia" w:ascii="宋体"/>
          <w:kern w:val="0"/>
          <w:sz w:val="24"/>
        </w:rPr>
      </w:pPr>
      <w:r>
        <w:rPr>
          <w:rFonts w:hint="eastAsia" w:ascii="宋体"/>
          <w:b/>
          <w:kern w:val="0"/>
          <w:sz w:val="24"/>
        </w:rPr>
        <w:t>13　本合同一式</w:t>
      </w:r>
      <w:r>
        <w:rPr>
          <w:rFonts w:hint="eastAsia" w:ascii="宋体"/>
          <w:b/>
          <w:kern w:val="0"/>
          <w:sz w:val="24"/>
          <w:u w:val="single"/>
        </w:rPr>
        <w:t xml:space="preserve">　　　 </w:t>
      </w:r>
      <w:r>
        <w:rPr>
          <w:rFonts w:hint="eastAsia" w:ascii="宋体"/>
          <w:b/>
          <w:kern w:val="0"/>
          <w:sz w:val="24"/>
        </w:rPr>
        <w:t>份，其中正本两份，采购人和中标人各执一份，副本</w:t>
      </w:r>
      <w:r>
        <w:rPr>
          <w:rFonts w:hint="eastAsia" w:ascii="宋体"/>
          <w:b/>
          <w:kern w:val="0"/>
          <w:sz w:val="24"/>
          <w:u w:val="single"/>
        </w:rPr>
        <w:t>　　　　</w:t>
      </w:r>
      <w:r>
        <w:rPr>
          <w:rFonts w:hint="eastAsia" w:ascii="宋体"/>
          <w:b/>
          <w:kern w:val="0"/>
          <w:sz w:val="24"/>
        </w:rPr>
        <w:t>份，抄送给绍兴市上虞区公共资源交易中心、绍兴市上虞区财政局、绍兴市上虞区招标投标监督办公室各一份。</w:t>
      </w:r>
    </w:p>
    <w:tbl>
      <w:tblPr>
        <w:tblStyle w:val="5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4" w:hRule="atLeast"/>
        </w:trPr>
        <w:tc>
          <w:tcPr>
            <w:tcW w:w="1440" w:type="dxa"/>
            <w:noWrap w:val="0"/>
            <w:vAlign w:val="center"/>
          </w:tcPr>
          <w:p>
            <w:pPr>
              <w:spacing w:line="360" w:lineRule="auto"/>
              <w:jc w:val="center"/>
              <w:rPr>
                <w:rFonts w:hint="eastAsia" w:ascii="宋体"/>
                <w:kern w:val="0"/>
                <w:sz w:val="24"/>
              </w:rPr>
            </w:pPr>
            <w:r>
              <w:rPr>
                <w:rFonts w:hint="eastAsia" w:ascii="宋体"/>
                <w:kern w:val="0"/>
                <w:sz w:val="24"/>
              </w:rPr>
              <w:t>供方单位</w:t>
            </w:r>
          </w:p>
        </w:tc>
        <w:tc>
          <w:tcPr>
            <w:tcW w:w="2340" w:type="dxa"/>
            <w:noWrap w:val="0"/>
            <w:vAlign w:val="center"/>
          </w:tcPr>
          <w:p>
            <w:pPr>
              <w:spacing w:line="360" w:lineRule="auto"/>
              <w:jc w:val="center"/>
              <w:rPr>
                <w:rFonts w:hint="eastAsia" w:ascii="宋体"/>
                <w:kern w:val="0"/>
                <w:sz w:val="24"/>
              </w:rPr>
            </w:pPr>
            <w:r>
              <w:rPr>
                <w:rFonts w:hint="eastAsia" w:ascii="宋体"/>
                <w:kern w:val="0"/>
                <w:sz w:val="24"/>
              </w:rPr>
              <w:t>（盖章）</w:t>
            </w:r>
          </w:p>
        </w:tc>
        <w:tc>
          <w:tcPr>
            <w:tcW w:w="1620" w:type="dxa"/>
            <w:noWrap w:val="0"/>
            <w:vAlign w:val="center"/>
          </w:tcPr>
          <w:p>
            <w:pPr>
              <w:spacing w:line="360" w:lineRule="auto"/>
              <w:jc w:val="center"/>
              <w:rPr>
                <w:rFonts w:hint="eastAsia" w:ascii="宋体"/>
                <w:kern w:val="0"/>
                <w:sz w:val="24"/>
              </w:rPr>
            </w:pPr>
            <w:r>
              <w:rPr>
                <w:rFonts w:hint="eastAsia" w:ascii="宋体"/>
                <w:kern w:val="0"/>
                <w:sz w:val="24"/>
              </w:rPr>
              <w:t>需方单位</w:t>
            </w:r>
          </w:p>
        </w:tc>
        <w:tc>
          <w:tcPr>
            <w:tcW w:w="2700" w:type="dxa"/>
            <w:noWrap w:val="0"/>
            <w:vAlign w:val="center"/>
          </w:tcPr>
          <w:p>
            <w:pPr>
              <w:spacing w:line="360" w:lineRule="auto"/>
              <w:jc w:val="center"/>
              <w:rPr>
                <w:rFonts w:hint="eastAsia" w:ascii="宋体"/>
                <w:kern w:val="0"/>
                <w:sz w:val="24"/>
              </w:rPr>
            </w:pPr>
            <w:r>
              <w:rPr>
                <w:rFonts w:hint="eastAsia" w:ascii="宋体"/>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5" w:hRule="atLeast"/>
        </w:trPr>
        <w:tc>
          <w:tcPr>
            <w:tcW w:w="1440" w:type="dxa"/>
            <w:noWrap w:val="0"/>
            <w:vAlign w:val="center"/>
          </w:tcPr>
          <w:p>
            <w:pPr>
              <w:spacing w:line="360" w:lineRule="auto"/>
              <w:jc w:val="center"/>
              <w:rPr>
                <w:rFonts w:hint="eastAsia" w:ascii="宋体"/>
                <w:kern w:val="0"/>
                <w:sz w:val="24"/>
              </w:rPr>
            </w:pPr>
            <w:r>
              <w:rPr>
                <w:rFonts w:hint="eastAsia" w:ascii="宋体"/>
                <w:kern w:val="0"/>
                <w:sz w:val="24"/>
              </w:rPr>
              <w:t>代表签名</w:t>
            </w:r>
          </w:p>
        </w:tc>
        <w:tc>
          <w:tcPr>
            <w:tcW w:w="2340" w:type="dxa"/>
            <w:noWrap w:val="0"/>
            <w:vAlign w:val="center"/>
          </w:tcPr>
          <w:p>
            <w:pPr>
              <w:spacing w:line="360" w:lineRule="auto"/>
              <w:jc w:val="center"/>
              <w:rPr>
                <w:rFonts w:hint="eastAsia" w:ascii="宋体"/>
                <w:kern w:val="0"/>
                <w:sz w:val="24"/>
              </w:rPr>
            </w:pPr>
          </w:p>
        </w:tc>
        <w:tc>
          <w:tcPr>
            <w:tcW w:w="1620" w:type="dxa"/>
            <w:noWrap w:val="0"/>
            <w:vAlign w:val="center"/>
          </w:tcPr>
          <w:p>
            <w:pPr>
              <w:spacing w:line="360" w:lineRule="auto"/>
              <w:jc w:val="center"/>
              <w:rPr>
                <w:rFonts w:hint="eastAsia" w:ascii="宋体"/>
                <w:kern w:val="0"/>
                <w:sz w:val="24"/>
              </w:rPr>
            </w:pPr>
            <w:r>
              <w:rPr>
                <w:rFonts w:hint="eastAsia" w:ascii="宋体"/>
                <w:kern w:val="0"/>
                <w:sz w:val="24"/>
              </w:rPr>
              <w:t>代表签名</w:t>
            </w:r>
          </w:p>
        </w:tc>
        <w:tc>
          <w:tcPr>
            <w:tcW w:w="2700" w:type="dxa"/>
            <w:noWrap w:val="0"/>
            <w:vAlign w:val="center"/>
          </w:tcPr>
          <w:p>
            <w:pPr>
              <w:spacing w:line="360" w:lineRule="auto"/>
              <w:jc w:val="center"/>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52" w:hRule="atLeast"/>
        </w:trPr>
        <w:tc>
          <w:tcPr>
            <w:tcW w:w="1440" w:type="dxa"/>
            <w:noWrap w:val="0"/>
            <w:vAlign w:val="center"/>
          </w:tcPr>
          <w:p>
            <w:pPr>
              <w:spacing w:line="360" w:lineRule="auto"/>
              <w:jc w:val="center"/>
              <w:rPr>
                <w:rFonts w:hint="eastAsia" w:ascii="宋体"/>
                <w:kern w:val="0"/>
                <w:sz w:val="24"/>
              </w:rPr>
            </w:pPr>
            <w:r>
              <w:rPr>
                <w:rFonts w:hint="eastAsia" w:ascii="宋体"/>
                <w:kern w:val="0"/>
                <w:sz w:val="24"/>
              </w:rPr>
              <w:t>地址</w:t>
            </w:r>
          </w:p>
        </w:tc>
        <w:tc>
          <w:tcPr>
            <w:tcW w:w="2340" w:type="dxa"/>
            <w:noWrap w:val="0"/>
            <w:vAlign w:val="center"/>
          </w:tcPr>
          <w:p>
            <w:pPr>
              <w:spacing w:line="360" w:lineRule="auto"/>
              <w:jc w:val="center"/>
              <w:rPr>
                <w:rFonts w:hint="eastAsia" w:ascii="宋体"/>
                <w:kern w:val="0"/>
                <w:sz w:val="24"/>
              </w:rPr>
            </w:pPr>
          </w:p>
        </w:tc>
        <w:tc>
          <w:tcPr>
            <w:tcW w:w="1620" w:type="dxa"/>
            <w:noWrap w:val="0"/>
            <w:vAlign w:val="center"/>
          </w:tcPr>
          <w:p>
            <w:pPr>
              <w:spacing w:line="360" w:lineRule="auto"/>
              <w:jc w:val="center"/>
              <w:rPr>
                <w:rFonts w:hint="eastAsia" w:ascii="宋体"/>
                <w:kern w:val="0"/>
                <w:sz w:val="24"/>
              </w:rPr>
            </w:pPr>
            <w:r>
              <w:rPr>
                <w:rFonts w:hint="eastAsia" w:ascii="宋体"/>
                <w:kern w:val="0"/>
                <w:sz w:val="24"/>
              </w:rPr>
              <w:t>地址</w:t>
            </w:r>
          </w:p>
        </w:tc>
        <w:tc>
          <w:tcPr>
            <w:tcW w:w="2700" w:type="dxa"/>
            <w:noWrap w:val="0"/>
            <w:vAlign w:val="center"/>
          </w:tcPr>
          <w:p>
            <w:pPr>
              <w:spacing w:line="360" w:lineRule="auto"/>
              <w:jc w:val="center"/>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1" w:hRule="atLeast"/>
        </w:trPr>
        <w:tc>
          <w:tcPr>
            <w:tcW w:w="1440" w:type="dxa"/>
            <w:noWrap w:val="0"/>
            <w:vAlign w:val="center"/>
          </w:tcPr>
          <w:p>
            <w:pPr>
              <w:spacing w:line="360" w:lineRule="auto"/>
              <w:jc w:val="center"/>
              <w:rPr>
                <w:rFonts w:hint="eastAsia" w:ascii="宋体"/>
                <w:kern w:val="0"/>
                <w:sz w:val="24"/>
              </w:rPr>
            </w:pPr>
            <w:r>
              <w:rPr>
                <w:rFonts w:hint="eastAsia" w:ascii="宋体"/>
                <w:kern w:val="0"/>
                <w:sz w:val="24"/>
              </w:rPr>
              <w:t>电话</w:t>
            </w:r>
          </w:p>
        </w:tc>
        <w:tc>
          <w:tcPr>
            <w:tcW w:w="2340" w:type="dxa"/>
            <w:noWrap w:val="0"/>
            <w:vAlign w:val="center"/>
          </w:tcPr>
          <w:p>
            <w:pPr>
              <w:spacing w:line="360" w:lineRule="auto"/>
              <w:jc w:val="center"/>
              <w:rPr>
                <w:rFonts w:hint="eastAsia" w:ascii="宋体"/>
                <w:kern w:val="0"/>
                <w:sz w:val="24"/>
              </w:rPr>
            </w:pPr>
          </w:p>
        </w:tc>
        <w:tc>
          <w:tcPr>
            <w:tcW w:w="1620" w:type="dxa"/>
            <w:noWrap w:val="0"/>
            <w:vAlign w:val="center"/>
          </w:tcPr>
          <w:p>
            <w:pPr>
              <w:spacing w:line="360" w:lineRule="auto"/>
              <w:jc w:val="center"/>
              <w:rPr>
                <w:rFonts w:hint="eastAsia" w:ascii="宋体"/>
                <w:kern w:val="0"/>
                <w:sz w:val="24"/>
              </w:rPr>
            </w:pPr>
            <w:r>
              <w:rPr>
                <w:rFonts w:hint="eastAsia" w:ascii="宋体"/>
                <w:kern w:val="0"/>
                <w:sz w:val="24"/>
              </w:rPr>
              <w:t>电话</w:t>
            </w:r>
          </w:p>
        </w:tc>
        <w:tc>
          <w:tcPr>
            <w:tcW w:w="2700" w:type="dxa"/>
            <w:noWrap w:val="0"/>
            <w:vAlign w:val="center"/>
          </w:tcPr>
          <w:p>
            <w:pPr>
              <w:spacing w:line="360" w:lineRule="auto"/>
              <w:jc w:val="center"/>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15" w:hRule="atLeast"/>
        </w:trPr>
        <w:tc>
          <w:tcPr>
            <w:tcW w:w="1440" w:type="dxa"/>
            <w:noWrap w:val="0"/>
            <w:vAlign w:val="center"/>
          </w:tcPr>
          <w:p>
            <w:pPr>
              <w:spacing w:line="360" w:lineRule="auto"/>
              <w:jc w:val="center"/>
              <w:rPr>
                <w:rFonts w:hint="eastAsia" w:ascii="宋体"/>
                <w:kern w:val="0"/>
                <w:sz w:val="24"/>
              </w:rPr>
            </w:pPr>
            <w:r>
              <w:rPr>
                <w:rFonts w:hint="eastAsia" w:ascii="宋体"/>
                <w:kern w:val="0"/>
                <w:sz w:val="24"/>
              </w:rPr>
              <w:t>开户银行</w:t>
            </w:r>
          </w:p>
        </w:tc>
        <w:tc>
          <w:tcPr>
            <w:tcW w:w="2340" w:type="dxa"/>
            <w:noWrap w:val="0"/>
            <w:vAlign w:val="center"/>
          </w:tcPr>
          <w:p>
            <w:pPr>
              <w:spacing w:line="360" w:lineRule="auto"/>
              <w:jc w:val="center"/>
              <w:rPr>
                <w:rFonts w:hint="eastAsia" w:ascii="宋体"/>
                <w:kern w:val="0"/>
                <w:sz w:val="24"/>
              </w:rPr>
            </w:pPr>
          </w:p>
        </w:tc>
        <w:tc>
          <w:tcPr>
            <w:tcW w:w="1620" w:type="dxa"/>
            <w:noWrap w:val="0"/>
            <w:vAlign w:val="center"/>
          </w:tcPr>
          <w:p>
            <w:pPr>
              <w:spacing w:line="360" w:lineRule="auto"/>
              <w:jc w:val="center"/>
              <w:rPr>
                <w:rFonts w:hint="eastAsia" w:ascii="宋体"/>
                <w:kern w:val="0"/>
                <w:sz w:val="24"/>
              </w:rPr>
            </w:pPr>
            <w:r>
              <w:rPr>
                <w:rFonts w:hint="eastAsia" w:ascii="宋体"/>
                <w:kern w:val="0"/>
                <w:sz w:val="24"/>
              </w:rPr>
              <w:t>开户银行</w:t>
            </w:r>
          </w:p>
        </w:tc>
        <w:tc>
          <w:tcPr>
            <w:tcW w:w="2700" w:type="dxa"/>
            <w:noWrap w:val="0"/>
            <w:vAlign w:val="center"/>
          </w:tcPr>
          <w:p>
            <w:pPr>
              <w:spacing w:line="360" w:lineRule="auto"/>
              <w:jc w:val="center"/>
              <w:rPr>
                <w:rFonts w:hint="eastAsia"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15" w:hRule="atLeast"/>
        </w:trPr>
        <w:tc>
          <w:tcPr>
            <w:tcW w:w="1440" w:type="dxa"/>
            <w:noWrap w:val="0"/>
            <w:vAlign w:val="center"/>
          </w:tcPr>
          <w:p>
            <w:pPr>
              <w:spacing w:line="360" w:lineRule="auto"/>
              <w:jc w:val="center"/>
              <w:rPr>
                <w:rFonts w:hint="eastAsia" w:ascii="宋体"/>
                <w:kern w:val="0"/>
                <w:sz w:val="24"/>
              </w:rPr>
            </w:pPr>
            <w:r>
              <w:rPr>
                <w:rFonts w:hint="eastAsia" w:ascii="宋体"/>
                <w:kern w:val="0"/>
                <w:sz w:val="24"/>
              </w:rPr>
              <w:t>帐号</w:t>
            </w:r>
          </w:p>
        </w:tc>
        <w:tc>
          <w:tcPr>
            <w:tcW w:w="2340" w:type="dxa"/>
            <w:noWrap w:val="0"/>
            <w:vAlign w:val="center"/>
          </w:tcPr>
          <w:p>
            <w:pPr>
              <w:spacing w:line="360" w:lineRule="auto"/>
              <w:jc w:val="center"/>
              <w:rPr>
                <w:rFonts w:hint="eastAsia" w:ascii="宋体"/>
                <w:kern w:val="0"/>
                <w:sz w:val="24"/>
              </w:rPr>
            </w:pPr>
          </w:p>
        </w:tc>
        <w:tc>
          <w:tcPr>
            <w:tcW w:w="1620" w:type="dxa"/>
            <w:noWrap w:val="0"/>
            <w:vAlign w:val="center"/>
          </w:tcPr>
          <w:p>
            <w:pPr>
              <w:spacing w:line="360" w:lineRule="auto"/>
              <w:jc w:val="center"/>
              <w:rPr>
                <w:rFonts w:hint="eastAsia" w:ascii="宋体"/>
                <w:kern w:val="0"/>
                <w:sz w:val="24"/>
              </w:rPr>
            </w:pPr>
            <w:r>
              <w:rPr>
                <w:rFonts w:hint="eastAsia" w:ascii="宋体"/>
                <w:kern w:val="0"/>
                <w:sz w:val="24"/>
              </w:rPr>
              <w:t>帐号</w:t>
            </w:r>
          </w:p>
        </w:tc>
        <w:tc>
          <w:tcPr>
            <w:tcW w:w="2700" w:type="dxa"/>
            <w:noWrap w:val="0"/>
            <w:vAlign w:val="center"/>
          </w:tcPr>
          <w:p>
            <w:pPr>
              <w:spacing w:line="360" w:lineRule="auto"/>
              <w:jc w:val="center"/>
              <w:rPr>
                <w:rFonts w:hint="eastAsia" w:ascii="宋体"/>
                <w:kern w:val="0"/>
                <w:sz w:val="24"/>
              </w:rPr>
            </w:pPr>
          </w:p>
        </w:tc>
      </w:tr>
    </w:tbl>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ascii="宋体" w:hAnsi="宋体"/>
          <w:b/>
          <w:sz w:val="32"/>
          <w:szCs w:val="20"/>
        </w:rPr>
      </w:pPr>
    </w:p>
    <w:p>
      <w:pPr>
        <w:rPr>
          <w:rFonts w:hint="eastAsia"/>
        </w:rPr>
      </w:pPr>
    </w:p>
    <w:p>
      <w:pPr>
        <w:pStyle w:val="2"/>
        <w:spacing w:line="360" w:lineRule="auto"/>
        <w:rPr>
          <w:rFonts w:hint="eastAsia" w:ascii="黑体" w:eastAsia="黑体"/>
          <w:b w:val="0"/>
          <w:sz w:val="32"/>
        </w:rPr>
      </w:pPr>
      <w:bookmarkStart w:id="37" w:name="_Toc2852598"/>
      <w:r>
        <w:rPr>
          <w:rFonts w:hint="eastAsia" w:ascii="黑体" w:eastAsia="黑体"/>
          <w:sz w:val="32"/>
        </w:rPr>
        <w:t>第六部分   附件</w:t>
      </w:r>
      <w:r>
        <w:rPr>
          <w:rFonts w:ascii="黑体" w:eastAsia="黑体"/>
          <w:sz w:val="32"/>
        </w:rPr>
        <w:t>—</w:t>
      </w:r>
      <w:r>
        <w:rPr>
          <w:rFonts w:hint="eastAsia" w:ascii="黑体" w:eastAsia="黑体"/>
          <w:sz w:val="32"/>
        </w:rPr>
        <w:t>投标文件格式</w:t>
      </w:r>
      <w:bookmarkEnd w:id="37"/>
    </w:p>
    <w:p>
      <w:pPr>
        <w:spacing w:line="360" w:lineRule="auto"/>
        <w:rPr>
          <w:rFonts w:hint="eastAsia"/>
        </w:rPr>
      </w:pPr>
    </w:p>
    <w:p>
      <w:pPr>
        <w:pStyle w:val="3"/>
        <w:spacing w:line="360" w:lineRule="auto"/>
        <w:jc w:val="center"/>
        <w:rPr>
          <w:rFonts w:hint="eastAsia" w:hAnsi="宋体"/>
        </w:rPr>
      </w:pPr>
      <w:bookmarkStart w:id="38" w:name="_Toc2852599"/>
      <w:r>
        <w:rPr>
          <w:rFonts w:hint="eastAsia" w:hAnsi="宋体"/>
        </w:rPr>
        <w:t>附件一</w:t>
      </w:r>
      <w:r>
        <w:rPr>
          <w:rFonts w:hint="eastAsia" w:hAnsi="宋体"/>
          <w:b w:val="0"/>
        </w:rPr>
        <w:t>、</w:t>
      </w:r>
      <w:r>
        <w:rPr>
          <w:rFonts w:hint="eastAsia" w:hAnsi="宋体"/>
        </w:rPr>
        <w:t>法定代表人身份证明书</w:t>
      </w:r>
      <w:bookmarkEnd w:id="38"/>
    </w:p>
    <w:p>
      <w:pPr>
        <w:spacing w:line="360" w:lineRule="auto"/>
        <w:rPr>
          <w:rFonts w:hint="eastAsia" w:ascii="仿宋_GB2312" w:hAnsi="宋体" w:eastAsia="仿宋_GB2312"/>
          <w:b/>
          <w:sz w:val="24"/>
          <w:u w:val="single"/>
        </w:rPr>
      </w:pPr>
      <w:r>
        <w:rPr>
          <w:rFonts w:hint="eastAsia" w:ascii="仿宋_GB2312" w:hAnsi="宋体" w:eastAsia="仿宋_GB2312"/>
          <w:b/>
          <w:sz w:val="24"/>
          <w:u w:val="single"/>
        </w:rPr>
        <w:t>法定代表人身份证明书(格式，放入资信标资料部分内)</w:t>
      </w:r>
    </w:p>
    <w:p>
      <w:pPr>
        <w:spacing w:line="360" w:lineRule="auto"/>
        <w:rPr>
          <w:rFonts w:hint="eastAsia" w:ascii="仿宋_GB2312" w:hAnsi="宋体" w:eastAsia="仿宋_GB2312"/>
          <w:sz w:val="24"/>
        </w:rPr>
      </w:pPr>
      <w:r>
        <w:rPr>
          <w:rFonts w:hint="eastAsia" w:ascii="仿宋_GB2312" w:hAnsi="宋体" w:eastAsia="仿宋_GB2312"/>
          <w:sz w:val="24"/>
        </w:rPr>
        <w:t>投 标 人：</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rPr>
      </w:pPr>
      <w:r>
        <w:rPr>
          <w:rFonts w:hint="eastAsia" w:ascii="仿宋_GB2312" w:hAnsi="宋体" w:eastAsia="仿宋_GB2312"/>
          <w:sz w:val="24"/>
        </w:rPr>
        <w:t>职   务：</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w:t>
      </w:r>
      <w:r>
        <w:rPr>
          <w:rFonts w:hint="eastAsia" w:ascii="仿宋_GB2312" w:hAnsi="宋体" w:eastAsia="仿宋_GB2312"/>
          <w:sz w:val="24"/>
        </w:rPr>
        <w:t>（投标人名称）的法定代表人。</w:t>
      </w:r>
    </w:p>
    <w:p>
      <w:pPr>
        <w:spacing w:line="360" w:lineRule="auto"/>
        <w:rPr>
          <w:rFonts w:hint="eastAsia" w:ascii="仿宋_GB2312" w:hAnsi="宋体" w:eastAsia="仿宋_GB2312"/>
          <w:sz w:val="24"/>
        </w:rPr>
      </w:pPr>
      <w:r>
        <w:rPr>
          <w:rFonts w:hint="eastAsia" w:ascii="仿宋_GB2312" w:hAnsi="宋体" w:eastAsia="仿宋_GB2312"/>
          <w:sz w:val="24"/>
        </w:rPr>
        <w:t>特此证明。</w:t>
      </w:r>
    </w:p>
    <w:p>
      <w:pPr>
        <w:spacing w:line="360" w:lineRule="auto"/>
        <w:rPr>
          <w:rFonts w:ascii="仿宋_GB2312" w:hAnsi="宋体" w:eastAsia="仿宋_GB2312"/>
          <w:color w:val="008000"/>
          <w:sz w:val="24"/>
        </w:rPr>
      </w:pPr>
    </w:p>
    <w:p>
      <w:pPr>
        <w:spacing w:line="360" w:lineRule="auto"/>
        <w:rPr>
          <w:rFonts w:hint="eastAsia" w:ascii="仿宋_GB2312" w:hAnsi="宋体" w:eastAsia="仿宋_GB2312"/>
          <w:sz w:val="24"/>
        </w:rPr>
      </w:pPr>
      <w:r>
        <w:rPr>
          <w:rFonts w:hint="eastAsia" w:ascii="仿宋_GB2312" w:hAnsi="宋体" w:eastAsia="仿宋_GB2312"/>
          <w:sz w:val="24"/>
        </w:rPr>
        <w:t>投标人：                             （盖章）</w:t>
      </w:r>
    </w:p>
    <w:p>
      <w:pPr>
        <w:spacing w:line="360" w:lineRule="auto"/>
        <w:ind w:right="480"/>
        <w:rPr>
          <w:rFonts w:hint="eastAsia" w:ascii="仿宋_GB2312" w:hAnsi="宋体" w:eastAsia="仿宋_GB2312"/>
          <w:sz w:val="24"/>
        </w:rPr>
      </w:pPr>
    </w:p>
    <w:p>
      <w:pPr>
        <w:spacing w:line="360" w:lineRule="auto"/>
        <w:ind w:right="960" w:firstLine="6000" w:firstLineChars="2500"/>
        <w:jc w:val="left"/>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b/>
          <w:sz w:val="24"/>
        </w:rPr>
      </w:pPr>
      <w:r>
        <w:rPr>
          <w:rFonts w:hint="eastAsia" w:ascii="仿宋_GB2312" w:hAnsi="宋体" w:eastAsia="仿宋_GB2312"/>
          <w:b/>
          <w:sz w:val="24"/>
        </w:rPr>
        <w:t>附：法定代表人身份证复印件（正反面）</w:t>
      </w: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pStyle w:val="3"/>
        <w:spacing w:line="360" w:lineRule="auto"/>
        <w:jc w:val="center"/>
        <w:rPr>
          <w:rFonts w:hint="eastAsia" w:hAnsi="宋体"/>
          <w:color w:val="000000"/>
        </w:rPr>
      </w:pPr>
      <w:bookmarkStart w:id="39" w:name="_Toc2852600"/>
      <w:r>
        <w:rPr>
          <w:rFonts w:hint="eastAsia" w:hAnsi="宋体"/>
          <w:color w:val="000000"/>
        </w:rPr>
        <w:t>附件二</w:t>
      </w:r>
      <w:r>
        <w:rPr>
          <w:rFonts w:hint="eastAsia" w:hAnsi="宋体"/>
          <w:b w:val="0"/>
          <w:color w:val="000000"/>
        </w:rPr>
        <w:t>、</w:t>
      </w:r>
      <w:r>
        <w:rPr>
          <w:rFonts w:hint="eastAsia" w:hAnsi="宋体"/>
          <w:color w:val="000000"/>
        </w:rPr>
        <w:t>法定代表人授权书</w:t>
      </w:r>
      <w:bookmarkEnd w:id="39"/>
    </w:p>
    <w:p>
      <w:pPr>
        <w:pStyle w:val="4"/>
        <w:spacing w:line="360" w:lineRule="auto"/>
        <w:rPr>
          <w:rFonts w:hint="eastAsia"/>
          <w:lang w:eastAsia="zh-CN"/>
        </w:rPr>
      </w:pPr>
    </w:p>
    <w:p>
      <w:pPr>
        <w:pStyle w:val="27"/>
        <w:adjustRightInd w:val="0"/>
        <w:snapToGrid w:val="0"/>
        <w:spacing w:line="420" w:lineRule="auto"/>
        <w:rPr>
          <w:rFonts w:hint="eastAsia" w:hAnsi="宋体"/>
          <w:color w:val="000000"/>
          <w:sz w:val="24"/>
        </w:rPr>
      </w:pPr>
      <w:r>
        <w:rPr>
          <w:rFonts w:hint="eastAsia"/>
          <w:color w:val="000000"/>
          <w:sz w:val="24"/>
        </w:rPr>
        <w:t>绍兴市公安局上虞区分局</w:t>
      </w:r>
      <w:r>
        <w:rPr>
          <w:rFonts w:hint="eastAsia" w:hAnsi="宋体"/>
          <w:color w:val="000000"/>
          <w:sz w:val="24"/>
        </w:rPr>
        <w:t>：</w:t>
      </w:r>
    </w:p>
    <w:p>
      <w:pPr>
        <w:pStyle w:val="27"/>
        <w:adjustRightInd w:val="0"/>
        <w:snapToGrid w:val="0"/>
        <w:spacing w:line="360" w:lineRule="auto"/>
        <w:rPr>
          <w:rFonts w:hint="eastAsia" w:hAnsi="宋体"/>
          <w:color w:val="000000"/>
          <w:sz w:val="24"/>
        </w:rPr>
      </w:pPr>
      <w:r>
        <w:rPr>
          <w:rFonts w:hint="eastAsia" w:hAnsi="宋体"/>
          <w:color w:val="000000"/>
          <w:sz w:val="24"/>
        </w:rPr>
        <w:t>绍兴市上虞区公共资源交易中心：</w:t>
      </w:r>
    </w:p>
    <w:p>
      <w:pPr>
        <w:pStyle w:val="27"/>
        <w:adjustRightInd w:val="0"/>
        <w:snapToGrid w:val="0"/>
        <w:spacing w:line="360" w:lineRule="auto"/>
        <w:rPr>
          <w:rFonts w:hint="eastAsia" w:hAnsi="宋体"/>
          <w:color w:val="000000"/>
          <w:sz w:val="24"/>
        </w:rPr>
      </w:pPr>
    </w:p>
    <w:p>
      <w:pPr>
        <w:pStyle w:val="27"/>
        <w:adjustRightInd w:val="0"/>
        <w:snapToGrid w:val="0"/>
        <w:spacing w:line="360" w:lineRule="auto"/>
        <w:ind w:firstLine="480"/>
        <w:rPr>
          <w:rFonts w:hint="eastAsia" w:hAnsi="宋体"/>
          <w:color w:val="000000"/>
          <w:sz w:val="24"/>
        </w:rPr>
      </w:pP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rPr>
        <w:t>（投标人全称</w:t>
      </w:r>
      <w:r>
        <w:rPr>
          <w:rFonts w:hint="eastAsia" w:hAnsi="宋体"/>
          <w:color w:val="000000"/>
          <w:sz w:val="32"/>
        </w:rPr>
        <w:t>）</w:t>
      </w:r>
      <w:r>
        <w:rPr>
          <w:rFonts w:hint="eastAsia" w:hAnsi="宋体"/>
          <w:color w:val="000000"/>
          <w:sz w:val="24"/>
        </w:rPr>
        <w:t>法定代表人</w:t>
      </w:r>
      <w:r>
        <w:rPr>
          <w:rFonts w:hint="eastAsia" w:hAnsi="宋体"/>
          <w:color w:val="000000"/>
          <w:sz w:val="24"/>
          <w:u w:val="single"/>
        </w:rPr>
        <w:t xml:space="preserve">         </w:t>
      </w:r>
      <w:r>
        <w:rPr>
          <w:rFonts w:hint="eastAsia" w:hAnsi="宋体"/>
          <w:color w:val="000000"/>
          <w:sz w:val="24"/>
        </w:rPr>
        <w:t xml:space="preserve">授权 </w:t>
      </w:r>
      <w:r>
        <w:rPr>
          <w:rFonts w:hint="eastAsia" w:hAnsi="宋体"/>
          <w:color w:val="000000"/>
          <w:sz w:val="24"/>
          <w:u w:val="single"/>
        </w:rPr>
        <w:t xml:space="preserve">        </w:t>
      </w:r>
      <w:r>
        <w:rPr>
          <w:rFonts w:hint="eastAsia" w:hAnsi="宋体"/>
          <w:color w:val="000000"/>
          <w:sz w:val="24"/>
        </w:rPr>
        <w:t>（全权代表名称）为全权代表，参加贵处组织的</w:t>
      </w:r>
      <w:r>
        <w:rPr>
          <w:rFonts w:hAnsi="宋体"/>
          <w:color w:val="000000"/>
          <w:sz w:val="24"/>
        </w:rPr>
        <w:t xml:space="preserve"> </w:t>
      </w:r>
      <w:r>
        <w:rPr>
          <w:rFonts w:hint="eastAsia" w:hAnsi="宋体"/>
          <w:color w:val="000000"/>
          <w:sz w:val="24"/>
          <w:u w:val="single"/>
        </w:rPr>
        <w:t xml:space="preserve">                  </w:t>
      </w:r>
      <w:r>
        <w:rPr>
          <w:rFonts w:hint="eastAsia" w:hAnsi="宋体"/>
          <w:color w:val="000000"/>
          <w:sz w:val="24"/>
        </w:rPr>
        <w:t>项目（括号内填写招标编号），全权处理招投标活动中的一切事宜。</w:t>
      </w:r>
    </w:p>
    <w:p>
      <w:pPr>
        <w:pStyle w:val="27"/>
        <w:adjustRightInd w:val="0"/>
        <w:snapToGrid w:val="0"/>
        <w:spacing w:line="360" w:lineRule="auto"/>
        <w:rPr>
          <w:rFonts w:hint="eastAsia" w:hAnsi="宋体"/>
          <w:color w:val="000000"/>
          <w:sz w:val="24"/>
        </w:rPr>
      </w:pPr>
    </w:p>
    <w:p>
      <w:pPr>
        <w:pStyle w:val="27"/>
        <w:adjustRightInd w:val="0"/>
        <w:snapToGrid w:val="0"/>
        <w:spacing w:line="360" w:lineRule="auto"/>
        <w:rPr>
          <w:rFonts w:hint="eastAsia" w:hAnsi="宋体"/>
          <w:color w:val="000000"/>
          <w:sz w:val="24"/>
        </w:rPr>
      </w:pPr>
      <w:r>
        <w:rPr>
          <w:rFonts w:hint="eastAsia" w:hAnsi="宋体"/>
          <w:color w:val="000000"/>
          <w:sz w:val="24"/>
        </w:rPr>
        <w:t>法定代表人签字：</w:t>
      </w:r>
    </w:p>
    <w:p>
      <w:pPr>
        <w:pStyle w:val="27"/>
        <w:adjustRightInd w:val="0"/>
        <w:snapToGrid w:val="0"/>
        <w:spacing w:line="360" w:lineRule="auto"/>
        <w:rPr>
          <w:rFonts w:hint="eastAsia" w:hAnsi="宋体"/>
          <w:color w:val="000000"/>
          <w:sz w:val="24"/>
        </w:rPr>
      </w:pPr>
      <w:r>
        <w:rPr>
          <w:rFonts w:hint="eastAsia" w:hAnsi="宋体"/>
          <w:color w:val="000000"/>
          <w:sz w:val="24"/>
        </w:rPr>
        <w:t>投标人全称：</w:t>
      </w:r>
    </w:p>
    <w:p>
      <w:pPr>
        <w:pStyle w:val="27"/>
        <w:adjustRightInd w:val="0"/>
        <w:snapToGrid w:val="0"/>
        <w:spacing w:line="360" w:lineRule="auto"/>
        <w:rPr>
          <w:rFonts w:hint="eastAsia" w:hAnsi="宋体"/>
          <w:color w:val="000000"/>
          <w:sz w:val="24"/>
        </w:rPr>
      </w:pPr>
      <w:r>
        <w:rPr>
          <w:rFonts w:hint="eastAsia" w:hAnsi="宋体"/>
          <w:color w:val="000000"/>
          <w:sz w:val="24"/>
        </w:rPr>
        <w:t>日期：</w:t>
      </w:r>
    </w:p>
    <w:p>
      <w:pPr>
        <w:pStyle w:val="27"/>
        <w:adjustRightInd w:val="0"/>
        <w:snapToGrid w:val="0"/>
        <w:spacing w:line="360" w:lineRule="auto"/>
        <w:rPr>
          <w:rFonts w:hint="eastAsia" w:hAnsi="宋体"/>
          <w:color w:val="000000"/>
          <w:sz w:val="24"/>
        </w:rPr>
      </w:pPr>
      <w:r>
        <w:rPr>
          <w:rFonts w:hint="eastAsia" w:hAnsi="宋体"/>
          <w:color w:val="000000"/>
          <w:sz w:val="24"/>
        </w:rPr>
        <w:t>附：</w:t>
      </w:r>
    </w:p>
    <w:p>
      <w:pPr>
        <w:pStyle w:val="27"/>
        <w:adjustRightInd w:val="0"/>
        <w:snapToGrid w:val="0"/>
        <w:spacing w:line="360" w:lineRule="auto"/>
        <w:rPr>
          <w:rFonts w:hint="eastAsia" w:hAnsi="宋体"/>
          <w:color w:val="000000"/>
          <w:sz w:val="24"/>
        </w:rPr>
      </w:pPr>
      <w:r>
        <w:rPr>
          <w:rFonts w:hint="eastAsia" w:hAnsi="宋体"/>
          <w:color w:val="000000"/>
          <w:sz w:val="24"/>
        </w:rPr>
        <w:t>全权代表姓名：</w:t>
      </w:r>
    </w:p>
    <w:p>
      <w:pPr>
        <w:pStyle w:val="27"/>
        <w:adjustRightInd w:val="0"/>
        <w:snapToGrid w:val="0"/>
        <w:spacing w:line="360" w:lineRule="auto"/>
        <w:rPr>
          <w:rFonts w:hint="eastAsia" w:hAnsi="宋体"/>
          <w:color w:val="000000"/>
          <w:sz w:val="24"/>
        </w:rPr>
      </w:pPr>
      <w:r>
        <w:rPr>
          <w:rFonts w:hint="eastAsia" w:hAnsi="宋体"/>
          <w:color w:val="000000"/>
          <w:sz w:val="24"/>
        </w:rPr>
        <w:t>职务：</w:t>
      </w:r>
    </w:p>
    <w:p>
      <w:pPr>
        <w:pStyle w:val="27"/>
        <w:adjustRightInd w:val="0"/>
        <w:snapToGrid w:val="0"/>
        <w:spacing w:line="360" w:lineRule="auto"/>
        <w:rPr>
          <w:rFonts w:hint="eastAsia" w:hAnsi="宋体"/>
          <w:color w:val="000000"/>
          <w:sz w:val="24"/>
        </w:rPr>
      </w:pPr>
      <w:r>
        <w:rPr>
          <w:rFonts w:hint="eastAsia" w:hAnsi="宋体"/>
          <w:color w:val="000000"/>
          <w:sz w:val="24"/>
        </w:rPr>
        <w:t>详细通讯地址：</w:t>
      </w:r>
    </w:p>
    <w:p>
      <w:pPr>
        <w:pStyle w:val="27"/>
        <w:adjustRightInd w:val="0"/>
        <w:snapToGrid w:val="0"/>
        <w:spacing w:line="360" w:lineRule="auto"/>
        <w:rPr>
          <w:rFonts w:hint="eastAsia" w:hAnsi="宋体"/>
          <w:color w:val="000000"/>
          <w:sz w:val="24"/>
        </w:rPr>
      </w:pPr>
      <w:r>
        <w:rPr>
          <w:rFonts w:hint="eastAsia" w:hAnsi="宋体"/>
          <w:color w:val="000000"/>
          <w:sz w:val="24"/>
        </w:rPr>
        <w:t>传真：</w:t>
      </w:r>
    </w:p>
    <w:p>
      <w:pPr>
        <w:pStyle w:val="27"/>
        <w:adjustRightInd w:val="0"/>
        <w:snapToGrid w:val="0"/>
        <w:spacing w:line="360" w:lineRule="auto"/>
        <w:rPr>
          <w:rFonts w:hint="eastAsia" w:hAnsi="宋体"/>
          <w:color w:val="000000"/>
          <w:sz w:val="24"/>
        </w:rPr>
      </w:pPr>
      <w:r>
        <w:rPr>
          <w:rFonts w:hint="eastAsia" w:hAnsi="宋体"/>
          <w:color w:val="000000"/>
          <w:sz w:val="24"/>
        </w:rPr>
        <w:t>电话：</w:t>
      </w:r>
    </w:p>
    <w:p>
      <w:pPr>
        <w:pStyle w:val="27"/>
        <w:adjustRightInd w:val="0"/>
        <w:snapToGrid w:val="0"/>
        <w:spacing w:line="360" w:lineRule="auto"/>
        <w:rPr>
          <w:rFonts w:hint="eastAsia" w:hAnsi="宋体"/>
          <w:color w:val="000000"/>
          <w:sz w:val="24"/>
        </w:rPr>
      </w:pPr>
      <w:r>
        <w:rPr>
          <w:rFonts w:hint="eastAsia" w:hAnsi="宋体"/>
          <w:color w:val="000000"/>
          <w:sz w:val="24"/>
        </w:rPr>
        <w:t>邮政编码：</w:t>
      </w:r>
    </w:p>
    <w:p>
      <w:pPr>
        <w:pStyle w:val="27"/>
        <w:adjustRightInd w:val="0"/>
        <w:snapToGrid w:val="0"/>
        <w:spacing w:line="360" w:lineRule="auto"/>
        <w:rPr>
          <w:rFonts w:hint="eastAsia" w:hAnsi="宋体"/>
          <w:color w:val="000000"/>
          <w:sz w:val="24"/>
        </w:rPr>
      </w:pPr>
    </w:p>
    <w:p>
      <w:pPr>
        <w:pStyle w:val="27"/>
        <w:adjustRightInd w:val="0"/>
        <w:snapToGrid w:val="0"/>
        <w:spacing w:line="360" w:lineRule="auto"/>
        <w:rPr>
          <w:rFonts w:hint="eastAsia" w:hAnsi="宋体"/>
          <w:color w:val="000000"/>
          <w:sz w:val="24"/>
        </w:rPr>
      </w:pPr>
    </w:p>
    <w:p>
      <w:pPr>
        <w:pStyle w:val="27"/>
        <w:adjustRightInd w:val="0"/>
        <w:snapToGrid w:val="0"/>
        <w:spacing w:line="360" w:lineRule="auto"/>
        <w:rPr>
          <w:rFonts w:hint="eastAsia" w:hAnsi="宋体"/>
          <w:color w:val="000000"/>
          <w:sz w:val="24"/>
        </w:rPr>
      </w:pPr>
    </w:p>
    <w:p>
      <w:pPr>
        <w:spacing w:line="360" w:lineRule="auto"/>
        <w:rPr>
          <w:rFonts w:hint="eastAsia" w:ascii="仿宋_GB2312" w:hAnsi="宋体" w:eastAsia="仿宋_GB2312"/>
          <w:b/>
          <w:sz w:val="24"/>
        </w:rPr>
      </w:pPr>
      <w:r>
        <w:rPr>
          <w:rFonts w:hint="eastAsia" w:ascii="仿宋_GB2312" w:hAnsi="宋体" w:eastAsia="仿宋_GB2312"/>
          <w:b/>
          <w:sz w:val="24"/>
        </w:rPr>
        <w:t>附：全权代表身份证复印件（正反面）</w:t>
      </w: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pStyle w:val="3"/>
        <w:spacing w:line="360" w:lineRule="auto"/>
        <w:jc w:val="center"/>
        <w:rPr>
          <w:rFonts w:hint="eastAsia" w:hAnsi="宋体"/>
          <w:color w:val="000000"/>
        </w:rPr>
      </w:pPr>
      <w:bookmarkStart w:id="40" w:name="_Toc2852601"/>
      <w:r>
        <w:rPr>
          <w:rFonts w:hint="eastAsia" w:hAnsi="宋体"/>
          <w:color w:val="000000"/>
        </w:rPr>
        <w:t>附件三</w:t>
      </w:r>
      <w:r>
        <w:rPr>
          <w:rFonts w:hint="eastAsia" w:hAnsi="宋体"/>
          <w:b w:val="0"/>
          <w:color w:val="000000"/>
        </w:rPr>
        <w:t>、</w:t>
      </w:r>
      <w:r>
        <w:rPr>
          <w:rFonts w:hint="eastAsia" w:hAnsi="宋体"/>
          <w:color w:val="000000"/>
        </w:rPr>
        <w:t>个体工商户身份证明书</w:t>
      </w:r>
      <w:bookmarkEnd w:id="40"/>
    </w:p>
    <w:p>
      <w:pPr>
        <w:spacing w:line="360" w:lineRule="auto"/>
        <w:rPr>
          <w:rFonts w:hint="eastAsia" w:ascii="仿宋_GB2312" w:hAnsi="宋体" w:eastAsia="仿宋_GB2312"/>
          <w:b/>
          <w:sz w:val="24"/>
          <w:u w:val="single"/>
        </w:rPr>
      </w:pPr>
      <w:r>
        <w:rPr>
          <w:rFonts w:hint="eastAsia" w:ascii="仿宋_GB2312" w:hAnsi="宋体" w:eastAsia="仿宋_GB2312"/>
          <w:b/>
          <w:sz w:val="24"/>
          <w:u w:val="single"/>
        </w:rPr>
        <w:t>个体工商户身份证明书(格式，放入资信标资料部分内)</w:t>
      </w:r>
    </w:p>
    <w:p>
      <w:pPr>
        <w:spacing w:line="360" w:lineRule="auto"/>
        <w:rPr>
          <w:rFonts w:hint="eastAsia" w:ascii="仿宋_GB2312" w:hAnsi="宋体" w:eastAsia="仿宋_GB2312"/>
          <w:sz w:val="24"/>
        </w:rPr>
      </w:pPr>
      <w:r>
        <w:rPr>
          <w:rFonts w:hint="eastAsia" w:ascii="仿宋_GB2312" w:hAnsi="宋体" w:eastAsia="仿宋_GB2312"/>
          <w:sz w:val="24"/>
        </w:rPr>
        <w:t>投 标 人：</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p>
    <w:p>
      <w:pPr>
        <w:spacing w:line="360" w:lineRule="auto"/>
        <w:ind w:right="281" w:rightChars="134"/>
        <w:rPr>
          <w:rFonts w:hint="eastAsia" w:ascii="仿宋_GB2312" w:hAnsi="宋体" w:eastAsia="仿宋_GB2312"/>
          <w:sz w:val="24"/>
        </w:rPr>
      </w:pPr>
      <w:r>
        <w:rPr>
          <w:rFonts w:hint="eastAsia" w:ascii="仿宋_GB2312" w:hAnsi="宋体" w:eastAsia="仿宋_GB2312"/>
          <w:sz w:val="24"/>
        </w:rPr>
        <w:t>职   务：</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w:t>
      </w:r>
      <w:r>
        <w:rPr>
          <w:rFonts w:hint="eastAsia" w:ascii="仿宋_GB2312" w:hAnsi="宋体" w:eastAsia="仿宋_GB2312"/>
          <w:sz w:val="24"/>
        </w:rPr>
        <w:t>（投标人名称）的经营者。</w:t>
      </w:r>
    </w:p>
    <w:p>
      <w:pPr>
        <w:spacing w:line="360" w:lineRule="auto"/>
        <w:rPr>
          <w:rFonts w:hint="eastAsia" w:ascii="仿宋_GB2312" w:hAnsi="宋体" w:eastAsia="仿宋_GB2312"/>
          <w:sz w:val="24"/>
        </w:rPr>
      </w:pPr>
      <w:r>
        <w:rPr>
          <w:rFonts w:hint="eastAsia" w:ascii="仿宋_GB2312" w:hAnsi="宋体" w:eastAsia="仿宋_GB2312"/>
          <w:sz w:val="24"/>
        </w:rPr>
        <w:t>特此证明。</w:t>
      </w:r>
    </w:p>
    <w:p>
      <w:pPr>
        <w:spacing w:line="360" w:lineRule="auto"/>
        <w:rPr>
          <w:rFonts w:ascii="仿宋_GB2312" w:hAnsi="宋体" w:eastAsia="仿宋_GB2312"/>
          <w:sz w:val="24"/>
        </w:rPr>
      </w:pPr>
    </w:p>
    <w:p>
      <w:pPr>
        <w:spacing w:line="360" w:lineRule="auto"/>
        <w:rPr>
          <w:rFonts w:hint="eastAsia" w:ascii="仿宋_GB2312" w:hAnsi="宋体" w:eastAsia="仿宋_GB2312"/>
          <w:sz w:val="24"/>
        </w:rPr>
      </w:pPr>
      <w:r>
        <w:rPr>
          <w:rFonts w:hint="eastAsia" w:ascii="仿宋_GB2312" w:hAnsi="宋体" w:eastAsia="仿宋_GB2312"/>
          <w:sz w:val="24"/>
        </w:rPr>
        <w:t>投标人：                             （盖章）</w:t>
      </w:r>
    </w:p>
    <w:p>
      <w:pPr>
        <w:spacing w:line="360" w:lineRule="auto"/>
        <w:ind w:right="480"/>
        <w:rPr>
          <w:rFonts w:hint="eastAsia" w:ascii="仿宋_GB2312" w:hAnsi="宋体" w:eastAsia="仿宋_GB2312"/>
          <w:sz w:val="24"/>
        </w:rPr>
      </w:pPr>
    </w:p>
    <w:p>
      <w:pPr>
        <w:spacing w:line="360" w:lineRule="auto"/>
        <w:ind w:right="720"/>
        <w:jc w:val="right"/>
        <w:rPr>
          <w:rFonts w:hint="eastAsia" w:ascii="仿宋_GB2312" w:hAnsi="宋体" w:eastAsia="仿宋_GB2312"/>
          <w:sz w:val="24"/>
        </w:rPr>
      </w:pPr>
      <w:r>
        <w:rPr>
          <w:rFonts w:hint="eastAsia" w:ascii="仿宋_GB2312" w:hAnsi="宋体" w:eastAsia="仿宋_GB2312"/>
          <w:sz w:val="24"/>
          <w:u w:val="single"/>
        </w:rPr>
        <w:t>2018</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color w:val="008000"/>
          <w:sz w:val="24"/>
        </w:rPr>
      </w:pPr>
    </w:p>
    <w:p>
      <w:pPr>
        <w:spacing w:line="360" w:lineRule="auto"/>
        <w:rPr>
          <w:rFonts w:hint="eastAsia" w:ascii="仿宋_GB2312" w:hAnsi="宋体" w:eastAsia="仿宋_GB2312"/>
          <w:b/>
          <w:sz w:val="24"/>
        </w:rPr>
      </w:pPr>
      <w:r>
        <w:rPr>
          <w:rFonts w:hint="eastAsia" w:ascii="仿宋_GB2312" w:hAnsi="宋体" w:eastAsia="仿宋_GB2312"/>
          <w:b/>
          <w:sz w:val="24"/>
        </w:rPr>
        <w:t>附：个体工商户身份证复印件（正反面）</w:t>
      </w:r>
    </w:p>
    <w:p>
      <w:pPr>
        <w:spacing w:line="360" w:lineRule="auto"/>
        <w:rPr>
          <w:rFonts w:hint="eastAsia" w:ascii="仿宋_GB2312" w:hAnsi="宋体" w:eastAsia="仿宋_GB2312"/>
          <w:b/>
          <w:sz w:val="24"/>
        </w:rPr>
      </w:pPr>
    </w:p>
    <w:p>
      <w:pPr>
        <w:spacing w:line="360" w:lineRule="auto"/>
        <w:rPr>
          <w:rFonts w:hint="eastAsia" w:ascii="仿宋_GB2312" w:hAnsi="宋体" w:eastAsia="仿宋_GB2312"/>
          <w:b/>
          <w:sz w:val="24"/>
        </w:rPr>
      </w:pPr>
    </w:p>
    <w:p>
      <w:pPr>
        <w:spacing w:line="360" w:lineRule="auto"/>
        <w:rPr>
          <w:rFonts w:hint="eastAsia" w:ascii="仿宋_GB2312" w:hAnsi="宋体" w:eastAsia="仿宋_GB2312"/>
          <w:b/>
          <w:sz w:val="24"/>
        </w:rPr>
      </w:pPr>
    </w:p>
    <w:p>
      <w:pPr>
        <w:spacing w:line="360" w:lineRule="auto"/>
        <w:rPr>
          <w:rFonts w:hint="eastAsia" w:ascii="仿宋_GB2312" w:hAnsi="宋体" w:eastAsia="仿宋_GB2312"/>
          <w:b/>
          <w:sz w:val="24"/>
        </w:rPr>
      </w:pPr>
    </w:p>
    <w:p>
      <w:pPr>
        <w:spacing w:line="360" w:lineRule="auto"/>
        <w:rPr>
          <w:rFonts w:hint="eastAsia" w:ascii="仿宋_GB2312" w:hAnsi="宋体" w:eastAsia="仿宋_GB2312"/>
          <w:b/>
          <w:sz w:val="24"/>
        </w:rPr>
      </w:pPr>
    </w:p>
    <w:p>
      <w:pPr>
        <w:spacing w:line="360" w:lineRule="auto"/>
        <w:rPr>
          <w:rFonts w:hint="eastAsia" w:ascii="仿宋_GB2312" w:hAnsi="宋体" w:eastAsia="仿宋_GB2312"/>
          <w:b/>
          <w:sz w:val="24"/>
        </w:rPr>
      </w:pPr>
    </w:p>
    <w:p>
      <w:pPr>
        <w:spacing w:line="360" w:lineRule="auto"/>
        <w:rPr>
          <w:rFonts w:hint="eastAsia" w:ascii="仿宋_GB2312" w:hAnsi="宋体" w:eastAsia="仿宋_GB2312"/>
          <w:b/>
          <w:sz w:val="24"/>
        </w:rPr>
      </w:pPr>
    </w:p>
    <w:p>
      <w:pPr>
        <w:pStyle w:val="3"/>
        <w:spacing w:line="360" w:lineRule="auto"/>
        <w:jc w:val="center"/>
        <w:rPr>
          <w:rFonts w:hint="eastAsia"/>
        </w:rPr>
      </w:pPr>
      <w:bookmarkStart w:id="41" w:name="_Toc2852602"/>
      <w:r>
        <w:rPr>
          <w:rFonts w:hint="eastAsia"/>
        </w:rPr>
        <w:t>附件四、</w:t>
      </w:r>
      <w:bookmarkStart w:id="42" w:name="_Toc130094924"/>
      <w:bookmarkStart w:id="43" w:name="_Toc98731770"/>
      <w:r>
        <w:rPr>
          <w:rFonts w:hint="eastAsia"/>
        </w:rPr>
        <w:t>投标函</w:t>
      </w:r>
      <w:bookmarkEnd w:id="41"/>
      <w:bookmarkEnd w:id="42"/>
      <w:bookmarkEnd w:id="43"/>
    </w:p>
    <w:p>
      <w:pPr>
        <w:pStyle w:val="27"/>
        <w:adjustRightInd w:val="0"/>
        <w:snapToGrid w:val="0"/>
        <w:spacing w:line="420" w:lineRule="auto"/>
        <w:rPr>
          <w:rFonts w:hint="eastAsia" w:hAnsi="宋体"/>
          <w:color w:val="000000"/>
          <w:sz w:val="24"/>
        </w:rPr>
      </w:pPr>
      <w:r>
        <w:rPr>
          <w:rFonts w:hint="eastAsia"/>
          <w:color w:val="000000"/>
          <w:sz w:val="24"/>
        </w:rPr>
        <w:t>绍兴市公安局上虞区分局</w:t>
      </w:r>
      <w:r>
        <w:rPr>
          <w:rFonts w:hint="eastAsia" w:hAnsi="宋体"/>
          <w:color w:val="000000"/>
          <w:sz w:val="24"/>
        </w:rPr>
        <w:t>：</w:t>
      </w:r>
    </w:p>
    <w:p>
      <w:pPr>
        <w:pStyle w:val="27"/>
        <w:adjustRightInd w:val="0"/>
        <w:snapToGrid w:val="0"/>
        <w:spacing w:line="360" w:lineRule="auto"/>
        <w:rPr>
          <w:rFonts w:hint="eastAsia" w:hAnsi="宋体"/>
          <w:color w:val="000000"/>
          <w:sz w:val="24"/>
        </w:rPr>
      </w:pPr>
      <w:r>
        <w:rPr>
          <w:rFonts w:hint="eastAsia" w:hAnsi="宋体"/>
          <w:color w:val="000000"/>
          <w:sz w:val="24"/>
        </w:rPr>
        <w:t>绍兴市上虞区公共资源交易中心：</w:t>
      </w:r>
    </w:p>
    <w:p>
      <w:pPr>
        <w:spacing w:line="360" w:lineRule="auto"/>
        <w:ind w:firstLine="480"/>
        <w:jc w:val="left"/>
        <w:rPr>
          <w:rFonts w:hint="eastAsia" w:ascii="宋体" w:hAnsi="宋体"/>
          <w:sz w:val="24"/>
        </w:rPr>
      </w:pPr>
      <w:r>
        <w:rPr>
          <w:rFonts w:hint="eastAsia" w:ascii="宋体" w:hAnsi="宋体"/>
          <w:sz w:val="24"/>
        </w:rPr>
        <w:t>我单位认真研究了关于</w:t>
      </w:r>
      <w:r>
        <w:rPr>
          <w:rFonts w:hint="eastAsia" w:ascii="宋体" w:hAnsi="宋体"/>
          <w:sz w:val="24"/>
          <w:u w:val="single"/>
        </w:rPr>
        <w:t xml:space="preserve">                      </w:t>
      </w:r>
      <w:r>
        <w:rPr>
          <w:rFonts w:hint="eastAsia" w:ascii="宋体" w:hAnsi="宋体"/>
          <w:sz w:val="24"/>
        </w:rPr>
        <w:t>的招标文件，</w:t>
      </w:r>
      <w:r>
        <w:rPr>
          <w:rFonts w:hint="eastAsia" w:hAnsi="宋体"/>
          <w:color w:val="000000"/>
          <w:sz w:val="24"/>
        </w:rPr>
        <w:t>包括修改文件（如有的话）以及全部参考资料和有关附件。我们完全理解并接受招标文件的各项规定和要求，对招标文件的合理性、合法性不再有异议。如招标文件前后有矛盾的，我方完全同意按贵方的理解处理。</w:t>
      </w:r>
      <w:r>
        <w:rPr>
          <w:rFonts w:hint="eastAsia" w:ascii="宋体" w:hAnsi="宋体"/>
          <w:sz w:val="24"/>
        </w:rPr>
        <w:t>我单位承诺：</w:t>
      </w:r>
    </w:p>
    <w:p>
      <w:pPr>
        <w:spacing w:line="360" w:lineRule="auto"/>
        <w:ind w:firstLine="576" w:firstLineChars="240"/>
        <w:rPr>
          <w:rFonts w:hint="eastAsia"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线 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 AQAADwAAAGRycy9kb3ducmV2LnhtbE2PPU/EMAyGdyT+Q2QklhOX9JCgKk1vALqxcIBYfY1pKxqn 1+Q+4NfjigEm69FrvX5crk9+UAeaYh/YQrY0oIib4HpuLby+1Fc5qJiQHQ6BycIXRVhX52clFi4c +ZkOm9QqKeFYoIUupbHQOjYdeYzLMBJL9hEmj0lwarWb8CjlftArY260x57lQocj3XfUfG723kKs 32hXfy+ahXm/bgOtdg9Pj2jt5UVm7kAlOqW/ZZj1RR0qcdqGPbuoBuFcXkkWbuc553kGavvLuir1 f//qB1BLAwQUAAAACACHTuJAOAbvqeMBAADXAwAADgAAAGRycy9lMm9Eb2MueG1srVNLjhMxEN0j cQfLe9JJUEbQms4sCMMGwUjDHKDiT7cl/+Ry0slZuAYrNhxnrkHZncnAsMmCXrjL5fKreq/K1zcH Z9leJTTBd3wxm3OmvAjS+L7jD99u37zjDDN4CTZ41fGjQn6zfv3qeoytWoYhWKkSIxCP7Rg7PuQc 26ZBMSgHOAtReTrUITnItE19IxOMhO5ss5zPr5oxJBlTEAqRvJvpkJ8Q0yWAQWsj1CaInVM+T6hJ WchECQcTka9rtVorkb9qjSoz23FimutKScjelrVZX0PbJ4iDEacS4JISXnByYDwlPUNtIAPbJfMP lDMiBQw6z0RwzUSkKkIsFvMX2twPEFXlQlJjPIuO/w9WfNnfJWYkTQJnHhw1/PH7j8efv9iqaDNG bCnkPt6l0w7JLEQPOrnyJwrsUPU8nvVUh8wEOa/erjgTT/7m+VJMmD+p4FgxOm6NLzShhf1nzJSI Qp9Citt6Nnb8/WpZ4IBmTlOvyXSR6kbf17sYrJG3xtpyA1O//WAT20Ppe/0KHcL9K6wk2QAOU1w9 miZiUCA/esnyMZIinh4CLyU4JTmzit5NsQgQ2gzGXhJJqa2nCoqik4bF2gZ5JP13MZl+ICUWtcpy Qv2u9Z5mswzUn/uK9Pwe178B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TgQAAFtDb250ZW50X1R5cGVzXS54bWxQSwECFAAKAAAAAACHTuJAAAAA AAAAAAAAAAAABgAAAAAAAAAAABAAAAAwAwAAX3JlbHMvUEsBAhQAFAAAAAgAh07iQIoUZjzRAAAA lAEAAAsAAAAAAAAAAQAgAAAAVAMAAF9yZWxzLy5yZWxzUEsBAhQACgAAAAAAh07iQAAAAAAAAAAA AAAAAAQAAAAAAAAAAAAQAAAAAAAAAGRycy9QSwECFAAUAAAACACHTuJA6T0kGtIAAAAHAQAADwAA AAAAAAABACAAAAAiAAAAZHJzL2Rvd25yZXYueG1sUEsBAhQAFAAAAAgAh07iQDgG76njAQAA1wMA AA4AAAAAAAAAAQAgAAAAIQEAAGRycy9lMm9Eb2MueG1sUEsFBgAAAAAGAAYAWQEAAHYFAAAAAA== ">
                <v:fill on="f" focussize="0,0"/>
                <v:stroke color="#000000" joinstyle="round"/>
                <v:imagedata o:title=""/>
                <o:lock v:ext="edit" aspectratio="f"/>
              </v:line>
            </w:pict>
          </mc:Fallback>
        </mc:AlternateContent>
      </w:r>
      <w:r>
        <w:rPr>
          <w:rFonts w:hint="eastAsia" w:ascii="宋体" w:hAnsi="宋体"/>
          <w:sz w:val="24"/>
        </w:rPr>
        <w:t>1、一旦我单位中标，我单位愿意承接开标一览表中所列的设备供应及技术服务，交货期为：</w:t>
      </w:r>
      <w:r>
        <w:rPr>
          <w:rFonts w:hint="eastAsia" w:ascii="宋体" w:hAnsi="宋体"/>
          <w:sz w:val="24"/>
          <w:u w:val="single"/>
        </w:rPr>
        <w:t xml:space="preserve">            </w:t>
      </w:r>
      <w:r>
        <w:rPr>
          <w:rFonts w:hint="eastAsia" w:ascii="宋体" w:hAnsi="宋体"/>
          <w:sz w:val="24"/>
        </w:rPr>
        <w:t>天。</w:t>
      </w:r>
    </w:p>
    <w:p>
      <w:pPr>
        <w:spacing w:line="360" w:lineRule="auto"/>
        <w:ind w:firstLine="480" w:firstLineChars="200"/>
        <w:rPr>
          <w:rFonts w:hint="eastAsia" w:hAnsi="宋体"/>
          <w:color w:val="000000"/>
          <w:sz w:val="24"/>
        </w:rPr>
      </w:pPr>
      <w:r>
        <w:rPr>
          <w:rFonts w:hint="eastAsia" w:ascii="宋体" w:hAnsi="宋体"/>
          <w:sz w:val="24"/>
        </w:rPr>
        <w:t>2、我单位</w:t>
      </w:r>
      <w:r>
        <w:rPr>
          <w:rFonts w:hint="eastAsia" w:hAnsi="宋体"/>
          <w:color w:val="000000"/>
          <w:sz w:val="24"/>
        </w:rPr>
        <w:t>同意提供按照</w:t>
      </w:r>
      <w:r>
        <w:rPr>
          <w:rFonts w:hint="eastAsia" w:hAnsi="宋体"/>
          <w:bCs/>
          <w:color w:val="000000"/>
          <w:sz w:val="24"/>
        </w:rPr>
        <w:t>采购人的可能要求与其投标有关的一切数据和资料，完全理解采购人不一定要接受最低价者作为中标人</w:t>
      </w:r>
      <w:r>
        <w:rPr>
          <w:rFonts w:hint="eastAsia" w:hAnsi="宋体"/>
          <w:color w:val="000000"/>
          <w:sz w:val="24"/>
        </w:rPr>
        <w:t>。</w:t>
      </w:r>
    </w:p>
    <w:p>
      <w:pPr>
        <w:spacing w:line="360" w:lineRule="auto"/>
        <w:ind w:firstLine="480" w:firstLineChars="200"/>
        <w:rPr>
          <w:rFonts w:hint="eastAsia" w:ascii="宋体" w:hAnsi="宋体"/>
          <w:sz w:val="24"/>
        </w:rPr>
      </w:pPr>
      <w:r>
        <w:rPr>
          <w:rFonts w:hint="eastAsia" w:ascii="宋体" w:hAnsi="宋体"/>
          <w:sz w:val="24"/>
        </w:rPr>
        <w:t>3、一旦我单位中标，我们保证按照招标文件的要求，完成设备交货、安装、验收并交付使用。</w:t>
      </w:r>
    </w:p>
    <w:p>
      <w:pPr>
        <w:spacing w:line="360" w:lineRule="auto"/>
        <w:ind w:firstLine="480" w:firstLineChars="200"/>
        <w:rPr>
          <w:rFonts w:hint="eastAsia" w:ascii="宋体" w:hAnsi="宋体"/>
          <w:sz w:val="24"/>
        </w:rPr>
      </w:pPr>
      <w:r>
        <w:rPr>
          <w:rFonts w:hint="eastAsia" w:ascii="宋体" w:hAnsi="宋体"/>
          <w:sz w:val="24"/>
        </w:rPr>
        <w:t>4、如果我单位中标，我方将按照要求提交履约保证金，严格履行合同义务。</w:t>
      </w:r>
    </w:p>
    <w:p>
      <w:pPr>
        <w:spacing w:line="360" w:lineRule="auto"/>
        <w:ind w:firstLine="480" w:firstLineChars="200"/>
        <w:rPr>
          <w:rFonts w:hint="eastAsia" w:ascii="宋体" w:hAnsi="宋体"/>
          <w:sz w:val="24"/>
        </w:rPr>
      </w:pPr>
      <w:r>
        <w:rPr>
          <w:rFonts w:hint="eastAsia" w:ascii="宋体" w:hAnsi="宋体"/>
          <w:sz w:val="24"/>
        </w:rPr>
        <w:t>5、除非另行达成协议并生效，你方的中标通知书和本投标函将构成约束你我双方的合同。</w:t>
      </w:r>
    </w:p>
    <w:p>
      <w:pPr>
        <w:pStyle w:val="27"/>
        <w:adjustRightInd w:val="0"/>
        <w:snapToGrid w:val="0"/>
        <w:spacing w:line="360" w:lineRule="auto"/>
        <w:ind w:left="480"/>
        <w:jc w:val="left"/>
        <w:rPr>
          <w:rFonts w:hint="eastAsia" w:hAnsi="宋体"/>
          <w:color w:val="000000"/>
          <w:sz w:val="24"/>
        </w:rPr>
      </w:pPr>
      <w:r>
        <w:rPr>
          <w:rFonts w:hint="eastAsia" w:hAnsi="宋体"/>
          <w:sz w:val="24"/>
        </w:rPr>
        <w:t>6、我单位已提交了规定的投标保证金，一旦发生招标</w:t>
      </w:r>
      <w:r>
        <w:rPr>
          <w:rFonts w:hint="eastAsia" w:hAnsi="宋体"/>
          <w:color w:val="000000"/>
          <w:sz w:val="24"/>
        </w:rPr>
        <w:t>文件第二部分第12</w:t>
      </w:r>
      <w:r>
        <w:rPr>
          <w:rFonts w:hAnsi="宋体"/>
          <w:color w:val="000000"/>
          <w:sz w:val="24"/>
        </w:rPr>
        <w:t>.</w:t>
      </w:r>
      <w:r>
        <w:rPr>
          <w:rFonts w:hint="eastAsia" w:hAnsi="宋体"/>
          <w:color w:val="000000"/>
          <w:sz w:val="24"/>
        </w:rPr>
        <w:t>5</w:t>
      </w:r>
    </w:p>
    <w:p>
      <w:pPr>
        <w:pStyle w:val="27"/>
        <w:adjustRightInd w:val="0"/>
        <w:snapToGrid w:val="0"/>
        <w:spacing w:line="360" w:lineRule="auto"/>
        <w:jc w:val="left"/>
        <w:rPr>
          <w:rFonts w:hint="eastAsia" w:hAnsi="宋体"/>
          <w:color w:val="000000"/>
          <w:sz w:val="24"/>
        </w:rPr>
      </w:pPr>
      <w:r>
        <w:rPr>
          <w:rFonts w:hint="eastAsia" w:hAnsi="宋体"/>
          <w:color w:val="000000"/>
          <w:sz w:val="24"/>
        </w:rPr>
        <w:t>条规定情形之一的，投标保证金贵方可以不予退还。</w:t>
      </w:r>
    </w:p>
    <w:p>
      <w:pPr>
        <w:pStyle w:val="27"/>
        <w:adjustRightInd w:val="0"/>
        <w:snapToGrid w:val="0"/>
        <w:spacing w:line="360" w:lineRule="auto"/>
        <w:ind w:left="480"/>
        <w:jc w:val="left"/>
        <w:rPr>
          <w:rFonts w:hint="eastAsia" w:hAnsi="宋体"/>
          <w:color w:val="000000"/>
          <w:sz w:val="24"/>
        </w:rPr>
      </w:pPr>
      <w:r>
        <w:rPr>
          <w:rFonts w:hint="eastAsia" w:hAnsi="宋体"/>
          <w:color w:val="000000"/>
          <w:sz w:val="24"/>
        </w:rPr>
        <w:t xml:space="preserve"> </w:t>
      </w:r>
    </w:p>
    <w:p>
      <w:pPr>
        <w:spacing w:line="360" w:lineRule="auto"/>
        <w:ind w:firstLine="480" w:firstLineChars="200"/>
        <w:rPr>
          <w:rFonts w:ascii="宋体" w:hAnsi="宋体" w:cs="Courier New"/>
          <w:bCs/>
          <w:color w:val="000000"/>
          <w:sz w:val="24"/>
          <w:szCs w:val="21"/>
        </w:rPr>
      </w:pPr>
      <w:r>
        <w:rPr>
          <w:rFonts w:ascii="宋体" w:hAnsi="宋体" w:cs="Courier New"/>
          <w:bCs/>
          <w:color w:val="000000"/>
          <w:sz w:val="24"/>
          <w:szCs w:val="21"/>
        </w:rPr>
        <w:t>地址：</w:t>
      </w:r>
      <w:r>
        <w:rPr>
          <w:rFonts w:ascii="宋体" w:hAnsi="宋体" w:cs="Courier New"/>
          <w:bCs/>
          <w:color w:val="000000"/>
          <w:sz w:val="24"/>
          <w:szCs w:val="21"/>
          <w:u w:val="single"/>
        </w:rPr>
        <w:t xml:space="preserve">                               </w:t>
      </w:r>
      <w:r>
        <w:rPr>
          <w:rFonts w:ascii="宋体" w:hAnsi="宋体" w:cs="Courier New"/>
          <w:bCs/>
          <w:color w:val="000000"/>
          <w:sz w:val="24"/>
          <w:szCs w:val="21"/>
        </w:rPr>
        <w:t>邮编：</w:t>
      </w:r>
      <w:r>
        <w:rPr>
          <w:rFonts w:ascii="宋体" w:hAnsi="宋体" w:cs="Courier New"/>
          <w:bCs/>
          <w:color w:val="000000"/>
          <w:sz w:val="24"/>
          <w:szCs w:val="21"/>
          <w:u w:val="single"/>
        </w:rPr>
        <w:t xml:space="preserve">                 </w:t>
      </w:r>
    </w:p>
    <w:p>
      <w:pPr>
        <w:spacing w:line="360" w:lineRule="auto"/>
        <w:ind w:firstLine="480" w:firstLineChars="200"/>
        <w:rPr>
          <w:rFonts w:ascii="宋体" w:hAnsi="宋体" w:cs="Courier New"/>
          <w:bCs/>
          <w:color w:val="000000"/>
          <w:sz w:val="24"/>
          <w:szCs w:val="21"/>
          <w:u w:val="single"/>
        </w:rPr>
      </w:pPr>
      <w:r>
        <w:rPr>
          <w:rFonts w:ascii="宋体" w:hAnsi="宋体" w:cs="Courier New"/>
          <w:bCs/>
          <w:color w:val="000000"/>
          <w:sz w:val="24"/>
          <w:szCs w:val="21"/>
        </w:rPr>
        <w:t>电话：</w:t>
      </w:r>
      <w:r>
        <w:rPr>
          <w:rFonts w:ascii="宋体" w:hAnsi="宋体" w:cs="Courier New"/>
          <w:bCs/>
          <w:color w:val="000000"/>
          <w:sz w:val="24"/>
          <w:szCs w:val="21"/>
          <w:u w:val="single"/>
        </w:rPr>
        <w:t xml:space="preserve">                               </w:t>
      </w:r>
      <w:r>
        <w:rPr>
          <w:rFonts w:ascii="宋体" w:hAnsi="宋体" w:cs="Courier New"/>
          <w:bCs/>
          <w:color w:val="000000"/>
          <w:sz w:val="24"/>
          <w:szCs w:val="21"/>
        </w:rPr>
        <w:t>传真：</w:t>
      </w:r>
      <w:r>
        <w:rPr>
          <w:rFonts w:ascii="宋体" w:hAnsi="宋体" w:cs="Courier New"/>
          <w:bCs/>
          <w:color w:val="000000"/>
          <w:sz w:val="24"/>
          <w:szCs w:val="21"/>
          <w:u w:val="single"/>
        </w:rPr>
        <w:t xml:space="preserve">                 </w:t>
      </w:r>
    </w:p>
    <w:p>
      <w:pPr>
        <w:spacing w:line="360" w:lineRule="auto"/>
        <w:ind w:firstLine="480" w:firstLineChars="200"/>
        <w:rPr>
          <w:rFonts w:ascii="宋体" w:hAnsi="宋体" w:cs="Courier New"/>
          <w:bCs/>
          <w:color w:val="000000"/>
          <w:sz w:val="24"/>
          <w:szCs w:val="21"/>
        </w:rPr>
      </w:pPr>
      <w:r>
        <w:rPr>
          <w:rFonts w:ascii="宋体" w:hAnsi="宋体" w:cs="Courier New"/>
          <w:bCs/>
          <w:color w:val="000000"/>
          <w:sz w:val="24"/>
          <w:szCs w:val="21"/>
        </w:rPr>
        <w:t>供应商代表姓名：</w:t>
      </w:r>
      <w:r>
        <w:rPr>
          <w:rFonts w:ascii="宋体" w:hAnsi="宋体" w:cs="Courier New"/>
          <w:bCs/>
          <w:color w:val="000000"/>
          <w:sz w:val="24"/>
          <w:szCs w:val="21"/>
          <w:u w:val="single"/>
        </w:rPr>
        <w:t xml:space="preserve">                     </w:t>
      </w:r>
      <w:r>
        <w:rPr>
          <w:rFonts w:ascii="宋体" w:hAnsi="宋体" w:cs="Courier New"/>
          <w:bCs/>
          <w:color w:val="000000"/>
          <w:sz w:val="24"/>
          <w:szCs w:val="21"/>
        </w:rPr>
        <w:t>职务：</w:t>
      </w:r>
      <w:r>
        <w:rPr>
          <w:rFonts w:ascii="宋体" w:hAnsi="宋体" w:cs="Courier New"/>
          <w:bCs/>
          <w:color w:val="000000"/>
          <w:sz w:val="24"/>
          <w:szCs w:val="21"/>
          <w:u w:val="single"/>
        </w:rPr>
        <w:t xml:space="preserve">                 </w:t>
      </w:r>
    </w:p>
    <w:p>
      <w:pPr>
        <w:spacing w:line="360" w:lineRule="auto"/>
        <w:ind w:firstLine="480" w:firstLineChars="200"/>
        <w:rPr>
          <w:rFonts w:hint="eastAsia" w:ascii="宋体" w:hAnsi="宋体" w:cs="Courier New"/>
          <w:bCs/>
          <w:color w:val="000000"/>
          <w:sz w:val="24"/>
          <w:szCs w:val="21"/>
        </w:rPr>
      </w:pPr>
      <w:r>
        <w:rPr>
          <w:rFonts w:ascii="宋体" w:hAnsi="宋体" w:cs="Courier New"/>
          <w:bCs/>
          <w:color w:val="000000"/>
          <w:sz w:val="24"/>
          <w:szCs w:val="21"/>
        </w:rPr>
        <w:t>供应商名称</w:t>
      </w:r>
      <w:r>
        <w:rPr>
          <w:rFonts w:ascii="宋体" w:hAnsi="宋体" w:cs="Courier New"/>
          <w:bCs/>
          <w:color w:val="000000"/>
          <w:sz w:val="24"/>
          <w:szCs w:val="21"/>
          <w:u w:val="single"/>
        </w:rPr>
        <w:t xml:space="preserve">：                   </w:t>
      </w:r>
      <w:r>
        <w:rPr>
          <w:rFonts w:hint="eastAsia" w:ascii="宋体" w:hAnsi="宋体" w:cs="Courier New"/>
          <w:bCs/>
          <w:color w:val="000000"/>
          <w:sz w:val="24"/>
          <w:szCs w:val="21"/>
          <w:u w:val="single"/>
        </w:rPr>
        <w:t>　　　</w:t>
      </w:r>
    </w:p>
    <w:p>
      <w:pPr>
        <w:spacing w:line="360" w:lineRule="auto"/>
        <w:ind w:firstLine="480" w:firstLineChars="200"/>
        <w:rPr>
          <w:rFonts w:hint="eastAsia" w:ascii="宋体" w:hAnsi="宋体" w:cs="Courier New"/>
          <w:bCs/>
          <w:color w:val="000000"/>
          <w:sz w:val="24"/>
          <w:szCs w:val="21"/>
        </w:rPr>
      </w:pPr>
      <w:r>
        <w:rPr>
          <w:rFonts w:ascii="宋体" w:hAnsi="宋体" w:cs="Courier New"/>
          <w:bCs/>
          <w:color w:val="000000"/>
          <w:sz w:val="24"/>
          <w:szCs w:val="21"/>
        </w:rPr>
        <w:t xml:space="preserve">（公章）：                   </w:t>
      </w:r>
    </w:p>
    <w:p>
      <w:pPr>
        <w:spacing w:line="360" w:lineRule="auto"/>
        <w:ind w:firstLine="5280" w:firstLineChars="2200"/>
        <w:rPr>
          <w:rFonts w:hint="eastAsia" w:ascii="宋体" w:hAnsi="宋体" w:cs="Courier New"/>
          <w:bCs/>
          <w:color w:val="000000"/>
          <w:sz w:val="24"/>
          <w:szCs w:val="21"/>
        </w:rPr>
      </w:pPr>
      <w:r>
        <w:rPr>
          <w:rFonts w:ascii="宋体" w:hAnsi="宋体" w:cs="Courier New"/>
          <w:bCs/>
          <w:color w:val="000000"/>
          <w:sz w:val="24"/>
          <w:szCs w:val="21"/>
        </w:rPr>
        <w:t>日期：</w:t>
      </w:r>
      <w:r>
        <w:rPr>
          <w:rFonts w:hint="eastAsia" w:ascii="宋体" w:hAnsi="宋体" w:cs="Courier New"/>
          <w:bCs/>
          <w:color w:val="000000"/>
          <w:sz w:val="24"/>
          <w:szCs w:val="21"/>
        </w:rPr>
        <w:t>　　</w:t>
      </w:r>
      <w:r>
        <w:rPr>
          <w:rFonts w:ascii="宋体" w:hAnsi="宋体" w:cs="Courier New"/>
          <w:bCs/>
          <w:color w:val="000000"/>
          <w:sz w:val="24"/>
          <w:szCs w:val="21"/>
        </w:rPr>
        <w:t>年</w:t>
      </w:r>
      <w:r>
        <w:rPr>
          <w:rFonts w:hint="eastAsia" w:ascii="宋体" w:hAnsi="宋体" w:cs="Courier New"/>
          <w:bCs/>
          <w:color w:val="000000"/>
          <w:sz w:val="24"/>
          <w:szCs w:val="21"/>
        </w:rPr>
        <w:t>　</w:t>
      </w:r>
      <w:r>
        <w:rPr>
          <w:rFonts w:ascii="宋体" w:hAnsi="宋体" w:cs="Courier New"/>
          <w:bCs/>
          <w:color w:val="000000"/>
          <w:sz w:val="24"/>
          <w:szCs w:val="21"/>
        </w:rPr>
        <w:t>月</w:t>
      </w:r>
      <w:r>
        <w:rPr>
          <w:rFonts w:hint="eastAsia" w:ascii="宋体" w:hAnsi="宋体" w:cs="Courier New"/>
          <w:bCs/>
          <w:color w:val="000000"/>
          <w:sz w:val="24"/>
          <w:szCs w:val="21"/>
        </w:rPr>
        <w:t>　</w:t>
      </w:r>
      <w:r>
        <w:rPr>
          <w:rFonts w:ascii="宋体" w:hAnsi="宋体" w:cs="Courier New"/>
          <w:bCs/>
          <w:color w:val="000000"/>
          <w:sz w:val="24"/>
          <w:szCs w:val="21"/>
        </w:rPr>
        <w:t>日</w:t>
      </w:r>
    </w:p>
    <w:p>
      <w:pPr>
        <w:spacing w:line="360" w:lineRule="auto"/>
        <w:ind w:firstLine="5280" w:firstLineChars="2200"/>
        <w:rPr>
          <w:rFonts w:hint="eastAsia" w:ascii="宋体" w:hAnsi="宋体" w:cs="Courier New"/>
          <w:bCs/>
          <w:color w:val="000000"/>
          <w:sz w:val="24"/>
          <w:szCs w:val="21"/>
        </w:rPr>
      </w:pPr>
      <w:r>
        <w:rPr>
          <w:rFonts w:ascii="宋体" w:hAnsi="宋体" w:cs="Courier New"/>
          <w:bCs/>
          <w:color w:val="000000"/>
          <w:sz w:val="24"/>
          <w:szCs w:val="21"/>
        </w:rPr>
        <w:t>全权代表签字：</w:t>
      </w:r>
    </w:p>
    <w:p>
      <w:pPr>
        <w:spacing w:line="360" w:lineRule="auto"/>
        <w:ind w:firstLine="5280" w:firstLineChars="2200"/>
        <w:rPr>
          <w:rFonts w:hint="eastAsia" w:ascii="宋体" w:hAnsi="宋体" w:cs="Courier New"/>
          <w:bCs/>
          <w:color w:val="000000"/>
          <w:sz w:val="24"/>
          <w:szCs w:val="21"/>
        </w:rPr>
      </w:pPr>
    </w:p>
    <w:p>
      <w:pPr>
        <w:spacing w:line="360" w:lineRule="auto"/>
        <w:ind w:firstLine="5280" w:firstLineChars="2200"/>
        <w:rPr>
          <w:rFonts w:hint="eastAsia" w:ascii="宋体" w:hAnsi="宋体" w:cs="Courier New"/>
          <w:bCs/>
          <w:color w:val="000000"/>
          <w:sz w:val="24"/>
          <w:szCs w:val="21"/>
        </w:rPr>
      </w:pPr>
    </w:p>
    <w:p>
      <w:pPr>
        <w:spacing w:line="360" w:lineRule="auto"/>
        <w:rPr>
          <w:rFonts w:hint="eastAsia" w:ascii="宋体"/>
          <w:kern w:val="0"/>
          <w:sz w:val="24"/>
        </w:rPr>
      </w:pPr>
    </w:p>
    <w:p>
      <w:pPr>
        <w:pStyle w:val="3"/>
        <w:spacing w:line="360" w:lineRule="auto"/>
        <w:jc w:val="center"/>
        <w:rPr>
          <w:rFonts w:hint="eastAsia"/>
        </w:rPr>
      </w:pPr>
      <w:r>
        <w:rPr>
          <w:rFonts w:hint="eastAsia" w:hAnsi="宋体" w:cs="Courier New"/>
          <w:bCs/>
          <w:color w:val="000000"/>
          <w:sz w:val="24"/>
          <w:szCs w:val="21"/>
        </w:rPr>
        <w:t>　　</w:t>
      </w:r>
      <w:bookmarkStart w:id="44" w:name="_Toc2852603"/>
      <w:r>
        <w:rPr>
          <w:rFonts w:hint="eastAsia"/>
        </w:rPr>
        <w:t>附件五、</w:t>
      </w:r>
      <w:bookmarkStart w:id="45" w:name="_Toc130094925"/>
      <w:bookmarkStart w:id="46" w:name="_Toc98731771"/>
      <w:r>
        <w:rPr>
          <w:rFonts w:hint="eastAsia"/>
        </w:rPr>
        <w:t>开标一览表</w:t>
      </w:r>
      <w:bookmarkEnd w:id="44"/>
      <w:bookmarkEnd w:id="45"/>
      <w:bookmarkEnd w:id="46"/>
    </w:p>
    <w:p>
      <w:pPr>
        <w:pStyle w:val="27"/>
        <w:spacing w:line="360" w:lineRule="auto"/>
        <w:rPr>
          <w:rFonts w:hint="eastAsia" w:hAnsi="宋体"/>
          <w:color w:val="000000"/>
          <w:sz w:val="24"/>
        </w:rPr>
      </w:pPr>
    </w:p>
    <w:p>
      <w:pPr>
        <w:pStyle w:val="27"/>
        <w:spacing w:line="360" w:lineRule="auto"/>
        <w:rPr>
          <w:rFonts w:hint="eastAsia" w:hAnsi="宋体"/>
          <w:color w:val="000000"/>
          <w:sz w:val="28"/>
        </w:rPr>
      </w:pPr>
      <w:r>
        <w:rPr>
          <w:rFonts w:hint="eastAsia" w:hAnsi="宋体"/>
          <w:color w:val="000000"/>
          <w:sz w:val="24"/>
        </w:rPr>
        <w:t>采购编号：</w:t>
      </w:r>
    </w:p>
    <w:p>
      <w:pPr>
        <w:pStyle w:val="27"/>
        <w:spacing w:line="360" w:lineRule="auto"/>
        <w:rPr>
          <w:rFonts w:hint="eastAsia" w:hAnsi="宋体"/>
          <w:color w:val="000000"/>
          <w:sz w:val="24"/>
        </w:rPr>
      </w:pPr>
      <w:r>
        <w:rPr>
          <w:rFonts w:hint="eastAsia" w:hAnsi="宋体"/>
          <w:color w:val="000000"/>
          <w:sz w:val="24"/>
        </w:rPr>
        <w:t xml:space="preserve">项目名称：                </w:t>
      </w:r>
    </w:p>
    <w:tbl>
      <w:tblPr>
        <w:tblStyle w:val="5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5"/>
        <w:gridCol w:w="715"/>
        <w:gridCol w:w="720"/>
        <w:gridCol w:w="720"/>
        <w:gridCol w:w="1260"/>
        <w:gridCol w:w="1080"/>
        <w:gridCol w:w="108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0" w:hRule="atLeast"/>
        </w:trPr>
        <w:tc>
          <w:tcPr>
            <w:tcW w:w="540" w:type="dxa"/>
            <w:vMerge w:val="restart"/>
            <w:noWrap w:val="0"/>
            <w:vAlign w:val="top"/>
          </w:tcPr>
          <w:p>
            <w:pPr>
              <w:pStyle w:val="27"/>
              <w:spacing w:line="360" w:lineRule="auto"/>
              <w:rPr>
                <w:rFonts w:hint="eastAsia" w:hAnsi="宋体"/>
                <w:color w:val="000000"/>
                <w:sz w:val="24"/>
              </w:rPr>
            </w:pPr>
            <w:r>
              <w:rPr>
                <w:rFonts w:hint="eastAsia" w:hAnsi="宋体"/>
                <w:color w:val="000000"/>
                <w:sz w:val="24"/>
              </w:rPr>
              <w:t>序</w:t>
            </w:r>
          </w:p>
          <w:p>
            <w:pPr>
              <w:pStyle w:val="27"/>
              <w:spacing w:line="360" w:lineRule="auto"/>
              <w:rPr>
                <w:rFonts w:hint="eastAsia" w:hAnsi="宋体"/>
                <w:color w:val="000000"/>
                <w:sz w:val="24"/>
              </w:rPr>
            </w:pPr>
            <w:r>
              <w:rPr>
                <w:rFonts w:hint="eastAsia" w:hAnsi="宋体"/>
                <w:color w:val="000000"/>
                <w:sz w:val="24"/>
              </w:rPr>
              <w:t>号</w:t>
            </w:r>
          </w:p>
        </w:tc>
        <w:tc>
          <w:tcPr>
            <w:tcW w:w="1625" w:type="dxa"/>
            <w:vMerge w:val="restart"/>
            <w:noWrap w:val="0"/>
            <w:vAlign w:val="top"/>
          </w:tcPr>
          <w:p>
            <w:pPr>
              <w:pStyle w:val="27"/>
              <w:spacing w:line="360" w:lineRule="auto"/>
              <w:jc w:val="center"/>
              <w:rPr>
                <w:rFonts w:hint="eastAsia" w:hAnsi="宋体"/>
                <w:color w:val="000000"/>
                <w:sz w:val="24"/>
              </w:rPr>
            </w:pPr>
            <w:r>
              <w:rPr>
                <w:rFonts w:hint="eastAsia" w:hAnsi="宋体"/>
                <w:color w:val="000000"/>
                <w:sz w:val="24"/>
              </w:rPr>
              <w:t>货物</w:t>
            </w:r>
          </w:p>
          <w:p>
            <w:pPr>
              <w:pStyle w:val="27"/>
              <w:spacing w:line="360" w:lineRule="auto"/>
              <w:jc w:val="center"/>
              <w:rPr>
                <w:rFonts w:hint="eastAsia" w:hAnsi="宋体"/>
                <w:color w:val="000000"/>
                <w:sz w:val="24"/>
              </w:rPr>
            </w:pPr>
            <w:r>
              <w:rPr>
                <w:rFonts w:hint="eastAsia" w:hAnsi="宋体"/>
                <w:color w:val="000000"/>
                <w:sz w:val="24"/>
              </w:rPr>
              <w:t>名称</w:t>
            </w:r>
          </w:p>
        </w:tc>
        <w:tc>
          <w:tcPr>
            <w:tcW w:w="715" w:type="dxa"/>
            <w:vMerge w:val="restart"/>
            <w:noWrap w:val="0"/>
            <w:vAlign w:val="top"/>
          </w:tcPr>
          <w:p>
            <w:pPr>
              <w:pStyle w:val="27"/>
              <w:spacing w:line="360" w:lineRule="auto"/>
              <w:jc w:val="center"/>
              <w:rPr>
                <w:rFonts w:hint="eastAsia" w:hAnsi="宋体"/>
                <w:color w:val="000000"/>
                <w:sz w:val="24"/>
              </w:rPr>
            </w:pPr>
            <w:r>
              <w:rPr>
                <w:rFonts w:hint="eastAsia" w:hAnsi="宋体"/>
                <w:color w:val="000000"/>
                <w:sz w:val="24"/>
              </w:rPr>
              <w:t>型号和</w:t>
            </w:r>
          </w:p>
          <w:p>
            <w:pPr>
              <w:pStyle w:val="27"/>
              <w:spacing w:line="360" w:lineRule="auto"/>
              <w:jc w:val="center"/>
              <w:rPr>
                <w:rFonts w:hint="eastAsia" w:hAnsi="宋体"/>
                <w:color w:val="000000"/>
                <w:sz w:val="24"/>
              </w:rPr>
            </w:pPr>
            <w:r>
              <w:rPr>
                <w:rFonts w:hint="eastAsia" w:hAnsi="宋体"/>
                <w:color w:val="000000"/>
                <w:sz w:val="24"/>
              </w:rPr>
              <w:t>规　格</w:t>
            </w:r>
          </w:p>
        </w:tc>
        <w:tc>
          <w:tcPr>
            <w:tcW w:w="720" w:type="dxa"/>
            <w:vMerge w:val="restart"/>
            <w:noWrap w:val="0"/>
            <w:vAlign w:val="top"/>
          </w:tcPr>
          <w:p>
            <w:pPr>
              <w:pStyle w:val="27"/>
              <w:spacing w:line="360" w:lineRule="auto"/>
              <w:jc w:val="center"/>
              <w:rPr>
                <w:rFonts w:hint="eastAsia" w:hAnsi="宋体"/>
                <w:color w:val="000000"/>
                <w:sz w:val="24"/>
              </w:rPr>
            </w:pPr>
            <w:r>
              <w:rPr>
                <w:rFonts w:hint="eastAsia" w:hAnsi="宋体"/>
                <w:color w:val="000000"/>
                <w:sz w:val="24"/>
              </w:rPr>
              <w:t>数</w:t>
            </w:r>
          </w:p>
          <w:p>
            <w:pPr>
              <w:pStyle w:val="27"/>
              <w:spacing w:line="360" w:lineRule="auto"/>
              <w:jc w:val="center"/>
              <w:rPr>
                <w:rFonts w:hint="eastAsia" w:hAnsi="宋体"/>
                <w:color w:val="000000"/>
                <w:sz w:val="24"/>
              </w:rPr>
            </w:pPr>
            <w:r>
              <w:rPr>
                <w:rFonts w:hint="eastAsia" w:hAnsi="宋体"/>
                <w:color w:val="000000"/>
                <w:sz w:val="24"/>
              </w:rPr>
              <w:t>量</w:t>
            </w:r>
          </w:p>
        </w:tc>
        <w:tc>
          <w:tcPr>
            <w:tcW w:w="720" w:type="dxa"/>
            <w:vMerge w:val="restart"/>
            <w:noWrap w:val="0"/>
            <w:vAlign w:val="top"/>
          </w:tcPr>
          <w:p>
            <w:pPr>
              <w:pStyle w:val="27"/>
              <w:spacing w:line="360" w:lineRule="auto"/>
              <w:jc w:val="center"/>
              <w:rPr>
                <w:rFonts w:hint="eastAsia" w:hAnsi="宋体"/>
                <w:color w:val="000000"/>
                <w:sz w:val="24"/>
              </w:rPr>
            </w:pPr>
            <w:r>
              <w:rPr>
                <w:rFonts w:hint="eastAsia" w:hAnsi="宋体"/>
                <w:color w:val="000000"/>
                <w:sz w:val="24"/>
              </w:rPr>
              <w:t>单</w:t>
            </w:r>
          </w:p>
          <w:p>
            <w:pPr>
              <w:pStyle w:val="27"/>
              <w:spacing w:line="360" w:lineRule="auto"/>
              <w:jc w:val="center"/>
              <w:rPr>
                <w:rFonts w:hint="eastAsia"/>
              </w:rPr>
            </w:pPr>
            <w:r>
              <w:rPr>
                <w:rFonts w:hint="eastAsia" w:hAnsi="宋体"/>
                <w:color w:val="000000"/>
                <w:sz w:val="24"/>
              </w:rPr>
              <w:t>位</w:t>
            </w:r>
          </w:p>
        </w:tc>
        <w:tc>
          <w:tcPr>
            <w:tcW w:w="1260" w:type="dxa"/>
            <w:vMerge w:val="restart"/>
            <w:noWrap w:val="0"/>
            <w:vAlign w:val="top"/>
          </w:tcPr>
          <w:p>
            <w:pPr>
              <w:pStyle w:val="27"/>
              <w:spacing w:line="360" w:lineRule="auto"/>
              <w:jc w:val="center"/>
              <w:rPr>
                <w:rFonts w:hint="eastAsia" w:hAnsi="宋体"/>
                <w:color w:val="000000"/>
                <w:sz w:val="24"/>
              </w:rPr>
            </w:pPr>
            <w:r>
              <w:rPr>
                <w:rFonts w:hint="eastAsia" w:hAnsi="宋体"/>
                <w:color w:val="000000"/>
                <w:sz w:val="24"/>
              </w:rPr>
              <w:t>制造商名</w:t>
            </w:r>
          </w:p>
          <w:p>
            <w:pPr>
              <w:pStyle w:val="27"/>
              <w:spacing w:line="360" w:lineRule="auto"/>
              <w:jc w:val="center"/>
              <w:rPr>
                <w:rFonts w:hint="eastAsia" w:hAnsi="宋体"/>
                <w:color w:val="000000"/>
                <w:sz w:val="24"/>
              </w:rPr>
            </w:pPr>
            <w:r>
              <w:rPr>
                <w:rFonts w:hint="eastAsia" w:hAnsi="宋体"/>
                <w:color w:val="000000"/>
                <w:sz w:val="24"/>
              </w:rPr>
              <w:t>称及产地</w:t>
            </w:r>
          </w:p>
        </w:tc>
        <w:tc>
          <w:tcPr>
            <w:tcW w:w="2160" w:type="dxa"/>
            <w:gridSpan w:val="2"/>
            <w:noWrap w:val="0"/>
            <w:vAlign w:val="top"/>
          </w:tcPr>
          <w:p>
            <w:pPr>
              <w:pStyle w:val="27"/>
              <w:spacing w:line="360" w:lineRule="auto"/>
              <w:jc w:val="center"/>
              <w:rPr>
                <w:rFonts w:hint="eastAsia" w:hAnsi="宋体"/>
                <w:color w:val="000000"/>
                <w:sz w:val="24"/>
              </w:rPr>
            </w:pPr>
            <w:r>
              <w:rPr>
                <w:rFonts w:hint="eastAsia" w:hAnsi="宋体"/>
                <w:color w:val="000000"/>
                <w:sz w:val="24"/>
              </w:rPr>
              <w:t>投标报价（元）</w:t>
            </w:r>
          </w:p>
        </w:tc>
        <w:tc>
          <w:tcPr>
            <w:tcW w:w="1056" w:type="dxa"/>
            <w:vMerge w:val="restart"/>
            <w:noWrap w:val="0"/>
            <w:vAlign w:val="top"/>
          </w:tcPr>
          <w:p>
            <w:pPr>
              <w:pStyle w:val="27"/>
              <w:spacing w:line="360" w:lineRule="auto"/>
              <w:jc w:val="center"/>
              <w:rPr>
                <w:rFonts w:hint="eastAsia" w:hAnsi="宋体"/>
                <w:color w:val="000000"/>
                <w:sz w:val="24"/>
              </w:rPr>
            </w:pPr>
            <w:r>
              <w:rPr>
                <w:rFonts w:hint="eastAsia" w:hAnsi="宋体"/>
                <w:color w:val="000000"/>
                <w:sz w:val="24"/>
              </w:rPr>
              <w:t>交货</w:t>
            </w:r>
          </w:p>
          <w:p>
            <w:pPr>
              <w:pStyle w:val="27"/>
              <w:spacing w:line="360" w:lineRule="auto"/>
              <w:jc w:val="center"/>
              <w:rPr>
                <w:rFonts w:hint="eastAsia" w:hAnsi="宋体"/>
                <w:color w:val="000000"/>
                <w:sz w:val="24"/>
              </w:rPr>
            </w:pPr>
            <w:r>
              <w:rPr>
                <w:rFonts w:hint="eastAsia" w:hAnsi="宋体"/>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3" w:hRule="atLeast"/>
        </w:trPr>
        <w:tc>
          <w:tcPr>
            <w:tcW w:w="540" w:type="dxa"/>
            <w:vMerge w:val="continue"/>
            <w:noWrap w:val="0"/>
            <w:vAlign w:val="top"/>
          </w:tcPr>
          <w:p>
            <w:pPr>
              <w:pStyle w:val="27"/>
              <w:spacing w:line="360" w:lineRule="auto"/>
              <w:rPr>
                <w:rFonts w:hint="eastAsia" w:hAnsi="宋体"/>
                <w:color w:val="000000"/>
                <w:sz w:val="24"/>
              </w:rPr>
            </w:pPr>
          </w:p>
        </w:tc>
        <w:tc>
          <w:tcPr>
            <w:tcW w:w="1625" w:type="dxa"/>
            <w:vMerge w:val="continue"/>
            <w:noWrap w:val="0"/>
            <w:vAlign w:val="top"/>
          </w:tcPr>
          <w:p>
            <w:pPr>
              <w:pStyle w:val="27"/>
              <w:spacing w:line="360" w:lineRule="auto"/>
              <w:rPr>
                <w:rFonts w:hint="eastAsia" w:hAnsi="宋体"/>
                <w:color w:val="000000"/>
                <w:sz w:val="24"/>
              </w:rPr>
            </w:pPr>
          </w:p>
        </w:tc>
        <w:tc>
          <w:tcPr>
            <w:tcW w:w="715" w:type="dxa"/>
            <w:vMerge w:val="continue"/>
            <w:noWrap w:val="0"/>
            <w:vAlign w:val="top"/>
          </w:tcPr>
          <w:p>
            <w:pPr>
              <w:pStyle w:val="27"/>
              <w:spacing w:line="360" w:lineRule="auto"/>
              <w:rPr>
                <w:rFonts w:hint="eastAsia" w:hAnsi="宋体"/>
                <w:color w:val="000000"/>
                <w:sz w:val="24"/>
              </w:rPr>
            </w:pPr>
          </w:p>
        </w:tc>
        <w:tc>
          <w:tcPr>
            <w:tcW w:w="720" w:type="dxa"/>
            <w:vMerge w:val="continue"/>
            <w:noWrap w:val="0"/>
            <w:vAlign w:val="top"/>
          </w:tcPr>
          <w:p>
            <w:pPr>
              <w:pStyle w:val="27"/>
              <w:spacing w:line="360" w:lineRule="auto"/>
              <w:rPr>
                <w:rFonts w:hint="eastAsia" w:hAnsi="宋体"/>
                <w:color w:val="000000"/>
                <w:sz w:val="24"/>
              </w:rPr>
            </w:pPr>
          </w:p>
        </w:tc>
        <w:tc>
          <w:tcPr>
            <w:tcW w:w="720" w:type="dxa"/>
            <w:vMerge w:val="continue"/>
            <w:noWrap w:val="0"/>
            <w:vAlign w:val="top"/>
          </w:tcPr>
          <w:p>
            <w:pPr>
              <w:pStyle w:val="27"/>
              <w:spacing w:line="360" w:lineRule="auto"/>
              <w:rPr>
                <w:rFonts w:hint="eastAsia" w:hAnsi="宋体"/>
                <w:color w:val="000000"/>
                <w:sz w:val="24"/>
              </w:rPr>
            </w:pPr>
          </w:p>
        </w:tc>
        <w:tc>
          <w:tcPr>
            <w:tcW w:w="1260" w:type="dxa"/>
            <w:vMerge w:val="continue"/>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jc w:val="center"/>
              <w:rPr>
                <w:rFonts w:hint="eastAsia" w:hAnsi="宋体"/>
                <w:color w:val="000000"/>
                <w:sz w:val="24"/>
              </w:rPr>
            </w:pPr>
            <w:r>
              <w:rPr>
                <w:rFonts w:hint="eastAsia" w:hAnsi="宋体"/>
                <w:color w:val="000000"/>
                <w:sz w:val="24"/>
              </w:rPr>
              <w:t>单价</w:t>
            </w:r>
          </w:p>
        </w:tc>
        <w:tc>
          <w:tcPr>
            <w:tcW w:w="1080" w:type="dxa"/>
            <w:noWrap w:val="0"/>
            <w:vAlign w:val="top"/>
          </w:tcPr>
          <w:p>
            <w:pPr>
              <w:pStyle w:val="27"/>
              <w:spacing w:line="360" w:lineRule="auto"/>
              <w:jc w:val="center"/>
              <w:rPr>
                <w:rFonts w:hint="eastAsia" w:hAnsi="宋体"/>
                <w:color w:val="000000"/>
                <w:sz w:val="24"/>
              </w:rPr>
            </w:pPr>
            <w:r>
              <w:rPr>
                <w:rFonts w:hint="eastAsia" w:hAnsi="宋体"/>
                <w:color w:val="000000"/>
                <w:sz w:val="24"/>
              </w:rPr>
              <w:t>小计</w:t>
            </w:r>
          </w:p>
        </w:tc>
        <w:tc>
          <w:tcPr>
            <w:tcW w:w="1056" w:type="dxa"/>
            <w:vMerge w:val="continue"/>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0" w:hRule="atLeast"/>
        </w:trPr>
        <w:tc>
          <w:tcPr>
            <w:tcW w:w="540" w:type="dxa"/>
            <w:noWrap w:val="0"/>
            <w:vAlign w:val="center"/>
          </w:tcPr>
          <w:p>
            <w:pPr>
              <w:pStyle w:val="27"/>
              <w:spacing w:line="360" w:lineRule="auto"/>
              <w:rPr>
                <w:rFonts w:hint="eastAsia" w:hAnsi="宋体"/>
                <w:b/>
                <w:color w:val="000000"/>
                <w:sz w:val="24"/>
              </w:rPr>
            </w:pPr>
            <w:r>
              <w:rPr>
                <w:rFonts w:hint="eastAsia" w:hAnsi="宋体"/>
                <w:b/>
                <w:color w:val="000000"/>
                <w:sz w:val="24"/>
              </w:rPr>
              <w:t>1</w:t>
            </w:r>
          </w:p>
        </w:tc>
        <w:tc>
          <w:tcPr>
            <w:tcW w:w="1625" w:type="dxa"/>
            <w:noWrap w:val="0"/>
            <w:vAlign w:val="center"/>
          </w:tcPr>
          <w:p>
            <w:pPr>
              <w:pStyle w:val="27"/>
              <w:spacing w:line="360" w:lineRule="auto"/>
              <w:rPr>
                <w:rFonts w:hint="eastAsia" w:hAnsi="宋体"/>
                <w:b/>
                <w:color w:val="000000"/>
                <w:sz w:val="24"/>
              </w:rPr>
            </w:pPr>
          </w:p>
        </w:tc>
        <w:tc>
          <w:tcPr>
            <w:tcW w:w="715" w:type="dxa"/>
            <w:noWrap w:val="0"/>
            <w:vAlign w:val="center"/>
          </w:tcPr>
          <w:p>
            <w:pPr>
              <w:pStyle w:val="27"/>
              <w:spacing w:line="360" w:lineRule="auto"/>
              <w:rPr>
                <w:rFonts w:hint="eastAsia" w:hAnsi="宋体"/>
                <w:b/>
                <w:color w:val="000000"/>
                <w:sz w:val="24"/>
              </w:rPr>
            </w:pPr>
          </w:p>
        </w:tc>
        <w:tc>
          <w:tcPr>
            <w:tcW w:w="720" w:type="dxa"/>
            <w:noWrap w:val="0"/>
            <w:vAlign w:val="center"/>
          </w:tcPr>
          <w:p>
            <w:pPr>
              <w:pStyle w:val="27"/>
              <w:spacing w:line="360" w:lineRule="auto"/>
              <w:rPr>
                <w:rFonts w:hint="eastAsia" w:hAnsi="宋体"/>
                <w:b/>
                <w:color w:val="000000"/>
                <w:sz w:val="24"/>
              </w:rPr>
            </w:pPr>
          </w:p>
        </w:tc>
        <w:tc>
          <w:tcPr>
            <w:tcW w:w="720" w:type="dxa"/>
            <w:noWrap w:val="0"/>
            <w:vAlign w:val="center"/>
          </w:tcPr>
          <w:p>
            <w:pPr>
              <w:pStyle w:val="27"/>
              <w:spacing w:line="360" w:lineRule="auto"/>
              <w:rPr>
                <w:rFonts w:hint="eastAsia" w:hAnsi="宋体"/>
                <w:b/>
                <w:color w:val="000000"/>
                <w:sz w:val="24"/>
              </w:rPr>
            </w:pPr>
          </w:p>
        </w:tc>
        <w:tc>
          <w:tcPr>
            <w:tcW w:w="1260" w:type="dxa"/>
            <w:noWrap w:val="0"/>
            <w:vAlign w:val="center"/>
          </w:tcPr>
          <w:p>
            <w:pPr>
              <w:pStyle w:val="27"/>
              <w:spacing w:line="360" w:lineRule="auto"/>
              <w:rPr>
                <w:rFonts w:hint="eastAsia" w:hAnsi="宋体"/>
                <w:b/>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540" w:type="dxa"/>
            <w:noWrap w:val="0"/>
            <w:vAlign w:val="center"/>
          </w:tcPr>
          <w:p>
            <w:pPr>
              <w:pStyle w:val="27"/>
              <w:spacing w:line="360" w:lineRule="auto"/>
              <w:rPr>
                <w:rFonts w:hint="eastAsia" w:hAnsi="宋体"/>
                <w:b/>
                <w:color w:val="000000"/>
                <w:sz w:val="24"/>
              </w:rPr>
            </w:pPr>
            <w:r>
              <w:rPr>
                <w:rFonts w:hint="eastAsia" w:hAnsi="宋体"/>
                <w:b/>
                <w:color w:val="000000"/>
                <w:sz w:val="24"/>
              </w:rPr>
              <w:t>2</w:t>
            </w:r>
          </w:p>
        </w:tc>
        <w:tc>
          <w:tcPr>
            <w:tcW w:w="1625" w:type="dxa"/>
            <w:noWrap w:val="0"/>
            <w:vAlign w:val="center"/>
          </w:tcPr>
          <w:p>
            <w:pPr>
              <w:pStyle w:val="27"/>
              <w:spacing w:line="360" w:lineRule="auto"/>
              <w:rPr>
                <w:rFonts w:hint="eastAsia" w:hAnsi="宋体"/>
                <w:b/>
                <w:color w:val="000000"/>
                <w:sz w:val="24"/>
              </w:rPr>
            </w:pPr>
          </w:p>
        </w:tc>
        <w:tc>
          <w:tcPr>
            <w:tcW w:w="715" w:type="dxa"/>
            <w:noWrap w:val="0"/>
            <w:vAlign w:val="center"/>
          </w:tcPr>
          <w:p>
            <w:pPr>
              <w:pStyle w:val="27"/>
              <w:spacing w:line="360" w:lineRule="auto"/>
              <w:rPr>
                <w:rFonts w:hint="eastAsia" w:hAnsi="宋体"/>
                <w:b/>
                <w:color w:val="000000"/>
                <w:sz w:val="24"/>
              </w:rPr>
            </w:pPr>
          </w:p>
        </w:tc>
        <w:tc>
          <w:tcPr>
            <w:tcW w:w="720" w:type="dxa"/>
            <w:noWrap w:val="0"/>
            <w:vAlign w:val="center"/>
          </w:tcPr>
          <w:p>
            <w:pPr>
              <w:pStyle w:val="27"/>
              <w:spacing w:line="360" w:lineRule="auto"/>
              <w:rPr>
                <w:rFonts w:hint="eastAsia" w:hAnsi="宋体"/>
                <w:b/>
                <w:color w:val="000000"/>
                <w:sz w:val="24"/>
              </w:rPr>
            </w:pPr>
          </w:p>
        </w:tc>
        <w:tc>
          <w:tcPr>
            <w:tcW w:w="720" w:type="dxa"/>
            <w:noWrap w:val="0"/>
            <w:vAlign w:val="center"/>
          </w:tcPr>
          <w:p>
            <w:pPr>
              <w:pStyle w:val="27"/>
              <w:spacing w:line="360" w:lineRule="auto"/>
              <w:rPr>
                <w:rFonts w:hint="eastAsia" w:hAnsi="宋体"/>
                <w:b/>
                <w:color w:val="000000"/>
                <w:sz w:val="24"/>
              </w:rPr>
            </w:pPr>
          </w:p>
        </w:tc>
        <w:tc>
          <w:tcPr>
            <w:tcW w:w="1260" w:type="dxa"/>
            <w:noWrap w:val="0"/>
            <w:vAlign w:val="center"/>
          </w:tcPr>
          <w:p>
            <w:pPr>
              <w:pStyle w:val="27"/>
              <w:spacing w:line="360" w:lineRule="auto"/>
              <w:rPr>
                <w:rFonts w:hint="eastAsia" w:hAnsi="宋体"/>
                <w:b/>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540" w:type="dxa"/>
            <w:noWrap w:val="0"/>
            <w:vAlign w:val="center"/>
          </w:tcPr>
          <w:p>
            <w:pPr>
              <w:pStyle w:val="27"/>
              <w:spacing w:line="360" w:lineRule="auto"/>
              <w:rPr>
                <w:rFonts w:hint="eastAsia" w:hAnsi="宋体"/>
                <w:b/>
                <w:color w:val="000000"/>
                <w:sz w:val="24"/>
              </w:rPr>
            </w:pPr>
            <w:r>
              <w:rPr>
                <w:rFonts w:hint="eastAsia" w:hAnsi="宋体"/>
                <w:b/>
                <w:color w:val="000000"/>
                <w:sz w:val="24"/>
              </w:rPr>
              <w:t>3</w:t>
            </w:r>
          </w:p>
        </w:tc>
        <w:tc>
          <w:tcPr>
            <w:tcW w:w="1625" w:type="dxa"/>
            <w:noWrap w:val="0"/>
            <w:vAlign w:val="center"/>
          </w:tcPr>
          <w:p>
            <w:pPr>
              <w:pStyle w:val="27"/>
              <w:spacing w:line="360" w:lineRule="auto"/>
              <w:rPr>
                <w:rFonts w:hint="eastAsia" w:hAnsi="宋体"/>
                <w:b/>
                <w:color w:val="000000"/>
                <w:sz w:val="24"/>
              </w:rPr>
            </w:pPr>
          </w:p>
        </w:tc>
        <w:tc>
          <w:tcPr>
            <w:tcW w:w="715" w:type="dxa"/>
            <w:noWrap w:val="0"/>
            <w:vAlign w:val="center"/>
          </w:tcPr>
          <w:p>
            <w:pPr>
              <w:pStyle w:val="27"/>
              <w:spacing w:line="360" w:lineRule="auto"/>
              <w:rPr>
                <w:rFonts w:hint="eastAsia" w:hAnsi="宋体"/>
                <w:b/>
                <w:color w:val="000000"/>
              </w:rPr>
            </w:pPr>
          </w:p>
        </w:tc>
        <w:tc>
          <w:tcPr>
            <w:tcW w:w="720" w:type="dxa"/>
            <w:noWrap w:val="0"/>
            <w:vAlign w:val="center"/>
          </w:tcPr>
          <w:p>
            <w:pPr>
              <w:pStyle w:val="27"/>
              <w:spacing w:line="360" w:lineRule="auto"/>
              <w:rPr>
                <w:rFonts w:hint="eastAsia" w:hAnsi="宋体"/>
                <w:b/>
                <w:color w:val="000000"/>
                <w:sz w:val="24"/>
              </w:rPr>
            </w:pPr>
          </w:p>
        </w:tc>
        <w:tc>
          <w:tcPr>
            <w:tcW w:w="720" w:type="dxa"/>
            <w:noWrap w:val="0"/>
            <w:vAlign w:val="center"/>
          </w:tcPr>
          <w:p>
            <w:pPr>
              <w:pStyle w:val="27"/>
              <w:spacing w:line="360" w:lineRule="auto"/>
              <w:rPr>
                <w:rFonts w:hint="eastAsia" w:hAnsi="宋体"/>
                <w:b/>
                <w:color w:val="000000"/>
                <w:sz w:val="24"/>
              </w:rPr>
            </w:pPr>
          </w:p>
        </w:tc>
        <w:tc>
          <w:tcPr>
            <w:tcW w:w="1260" w:type="dxa"/>
            <w:noWrap w:val="0"/>
            <w:vAlign w:val="center"/>
          </w:tcPr>
          <w:p>
            <w:pPr>
              <w:pStyle w:val="27"/>
              <w:spacing w:line="360" w:lineRule="auto"/>
              <w:rPr>
                <w:rFonts w:hint="eastAsia" w:hAnsi="宋体"/>
                <w:b/>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pStyle w:val="27"/>
              <w:spacing w:line="360" w:lineRule="auto"/>
              <w:rPr>
                <w:rFonts w:hint="eastAsia" w:hAnsi="宋体"/>
                <w:color w:val="000000"/>
                <w:sz w:val="24"/>
              </w:rPr>
            </w:pPr>
          </w:p>
        </w:tc>
        <w:tc>
          <w:tcPr>
            <w:tcW w:w="1625" w:type="dxa"/>
            <w:noWrap w:val="0"/>
            <w:vAlign w:val="top"/>
          </w:tcPr>
          <w:p>
            <w:pPr>
              <w:pStyle w:val="27"/>
              <w:spacing w:line="360" w:lineRule="auto"/>
              <w:rPr>
                <w:rFonts w:hint="eastAsia" w:hAnsi="宋体"/>
                <w:color w:val="000000"/>
                <w:sz w:val="24"/>
              </w:rPr>
            </w:pPr>
          </w:p>
        </w:tc>
        <w:tc>
          <w:tcPr>
            <w:tcW w:w="715"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720" w:type="dxa"/>
            <w:noWrap w:val="0"/>
            <w:vAlign w:val="top"/>
          </w:tcPr>
          <w:p>
            <w:pPr>
              <w:pStyle w:val="27"/>
              <w:spacing w:line="360" w:lineRule="auto"/>
              <w:rPr>
                <w:rFonts w:hint="eastAsia" w:hAnsi="宋体"/>
                <w:color w:val="000000"/>
                <w:sz w:val="24"/>
              </w:rPr>
            </w:pPr>
          </w:p>
        </w:tc>
        <w:tc>
          <w:tcPr>
            <w:tcW w:w="126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80" w:type="dxa"/>
            <w:noWrap w:val="0"/>
            <w:vAlign w:val="top"/>
          </w:tcPr>
          <w:p>
            <w:pPr>
              <w:pStyle w:val="27"/>
              <w:spacing w:line="360" w:lineRule="auto"/>
              <w:rPr>
                <w:rFonts w:hint="eastAsia" w:hAnsi="宋体"/>
                <w:color w:val="000000"/>
                <w:sz w:val="24"/>
              </w:rPr>
            </w:pPr>
          </w:p>
        </w:tc>
        <w:tc>
          <w:tcPr>
            <w:tcW w:w="1056" w:type="dxa"/>
            <w:noWrap w:val="0"/>
            <w:vAlign w:val="top"/>
          </w:tcPr>
          <w:p>
            <w:pPr>
              <w:pStyle w:val="27"/>
              <w:spacing w:line="360" w:lineRule="auto"/>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165" w:type="dxa"/>
            <w:gridSpan w:val="2"/>
            <w:noWrap w:val="0"/>
            <w:vAlign w:val="top"/>
          </w:tcPr>
          <w:p>
            <w:pPr>
              <w:pStyle w:val="27"/>
              <w:spacing w:line="360" w:lineRule="auto"/>
              <w:rPr>
                <w:rFonts w:hint="eastAsia" w:hAnsi="宋体"/>
                <w:color w:val="000000"/>
                <w:sz w:val="24"/>
              </w:rPr>
            </w:pPr>
            <w:r>
              <w:rPr>
                <w:rFonts w:hint="eastAsia" w:hAnsi="宋体"/>
                <w:color w:val="000000"/>
                <w:sz w:val="24"/>
              </w:rPr>
              <w:t>投标总价</w:t>
            </w:r>
          </w:p>
        </w:tc>
        <w:tc>
          <w:tcPr>
            <w:tcW w:w="6631" w:type="dxa"/>
            <w:gridSpan w:val="7"/>
            <w:noWrap w:val="0"/>
            <w:vAlign w:val="top"/>
          </w:tcPr>
          <w:p>
            <w:pPr>
              <w:pStyle w:val="27"/>
              <w:spacing w:line="360" w:lineRule="auto"/>
              <w:rPr>
                <w:rFonts w:hint="eastAsia" w:hAnsi="宋体"/>
                <w:color w:val="000000"/>
                <w:sz w:val="24"/>
              </w:rPr>
            </w:pPr>
            <w:r>
              <w:rPr>
                <w:rFonts w:hint="eastAsia" w:hAnsi="宋体"/>
                <w:color w:val="000000"/>
                <w:sz w:val="24"/>
              </w:rPr>
              <w:t>　大写：　　　　                    元（小写：　　　　　）</w:t>
            </w:r>
          </w:p>
        </w:tc>
      </w:tr>
    </w:tbl>
    <w:p>
      <w:pPr>
        <w:pStyle w:val="27"/>
        <w:spacing w:line="360" w:lineRule="auto"/>
        <w:rPr>
          <w:rFonts w:hint="eastAsia" w:hAnsi="宋体"/>
          <w:color w:val="000000"/>
          <w:sz w:val="24"/>
        </w:rPr>
      </w:pPr>
      <w:r>
        <w:rPr>
          <w:rFonts w:hint="eastAsia" w:hAnsi="宋体"/>
          <w:color w:val="000000"/>
          <w:sz w:val="24"/>
        </w:rPr>
        <w:t xml:space="preserve">                                     投标人全称（盖章）：</w:t>
      </w:r>
    </w:p>
    <w:p>
      <w:pPr>
        <w:pStyle w:val="27"/>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sz w:val="36"/>
        </w:rPr>
      </w:pPr>
      <w:r>
        <w:rPr>
          <w:rFonts w:hint="eastAsia"/>
        </w:rPr>
        <w:t xml:space="preserve">                         </w:t>
      </w:r>
      <w:r>
        <w:rPr>
          <w:rFonts w:hint="eastAsia"/>
          <w:sz w:val="24"/>
        </w:rPr>
        <w:t xml:space="preserve">               日   期：</w:t>
      </w:r>
      <w:r>
        <w:rPr>
          <w:sz w:val="36"/>
        </w:rPr>
        <w:t xml:space="preserve"> </w:t>
      </w:r>
    </w:p>
    <w:p>
      <w:pPr>
        <w:pStyle w:val="3"/>
        <w:spacing w:line="360" w:lineRule="auto"/>
        <w:jc w:val="center"/>
        <w:rPr>
          <w:rFonts w:hint="eastAsia"/>
          <w:lang w:eastAsia="zh-CN"/>
        </w:rPr>
      </w:pPr>
    </w:p>
    <w:p>
      <w:pPr>
        <w:pStyle w:val="3"/>
        <w:spacing w:line="360" w:lineRule="auto"/>
        <w:jc w:val="center"/>
        <w:rPr>
          <w:rFonts w:hint="eastAsia"/>
        </w:rPr>
      </w:pPr>
      <w:bookmarkStart w:id="47" w:name="_Toc2852604"/>
      <w:r>
        <w:rPr>
          <w:rFonts w:hint="eastAsia"/>
        </w:rPr>
        <w:t>附件六、投标报价明细表</w:t>
      </w:r>
      <w:bookmarkEnd w:id="47"/>
    </w:p>
    <w:p>
      <w:pPr>
        <w:pStyle w:val="27"/>
        <w:spacing w:line="360" w:lineRule="auto"/>
        <w:rPr>
          <w:rFonts w:hint="eastAsia" w:hAnsi="宋体"/>
          <w:color w:val="000000"/>
          <w:sz w:val="28"/>
        </w:rPr>
      </w:pPr>
      <w:r>
        <w:rPr>
          <w:rFonts w:hint="eastAsia" w:hAnsi="宋体"/>
          <w:color w:val="000000"/>
          <w:sz w:val="24"/>
        </w:rPr>
        <w:t>招标编号：</w:t>
      </w:r>
    </w:p>
    <w:p>
      <w:pPr>
        <w:pStyle w:val="27"/>
        <w:spacing w:line="360" w:lineRule="auto"/>
        <w:rPr>
          <w:rFonts w:hint="eastAsia" w:hAnsi="宋体"/>
          <w:color w:val="000000"/>
          <w:sz w:val="24"/>
        </w:rPr>
      </w:pPr>
      <w:r>
        <w:rPr>
          <w:rFonts w:hint="eastAsia" w:hAnsi="宋体"/>
          <w:color w:val="000000"/>
          <w:sz w:val="24"/>
        </w:rPr>
        <w:t xml:space="preserve">项目名称：                </w:t>
      </w:r>
    </w:p>
    <w:tbl>
      <w:tblPr>
        <w:tblStyle w:val="5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080"/>
        <w:gridCol w:w="720"/>
        <w:gridCol w:w="720"/>
        <w:gridCol w:w="1260"/>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3" w:hRule="atLeast"/>
        </w:trPr>
        <w:tc>
          <w:tcPr>
            <w:tcW w:w="540" w:type="dxa"/>
            <w:vMerge w:val="restart"/>
            <w:noWrap w:val="0"/>
            <w:vAlign w:val="center"/>
          </w:tcPr>
          <w:p>
            <w:pPr>
              <w:pStyle w:val="27"/>
              <w:spacing w:line="360" w:lineRule="auto"/>
              <w:jc w:val="center"/>
              <w:rPr>
                <w:rFonts w:hint="eastAsia" w:hAnsi="宋体"/>
                <w:color w:val="000000"/>
                <w:sz w:val="24"/>
              </w:rPr>
            </w:pPr>
            <w:r>
              <w:rPr>
                <w:rFonts w:hint="eastAsia" w:hAnsi="宋体"/>
                <w:color w:val="000000"/>
                <w:sz w:val="24"/>
              </w:rPr>
              <w:t>序</w:t>
            </w:r>
          </w:p>
          <w:p>
            <w:pPr>
              <w:pStyle w:val="27"/>
              <w:spacing w:line="360" w:lineRule="auto"/>
              <w:jc w:val="center"/>
              <w:rPr>
                <w:rFonts w:hint="eastAsia" w:hAnsi="宋体"/>
                <w:color w:val="000000"/>
                <w:sz w:val="24"/>
              </w:rPr>
            </w:pPr>
            <w:r>
              <w:rPr>
                <w:rFonts w:hint="eastAsia" w:hAnsi="宋体"/>
                <w:color w:val="000000"/>
                <w:sz w:val="24"/>
              </w:rPr>
              <w:t>号</w:t>
            </w:r>
          </w:p>
        </w:tc>
        <w:tc>
          <w:tcPr>
            <w:tcW w:w="1620" w:type="dxa"/>
            <w:vMerge w:val="restart"/>
            <w:noWrap w:val="0"/>
            <w:vAlign w:val="center"/>
          </w:tcPr>
          <w:p>
            <w:pPr>
              <w:pStyle w:val="27"/>
              <w:spacing w:line="360" w:lineRule="auto"/>
              <w:jc w:val="center"/>
              <w:rPr>
                <w:rFonts w:hint="eastAsia" w:hAnsi="宋体"/>
                <w:color w:val="000000"/>
                <w:sz w:val="24"/>
              </w:rPr>
            </w:pPr>
            <w:r>
              <w:rPr>
                <w:rFonts w:hint="eastAsia" w:hAnsi="宋体"/>
                <w:color w:val="000000"/>
                <w:sz w:val="24"/>
              </w:rPr>
              <w:t>名称</w:t>
            </w:r>
          </w:p>
        </w:tc>
        <w:tc>
          <w:tcPr>
            <w:tcW w:w="1080" w:type="dxa"/>
            <w:vMerge w:val="restart"/>
            <w:noWrap w:val="0"/>
            <w:vAlign w:val="center"/>
          </w:tcPr>
          <w:p>
            <w:pPr>
              <w:pStyle w:val="27"/>
              <w:spacing w:line="360" w:lineRule="auto"/>
              <w:jc w:val="center"/>
              <w:rPr>
                <w:rFonts w:hint="eastAsia" w:hAnsi="宋体"/>
                <w:color w:val="000000"/>
                <w:sz w:val="24"/>
              </w:rPr>
            </w:pPr>
            <w:r>
              <w:rPr>
                <w:rFonts w:hint="eastAsia" w:hAnsi="宋体"/>
                <w:color w:val="000000"/>
                <w:sz w:val="24"/>
              </w:rPr>
              <w:t>型号和</w:t>
            </w:r>
          </w:p>
          <w:p>
            <w:pPr>
              <w:pStyle w:val="27"/>
              <w:spacing w:line="360" w:lineRule="auto"/>
              <w:jc w:val="center"/>
              <w:rPr>
                <w:rFonts w:hint="eastAsia" w:hAnsi="宋体"/>
                <w:color w:val="000000"/>
                <w:sz w:val="24"/>
              </w:rPr>
            </w:pPr>
            <w:r>
              <w:rPr>
                <w:rFonts w:hint="eastAsia" w:hAnsi="宋体"/>
                <w:color w:val="000000"/>
                <w:sz w:val="24"/>
              </w:rPr>
              <w:t>规　格</w:t>
            </w:r>
          </w:p>
        </w:tc>
        <w:tc>
          <w:tcPr>
            <w:tcW w:w="720" w:type="dxa"/>
            <w:vMerge w:val="restart"/>
            <w:noWrap w:val="0"/>
            <w:vAlign w:val="center"/>
          </w:tcPr>
          <w:p>
            <w:pPr>
              <w:pStyle w:val="27"/>
              <w:spacing w:line="360" w:lineRule="auto"/>
              <w:jc w:val="center"/>
              <w:rPr>
                <w:rFonts w:hint="eastAsia" w:hAnsi="宋体"/>
                <w:color w:val="000000"/>
                <w:sz w:val="24"/>
              </w:rPr>
            </w:pPr>
            <w:r>
              <w:rPr>
                <w:rFonts w:hint="eastAsia" w:hAnsi="宋体"/>
                <w:color w:val="000000"/>
                <w:sz w:val="24"/>
              </w:rPr>
              <w:t>数</w:t>
            </w:r>
          </w:p>
          <w:p>
            <w:pPr>
              <w:pStyle w:val="27"/>
              <w:spacing w:line="360" w:lineRule="auto"/>
              <w:jc w:val="center"/>
              <w:rPr>
                <w:rFonts w:hint="eastAsia" w:hAnsi="宋体"/>
                <w:color w:val="000000"/>
                <w:sz w:val="24"/>
              </w:rPr>
            </w:pPr>
            <w:r>
              <w:rPr>
                <w:rFonts w:hint="eastAsia" w:hAnsi="宋体"/>
                <w:color w:val="000000"/>
                <w:sz w:val="24"/>
              </w:rPr>
              <w:t>量</w:t>
            </w:r>
          </w:p>
        </w:tc>
        <w:tc>
          <w:tcPr>
            <w:tcW w:w="720" w:type="dxa"/>
            <w:vMerge w:val="restart"/>
            <w:noWrap w:val="0"/>
            <w:vAlign w:val="center"/>
          </w:tcPr>
          <w:p>
            <w:pPr>
              <w:pStyle w:val="27"/>
              <w:spacing w:line="360" w:lineRule="auto"/>
              <w:jc w:val="center"/>
              <w:rPr>
                <w:rFonts w:hint="eastAsia" w:hAnsi="宋体"/>
                <w:color w:val="000000"/>
                <w:sz w:val="24"/>
              </w:rPr>
            </w:pPr>
            <w:r>
              <w:rPr>
                <w:rFonts w:hint="eastAsia" w:hAnsi="宋体"/>
                <w:color w:val="000000"/>
                <w:sz w:val="24"/>
              </w:rPr>
              <w:t>单</w:t>
            </w:r>
          </w:p>
          <w:p>
            <w:pPr>
              <w:pStyle w:val="27"/>
              <w:spacing w:line="360" w:lineRule="auto"/>
              <w:jc w:val="center"/>
              <w:rPr>
                <w:rFonts w:hint="eastAsia"/>
              </w:rPr>
            </w:pPr>
            <w:r>
              <w:rPr>
                <w:rFonts w:hint="eastAsia" w:hAnsi="宋体"/>
                <w:color w:val="000000"/>
                <w:sz w:val="24"/>
              </w:rPr>
              <w:t>位</w:t>
            </w:r>
          </w:p>
        </w:tc>
        <w:tc>
          <w:tcPr>
            <w:tcW w:w="1260" w:type="dxa"/>
            <w:vMerge w:val="restart"/>
            <w:noWrap w:val="0"/>
            <w:vAlign w:val="center"/>
          </w:tcPr>
          <w:p>
            <w:pPr>
              <w:pStyle w:val="27"/>
              <w:spacing w:line="360" w:lineRule="auto"/>
              <w:jc w:val="center"/>
              <w:rPr>
                <w:rFonts w:hint="eastAsia" w:hAnsi="宋体"/>
                <w:color w:val="000000"/>
                <w:sz w:val="24"/>
              </w:rPr>
            </w:pPr>
            <w:r>
              <w:rPr>
                <w:rFonts w:hint="eastAsia" w:hAnsi="宋体"/>
                <w:color w:val="000000"/>
                <w:sz w:val="24"/>
              </w:rPr>
              <w:t>制造商名</w:t>
            </w:r>
          </w:p>
          <w:p>
            <w:pPr>
              <w:pStyle w:val="27"/>
              <w:spacing w:line="360" w:lineRule="auto"/>
              <w:jc w:val="center"/>
              <w:rPr>
                <w:rFonts w:hint="eastAsia" w:hAnsi="宋体"/>
                <w:color w:val="000000"/>
                <w:sz w:val="24"/>
              </w:rPr>
            </w:pPr>
            <w:r>
              <w:rPr>
                <w:rFonts w:hint="eastAsia" w:hAnsi="宋体"/>
                <w:color w:val="000000"/>
                <w:sz w:val="24"/>
              </w:rPr>
              <w:t>称及产地</w:t>
            </w:r>
          </w:p>
        </w:tc>
        <w:tc>
          <w:tcPr>
            <w:tcW w:w="1800" w:type="dxa"/>
            <w:gridSpan w:val="2"/>
            <w:noWrap w:val="0"/>
            <w:vAlign w:val="top"/>
          </w:tcPr>
          <w:p>
            <w:pPr>
              <w:pStyle w:val="27"/>
              <w:spacing w:line="360" w:lineRule="auto"/>
              <w:jc w:val="center"/>
              <w:rPr>
                <w:rFonts w:hint="eastAsia" w:hAnsi="宋体"/>
                <w:color w:val="000000"/>
                <w:sz w:val="24"/>
              </w:rPr>
            </w:pPr>
            <w:r>
              <w:rPr>
                <w:rFonts w:hint="eastAsia" w:hAnsi="宋体"/>
                <w:color w:val="000000"/>
                <w:sz w:val="24"/>
              </w:rPr>
              <w:t>投标报价（元）</w:t>
            </w:r>
          </w:p>
        </w:tc>
        <w:tc>
          <w:tcPr>
            <w:tcW w:w="1080" w:type="dxa"/>
            <w:noWrap w:val="0"/>
            <w:vAlign w:val="top"/>
          </w:tcPr>
          <w:p>
            <w:pPr>
              <w:pStyle w:val="27"/>
              <w:spacing w:line="360" w:lineRule="auto"/>
              <w:jc w:val="center"/>
              <w:rPr>
                <w:rFonts w:hint="eastAsia" w:hAnsi="宋体"/>
                <w:color w:val="000000"/>
                <w:sz w:val="24"/>
              </w:rPr>
            </w:pPr>
            <w:r>
              <w:rPr>
                <w:rFonts w:hint="eastAsia" w:hAnsi="宋体"/>
                <w:color w:val="000000"/>
                <w:sz w:val="24"/>
              </w:rPr>
              <w:t>运费和保险费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3" w:hRule="atLeast"/>
        </w:trPr>
        <w:tc>
          <w:tcPr>
            <w:tcW w:w="540" w:type="dxa"/>
            <w:vMerge w:val="continue"/>
            <w:noWrap w:val="0"/>
            <w:vAlign w:val="top"/>
          </w:tcPr>
          <w:p>
            <w:pPr>
              <w:pStyle w:val="27"/>
              <w:spacing w:line="360" w:lineRule="auto"/>
              <w:rPr>
                <w:rFonts w:hint="eastAsia" w:hAnsi="宋体"/>
                <w:color w:val="000000"/>
                <w:sz w:val="24"/>
              </w:rPr>
            </w:pPr>
          </w:p>
        </w:tc>
        <w:tc>
          <w:tcPr>
            <w:tcW w:w="1620" w:type="dxa"/>
            <w:vMerge w:val="continue"/>
            <w:noWrap w:val="0"/>
            <w:vAlign w:val="top"/>
          </w:tcPr>
          <w:p>
            <w:pPr>
              <w:pStyle w:val="27"/>
              <w:spacing w:line="360" w:lineRule="auto"/>
              <w:rPr>
                <w:rFonts w:hint="eastAsia" w:hAnsi="宋体"/>
                <w:color w:val="000000"/>
                <w:sz w:val="24"/>
              </w:rPr>
            </w:pPr>
          </w:p>
        </w:tc>
        <w:tc>
          <w:tcPr>
            <w:tcW w:w="1080" w:type="dxa"/>
            <w:vMerge w:val="continue"/>
            <w:noWrap w:val="0"/>
            <w:vAlign w:val="top"/>
          </w:tcPr>
          <w:p>
            <w:pPr>
              <w:pStyle w:val="27"/>
              <w:spacing w:line="360" w:lineRule="auto"/>
              <w:rPr>
                <w:rFonts w:hint="eastAsia" w:hAnsi="宋体"/>
                <w:color w:val="000000"/>
                <w:sz w:val="24"/>
              </w:rPr>
            </w:pPr>
          </w:p>
        </w:tc>
        <w:tc>
          <w:tcPr>
            <w:tcW w:w="720" w:type="dxa"/>
            <w:vMerge w:val="continue"/>
            <w:noWrap w:val="0"/>
            <w:vAlign w:val="top"/>
          </w:tcPr>
          <w:p>
            <w:pPr>
              <w:pStyle w:val="27"/>
              <w:spacing w:line="360" w:lineRule="auto"/>
              <w:rPr>
                <w:rFonts w:hint="eastAsia" w:hAnsi="宋体"/>
                <w:color w:val="000000"/>
                <w:sz w:val="24"/>
              </w:rPr>
            </w:pPr>
          </w:p>
        </w:tc>
        <w:tc>
          <w:tcPr>
            <w:tcW w:w="720" w:type="dxa"/>
            <w:vMerge w:val="continue"/>
            <w:noWrap w:val="0"/>
            <w:vAlign w:val="top"/>
          </w:tcPr>
          <w:p>
            <w:pPr>
              <w:pStyle w:val="27"/>
              <w:spacing w:line="360" w:lineRule="auto"/>
              <w:rPr>
                <w:rFonts w:hint="eastAsia" w:hAnsi="宋体"/>
                <w:color w:val="000000"/>
                <w:sz w:val="24"/>
              </w:rPr>
            </w:pPr>
          </w:p>
        </w:tc>
        <w:tc>
          <w:tcPr>
            <w:tcW w:w="1260" w:type="dxa"/>
            <w:vMerge w:val="continue"/>
            <w:noWrap w:val="0"/>
            <w:vAlign w:val="top"/>
          </w:tcPr>
          <w:p>
            <w:pPr>
              <w:pStyle w:val="27"/>
              <w:spacing w:line="360" w:lineRule="auto"/>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r>
              <w:rPr>
                <w:rFonts w:hint="eastAsia" w:hAnsi="宋体"/>
                <w:color w:val="000000"/>
                <w:sz w:val="24"/>
              </w:rPr>
              <w:t>单价</w:t>
            </w:r>
          </w:p>
        </w:tc>
        <w:tc>
          <w:tcPr>
            <w:tcW w:w="900" w:type="dxa"/>
            <w:noWrap w:val="0"/>
            <w:vAlign w:val="center"/>
          </w:tcPr>
          <w:p>
            <w:pPr>
              <w:pStyle w:val="27"/>
              <w:spacing w:line="360" w:lineRule="auto"/>
              <w:jc w:val="center"/>
              <w:rPr>
                <w:rFonts w:hint="eastAsia" w:hAnsi="宋体"/>
                <w:color w:val="000000"/>
                <w:sz w:val="24"/>
              </w:rPr>
            </w:pPr>
            <w:r>
              <w:rPr>
                <w:rFonts w:hint="eastAsia" w:hAnsi="宋体"/>
                <w:color w:val="000000"/>
                <w:sz w:val="24"/>
              </w:rPr>
              <w:t>小计</w:t>
            </w:r>
          </w:p>
        </w:tc>
        <w:tc>
          <w:tcPr>
            <w:tcW w:w="1080" w:type="dxa"/>
            <w:noWrap w:val="0"/>
            <w:vAlign w:val="top"/>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0" w:hRule="atLeast"/>
        </w:trPr>
        <w:tc>
          <w:tcPr>
            <w:tcW w:w="540" w:type="dxa"/>
            <w:noWrap w:val="0"/>
            <w:vAlign w:val="center"/>
          </w:tcPr>
          <w:p>
            <w:pPr>
              <w:pStyle w:val="27"/>
              <w:spacing w:line="360" w:lineRule="auto"/>
              <w:jc w:val="center"/>
              <w:rPr>
                <w:rFonts w:hint="eastAsia" w:hAnsi="宋体"/>
                <w:color w:val="000000"/>
                <w:sz w:val="24"/>
              </w:rPr>
            </w:pPr>
            <w:r>
              <w:rPr>
                <w:rFonts w:hint="eastAsia" w:hAnsi="宋体"/>
                <w:color w:val="000000"/>
                <w:sz w:val="24"/>
              </w:rPr>
              <w:t>1</w:t>
            </w:r>
          </w:p>
        </w:tc>
        <w:tc>
          <w:tcPr>
            <w:tcW w:w="1620" w:type="dxa"/>
            <w:noWrap w:val="0"/>
            <w:vAlign w:val="center"/>
          </w:tcPr>
          <w:p>
            <w:pPr>
              <w:pStyle w:val="27"/>
              <w:spacing w:line="288" w:lineRule="auto"/>
              <w:rPr>
                <w:rFonts w:hint="eastAsia" w:hAnsi="宋体"/>
                <w:color w:val="000000"/>
                <w:sz w:val="24"/>
              </w:rPr>
            </w:pPr>
            <w:r>
              <w:rPr>
                <w:rFonts w:hint="eastAsia" w:hAnsi="宋体"/>
                <w:color w:val="000000"/>
                <w:sz w:val="24"/>
              </w:rPr>
              <w:t>主机和标准附件</w:t>
            </w: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0" w:hRule="atLeast"/>
        </w:trPr>
        <w:tc>
          <w:tcPr>
            <w:tcW w:w="540" w:type="dxa"/>
            <w:noWrap w:val="0"/>
            <w:vAlign w:val="center"/>
          </w:tcPr>
          <w:p>
            <w:pPr>
              <w:pStyle w:val="27"/>
              <w:spacing w:line="360" w:lineRule="auto"/>
              <w:jc w:val="center"/>
              <w:rPr>
                <w:rFonts w:hint="eastAsia" w:hAnsi="宋体"/>
                <w:color w:val="000000"/>
                <w:sz w:val="24"/>
              </w:rPr>
            </w:pPr>
            <w:r>
              <w:rPr>
                <w:rFonts w:hint="eastAsia" w:hAnsi="宋体"/>
                <w:color w:val="000000"/>
                <w:sz w:val="24"/>
              </w:rPr>
              <w:t>2</w:t>
            </w:r>
          </w:p>
        </w:tc>
        <w:tc>
          <w:tcPr>
            <w:tcW w:w="1620" w:type="dxa"/>
            <w:noWrap w:val="0"/>
            <w:vAlign w:val="center"/>
          </w:tcPr>
          <w:p>
            <w:pPr>
              <w:pStyle w:val="27"/>
              <w:spacing w:line="348" w:lineRule="auto"/>
              <w:jc w:val="center"/>
              <w:rPr>
                <w:rFonts w:hint="eastAsia" w:hAnsi="宋体"/>
                <w:color w:val="000000"/>
                <w:sz w:val="24"/>
              </w:rPr>
            </w:pPr>
            <w:r>
              <w:rPr>
                <w:rFonts w:hint="eastAsia" w:hAnsi="宋体"/>
                <w:color w:val="000000"/>
                <w:sz w:val="24"/>
              </w:rPr>
              <w:t>备品备件</w:t>
            </w: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0" w:hRule="atLeast"/>
        </w:trPr>
        <w:tc>
          <w:tcPr>
            <w:tcW w:w="540" w:type="dxa"/>
            <w:noWrap w:val="0"/>
            <w:vAlign w:val="center"/>
          </w:tcPr>
          <w:p>
            <w:pPr>
              <w:pStyle w:val="27"/>
              <w:spacing w:line="360" w:lineRule="auto"/>
              <w:jc w:val="center"/>
              <w:rPr>
                <w:rFonts w:hint="eastAsia" w:hAnsi="宋体"/>
                <w:color w:val="000000"/>
                <w:sz w:val="24"/>
              </w:rPr>
            </w:pPr>
            <w:r>
              <w:rPr>
                <w:rFonts w:hint="eastAsia" w:hAnsi="宋体"/>
                <w:color w:val="000000"/>
                <w:sz w:val="24"/>
              </w:rPr>
              <w:t>3</w:t>
            </w:r>
          </w:p>
        </w:tc>
        <w:tc>
          <w:tcPr>
            <w:tcW w:w="1620" w:type="dxa"/>
            <w:noWrap w:val="0"/>
            <w:vAlign w:val="center"/>
          </w:tcPr>
          <w:p>
            <w:pPr>
              <w:pStyle w:val="27"/>
              <w:spacing w:line="348" w:lineRule="auto"/>
              <w:jc w:val="center"/>
              <w:rPr>
                <w:rFonts w:hint="eastAsia" w:hAnsi="宋体"/>
                <w:color w:val="000000"/>
                <w:sz w:val="24"/>
              </w:rPr>
            </w:pPr>
            <w:r>
              <w:rPr>
                <w:rFonts w:hint="eastAsia" w:hAnsi="宋体"/>
                <w:color w:val="000000"/>
                <w:sz w:val="24"/>
              </w:rPr>
              <w:t>专用工具</w:t>
            </w: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40" w:type="dxa"/>
            <w:noWrap w:val="0"/>
            <w:vAlign w:val="center"/>
          </w:tcPr>
          <w:p>
            <w:pPr>
              <w:pStyle w:val="27"/>
              <w:spacing w:line="360" w:lineRule="auto"/>
              <w:jc w:val="center"/>
              <w:rPr>
                <w:rFonts w:hint="eastAsia" w:hAnsi="宋体"/>
                <w:color w:val="000000"/>
                <w:sz w:val="24"/>
              </w:rPr>
            </w:pPr>
            <w:r>
              <w:rPr>
                <w:rFonts w:hint="eastAsia" w:hAnsi="宋体"/>
                <w:color w:val="000000"/>
                <w:sz w:val="24"/>
              </w:rPr>
              <w:t>4</w:t>
            </w:r>
          </w:p>
        </w:tc>
        <w:tc>
          <w:tcPr>
            <w:tcW w:w="1620" w:type="dxa"/>
            <w:noWrap w:val="0"/>
            <w:vAlign w:val="top"/>
          </w:tcPr>
          <w:p>
            <w:pPr>
              <w:pStyle w:val="27"/>
              <w:spacing w:line="288" w:lineRule="auto"/>
              <w:rPr>
                <w:rFonts w:hint="eastAsia" w:hAnsi="宋体"/>
                <w:color w:val="000000"/>
                <w:sz w:val="24"/>
              </w:rPr>
            </w:pPr>
            <w:r>
              <w:rPr>
                <w:rFonts w:hint="eastAsia" w:hAnsi="宋体"/>
                <w:color w:val="000000"/>
                <w:sz w:val="24"/>
              </w:rPr>
              <w:t>安装、调试和检验</w:t>
            </w: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40" w:type="dxa"/>
            <w:noWrap w:val="0"/>
            <w:vAlign w:val="center"/>
          </w:tcPr>
          <w:p>
            <w:pPr>
              <w:pStyle w:val="27"/>
              <w:spacing w:line="360" w:lineRule="auto"/>
              <w:jc w:val="center"/>
              <w:rPr>
                <w:rFonts w:hint="eastAsia" w:hAnsi="宋体"/>
                <w:color w:val="000000"/>
                <w:sz w:val="24"/>
              </w:rPr>
            </w:pPr>
            <w:r>
              <w:rPr>
                <w:rFonts w:hint="eastAsia" w:hAnsi="宋体"/>
                <w:color w:val="000000"/>
                <w:sz w:val="24"/>
              </w:rPr>
              <w:t>5</w:t>
            </w:r>
          </w:p>
        </w:tc>
        <w:tc>
          <w:tcPr>
            <w:tcW w:w="1620" w:type="dxa"/>
            <w:noWrap w:val="0"/>
            <w:vAlign w:val="top"/>
          </w:tcPr>
          <w:p>
            <w:pPr>
              <w:pStyle w:val="27"/>
              <w:spacing w:line="348" w:lineRule="auto"/>
              <w:rPr>
                <w:rFonts w:hint="eastAsia" w:hAnsi="宋体"/>
                <w:color w:val="000000"/>
                <w:sz w:val="24"/>
              </w:rPr>
            </w:pPr>
            <w:r>
              <w:rPr>
                <w:rFonts w:hint="eastAsia" w:hAnsi="宋体"/>
                <w:color w:val="000000"/>
                <w:sz w:val="24"/>
              </w:rPr>
              <w:t>培训</w:t>
            </w: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40" w:type="dxa"/>
            <w:noWrap w:val="0"/>
            <w:vAlign w:val="center"/>
          </w:tcPr>
          <w:p>
            <w:pPr>
              <w:pStyle w:val="27"/>
              <w:spacing w:line="360" w:lineRule="auto"/>
              <w:jc w:val="center"/>
              <w:rPr>
                <w:rFonts w:hint="eastAsia" w:hAnsi="宋体"/>
                <w:color w:val="000000"/>
                <w:sz w:val="24"/>
              </w:rPr>
            </w:pPr>
            <w:r>
              <w:rPr>
                <w:rFonts w:hint="eastAsia" w:hAnsi="宋体"/>
                <w:color w:val="000000"/>
                <w:sz w:val="24"/>
              </w:rPr>
              <w:t>6</w:t>
            </w:r>
          </w:p>
        </w:tc>
        <w:tc>
          <w:tcPr>
            <w:tcW w:w="1620" w:type="dxa"/>
            <w:noWrap w:val="0"/>
            <w:vAlign w:val="top"/>
          </w:tcPr>
          <w:p>
            <w:pPr>
              <w:pStyle w:val="27"/>
              <w:spacing w:line="420" w:lineRule="auto"/>
              <w:rPr>
                <w:rFonts w:hint="eastAsia" w:hAnsi="宋体"/>
                <w:color w:val="000000"/>
                <w:sz w:val="24"/>
              </w:rPr>
            </w:pPr>
            <w:r>
              <w:rPr>
                <w:rFonts w:hint="eastAsia" w:hAnsi="宋体"/>
                <w:color w:val="000000"/>
                <w:sz w:val="24"/>
              </w:rPr>
              <w:t>技术服务</w:t>
            </w: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40" w:type="dxa"/>
            <w:noWrap w:val="0"/>
            <w:vAlign w:val="center"/>
          </w:tcPr>
          <w:p>
            <w:pPr>
              <w:pStyle w:val="27"/>
              <w:spacing w:line="360" w:lineRule="auto"/>
              <w:jc w:val="center"/>
              <w:rPr>
                <w:rFonts w:hint="eastAsia" w:hAnsi="宋体"/>
                <w:color w:val="000000"/>
                <w:sz w:val="24"/>
              </w:rPr>
            </w:pPr>
            <w:r>
              <w:rPr>
                <w:rFonts w:hint="eastAsia" w:hAnsi="宋体"/>
                <w:color w:val="000000"/>
                <w:sz w:val="24"/>
              </w:rPr>
              <w:t>7</w:t>
            </w:r>
          </w:p>
        </w:tc>
        <w:tc>
          <w:tcPr>
            <w:tcW w:w="1620" w:type="dxa"/>
            <w:noWrap w:val="0"/>
            <w:vAlign w:val="top"/>
          </w:tcPr>
          <w:p>
            <w:pPr>
              <w:pStyle w:val="27"/>
              <w:spacing w:line="420" w:lineRule="auto"/>
              <w:rPr>
                <w:rFonts w:hint="eastAsia" w:hAnsi="宋体"/>
                <w:color w:val="000000"/>
                <w:sz w:val="24"/>
              </w:rPr>
            </w:pPr>
            <w:r>
              <w:rPr>
                <w:rFonts w:hint="eastAsia" w:hAnsi="宋体"/>
                <w:color w:val="000000"/>
                <w:sz w:val="24"/>
              </w:rPr>
              <w:t>其他　</w:t>
            </w: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40" w:type="dxa"/>
            <w:noWrap w:val="0"/>
            <w:vAlign w:val="center"/>
          </w:tcPr>
          <w:p>
            <w:pPr>
              <w:pStyle w:val="27"/>
              <w:spacing w:line="360" w:lineRule="auto"/>
              <w:jc w:val="center"/>
              <w:rPr>
                <w:rFonts w:hint="eastAsia" w:hAnsi="宋体"/>
                <w:color w:val="000000"/>
                <w:sz w:val="24"/>
              </w:rPr>
            </w:pPr>
          </w:p>
        </w:tc>
        <w:tc>
          <w:tcPr>
            <w:tcW w:w="1620" w:type="dxa"/>
            <w:noWrap w:val="0"/>
            <w:vAlign w:val="top"/>
          </w:tcPr>
          <w:p>
            <w:pPr>
              <w:pStyle w:val="27"/>
              <w:spacing w:line="420" w:lineRule="auto"/>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720" w:type="dxa"/>
            <w:noWrap w:val="0"/>
            <w:vAlign w:val="center"/>
          </w:tcPr>
          <w:p>
            <w:pPr>
              <w:pStyle w:val="27"/>
              <w:spacing w:line="360" w:lineRule="auto"/>
              <w:jc w:val="center"/>
              <w:rPr>
                <w:rFonts w:hint="eastAsia" w:hAnsi="宋体"/>
                <w:color w:val="000000"/>
                <w:sz w:val="24"/>
              </w:rPr>
            </w:pPr>
          </w:p>
        </w:tc>
        <w:tc>
          <w:tcPr>
            <w:tcW w:w="126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900" w:type="dxa"/>
            <w:noWrap w:val="0"/>
            <w:vAlign w:val="center"/>
          </w:tcPr>
          <w:p>
            <w:pPr>
              <w:pStyle w:val="27"/>
              <w:spacing w:line="360" w:lineRule="auto"/>
              <w:jc w:val="center"/>
              <w:rPr>
                <w:rFonts w:hint="eastAsia" w:hAnsi="宋体"/>
                <w:color w:val="000000"/>
                <w:sz w:val="24"/>
              </w:rPr>
            </w:pPr>
          </w:p>
        </w:tc>
        <w:tc>
          <w:tcPr>
            <w:tcW w:w="1080" w:type="dxa"/>
            <w:noWrap w:val="0"/>
            <w:vAlign w:val="center"/>
          </w:tcPr>
          <w:p>
            <w:pPr>
              <w:pStyle w:val="27"/>
              <w:spacing w:line="360" w:lineRule="auto"/>
              <w:jc w:val="center"/>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160" w:type="dxa"/>
            <w:gridSpan w:val="2"/>
            <w:noWrap w:val="0"/>
            <w:vAlign w:val="top"/>
          </w:tcPr>
          <w:p>
            <w:pPr>
              <w:pStyle w:val="27"/>
              <w:spacing w:line="360" w:lineRule="auto"/>
              <w:jc w:val="center"/>
              <w:rPr>
                <w:rFonts w:hint="eastAsia" w:hAnsi="宋体"/>
                <w:color w:val="000000"/>
                <w:sz w:val="24"/>
              </w:rPr>
            </w:pPr>
            <w:r>
              <w:rPr>
                <w:rFonts w:hint="eastAsia" w:hAnsi="宋体"/>
                <w:color w:val="000000"/>
                <w:sz w:val="24"/>
              </w:rPr>
              <w:t>总　计</w:t>
            </w:r>
          </w:p>
        </w:tc>
        <w:tc>
          <w:tcPr>
            <w:tcW w:w="6660" w:type="dxa"/>
            <w:gridSpan w:val="7"/>
            <w:noWrap w:val="0"/>
            <w:vAlign w:val="top"/>
          </w:tcPr>
          <w:p>
            <w:pPr>
              <w:pStyle w:val="27"/>
              <w:spacing w:line="360" w:lineRule="auto"/>
              <w:rPr>
                <w:rFonts w:hint="eastAsia" w:hAnsi="宋体"/>
                <w:color w:val="000000"/>
                <w:sz w:val="24"/>
              </w:rPr>
            </w:pPr>
            <w:r>
              <w:rPr>
                <w:rFonts w:hint="eastAsia" w:hAnsi="宋体"/>
                <w:color w:val="000000"/>
                <w:sz w:val="24"/>
              </w:rPr>
              <w:t>大写：</w:t>
            </w:r>
          </w:p>
        </w:tc>
      </w:tr>
    </w:tbl>
    <w:p>
      <w:pPr>
        <w:pStyle w:val="27"/>
        <w:spacing w:line="360" w:lineRule="auto"/>
        <w:rPr>
          <w:rFonts w:hint="eastAsia" w:hAnsi="宋体"/>
          <w:color w:val="000000"/>
          <w:sz w:val="24"/>
        </w:rPr>
      </w:pPr>
    </w:p>
    <w:p>
      <w:pPr>
        <w:pStyle w:val="27"/>
        <w:spacing w:line="360" w:lineRule="auto"/>
        <w:rPr>
          <w:rFonts w:hint="eastAsia" w:hAnsi="宋体"/>
          <w:color w:val="000000"/>
          <w:sz w:val="24"/>
        </w:rPr>
      </w:pPr>
    </w:p>
    <w:p>
      <w:pPr>
        <w:pStyle w:val="27"/>
        <w:spacing w:line="360" w:lineRule="auto"/>
        <w:rPr>
          <w:rFonts w:hint="eastAsia" w:hAnsi="宋体"/>
          <w:color w:val="000000"/>
          <w:sz w:val="24"/>
        </w:rPr>
      </w:pPr>
      <w:r>
        <w:rPr>
          <w:rFonts w:hint="eastAsia" w:hAnsi="宋体"/>
          <w:color w:val="000000"/>
          <w:sz w:val="24"/>
        </w:rPr>
        <w:t xml:space="preserve">                                     投标人全称（盖章）：</w:t>
      </w:r>
    </w:p>
    <w:p>
      <w:pPr>
        <w:pStyle w:val="27"/>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ascii="宋体" w:hAnsi="宋体"/>
          <w:b/>
          <w:color w:val="000000"/>
          <w:sz w:val="28"/>
          <w:szCs w:val="20"/>
        </w:rPr>
      </w:pPr>
      <w:r>
        <w:rPr>
          <w:rFonts w:hint="eastAsia"/>
        </w:rPr>
        <w:t xml:space="preserve">                         </w:t>
      </w:r>
      <w:r>
        <w:rPr>
          <w:rFonts w:hint="eastAsia"/>
          <w:sz w:val="24"/>
        </w:rPr>
        <w:t xml:space="preserve">               日   期：</w:t>
      </w: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spacing w:line="360" w:lineRule="auto"/>
        <w:rPr>
          <w:rFonts w:hint="eastAsia" w:ascii="宋体"/>
          <w:kern w:val="0"/>
          <w:sz w:val="24"/>
        </w:rPr>
      </w:pPr>
    </w:p>
    <w:p>
      <w:pPr>
        <w:pStyle w:val="3"/>
        <w:spacing w:line="360" w:lineRule="auto"/>
        <w:jc w:val="center"/>
        <w:rPr>
          <w:rFonts w:hint="eastAsia"/>
        </w:rPr>
      </w:pPr>
      <w:bookmarkStart w:id="48" w:name="_Toc2852605"/>
      <w:r>
        <w:rPr>
          <w:rFonts w:hint="eastAsia"/>
        </w:rPr>
        <w:t>附件七、商务条款偏离表</w:t>
      </w:r>
      <w:bookmarkEnd w:id="48"/>
    </w:p>
    <w:p>
      <w:pPr>
        <w:pStyle w:val="27"/>
        <w:spacing w:line="360" w:lineRule="auto"/>
        <w:rPr>
          <w:rFonts w:hint="eastAsia" w:hAnsi="宋体"/>
          <w:color w:val="000000"/>
          <w:sz w:val="28"/>
        </w:rPr>
      </w:pPr>
      <w:r>
        <w:rPr>
          <w:rFonts w:hint="eastAsia" w:hAnsi="宋体"/>
          <w:color w:val="000000"/>
          <w:sz w:val="24"/>
        </w:rPr>
        <w:t>采购编号：</w:t>
      </w:r>
    </w:p>
    <w:p>
      <w:pPr>
        <w:spacing w:line="360" w:lineRule="auto"/>
        <w:ind w:left="480" w:hanging="480"/>
        <w:rPr>
          <w:rFonts w:hint="eastAsia" w:ascii="宋体" w:hAnsi="宋体"/>
          <w:b/>
          <w:color w:val="000000"/>
          <w:sz w:val="32"/>
        </w:rPr>
      </w:pPr>
      <w:r>
        <w:rPr>
          <w:rFonts w:hint="eastAsia" w:hAnsi="宋体"/>
          <w:color w:val="000000"/>
          <w:sz w:val="24"/>
        </w:rPr>
        <w:t xml:space="preserve">项目名称：                </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340"/>
        <w:gridCol w:w="216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序号</w:t>
            </w:r>
          </w:p>
        </w:tc>
        <w:tc>
          <w:tcPr>
            <w:tcW w:w="198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招标文件条目号</w:t>
            </w:r>
          </w:p>
        </w:tc>
        <w:tc>
          <w:tcPr>
            <w:tcW w:w="234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招标文件商务条款</w:t>
            </w:r>
          </w:p>
        </w:tc>
        <w:tc>
          <w:tcPr>
            <w:tcW w:w="2160"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投标文件商务条款</w:t>
            </w:r>
          </w:p>
        </w:tc>
        <w:tc>
          <w:tcPr>
            <w:tcW w:w="1149" w:type="dxa"/>
            <w:noWrap w:val="0"/>
            <w:vAlign w:val="top"/>
          </w:tcPr>
          <w:p>
            <w:pPr>
              <w:spacing w:line="360" w:lineRule="auto"/>
              <w:jc w:val="left"/>
              <w:rPr>
                <w:rFonts w:hint="eastAsia" w:ascii="宋体" w:hAnsi="宋体" w:cs="Courier New"/>
                <w:color w:val="000000"/>
                <w:sz w:val="24"/>
                <w:szCs w:val="21"/>
              </w:rPr>
            </w:pPr>
            <w:r>
              <w:rPr>
                <w:rFonts w:hint="eastAsia" w:ascii="宋体" w:hAnsi="宋体" w:cs="Courier New"/>
                <w:color w:val="000000"/>
                <w:sz w:val="24"/>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20" w:type="dxa"/>
            <w:noWrap w:val="0"/>
            <w:vAlign w:val="top"/>
          </w:tcPr>
          <w:p>
            <w:pPr>
              <w:spacing w:line="360" w:lineRule="auto"/>
              <w:jc w:val="left"/>
              <w:rPr>
                <w:rFonts w:hint="eastAsia" w:ascii="宋体" w:hAnsi="宋体" w:cs="Courier New"/>
                <w:color w:val="000000"/>
                <w:sz w:val="24"/>
                <w:szCs w:val="21"/>
              </w:rPr>
            </w:pPr>
          </w:p>
        </w:tc>
        <w:tc>
          <w:tcPr>
            <w:tcW w:w="1980" w:type="dxa"/>
            <w:noWrap w:val="0"/>
            <w:vAlign w:val="top"/>
          </w:tcPr>
          <w:p>
            <w:pPr>
              <w:spacing w:line="360" w:lineRule="auto"/>
              <w:jc w:val="left"/>
              <w:rPr>
                <w:rFonts w:hint="eastAsia" w:ascii="宋体" w:hAnsi="宋体" w:cs="Courier New"/>
                <w:color w:val="000000"/>
                <w:sz w:val="24"/>
                <w:szCs w:val="21"/>
              </w:rPr>
            </w:pPr>
          </w:p>
        </w:tc>
        <w:tc>
          <w:tcPr>
            <w:tcW w:w="2340" w:type="dxa"/>
            <w:noWrap w:val="0"/>
            <w:vAlign w:val="top"/>
          </w:tcPr>
          <w:p>
            <w:pPr>
              <w:spacing w:line="360" w:lineRule="auto"/>
              <w:jc w:val="left"/>
              <w:rPr>
                <w:rFonts w:hint="eastAsia" w:ascii="宋体" w:hAnsi="宋体" w:cs="Courier New"/>
                <w:color w:val="000000"/>
                <w:sz w:val="24"/>
                <w:szCs w:val="21"/>
              </w:rPr>
            </w:pPr>
          </w:p>
        </w:tc>
        <w:tc>
          <w:tcPr>
            <w:tcW w:w="2160" w:type="dxa"/>
            <w:noWrap w:val="0"/>
            <w:vAlign w:val="top"/>
          </w:tcPr>
          <w:p>
            <w:pPr>
              <w:spacing w:line="360" w:lineRule="auto"/>
              <w:jc w:val="left"/>
              <w:rPr>
                <w:rFonts w:hint="eastAsia" w:ascii="宋体" w:hAnsi="宋体" w:cs="Courier New"/>
                <w:color w:val="000000"/>
                <w:sz w:val="24"/>
                <w:szCs w:val="21"/>
              </w:rPr>
            </w:pPr>
          </w:p>
        </w:tc>
        <w:tc>
          <w:tcPr>
            <w:tcW w:w="1149" w:type="dxa"/>
            <w:noWrap w:val="0"/>
            <w:vAlign w:val="top"/>
          </w:tcPr>
          <w:p>
            <w:pPr>
              <w:spacing w:line="360" w:lineRule="auto"/>
              <w:jc w:val="left"/>
              <w:rPr>
                <w:rFonts w:hint="eastAsia" w:ascii="宋体" w:hAnsi="宋体" w:cs="Courier New"/>
                <w:color w:val="000000"/>
                <w:sz w:val="24"/>
                <w:szCs w:val="21"/>
              </w:rPr>
            </w:pPr>
          </w:p>
        </w:tc>
      </w:tr>
    </w:tbl>
    <w:p>
      <w:pPr>
        <w:pStyle w:val="27"/>
        <w:spacing w:line="360" w:lineRule="auto"/>
        <w:rPr>
          <w:rFonts w:hint="eastAsia" w:hAnsi="宋体"/>
          <w:color w:val="000000"/>
          <w:sz w:val="24"/>
        </w:rPr>
      </w:pPr>
      <w:r>
        <w:rPr>
          <w:rFonts w:hint="eastAsia" w:hAnsi="宋体"/>
          <w:color w:val="000000"/>
          <w:sz w:val="24"/>
        </w:rPr>
        <w:t xml:space="preserve">                                     投标人全称（盖章）：</w:t>
      </w:r>
    </w:p>
    <w:p>
      <w:pPr>
        <w:pStyle w:val="27"/>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sz w:val="36"/>
        </w:rPr>
      </w:pPr>
      <w:r>
        <w:rPr>
          <w:rFonts w:hint="eastAsia"/>
        </w:rPr>
        <w:t xml:space="preserve">                         </w:t>
      </w:r>
      <w:r>
        <w:rPr>
          <w:rFonts w:hint="eastAsia"/>
          <w:sz w:val="24"/>
        </w:rPr>
        <w:t xml:space="preserve">               日   期：</w:t>
      </w:r>
      <w:r>
        <w:rPr>
          <w:sz w:val="36"/>
        </w:rPr>
        <w:t xml:space="preserve"> </w:t>
      </w:r>
    </w:p>
    <w:p>
      <w:pPr>
        <w:spacing w:line="360" w:lineRule="auto"/>
        <w:rPr>
          <w:rFonts w:hint="eastAsia"/>
          <w:sz w:val="36"/>
        </w:rPr>
      </w:pPr>
    </w:p>
    <w:p>
      <w:pPr>
        <w:pStyle w:val="3"/>
        <w:spacing w:line="360" w:lineRule="auto"/>
        <w:jc w:val="center"/>
        <w:rPr>
          <w:rFonts w:hint="eastAsia"/>
          <w:sz w:val="32"/>
        </w:rPr>
      </w:pPr>
      <w:bookmarkStart w:id="49" w:name="_Toc2852606"/>
      <w:r>
        <w:rPr>
          <w:rFonts w:hint="eastAsia"/>
        </w:rPr>
        <w:t>附件八、货物说明一览表</w:t>
      </w:r>
      <w:bookmarkEnd w:id="49"/>
    </w:p>
    <w:p>
      <w:pPr>
        <w:pStyle w:val="27"/>
        <w:spacing w:line="360" w:lineRule="auto"/>
        <w:rPr>
          <w:rFonts w:hint="eastAsia" w:hAnsi="宋体"/>
          <w:color w:val="000000"/>
          <w:sz w:val="28"/>
        </w:rPr>
      </w:pPr>
      <w:r>
        <w:rPr>
          <w:rFonts w:hint="eastAsia" w:hAnsi="宋体"/>
          <w:color w:val="000000"/>
          <w:sz w:val="24"/>
        </w:rPr>
        <w:t>采购编号：</w:t>
      </w:r>
    </w:p>
    <w:p>
      <w:pPr>
        <w:spacing w:line="360" w:lineRule="auto"/>
        <w:ind w:left="480" w:hanging="480"/>
        <w:rPr>
          <w:rFonts w:hint="eastAsia" w:ascii="宋体" w:hAnsi="宋体"/>
          <w:b/>
          <w:color w:val="000000"/>
          <w:sz w:val="32"/>
        </w:rPr>
      </w:pPr>
      <w:r>
        <w:rPr>
          <w:rFonts w:hint="eastAsia" w:hAnsi="宋体"/>
          <w:color w:val="000000"/>
          <w:sz w:val="24"/>
        </w:rPr>
        <w:t xml:space="preserve">项目名称：                </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88"/>
        <w:gridCol w:w="2272"/>
        <w:gridCol w:w="102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80" w:type="dxa"/>
            <w:noWrap w:val="0"/>
            <w:vAlign w:val="top"/>
          </w:tcPr>
          <w:p>
            <w:pPr>
              <w:spacing w:line="360" w:lineRule="auto"/>
              <w:jc w:val="center"/>
              <w:rPr>
                <w:rFonts w:hint="eastAsia" w:hAnsi="宋体"/>
                <w:color w:val="000000"/>
                <w:sz w:val="24"/>
              </w:rPr>
            </w:pPr>
            <w:r>
              <w:rPr>
                <w:rFonts w:hint="eastAsia" w:hAnsi="宋体"/>
                <w:color w:val="000000"/>
                <w:sz w:val="24"/>
              </w:rPr>
              <w:t>品目号</w:t>
            </w:r>
          </w:p>
        </w:tc>
        <w:tc>
          <w:tcPr>
            <w:tcW w:w="2588" w:type="dxa"/>
            <w:noWrap w:val="0"/>
            <w:vAlign w:val="top"/>
          </w:tcPr>
          <w:p>
            <w:pPr>
              <w:spacing w:line="360" w:lineRule="auto"/>
              <w:jc w:val="center"/>
              <w:rPr>
                <w:rFonts w:hint="eastAsia" w:hAnsi="宋体"/>
                <w:color w:val="000000"/>
                <w:sz w:val="24"/>
              </w:rPr>
            </w:pPr>
            <w:r>
              <w:rPr>
                <w:rFonts w:hint="eastAsia" w:hAnsi="宋体"/>
                <w:color w:val="000000"/>
                <w:sz w:val="24"/>
              </w:rPr>
              <w:t>货物名称</w:t>
            </w:r>
          </w:p>
        </w:tc>
        <w:tc>
          <w:tcPr>
            <w:tcW w:w="2272" w:type="dxa"/>
            <w:noWrap w:val="0"/>
            <w:vAlign w:val="top"/>
          </w:tcPr>
          <w:p>
            <w:pPr>
              <w:spacing w:line="360" w:lineRule="auto"/>
              <w:jc w:val="center"/>
              <w:rPr>
                <w:rFonts w:hint="eastAsia" w:hAnsi="宋体"/>
                <w:color w:val="000000"/>
                <w:sz w:val="24"/>
              </w:rPr>
            </w:pPr>
            <w:r>
              <w:rPr>
                <w:rFonts w:hint="eastAsia" w:hAnsi="宋体"/>
                <w:color w:val="000000"/>
                <w:sz w:val="24"/>
              </w:rPr>
              <w:t>主要规范</w:t>
            </w:r>
          </w:p>
        </w:tc>
        <w:tc>
          <w:tcPr>
            <w:tcW w:w="1024" w:type="dxa"/>
            <w:noWrap w:val="0"/>
            <w:vAlign w:val="top"/>
          </w:tcPr>
          <w:p>
            <w:pPr>
              <w:spacing w:line="360" w:lineRule="auto"/>
              <w:jc w:val="center"/>
              <w:rPr>
                <w:rFonts w:hint="eastAsia" w:hAnsi="宋体"/>
                <w:color w:val="000000"/>
                <w:sz w:val="24"/>
              </w:rPr>
            </w:pPr>
            <w:r>
              <w:rPr>
                <w:rFonts w:hint="eastAsia" w:hAnsi="宋体"/>
                <w:color w:val="000000"/>
                <w:sz w:val="24"/>
              </w:rPr>
              <w:t>数量</w:t>
            </w:r>
          </w:p>
        </w:tc>
        <w:tc>
          <w:tcPr>
            <w:tcW w:w="1649" w:type="dxa"/>
            <w:noWrap w:val="0"/>
            <w:vAlign w:val="top"/>
          </w:tcPr>
          <w:p>
            <w:pPr>
              <w:spacing w:line="360" w:lineRule="auto"/>
              <w:jc w:val="center"/>
              <w:rPr>
                <w:rFonts w:hint="eastAsia" w:hAnsi="宋体"/>
                <w:color w:val="000000"/>
                <w:sz w:val="24"/>
              </w:rPr>
            </w:pPr>
            <w:r>
              <w:rPr>
                <w:rFonts w:hint="eastAsia" w:hAnsi="宋体"/>
                <w:color w:val="000000"/>
                <w:sz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80" w:type="dxa"/>
            <w:noWrap w:val="0"/>
            <w:vAlign w:val="top"/>
          </w:tcPr>
          <w:p>
            <w:pPr>
              <w:spacing w:line="360" w:lineRule="auto"/>
              <w:jc w:val="center"/>
              <w:rPr>
                <w:rFonts w:hint="eastAsia" w:hAnsi="宋体"/>
                <w:color w:val="000000"/>
                <w:sz w:val="24"/>
              </w:rPr>
            </w:pPr>
            <w:r>
              <w:rPr>
                <w:rFonts w:hint="eastAsia" w:hAnsi="宋体"/>
                <w:color w:val="000000"/>
                <w:sz w:val="24"/>
              </w:rPr>
              <w:t>一</w:t>
            </w:r>
          </w:p>
        </w:tc>
        <w:tc>
          <w:tcPr>
            <w:tcW w:w="2588" w:type="dxa"/>
            <w:noWrap w:val="0"/>
            <w:vAlign w:val="top"/>
          </w:tcPr>
          <w:p>
            <w:pPr>
              <w:spacing w:line="360" w:lineRule="auto"/>
              <w:jc w:val="left"/>
              <w:rPr>
                <w:rFonts w:hint="eastAsia" w:hAnsi="宋体"/>
                <w:color w:val="000000"/>
                <w:sz w:val="24"/>
              </w:rPr>
            </w:pPr>
            <w:r>
              <w:rPr>
                <w:rFonts w:hint="eastAsia" w:hAnsi="宋体"/>
                <w:color w:val="000000"/>
                <w:sz w:val="24"/>
              </w:rPr>
              <w:t>主机或主要设备</w:t>
            </w:r>
          </w:p>
        </w:tc>
        <w:tc>
          <w:tcPr>
            <w:tcW w:w="2272" w:type="dxa"/>
            <w:noWrap w:val="0"/>
            <w:vAlign w:val="top"/>
          </w:tcPr>
          <w:p>
            <w:pPr>
              <w:spacing w:line="360" w:lineRule="auto"/>
              <w:jc w:val="left"/>
              <w:rPr>
                <w:rFonts w:hint="eastAsia" w:hAnsi="宋体"/>
                <w:color w:val="000000"/>
                <w:sz w:val="24"/>
              </w:rPr>
            </w:pPr>
          </w:p>
        </w:tc>
        <w:tc>
          <w:tcPr>
            <w:tcW w:w="1024" w:type="dxa"/>
            <w:noWrap w:val="0"/>
            <w:vAlign w:val="top"/>
          </w:tcPr>
          <w:p>
            <w:pPr>
              <w:spacing w:line="360" w:lineRule="auto"/>
              <w:jc w:val="left"/>
              <w:rPr>
                <w:rFonts w:hint="eastAsia" w:hAnsi="宋体"/>
                <w:color w:val="000000"/>
                <w:sz w:val="24"/>
              </w:rPr>
            </w:pPr>
          </w:p>
        </w:tc>
        <w:tc>
          <w:tcPr>
            <w:tcW w:w="1649"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80" w:type="dxa"/>
            <w:noWrap w:val="0"/>
            <w:vAlign w:val="top"/>
          </w:tcPr>
          <w:p>
            <w:pPr>
              <w:spacing w:line="360" w:lineRule="auto"/>
              <w:jc w:val="center"/>
              <w:rPr>
                <w:rFonts w:hint="eastAsia" w:hAnsi="宋体"/>
                <w:color w:val="000000"/>
                <w:sz w:val="24"/>
              </w:rPr>
            </w:pPr>
            <w:r>
              <w:rPr>
                <w:rFonts w:hint="eastAsia" w:hAnsi="宋体"/>
                <w:color w:val="000000"/>
                <w:sz w:val="24"/>
              </w:rPr>
              <w:t>二</w:t>
            </w:r>
          </w:p>
        </w:tc>
        <w:tc>
          <w:tcPr>
            <w:tcW w:w="2588" w:type="dxa"/>
            <w:noWrap w:val="0"/>
            <w:vAlign w:val="top"/>
          </w:tcPr>
          <w:p>
            <w:pPr>
              <w:spacing w:line="360" w:lineRule="auto"/>
              <w:jc w:val="left"/>
              <w:rPr>
                <w:rFonts w:hint="eastAsia" w:hAnsi="宋体"/>
                <w:color w:val="000000"/>
                <w:sz w:val="24"/>
              </w:rPr>
            </w:pPr>
            <w:r>
              <w:rPr>
                <w:rFonts w:hint="eastAsia" w:hAnsi="宋体"/>
                <w:color w:val="000000"/>
                <w:sz w:val="24"/>
              </w:rPr>
              <w:t>专用工具</w:t>
            </w:r>
          </w:p>
        </w:tc>
        <w:tc>
          <w:tcPr>
            <w:tcW w:w="2272" w:type="dxa"/>
            <w:noWrap w:val="0"/>
            <w:vAlign w:val="top"/>
          </w:tcPr>
          <w:p>
            <w:pPr>
              <w:spacing w:line="360" w:lineRule="auto"/>
              <w:jc w:val="left"/>
              <w:rPr>
                <w:rFonts w:hint="eastAsia" w:hAnsi="宋体"/>
                <w:color w:val="000000"/>
                <w:sz w:val="24"/>
              </w:rPr>
            </w:pPr>
          </w:p>
        </w:tc>
        <w:tc>
          <w:tcPr>
            <w:tcW w:w="1024" w:type="dxa"/>
            <w:noWrap w:val="0"/>
            <w:vAlign w:val="top"/>
          </w:tcPr>
          <w:p>
            <w:pPr>
              <w:spacing w:line="360" w:lineRule="auto"/>
              <w:jc w:val="left"/>
              <w:rPr>
                <w:rFonts w:hint="eastAsia" w:hAnsi="宋体"/>
                <w:color w:val="000000"/>
                <w:sz w:val="24"/>
              </w:rPr>
            </w:pPr>
          </w:p>
        </w:tc>
        <w:tc>
          <w:tcPr>
            <w:tcW w:w="1649"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80" w:type="dxa"/>
            <w:noWrap w:val="0"/>
            <w:vAlign w:val="top"/>
          </w:tcPr>
          <w:p>
            <w:pPr>
              <w:spacing w:line="360" w:lineRule="auto"/>
              <w:jc w:val="center"/>
              <w:rPr>
                <w:rFonts w:hint="eastAsia" w:hAnsi="宋体"/>
                <w:color w:val="000000"/>
                <w:sz w:val="24"/>
              </w:rPr>
            </w:pPr>
            <w:r>
              <w:rPr>
                <w:rFonts w:hint="eastAsia" w:hAnsi="宋体"/>
                <w:color w:val="000000"/>
                <w:sz w:val="24"/>
              </w:rPr>
              <w:t>三</w:t>
            </w:r>
          </w:p>
        </w:tc>
        <w:tc>
          <w:tcPr>
            <w:tcW w:w="2588" w:type="dxa"/>
            <w:noWrap w:val="0"/>
            <w:vAlign w:val="top"/>
          </w:tcPr>
          <w:p>
            <w:pPr>
              <w:spacing w:line="360" w:lineRule="auto"/>
              <w:jc w:val="left"/>
              <w:rPr>
                <w:rFonts w:hint="eastAsia" w:hAnsi="宋体"/>
                <w:color w:val="000000"/>
                <w:sz w:val="24"/>
              </w:rPr>
            </w:pPr>
            <w:r>
              <w:rPr>
                <w:rFonts w:hint="eastAsia" w:hAnsi="宋体"/>
                <w:color w:val="000000"/>
                <w:sz w:val="24"/>
              </w:rPr>
              <w:t>备品备件</w:t>
            </w:r>
          </w:p>
        </w:tc>
        <w:tc>
          <w:tcPr>
            <w:tcW w:w="2272" w:type="dxa"/>
            <w:noWrap w:val="0"/>
            <w:vAlign w:val="top"/>
          </w:tcPr>
          <w:p>
            <w:pPr>
              <w:spacing w:line="360" w:lineRule="auto"/>
              <w:jc w:val="left"/>
              <w:rPr>
                <w:rFonts w:hint="eastAsia" w:hAnsi="宋体"/>
                <w:color w:val="000000"/>
                <w:sz w:val="24"/>
              </w:rPr>
            </w:pPr>
          </w:p>
        </w:tc>
        <w:tc>
          <w:tcPr>
            <w:tcW w:w="1024" w:type="dxa"/>
            <w:noWrap w:val="0"/>
            <w:vAlign w:val="top"/>
          </w:tcPr>
          <w:p>
            <w:pPr>
              <w:spacing w:line="360" w:lineRule="auto"/>
              <w:jc w:val="left"/>
              <w:rPr>
                <w:rFonts w:hint="eastAsia" w:hAnsi="宋体"/>
                <w:color w:val="000000"/>
                <w:sz w:val="24"/>
              </w:rPr>
            </w:pPr>
          </w:p>
        </w:tc>
        <w:tc>
          <w:tcPr>
            <w:tcW w:w="1649"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80" w:type="dxa"/>
            <w:noWrap w:val="0"/>
            <w:vAlign w:val="top"/>
          </w:tcPr>
          <w:p>
            <w:pPr>
              <w:spacing w:line="360" w:lineRule="auto"/>
              <w:jc w:val="center"/>
              <w:rPr>
                <w:rFonts w:hint="eastAsia" w:hAnsi="宋体"/>
                <w:color w:val="000000"/>
                <w:sz w:val="24"/>
              </w:rPr>
            </w:pPr>
            <w:r>
              <w:rPr>
                <w:rFonts w:hint="eastAsia" w:hAnsi="宋体"/>
                <w:color w:val="000000"/>
                <w:sz w:val="24"/>
              </w:rPr>
              <w:t>四</w:t>
            </w:r>
          </w:p>
        </w:tc>
        <w:tc>
          <w:tcPr>
            <w:tcW w:w="2588" w:type="dxa"/>
            <w:noWrap w:val="0"/>
            <w:vAlign w:val="top"/>
          </w:tcPr>
          <w:p>
            <w:pPr>
              <w:spacing w:line="360" w:lineRule="auto"/>
              <w:jc w:val="left"/>
              <w:rPr>
                <w:rFonts w:hint="eastAsia" w:hAnsi="宋体"/>
                <w:color w:val="000000"/>
                <w:sz w:val="24"/>
              </w:rPr>
            </w:pPr>
            <w:r>
              <w:rPr>
                <w:rFonts w:hint="eastAsia" w:hAnsi="宋体"/>
                <w:color w:val="000000"/>
                <w:sz w:val="24"/>
              </w:rPr>
              <w:t>进口件</w:t>
            </w:r>
          </w:p>
        </w:tc>
        <w:tc>
          <w:tcPr>
            <w:tcW w:w="2272" w:type="dxa"/>
            <w:noWrap w:val="0"/>
            <w:vAlign w:val="top"/>
          </w:tcPr>
          <w:p>
            <w:pPr>
              <w:spacing w:line="360" w:lineRule="auto"/>
              <w:jc w:val="left"/>
              <w:rPr>
                <w:rFonts w:hint="eastAsia" w:hAnsi="宋体"/>
                <w:color w:val="000000"/>
                <w:sz w:val="24"/>
              </w:rPr>
            </w:pPr>
          </w:p>
        </w:tc>
        <w:tc>
          <w:tcPr>
            <w:tcW w:w="1024" w:type="dxa"/>
            <w:noWrap w:val="0"/>
            <w:vAlign w:val="top"/>
          </w:tcPr>
          <w:p>
            <w:pPr>
              <w:spacing w:line="360" w:lineRule="auto"/>
              <w:jc w:val="left"/>
              <w:rPr>
                <w:rFonts w:hint="eastAsia" w:hAnsi="宋体"/>
                <w:color w:val="000000"/>
                <w:sz w:val="24"/>
              </w:rPr>
            </w:pPr>
          </w:p>
        </w:tc>
        <w:tc>
          <w:tcPr>
            <w:tcW w:w="1649"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80" w:type="dxa"/>
            <w:noWrap w:val="0"/>
            <w:vAlign w:val="top"/>
          </w:tcPr>
          <w:p>
            <w:pPr>
              <w:spacing w:line="360" w:lineRule="auto"/>
              <w:jc w:val="left"/>
              <w:rPr>
                <w:rFonts w:hint="eastAsia" w:hAnsi="宋体"/>
                <w:color w:val="000000"/>
                <w:sz w:val="24"/>
              </w:rPr>
            </w:pPr>
          </w:p>
        </w:tc>
        <w:tc>
          <w:tcPr>
            <w:tcW w:w="2588" w:type="dxa"/>
            <w:noWrap w:val="0"/>
            <w:vAlign w:val="top"/>
          </w:tcPr>
          <w:p>
            <w:pPr>
              <w:spacing w:line="360" w:lineRule="auto"/>
              <w:jc w:val="left"/>
              <w:rPr>
                <w:rFonts w:hint="eastAsia" w:hAnsi="宋体"/>
                <w:color w:val="000000"/>
                <w:sz w:val="24"/>
              </w:rPr>
            </w:pPr>
          </w:p>
        </w:tc>
        <w:tc>
          <w:tcPr>
            <w:tcW w:w="2272" w:type="dxa"/>
            <w:noWrap w:val="0"/>
            <w:vAlign w:val="top"/>
          </w:tcPr>
          <w:p>
            <w:pPr>
              <w:spacing w:line="360" w:lineRule="auto"/>
              <w:jc w:val="left"/>
              <w:rPr>
                <w:rFonts w:hint="eastAsia" w:hAnsi="宋体"/>
                <w:color w:val="000000"/>
                <w:sz w:val="24"/>
              </w:rPr>
            </w:pPr>
          </w:p>
        </w:tc>
        <w:tc>
          <w:tcPr>
            <w:tcW w:w="1024" w:type="dxa"/>
            <w:noWrap w:val="0"/>
            <w:vAlign w:val="top"/>
          </w:tcPr>
          <w:p>
            <w:pPr>
              <w:spacing w:line="360" w:lineRule="auto"/>
              <w:jc w:val="left"/>
              <w:rPr>
                <w:rFonts w:hint="eastAsia" w:hAnsi="宋体"/>
                <w:color w:val="000000"/>
                <w:sz w:val="24"/>
              </w:rPr>
            </w:pPr>
          </w:p>
        </w:tc>
        <w:tc>
          <w:tcPr>
            <w:tcW w:w="1649" w:type="dxa"/>
            <w:noWrap w:val="0"/>
            <w:vAlign w:val="top"/>
          </w:tcPr>
          <w:p>
            <w:pPr>
              <w:spacing w:line="360" w:lineRule="auto"/>
              <w:jc w:val="left"/>
              <w:rPr>
                <w:rFonts w:hint="eastAsia" w:hAnsi="宋体"/>
                <w:color w:val="000000"/>
                <w:sz w:val="24"/>
              </w:rPr>
            </w:pPr>
          </w:p>
        </w:tc>
      </w:tr>
    </w:tbl>
    <w:p>
      <w:pPr>
        <w:pStyle w:val="27"/>
        <w:spacing w:line="360" w:lineRule="auto"/>
        <w:rPr>
          <w:rFonts w:hint="eastAsia" w:hAnsi="宋体"/>
          <w:color w:val="000000"/>
          <w:sz w:val="24"/>
        </w:rPr>
      </w:pPr>
      <w:r>
        <w:rPr>
          <w:rFonts w:hint="eastAsia" w:hAnsi="宋体"/>
          <w:color w:val="000000"/>
          <w:sz w:val="24"/>
        </w:rPr>
        <w:t xml:space="preserve">                                     投标人全称（盖章）：</w:t>
      </w:r>
    </w:p>
    <w:p>
      <w:pPr>
        <w:pStyle w:val="27"/>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sz w:val="36"/>
        </w:rPr>
      </w:pPr>
      <w:r>
        <w:rPr>
          <w:rFonts w:hint="eastAsia"/>
        </w:rPr>
        <w:t xml:space="preserve">                         </w:t>
      </w:r>
      <w:r>
        <w:rPr>
          <w:rFonts w:hint="eastAsia"/>
          <w:sz w:val="24"/>
        </w:rPr>
        <w:t xml:space="preserve">               日   期：</w:t>
      </w:r>
      <w:r>
        <w:rPr>
          <w:sz w:val="36"/>
        </w:rPr>
        <w:t xml:space="preserve"> </w:t>
      </w:r>
    </w:p>
    <w:p>
      <w:pPr>
        <w:spacing w:line="360" w:lineRule="auto"/>
        <w:rPr>
          <w:rFonts w:hint="eastAsia"/>
          <w:sz w:val="36"/>
        </w:rPr>
      </w:pPr>
    </w:p>
    <w:p>
      <w:pPr>
        <w:spacing w:line="360" w:lineRule="auto"/>
        <w:rPr>
          <w:rFonts w:hint="eastAsia" w:ascii="宋体"/>
          <w:kern w:val="0"/>
          <w:sz w:val="24"/>
        </w:rPr>
      </w:pPr>
    </w:p>
    <w:p>
      <w:pPr>
        <w:spacing w:line="360" w:lineRule="auto"/>
        <w:rPr>
          <w:rFonts w:hint="eastAsia" w:ascii="宋体"/>
          <w:kern w:val="0"/>
          <w:sz w:val="24"/>
        </w:rPr>
      </w:pPr>
    </w:p>
    <w:p>
      <w:pPr>
        <w:pStyle w:val="3"/>
        <w:spacing w:line="360" w:lineRule="auto"/>
        <w:jc w:val="center"/>
        <w:rPr>
          <w:rFonts w:hint="eastAsia"/>
        </w:rPr>
      </w:pPr>
      <w:bookmarkStart w:id="50" w:name="_Toc2852607"/>
      <w:r>
        <w:rPr>
          <w:rFonts w:hint="eastAsia"/>
        </w:rPr>
        <w:t>附件九、</w:t>
      </w:r>
      <w:bookmarkStart w:id="51" w:name="_Toc130094926"/>
      <w:bookmarkStart w:id="52" w:name="_Toc98731775"/>
      <w:r>
        <w:rPr>
          <w:rFonts w:hint="eastAsia"/>
        </w:rPr>
        <w:t>技术规范/规格偏离及建议</w:t>
      </w:r>
      <w:bookmarkEnd w:id="51"/>
      <w:bookmarkEnd w:id="52"/>
      <w:r>
        <w:rPr>
          <w:rFonts w:hint="eastAsia"/>
        </w:rPr>
        <w:t>表</w:t>
      </w:r>
      <w:bookmarkEnd w:id="50"/>
    </w:p>
    <w:p>
      <w:pPr>
        <w:pStyle w:val="27"/>
        <w:spacing w:line="360" w:lineRule="auto"/>
        <w:rPr>
          <w:rFonts w:hint="eastAsia" w:hAnsi="宋体"/>
          <w:color w:val="000000"/>
          <w:sz w:val="28"/>
        </w:rPr>
      </w:pPr>
      <w:r>
        <w:rPr>
          <w:rFonts w:hint="eastAsia" w:hAnsi="宋体"/>
          <w:color w:val="000000"/>
          <w:sz w:val="24"/>
        </w:rPr>
        <w:t>采购编号：</w:t>
      </w:r>
    </w:p>
    <w:p>
      <w:pPr>
        <w:pStyle w:val="27"/>
        <w:adjustRightInd w:val="0"/>
        <w:snapToGrid w:val="0"/>
        <w:spacing w:line="360" w:lineRule="auto"/>
        <w:jc w:val="left"/>
        <w:rPr>
          <w:rFonts w:hint="eastAsia" w:hAnsi="宋体"/>
          <w:color w:val="000000"/>
          <w:sz w:val="24"/>
        </w:rPr>
      </w:pPr>
      <w:r>
        <w:rPr>
          <w:rFonts w:hint="eastAsia" w:hAnsi="宋体"/>
          <w:color w:val="000000"/>
          <w:sz w:val="24"/>
        </w:rPr>
        <w:t xml:space="preserve">项目名称：                </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1260"/>
        <w:gridCol w:w="1260"/>
        <w:gridCol w:w="10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spacing w:line="360" w:lineRule="auto"/>
              <w:jc w:val="center"/>
              <w:rPr>
                <w:rFonts w:hint="eastAsia" w:hAnsi="宋体"/>
                <w:color w:val="000000"/>
                <w:sz w:val="24"/>
              </w:rPr>
            </w:pPr>
            <w:r>
              <w:rPr>
                <w:rFonts w:hint="eastAsia" w:hAnsi="宋体"/>
                <w:color w:val="000000"/>
                <w:sz w:val="24"/>
              </w:rPr>
              <w:t>序号</w:t>
            </w:r>
          </w:p>
        </w:tc>
        <w:tc>
          <w:tcPr>
            <w:tcW w:w="1440" w:type="dxa"/>
            <w:noWrap w:val="0"/>
            <w:vAlign w:val="top"/>
          </w:tcPr>
          <w:p>
            <w:pPr>
              <w:spacing w:line="360" w:lineRule="auto"/>
              <w:jc w:val="center"/>
              <w:rPr>
                <w:rFonts w:hint="eastAsia" w:hAnsi="宋体"/>
                <w:color w:val="000000"/>
                <w:sz w:val="24"/>
              </w:rPr>
            </w:pPr>
            <w:r>
              <w:rPr>
                <w:rFonts w:hint="eastAsia" w:hAnsi="宋体"/>
                <w:color w:val="000000"/>
                <w:sz w:val="24"/>
              </w:rPr>
              <w:t>货物名称</w:t>
            </w:r>
          </w:p>
        </w:tc>
        <w:tc>
          <w:tcPr>
            <w:tcW w:w="1980" w:type="dxa"/>
            <w:noWrap w:val="0"/>
            <w:vAlign w:val="top"/>
          </w:tcPr>
          <w:p>
            <w:pPr>
              <w:spacing w:line="360" w:lineRule="auto"/>
              <w:jc w:val="center"/>
              <w:rPr>
                <w:rFonts w:hint="eastAsia" w:hAnsi="宋体"/>
                <w:color w:val="000000"/>
                <w:sz w:val="24"/>
              </w:rPr>
            </w:pPr>
            <w:r>
              <w:rPr>
                <w:rFonts w:hint="eastAsia" w:hAnsi="宋体"/>
                <w:color w:val="000000"/>
                <w:sz w:val="24"/>
              </w:rPr>
              <w:t>招标文件条目号</w:t>
            </w:r>
          </w:p>
        </w:tc>
        <w:tc>
          <w:tcPr>
            <w:tcW w:w="1260" w:type="dxa"/>
            <w:noWrap w:val="0"/>
            <w:vAlign w:val="top"/>
          </w:tcPr>
          <w:p>
            <w:pPr>
              <w:spacing w:line="360" w:lineRule="auto"/>
              <w:jc w:val="center"/>
              <w:rPr>
                <w:rFonts w:hint="eastAsia" w:hAnsi="宋体"/>
                <w:color w:val="000000"/>
                <w:sz w:val="24"/>
              </w:rPr>
            </w:pPr>
            <w:r>
              <w:rPr>
                <w:rFonts w:hint="eastAsia" w:hAnsi="宋体"/>
                <w:color w:val="000000"/>
                <w:sz w:val="24"/>
              </w:rPr>
              <w:t>招标规格</w:t>
            </w:r>
          </w:p>
        </w:tc>
        <w:tc>
          <w:tcPr>
            <w:tcW w:w="1260" w:type="dxa"/>
            <w:noWrap w:val="0"/>
            <w:vAlign w:val="top"/>
          </w:tcPr>
          <w:p>
            <w:pPr>
              <w:spacing w:line="360" w:lineRule="auto"/>
              <w:jc w:val="center"/>
              <w:rPr>
                <w:rFonts w:hint="eastAsia" w:hAnsi="宋体"/>
                <w:color w:val="000000"/>
                <w:sz w:val="24"/>
              </w:rPr>
            </w:pPr>
            <w:r>
              <w:rPr>
                <w:rFonts w:hint="eastAsia" w:hAnsi="宋体"/>
                <w:color w:val="000000"/>
                <w:sz w:val="24"/>
              </w:rPr>
              <w:t>投标规范</w:t>
            </w:r>
          </w:p>
        </w:tc>
        <w:tc>
          <w:tcPr>
            <w:tcW w:w="1080" w:type="dxa"/>
            <w:noWrap w:val="0"/>
            <w:vAlign w:val="top"/>
          </w:tcPr>
          <w:p>
            <w:pPr>
              <w:spacing w:line="360" w:lineRule="auto"/>
              <w:jc w:val="center"/>
              <w:rPr>
                <w:rFonts w:hint="eastAsia" w:hAnsi="宋体"/>
                <w:color w:val="000000"/>
                <w:sz w:val="24"/>
              </w:rPr>
            </w:pPr>
            <w:r>
              <w:rPr>
                <w:rFonts w:hint="eastAsia" w:hAnsi="宋体"/>
                <w:color w:val="000000"/>
                <w:sz w:val="24"/>
              </w:rPr>
              <w:t>偏离</w:t>
            </w:r>
          </w:p>
        </w:tc>
        <w:tc>
          <w:tcPr>
            <w:tcW w:w="873" w:type="dxa"/>
            <w:noWrap w:val="0"/>
            <w:vAlign w:val="top"/>
          </w:tcPr>
          <w:p>
            <w:pPr>
              <w:spacing w:line="360" w:lineRule="auto"/>
              <w:jc w:val="center"/>
              <w:rPr>
                <w:rFonts w:hint="eastAsia" w:hAnsi="宋体"/>
                <w:color w:val="000000"/>
                <w:sz w:val="24"/>
              </w:rPr>
            </w:pPr>
            <w:r>
              <w:rPr>
                <w:rFonts w:hint="eastAsia"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spacing w:line="360" w:lineRule="auto"/>
              <w:jc w:val="left"/>
              <w:rPr>
                <w:rFonts w:hint="eastAsia" w:hAnsi="宋体"/>
                <w:color w:val="000000"/>
                <w:sz w:val="24"/>
              </w:rPr>
            </w:pPr>
          </w:p>
        </w:tc>
        <w:tc>
          <w:tcPr>
            <w:tcW w:w="1440" w:type="dxa"/>
            <w:noWrap w:val="0"/>
            <w:vAlign w:val="top"/>
          </w:tcPr>
          <w:p>
            <w:pPr>
              <w:spacing w:line="360" w:lineRule="auto"/>
              <w:jc w:val="left"/>
              <w:rPr>
                <w:rFonts w:hint="eastAsia" w:hAnsi="宋体"/>
                <w:color w:val="000000"/>
                <w:sz w:val="24"/>
              </w:rPr>
            </w:pPr>
          </w:p>
        </w:tc>
        <w:tc>
          <w:tcPr>
            <w:tcW w:w="198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080" w:type="dxa"/>
            <w:noWrap w:val="0"/>
            <w:vAlign w:val="top"/>
          </w:tcPr>
          <w:p>
            <w:pPr>
              <w:spacing w:line="360" w:lineRule="auto"/>
              <w:jc w:val="left"/>
              <w:rPr>
                <w:rFonts w:hint="eastAsia" w:hAnsi="宋体"/>
                <w:color w:val="000000"/>
                <w:sz w:val="24"/>
              </w:rPr>
            </w:pPr>
          </w:p>
        </w:tc>
        <w:tc>
          <w:tcPr>
            <w:tcW w:w="873"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spacing w:line="360" w:lineRule="auto"/>
              <w:jc w:val="left"/>
              <w:rPr>
                <w:rFonts w:hint="eastAsia" w:hAnsi="宋体"/>
                <w:color w:val="000000"/>
                <w:sz w:val="24"/>
              </w:rPr>
            </w:pPr>
          </w:p>
        </w:tc>
        <w:tc>
          <w:tcPr>
            <w:tcW w:w="1440" w:type="dxa"/>
            <w:noWrap w:val="0"/>
            <w:vAlign w:val="top"/>
          </w:tcPr>
          <w:p>
            <w:pPr>
              <w:spacing w:line="360" w:lineRule="auto"/>
              <w:jc w:val="left"/>
              <w:rPr>
                <w:rFonts w:hint="eastAsia" w:hAnsi="宋体"/>
                <w:color w:val="000000"/>
                <w:sz w:val="24"/>
              </w:rPr>
            </w:pPr>
          </w:p>
        </w:tc>
        <w:tc>
          <w:tcPr>
            <w:tcW w:w="198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080" w:type="dxa"/>
            <w:noWrap w:val="0"/>
            <w:vAlign w:val="top"/>
          </w:tcPr>
          <w:p>
            <w:pPr>
              <w:spacing w:line="360" w:lineRule="auto"/>
              <w:jc w:val="left"/>
              <w:rPr>
                <w:rFonts w:hint="eastAsia" w:hAnsi="宋体"/>
                <w:color w:val="000000"/>
                <w:sz w:val="24"/>
              </w:rPr>
            </w:pPr>
          </w:p>
        </w:tc>
        <w:tc>
          <w:tcPr>
            <w:tcW w:w="873"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spacing w:line="360" w:lineRule="auto"/>
              <w:jc w:val="left"/>
              <w:rPr>
                <w:rFonts w:hint="eastAsia" w:hAnsi="宋体"/>
                <w:color w:val="000000"/>
                <w:sz w:val="24"/>
              </w:rPr>
            </w:pPr>
          </w:p>
        </w:tc>
        <w:tc>
          <w:tcPr>
            <w:tcW w:w="1440" w:type="dxa"/>
            <w:noWrap w:val="0"/>
            <w:vAlign w:val="top"/>
          </w:tcPr>
          <w:p>
            <w:pPr>
              <w:spacing w:line="360" w:lineRule="auto"/>
              <w:jc w:val="left"/>
              <w:rPr>
                <w:rFonts w:hint="eastAsia" w:hAnsi="宋体"/>
                <w:color w:val="000000"/>
                <w:sz w:val="24"/>
              </w:rPr>
            </w:pPr>
          </w:p>
        </w:tc>
        <w:tc>
          <w:tcPr>
            <w:tcW w:w="198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080" w:type="dxa"/>
            <w:noWrap w:val="0"/>
            <w:vAlign w:val="top"/>
          </w:tcPr>
          <w:p>
            <w:pPr>
              <w:spacing w:line="360" w:lineRule="auto"/>
              <w:jc w:val="left"/>
              <w:rPr>
                <w:rFonts w:hint="eastAsia" w:hAnsi="宋体"/>
                <w:color w:val="000000"/>
                <w:sz w:val="24"/>
              </w:rPr>
            </w:pPr>
          </w:p>
        </w:tc>
        <w:tc>
          <w:tcPr>
            <w:tcW w:w="873"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spacing w:line="360" w:lineRule="auto"/>
              <w:jc w:val="left"/>
              <w:rPr>
                <w:rFonts w:hint="eastAsia" w:hAnsi="宋体"/>
                <w:color w:val="000000"/>
                <w:sz w:val="24"/>
              </w:rPr>
            </w:pPr>
          </w:p>
        </w:tc>
        <w:tc>
          <w:tcPr>
            <w:tcW w:w="1440" w:type="dxa"/>
            <w:noWrap w:val="0"/>
            <w:vAlign w:val="top"/>
          </w:tcPr>
          <w:p>
            <w:pPr>
              <w:spacing w:line="360" w:lineRule="auto"/>
              <w:jc w:val="left"/>
              <w:rPr>
                <w:rFonts w:hint="eastAsia" w:hAnsi="宋体"/>
                <w:color w:val="000000"/>
                <w:sz w:val="24"/>
              </w:rPr>
            </w:pPr>
          </w:p>
        </w:tc>
        <w:tc>
          <w:tcPr>
            <w:tcW w:w="198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080" w:type="dxa"/>
            <w:noWrap w:val="0"/>
            <w:vAlign w:val="top"/>
          </w:tcPr>
          <w:p>
            <w:pPr>
              <w:spacing w:line="360" w:lineRule="auto"/>
              <w:jc w:val="left"/>
              <w:rPr>
                <w:rFonts w:hint="eastAsia" w:hAnsi="宋体"/>
                <w:color w:val="000000"/>
                <w:sz w:val="24"/>
              </w:rPr>
            </w:pPr>
          </w:p>
        </w:tc>
        <w:tc>
          <w:tcPr>
            <w:tcW w:w="873"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20" w:type="dxa"/>
            <w:noWrap w:val="0"/>
            <w:vAlign w:val="top"/>
          </w:tcPr>
          <w:p>
            <w:pPr>
              <w:spacing w:line="360" w:lineRule="auto"/>
              <w:jc w:val="left"/>
              <w:rPr>
                <w:rFonts w:hint="eastAsia" w:hAnsi="宋体"/>
                <w:color w:val="000000"/>
                <w:sz w:val="24"/>
              </w:rPr>
            </w:pPr>
          </w:p>
        </w:tc>
        <w:tc>
          <w:tcPr>
            <w:tcW w:w="1440" w:type="dxa"/>
            <w:noWrap w:val="0"/>
            <w:vAlign w:val="top"/>
          </w:tcPr>
          <w:p>
            <w:pPr>
              <w:spacing w:line="360" w:lineRule="auto"/>
              <w:jc w:val="left"/>
              <w:rPr>
                <w:rFonts w:hint="eastAsia" w:hAnsi="宋体"/>
                <w:color w:val="000000"/>
                <w:sz w:val="24"/>
              </w:rPr>
            </w:pPr>
          </w:p>
        </w:tc>
        <w:tc>
          <w:tcPr>
            <w:tcW w:w="198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260" w:type="dxa"/>
            <w:noWrap w:val="0"/>
            <w:vAlign w:val="top"/>
          </w:tcPr>
          <w:p>
            <w:pPr>
              <w:spacing w:line="360" w:lineRule="auto"/>
              <w:jc w:val="left"/>
              <w:rPr>
                <w:rFonts w:hint="eastAsia" w:hAnsi="宋体"/>
                <w:color w:val="000000"/>
                <w:sz w:val="24"/>
              </w:rPr>
            </w:pPr>
          </w:p>
        </w:tc>
        <w:tc>
          <w:tcPr>
            <w:tcW w:w="1080" w:type="dxa"/>
            <w:noWrap w:val="0"/>
            <w:vAlign w:val="top"/>
          </w:tcPr>
          <w:p>
            <w:pPr>
              <w:spacing w:line="360" w:lineRule="auto"/>
              <w:jc w:val="left"/>
              <w:rPr>
                <w:rFonts w:hint="eastAsia" w:hAnsi="宋体"/>
                <w:color w:val="000000"/>
                <w:sz w:val="24"/>
              </w:rPr>
            </w:pPr>
          </w:p>
        </w:tc>
        <w:tc>
          <w:tcPr>
            <w:tcW w:w="873" w:type="dxa"/>
            <w:noWrap w:val="0"/>
            <w:vAlign w:val="top"/>
          </w:tcPr>
          <w:p>
            <w:pPr>
              <w:spacing w:line="360" w:lineRule="auto"/>
              <w:jc w:val="left"/>
              <w:rPr>
                <w:rFonts w:hint="eastAsia"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160" w:type="dxa"/>
            <w:gridSpan w:val="2"/>
            <w:noWrap w:val="0"/>
            <w:vAlign w:val="top"/>
          </w:tcPr>
          <w:p>
            <w:pPr>
              <w:spacing w:line="360" w:lineRule="auto"/>
              <w:jc w:val="center"/>
              <w:rPr>
                <w:rFonts w:hint="eastAsia" w:hAnsi="宋体"/>
                <w:color w:val="000000"/>
                <w:sz w:val="24"/>
              </w:rPr>
            </w:pPr>
            <w:r>
              <w:rPr>
                <w:rFonts w:hint="eastAsia" w:hAnsi="宋体"/>
                <w:color w:val="000000"/>
                <w:sz w:val="24"/>
              </w:rPr>
              <w:t>投标建议</w:t>
            </w:r>
          </w:p>
        </w:tc>
        <w:tc>
          <w:tcPr>
            <w:tcW w:w="6453" w:type="dxa"/>
            <w:gridSpan w:val="5"/>
            <w:noWrap w:val="0"/>
            <w:vAlign w:val="top"/>
          </w:tcPr>
          <w:p>
            <w:pPr>
              <w:spacing w:line="360" w:lineRule="auto"/>
              <w:jc w:val="left"/>
              <w:rPr>
                <w:rFonts w:hint="eastAsia" w:hAnsi="宋体"/>
                <w:color w:val="000000"/>
                <w:sz w:val="24"/>
              </w:rPr>
            </w:pPr>
          </w:p>
        </w:tc>
      </w:tr>
    </w:tbl>
    <w:p>
      <w:pPr>
        <w:pStyle w:val="27"/>
        <w:spacing w:line="360" w:lineRule="auto"/>
        <w:rPr>
          <w:rFonts w:hint="eastAsia" w:hAnsi="宋体"/>
          <w:color w:val="000000"/>
          <w:sz w:val="24"/>
        </w:rPr>
      </w:pPr>
      <w:r>
        <w:rPr>
          <w:rFonts w:hint="eastAsia" w:hAnsi="宋体"/>
          <w:color w:val="000000"/>
          <w:sz w:val="24"/>
        </w:rPr>
        <w:t xml:space="preserve">                                     投标人全称（盖章）：</w:t>
      </w:r>
    </w:p>
    <w:p>
      <w:pPr>
        <w:pStyle w:val="27"/>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sz w:val="24"/>
        </w:rPr>
      </w:pPr>
      <w:r>
        <w:rPr>
          <w:rFonts w:hint="eastAsia"/>
        </w:rPr>
        <w:t xml:space="preserve">                         </w:t>
      </w:r>
      <w:r>
        <w:rPr>
          <w:rFonts w:hint="eastAsia"/>
          <w:sz w:val="24"/>
        </w:rPr>
        <w:t xml:space="preserve">               日   期：</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pStyle w:val="3"/>
        <w:spacing w:line="360" w:lineRule="auto"/>
        <w:jc w:val="center"/>
        <w:rPr>
          <w:rFonts w:hint="eastAsia"/>
        </w:rPr>
      </w:pPr>
      <w:bookmarkStart w:id="53" w:name="_Toc2852608"/>
      <w:bookmarkStart w:id="54" w:name="_Toc530319485"/>
      <w:bookmarkStart w:id="55" w:name="_Toc31398"/>
      <w:bookmarkStart w:id="56" w:name="_Toc30078"/>
      <w:r>
        <w:rPr>
          <w:rFonts w:hint="eastAsia"/>
        </w:rPr>
        <w:t>附件</w:t>
      </w:r>
      <w:r>
        <w:rPr>
          <w:rFonts w:hint="eastAsia"/>
          <w:lang w:eastAsia="zh-CN"/>
        </w:rPr>
        <w:t>十</w:t>
      </w:r>
      <w:r>
        <w:rPr>
          <w:rFonts w:hint="eastAsia"/>
        </w:rPr>
        <w:t>、中小企业声明函</w:t>
      </w:r>
      <w:bookmarkEnd w:id="53"/>
      <w:bookmarkEnd w:id="54"/>
      <w:r>
        <w:rPr>
          <w:rFonts w:hint="eastAsia"/>
        </w:rPr>
        <w:t xml:space="preserve">       </w:t>
      </w:r>
    </w:p>
    <w:bookmarkEnd w:id="55"/>
    <w:bookmarkEnd w:id="56"/>
    <w:p>
      <w:pPr>
        <w:widowControl/>
        <w:snapToGrid w:val="0"/>
        <w:spacing w:line="324" w:lineRule="auto"/>
        <w:ind w:firstLine="480" w:firstLineChars="200"/>
        <w:jc w:val="center"/>
        <w:rPr>
          <w:rFonts w:hint="eastAsia" w:ascii="宋体" w:hAnsi="宋体" w:cs="Arial"/>
          <w:kern w:val="0"/>
          <w:sz w:val="24"/>
        </w:rPr>
      </w:pPr>
      <w:r>
        <w:rPr>
          <w:rFonts w:hint="eastAsia" w:ascii="宋体" w:hAnsi="宋体" w:cs="Arial"/>
          <w:kern w:val="0"/>
          <w:sz w:val="24"/>
        </w:rPr>
        <w:t>【不属于中小企业的无需填写、递交】</w:t>
      </w:r>
    </w:p>
    <w:p>
      <w:pPr>
        <w:widowControl/>
        <w:snapToGrid w:val="0"/>
        <w:spacing w:line="324" w:lineRule="auto"/>
        <w:ind w:firstLine="480" w:firstLineChars="200"/>
        <w:jc w:val="left"/>
        <w:rPr>
          <w:rFonts w:hint="eastAsia" w:ascii="宋体" w:hAnsi="宋体" w:cs="Arial"/>
          <w:kern w:val="0"/>
          <w:sz w:val="24"/>
        </w:rPr>
      </w:pPr>
    </w:p>
    <w:p>
      <w:pPr>
        <w:widowControl/>
        <w:snapToGrid w:val="0"/>
        <w:spacing w:line="324" w:lineRule="auto"/>
        <w:ind w:firstLine="480" w:firstLineChars="200"/>
        <w:jc w:val="left"/>
        <w:rPr>
          <w:rFonts w:hint="eastAsia" w:ascii="宋体" w:hAnsi="宋体" w:cs="Arial"/>
          <w:kern w:val="0"/>
          <w:sz w:val="24"/>
        </w:rPr>
      </w:pPr>
      <w:r>
        <w:rPr>
          <w:rFonts w:hint="eastAsia" w:ascii="宋体" w:hAnsi="宋体" w:cs="Arial"/>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324" w:lineRule="auto"/>
        <w:ind w:firstLine="480" w:firstLineChars="200"/>
        <w:jc w:val="left"/>
        <w:rPr>
          <w:rFonts w:hint="eastAsia" w:ascii="宋体" w:hAnsi="宋体" w:cs="Arial"/>
          <w:kern w:val="0"/>
          <w:sz w:val="24"/>
        </w:rPr>
      </w:pPr>
      <w:r>
        <w:rPr>
          <w:rFonts w:hint="eastAsia" w:ascii="宋体" w:hAnsi="宋体" w:cs="Arial"/>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napToGrid w:val="0"/>
        <w:spacing w:line="324" w:lineRule="auto"/>
        <w:ind w:firstLine="480" w:firstLineChars="200"/>
        <w:jc w:val="left"/>
        <w:rPr>
          <w:rFonts w:hint="eastAsia" w:ascii="宋体" w:hAnsi="宋体" w:cs="Arial"/>
          <w:kern w:val="0"/>
          <w:sz w:val="24"/>
        </w:rPr>
      </w:pPr>
      <w:r>
        <w:rPr>
          <w:rFonts w:hint="eastAsia" w:ascii="宋体" w:hAnsi="宋体" w:cs="Arial"/>
          <w:kern w:val="0"/>
          <w:sz w:val="24"/>
        </w:rPr>
        <w:t>2、本公司参加______（采购人）的______（项目名称）采购活动提供本企业服务。本公司对上述声明的真实性负责。如有虚假，将依法承担相应责任。</w:t>
      </w:r>
    </w:p>
    <w:p>
      <w:pPr>
        <w:widowControl/>
        <w:snapToGrid w:val="0"/>
        <w:spacing w:line="324" w:lineRule="auto"/>
        <w:ind w:firstLine="480" w:firstLineChars="200"/>
        <w:jc w:val="left"/>
        <w:rPr>
          <w:rFonts w:hint="eastAsia" w:ascii="宋体" w:hAnsi="宋体" w:cs="Arial"/>
          <w:kern w:val="0"/>
          <w:sz w:val="24"/>
        </w:rPr>
      </w:pPr>
    </w:p>
    <w:p>
      <w:pPr>
        <w:snapToGrid w:val="0"/>
        <w:spacing w:line="360" w:lineRule="auto"/>
        <w:ind w:right="480"/>
        <w:rPr>
          <w:rFonts w:hint="eastAsia" w:ascii="宋体" w:hAnsi="宋体" w:cs="Calibri"/>
          <w:kern w:val="0"/>
          <w:sz w:val="24"/>
          <w:lang w:val="zh-CN"/>
        </w:rPr>
      </w:pPr>
      <w:r>
        <w:rPr>
          <w:rFonts w:hint="eastAsia" w:ascii="宋体" w:hAnsi="宋体" w:cs="Calibri"/>
          <w:kern w:val="0"/>
          <w:sz w:val="24"/>
          <w:lang w:val="zh-CN"/>
        </w:rPr>
        <w:t xml:space="preserve">投标人名称(公章)：                                        </w:t>
      </w:r>
    </w:p>
    <w:p>
      <w:pPr>
        <w:snapToGrid w:val="0"/>
        <w:spacing w:line="360" w:lineRule="auto"/>
        <w:ind w:right="480"/>
        <w:rPr>
          <w:rFonts w:hint="eastAsia" w:ascii="宋体" w:hAnsi="宋体" w:cs="Calibri"/>
          <w:kern w:val="0"/>
          <w:sz w:val="24"/>
          <w:lang w:val="zh-CN"/>
        </w:rPr>
      </w:pPr>
      <w:r>
        <w:rPr>
          <w:rFonts w:hint="eastAsia" w:ascii="宋体" w:hAnsi="宋体" w:cs="Calibri"/>
          <w:kern w:val="0"/>
          <w:sz w:val="24"/>
          <w:lang w:val="zh-CN"/>
        </w:rPr>
        <w:t>法定代表人或其授权代表(签字)：</w:t>
      </w:r>
    </w:p>
    <w:p>
      <w:pPr>
        <w:snapToGrid w:val="0"/>
        <w:spacing w:line="360" w:lineRule="auto"/>
        <w:ind w:right="480"/>
        <w:rPr>
          <w:rFonts w:hint="eastAsia" w:ascii="宋体" w:hAnsi="宋体" w:cs="Calibri"/>
          <w:kern w:val="0"/>
          <w:sz w:val="24"/>
          <w:lang w:val="zh-CN"/>
        </w:rPr>
      </w:pPr>
      <w:r>
        <w:rPr>
          <w:rFonts w:hint="eastAsia" w:ascii="宋体" w:hAnsi="宋体" w:cs="Calibri"/>
          <w:kern w:val="0"/>
          <w:sz w:val="24"/>
          <w:lang w:val="zh-CN"/>
        </w:rPr>
        <w:t>日期：  年  月   日</w:t>
      </w:r>
    </w:p>
    <w:p>
      <w:pPr>
        <w:widowControl/>
        <w:snapToGrid w:val="0"/>
        <w:spacing w:line="324" w:lineRule="auto"/>
        <w:ind w:firstLine="480" w:firstLineChars="200"/>
        <w:jc w:val="left"/>
        <w:rPr>
          <w:rFonts w:hint="eastAsia" w:ascii="宋体" w:hAnsi="宋体" w:cs="Arial"/>
          <w:kern w:val="0"/>
          <w:sz w:val="24"/>
        </w:rPr>
      </w:pPr>
    </w:p>
    <w:p>
      <w:pPr>
        <w:snapToGrid w:val="0"/>
        <w:spacing w:line="360" w:lineRule="auto"/>
        <w:ind w:firstLine="480" w:firstLineChars="200"/>
        <w:rPr>
          <w:rFonts w:hint="eastAsia" w:ascii="宋体" w:hAnsi="宋体" w:cs="Arial"/>
          <w:sz w:val="24"/>
        </w:rPr>
      </w:pPr>
      <w:r>
        <w:rPr>
          <w:rFonts w:hint="eastAsia" w:ascii="宋体" w:hAnsi="宋体" w:cs="Arial"/>
          <w:sz w:val="24"/>
        </w:rPr>
        <w:t>附：</w:t>
      </w:r>
    </w:p>
    <w:p>
      <w:pPr>
        <w:widowControl/>
        <w:snapToGrid w:val="0"/>
        <w:spacing w:line="324" w:lineRule="auto"/>
        <w:ind w:firstLine="480" w:firstLineChars="200"/>
        <w:jc w:val="left"/>
        <w:rPr>
          <w:rFonts w:hint="eastAsia" w:ascii="宋体" w:hAnsi="宋体" w:cs="Arial"/>
          <w:kern w:val="0"/>
          <w:sz w:val="24"/>
        </w:rPr>
      </w:pPr>
      <w:r>
        <w:rPr>
          <w:rFonts w:hint="eastAsia" w:ascii="宋体" w:hAnsi="宋体" w:cs="Arial"/>
          <w:kern w:val="0"/>
          <w:sz w:val="24"/>
        </w:rPr>
        <w:t>投标人的小微企业证明（当地中小企业行政主管部门出具的中小企业资格确认意见书或者投标截止时间前7日内“国家企业信用信息公示系统—小微企业名录”页面查询结果）（如有）</w:t>
      </w:r>
    </w:p>
    <w:p>
      <w:pPr>
        <w:spacing w:line="360" w:lineRule="auto"/>
        <w:rPr>
          <w:rFonts w:hint="eastAsia"/>
          <w:sz w:val="24"/>
        </w:rPr>
        <w:sectPr>
          <w:footerReference r:id="rId7" w:type="default"/>
          <w:pgSz w:w="11906" w:h="16838"/>
          <w:pgMar w:top="1417" w:right="1587" w:bottom="1417" w:left="1587" w:header="851" w:footer="992" w:gutter="0"/>
          <w:cols w:space="720" w:num="1"/>
          <w:docGrid w:type="lines" w:linePitch="312" w:charSpace="0"/>
        </w:sectPr>
      </w:pPr>
    </w:p>
    <w:p>
      <w:pPr>
        <w:pStyle w:val="27"/>
        <w:spacing w:line="360" w:lineRule="auto"/>
        <w:jc w:val="left"/>
        <w:rPr>
          <w:rFonts w:hint="eastAsia" w:hAnsi="宋体"/>
          <w:b/>
          <w:color w:val="000000"/>
          <w:sz w:val="32"/>
        </w:rPr>
      </w:pPr>
    </w:p>
    <w:p>
      <w:pPr>
        <w:pStyle w:val="3"/>
        <w:spacing w:line="360" w:lineRule="auto"/>
        <w:jc w:val="center"/>
        <w:rPr>
          <w:rFonts w:hint="eastAsia" w:hAnsi="宋体"/>
          <w:color w:val="000000"/>
        </w:rPr>
      </w:pPr>
      <w:bookmarkStart w:id="57" w:name="_Toc98731776"/>
      <w:bookmarkStart w:id="58" w:name="_Toc2852609"/>
      <w:bookmarkStart w:id="59" w:name="_Toc130094927"/>
      <w:r>
        <w:rPr>
          <w:rFonts w:hint="eastAsia" w:hAnsi="宋体"/>
          <w:color w:val="000000"/>
        </w:rPr>
        <w:t>附件十</w:t>
      </w:r>
      <w:r>
        <w:rPr>
          <w:rFonts w:hint="eastAsia" w:hAnsi="宋体"/>
          <w:color w:val="000000"/>
          <w:lang w:eastAsia="zh-CN"/>
        </w:rPr>
        <w:t>一</w:t>
      </w:r>
      <w:r>
        <w:rPr>
          <w:rFonts w:hint="eastAsia" w:hAnsi="宋体"/>
          <w:color w:val="000000"/>
        </w:rPr>
        <w:t>、投标人情况表</w:t>
      </w:r>
      <w:bookmarkEnd w:id="57"/>
      <w:bookmarkEnd w:id="58"/>
      <w:bookmarkEnd w:id="59"/>
    </w:p>
    <w:p>
      <w:pPr>
        <w:pStyle w:val="27"/>
        <w:spacing w:line="360" w:lineRule="auto"/>
        <w:jc w:val="left"/>
        <w:rPr>
          <w:rFonts w:hint="eastAsia" w:hAnsi="宋体"/>
          <w:color w:val="000000"/>
        </w:rPr>
      </w:pPr>
      <w:r>
        <w:rPr>
          <w:rFonts w:hint="eastAsia" w:hAnsi="宋体"/>
          <w:color w:val="000000"/>
        </w:rPr>
        <w:t>投标人（公章）                                                                                 填表日期：</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04"/>
        <w:gridCol w:w="568"/>
        <w:gridCol w:w="318"/>
        <w:gridCol w:w="840"/>
        <w:gridCol w:w="260"/>
        <w:gridCol w:w="790"/>
        <w:gridCol w:w="210"/>
        <w:gridCol w:w="1260"/>
        <w:gridCol w:w="1050"/>
        <w:gridCol w:w="943"/>
        <w:gridCol w:w="1418"/>
        <w:gridCol w:w="472"/>
        <w:gridCol w:w="946"/>
        <w:gridCol w:w="945"/>
        <w:gridCol w:w="4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63"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单位名称</w:t>
            </w:r>
          </w:p>
        </w:tc>
        <w:tc>
          <w:tcPr>
            <w:tcW w:w="1572"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gridSpan w:val="3"/>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电话</w:t>
            </w:r>
          </w:p>
        </w:tc>
        <w:tc>
          <w:tcPr>
            <w:tcW w:w="2260" w:type="dxa"/>
            <w:gridSpan w:val="3"/>
            <w:noWrap w:val="0"/>
            <w:vAlign w:val="top"/>
          </w:tcPr>
          <w:p>
            <w:pPr>
              <w:pStyle w:val="27"/>
              <w:adjustRightInd w:val="0"/>
              <w:snapToGrid w:val="0"/>
              <w:spacing w:line="360" w:lineRule="auto"/>
              <w:jc w:val="left"/>
              <w:rPr>
                <w:rFonts w:hint="eastAsia" w:hAnsi="宋体"/>
                <w:color w:val="000000"/>
                <w:sz w:val="18"/>
              </w:rPr>
            </w:pPr>
          </w:p>
        </w:tc>
        <w:tc>
          <w:tcPr>
            <w:tcW w:w="1050"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主管部门</w:t>
            </w:r>
          </w:p>
        </w:tc>
        <w:tc>
          <w:tcPr>
            <w:tcW w:w="943" w:type="dxa"/>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企人负责人</w:t>
            </w: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职务</w:t>
            </w:r>
          </w:p>
        </w:tc>
        <w:tc>
          <w:tcPr>
            <w:tcW w:w="1418" w:type="dxa"/>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63"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地址</w:t>
            </w:r>
          </w:p>
        </w:tc>
        <w:tc>
          <w:tcPr>
            <w:tcW w:w="1572"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gridSpan w:val="3"/>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传真</w:t>
            </w:r>
          </w:p>
        </w:tc>
        <w:tc>
          <w:tcPr>
            <w:tcW w:w="2260" w:type="dxa"/>
            <w:gridSpan w:val="3"/>
            <w:noWrap w:val="0"/>
            <w:vAlign w:val="top"/>
          </w:tcPr>
          <w:p>
            <w:pPr>
              <w:pStyle w:val="27"/>
              <w:adjustRightInd w:val="0"/>
              <w:snapToGrid w:val="0"/>
              <w:spacing w:line="360" w:lineRule="auto"/>
              <w:jc w:val="left"/>
              <w:rPr>
                <w:rFonts w:hint="eastAsia" w:hAnsi="宋体"/>
                <w:color w:val="000000"/>
                <w:sz w:val="18"/>
              </w:rPr>
            </w:pPr>
          </w:p>
        </w:tc>
        <w:tc>
          <w:tcPr>
            <w:tcW w:w="1050"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企业性质</w:t>
            </w:r>
          </w:p>
        </w:tc>
        <w:tc>
          <w:tcPr>
            <w:tcW w:w="943" w:type="dxa"/>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授权代表人</w:t>
            </w: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职务</w:t>
            </w:r>
          </w:p>
        </w:tc>
        <w:tc>
          <w:tcPr>
            <w:tcW w:w="1418" w:type="dxa"/>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单位简历及机构</w:t>
            </w:r>
          </w:p>
        </w:tc>
        <w:tc>
          <w:tcPr>
            <w:tcW w:w="5250" w:type="dxa"/>
            <w:gridSpan w:val="8"/>
            <w:noWrap w:val="0"/>
            <w:vAlign w:val="top"/>
          </w:tcPr>
          <w:p>
            <w:pPr>
              <w:pStyle w:val="27"/>
              <w:adjustRightInd w:val="0"/>
              <w:snapToGrid w:val="0"/>
              <w:spacing w:line="360" w:lineRule="auto"/>
              <w:jc w:val="left"/>
              <w:rPr>
                <w:rFonts w:hint="eastAsia" w:hAnsi="宋体"/>
                <w:color w:val="000000"/>
                <w:sz w:val="18"/>
              </w:rPr>
            </w:pPr>
          </w:p>
        </w:tc>
        <w:tc>
          <w:tcPr>
            <w:tcW w:w="1050"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单位优势及特长</w:t>
            </w:r>
          </w:p>
        </w:tc>
        <w:tc>
          <w:tcPr>
            <w:tcW w:w="6615" w:type="dxa"/>
            <w:gridSpan w:val="7"/>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3" w:hRule="atLeast"/>
        </w:trPr>
        <w:tc>
          <w:tcPr>
            <w:tcW w:w="1263"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单位概况</w:t>
            </w:r>
          </w:p>
        </w:tc>
        <w:tc>
          <w:tcPr>
            <w:tcW w:w="1004"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职工总数</w:t>
            </w:r>
          </w:p>
        </w:tc>
        <w:tc>
          <w:tcPr>
            <w:tcW w:w="4246" w:type="dxa"/>
            <w:gridSpan w:val="7"/>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生产工人   平均技术等级</w:t>
            </w:r>
          </w:p>
        </w:tc>
        <w:tc>
          <w:tcPr>
            <w:tcW w:w="1050"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上一年主要经济指标</w:t>
            </w:r>
          </w:p>
        </w:tc>
        <w:tc>
          <w:tcPr>
            <w:tcW w:w="943"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指标名称</w:t>
            </w:r>
          </w:p>
        </w:tc>
        <w:tc>
          <w:tcPr>
            <w:tcW w:w="1418" w:type="dxa"/>
            <w:vMerge w:val="restart"/>
            <w:noWrap w:val="0"/>
            <w:vAlign w:val="top"/>
          </w:tcPr>
          <w:p>
            <w:pPr>
              <w:pStyle w:val="27"/>
              <w:adjustRightInd w:val="0"/>
              <w:snapToGrid w:val="0"/>
              <w:spacing w:line="360" w:lineRule="auto"/>
              <w:jc w:val="left"/>
              <w:rPr>
                <w:rFonts w:hint="eastAsia" w:hAnsi="宋体"/>
                <w:color w:val="000000"/>
                <w:sz w:val="18"/>
              </w:rPr>
            </w:pPr>
          </w:p>
        </w:tc>
        <w:tc>
          <w:tcPr>
            <w:tcW w:w="1418" w:type="dxa"/>
            <w:gridSpan w:val="2"/>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实际完成</w:t>
            </w:r>
          </w:p>
        </w:tc>
        <w:tc>
          <w:tcPr>
            <w:tcW w:w="2836" w:type="dxa"/>
            <w:gridSpan w:val="3"/>
            <w:vMerge w:val="restart"/>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2" w:hRule="atLeas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004" w:type="dxa"/>
            <w:vMerge w:val="continue"/>
            <w:noWrap w:val="0"/>
            <w:vAlign w:val="top"/>
          </w:tcPr>
          <w:p>
            <w:pPr>
              <w:pStyle w:val="27"/>
              <w:adjustRightInd w:val="0"/>
              <w:snapToGrid w:val="0"/>
              <w:spacing w:line="360" w:lineRule="auto"/>
              <w:jc w:val="left"/>
              <w:rPr>
                <w:rFonts w:hint="eastAsia" w:hAnsi="宋体"/>
                <w:color w:val="000000"/>
                <w:sz w:val="18"/>
              </w:rPr>
            </w:pPr>
          </w:p>
        </w:tc>
        <w:tc>
          <w:tcPr>
            <w:tcW w:w="4246" w:type="dxa"/>
            <w:gridSpan w:val="7"/>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工程技术人员  其中：高级工程师   工程师</w:t>
            </w:r>
          </w:p>
        </w:tc>
        <w:tc>
          <w:tcPr>
            <w:tcW w:w="1050" w:type="dxa"/>
            <w:vMerge w:val="continue"/>
            <w:noWrap w:val="0"/>
            <w:vAlign w:val="top"/>
          </w:tcPr>
          <w:p>
            <w:pPr>
              <w:pStyle w:val="27"/>
              <w:adjustRightInd w:val="0"/>
              <w:snapToGrid w:val="0"/>
              <w:spacing w:line="360" w:lineRule="auto"/>
              <w:jc w:val="left"/>
              <w:rPr>
                <w:rFonts w:hint="eastAsia" w:hAnsi="宋体"/>
                <w:color w:val="000000"/>
                <w:sz w:val="18"/>
              </w:rPr>
            </w:pPr>
          </w:p>
        </w:tc>
        <w:tc>
          <w:tcPr>
            <w:tcW w:w="94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418" w:type="dxa"/>
            <w:vMerge w:val="continue"/>
            <w:noWrap w:val="0"/>
            <w:vAlign w:val="top"/>
          </w:tcPr>
          <w:p>
            <w:pPr>
              <w:pStyle w:val="27"/>
              <w:adjustRightInd w:val="0"/>
              <w:snapToGrid w:val="0"/>
              <w:spacing w:line="360" w:lineRule="auto"/>
              <w:jc w:val="left"/>
              <w:rPr>
                <w:rFonts w:hint="eastAsia" w:hAnsi="宋体"/>
                <w:color w:val="000000"/>
                <w:sz w:val="18"/>
              </w:rPr>
            </w:pPr>
          </w:p>
        </w:tc>
        <w:tc>
          <w:tcPr>
            <w:tcW w:w="1418" w:type="dxa"/>
            <w:gridSpan w:val="2"/>
            <w:vMerge w:val="continue"/>
            <w:noWrap w:val="0"/>
            <w:vAlign w:val="top"/>
          </w:tcPr>
          <w:p>
            <w:pPr>
              <w:pStyle w:val="27"/>
              <w:adjustRightInd w:val="0"/>
              <w:snapToGrid w:val="0"/>
              <w:spacing w:line="360" w:lineRule="auto"/>
              <w:jc w:val="left"/>
              <w:rPr>
                <w:rFonts w:hint="eastAsia" w:hAnsi="宋体"/>
                <w:color w:val="000000"/>
                <w:sz w:val="18"/>
              </w:rPr>
            </w:pPr>
          </w:p>
        </w:tc>
        <w:tc>
          <w:tcPr>
            <w:tcW w:w="2836" w:type="dxa"/>
            <w:gridSpan w:val="3"/>
            <w:vMerge w:val="continue"/>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53" w:hRule="atLeas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004"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流动资金</w:t>
            </w:r>
          </w:p>
        </w:tc>
        <w:tc>
          <w:tcPr>
            <w:tcW w:w="886" w:type="dxa"/>
            <w:gridSpan w:val="2"/>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840"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资金来源</w:t>
            </w:r>
          </w:p>
        </w:tc>
        <w:tc>
          <w:tcPr>
            <w:tcW w:w="105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自有资金</w:t>
            </w:r>
          </w:p>
        </w:tc>
        <w:tc>
          <w:tcPr>
            <w:tcW w:w="147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27"/>
              <w:adjustRightInd w:val="0"/>
              <w:snapToGrid w:val="0"/>
              <w:spacing w:line="360" w:lineRule="auto"/>
              <w:jc w:val="left"/>
              <w:rPr>
                <w:rFonts w:hint="eastAsia" w:hAnsi="宋体"/>
                <w:color w:val="000000"/>
                <w:sz w:val="18"/>
              </w:rPr>
            </w:pPr>
          </w:p>
        </w:tc>
        <w:tc>
          <w:tcPr>
            <w:tcW w:w="943"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工业总产值</w:t>
            </w:r>
          </w:p>
        </w:tc>
        <w:tc>
          <w:tcPr>
            <w:tcW w:w="1418"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418" w:type="dxa"/>
            <w:gridSpan w:val="2"/>
            <w:vMerge w:val="restart"/>
            <w:noWrap w:val="0"/>
            <w:vAlign w:val="top"/>
          </w:tcPr>
          <w:p>
            <w:pPr>
              <w:pStyle w:val="27"/>
              <w:adjustRightInd w:val="0"/>
              <w:snapToGrid w:val="0"/>
              <w:spacing w:line="360" w:lineRule="auto"/>
              <w:jc w:val="left"/>
              <w:rPr>
                <w:rFonts w:hint="eastAsia" w:hAnsi="宋体"/>
                <w:color w:val="000000"/>
                <w:sz w:val="18"/>
              </w:rPr>
            </w:pPr>
          </w:p>
        </w:tc>
        <w:tc>
          <w:tcPr>
            <w:tcW w:w="2836" w:type="dxa"/>
            <w:gridSpan w:val="3"/>
            <w:vMerge w:val="restart"/>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52" w:hRule="atLeas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004" w:type="dxa"/>
            <w:vMerge w:val="continue"/>
            <w:noWrap w:val="0"/>
            <w:vAlign w:val="top"/>
          </w:tcPr>
          <w:p>
            <w:pPr>
              <w:pStyle w:val="27"/>
              <w:adjustRightInd w:val="0"/>
              <w:snapToGrid w:val="0"/>
              <w:spacing w:line="360" w:lineRule="auto"/>
              <w:jc w:val="left"/>
              <w:rPr>
                <w:rFonts w:hint="eastAsia" w:hAnsi="宋体"/>
                <w:color w:val="000000"/>
                <w:sz w:val="18"/>
              </w:rPr>
            </w:pPr>
          </w:p>
        </w:tc>
        <w:tc>
          <w:tcPr>
            <w:tcW w:w="886" w:type="dxa"/>
            <w:gridSpan w:val="2"/>
            <w:vMerge w:val="continue"/>
            <w:noWrap w:val="0"/>
            <w:vAlign w:val="top"/>
          </w:tcPr>
          <w:p>
            <w:pPr>
              <w:pStyle w:val="27"/>
              <w:adjustRightInd w:val="0"/>
              <w:snapToGrid w:val="0"/>
              <w:spacing w:line="360" w:lineRule="auto"/>
              <w:jc w:val="left"/>
              <w:rPr>
                <w:rFonts w:hint="eastAsia" w:hAnsi="宋体"/>
                <w:color w:val="000000"/>
                <w:sz w:val="18"/>
              </w:rPr>
            </w:pPr>
          </w:p>
        </w:tc>
        <w:tc>
          <w:tcPr>
            <w:tcW w:w="840" w:type="dxa"/>
            <w:vMerge w:val="continue"/>
            <w:noWrap w:val="0"/>
            <w:vAlign w:val="top"/>
          </w:tcPr>
          <w:p>
            <w:pPr>
              <w:pStyle w:val="27"/>
              <w:adjustRightInd w:val="0"/>
              <w:snapToGrid w:val="0"/>
              <w:spacing w:line="360" w:lineRule="auto"/>
              <w:jc w:val="left"/>
              <w:rPr>
                <w:rFonts w:hint="eastAsia" w:hAnsi="宋体"/>
                <w:color w:val="000000"/>
                <w:sz w:val="18"/>
              </w:rPr>
            </w:pPr>
          </w:p>
        </w:tc>
        <w:tc>
          <w:tcPr>
            <w:tcW w:w="105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银行贷款</w:t>
            </w:r>
          </w:p>
        </w:tc>
        <w:tc>
          <w:tcPr>
            <w:tcW w:w="147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27"/>
              <w:adjustRightInd w:val="0"/>
              <w:snapToGrid w:val="0"/>
              <w:spacing w:line="360" w:lineRule="auto"/>
              <w:jc w:val="left"/>
              <w:rPr>
                <w:rFonts w:hint="eastAsia" w:hAnsi="宋体"/>
                <w:color w:val="000000"/>
                <w:sz w:val="18"/>
              </w:rPr>
            </w:pPr>
          </w:p>
        </w:tc>
        <w:tc>
          <w:tcPr>
            <w:tcW w:w="94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418" w:type="dxa"/>
            <w:vMerge w:val="continue"/>
            <w:noWrap w:val="0"/>
            <w:vAlign w:val="top"/>
          </w:tcPr>
          <w:p>
            <w:pPr>
              <w:pStyle w:val="27"/>
              <w:adjustRightInd w:val="0"/>
              <w:snapToGrid w:val="0"/>
              <w:spacing w:line="360" w:lineRule="auto"/>
              <w:jc w:val="left"/>
              <w:rPr>
                <w:rFonts w:hint="eastAsia" w:hAnsi="宋体"/>
                <w:color w:val="000000"/>
                <w:sz w:val="18"/>
              </w:rPr>
            </w:pPr>
          </w:p>
        </w:tc>
        <w:tc>
          <w:tcPr>
            <w:tcW w:w="1418" w:type="dxa"/>
            <w:gridSpan w:val="2"/>
            <w:vMerge w:val="continue"/>
            <w:noWrap w:val="0"/>
            <w:vAlign w:val="top"/>
          </w:tcPr>
          <w:p>
            <w:pPr>
              <w:pStyle w:val="27"/>
              <w:adjustRightInd w:val="0"/>
              <w:snapToGrid w:val="0"/>
              <w:spacing w:line="360" w:lineRule="auto"/>
              <w:jc w:val="left"/>
              <w:rPr>
                <w:rFonts w:hint="eastAsia" w:hAnsi="宋体"/>
                <w:color w:val="000000"/>
                <w:sz w:val="18"/>
              </w:rPr>
            </w:pPr>
          </w:p>
        </w:tc>
        <w:tc>
          <w:tcPr>
            <w:tcW w:w="2836" w:type="dxa"/>
            <w:gridSpan w:val="3"/>
            <w:vMerge w:val="continue"/>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004"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固定资产</w:t>
            </w:r>
          </w:p>
        </w:tc>
        <w:tc>
          <w:tcPr>
            <w:tcW w:w="886" w:type="dxa"/>
            <w:gridSpan w:val="2"/>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原值</w:t>
            </w:r>
          </w:p>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p>
            <w:pPr>
              <w:pStyle w:val="27"/>
              <w:adjustRightInd w:val="0"/>
              <w:snapToGrid w:val="0"/>
              <w:spacing w:line="360" w:lineRule="auto"/>
              <w:jc w:val="left"/>
              <w:rPr>
                <w:rFonts w:hint="eastAsia" w:hAnsi="宋体"/>
                <w:color w:val="000000"/>
                <w:sz w:val="18"/>
              </w:rPr>
            </w:pPr>
            <w:r>
              <w:rPr>
                <w:rFonts w:hint="eastAsia" w:hAnsi="宋体"/>
                <w:color w:val="000000"/>
                <w:sz w:val="18"/>
              </w:rPr>
              <w:t>净值</w:t>
            </w:r>
          </w:p>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840"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资金性质</w:t>
            </w:r>
          </w:p>
        </w:tc>
        <w:tc>
          <w:tcPr>
            <w:tcW w:w="105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生产性</w:t>
            </w:r>
          </w:p>
        </w:tc>
        <w:tc>
          <w:tcPr>
            <w:tcW w:w="147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27"/>
              <w:adjustRightInd w:val="0"/>
              <w:snapToGrid w:val="0"/>
              <w:spacing w:line="360" w:lineRule="auto"/>
              <w:jc w:val="left"/>
              <w:rPr>
                <w:rFonts w:hint="eastAsia" w:hAnsi="宋体"/>
                <w:color w:val="000000"/>
                <w:sz w:val="18"/>
              </w:rPr>
            </w:pPr>
          </w:p>
        </w:tc>
        <w:tc>
          <w:tcPr>
            <w:tcW w:w="943"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实现利润</w:t>
            </w:r>
          </w:p>
        </w:tc>
        <w:tc>
          <w:tcPr>
            <w:tcW w:w="189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891" w:type="dxa"/>
            <w:gridSpan w:val="2"/>
            <w:noWrap w:val="0"/>
            <w:vAlign w:val="top"/>
          </w:tcPr>
          <w:p>
            <w:pPr>
              <w:pStyle w:val="27"/>
              <w:adjustRightInd w:val="0"/>
              <w:snapToGrid w:val="0"/>
              <w:spacing w:line="360" w:lineRule="auto"/>
              <w:jc w:val="left"/>
              <w:rPr>
                <w:rFonts w:hint="eastAsia" w:hAnsi="宋体"/>
                <w:color w:val="000000"/>
                <w:sz w:val="18"/>
              </w:rPr>
            </w:pPr>
          </w:p>
        </w:tc>
        <w:tc>
          <w:tcPr>
            <w:tcW w:w="1891" w:type="dxa"/>
            <w:gridSpan w:val="2"/>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004" w:type="dxa"/>
            <w:vMerge w:val="continue"/>
            <w:noWrap w:val="0"/>
            <w:vAlign w:val="top"/>
          </w:tcPr>
          <w:p>
            <w:pPr>
              <w:pStyle w:val="27"/>
              <w:adjustRightInd w:val="0"/>
              <w:snapToGrid w:val="0"/>
              <w:spacing w:line="360" w:lineRule="auto"/>
              <w:jc w:val="left"/>
              <w:rPr>
                <w:rFonts w:hint="eastAsia" w:hAnsi="宋体"/>
                <w:color w:val="000000"/>
                <w:sz w:val="18"/>
              </w:rPr>
            </w:pPr>
          </w:p>
        </w:tc>
        <w:tc>
          <w:tcPr>
            <w:tcW w:w="886" w:type="dxa"/>
            <w:gridSpan w:val="2"/>
            <w:vMerge w:val="continue"/>
            <w:noWrap w:val="0"/>
            <w:vAlign w:val="top"/>
          </w:tcPr>
          <w:p>
            <w:pPr>
              <w:pStyle w:val="27"/>
              <w:adjustRightInd w:val="0"/>
              <w:snapToGrid w:val="0"/>
              <w:spacing w:line="360" w:lineRule="auto"/>
              <w:jc w:val="left"/>
              <w:rPr>
                <w:rFonts w:hint="eastAsia" w:hAnsi="宋体"/>
                <w:color w:val="000000"/>
                <w:sz w:val="18"/>
              </w:rPr>
            </w:pPr>
          </w:p>
        </w:tc>
        <w:tc>
          <w:tcPr>
            <w:tcW w:w="840" w:type="dxa"/>
            <w:vMerge w:val="continue"/>
            <w:noWrap w:val="0"/>
            <w:vAlign w:val="top"/>
          </w:tcPr>
          <w:p>
            <w:pPr>
              <w:pStyle w:val="27"/>
              <w:adjustRightInd w:val="0"/>
              <w:snapToGrid w:val="0"/>
              <w:spacing w:line="360" w:lineRule="auto"/>
              <w:jc w:val="left"/>
              <w:rPr>
                <w:rFonts w:hint="eastAsia" w:hAnsi="宋体"/>
                <w:color w:val="000000"/>
                <w:sz w:val="18"/>
              </w:rPr>
            </w:pPr>
          </w:p>
        </w:tc>
        <w:tc>
          <w:tcPr>
            <w:tcW w:w="105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非生产性</w:t>
            </w:r>
          </w:p>
        </w:tc>
        <w:tc>
          <w:tcPr>
            <w:tcW w:w="1470"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万元</w:t>
            </w:r>
          </w:p>
        </w:tc>
        <w:tc>
          <w:tcPr>
            <w:tcW w:w="1050" w:type="dxa"/>
            <w:vMerge w:val="continue"/>
            <w:noWrap w:val="0"/>
            <w:vAlign w:val="top"/>
          </w:tcPr>
          <w:p>
            <w:pPr>
              <w:pStyle w:val="27"/>
              <w:adjustRightInd w:val="0"/>
              <w:snapToGrid w:val="0"/>
              <w:spacing w:line="360" w:lineRule="auto"/>
              <w:jc w:val="left"/>
              <w:rPr>
                <w:rFonts w:hint="eastAsia" w:hAnsi="宋体"/>
                <w:color w:val="000000"/>
                <w:sz w:val="18"/>
              </w:rPr>
            </w:pPr>
          </w:p>
        </w:tc>
        <w:tc>
          <w:tcPr>
            <w:tcW w:w="943"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主要产品</w:t>
            </w:r>
          </w:p>
        </w:tc>
        <w:tc>
          <w:tcPr>
            <w:tcW w:w="5672" w:type="dxa"/>
            <w:gridSpan w:val="6"/>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restart"/>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类似投标产品情况</w:t>
            </w:r>
          </w:p>
        </w:tc>
        <w:tc>
          <w:tcPr>
            <w:tcW w:w="1572"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投标产品名称</w:t>
            </w:r>
          </w:p>
        </w:tc>
        <w:tc>
          <w:tcPr>
            <w:tcW w:w="1158" w:type="dxa"/>
            <w:gridSpan w:val="2"/>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型号规格</w:t>
            </w:r>
          </w:p>
        </w:tc>
        <w:tc>
          <w:tcPr>
            <w:tcW w:w="1260" w:type="dxa"/>
            <w:gridSpan w:val="3"/>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上年产量</w:t>
            </w:r>
          </w:p>
        </w:tc>
        <w:tc>
          <w:tcPr>
            <w:tcW w:w="1260"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产品技术先进水平</w:t>
            </w:r>
          </w:p>
        </w:tc>
        <w:tc>
          <w:tcPr>
            <w:tcW w:w="1050"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优质品率</w:t>
            </w:r>
          </w:p>
        </w:tc>
        <w:tc>
          <w:tcPr>
            <w:tcW w:w="943" w:type="dxa"/>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一等品率</w:t>
            </w:r>
          </w:p>
        </w:tc>
        <w:tc>
          <w:tcPr>
            <w:tcW w:w="5672" w:type="dxa"/>
            <w:gridSpan w:val="6"/>
            <w:noWrap w:val="0"/>
            <w:vAlign w:val="top"/>
          </w:tcPr>
          <w:p>
            <w:pPr>
              <w:pStyle w:val="27"/>
              <w:adjustRightInd w:val="0"/>
              <w:snapToGrid w:val="0"/>
              <w:spacing w:line="360" w:lineRule="auto"/>
              <w:jc w:val="left"/>
              <w:rPr>
                <w:rFonts w:hint="eastAsia" w:hAnsi="宋体"/>
                <w:color w:val="000000"/>
                <w:sz w:val="18"/>
              </w:rPr>
            </w:pPr>
            <w:r>
              <w:rPr>
                <w:rFonts w:hint="eastAsia" w:hAnsi="宋体"/>
                <w:color w:val="000000"/>
                <w:sz w:val="18"/>
              </w:rPr>
              <w:t>曾获何种奖励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572" w:type="dxa"/>
            <w:gridSpan w:val="2"/>
            <w:noWrap w:val="0"/>
            <w:vAlign w:val="top"/>
          </w:tcPr>
          <w:p>
            <w:pPr>
              <w:pStyle w:val="27"/>
              <w:adjustRightInd w:val="0"/>
              <w:snapToGrid w:val="0"/>
              <w:spacing w:line="360" w:lineRule="auto"/>
              <w:jc w:val="left"/>
              <w:rPr>
                <w:rFonts w:hint="eastAsia" w:hAnsi="宋体"/>
                <w:color w:val="000000"/>
                <w:sz w:val="18"/>
              </w:rPr>
            </w:pPr>
          </w:p>
        </w:tc>
        <w:tc>
          <w:tcPr>
            <w:tcW w:w="1158" w:type="dxa"/>
            <w:gridSpan w:val="2"/>
            <w:noWrap w:val="0"/>
            <w:vAlign w:val="top"/>
          </w:tcPr>
          <w:p>
            <w:pPr>
              <w:pStyle w:val="27"/>
              <w:adjustRightInd w:val="0"/>
              <w:snapToGrid w:val="0"/>
              <w:spacing w:line="360" w:lineRule="auto"/>
              <w:jc w:val="left"/>
              <w:rPr>
                <w:rFonts w:hint="eastAsia" w:hAnsi="宋体"/>
                <w:color w:val="000000"/>
                <w:sz w:val="18"/>
              </w:rPr>
            </w:pPr>
          </w:p>
        </w:tc>
        <w:tc>
          <w:tcPr>
            <w:tcW w:w="1260" w:type="dxa"/>
            <w:gridSpan w:val="3"/>
            <w:noWrap w:val="0"/>
            <w:vAlign w:val="top"/>
          </w:tcPr>
          <w:p>
            <w:pPr>
              <w:pStyle w:val="27"/>
              <w:adjustRightInd w:val="0"/>
              <w:snapToGrid w:val="0"/>
              <w:spacing w:line="360" w:lineRule="auto"/>
              <w:jc w:val="left"/>
              <w:rPr>
                <w:rFonts w:hint="eastAsia" w:hAnsi="宋体"/>
                <w:color w:val="000000"/>
                <w:sz w:val="18"/>
              </w:rPr>
            </w:pPr>
          </w:p>
        </w:tc>
        <w:tc>
          <w:tcPr>
            <w:tcW w:w="1260" w:type="dxa"/>
            <w:noWrap w:val="0"/>
            <w:vAlign w:val="top"/>
          </w:tcPr>
          <w:p>
            <w:pPr>
              <w:pStyle w:val="27"/>
              <w:adjustRightInd w:val="0"/>
              <w:snapToGrid w:val="0"/>
              <w:spacing w:line="360" w:lineRule="auto"/>
              <w:jc w:val="left"/>
              <w:rPr>
                <w:rFonts w:hint="eastAsia" w:hAnsi="宋体"/>
                <w:color w:val="000000"/>
                <w:sz w:val="18"/>
              </w:rPr>
            </w:pPr>
          </w:p>
        </w:tc>
        <w:tc>
          <w:tcPr>
            <w:tcW w:w="1050" w:type="dxa"/>
            <w:noWrap w:val="0"/>
            <w:vAlign w:val="top"/>
          </w:tcPr>
          <w:p>
            <w:pPr>
              <w:pStyle w:val="27"/>
              <w:adjustRightInd w:val="0"/>
              <w:snapToGrid w:val="0"/>
              <w:spacing w:line="360" w:lineRule="auto"/>
              <w:jc w:val="left"/>
              <w:rPr>
                <w:rFonts w:hint="eastAsia" w:hAnsi="宋体"/>
                <w:color w:val="000000"/>
                <w:sz w:val="18"/>
              </w:rPr>
            </w:pPr>
          </w:p>
        </w:tc>
        <w:tc>
          <w:tcPr>
            <w:tcW w:w="943" w:type="dxa"/>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572" w:type="dxa"/>
            <w:gridSpan w:val="2"/>
            <w:noWrap w:val="0"/>
            <w:vAlign w:val="top"/>
          </w:tcPr>
          <w:p>
            <w:pPr>
              <w:pStyle w:val="27"/>
              <w:adjustRightInd w:val="0"/>
              <w:snapToGrid w:val="0"/>
              <w:spacing w:line="360" w:lineRule="auto"/>
              <w:jc w:val="left"/>
              <w:rPr>
                <w:rFonts w:hint="eastAsia" w:hAnsi="宋体"/>
                <w:color w:val="000000"/>
                <w:sz w:val="18"/>
              </w:rPr>
            </w:pPr>
          </w:p>
        </w:tc>
        <w:tc>
          <w:tcPr>
            <w:tcW w:w="1158" w:type="dxa"/>
            <w:gridSpan w:val="2"/>
            <w:noWrap w:val="0"/>
            <w:vAlign w:val="top"/>
          </w:tcPr>
          <w:p>
            <w:pPr>
              <w:pStyle w:val="27"/>
              <w:adjustRightInd w:val="0"/>
              <w:snapToGrid w:val="0"/>
              <w:spacing w:line="360" w:lineRule="auto"/>
              <w:jc w:val="left"/>
              <w:rPr>
                <w:rFonts w:hint="eastAsia" w:hAnsi="宋体"/>
                <w:color w:val="000000"/>
                <w:sz w:val="18"/>
              </w:rPr>
            </w:pPr>
          </w:p>
        </w:tc>
        <w:tc>
          <w:tcPr>
            <w:tcW w:w="1260" w:type="dxa"/>
            <w:gridSpan w:val="3"/>
            <w:noWrap w:val="0"/>
            <w:vAlign w:val="top"/>
          </w:tcPr>
          <w:p>
            <w:pPr>
              <w:pStyle w:val="27"/>
              <w:adjustRightInd w:val="0"/>
              <w:snapToGrid w:val="0"/>
              <w:spacing w:line="360" w:lineRule="auto"/>
              <w:jc w:val="left"/>
              <w:rPr>
                <w:rFonts w:hint="eastAsia" w:hAnsi="宋体"/>
                <w:color w:val="000000"/>
                <w:sz w:val="18"/>
              </w:rPr>
            </w:pPr>
          </w:p>
        </w:tc>
        <w:tc>
          <w:tcPr>
            <w:tcW w:w="1260" w:type="dxa"/>
            <w:noWrap w:val="0"/>
            <w:vAlign w:val="top"/>
          </w:tcPr>
          <w:p>
            <w:pPr>
              <w:pStyle w:val="27"/>
              <w:adjustRightInd w:val="0"/>
              <w:snapToGrid w:val="0"/>
              <w:spacing w:line="360" w:lineRule="auto"/>
              <w:jc w:val="left"/>
              <w:rPr>
                <w:rFonts w:hint="eastAsia" w:hAnsi="宋体"/>
                <w:color w:val="000000"/>
                <w:sz w:val="18"/>
              </w:rPr>
            </w:pPr>
          </w:p>
        </w:tc>
        <w:tc>
          <w:tcPr>
            <w:tcW w:w="1050" w:type="dxa"/>
            <w:noWrap w:val="0"/>
            <w:vAlign w:val="top"/>
          </w:tcPr>
          <w:p>
            <w:pPr>
              <w:pStyle w:val="27"/>
              <w:adjustRightInd w:val="0"/>
              <w:snapToGrid w:val="0"/>
              <w:spacing w:line="360" w:lineRule="auto"/>
              <w:jc w:val="left"/>
              <w:rPr>
                <w:rFonts w:hint="eastAsia" w:hAnsi="宋体"/>
                <w:color w:val="000000"/>
                <w:sz w:val="18"/>
              </w:rPr>
            </w:pPr>
          </w:p>
        </w:tc>
        <w:tc>
          <w:tcPr>
            <w:tcW w:w="943" w:type="dxa"/>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263" w:type="dxa"/>
            <w:vMerge w:val="continue"/>
            <w:noWrap w:val="0"/>
            <w:vAlign w:val="top"/>
          </w:tcPr>
          <w:p>
            <w:pPr>
              <w:pStyle w:val="27"/>
              <w:adjustRightInd w:val="0"/>
              <w:snapToGrid w:val="0"/>
              <w:spacing w:line="360" w:lineRule="auto"/>
              <w:jc w:val="left"/>
              <w:rPr>
                <w:rFonts w:hint="eastAsia" w:hAnsi="宋体"/>
                <w:color w:val="000000"/>
                <w:sz w:val="18"/>
              </w:rPr>
            </w:pPr>
          </w:p>
        </w:tc>
        <w:tc>
          <w:tcPr>
            <w:tcW w:w="1572" w:type="dxa"/>
            <w:gridSpan w:val="2"/>
            <w:noWrap w:val="0"/>
            <w:vAlign w:val="top"/>
          </w:tcPr>
          <w:p>
            <w:pPr>
              <w:pStyle w:val="27"/>
              <w:adjustRightInd w:val="0"/>
              <w:snapToGrid w:val="0"/>
              <w:spacing w:line="360" w:lineRule="auto"/>
              <w:jc w:val="left"/>
              <w:rPr>
                <w:rFonts w:hint="eastAsia" w:hAnsi="宋体"/>
                <w:color w:val="000000"/>
                <w:sz w:val="18"/>
              </w:rPr>
            </w:pPr>
          </w:p>
        </w:tc>
        <w:tc>
          <w:tcPr>
            <w:tcW w:w="1158" w:type="dxa"/>
            <w:gridSpan w:val="2"/>
            <w:noWrap w:val="0"/>
            <w:vAlign w:val="top"/>
          </w:tcPr>
          <w:p>
            <w:pPr>
              <w:pStyle w:val="27"/>
              <w:adjustRightInd w:val="0"/>
              <w:snapToGrid w:val="0"/>
              <w:spacing w:line="360" w:lineRule="auto"/>
              <w:jc w:val="left"/>
              <w:rPr>
                <w:rFonts w:hint="eastAsia" w:hAnsi="宋体"/>
                <w:color w:val="000000"/>
                <w:sz w:val="18"/>
              </w:rPr>
            </w:pPr>
          </w:p>
        </w:tc>
        <w:tc>
          <w:tcPr>
            <w:tcW w:w="1260" w:type="dxa"/>
            <w:gridSpan w:val="3"/>
            <w:noWrap w:val="0"/>
            <w:vAlign w:val="top"/>
          </w:tcPr>
          <w:p>
            <w:pPr>
              <w:pStyle w:val="27"/>
              <w:adjustRightInd w:val="0"/>
              <w:snapToGrid w:val="0"/>
              <w:spacing w:line="360" w:lineRule="auto"/>
              <w:jc w:val="left"/>
              <w:rPr>
                <w:rFonts w:hint="eastAsia" w:hAnsi="宋体"/>
                <w:color w:val="000000"/>
                <w:sz w:val="18"/>
              </w:rPr>
            </w:pPr>
          </w:p>
        </w:tc>
        <w:tc>
          <w:tcPr>
            <w:tcW w:w="1260" w:type="dxa"/>
            <w:noWrap w:val="0"/>
            <w:vAlign w:val="top"/>
          </w:tcPr>
          <w:p>
            <w:pPr>
              <w:pStyle w:val="27"/>
              <w:adjustRightInd w:val="0"/>
              <w:snapToGrid w:val="0"/>
              <w:spacing w:line="360" w:lineRule="auto"/>
              <w:jc w:val="left"/>
              <w:rPr>
                <w:rFonts w:hint="eastAsia" w:hAnsi="宋体"/>
                <w:color w:val="000000"/>
                <w:sz w:val="18"/>
              </w:rPr>
            </w:pPr>
          </w:p>
        </w:tc>
        <w:tc>
          <w:tcPr>
            <w:tcW w:w="1050" w:type="dxa"/>
            <w:noWrap w:val="0"/>
            <w:vAlign w:val="top"/>
          </w:tcPr>
          <w:p>
            <w:pPr>
              <w:pStyle w:val="27"/>
              <w:adjustRightInd w:val="0"/>
              <w:snapToGrid w:val="0"/>
              <w:spacing w:line="360" w:lineRule="auto"/>
              <w:jc w:val="left"/>
              <w:rPr>
                <w:rFonts w:hint="eastAsia" w:hAnsi="宋体"/>
                <w:color w:val="000000"/>
                <w:sz w:val="18"/>
              </w:rPr>
            </w:pPr>
          </w:p>
        </w:tc>
        <w:tc>
          <w:tcPr>
            <w:tcW w:w="943" w:type="dxa"/>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gridSpan w:val="2"/>
            <w:noWrap w:val="0"/>
            <w:vAlign w:val="top"/>
          </w:tcPr>
          <w:p>
            <w:pPr>
              <w:pStyle w:val="27"/>
              <w:adjustRightInd w:val="0"/>
              <w:snapToGrid w:val="0"/>
              <w:spacing w:line="360" w:lineRule="auto"/>
              <w:jc w:val="left"/>
              <w:rPr>
                <w:rFonts w:hint="eastAsia" w:hAnsi="宋体"/>
                <w:color w:val="000000"/>
                <w:sz w:val="18"/>
              </w:rPr>
            </w:pPr>
          </w:p>
        </w:tc>
        <w:tc>
          <w:tcPr>
            <w:tcW w:w="1418" w:type="dxa"/>
            <w:noWrap w:val="0"/>
            <w:vAlign w:val="top"/>
          </w:tcPr>
          <w:p>
            <w:pPr>
              <w:pStyle w:val="27"/>
              <w:adjustRightInd w:val="0"/>
              <w:snapToGrid w:val="0"/>
              <w:spacing w:line="360" w:lineRule="auto"/>
              <w:jc w:val="left"/>
              <w:rPr>
                <w:rFonts w:hint="eastAsia" w:hAnsi="宋体"/>
                <w:color w:val="000000"/>
                <w:sz w:val="18"/>
              </w:rPr>
            </w:pPr>
          </w:p>
        </w:tc>
      </w:tr>
    </w:tbl>
    <w:p>
      <w:pPr>
        <w:adjustRightInd w:val="0"/>
        <w:snapToGrid w:val="0"/>
        <w:spacing w:line="360" w:lineRule="auto"/>
        <w:ind w:firstLine="8820" w:firstLineChars="4200"/>
        <w:rPr>
          <w:rFonts w:hint="eastAsia" w:ascii="宋体" w:hAnsi="宋体"/>
          <w:color w:val="000000"/>
        </w:rPr>
      </w:pPr>
      <w:r>
        <w:rPr>
          <w:rFonts w:hint="eastAsia" w:ascii="宋体" w:hAnsi="宋体"/>
          <w:color w:val="000000"/>
        </w:rPr>
        <w:t>投标人（盖章）：</w:t>
      </w:r>
    </w:p>
    <w:p>
      <w:pPr>
        <w:adjustRightInd w:val="0"/>
        <w:snapToGrid w:val="0"/>
        <w:spacing w:line="360" w:lineRule="auto"/>
        <w:ind w:firstLine="8820" w:firstLineChars="4200"/>
        <w:rPr>
          <w:rFonts w:hint="eastAsia" w:ascii="宋体" w:hAnsi="宋体"/>
          <w:color w:val="000000"/>
        </w:rPr>
      </w:pPr>
      <w:r>
        <w:rPr>
          <w:rFonts w:hint="eastAsia" w:ascii="宋体" w:hAnsi="宋体"/>
          <w:color w:val="000000"/>
        </w:rPr>
        <w:t>授权代表（签字）：              日期：</w:t>
      </w:r>
    </w:p>
    <w:p>
      <w:pPr>
        <w:adjustRightInd w:val="0"/>
        <w:snapToGrid w:val="0"/>
        <w:spacing w:line="360" w:lineRule="auto"/>
        <w:ind w:firstLine="8820" w:firstLineChars="4200"/>
        <w:rPr>
          <w:rFonts w:hint="eastAsia" w:ascii="宋体" w:hAnsi="宋体"/>
          <w:color w:val="000000"/>
        </w:rPr>
        <w:sectPr>
          <w:pgSz w:w="16838" w:h="11906" w:orient="landscape"/>
          <w:pgMar w:top="1587" w:right="1417" w:bottom="1587" w:left="1417" w:header="851" w:footer="992" w:gutter="0"/>
          <w:cols w:space="720" w:num="1"/>
          <w:docGrid w:type="lines" w:linePitch="312" w:charSpace="0"/>
        </w:sectPr>
      </w:pPr>
    </w:p>
    <w:p>
      <w:pPr>
        <w:pStyle w:val="3"/>
        <w:spacing w:line="360" w:lineRule="auto"/>
        <w:jc w:val="center"/>
        <w:rPr>
          <w:rFonts w:hint="eastAsia"/>
        </w:rPr>
      </w:pPr>
      <w:bookmarkStart w:id="60" w:name="_Toc2852610"/>
      <w:bookmarkStart w:id="61" w:name="_Toc44749633"/>
      <w:r>
        <w:rPr>
          <w:rFonts w:hint="eastAsia"/>
        </w:rPr>
        <w:t>附件十</w:t>
      </w:r>
      <w:r>
        <w:rPr>
          <w:rFonts w:hint="eastAsia"/>
          <w:lang w:eastAsia="zh-CN"/>
        </w:rPr>
        <w:t>二</w:t>
      </w:r>
      <w:r>
        <w:rPr>
          <w:rFonts w:hint="eastAsia"/>
        </w:rPr>
        <w:t>、售后服务承诺书</w:t>
      </w:r>
      <w:bookmarkEnd w:id="60"/>
    </w:p>
    <w:p>
      <w:pPr>
        <w:pStyle w:val="27"/>
        <w:adjustRightInd w:val="0"/>
        <w:snapToGrid w:val="0"/>
        <w:spacing w:line="360" w:lineRule="auto"/>
        <w:rPr>
          <w:rFonts w:hint="eastAsia" w:hAnsi="宋体"/>
          <w:color w:val="000000"/>
          <w:sz w:val="24"/>
        </w:rPr>
      </w:pPr>
      <w:r>
        <w:rPr>
          <w:rFonts w:hint="eastAsia" w:hAnsi="宋体"/>
          <w:color w:val="000000"/>
          <w:sz w:val="24"/>
          <w:u w:val="single"/>
        </w:rPr>
        <w:t xml:space="preserve">                            </w:t>
      </w:r>
      <w:r>
        <w:rPr>
          <w:rFonts w:hint="eastAsia" w:hAnsi="宋体"/>
          <w:color w:val="000000"/>
          <w:sz w:val="24"/>
        </w:rPr>
        <w:t>：</w:t>
      </w:r>
    </w:p>
    <w:p>
      <w:pPr>
        <w:spacing w:line="360" w:lineRule="auto"/>
        <w:ind w:firstLine="480" w:firstLineChars="200"/>
        <w:rPr>
          <w:rFonts w:hint="eastAsia" w:ascii="宋体" w:hAnsi="宋体" w:cs="宋体"/>
          <w:b/>
          <w:bCs/>
          <w:color w:val="000000"/>
          <w:sz w:val="30"/>
          <w:szCs w:val="36"/>
        </w:rPr>
      </w:pPr>
      <w:r>
        <w:rPr>
          <w:rFonts w:hint="eastAsia" w:hAnsi="宋体"/>
          <w:color w:val="000000"/>
          <w:sz w:val="24"/>
        </w:rPr>
        <w:t>非常荣幸能参加贵处组织的</w:t>
      </w:r>
      <w:r>
        <w:rPr>
          <w:rFonts w:hAnsi="宋体"/>
          <w:color w:val="000000"/>
          <w:sz w:val="24"/>
        </w:rPr>
        <w:t xml:space="preserve"> </w:t>
      </w:r>
      <w:r>
        <w:rPr>
          <w:rFonts w:hint="eastAsia" w:hAnsi="宋体"/>
          <w:color w:val="000000"/>
          <w:sz w:val="24"/>
          <w:u w:val="single"/>
        </w:rPr>
        <w:t xml:space="preserve">                  </w:t>
      </w:r>
      <w:r>
        <w:rPr>
          <w:rFonts w:hint="eastAsia" w:hAnsi="宋体"/>
          <w:color w:val="000000"/>
          <w:sz w:val="24"/>
        </w:rPr>
        <w:t>项目（括号内填写招标编号）的投标，现我公司就售后服务作出如下承诺：</w:t>
      </w:r>
    </w:p>
    <w:p>
      <w:pPr>
        <w:spacing w:line="360" w:lineRule="auto"/>
        <w:ind w:firstLine="480" w:firstLineChars="200"/>
        <w:rPr>
          <w:rFonts w:hint="eastAsia" w:hAnsi="宋体"/>
          <w:color w:val="000000"/>
          <w:sz w:val="24"/>
        </w:rPr>
      </w:pPr>
      <w:r>
        <w:rPr>
          <w:rFonts w:hint="eastAsia" w:hAnsi="宋体"/>
          <w:color w:val="000000"/>
          <w:sz w:val="24"/>
        </w:rPr>
        <w:t>一、质量保证</w:t>
      </w:r>
      <w:r>
        <w:rPr>
          <w:rFonts w:hint="eastAsia" w:ascii="宋体"/>
          <w:color w:val="000000"/>
          <w:kern w:val="0"/>
          <w:sz w:val="24"/>
        </w:rPr>
        <w:t>：</w:t>
      </w:r>
      <w:r>
        <w:rPr>
          <w:rFonts w:hint="eastAsia" w:ascii="宋体"/>
          <w:color w:val="000000"/>
          <w:kern w:val="0"/>
          <w:sz w:val="24"/>
          <w:u w:val="single"/>
        </w:rPr>
        <w:t>　　　　　　　           　　　</w:t>
      </w:r>
    </w:p>
    <w:p>
      <w:pPr>
        <w:spacing w:line="360" w:lineRule="auto"/>
        <w:rPr>
          <w:rFonts w:hint="eastAsia" w:hAnsi="宋体"/>
          <w:color w:val="000000"/>
          <w:sz w:val="24"/>
        </w:rPr>
      </w:pPr>
      <w:r>
        <w:rPr>
          <w:rFonts w:hint="eastAsia" w:hAnsi="宋体"/>
          <w:color w:val="000000"/>
          <w:sz w:val="24"/>
        </w:rPr>
        <w:t>　　二、安装和调试服务</w:t>
      </w:r>
      <w:r>
        <w:rPr>
          <w:rFonts w:hint="eastAsia" w:ascii="宋体"/>
          <w:color w:val="000000"/>
          <w:kern w:val="0"/>
          <w:sz w:val="24"/>
        </w:rPr>
        <w:t>：</w:t>
      </w:r>
      <w:r>
        <w:rPr>
          <w:rFonts w:hint="eastAsia" w:ascii="宋体"/>
          <w:color w:val="000000"/>
          <w:kern w:val="0"/>
          <w:sz w:val="24"/>
          <w:u w:val="single"/>
        </w:rPr>
        <w:t>　　　　　　     　　　　</w:t>
      </w:r>
    </w:p>
    <w:p>
      <w:pPr>
        <w:spacing w:line="360" w:lineRule="auto"/>
        <w:rPr>
          <w:rFonts w:hint="eastAsia" w:hAnsi="宋体"/>
          <w:color w:val="000000"/>
          <w:sz w:val="24"/>
        </w:rPr>
      </w:pPr>
      <w:r>
        <w:rPr>
          <w:rFonts w:hint="eastAsia" w:hAnsi="宋体"/>
          <w:color w:val="000000"/>
          <w:sz w:val="24"/>
        </w:rPr>
        <w:t>　　三、维修服务</w:t>
      </w:r>
      <w:r>
        <w:rPr>
          <w:rFonts w:hint="eastAsia" w:ascii="宋体"/>
          <w:color w:val="000000"/>
          <w:kern w:val="0"/>
          <w:sz w:val="24"/>
        </w:rPr>
        <w:t>：</w:t>
      </w:r>
      <w:r>
        <w:rPr>
          <w:rFonts w:hint="eastAsia" w:ascii="宋体"/>
          <w:color w:val="000000"/>
          <w:kern w:val="0"/>
          <w:sz w:val="24"/>
          <w:u w:val="single"/>
        </w:rPr>
        <w:t>　　　　　           　　　　　</w:t>
      </w:r>
    </w:p>
    <w:p>
      <w:pPr>
        <w:spacing w:line="360" w:lineRule="auto"/>
        <w:rPr>
          <w:rFonts w:hint="eastAsia" w:hAnsi="宋体"/>
          <w:color w:val="000000"/>
          <w:sz w:val="24"/>
        </w:rPr>
      </w:pPr>
      <w:r>
        <w:rPr>
          <w:rFonts w:hint="eastAsia" w:hAnsi="宋体"/>
          <w:color w:val="000000"/>
          <w:sz w:val="24"/>
        </w:rPr>
        <w:t>　　四、技术服务</w:t>
      </w:r>
      <w:r>
        <w:rPr>
          <w:rFonts w:hint="eastAsia" w:ascii="宋体"/>
          <w:color w:val="000000"/>
          <w:kern w:val="0"/>
          <w:sz w:val="24"/>
        </w:rPr>
        <w:t>：</w:t>
      </w:r>
      <w:r>
        <w:rPr>
          <w:rFonts w:hint="eastAsia" w:ascii="宋体"/>
          <w:color w:val="000000"/>
          <w:kern w:val="0"/>
          <w:sz w:val="24"/>
          <w:u w:val="single"/>
        </w:rPr>
        <w:t>　　　           　　　　　　　</w:t>
      </w:r>
    </w:p>
    <w:p>
      <w:pPr>
        <w:spacing w:line="360" w:lineRule="auto"/>
        <w:ind w:firstLine="480"/>
        <w:rPr>
          <w:rFonts w:hint="eastAsia" w:hAnsi="宋体"/>
          <w:color w:val="000000"/>
          <w:sz w:val="24"/>
        </w:rPr>
      </w:pPr>
      <w:r>
        <w:rPr>
          <w:rFonts w:hint="eastAsia" w:hAnsi="宋体"/>
          <w:color w:val="000000"/>
          <w:sz w:val="24"/>
        </w:rPr>
        <w:t>五、培训服务</w:t>
      </w:r>
      <w:r>
        <w:rPr>
          <w:rFonts w:hint="eastAsia" w:ascii="宋体"/>
          <w:color w:val="000000"/>
          <w:kern w:val="0"/>
          <w:sz w:val="24"/>
        </w:rPr>
        <w:t>：</w:t>
      </w:r>
      <w:r>
        <w:rPr>
          <w:rFonts w:hint="eastAsia" w:ascii="宋体"/>
          <w:color w:val="000000"/>
          <w:kern w:val="0"/>
          <w:sz w:val="24"/>
          <w:u w:val="single"/>
        </w:rPr>
        <w:t>　　　　　　　           　　　</w:t>
      </w:r>
    </w:p>
    <w:p>
      <w:pPr>
        <w:spacing w:line="360" w:lineRule="auto"/>
        <w:ind w:firstLine="480"/>
        <w:rPr>
          <w:rFonts w:hint="eastAsia" w:hAnsi="宋体"/>
          <w:color w:val="000000"/>
          <w:sz w:val="24"/>
        </w:rPr>
      </w:pPr>
      <w:r>
        <w:rPr>
          <w:rFonts w:hint="eastAsia" w:hAnsi="宋体"/>
          <w:color w:val="000000"/>
          <w:sz w:val="24"/>
        </w:rPr>
        <w:t>六、其他服务</w:t>
      </w:r>
      <w:r>
        <w:rPr>
          <w:rFonts w:hint="eastAsia" w:ascii="宋体"/>
          <w:color w:val="000000"/>
          <w:kern w:val="0"/>
          <w:sz w:val="24"/>
        </w:rPr>
        <w:t>：</w:t>
      </w:r>
      <w:r>
        <w:rPr>
          <w:rFonts w:hint="eastAsia" w:ascii="宋体"/>
          <w:color w:val="000000"/>
          <w:kern w:val="0"/>
          <w:sz w:val="24"/>
          <w:u w:val="single"/>
        </w:rPr>
        <w:t>　　　　           　　　　　　</w:t>
      </w:r>
    </w:p>
    <w:p>
      <w:pPr>
        <w:pStyle w:val="27"/>
        <w:spacing w:line="360" w:lineRule="auto"/>
        <w:rPr>
          <w:rFonts w:hint="eastAsia" w:hAnsi="宋体"/>
          <w:color w:val="000000"/>
          <w:sz w:val="24"/>
        </w:rPr>
      </w:pPr>
      <w:r>
        <w:rPr>
          <w:rFonts w:hint="eastAsia" w:hAnsi="宋体"/>
          <w:color w:val="000000"/>
          <w:sz w:val="24"/>
        </w:rPr>
        <w:t xml:space="preserve">                                     投标人全称（盖章）：</w:t>
      </w:r>
    </w:p>
    <w:p>
      <w:pPr>
        <w:pStyle w:val="27"/>
        <w:spacing w:line="360" w:lineRule="auto"/>
        <w:rPr>
          <w:rFonts w:hint="eastAsia" w:hAnsi="宋体"/>
          <w:color w:val="000000"/>
          <w:sz w:val="24"/>
        </w:rPr>
      </w:pPr>
      <w:r>
        <w:rPr>
          <w:rFonts w:hint="eastAsia" w:hAnsi="宋体"/>
          <w:color w:val="000000"/>
          <w:sz w:val="24"/>
        </w:rPr>
        <w:t xml:space="preserve">                                     授 权 代 表（签字）：</w:t>
      </w:r>
    </w:p>
    <w:p>
      <w:pPr>
        <w:spacing w:line="360" w:lineRule="auto"/>
        <w:rPr>
          <w:rFonts w:hint="eastAsia"/>
          <w:sz w:val="36"/>
        </w:rPr>
      </w:pPr>
      <w:r>
        <w:rPr>
          <w:rFonts w:hint="eastAsia"/>
        </w:rPr>
        <w:t xml:space="preserve">                         </w:t>
      </w:r>
      <w:r>
        <w:rPr>
          <w:rFonts w:hint="eastAsia"/>
          <w:sz w:val="24"/>
        </w:rPr>
        <w:t xml:space="preserve">               日   期：</w:t>
      </w:r>
      <w:r>
        <w:rPr>
          <w:sz w:val="36"/>
        </w:rPr>
        <w:t xml:space="preserve"> </w:t>
      </w:r>
      <w:bookmarkEnd w:id="61"/>
    </w:p>
    <w:p>
      <w:pPr>
        <w:adjustRightInd w:val="0"/>
        <w:snapToGrid w:val="0"/>
        <w:spacing w:line="360" w:lineRule="auto"/>
        <w:ind w:firstLine="8820" w:firstLineChars="4200"/>
        <w:rPr>
          <w:rFonts w:hint="eastAsia" w:ascii="宋体" w:hAnsi="宋体"/>
          <w:color w:val="000000"/>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A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5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JP5Eg/OAQAAlgMAAA4AAABkcnMvZTJvRG9jLnhtbK1TS27bMBDdF+gd CO5r2m5cB4LlIIWRIEDRFkh7AJqiLAL8gUNb8gXaG3TVTfc9l8/RISU5TbLJIhtqODN6M+/NcHXV GU0OMoBytqSzyZQSaYWrlN2V9Pu3m3eXlEDktuLaWVnSowR6tX77ZtX6Qs5d43QlA0EQC0XrS9rE 6AvGQDTScJg4Ly0GaxcMj3gNO1YF3iK60Ww+nX5grQuVD05IAPRu+iAdEMNLAF1dKyE3TuyNtLFH DVLziJSgUR7oOndb11LEL3UNMhJdUmQa84lF0N6mk61XvNgF7hslhhb4S1p4wslwZbHoGWrDIyf7 oJ5BGSWCA1fHiXCG9USyIshiNn2izX3DvcxcUGrwZ9Hh9WDF58PXQFRV0jkllhsc+OnXz9Pvv6c/ P8gyydN6KDDr3mNe7D66Dpdm9AM6E+uuDiZ9kQ/BOIp7PIsru0gEOhfL5eWCEoGR2fvZxcUigbCH f32AeCudIckoacDRZUX54RPEPnVMSaWsu1Fa5/Fp+8iBmMnDUuN9g8mK3bYb2GxddUQyLU69pBaX nBJ9Z1HUtCCjEUZjOxp7H9SuyRuU6oG/3kdsIveWKvSwQ2EcV2Y3rFbah//vOevhOa3/AV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M+L3UTQAAAAAgEAAA8AAAAAAAAAAQAgAAAAIgAAAGRycy9kb3du cmV2LnhtbFBLAQIUABQAAAAIAIdO4kCT+RIPzgEAAJYDAAAOAAAAAAAAAAEAIAAAAB8BAABkcnMv ZTJvRG9jLnhtbFBLBQYAAAAABgAGAFkBAABfBQAAAAA= ">
              <v:fill on="f" focussize="0,0"/>
              <v:stroke on="f"/>
              <v:imagedata o:title=""/>
              <o:lock v:ext="edit" aspectratio="f"/>
              <v:textbox inset="0mm,0mm,0mm,0mm" style="mso-fit-shape-to-text:t;">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v:textbox>
            </v:shape>
          </w:pict>
        </mc:Fallback>
      </mc:AlternateContent>
    </w:r>
  </w:p>
  <w:p>
    <w:pPr>
      <w:pStyle w:val="32"/>
      <w:framePr w:wrap="around" w:vAnchor="text" w:hAnchor="margin" w:xAlign="right" w:y="1"/>
      <w:rPr>
        <w:rStyle w:val="59"/>
      </w:rPr>
    </w:pPr>
  </w:p>
  <w:p>
    <w:pPr>
      <w:pStyle w:val="3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9"/>
      </w:rPr>
    </w:pPr>
    <w:r>
      <w:fldChar w:fldCharType="begin"/>
    </w:r>
    <w:r>
      <w:rPr>
        <w:rStyle w:val="59"/>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9"/>
      </w:rPr>
    </w:pPr>
    <w:r>
      <w:fldChar w:fldCharType="begin"/>
    </w:r>
    <w:r>
      <w:rPr>
        <w:rStyle w:val="59"/>
      </w:rPr>
      <w:instrText xml:space="preserve">PAGE  </w:instrTex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5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70</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POjdrvOAQAAlwMAAA4AAABkcnMvZTJvRG9jLnhtbK1TS27bMBDdF8gd CO5jWrFTpILloIWRIEDRFkh7AJqiLAL8gUNb8gXaG3TVTfc9l8/RISU5bbrJohtqODN8M+/NaHXb G00OMoBytqLFbE6JtMLVyu4q+uXz3eUNJRC5rbl2Vlb0KIHeri9erTpfyivXOl3LQBDEQtn5irYx +pIxEK00HGbOS4vBxgXDI17DjtWBd4huNLuaz1+zzoXaByckAHo3Q5COiOElgK5plJAbJ/ZG2jig Bql5RErQKg90nbttGinix6YBGYmuKDKN+cQiaG/TydYrXu4C960SYwv8JS0842S4slj0DLXhkZN9 UP9AGSWCA9fEmXCGDUSyIsiimD/T5rHlXmYuKDX4s+jw/2DFh8OnQFRd0QUllhsc+On7t9OPX6ef X8lNkqfzUGLWo8e82L9zPS7N5Ad0JtZ9E0z6Ih+CcRT3eBZX9pGI9KhYvllcUyIwVCyK5fI6obCn xz5AvJfOkGRUNODssqT88B7ikDqlpFrW3Smt8/y0/cuBmMnDUudDh8mK/bYf6WxdfUQ2HY69oha3 nBL9YFHVtCGTESZjOxl7H9SuzSuU6oF/u4/YRO4tVRhgx8I4r8xu3K20EH/ec9bT/7T+DV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EPlfknQAAAAAwEAAA8AAAAAAAAAAQAgAAAAIgAAAGRycy9kb3du cmV2LnhtbFBLAQIUABQAAAAIAIdO4kDzo3a7zgEAAJcDAAAOAAAAAAAAAAEAIAAAAB8BAABkcnMv ZTJvRG9jLnhtbFBLBQYAAAAABgAGAFkBAABfBQAAAAA= ">
              <v:fill on="f" focussize="0,0"/>
              <v:stroke on="f"/>
              <v:imagedata o:title=""/>
              <o:lock v:ext="edit" aspectratio="f"/>
              <v:textbox inset="0mm,0mm,0mm,0mm" style="mso-fit-shape-to-text:t;">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70</w:t>
                    </w:r>
                    <w:r>
                      <w:rPr>
                        <w:rFonts w:hint="eastAsia"/>
                      </w:rPr>
                      <w:fldChar w:fldCharType="end"/>
                    </w:r>
                  </w:p>
                </w:txbxContent>
              </v:textbox>
            </v:shape>
          </w:pict>
        </mc:Fallback>
      </mc:AlternateContent>
    </w:r>
  </w:p>
  <w:p>
    <w:pPr>
      <w:pStyle w:val="32"/>
      <w:ind w:right="360"/>
      <w:rPr>
        <w:rFonts w:hint="eastAsia"/>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color w:val="FF0000"/>
        <w:sz w:val="16"/>
        <w:szCs w:val="16"/>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248"/>
      <w:lvlText w:val="%1."/>
      <w:lvlJc w:val="left"/>
      <w:pPr>
        <w:tabs>
          <w:tab w:val="left" w:pos="360"/>
        </w:tabs>
        <w:ind w:left="360" w:hanging="360"/>
      </w:pPr>
    </w:lvl>
  </w:abstractNum>
  <w:abstractNum w:abstractNumId="1">
    <w:nsid w:val="00000003"/>
    <w:multiLevelType w:val="singleLevel"/>
    <w:tmpl w:val="00000003"/>
    <w:lvl w:ilvl="0" w:tentative="0">
      <w:start w:val="1"/>
      <w:numFmt w:val="decimal"/>
      <w:pStyle w:val="129"/>
      <w:lvlText w:val="%1."/>
      <w:lvlJc w:val="left"/>
      <w:pPr>
        <w:tabs>
          <w:tab w:val="left" w:pos="1200"/>
        </w:tabs>
        <w:ind w:left="1200" w:hanging="360"/>
      </w:pPr>
    </w:lvl>
  </w:abstractNum>
  <w:abstractNum w:abstractNumId="2">
    <w:nsid w:val="00000012"/>
    <w:multiLevelType w:val="multilevel"/>
    <w:tmpl w:val="00000012"/>
    <w:lvl w:ilvl="0" w:tentative="0">
      <w:start w:val="1"/>
      <w:numFmt w:val="decimal"/>
      <w:pStyle w:val="222"/>
      <w:lvlText w:val="%1"/>
      <w:lvlJc w:val="left"/>
      <w:pPr>
        <w:ind w:left="1412" w:hanging="420"/>
      </w:pPr>
      <w:rPr>
        <w:rFonts w:hint="eastAsia"/>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3">
    <w:nsid w:val="00000036"/>
    <w:multiLevelType w:val="multilevel"/>
    <w:tmpl w:val="00000036"/>
    <w:lvl w:ilvl="0" w:tentative="0">
      <w:start w:val="1"/>
      <w:numFmt w:val="bullet"/>
      <w:pStyle w:val="243"/>
      <w:lvlText w:val=""/>
      <w:lvlJc w:val="left"/>
      <w:pPr>
        <w:tabs>
          <w:tab w:val="left" w:pos="420"/>
        </w:tabs>
        <w:ind w:left="420" w:firstLine="0"/>
      </w:pPr>
      <w:rPr>
        <w:rFonts w:hint="default" w:ascii="Wingdings" w:hAnsi="Wingdings"/>
      </w:rPr>
    </w:lvl>
    <w:lvl w:ilvl="1" w:tentative="0">
      <w:start w:val="1"/>
      <w:numFmt w:val="ideographDigital"/>
      <w:pStyle w:val="372"/>
      <w:lvlText w:val="%2、"/>
      <w:lvlJc w:val="left"/>
      <w:pPr>
        <w:tabs>
          <w:tab w:val="left" w:pos="0"/>
        </w:tabs>
        <w:ind w:left="420" w:firstLine="0"/>
      </w:pPr>
      <w:rPr>
        <w:rFonts w:hint="eastAsia"/>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pStyle w:val="267"/>
      <w:lvlText w:val=""/>
      <w:lvlJc w:val="left"/>
      <w:pPr>
        <w:tabs>
          <w:tab w:val="left" w:pos="1890"/>
        </w:tabs>
        <w:ind w:left="1890" w:hanging="420"/>
      </w:pPr>
      <w:rPr>
        <w:rFonts w:hint="default" w:ascii="Wingdings" w:hAnsi="Wingdings"/>
      </w:rPr>
    </w:lvl>
    <w:lvl w:ilvl="4" w:tentative="0">
      <w:start w:val="1"/>
      <w:numFmt w:val="bullet"/>
      <w:pStyle w:val="266"/>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4">
    <w:nsid w:val="00000045"/>
    <w:multiLevelType w:val="multilevel"/>
    <w:tmpl w:val="00000045"/>
    <w:lvl w:ilvl="0" w:tentative="0">
      <w:start w:val="1"/>
      <w:numFmt w:val="decimal"/>
      <w:pStyle w:val="148"/>
      <w:lvlText w:val="（%1）"/>
      <w:lvlJc w:val="left"/>
      <w:pPr>
        <w:tabs>
          <w:tab w:val="left" w:pos="2723"/>
        </w:tabs>
        <w:ind w:left="2723" w:hanging="600"/>
      </w:pPr>
      <w:rPr>
        <w:rFonts w:hint="eastAsia"/>
      </w:rPr>
    </w:lvl>
    <w:lvl w:ilvl="1" w:tentative="0">
      <w:start w:val="1"/>
      <w:numFmt w:val="bullet"/>
      <w:lvlText w:val=""/>
      <w:lvlJc w:val="left"/>
      <w:pPr>
        <w:tabs>
          <w:tab w:val="left" w:pos="2963"/>
        </w:tabs>
        <w:ind w:left="2963" w:hanging="420"/>
      </w:pPr>
      <w:rPr>
        <w:rFonts w:hint="default" w:ascii="Wingdings" w:hAnsi="Wingdings"/>
      </w:rPr>
    </w:lvl>
    <w:lvl w:ilvl="2" w:tentative="0">
      <w:start w:val="1"/>
      <w:numFmt w:val="decimal"/>
      <w:pStyle w:val="39"/>
      <w:lvlText w:val="%3）"/>
      <w:lvlJc w:val="left"/>
      <w:pPr>
        <w:tabs>
          <w:tab w:val="left" w:pos="3323"/>
        </w:tabs>
        <w:ind w:left="3323" w:hanging="360"/>
      </w:pPr>
      <w:rPr>
        <w:rFonts w:hint="default"/>
      </w:rPr>
    </w:lvl>
    <w:lvl w:ilvl="3" w:tentative="0">
      <w:start w:val="1"/>
      <w:numFmt w:val="decimal"/>
      <w:lvlText w:val="（%4）"/>
      <w:lvlJc w:val="left"/>
      <w:pPr>
        <w:tabs>
          <w:tab w:val="left" w:pos="3743"/>
        </w:tabs>
        <w:ind w:left="3743" w:hanging="360"/>
      </w:pPr>
      <w:rPr>
        <w:rFonts w:hint="eastAsia"/>
      </w:rPr>
    </w:lvl>
    <w:lvl w:ilvl="4" w:tentative="0">
      <w:start w:val="1"/>
      <w:numFmt w:val="bullet"/>
      <w:lvlText w:val=""/>
      <w:lvlJc w:val="left"/>
      <w:pPr>
        <w:tabs>
          <w:tab w:val="left" w:pos="4223"/>
        </w:tabs>
        <w:ind w:left="4223" w:hanging="420"/>
      </w:pPr>
      <w:rPr>
        <w:rFonts w:hint="default" w:ascii="Wingdings" w:hAnsi="Wingdings"/>
      </w:rPr>
    </w:lvl>
    <w:lvl w:ilvl="5" w:tentative="0">
      <w:start w:val="1"/>
      <w:numFmt w:val="bullet"/>
      <w:lvlText w:val=""/>
      <w:lvlJc w:val="left"/>
      <w:pPr>
        <w:tabs>
          <w:tab w:val="left" w:pos="4643"/>
        </w:tabs>
        <w:ind w:left="4643" w:hanging="420"/>
      </w:pPr>
      <w:rPr>
        <w:rFonts w:hint="default" w:ascii="Wingdings" w:hAnsi="Wingdings"/>
      </w:rPr>
    </w:lvl>
    <w:lvl w:ilvl="6" w:tentative="0">
      <w:start w:val="1"/>
      <w:numFmt w:val="bullet"/>
      <w:lvlText w:val=""/>
      <w:lvlJc w:val="left"/>
      <w:pPr>
        <w:tabs>
          <w:tab w:val="left" w:pos="5063"/>
        </w:tabs>
        <w:ind w:left="5063" w:hanging="420"/>
      </w:pPr>
      <w:rPr>
        <w:rFonts w:hint="default" w:ascii="Wingdings" w:hAnsi="Wingdings"/>
      </w:rPr>
    </w:lvl>
    <w:lvl w:ilvl="7" w:tentative="0">
      <w:start w:val="1"/>
      <w:numFmt w:val="bullet"/>
      <w:lvlText w:val=""/>
      <w:lvlJc w:val="left"/>
      <w:pPr>
        <w:tabs>
          <w:tab w:val="left" w:pos="5483"/>
        </w:tabs>
        <w:ind w:left="5483" w:hanging="420"/>
      </w:pPr>
      <w:rPr>
        <w:rFonts w:hint="default" w:ascii="Wingdings" w:hAnsi="Wingdings"/>
      </w:rPr>
    </w:lvl>
    <w:lvl w:ilvl="8" w:tentative="0">
      <w:start w:val="1"/>
      <w:numFmt w:val="bullet"/>
      <w:lvlText w:val=""/>
      <w:lvlJc w:val="left"/>
      <w:pPr>
        <w:tabs>
          <w:tab w:val="left" w:pos="5903"/>
        </w:tabs>
        <w:ind w:left="5903" w:hanging="420"/>
      </w:pPr>
      <w:rPr>
        <w:rFonts w:hint="default" w:ascii="Wingdings" w:hAnsi="Wingdings"/>
      </w:rPr>
    </w:lvl>
  </w:abstractNum>
  <w:abstractNum w:abstractNumId="5">
    <w:nsid w:val="0000004F"/>
    <w:multiLevelType w:val="multilevel"/>
    <w:tmpl w:val="0000004F"/>
    <w:lvl w:ilvl="0" w:tentative="0">
      <w:start w:val="1"/>
      <w:numFmt w:val="bullet"/>
      <w:pStyle w:val="14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54"/>
    <w:multiLevelType w:val="multilevel"/>
    <w:tmpl w:val="00000054"/>
    <w:lvl w:ilvl="0" w:tentative="0">
      <w:start w:val="1"/>
      <w:numFmt w:val="decimal"/>
      <w:pStyle w:val="35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1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62"/>
    <w:multiLevelType w:val="multilevel"/>
    <w:tmpl w:val="00000062"/>
    <w:lvl w:ilvl="0" w:tentative="0">
      <w:start w:val="3"/>
      <w:numFmt w:val="decimal"/>
      <w:pStyle w:val="249"/>
      <w:lvlText w:val="%1、"/>
      <w:lvlJc w:val="left"/>
      <w:pPr>
        <w:tabs>
          <w:tab w:val="left" w:pos="360"/>
        </w:tabs>
        <w:ind w:left="36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E5589"/>
    <w:multiLevelType w:val="multilevel"/>
    <w:tmpl w:val="125E558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E234994"/>
    <w:multiLevelType w:val="multilevel"/>
    <w:tmpl w:val="1E234994"/>
    <w:lvl w:ilvl="0" w:tentative="0">
      <w:start w:val="1"/>
      <w:numFmt w:val="decimal"/>
      <w:pStyle w:val="118"/>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0">
    <w:nsid w:val="2CF90A08"/>
    <w:multiLevelType w:val="multilevel"/>
    <w:tmpl w:val="2CF90A08"/>
    <w:lvl w:ilvl="0" w:tentative="0">
      <w:start w:val="1"/>
      <w:numFmt w:val="decimal"/>
      <w:lvlText w:val="%1"/>
      <w:lvlJc w:val="left"/>
      <w:pPr>
        <w:tabs>
          <w:tab w:val="left" w:pos="425"/>
        </w:tabs>
        <w:ind w:left="425" w:hanging="425"/>
      </w:pPr>
      <w:rPr>
        <w:rFonts w:hint="eastAsia"/>
      </w:rPr>
    </w:lvl>
    <w:lvl w:ilvl="1" w:tentative="0">
      <w:start w:val="5"/>
      <w:numFmt w:val="decimal"/>
      <w:pStyle w:val="400"/>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none"/>
      <w:lvlText w:val=""/>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3FE5674C"/>
    <w:multiLevelType w:val="multilevel"/>
    <w:tmpl w:val="3FE5674C"/>
    <w:lvl w:ilvl="0" w:tentative="0">
      <w:start w:val="4"/>
      <w:numFmt w:val="decimal"/>
      <w:lvlText w:val="%1"/>
      <w:lvlJc w:val="left"/>
      <w:pPr>
        <w:tabs>
          <w:tab w:val="left" w:pos="540"/>
        </w:tabs>
        <w:ind w:left="540" w:hanging="540"/>
      </w:pPr>
      <w:rPr>
        <w:rFonts w:hint="default"/>
      </w:rPr>
    </w:lvl>
    <w:lvl w:ilvl="1" w:tentative="0">
      <w:start w:val="1"/>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66C6E1F"/>
    <w:multiLevelType w:val="multilevel"/>
    <w:tmpl w:val="466C6E1F"/>
    <w:lvl w:ilvl="0" w:tentative="0">
      <w:start w:val="1"/>
      <w:numFmt w:val="upperLetter"/>
      <w:pStyle w:val="19"/>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3">
    <w:nsid w:val="510622C9"/>
    <w:multiLevelType w:val="multilevel"/>
    <w:tmpl w:val="510622C9"/>
    <w:lvl w:ilvl="0" w:tentative="0">
      <w:start w:val="1"/>
      <w:numFmt w:val="decimal"/>
      <w:pStyle w:val="49"/>
      <w:lvlText w:val="（%1）"/>
      <w:lvlJc w:val="left"/>
      <w:pPr>
        <w:tabs>
          <w:tab w:val="left" w:pos="1529"/>
        </w:tabs>
        <w:ind w:left="243" w:firstLine="566"/>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abstractNum w:abstractNumId="15">
    <w:nsid w:val="6BC813C3"/>
    <w:multiLevelType w:val="multilevel"/>
    <w:tmpl w:val="6BC813C3"/>
    <w:lvl w:ilvl="0" w:tentative="0">
      <w:start w:val="2"/>
      <w:numFmt w:val="japaneseCounting"/>
      <w:pStyle w:val="14"/>
      <w:lvlText w:val="第%1章"/>
      <w:lvlJc w:val="left"/>
      <w:pPr>
        <w:tabs>
          <w:tab w:val="left" w:pos="1140"/>
        </w:tabs>
        <w:ind w:left="1140" w:hanging="11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EAB6ACC"/>
    <w:multiLevelType w:val="multilevel"/>
    <w:tmpl w:val="6EAB6AC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15"/>
  </w:num>
  <w:num w:numId="4">
    <w:abstractNumId w:val="4"/>
  </w:num>
  <w:num w:numId="5">
    <w:abstractNumId w:val="13"/>
  </w:num>
  <w:num w:numId="6">
    <w:abstractNumId w:val="9"/>
  </w:num>
  <w:num w:numId="7">
    <w:abstractNumId w:val="1"/>
  </w:num>
  <w:num w:numId="8">
    <w:abstractNumId w:val="5"/>
  </w:num>
  <w:num w:numId="9">
    <w:abstractNumId w:val="0"/>
  </w:num>
  <w:num w:numId="10">
    <w:abstractNumId w:val="6"/>
  </w:num>
  <w:num w:numId="11">
    <w:abstractNumId w:val="2"/>
  </w:num>
  <w:num w:numId="12">
    <w:abstractNumId w:val="3"/>
  </w:num>
  <w:num w:numId="13">
    <w:abstractNumId w:val="7"/>
  </w:num>
  <w:num w:numId="14">
    <w:abstractNumId w:val="10"/>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11"/>
    <w:rsid w:val="00001DA3"/>
    <w:rsid w:val="00003977"/>
    <w:rsid w:val="00004F5A"/>
    <w:rsid w:val="00006818"/>
    <w:rsid w:val="000075DA"/>
    <w:rsid w:val="000077A2"/>
    <w:rsid w:val="000077D0"/>
    <w:rsid w:val="00011905"/>
    <w:rsid w:val="000148D6"/>
    <w:rsid w:val="00014A06"/>
    <w:rsid w:val="00015A68"/>
    <w:rsid w:val="00015CBC"/>
    <w:rsid w:val="00015D59"/>
    <w:rsid w:val="00015F2F"/>
    <w:rsid w:val="00016692"/>
    <w:rsid w:val="00017390"/>
    <w:rsid w:val="00017802"/>
    <w:rsid w:val="00020033"/>
    <w:rsid w:val="000213B6"/>
    <w:rsid w:val="00021AE0"/>
    <w:rsid w:val="00024B66"/>
    <w:rsid w:val="00024E98"/>
    <w:rsid w:val="00025595"/>
    <w:rsid w:val="00026E10"/>
    <w:rsid w:val="00027239"/>
    <w:rsid w:val="000328AC"/>
    <w:rsid w:val="00036B18"/>
    <w:rsid w:val="00041B36"/>
    <w:rsid w:val="0004232A"/>
    <w:rsid w:val="00042C33"/>
    <w:rsid w:val="000437D4"/>
    <w:rsid w:val="00045CF2"/>
    <w:rsid w:val="000464E5"/>
    <w:rsid w:val="0004792A"/>
    <w:rsid w:val="0004794A"/>
    <w:rsid w:val="00050411"/>
    <w:rsid w:val="00050858"/>
    <w:rsid w:val="000510A3"/>
    <w:rsid w:val="00052D30"/>
    <w:rsid w:val="0005317C"/>
    <w:rsid w:val="00053264"/>
    <w:rsid w:val="000536AD"/>
    <w:rsid w:val="00055B45"/>
    <w:rsid w:val="00055F1C"/>
    <w:rsid w:val="00056840"/>
    <w:rsid w:val="000611ED"/>
    <w:rsid w:val="00063E3A"/>
    <w:rsid w:val="00063E4F"/>
    <w:rsid w:val="00067276"/>
    <w:rsid w:val="00070161"/>
    <w:rsid w:val="000708A0"/>
    <w:rsid w:val="00070FE2"/>
    <w:rsid w:val="00071029"/>
    <w:rsid w:val="00071C5B"/>
    <w:rsid w:val="00072EA7"/>
    <w:rsid w:val="00074863"/>
    <w:rsid w:val="00076F53"/>
    <w:rsid w:val="00081220"/>
    <w:rsid w:val="0008187B"/>
    <w:rsid w:val="00085076"/>
    <w:rsid w:val="00085F78"/>
    <w:rsid w:val="00086EC9"/>
    <w:rsid w:val="000912C7"/>
    <w:rsid w:val="00091891"/>
    <w:rsid w:val="0009279F"/>
    <w:rsid w:val="000954AA"/>
    <w:rsid w:val="0009767A"/>
    <w:rsid w:val="00097953"/>
    <w:rsid w:val="000A241D"/>
    <w:rsid w:val="000A2B17"/>
    <w:rsid w:val="000A3945"/>
    <w:rsid w:val="000A5490"/>
    <w:rsid w:val="000B0251"/>
    <w:rsid w:val="000B0DE4"/>
    <w:rsid w:val="000B155E"/>
    <w:rsid w:val="000B1CDD"/>
    <w:rsid w:val="000B3611"/>
    <w:rsid w:val="000B4603"/>
    <w:rsid w:val="000B4627"/>
    <w:rsid w:val="000B5F6E"/>
    <w:rsid w:val="000C2631"/>
    <w:rsid w:val="000C2AC6"/>
    <w:rsid w:val="000C3E2C"/>
    <w:rsid w:val="000C663A"/>
    <w:rsid w:val="000C6C00"/>
    <w:rsid w:val="000C6E71"/>
    <w:rsid w:val="000D05CC"/>
    <w:rsid w:val="000D064C"/>
    <w:rsid w:val="000D08C9"/>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730F"/>
    <w:rsid w:val="000F02FC"/>
    <w:rsid w:val="000F04B5"/>
    <w:rsid w:val="000F1FF4"/>
    <w:rsid w:val="000F45D5"/>
    <w:rsid w:val="000F50EA"/>
    <w:rsid w:val="000F5F2A"/>
    <w:rsid w:val="000F6BCC"/>
    <w:rsid w:val="000F7138"/>
    <w:rsid w:val="000F7272"/>
    <w:rsid w:val="000F7D1F"/>
    <w:rsid w:val="001014B2"/>
    <w:rsid w:val="00102B8C"/>
    <w:rsid w:val="001049C2"/>
    <w:rsid w:val="00104ADF"/>
    <w:rsid w:val="0010598A"/>
    <w:rsid w:val="00106DAD"/>
    <w:rsid w:val="00107709"/>
    <w:rsid w:val="00111A88"/>
    <w:rsid w:val="00112C27"/>
    <w:rsid w:val="00116D7C"/>
    <w:rsid w:val="00116DAA"/>
    <w:rsid w:val="001207CD"/>
    <w:rsid w:val="00120FD6"/>
    <w:rsid w:val="0012256C"/>
    <w:rsid w:val="001239D4"/>
    <w:rsid w:val="00123B36"/>
    <w:rsid w:val="00123F9D"/>
    <w:rsid w:val="001301E5"/>
    <w:rsid w:val="001306A4"/>
    <w:rsid w:val="00130B31"/>
    <w:rsid w:val="00131727"/>
    <w:rsid w:val="00131F44"/>
    <w:rsid w:val="00132490"/>
    <w:rsid w:val="001330B0"/>
    <w:rsid w:val="001346A9"/>
    <w:rsid w:val="00136306"/>
    <w:rsid w:val="001379B7"/>
    <w:rsid w:val="00145CEB"/>
    <w:rsid w:val="00145D2A"/>
    <w:rsid w:val="00145DEA"/>
    <w:rsid w:val="001468A0"/>
    <w:rsid w:val="00147134"/>
    <w:rsid w:val="00150A36"/>
    <w:rsid w:val="00151BC0"/>
    <w:rsid w:val="00153AB9"/>
    <w:rsid w:val="00154F16"/>
    <w:rsid w:val="00155446"/>
    <w:rsid w:val="00157B09"/>
    <w:rsid w:val="00164064"/>
    <w:rsid w:val="00165CB0"/>
    <w:rsid w:val="00166A5E"/>
    <w:rsid w:val="00167BCB"/>
    <w:rsid w:val="0017220F"/>
    <w:rsid w:val="0017302D"/>
    <w:rsid w:val="00173CE3"/>
    <w:rsid w:val="0017515C"/>
    <w:rsid w:val="00175947"/>
    <w:rsid w:val="00175A80"/>
    <w:rsid w:val="00181AB5"/>
    <w:rsid w:val="00182E26"/>
    <w:rsid w:val="00183279"/>
    <w:rsid w:val="001840F0"/>
    <w:rsid w:val="00184BF1"/>
    <w:rsid w:val="0018546D"/>
    <w:rsid w:val="00185753"/>
    <w:rsid w:val="00186A09"/>
    <w:rsid w:val="00187DD3"/>
    <w:rsid w:val="001906F7"/>
    <w:rsid w:val="00191FD8"/>
    <w:rsid w:val="001940F2"/>
    <w:rsid w:val="00194D4C"/>
    <w:rsid w:val="0019559D"/>
    <w:rsid w:val="00196875"/>
    <w:rsid w:val="001A022E"/>
    <w:rsid w:val="001A09BA"/>
    <w:rsid w:val="001A0AE6"/>
    <w:rsid w:val="001A1935"/>
    <w:rsid w:val="001A2046"/>
    <w:rsid w:val="001A2A5F"/>
    <w:rsid w:val="001A470F"/>
    <w:rsid w:val="001A493D"/>
    <w:rsid w:val="001A5F98"/>
    <w:rsid w:val="001B260D"/>
    <w:rsid w:val="001B2703"/>
    <w:rsid w:val="001B2755"/>
    <w:rsid w:val="001B2941"/>
    <w:rsid w:val="001B4867"/>
    <w:rsid w:val="001B49BA"/>
    <w:rsid w:val="001B6049"/>
    <w:rsid w:val="001B71A5"/>
    <w:rsid w:val="001B7285"/>
    <w:rsid w:val="001B78D1"/>
    <w:rsid w:val="001C0968"/>
    <w:rsid w:val="001C22F6"/>
    <w:rsid w:val="001C26B1"/>
    <w:rsid w:val="001C3259"/>
    <w:rsid w:val="001C462F"/>
    <w:rsid w:val="001C48E8"/>
    <w:rsid w:val="001C53F8"/>
    <w:rsid w:val="001C6443"/>
    <w:rsid w:val="001C770C"/>
    <w:rsid w:val="001D0151"/>
    <w:rsid w:val="001D08D3"/>
    <w:rsid w:val="001D3140"/>
    <w:rsid w:val="001D4075"/>
    <w:rsid w:val="001D4099"/>
    <w:rsid w:val="001D7F3B"/>
    <w:rsid w:val="001E32A6"/>
    <w:rsid w:val="001E48F2"/>
    <w:rsid w:val="001E5CB4"/>
    <w:rsid w:val="001E6549"/>
    <w:rsid w:val="001E65BA"/>
    <w:rsid w:val="001E7840"/>
    <w:rsid w:val="001F0C21"/>
    <w:rsid w:val="001F201E"/>
    <w:rsid w:val="001F23C6"/>
    <w:rsid w:val="001F4C6E"/>
    <w:rsid w:val="001F5140"/>
    <w:rsid w:val="001F596D"/>
    <w:rsid w:val="001F5B73"/>
    <w:rsid w:val="001F5E72"/>
    <w:rsid w:val="001F620B"/>
    <w:rsid w:val="001F63FD"/>
    <w:rsid w:val="001F68B1"/>
    <w:rsid w:val="00201ADE"/>
    <w:rsid w:val="002033A4"/>
    <w:rsid w:val="00203E40"/>
    <w:rsid w:val="00204834"/>
    <w:rsid w:val="002054EF"/>
    <w:rsid w:val="00207B4A"/>
    <w:rsid w:val="00212078"/>
    <w:rsid w:val="00214BA3"/>
    <w:rsid w:val="00215421"/>
    <w:rsid w:val="00217358"/>
    <w:rsid w:val="0022084E"/>
    <w:rsid w:val="0022104A"/>
    <w:rsid w:val="00221186"/>
    <w:rsid w:val="00221F74"/>
    <w:rsid w:val="00226C15"/>
    <w:rsid w:val="00233994"/>
    <w:rsid w:val="002364CF"/>
    <w:rsid w:val="002368CF"/>
    <w:rsid w:val="00236ADE"/>
    <w:rsid w:val="002375BB"/>
    <w:rsid w:val="00242961"/>
    <w:rsid w:val="0024409C"/>
    <w:rsid w:val="00244106"/>
    <w:rsid w:val="00245C61"/>
    <w:rsid w:val="00246E09"/>
    <w:rsid w:val="00247E15"/>
    <w:rsid w:val="00251ADB"/>
    <w:rsid w:val="00252A03"/>
    <w:rsid w:val="00254070"/>
    <w:rsid w:val="0025652F"/>
    <w:rsid w:val="0025765A"/>
    <w:rsid w:val="002606EC"/>
    <w:rsid w:val="00261A65"/>
    <w:rsid w:val="002663F9"/>
    <w:rsid w:val="002679D7"/>
    <w:rsid w:val="002702EE"/>
    <w:rsid w:val="00270E2D"/>
    <w:rsid w:val="002717B7"/>
    <w:rsid w:val="002737DE"/>
    <w:rsid w:val="00274F9A"/>
    <w:rsid w:val="00275072"/>
    <w:rsid w:val="00275157"/>
    <w:rsid w:val="002751D8"/>
    <w:rsid w:val="002778AE"/>
    <w:rsid w:val="00280D86"/>
    <w:rsid w:val="00283CFD"/>
    <w:rsid w:val="00284635"/>
    <w:rsid w:val="00285F7E"/>
    <w:rsid w:val="0029041C"/>
    <w:rsid w:val="0029087D"/>
    <w:rsid w:val="002916B1"/>
    <w:rsid w:val="00292ECF"/>
    <w:rsid w:val="00294308"/>
    <w:rsid w:val="00295155"/>
    <w:rsid w:val="00296D5E"/>
    <w:rsid w:val="002972FE"/>
    <w:rsid w:val="002A0C71"/>
    <w:rsid w:val="002A2ACF"/>
    <w:rsid w:val="002A509A"/>
    <w:rsid w:val="002A50C8"/>
    <w:rsid w:val="002A64CA"/>
    <w:rsid w:val="002B17BF"/>
    <w:rsid w:val="002B671A"/>
    <w:rsid w:val="002B7653"/>
    <w:rsid w:val="002C26D4"/>
    <w:rsid w:val="002C4EEA"/>
    <w:rsid w:val="002C5223"/>
    <w:rsid w:val="002C55A5"/>
    <w:rsid w:val="002C609E"/>
    <w:rsid w:val="002C7A2D"/>
    <w:rsid w:val="002D11D9"/>
    <w:rsid w:val="002D3A4D"/>
    <w:rsid w:val="002D5582"/>
    <w:rsid w:val="002D5AD2"/>
    <w:rsid w:val="002D6B41"/>
    <w:rsid w:val="002D76BC"/>
    <w:rsid w:val="002E1560"/>
    <w:rsid w:val="002E2739"/>
    <w:rsid w:val="002E35E9"/>
    <w:rsid w:val="002E5B14"/>
    <w:rsid w:val="002E7E37"/>
    <w:rsid w:val="002F08B1"/>
    <w:rsid w:val="002F097F"/>
    <w:rsid w:val="002F114C"/>
    <w:rsid w:val="002F274F"/>
    <w:rsid w:val="002F2E8D"/>
    <w:rsid w:val="002F378A"/>
    <w:rsid w:val="002F3A59"/>
    <w:rsid w:val="002F4F6B"/>
    <w:rsid w:val="002F4F8D"/>
    <w:rsid w:val="002F7609"/>
    <w:rsid w:val="003000A9"/>
    <w:rsid w:val="003028FF"/>
    <w:rsid w:val="00303FD2"/>
    <w:rsid w:val="003072EC"/>
    <w:rsid w:val="00310B12"/>
    <w:rsid w:val="00310DF2"/>
    <w:rsid w:val="00311095"/>
    <w:rsid w:val="0031129B"/>
    <w:rsid w:val="00311554"/>
    <w:rsid w:val="00312328"/>
    <w:rsid w:val="003147CE"/>
    <w:rsid w:val="0031485D"/>
    <w:rsid w:val="00317185"/>
    <w:rsid w:val="00317D9A"/>
    <w:rsid w:val="0032106B"/>
    <w:rsid w:val="00321AC0"/>
    <w:rsid w:val="00323E43"/>
    <w:rsid w:val="00323E85"/>
    <w:rsid w:val="0032607A"/>
    <w:rsid w:val="00327130"/>
    <w:rsid w:val="00327CAC"/>
    <w:rsid w:val="00327FAC"/>
    <w:rsid w:val="00330025"/>
    <w:rsid w:val="00332575"/>
    <w:rsid w:val="0033593F"/>
    <w:rsid w:val="00335F6A"/>
    <w:rsid w:val="00336801"/>
    <w:rsid w:val="00341C96"/>
    <w:rsid w:val="00342ACB"/>
    <w:rsid w:val="00343AD4"/>
    <w:rsid w:val="00345F56"/>
    <w:rsid w:val="00346F9B"/>
    <w:rsid w:val="003503F3"/>
    <w:rsid w:val="003510DB"/>
    <w:rsid w:val="00351A06"/>
    <w:rsid w:val="00351C10"/>
    <w:rsid w:val="00352A10"/>
    <w:rsid w:val="0035370E"/>
    <w:rsid w:val="003543BA"/>
    <w:rsid w:val="00354D93"/>
    <w:rsid w:val="00355E84"/>
    <w:rsid w:val="00355E89"/>
    <w:rsid w:val="003579DC"/>
    <w:rsid w:val="003613C8"/>
    <w:rsid w:val="00361B43"/>
    <w:rsid w:val="00363BE4"/>
    <w:rsid w:val="0036471B"/>
    <w:rsid w:val="00365DEC"/>
    <w:rsid w:val="00365F09"/>
    <w:rsid w:val="003666A9"/>
    <w:rsid w:val="003677F5"/>
    <w:rsid w:val="00370309"/>
    <w:rsid w:val="00370C9E"/>
    <w:rsid w:val="0037213A"/>
    <w:rsid w:val="0037377A"/>
    <w:rsid w:val="00374946"/>
    <w:rsid w:val="0038062E"/>
    <w:rsid w:val="00380EBB"/>
    <w:rsid w:val="00381BBB"/>
    <w:rsid w:val="00383AA4"/>
    <w:rsid w:val="00387EEA"/>
    <w:rsid w:val="003920B0"/>
    <w:rsid w:val="00392324"/>
    <w:rsid w:val="0039269C"/>
    <w:rsid w:val="00392CCA"/>
    <w:rsid w:val="00395EFF"/>
    <w:rsid w:val="00397FAA"/>
    <w:rsid w:val="003A0536"/>
    <w:rsid w:val="003A2E32"/>
    <w:rsid w:val="003A4D47"/>
    <w:rsid w:val="003A5694"/>
    <w:rsid w:val="003B0459"/>
    <w:rsid w:val="003B254E"/>
    <w:rsid w:val="003B25ED"/>
    <w:rsid w:val="003B5E1A"/>
    <w:rsid w:val="003C032D"/>
    <w:rsid w:val="003C045D"/>
    <w:rsid w:val="003C05AC"/>
    <w:rsid w:val="003C1C52"/>
    <w:rsid w:val="003C2615"/>
    <w:rsid w:val="003C2BEF"/>
    <w:rsid w:val="003C5B45"/>
    <w:rsid w:val="003C7E79"/>
    <w:rsid w:val="003D01C5"/>
    <w:rsid w:val="003D54F9"/>
    <w:rsid w:val="003E03D0"/>
    <w:rsid w:val="003E0923"/>
    <w:rsid w:val="003E0BA2"/>
    <w:rsid w:val="003E2076"/>
    <w:rsid w:val="003E4A85"/>
    <w:rsid w:val="003E4E3A"/>
    <w:rsid w:val="003E650C"/>
    <w:rsid w:val="003E724B"/>
    <w:rsid w:val="003E75CD"/>
    <w:rsid w:val="003F1C09"/>
    <w:rsid w:val="003F6C24"/>
    <w:rsid w:val="00403983"/>
    <w:rsid w:val="00403E61"/>
    <w:rsid w:val="0040499D"/>
    <w:rsid w:val="00406765"/>
    <w:rsid w:val="00411B98"/>
    <w:rsid w:val="00412A01"/>
    <w:rsid w:val="00414D8D"/>
    <w:rsid w:val="004154B2"/>
    <w:rsid w:val="0042158E"/>
    <w:rsid w:val="00423F56"/>
    <w:rsid w:val="00431075"/>
    <w:rsid w:val="0043130F"/>
    <w:rsid w:val="00432945"/>
    <w:rsid w:val="00432A66"/>
    <w:rsid w:val="0043576F"/>
    <w:rsid w:val="00441969"/>
    <w:rsid w:val="00442E77"/>
    <w:rsid w:val="00443855"/>
    <w:rsid w:val="00445CAB"/>
    <w:rsid w:val="0044612F"/>
    <w:rsid w:val="00450EE6"/>
    <w:rsid w:val="004544B9"/>
    <w:rsid w:val="00455B4C"/>
    <w:rsid w:val="00461C53"/>
    <w:rsid w:val="00462E1E"/>
    <w:rsid w:val="00463657"/>
    <w:rsid w:val="00464C4C"/>
    <w:rsid w:val="00465A05"/>
    <w:rsid w:val="00470377"/>
    <w:rsid w:val="004707ED"/>
    <w:rsid w:val="00470C83"/>
    <w:rsid w:val="0047203A"/>
    <w:rsid w:val="004737CE"/>
    <w:rsid w:val="004738DF"/>
    <w:rsid w:val="00477C97"/>
    <w:rsid w:val="00480341"/>
    <w:rsid w:val="004811FE"/>
    <w:rsid w:val="00481EE1"/>
    <w:rsid w:val="00482174"/>
    <w:rsid w:val="004821D3"/>
    <w:rsid w:val="00483ECB"/>
    <w:rsid w:val="00484007"/>
    <w:rsid w:val="004840E1"/>
    <w:rsid w:val="00486FC9"/>
    <w:rsid w:val="00487344"/>
    <w:rsid w:val="004875E1"/>
    <w:rsid w:val="0049055D"/>
    <w:rsid w:val="00490DDE"/>
    <w:rsid w:val="00490F49"/>
    <w:rsid w:val="0049169B"/>
    <w:rsid w:val="004936A4"/>
    <w:rsid w:val="0049797C"/>
    <w:rsid w:val="004A0962"/>
    <w:rsid w:val="004A0D5F"/>
    <w:rsid w:val="004A15AC"/>
    <w:rsid w:val="004A17B8"/>
    <w:rsid w:val="004A4142"/>
    <w:rsid w:val="004A4228"/>
    <w:rsid w:val="004A5899"/>
    <w:rsid w:val="004A607F"/>
    <w:rsid w:val="004A6F58"/>
    <w:rsid w:val="004B05F4"/>
    <w:rsid w:val="004B0811"/>
    <w:rsid w:val="004B2700"/>
    <w:rsid w:val="004B2CA5"/>
    <w:rsid w:val="004B3910"/>
    <w:rsid w:val="004B46C4"/>
    <w:rsid w:val="004B5330"/>
    <w:rsid w:val="004B6001"/>
    <w:rsid w:val="004B7EA3"/>
    <w:rsid w:val="004C1318"/>
    <w:rsid w:val="004C1BA6"/>
    <w:rsid w:val="004C267F"/>
    <w:rsid w:val="004C6979"/>
    <w:rsid w:val="004D35C6"/>
    <w:rsid w:val="004D57AE"/>
    <w:rsid w:val="004D74AE"/>
    <w:rsid w:val="004E0436"/>
    <w:rsid w:val="004E1A2D"/>
    <w:rsid w:val="004E2598"/>
    <w:rsid w:val="004E3A69"/>
    <w:rsid w:val="004E3F19"/>
    <w:rsid w:val="004E4C6A"/>
    <w:rsid w:val="004E52B0"/>
    <w:rsid w:val="004E60DF"/>
    <w:rsid w:val="004E70A3"/>
    <w:rsid w:val="004F1B98"/>
    <w:rsid w:val="004F1EF6"/>
    <w:rsid w:val="004F4A0C"/>
    <w:rsid w:val="004F675C"/>
    <w:rsid w:val="004F777C"/>
    <w:rsid w:val="00503B44"/>
    <w:rsid w:val="00503EAE"/>
    <w:rsid w:val="005068A3"/>
    <w:rsid w:val="00511898"/>
    <w:rsid w:val="00511D3E"/>
    <w:rsid w:val="0051260A"/>
    <w:rsid w:val="005149B0"/>
    <w:rsid w:val="00517C29"/>
    <w:rsid w:val="0052099F"/>
    <w:rsid w:val="00521532"/>
    <w:rsid w:val="005245BA"/>
    <w:rsid w:val="00525303"/>
    <w:rsid w:val="00525C33"/>
    <w:rsid w:val="005260CA"/>
    <w:rsid w:val="0052677F"/>
    <w:rsid w:val="005306F4"/>
    <w:rsid w:val="005318F8"/>
    <w:rsid w:val="00531CDE"/>
    <w:rsid w:val="00531ECC"/>
    <w:rsid w:val="00532809"/>
    <w:rsid w:val="00533931"/>
    <w:rsid w:val="00533DC9"/>
    <w:rsid w:val="005350FA"/>
    <w:rsid w:val="005357B2"/>
    <w:rsid w:val="00536C08"/>
    <w:rsid w:val="00536DC6"/>
    <w:rsid w:val="00537173"/>
    <w:rsid w:val="005378CB"/>
    <w:rsid w:val="005404A5"/>
    <w:rsid w:val="00540CB5"/>
    <w:rsid w:val="00541B58"/>
    <w:rsid w:val="005445DF"/>
    <w:rsid w:val="00544A74"/>
    <w:rsid w:val="005459CC"/>
    <w:rsid w:val="00546A76"/>
    <w:rsid w:val="005500A4"/>
    <w:rsid w:val="005514E6"/>
    <w:rsid w:val="00551C05"/>
    <w:rsid w:val="00552BFF"/>
    <w:rsid w:val="00554E93"/>
    <w:rsid w:val="00557696"/>
    <w:rsid w:val="00560B4F"/>
    <w:rsid w:val="00560EA2"/>
    <w:rsid w:val="00561E6A"/>
    <w:rsid w:val="005648E0"/>
    <w:rsid w:val="00564E8F"/>
    <w:rsid w:val="0056681C"/>
    <w:rsid w:val="00571B49"/>
    <w:rsid w:val="0057210E"/>
    <w:rsid w:val="00575F6F"/>
    <w:rsid w:val="00576092"/>
    <w:rsid w:val="00577904"/>
    <w:rsid w:val="0058006C"/>
    <w:rsid w:val="005813F3"/>
    <w:rsid w:val="00581BE5"/>
    <w:rsid w:val="00582FCE"/>
    <w:rsid w:val="0058535A"/>
    <w:rsid w:val="005853D2"/>
    <w:rsid w:val="005900B5"/>
    <w:rsid w:val="00591734"/>
    <w:rsid w:val="00591FA1"/>
    <w:rsid w:val="00592B10"/>
    <w:rsid w:val="00592DF2"/>
    <w:rsid w:val="00594041"/>
    <w:rsid w:val="00594F19"/>
    <w:rsid w:val="00594F8E"/>
    <w:rsid w:val="00595889"/>
    <w:rsid w:val="005965F2"/>
    <w:rsid w:val="00597E67"/>
    <w:rsid w:val="005A02D2"/>
    <w:rsid w:val="005A49E3"/>
    <w:rsid w:val="005A61F4"/>
    <w:rsid w:val="005A6701"/>
    <w:rsid w:val="005A6DCA"/>
    <w:rsid w:val="005B048C"/>
    <w:rsid w:val="005B08E5"/>
    <w:rsid w:val="005B21E9"/>
    <w:rsid w:val="005B61AE"/>
    <w:rsid w:val="005C1EDC"/>
    <w:rsid w:val="005C38EC"/>
    <w:rsid w:val="005C40A5"/>
    <w:rsid w:val="005C515B"/>
    <w:rsid w:val="005C7591"/>
    <w:rsid w:val="005C7DA4"/>
    <w:rsid w:val="005C7E45"/>
    <w:rsid w:val="005D01B7"/>
    <w:rsid w:val="005D3369"/>
    <w:rsid w:val="005D44DD"/>
    <w:rsid w:val="005D4538"/>
    <w:rsid w:val="005D509B"/>
    <w:rsid w:val="005D59F7"/>
    <w:rsid w:val="005D6FDE"/>
    <w:rsid w:val="005D7A4E"/>
    <w:rsid w:val="005E179E"/>
    <w:rsid w:val="005E2379"/>
    <w:rsid w:val="005E2C76"/>
    <w:rsid w:val="005E435B"/>
    <w:rsid w:val="005E45D4"/>
    <w:rsid w:val="005E5B93"/>
    <w:rsid w:val="005E770B"/>
    <w:rsid w:val="005E781A"/>
    <w:rsid w:val="005F1F5D"/>
    <w:rsid w:val="005F20C3"/>
    <w:rsid w:val="005F3EA6"/>
    <w:rsid w:val="005F4076"/>
    <w:rsid w:val="005F40E7"/>
    <w:rsid w:val="005F5C9B"/>
    <w:rsid w:val="005F7D07"/>
    <w:rsid w:val="0060337E"/>
    <w:rsid w:val="006037E7"/>
    <w:rsid w:val="0060486F"/>
    <w:rsid w:val="00605B60"/>
    <w:rsid w:val="00605B63"/>
    <w:rsid w:val="00607067"/>
    <w:rsid w:val="00607DF3"/>
    <w:rsid w:val="006108E4"/>
    <w:rsid w:val="00610BEB"/>
    <w:rsid w:val="00611C7C"/>
    <w:rsid w:val="00616B32"/>
    <w:rsid w:val="00622F3D"/>
    <w:rsid w:val="00624196"/>
    <w:rsid w:val="00626AD6"/>
    <w:rsid w:val="0062753E"/>
    <w:rsid w:val="00627BE7"/>
    <w:rsid w:val="00627CD0"/>
    <w:rsid w:val="00627E2D"/>
    <w:rsid w:val="0063140B"/>
    <w:rsid w:val="006317C5"/>
    <w:rsid w:val="00632433"/>
    <w:rsid w:val="00633569"/>
    <w:rsid w:val="006337B8"/>
    <w:rsid w:val="00633D04"/>
    <w:rsid w:val="00634AFA"/>
    <w:rsid w:val="00634DEE"/>
    <w:rsid w:val="00634FCB"/>
    <w:rsid w:val="00635132"/>
    <w:rsid w:val="006361D9"/>
    <w:rsid w:val="00636802"/>
    <w:rsid w:val="00642080"/>
    <w:rsid w:val="006435A9"/>
    <w:rsid w:val="00644CB6"/>
    <w:rsid w:val="006468F8"/>
    <w:rsid w:val="006503B5"/>
    <w:rsid w:val="0065060D"/>
    <w:rsid w:val="00651356"/>
    <w:rsid w:val="00655B34"/>
    <w:rsid w:val="00657DF6"/>
    <w:rsid w:val="00657F9C"/>
    <w:rsid w:val="00662365"/>
    <w:rsid w:val="00665413"/>
    <w:rsid w:val="00666CD4"/>
    <w:rsid w:val="006708AA"/>
    <w:rsid w:val="00670DA8"/>
    <w:rsid w:val="006733B7"/>
    <w:rsid w:val="00673C28"/>
    <w:rsid w:val="00674D07"/>
    <w:rsid w:val="00674E0E"/>
    <w:rsid w:val="006764A2"/>
    <w:rsid w:val="00684CC6"/>
    <w:rsid w:val="00684E9E"/>
    <w:rsid w:val="006853F3"/>
    <w:rsid w:val="00686BA1"/>
    <w:rsid w:val="00691327"/>
    <w:rsid w:val="00692449"/>
    <w:rsid w:val="00693E45"/>
    <w:rsid w:val="006951A4"/>
    <w:rsid w:val="00695EAD"/>
    <w:rsid w:val="006974EF"/>
    <w:rsid w:val="006A1152"/>
    <w:rsid w:val="006A545D"/>
    <w:rsid w:val="006B16D2"/>
    <w:rsid w:val="006B18A5"/>
    <w:rsid w:val="006B20F5"/>
    <w:rsid w:val="006B3A19"/>
    <w:rsid w:val="006B464F"/>
    <w:rsid w:val="006B5091"/>
    <w:rsid w:val="006B6948"/>
    <w:rsid w:val="006B6E7A"/>
    <w:rsid w:val="006C0A94"/>
    <w:rsid w:val="006C0D27"/>
    <w:rsid w:val="006C252F"/>
    <w:rsid w:val="006C2B6F"/>
    <w:rsid w:val="006C2D3A"/>
    <w:rsid w:val="006C5143"/>
    <w:rsid w:val="006C7BC3"/>
    <w:rsid w:val="006D0D78"/>
    <w:rsid w:val="006D127E"/>
    <w:rsid w:val="006D1785"/>
    <w:rsid w:val="006D31BD"/>
    <w:rsid w:val="006D6D42"/>
    <w:rsid w:val="006D79C2"/>
    <w:rsid w:val="006E03F0"/>
    <w:rsid w:val="006E132F"/>
    <w:rsid w:val="006E2898"/>
    <w:rsid w:val="006E5766"/>
    <w:rsid w:val="006E62AA"/>
    <w:rsid w:val="006E67D6"/>
    <w:rsid w:val="006F16AA"/>
    <w:rsid w:val="006F5D58"/>
    <w:rsid w:val="006F770E"/>
    <w:rsid w:val="00702AEC"/>
    <w:rsid w:val="00703C8C"/>
    <w:rsid w:val="00703CEA"/>
    <w:rsid w:val="00703F26"/>
    <w:rsid w:val="00704022"/>
    <w:rsid w:val="00705C4B"/>
    <w:rsid w:val="007072DD"/>
    <w:rsid w:val="0071007B"/>
    <w:rsid w:val="0071043E"/>
    <w:rsid w:val="007120A5"/>
    <w:rsid w:val="0071212F"/>
    <w:rsid w:val="007122ED"/>
    <w:rsid w:val="007155CB"/>
    <w:rsid w:val="00720140"/>
    <w:rsid w:val="00720ECC"/>
    <w:rsid w:val="00721D6C"/>
    <w:rsid w:val="00722047"/>
    <w:rsid w:val="007266DF"/>
    <w:rsid w:val="007317F3"/>
    <w:rsid w:val="007318D9"/>
    <w:rsid w:val="00732283"/>
    <w:rsid w:val="00733A0A"/>
    <w:rsid w:val="0073530B"/>
    <w:rsid w:val="007353C8"/>
    <w:rsid w:val="0073582C"/>
    <w:rsid w:val="00735F37"/>
    <w:rsid w:val="007400BE"/>
    <w:rsid w:val="00741801"/>
    <w:rsid w:val="0074230B"/>
    <w:rsid w:val="00742F2F"/>
    <w:rsid w:val="00745BBA"/>
    <w:rsid w:val="00750AE3"/>
    <w:rsid w:val="00751C16"/>
    <w:rsid w:val="00752348"/>
    <w:rsid w:val="00753170"/>
    <w:rsid w:val="00753F62"/>
    <w:rsid w:val="0075462D"/>
    <w:rsid w:val="00757337"/>
    <w:rsid w:val="00757800"/>
    <w:rsid w:val="00757915"/>
    <w:rsid w:val="00761080"/>
    <w:rsid w:val="00762B3D"/>
    <w:rsid w:val="00766552"/>
    <w:rsid w:val="00770790"/>
    <w:rsid w:val="00770F92"/>
    <w:rsid w:val="00771B65"/>
    <w:rsid w:val="00772B08"/>
    <w:rsid w:val="007731A3"/>
    <w:rsid w:val="007742D0"/>
    <w:rsid w:val="00774E20"/>
    <w:rsid w:val="00776940"/>
    <w:rsid w:val="00777C9A"/>
    <w:rsid w:val="007800A5"/>
    <w:rsid w:val="00780F42"/>
    <w:rsid w:val="00785BE9"/>
    <w:rsid w:val="00786247"/>
    <w:rsid w:val="00786F83"/>
    <w:rsid w:val="007877D6"/>
    <w:rsid w:val="00792702"/>
    <w:rsid w:val="0079659D"/>
    <w:rsid w:val="00796F96"/>
    <w:rsid w:val="00797CAE"/>
    <w:rsid w:val="007A5C9F"/>
    <w:rsid w:val="007A5FA8"/>
    <w:rsid w:val="007B1C29"/>
    <w:rsid w:val="007B2FF7"/>
    <w:rsid w:val="007B33BF"/>
    <w:rsid w:val="007B70B3"/>
    <w:rsid w:val="007C2B64"/>
    <w:rsid w:val="007C4A18"/>
    <w:rsid w:val="007C5553"/>
    <w:rsid w:val="007D16EC"/>
    <w:rsid w:val="007D3620"/>
    <w:rsid w:val="007D3689"/>
    <w:rsid w:val="007D4799"/>
    <w:rsid w:val="007D53B1"/>
    <w:rsid w:val="007D6A57"/>
    <w:rsid w:val="007E3946"/>
    <w:rsid w:val="007E4563"/>
    <w:rsid w:val="007E66C4"/>
    <w:rsid w:val="007E79CB"/>
    <w:rsid w:val="007E7FA1"/>
    <w:rsid w:val="007F3F54"/>
    <w:rsid w:val="007F455F"/>
    <w:rsid w:val="007F6606"/>
    <w:rsid w:val="007F6C2A"/>
    <w:rsid w:val="0080010D"/>
    <w:rsid w:val="0080289B"/>
    <w:rsid w:val="0080361E"/>
    <w:rsid w:val="00804393"/>
    <w:rsid w:val="008068C4"/>
    <w:rsid w:val="00807260"/>
    <w:rsid w:val="00807910"/>
    <w:rsid w:val="00810D4F"/>
    <w:rsid w:val="008112C2"/>
    <w:rsid w:val="0081686A"/>
    <w:rsid w:val="00817FD3"/>
    <w:rsid w:val="008202FC"/>
    <w:rsid w:val="00820A7E"/>
    <w:rsid w:val="00824F2B"/>
    <w:rsid w:val="008254B1"/>
    <w:rsid w:val="0083040C"/>
    <w:rsid w:val="008309AC"/>
    <w:rsid w:val="00833198"/>
    <w:rsid w:val="00833BF9"/>
    <w:rsid w:val="008341CE"/>
    <w:rsid w:val="00834CD5"/>
    <w:rsid w:val="00834EF8"/>
    <w:rsid w:val="0083519D"/>
    <w:rsid w:val="00836471"/>
    <w:rsid w:val="00843413"/>
    <w:rsid w:val="00846833"/>
    <w:rsid w:val="00846A7A"/>
    <w:rsid w:val="008478F9"/>
    <w:rsid w:val="00847BBD"/>
    <w:rsid w:val="008509B5"/>
    <w:rsid w:val="00851F7A"/>
    <w:rsid w:val="00853CCE"/>
    <w:rsid w:val="00853DE0"/>
    <w:rsid w:val="00854E87"/>
    <w:rsid w:val="00856C0A"/>
    <w:rsid w:val="00860E43"/>
    <w:rsid w:val="00865AF7"/>
    <w:rsid w:val="008660C6"/>
    <w:rsid w:val="008705F0"/>
    <w:rsid w:val="008709D3"/>
    <w:rsid w:val="00871440"/>
    <w:rsid w:val="008766DF"/>
    <w:rsid w:val="0087673A"/>
    <w:rsid w:val="00876D91"/>
    <w:rsid w:val="00881169"/>
    <w:rsid w:val="00881590"/>
    <w:rsid w:val="00882269"/>
    <w:rsid w:val="00882F2E"/>
    <w:rsid w:val="00884273"/>
    <w:rsid w:val="00887DD4"/>
    <w:rsid w:val="00891B5B"/>
    <w:rsid w:val="0089235D"/>
    <w:rsid w:val="00892736"/>
    <w:rsid w:val="00894884"/>
    <w:rsid w:val="008948CC"/>
    <w:rsid w:val="00894E12"/>
    <w:rsid w:val="008963A2"/>
    <w:rsid w:val="008964D5"/>
    <w:rsid w:val="008A02CC"/>
    <w:rsid w:val="008A1686"/>
    <w:rsid w:val="008A19FB"/>
    <w:rsid w:val="008A220C"/>
    <w:rsid w:val="008A7E9D"/>
    <w:rsid w:val="008B0534"/>
    <w:rsid w:val="008B0B06"/>
    <w:rsid w:val="008B22E8"/>
    <w:rsid w:val="008B3B60"/>
    <w:rsid w:val="008B3D83"/>
    <w:rsid w:val="008B598D"/>
    <w:rsid w:val="008B717A"/>
    <w:rsid w:val="008C0D07"/>
    <w:rsid w:val="008C0E3D"/>
    <w:rsid w:val="008C2010"/>
    <w:rsid w:val="008C308D"/>
    <w:rsid w:val="008C3095"/>
    <w:rsid w:val="008C31B2"/>
    <w:rsid w:val="008C429A"/>
    <w:rsid w:val="008C516E"/>
    <w:rsid w:val="008C6850"/>
    <w:rsid w:val="008C6CE7"/>
    <w:rsid w:val="008C767C"/>
    <w:rsid w:val="008D01B0"/>
    <w:rsid w:val="008D11F5"/>
    <w:rsid w:val="008D3C1C"/>
    <w:rsid w:val="008D699A"/>
    <w:rsid w:val="008E1011"/>
    <w:rsid w:val="008E1905"/>
    <w:rsid w:val="008E2A88"/>
    <w:rsid w:val="008E56E6"/>
    <w:rsid w:val="008E57DF"/>
    <w:rsid w:val="008E6CC5"/>
    <w:rsid w:val="008E72E0"/>
    <w:rsid w:val="008F054B"/>
    <w:rsid w:val="008F0B77"/>
    <w:rsid w:val="008F290B"/>
    <w:rsid w:val="008F5D8C"/>
    <w:rsid w:val="008F62A7"/>
    <w:rsid w:val="00903035"/>
    <w:rsid w:val="009045C1"/>
    <w:rsid w:val="00904602"/>
    <w:rsid w:val="00904FA7"/>
    <w:rsid w:val="00904FB2"/>
    <w:rsid w:val="00904FC4"/>
    <w:rsid w:val="009072F4"/>
    <w:rsid w:val="009127E3"/>
    <w:rsid w:val="00912947"/>
    <w:rsid w:val="00913166"/>
    <w:rsid w:val="0091732C"/>
    <w:rsid w:val="00920985"/>
    <w:rsid w:val="00920CFA"/>
    <w:rsid w:val="009224C3"/>
    <w:rsid w:val="00922517"/>
    <w:rsid w:val="009227B3"/>
    <w:rsid w:val="00925172"/>
    <w:rsid w:val="00926894"/>
    <w:rsid w:val="009303C7"/>
    <w:rsid w:val="0093191A"/>
    <w:rsid w:val="00933187"/>
    <w:rsid w:val="009332A3"/>
    <w:rsid w:val="009373F5"/>
    <w:rsid w:val="00937B5B"/>
    <w:rsid w:val="0094133E"/>
    <w:rsid w:val="0094279F"/>
    <w:rsid w:val="0094293E"/>
    <w:rsid w:val="00953B72"/>
    <w:rsid w:val="00954266"/>
    <w:rsid w:val="00955691"/>
    <w:rsid w:val="009557E9"/>
    <w:rsid w:val="009562F5"/>
    <w:rsid w:val="00956B6F"/>
    <w:rsid w:val="00963254"/>
    <w:rsid w:val="009636B7"/>
    <w:rsid w:val="00965C80"/>
    <w:rsid w:val="009672D1"/>
    <w:rsid w:val="00967340"/>
    <w:rsid w:val="009701C5"/>
    <w:rsid w:val="009702D1"/>
    <w:rsid w:val="00970487"/>
    <w:rsid w:val="009709D0"/>
    <w:rsid w:val="00970B38"/>
    <w:rsid w:val="0097133A"/>
    <w:rsid w:val="00973E9F"/>
    <w:rsid w:val="0097423A"/>
    <w:rsid w:val="00974397"/>
    <w:rsid w:val="00977D16"/>
    <w:rsid w:val="0098205C"/>
    <w:rsid w:val="00983B0B"/>
    <w:rsid w:val="00984340"/>
    <w:rsid w:val="0098445A"/>
    <w:rsid w:val="00984674"/>
    <w:rsid w:val="00986219"/>
    <w:rsid w:val="009916EC"/>
    <w:rsid w:val="00992E4A"/>
    <w:rsid w:val="009932DC"/>
    <w:rsid w:val="00993C5B"/>
    <w:rsid w:val="00993D04"/>
    <w:rsid w:val="009944AC"/>
    <w:rsid w:val="009950AE"/>
    <w:rsid w:val="0099539B"/>
    <w:rsid w:val="009953E3"/>
    <w:rsid w:val="0099788C"/>
    <w:rsid w:val="009A1276"/>
    <w:rsid w:val="009A194B"/>
    <w:rsid w:val="009A5095"/>
    <w:rsid w:val="009A5590"/>
    <w:rsid w:val="009A588B"/>
    <w:rsid w:val="009B0797"/>
    <w:rsid w:val="009B19A2"/>
    <w:rsid w:val="009C05E8"/>
    <w:rsid w:val="009C28C3"/>
    <w:rsid w:val="009C4D08"/>
    <w:rsid w:val="009C550D"/>
    <w:rsid w:val="009C5701"/>
    <w:rsid w:val="009C663B"/>
    <w:rsid w:val="009C7B33"/>
    <w:rsid w:val="009D0791"/>
    <w:rsid w:val="009D20A7"/>
    <w:rsid w:val="009D219F"/>
    <w:rsid w:val="009D2227"/>
    <w:rsid w:val="009D258E"/>
    <w:rsid w:val="009D27B1"/>
    <w:rsid w:val="009D2BEA"/>
    <w:rsid w:val="009D4B7F"/>
    <w:rsid w:val="009D4EFC"/>
    <w:rsid w:val="009E227A"/>
    <w:rsid w:val="009E450B"/>
    <w:rsid w:val="009E5679"/>
    <w:rsid w:val="009E5D1E"/>
    <w:rsid w:val="009E6704"/>
    <w:rsid w:val="009E6738"/>
    <w:rsid w:val="009E79A0"/>
    <w:rsid w:val="009E7B4E"/>
    <w:rsid w:val="009E7E8A"/>
    <w:rsid w:val="009F0C7C"/>
    <w:rsid w:val="009F1C9F"/>
    <w:rsid w:val="009F1F3C"/>
    <w:rsid w:val="009F3362"/>
    <w:rsid w:val="009F50B7"/>
    <w:rsid w:val="009F56C1"/>
    <w:rsid w:val="009F75D9"/>
    <w:rsid w:val="009F781A"/>
    <w:rsid w:val="009F78F7"/>
    <w:rsid w:val="00A02F04"/>
    <w:rsid w:val="00A02F3E"/>
    <w:rsid w:val="00A0323C"/>
    <w:rsid w:val="00A032AD"/>
    <w:rsid w:val="00A04CD8"/>
    <w:rsid w:val="00A052B4"/>
    <w:rsid w:val="00A0624B"/>
    <w:rsid w:val="00A0765D"/>
    <w:rsid w:val="00A10B6C"/>
    <w:rsid w:val="00A11C4E"/>
    <w:rsid w:val="00A14C4D"/>
    <w:rsid w:val="00A165B8"/>
    <w:rsid w:val="00A16B1D"/>
    <w:rsid w:val="00A20580"/>
    <w:rsid w:val="00A20B8C"/>
    <w:rsid w:val="00A2266E"/>
    <w:rsid w:val="00A24132"/>
    <w:rsid w:val="00A242F2"/>
    <w:rsid w:val="00A317D3"/>
    <w:rsid w:val="00A32040"/>
    <w:rsid w:val="00A32A2B"/>
    <w:rsid w:val="00A35F84"/>
    <w:rsid w:val="00A3757F"/>
    <w:rsid w:val="00A4164C"/>
    <w:rsid w:val="00A42993"/>
    <w:rsid w:val="00A42FF7"/>
    <w:rsid w:val="00A4400B"/>
    <w:rsid w:val="00A44BBB"/>
    <w:rsid w:val="00A44E69"/>
    <w:rsid w:val="00A4589E"/>
    <w:rsid w:val="00A4647A"/>
    <w:rsid w:val="00A46C58"/>
    <w:rsid w:val="00A4785E"/>
    <w:rsid w:val="00A51396"/>
    <w:rsid w:val="00A52293"/>
    <w:rsid w:val="00A526E6"/>
    <w:rsid w:val="00A5304B"/>
    <w:rsid w:val="00A53BE4"/>
    <w:rsid w:val="00A55163"/>
    <w:rsid w:val="00A556D4"/>
    <w:rsid w:val="00A55E05"/>
    <w:rsid w:val="00A56108"/>
    <w:rsid w:val="00A5747A"/>
    <w:rsid w:val="00A5762D"/>
    <w:rsid w:val="00A6065D"/>
    <w:rsid w:val="00A606DD"/>
    <w:rsid w:val="00A610E5"/>
    <w:rsid w:val="00A61583"/>
    <w:rsid w:val="00A6215E"/>
    <w:rsid w:val="00A624EC"/>
    <w:rsid w:val="00A62BB5"/>
    <w:rsid w:val="00A64996"/>
    <w:rsid w:val="00A653FA"/>
    <w:rsid w:val="00A67145"/>
    <w:rsid w:val="00A73E82"/>
    <w:rsid w:val="00A755D2"/>
    <w:rsid w:val="00A7596B"/>
    <w:rsid w:val="00A76492"/>
    <w:rsid w:val="00A775FF"/>
    <w:rsid w:val="00A81341"/>
    <w:rsid w:val="00A81963"/>
    <w:rsid w:val="00A82586"/>
    <w:rsid w:val="00A82743"/>
    <w:rsid w:val="00A8307D"/>
    <w:rsid w:val="00A8324C"/>
    <w:rsid w:val="00A83638"/>
    <w:rsid w:val="00A83C0C"/>
    <w:rsid w:val="00A85F63"/>
    <w:rsid w:val="00A86600"/>
    <w:rsid w:val="00A87E79"/>
    <w:rsid w:val="00A90C66"/>
    <w:rsid w:val="00A91E7B"/>
    <w:rsid w:val="00A927FA"/>
    <w:rsid w:val="00A9298D"/>
    <w:rsid w:val="00A95870"/>
    <w:rsid w:val="00A974CC"/>
    <w:rsid w:val="00A97BCB"/>
    <w:rsid w:val="00AA0FC9"/>
    <w:rsid w:val="00AA4B4A"/>
    <w:rsid w:val="00AA63B9"/>
    <w:rsid w:val="00AB0287"/>
    <w:rsid w:val="00AB0897"/>
    <w:rsid w:val="00AB102C"/>
    <w:rsid w:val="00AB2E32"/>
    <w:rsid w:val="00AB344C"/>
    <w:rsid w:val="00AB5CA2"/>
    <w:rsid w:val="00AB6F1F"/>
    <w:rsid w:val="00AB74B4"/>
    <w:rsid w:val="00AC0434"/>
    <w:rsid w:val="00AC092A"/>
    <w:rsid w:val="00AC41AD"/>
    <w:rsid w:val="00AC4F9B"/>
    <w:rsid w:val="00AD26A9"/>
    <w:rsid w:val="00AD2D9A"/>
    <w:rsid w:val="00AD386A"/>
    <w:rsid w:val="00AD3A62"/>
    <w:rsid w:val="00AD4175"/>
    <w:rsid w:val="00AD43C6"/>
    <w:rsid w:val="00AD4406"/>
    <w:rsid w:val="00AD5D1C"/>
    <w:rsid w:val="00AD7B2E"/>
    <w:rsid w:val="00AD7E80"/>
    <w:rsid w:val="00AE18A7"/>
    <w:rsid w:val="00AE3C10"/>
    <w:rsid w:val="00AE5BC0"/>
    <w:rsid w:val="00AE5DA8"/>
    <w:rsid w:val="00AE6E32"/>
    <w:rsid w:val="00AE73C1"/>
    <w:rsid w:val="00AF1A06"/>
    <w:rsid w:val="00AF3BED"/>
    <w:rsid w:val="00AF4C7A"/>
    <w:rsid w:val="00AF531A"/>
    <w:rsid w:val="00AF593E"/>
    <w:rsid w:val="00AF62F6"/>
    <w:rsid w:val="00AF7D1D"/>
    <w:rsid w:val="00B00DB3"/>
    <w:rsid w:val="00B0166D"/>
    <w:rsid w:val="00B01E5E"/>
    <w:rsid w:val="00B03E37"/>
    <w:rsid w:val="00B045E2"/>
    <w:rsid w:val="00B05835"/>
    <w:rsid w:val="00B070E6"/>
    <w:rsid w:val="00B11163"/>
    <w:rsid w:val="00B146C2"/>
    <w:rsid w:val="00B21010"/>
    <w:rsid w:val="00B21787"/>
    <w:rsid w:val="00B22AD4"/>
    <w:rsid w:val="00B238AF"/>
    <w:rsid w:val="00B24F2C"/>
    <w:rsid w:val="00B2542B"/>
    <w:rsid w:val="00B325E2"/>
    <w:rsid w:val="00B33246"/>
    <w:rsid w:val="00B33CCF"/>
    <w:rsid w:val="00B354EC"/>
    <w:rsid w:val="00B37651"/>
    <w:rsid w:val="00B4109D"/>
    <w:rsid w:val="00B42597"/>
    <w:rsid w:val="00B43764"/>
    <w:rsid w:val="00B445CF"/>
    <w:rsid w:val="00B463C0"/>
    <w:rsid w:val="00B4652A"/>
    <w:rsid w:val="00B4657A"/>
    <w:rsid w:val="00B50ECD"/>
    <w:rsid w:val="00B539B7"/>
    <w:rsid w:val="00B539F0"/>
    <w:rsid w:val="00B54777"/>
    <w:rsid w:val="00B54848"/>
    <w:rsid w:val="00B5518D"/>
    <w:rsid w:val="00B565DB"/>
    <w:rsid w:val="00B56E8A"/>
    <w:rsid w:val="00B57128"/>
    <w:rsid w:val="00B5726D"/>
    <w:rsid w:val="00B574CB"/>
    <w:rsid w:val="00B5798E"/>
    <w:rsid w:val="00B60381"/>
    <w:rsid w:val="00B61F4E"/>
    <w:rsid w:val="00B6276A"/>
    <w:rsid w:val="00B62B53"/>
    <w:rsid w:val="00B63F41"/>
    <w:rsid w:val="00B64F6F"/>
    <w:rsid w:val="00B710D6"/>
    <w:rsid w:val="00B72287"/>
    <w:rsid w:val="00B74938"/>
    <w:rsid w:val="00B75609"/>
    <w:rsid w:val="00B75C85"/>
    <w:rsid w:val="00B7625E"/>
    <w:rsid w:val="00B774BB"/>
    <w:rsid w:val="00B81257"/>
    <w:rsid w:val="00B81D00"/>
    <w:rsid w:val="00B83083"/>
    <w:rsid w:val="00B836F0"/>
    <w:rsid w:val="00B83F65"/>
    <w:rsid w:val="00B847BD"/>
    <w:rsid w:val="00B84B09"/>
    <w:rsid w:val="00B86D8A"/>
    <w:rsid w:val="00B91637"/>
    <w:rsid w:val="00B91765"/>
    <w:rsid w:val="00B91C43"/>
    <w:rsid w:val="00B922A9"/>
    <w:rsid w:val="00B92D96"/>
    <w:rsid w:val="00B9312D"/>
    <w:rsid w:val="00B9367D"/>
    <w:rsid w:val="00B93C16"/>
    <w:rsid w:val="00B95556"/>
    <w:rsid w:val="00B97E0A"/>
    <w:rsid w:val="00B97ED1"/>
    <w:rsid w:val="00BA05F5"/>
    <w:rsid w:val="00BA06A5"/>
    <w:rsid w:val="00BA316A"/>
    <w:rsid w:val="00BA4BF1"/>
    <w:rsid w:val="00BB0348"/>
    <w:rsid w:val="00BB1673"/>
    <w:rsid w:val="00BB1D39"/>
    <w:rsid w:val="00BB2BE8"/>
    <w:rsid w:val="00BB3A02"/>
    <w:rsid w:val="00BB6002"/>
    <w:rsid w:val="00BB780D"/>
    <w:rsid w:val="00BC045F"/>
    <w:rsid w:val="00BC0E67"/>
    <w:rsid w:val="00BC1753"/>
    <w:rsid w:val="00BC2423"/>
    <w:rsid w:val="00BC3EB7"/>
    <w:rsid w:val="00BC42E7"/>
    <w:rsid w:val="00BC6A23"/>
    <w:rsid w:val="00BD0B30"/>
    <w:rsid w:val="00BD1053"/>
    <w:rsid w:val="00BD1B50"/>
    <w:rsid w:val="00BD2DA1"/>
    <w:rsid w:val="00BD306A"/>
    <w:rsid w:val="00BD361A"/>
    <w:rsid w:val="00BD37A0"/>
    <w:rsid w:val="00BD4A1A"/>
    <w:rsid w:val="00BD5A7B"/>
    <w:rsid w:val="00BD5A9C"/>
    <w:rsid w:val="00BD6904"/>
    <w:rsid w:val="00BE0188"/>
    <w:rsid w:val="00BE0BE0"/>
    <w:rsid w:val="00BE30EE"/>
    <w:rsid w:val="00BE5318"/>
    <w:rsid w:val="00BE58B5"/>
    <w:rsid w:val="00BE5A1F"/>
    <w:rsid w:val="00BE5F32"/>
    <w:rsid w:val="00BE6365"/>
    <w:rsid w:val="00BE723C"/>
    <w:rsid w:val="00BE7689"/>
    <w:rsid w:val="00BE7FBF"/>
    <w:rsid w:val="00BF01E1"/>
    <w:rsid w:val="00BF1D92"/>
    <w:rsid w:val="00BF230C"/>
    <w:rsid w:val="00BF3D26"/>
    <w:rsid w:val="00BF579F"/>
    <w:rsid w:val="00BF57DA"/>
    <w:rsid w:val="00C00729"/>
    <w:rsid w:val="00C03E5B"/>
    <w:rsid w:val="00C04267"/>
    <w:rsid w:val="00C0689F"/>
    <w:rsid w:val="00C071CF"/>
    <w:rsid w:val="00C10E39"/>
    <w:rsid w:val="00C12A06"/>
    <w:rsid w:val="00C1315D"/>
    <w:rsid w:val="00C14630"/>
    <w:rsid w:val="00C15AF4"/>
    <w:rsid w:val="00C1637E"/>
    <w:rsid w:val="00C17640"/>
    <w:rsid w:val="00C21BD6"/>
    <w:rsid w:val="00C237B0"/>
    <w:rsid w:val="00C23838"/>
    <w:rsid w:val="00C24ABC"/>
    <w:rsid w:val="00C26131"/>
    <w:rsid w:val="00C27086"/>
    <w:rsid w:val="00C278D9"/>
    <w:rsid w:val="00C3078D"/>
    <w:rsid w:val="00C30D06"/>
    <w:rsid w:val="00C3475E"/>
    <w:rsid w:val="00C34A70"/>
    <w:rsid w:val="00C35FF3"/>
    <w:rsid w:val="00C367BC"/>
    <w:rsid w:val="00C36802"/>
    <w:rsid w:val="00C4174A"/>
    <w:rsid w:val="00C43F77"/>
    <w:rsid w:val="00C50119"/>
    <w:rsid w:val="00C53A8C"/>
    <w:rsid w:val="00C54622"/>
    <w:rsid w:val="00C55F10"/>
    <w:rsid w:val="00C56885"/>
    <w:rsid w:val="00C6079F"/>
    <w:rsid w:val="00C6104B"/>
    <w:rsid w:val="00C6418C"/>
    <w:rsid w:val="00C645E3"/>
    <w:rsid w:val="00C65A49"/>
    <w:rsid w:val="00C736B7"/>
    <w:rsid w:val="00C8309F"/>
    <w:rsid w:val="00C839B1"/>
    <w:rsid w:val="00C847E4"/>
    <w:rsid w:val="00C85369"/>
    <w:rsid w:val="00C86D93"/>
    <w:rsid w:val="00C870D5"/>
    <w:rsid w:val="00C92459"/>
    <w:rsid w:val="00C93AF7"/>
    <w:rsid w:val="00C94501"/>
    <w:rsid w:val="00C95CBB"/>
    <w:rsid w:val="00C95FF4"/>
    <w:rsid w:val="00CA599F"/>
    <w:rsid w:val="00CA5DCF"/>
    <w:rsid w:val="00CA6A63"/>
    <w:rsid w:val="00CB27DF"/>
    <w:rsid w:val="00CB57A3"/>
    <w:rsid w:val="00CB5F36"/>
    <w:rsid w:val="00CB620B"/>
    <w:rsid w:val="00CC276A"/>
    <w:rsid w:val="00CD022A"/>
    <w:rsid w:val="00CD11FB"/>
    <w:rsid w:val="00CD389E"/>
    <w:rsid w:val="00CD4DC4"/>
    <w:rsid w:val="00CD518F"/>
    <w:rsid w:val="00CD5B6D"/>
    <w:rsid w:val="00CD634D"/>
    <w:rsid w:val="00CD656E"/>
    <w:rsid w:val="00CD68FE"/>
    <w:rsid w:val="00CD6F3F"/>
    <w:rsid w:val="00CD7C7A"/>
    <w:rsid w:val="00CE1964"/>
    <w:rsid w:val="00CE3ED8"/>
    <w:rsid w:val="00CE41DE"/>
    <w:rsid w:val="00CF05A0"/>
    <w:rsid w:val="00CF0E38"/>
    <w:rsid w:val="00CF0E55"/>
    <w:rsid w:val="00CF2226"/>
    <w:rsid w:val="00CF2712"/>
    <w:rsid w:val="00CF5925"/>
    <w:rsid w:val="00D0165B"/>
    <w:rsid w:val="00D01A14"/>
    <w:rsid w:val="00D036E4"/>
    <w:rsid w:val="00D0576E"/>
    <w:rsid w:val="00D1174A"/>
    <w:rsid w:val="00D12796"/>
    <w:rsid w:val="00D12C4D"/>
    <w:rsid w:val="00D14AD7"/>
    <w:rsid w:val="00D14E6E"/>
    <w:rsid w:val="00D16C03"/>
    <w:rsid w:val="00D1732E"/>
    <w:rsid w:val="00D20B2B"/>
    <w:rsid w:val="00D2161F"/>
    <w:rsid w:val="00D228FE"/>
    <w:rsid w:val="00D229E6"/>
    <w:rsid w:val="00D23330"/>
    <w:rsid w:val="00D23990"/>
    <w:rsid w:val="00D251F6"/>
    <w:rsid w:val="00D25B64"/>
    <w:rsid w:val="00D27079"/>
    <w:rsid w:val="00D3456D"/>
    <w:rsid w:val="00D35025"/>
    <w:rsid w:val="00D35822"/>
    <w:rsid w:val="00D3624E"/>
    <w:rsid w:val="00D37FD7"/>
    <w:rsid w:val="00D40E83"/>
    <w:rsid w:val="00D41189"/>
    <w:rsid w:val="00D41480"/>
    <w:rsid w:val="00D44FEE"/>
    <w:rsid w:val="00D45133"/>
    <w:rsid w:val="00D45255"/>
    <w:rsid w:val="00D45261"/>
    <w:rsid w:val="00D4583C"/>
    <w:rsid w:val="00D46EE0"/>
    <w:rsid w:val="00D47747"/>
    <w:rsid w:val="00D503DD"/>
    <w:rsid w:val="00D50C2A"/>
    <w:rsid w:val="00D523E4"/>
    <w:rsid w:val="00D53CC4"/>
    <w:rsid w:val="00D54A65"/>
    <w:rsid w:val="00D56D0C"/>
    <w:rsid w:val="00D57D37"/>
    <w:rsid w:val="00D57D6E"/>
    <w:rsid w:val="00D641C9"/>
    <w:rsid w:val="00D706D0"/>
    <w:rsid w:val="00D70B53"/>
    <w:rsid w:val="00D72882"/>
    <w:rsid w:val="00D7358C"/>
    <w:rsid w:val="00D73B5A"/>
    <w:rsid w:val="00D75178"/>
    <w:rsid w:val="00D75556"/>
    <w:rsid w:val="00D76264"/>
    <w:rsid w:val="00D765E6"/>
    <w:rsid w:val="00D76A20"/>
    <w:rsid w:val="00D802E0"/>
    <w:rsid w:val="00D81830"/>
    <w:rsid w:val="00D81BC1"/>
    <w:rsid w:val="00D8385C"/>
    <w:rsid w:val="00D8416F"/>
    <w:rsid w:val="00D856A2"/>
    <w:rsid w:val="00D8634B"/>
    <w:rsid w:val="00D87875"/>
    <w:rsid w:val="00D9174A"/>
    <w:rsid w:val="00D92227"/>
    <w:rsid w:val="00D9293F"/>
    <w:rsid w:val="00D94783"/>
    <w:rsid w:val="00D9492E"/>
    <w:rsid w:val="00D94AF9"/>
    <w:rsid w:val="00D9530D"/>
    <w:rsid w:val="00D978B3"/>
    <w:rsid w:val="00DA124D"/>
    <w:rsid w:val="00DA18FA"/>
    <w:rsid w:val="00DA32AB"/>
    <w:rsid w:val="00DA47A9"/>
    <w:rsid w:val="00DA51B0"/>
    <w:rsid w:val="00DA528A"/>
    <w:rsid w:val="00DA54A3"/>
    <w:rsid w:val="00DA720F"/>
    <w:rsid w:val="00DB1105"/>
    <w:rsid w:val="00DB1B29"/>
    <w:rsid w:val="00DB4D38"/>
    <w:rsid w:val="00DB582C"/>
    <w:rsid w:val="00DB6309"/>
    <w:rsid w:val="00DB7C8F"/>
    <w:rsid w:val="00DC0050"/>
    <w:rsid w:val="00DC0FBD"/>
    <w:rsid w:val="00DC2CC3"/>
    <w:rsid w:val="00DC4473"/>
    <w:rsid w:val="00DC494F"/>
    <w:rsid w:val="00DD06E2"/>
    <w:rsid w:val="00DD3B2B"/>
    <w:rsid w:val="00DD5CEF"/>
    <w:rsid w:val="00DD7A26"/>
    <w:rsid w:val="00DE0587"/>
    <w:rsid w:val="00DE10F7"/>
    <w:rsid w:val="00DE230E"/>
    <w:rsid w:val="00DE2E20"/>
    <w:rsid w:val="00DE3297"/>
    <w:rsid w:val="00DE5804"/>
    <w:rsid w:val="00DE6D72"/>
    <w:rsid w:val="00DF0906"/>
    <w:rsid w:val="00DF1D65"/>
    <w:rsid w:val="00DF3033"/>
    <w:rsid w:val="00DF35CA"/>
    <w:rsid w:val="00DF4488"/>
    <w:rsid w:val="00DF521F"/>
    <w:rsid w:val="00DF5D57"/>
    <w:rsid w:val="00DF60A0"/>
    <w:rsid w:val="00DF7983"/>
    <w:rsid w:val="00E0070E"/>
    <w:rsid w:val="00E030DA"/>
    <w:rsid w:val="00E03173"/>
    <w:rsid w:val="00E049D9"/>
    <w:rsid w:val="00E04B46"/>
    <w:rsid w:val="00E05BDD"/>
    <w:rsid w:val="00E076F6"/>
    <w:rsid w:val="00E109E1"/>
    <w:rsid w:val="00E12C67"/>
    <w:rsid w:val="00E154EC"/>
    <w:rsid w:val="00E16EDD"/>
    <w:rsid w:val="00E16F3D"/>
    <w:rsid w:val="00E17DC8"/>
    <w:rsid w:val="00E207FB"/>
    <w:rsid w:val="00E219AA"/>
    <w:rsid w:val="00E21D5F"/>
    <w:rsid w:val="00E21F75"/>
    <w:rsid w:val="00E22793"/>
    <w:rsid w:val="00E2357A"/>
    <w:rsid w:val="00E23F31"/>
    <w:rsid w:val="00E25BD8"/>
    <w:rsid w:val="00E25C36"/>
    <w:rsid w:val="00E2645F"/>
    <w:rsid w:val="00E2696D"/>
    <w:rsid w:val="00E30DB3"/>
    <w:rsid w:val="00E32659"/>
    <w:rsid w:val="00E332DC"/>
    <w:rsid w:val="00E33DBF"/>
    <w:rsid w:val="00E36A1C"/>
    <w:rsid w:val="00E37368"/>
    <w:rsid w:val="00E4084C"/>
    <w:rsid w:val="00E42114"/>
    <w:rsid w:val="00E42EC5"/>
    <w:rsid w:val="00E50A7F"/>
    <w:rsid w:val="00E51FBF"/>
    <w:rsid w:val="00E542E0"/>
    <w:rsid w:val="00E55034"/>
    <w:rsid w:val="00E6194C"/>
    <w:rsid w:val="00E664F1"/>
    <w:rsid w:val="00E66ACD"/>
    <w:rsid w:val="00E7606D"/>
    <w:rsid w:val="00E76565"/>
    <w:rsid w:val="00E76BC1"/>
    <w:rsid w:val="00E77819"/>
    <w:rsid w:val="00E82809"/>
    <w:rsid w:val="00E83E51"/>
    <w:rsid w:val="00E84803"/>
    <w:rsid w:val="00E851BE"/>
    <w:rsid w:val="00E8674F"/>
    <w:rsid w:val="00E87168"/>
    <w:rsid w:val="00E943A5"/>
    <w:rsid w:val="00E949F8"/>
    <w:rsid w:val="00E94DE7"/>
    <w:rsid w:val="00E960B8"/>
    <w:rsid w:val="00E967F2"/>
    <w:rsid w:val="00EA4340"/>
    <w:rsid w:val="00EA6F4D"/>
    <w:rsid w:val="00EB0543"/>
    <w:rsid w:val="00EB172D"/>
    <w:rsid w:val="00EB32B5"/>
    <w:rsid w:val="00EB4FDA"/>
    <w:rsid w:val="00EC1976"/>
    <w:rsid w:val="00EC2995"/>
    <w:rsid w:val="00EC670D"/>
    <w:rsid w:val="00EC6EBB"/>
    <w:rsid w:val="00ED0948"/>
    <w:rsid w:val="00ED1489"/>
    <w:rsid w:val="00ED2FCD"/>
    <w:rsid w:val="00ED3018"/>
    <w:rsid w:val="00ED31E6"/>
    <w:rsid w:val="00ED5FE2"/>
    <w:rsid w:val="00ED6F8E"/>
    <w:rsid w:val="00ED7899"/>
    <w:rsid w:val="00EE0A8D"/>
    <w:rsid w:val="00EE4218"/>
    <w:rsid w:val="00EE447F"/>
    <w:rsid w:val="00EE5DCB"/>
    <w:rsid w:val="00EE6B5E"/>
    <w:rsid w:val="00EE74D4"/>
    <w:rsid w:val="00EF160A"/>
    <w:rsid w:val="00EF27C0"/>
    <w:rsid w:val="00EF30A0"/>
    <w:rsid w:val="00F0176E"/>
    <w:rsid w:val="00F01C18"/>
    <w:rsid w:val="00F02082"/>
    <w:rsid w:val="00F032AD"/>
    <w:rsid w:val="00F03796"/>
    <w:rsid w:val="00F03993"/>
    <w:rsid w:val="00F03E50"/>
    <w:rsid w:val="00F043A2"/>
    <w:rsid w:val="00F07DF9"/>
    <w:rsid w:val="00F12CA2"/>
    <w:rsid w:val="00F13964"/>
    <w:rsid w:val="00F14408"/>
    <w:rsid w:val="00F16971"/>
    <w:rsid w:val="00F16A4E"/>
    <w:rsid w:val="00F17B15"/>
    <w:rsid w:val="00F23187"/>
    <w:rsid w:val="00F2370C"/>
    <w:rsid w:val="00F24468"/>
    <w:rsid w:val="00F2693B"/>
    <w:rsid w:val="00F27222"/>
    <w:rsid w:val="00F27B35"/>
    <w:rsid w:val="00F30969"/>
    <w:rsid w:val="00F319C7"/>
    <w:rsid w:val="00F31F40"/>
    <w:rsid w:val="00F3330E"/>
    <w:rsid w:val="00F35275"/>
    <w:rsid w:val="00F3726B"/>
    <w:rsid w:val="00F3782F"/>
    <w:rsid w:val="00F37C74"/>
    <w:rsid w:val="00F40C38"/>
    <w:rsid w:val="00F42B6B"/>
    <w:rsid w:val="00F4329C"/>
    <w:rsid w:val="00F439FF"/>
    <w:rsid w:val="00F43EC8"/>
    <w:rsid w:val="00F467AF"/>
    <w:rsid w:val="00F511A3"/>
    <w:rsid w:val="00F54D4C"/>
    <w:rsid w:val="00F5634F"/>
    <w:rsid w:val="00F5718E"/>
    <w:rsid w:val="00F57A53"/>
    <w:rsid w:val="00F60D25"/>
    <w:rsid w:val="00F66168"/>
    <w:rsid w:val="00F6758C"/>
    <w:rsid w:val="00F6784C"/>
    <w:rsid w:val="00F703CA"/>
    <w:rsid w:val="00F72E39"/>
    <w:rsid w:val="00F74C4C"/>
    <w:rsid w:val="00F754A9"/>
    <w:rsid w:val="00F76235"/>
    <w:rsid w:val="00F76AE2"/>
    <w:rsid w:val="00F76F09"/>
    <w:rsid w:val="00F76F45"/>
    <w:rsid w:val="00F80146"/>
    <w:rsid w:val="00F80B68"/>
    <w:rsid w:val="00F8178D"/>
    <w:rsid w:val="00F81D67"/>
    <w:rsid w:val="00F81E4D"/>
    <w:rsid w:val="00F84444"/>
    <w:rsid w:val="00F8526C"/>
    <w:rsid w:val="00F8799E"/>
    <w:rsid w:val="00F87CB5"/>
    <w:rsid w:val="00F91AD6"/>
    <w:rsid w:val="00F93C2E"/>
    <w:rsid w:val="00F93CCD"/>
    <w:rsid w:val="00F9410C"/>
    <w:rsid w:val="00F967F2"/>
    <w:rsid w:val="00FA15B4"/>
    <w:rsid w:val="00FA31BC"/>
    <w:rsid w:val="00FA46C3"/>
    <w:rsid w:val="00FB07F3"/>
    <w:rsid w:val="00FB0FE0"/>
    <w:rsid w:val="00FB1367"/>
    <w:rsid w:val="00FB2B85"/>
    <w:rsid w:val="00FB3B91"/>
    <w:rsid w:val="00FB6972"/>
    <w:rsid w:val="00FC03D7"/>
    <w:rsid w:val="00FC131E"/>
    <w:rsid w:val="00FC2987"/>
    <w:rsid w:val="00FC462D"/>
    <w:rsid w:val="00FC578F"/>
    <w:rsid w:val="00FC6369"/>
    <w:rsid w:val="00FC6A2D"/>
    <w:rsid w:val="00FC76DA"/>
    <w:rsid w:val="00FC7A6E"/>
    <w:rsid w:val="00FD0622"/>
    <w:rsid w:val="00FD22CA"/>
    <w:rsid w:val="00FD26FC"/>
    <w:rsid w:val="00FD2898"/>
    <w:rsid w:val="00FD5376"/>
    <w:rsid w:val="00FD7A6D"/>
    <w:rsid w:val="00FE0BD4"/>
    <w:rsid w:val="00FE1C26"/>
    <w:rsid w:val="00FE2073"/>
    <w:rsid w:val="00FE20F7"/>
    <w:rsid w:val="00FE2D4D"/>
    <w:rsid w:val="00FE42AB"/>
    <w:rsid w:val="00FE5C9D"/>
    <w:rsid w:val="00FE5DF6"/>
    <w:rsid w:val="00FE71A9"/>
    <w:rsid w:val="00FF0E1F"/>
    <w:rsid w:val="00FF2529"/>
    <w:rsid w:val="00FF2C73"/>
    <w:rsid w:val="00FF6BAA"/>
    <w:rsid w:val="01F73BAF"/>
    <w:rsid w:val="03167227"/>
    <w:rsid w:val="06BC3B04"/>
    <w:rsid w:val="0B1D180B"/>
    <w:rsid w:val="0C24180D"/>
    <w:rsid w:val="0DAC4A4D"/>
    <w:rsid w:val="0DD31F6D"/>
    <w:rsid w:val="0E993494"/>
    <w:rsid w:val="108C5C80"/>
    <w:rsid w:val="1130381C"/>
    <w:rsid w:val="12B017DF"/>
    <w:rsid w:val="12D0458A"/>
    <w:rsid w:val="146410FF"/>
    <w:rsid w:val="148C478D"/>
    <w:rsid w:val="14B51EF1"/>
    <w:rsid w:val="170E1F95"/>
    <w:rsid w:val="174176E1"/>
    <w:rsid w:val="17E276B5"/>
    <w:rsid w:val="17F446E6"/>
    <w:rsid w:val="19C40026"/>
    <w:rsid w:val="1A7010D3"/>
    <w:rsid w:val="1A921D47"/>
    <w:rsid w:val="1BC475B9"/>
    <w:rsid w:val="1C471619"/>
    <w:rsid w:val="1CD624E3"/>
    <w:rsid w:val="1DA17BD9"/>
    <w:rsid w:val="1EB20BAA"/>
    <w:rsid w:val="20E665D3"/>
    <w:rsid w:val="22773573"/>
    <w:rsid w:val="23D720CF"/>
    <w:rsid w:val="249214B2"/>
    <w:rsid w:val="2545626A"/>
    <w:rsid w:val="27C20422"/>
    <w:rsid w:val="29862B3C"/>
    <w:rsid w:val="2AD61399"/>
    <w:rsid w:val="2C101BEA"/>
    <w:rsid w:val="2D1B4952"/>
    <w:rsid w:val="2EAC1E0E"/>
    <w:rsid w:val="2F2324D1"/>
    <w:rsid w:val="30533CDA"/>
    <w:rsid w:val="33867966"/>
    <w:rsid w:val="34037C73"/>
    <w:rsid w:val="35312AE5"/>
    <w:rsid w:val="376344AC"/>
    <w:rsid w:val="388369A0"/>
    <w:rsid w:val="3B144720"/>
    <w:rsid w:val="3E36398E"/>
    <w:rsid w:val="41C76057"/>
    <w:rsid w:val="46176EE2"/>
    <w:rsid w:val="46AC66E6"/>
    <w:rsid w:val="473F2459"/>
    <w:rsid w:val="48937F77"/>
    <w:rsid w:val="4AF5528F"/>
    <w:rsid w:val="50204EA3"/>
    <w:rsid w:val="516A6527"/>
    <w:rsid w:val="53B91422"/>
    <w:rsid w:val="57F43254"/>
    <w:rsid w:val="5C3D68B7"/>
    <w:rsid w:val="5CD91107"/>
    <w:rsid w:val="5D7B5B37"/>
    <w:rsid w:val="5F612C40"/>
    <w:rsid w:val="623B4DC6"/>
    <w:rsid w:val="634C5396"/>
    <w:rsid w:val="64366CD2"/>
    <w:rsid w:val="681964E1"/>
    <w:rsid w:val="68393003"/>
    <w:rsid w:val="686F610C"/>
    <w:rsid w:val="6A6E3798"/>
    <w:rsid w:val="6B690E9B"/>
    <w:rsid w:val="6BD363A4"/>
    <w:rsid w:val="6DA963A7"/>
    <w:rsid w:val="6F4B026C"/>
    <w:rsid w:val="71B37DDC"/>
    <w:rsid w:val="7362297A"/>
    <w:rsid w:val="745A5D68"/>
    <w:rsid w:val="750C5A1C"/>
    <w:rsid w:val="793B4BB2"/>
    <w:rsid w:val="7AC75551"/>
    <w:rsid w:val="7B347A21"/>
    <w:rsid w:val="7B8D1A62"/>
    <w:rsid w:val="7F0D0086"/>
    <w:rsid w:val="7FA27F80"/>
    <w:rsid w:val="7FAC28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66"/>
    <w:qFormat/>
    <w:uiPriority w:val="0"/>
    <w:pPr>
      <w:keepNext/>
      <w:spacing w:line="216" w:lineRule="auto"/>
      <w:jc w:val="center"/>
      <w:outlineLvl w:val="0"/>
    </w:pPr>
    <w:rPr>
      <w:rFonts w:ascii="宋体" w:hAnsi="宋体"/>
      <w:b/>
      <w:sz w:val="30"/>
      <w:szCs w:val="20"/>
    </w:rPr>
  </w:style>
  <w:style w:type="paragraph" w:styleId="3">
    <w:name w:val="heading 2"/>
    <w:basedOn w:val="1"/>
    <w:next w:val="4"/>
    <w:link w:val="68"/>
    <w:qFormat/>
    <w:uiPriority w:val="0"/>
    <w:pPr>
      <w:keepNext/>
      <w:spacing w:line="216" w:lineRule="auto"/>
      <w:outlineLvl w:val="1"/>
    </w:pPr>
    <w:rPr>
      <w:rFonts w:ascii="宋体"/>
      <w:b/>
      <w:sz w:val="28"/>
      <w:szCs w:val="20"/>
    </w:rPr>
  </w:style>
  <w:style w:type="paragraph" w:styleId="5">
    <w:name w:val="heading 3"/>
    <w:basedOn w:val="1"/>
    <w:next w:val="1"/>
    <w:link w:val="69"/>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4"/>
    <w:link w:val="70"/>
    <w:qFormat/>
    <w:uiPriority w:val="0"/>
    <w:pPr>
      <w:keepNext/>
      <w:numPr>
        <w:ilvl w:val="0"/>
        <w:numId w:val="2"/>
      </w:numPr>
      <w:spacing w:line="216" w:lineRule="auto"/>
      <w:outlineLvl w:val="3"/>
    </w:pPr>
    <w:rPr>
      <w:rFonts w:ascii="黑体" w:eastAsia="黑体"/>
      <w:b/>
      <w:sz w:val="24"/>
      <w:szCs w:val="20"/>
    </w:rPr>
  </w:style>
  <w:style w:type="paragraph" w:styleId="7">
    <w:name w:val="heading 5"/>
    <w:basedOn w:val="1"/>
    <w:next w:val="1"/>
    <w:link w:val="71"/>
    <w:qFormat/>
    <w:uiPriority w:val="0"/>
    <w:pPr>
      <w:keepNext/>
      <w:keepLines/>
      <w:numPr>
        <w:ilvl w:val="4"/>
        <w:numId w:val="2"/>
      </w:numPr>
      <w:tabs>
        <w:tab w:val="left" w:pos="1035"/>
        <w:tab w:val="left" w:pos="2100"/>
        <w:tab w:val="left" w:pos="2655"/>
      </w:tabs>
      <w:spacing w:before="280" w:after="290" w:line="376" w:lineRule="auto"/>
      <w:outlineLvl w:val="4"/>
    </w:pPr>
    <w:rPr>
      <w:b/>
      <w:bCs/>
      <w:sz w:val="28"/>
      <w:szCs w:val="28"/>
    </w:rPr>
  </w:style>
  <w:style w:type="paragraph" w:styleId="8">
    <w:name w:val="heading 6"/>
    <w:basedOn w:val="1"/>
    <w:next w:val="1"/>
    <w:link w:val="72"/>
    <w:qFormat/>
    <w:uiPriority w:val="0"/>
    <w:pPr>
      <w:keepNext/>
      <w:keepLines/>
      <w:numPr>
        <w:ilvl w:val="5"/>
        <w:numId w:val="2"/>
      </w:numPr>
      <w:tabs>
        <w:tab w:val="left" w:pos="1035"/>
        <w:tab w:val="left" w:pos="2520"/>
        <w:tab w:val="left" w:pos="3075"/>
      </w:tabs>
      <w:spacing w:before="240" w:after="64" w:line="320" w:lineRule="auto"/>
      <w:outlineLvl w:val="5"/>
    </w:pPr>
    <w:rPr>
      <w:rFonts w:ascii="Cambria" w:hAnsi="Cambria"/>
      <w:b/>
      <w:bCs/>
      <w:sz w:val="24"/>
    </w:rPr>
  </w:style>
  <w:style w:type="paragraph" w:styleId="9">
    <w:name w:val="heading 7"/>
    <w:basedOn w:val="1"/>
    <w:next w:val="1"/>
    <w:link w:val="73"/>
    <w:qFormat/>
    <w:uiPriority w:val="0"/>
    <w:pPr>
      <w:keepNext/>
      <w:keepLines/>
      <w:numPr>
        <w:ilvl w:val="6"/>
        <w:numId w:val="2"/>
      </w:numPr>
      <w:tabs>
        <w:tab w:val="left" w:pos="1035"/>
        <w:tab w:val="left" w:pos="2940"/>
        <w:tab w:val="left" w:pos="3495"/>
      </w:tabs>
      <w:spacing w:before="240" w:after="64" w:line="320" w:lineRule="auto"/>
      <w:outlineLvl w:val="6"/>
    </w:pPr>
    <w:rPr>
      <w:b/>
      <w:bCs/>
      <w:sz w:val="24"/>
    </w:rPr>
  </w:style>
  <w:style w:type="paragraph" w:styleId="10">
    <w:name w:val="heading 8"/>
    <w:basedOn w:val="1"/>
    <w:next w:val="1"/>
    <w:link w:val="74"/>
    <w:qFormat/>
    <w:uiPriority w:val="0"/>
    <w:pPr>
      <w:keepNext/>
      <w:keepLines/>
      <w:numPr>
        <w:ilvl w:val="7"/>
        <w:numId w:val="2"/>
      </w:numPr>
      <w:tabs>
        <w:tab w:val="left" w:pos="1035"/>
        <w:tab w:val="left" w:pos="3360"/>
        <w:tab w:val="left" w:pos="3915"/>
      </w:tabs>
      <w:spacing w:before="240" w:after="64" w:line="320" w:lineRule="auto"/>
      <w:outlineLvl w:val="7"/>
    </w:pPr>
    <w:rPr>
      <w:rFonts w:ascii="Cambria" w:hAnsi="Cambria"/>
      <w:sz w:val="24"/>
    </w:rPr>
  </w:style>
  <w:style w:type="paragraph" w:styleId="11">
    <w:name w:val="heading 9"/>
    <w:basedOn w:val="1"/>
    <w:next w:val="1"/>
    <w:link w:val="75"/>
    <w:qFormat/>
    <w:uiPriority w:val="0"/>
    <w:pPr>
      <w:keepNext/>
      <w:keepLines/>
      <w:numPr>
        <w:ilvl w:val="8"/>
        <w:numId w:val="2"/>
      </w:numPr>
      <w:tabs>
        <w:tab w:val="left" w:pos="1035"/>
        <w:tab w:val="left" w:pos="3780"/>
        <w:tab w:val="left" w:pos="4335"/>
      </w:tabs>
      <w:spacing w:before="240" w:after="64" w:line="320" w:lineRule="auto"/>
      <w:outlineLvl w:val="8"/>
    </w:pPr>
    <w:rPr>
      <w:rFonts w:ascii="Cambria" w:hAnsi="Cambria"/>
      <w:szCs w:val="21"/>
    </w:rPr>
  </w:style>
  <w:style w:type="character" w:default="1" w:styleId="57">
    <w:name w:val="Default Paragraph Font"/>
    <w:semiHidden/>
    <w:uiPriority w:val="0"/>
  </w:style>
  <w:style w:type="table" w:default="1" w:styleId="55">
    <w:name w:val="Normal Table"/>
    <w:semiHidden/>
    <w:uiPriority w:val="0"/>
    <w:tblPr>
      <w:tblStyle w:val="55"/>
      <w:tblCellMar>
        <w:top w:w="0" w:type="dxa"/>
        <w:left w:w="108" w:type="dxa"/>
        <w:bottom w:w="0" w:type="dxa"/>
        <w:right w:w="108" w:type="dxa"/>
      </w:tblCellMar>
    </w:tblPr>
  </w:style>
  <w:style w:type="paragraph" w:styleId="4">
    <w:name w:val="Normal Indent"/>
    <w:basedOn w:val="1"/>
    <w:link w:val="67"/>
    <w:uiPriority w:val="0"/>
    <w:pPr>
      <w:ind w:firstLine="420"/>
    </w:pPr>
    <w:rPr>
      <w:szCs w:val="20"/>
    </w:rPr>
  </w:style>
  <w:style w:type="paragraph" w:styleId="12">
    <w:name w:val="toc 7"/>
    <w:basedOn w:val="1"/>
    <w:next w:val="1"/>
    <w:semiHidden/>
    <w:uiPriority w:val="0"/>
    <w:pPr>
      <w:ind w:left="2520" w:leftChars="1200"/>
    </w:pPr>
  </w:style>
  <w:style w:type="paragraph" w:styleId="13">
    <w:name w:val="List Number 2"/>
    <w:basedOn w:val="1"/>
    <w:uiPriority w:val="0"/>
    <w:pPr>
      <w:widowControl/>
      <w:tabs>
        <w:tab w:val="left" w:pos="1697"/>
      </w:tabs>
      <w:spacing w:after="156" w:afterLines="50"/>
      <w:ind w:left="1697" w:hanging="420"/>
      <w:jc w:val="left"/>
    </w:pPr>
    <w:rPr>
      <w:kern w:val="0"/>
      <w:sz w:val="24"/>
      <w:szCs w:val="20"/>
    </w:rPr>
  </w:style>
  <w:style w:type="paragraph" w:styleId="14">
    <w:name w:val="List Number"/>
    <w:basedOn w:val="1"/>
    <w:uiPriority w:val="0"/>
    <w:pPr>
      <w:widowControl/>
      <w:numPr>
        <w:ilvl w:val="0"/>
        <w:numId w:val="3"/>
      </w:numPr>
      <w:tabs>
        <w:tab w:val="left" w:pos="420"/>
        <w:tab w:val="left" w:pos="454"/>
        <w:tab w:val="left" w:pos="720"/>
        <w:tab w:val="left" w:pos="900"/>
      </w:tabs>
      <w:spacing w:after="156" w:afterLines="50"/>
      <w:ind w:left="908" w:hanging="284"/>
      <w:jc w:val="left"/>
    </w:pPr>
    <w:rPr>
      <w:kern w:val="0"/>
      <w:sz w:val="24"/>
      <w:szCs w:val="20"/>
    </w:rPr>
  </w:style>
  <w:style w:type="paragraph" w:styleId="15">
    <w:name w:val="caption"/>
    <w:basedOn w:val="1"/>
    <w:next w:val="1"/>
    <w:link w:val="171"/>
    <w:qFormat/>
    <w:uiPriority w:val="0"/>
    <w:pPr>
      <w:spacing w:before="152" w:after="160"/>
    </w:pPr>
    <w:rPr>
      <w:rFonts w:ascii="Arial" w:hAnsi="Arial" w:eastAsia="黑体"/>
      <w:sz w:val="20"/>
      <w:szCs w:val="20"/>
    </w:rPr>
  </w:style>
  <w:style w:type="paragraph" w:styleId="16">
    <w:name w:val="List Bullet"/>
    <w:basedOn w:val="1"/>
    <w:uiPriority w:val="0"/>
    <w:pPr>
      <w:spacing w:line="360" w:lineRule="auto"/>
      <w:ind w:firstLine="422" w:firstLineChars="200"/>
    </w:pPr>
    <w:rPr>
      <w:b/>
      <w:bCs/>
    </w:rPr>
  </w:style>
  <w:style w:type="paragraph" w:styleId="17">
    <w:name w:val="Document Map"/>
    <w:basedOn w:val="1"/>
    <w:link w:val="150"/>
    <w:uiPriority w:val="0"/>
    <w:pPr>
      <w:shd w:val="clear" w:color="auto" w:fill="000080"/>
    </w:pPr>
    <w:rPr>
      <w:shd w:val="clear" w:color="auto" w:fill="000080"/>
    </w:rPr>
  </w:style>
  <w:style w:type="paragraph" w:styleId="18">
    <w:name w:val="annotation text"/>
    <w:basedOn w:val="1"/>
    <w:link w:val="96"/>
    <w:uiPriority w:val="0"/>
    <w:pPr>
      <w:adjustRightInd w:val="0"/>
      <w:jc w:val="left"/>
    </w:pPr>
  </w:style>
  <w:style w:type="paragraph" w:styleId="19">
    <w:name w:val="Salutation"/>
    <w:basedOn w:val="1"/>
    <w:next w:val="1"/>
    <w:link w:val="99"/>
    <w:uiPriority w:val="0"/>
    <w:pPr>
      <w:numPr>
        <w:ilvl w:val="0"/>
        <w:numId w:val="1"/>
      </w:numPr>
      <w:tabs>
        <w:tab w:val="left" w:pos="420"/>
      </w:tabs>
      <w:ind w:left="0" w:firstLine="0"/>
    </w:pPr>
    <w:rPr>
      <w:sz w:val="24"/>
    </w:rPr>
  </w:style>
  <w:style w:type="paragraph" w:styleId="20">
    <w:name w:val="Body Text 3"/>
    <w:basedOn w:val="1"/>
    <w:link w:val="173"/>
    <w:uiPriority w:val="0"/>
    <w:pPr>
      <w:snapToGrid w:val="0"/>
      <w:spacing w:before="50" w:after="50"/>
    </w:pPr>
    <w:rPr>
      <w:rFonts w:hAnsi="宋体" w:eastAsia="仿宋_GB2312"/>
      <w:b/>
      <w:bCs/>
      <w:sz w:val="24"/>
      <w:szCs w:val="20"/>
    </w:rPr>
  </w:style>
  <w:style w:type="paragraph" w:styleId="21">
    <w:name w:val="Body Text"/>
    <w:basedOn w:val="1"/>
    <w:link w:val="78"/>
    <w:uiPriority w:val="0"/>
    <w:pPr>
      <w:spacing w:after="120"/>
    </w:pPr>
  </w:style>
  <w:style w:type="paragraph" w:styleId="22">
    <w:name w:val="Body Text Indent"/>
    <w:basedOn w:val="1"/>
    <w:link w:val="92"/>
    <w:uiPriority w:val="0"/>
    <w:pPr>
      <w:spacing w:after="120"/>
      <w:ind w:left="420" w:leftChars="200"/>
    </w:pPr>
  </w:style>
  <w:style w:type="paragraph" w:styleId="23">
    <w:name w:val="List Number 3"/>
    <w:basedOn w:val="1"/>
    <w:uiPriority w:val="0"/>
    <w:pPr>
      <w:numPr>
        <w:ilvl w:val="0"/>
        <w:numId w:val="1"/>
      </w:numPr>
      <w:tabs>
        <w:tab w:val="left" w:pos="420"/>
        <w:tab w:val="left" w:pos="1200"/>
      </w:tabs>
    </w:pPr>
  </w:style>
  <w:style w:type="paragraph" w:styleId="24">
    <w:name w:val="List 2"/>
    <w:basedOn w:val="1"/>
    <w:uiPriority w:val="0"/>
    <w:pPr>
      <w:ind w:left="100" w:leftChars="200" w:hanging="200" w:hangingChars="200"/>
    </w:pPr>
    <w:rPr>
      <w:sz w:val="28"/>
    </w:rPr>
  </w:style>
  <w:style w:type="paragraph" w:styleId="25">
    <w:name w:val="toc 5"/>
    <w:basedOn w:val="1"/>
    <w:next w:val="1"/>
    <w:semiHidden/>
    <w:uiPriority w:val="0"/>
    <w:pPr>
      <w:ind w:left="1680" w:leftChars="800"/>
    </w:pPr>
  </w:style>
  <w:style w:type="paragraph" w:styleId="26">
    <w:name w:val="toc 3"/>
    <w:basedOn w:val="1"/>
    <w:next w:val="1"/>
    <w:semiHidden/>
    <w:uiPriority w:val="0"/>
    <w:pPr>
      <w:ind w:left="840" w:leftChars="400"/>
    </w:pPr>
  </w:style>
  <w:style w:type="paragraph" w:styleId="27">
    <w:name w:val="Plain Text"/>
    <w:basedOn w:val="1"/>
    <w:link w:val="116"/>
    <w:uiPriority w:val="0"/>
    <w:rPr>
      <w:rFonts w:ascii="宋体" w:hAnsi="Courier New" w:cs="Courier New"/>
      <w:szCs w:val="21"/>
    </w:rPr>
  </w:style>
  <w:style w:type="paragraph" w:styleId="28">
    <w:name w:val="toc 8"/>
    <w:basedOn w:val="1"/>
    <w:next w:val="1"/>
    <w:semiHidden/>
    <w:uiPriority w:val="0"/>
    <w:pPr>
      <w:ind w:left="2940" w:leftChars="1400"/>
    </w:pPr>
  </w:style>
  <w:style w:type="paragraph" w:styleId="29">
    <w:name w:val="Date"/>
    <w:basedOn w:val="1"/>
    <w:next w:val="1"/>
    <w:link w:val="151"/>
    <w:uiPriority w:val="0"/>
    <w:pPr>
      <w:ind w:left="100" w:leftChars="2500"/>
    </w:pPr>
    <w:rPr>
      <w:rFonts w:ascii="宋体" w:hAnsi="宋体"/>
      <w:color w:val="000000"/>
      <w:sz w:val="24"/>
    </w:rPr>
  </w:style>
  <w:style w:type="paragraph" w:styleId="30">
    <w:name w:val="Body Text Indent 2"/>
    <w:basedOn w:val="1"/>
    <w:link w:val="184"/>
    <w:uiPriority w:val="0"/>
    <w:pPr>
      <w:snapToGrid w:val="0"/>
      <w:ind w:firstLine="542" w:firstLineChars="225"/>
    </w:pPr>
    <w:rPr>
      <w:rFonts w:ascii="仿宋_GB2312" w:hAnsi="宋体"/>
      <w:b/>
      <w:bCs/>
      <w:color w:val="000000"/>
      <w:sz w:val="24"/>
    </w:rPr>
  </w:style>
  <w:style w:type="paragraph" w:styleId="31">
    <w:name w:val="Balloon Text"/>
    <w:basedOn w:val="1"/>
    <w:link w:val="160"/>
    <w:semiHidden/>
    <w:uiPriority w:val="0"/>
    <w:rPr>
      <w:sz w:val="18"/>
      <w:szCs w:val="18"/>
    </w:rPr>
  </w:style>
  <w:style w:type="paragraph" w:styleId="32">
    <w:name w:val="footer"/>
    <w:basedOn w:val="1"/>
    <w:link w:val="157"/>
    <w:uiPriority w:val="0"/>
    <w:pPr>
      <w:tabs>
        <w:tab w:val="center" w:pos="4153"/>
        <w:tab w:val="right" w:pos="8306"/>
      </w:tabs>
      <w:snapToGrid w:val="0"/>
      <w:jc w:val="left"/>
    </w:pPr>
    <w:rPr>
      <w:sz w:val="18"/>
      <w:szCs w:val="18"/>
    </w:rPr>
  </w:style>
  <w:style w:type="paragraph" w:styleId="33">
    <w:name w:val="header"/>
    <w:basedOn w:val="1"/>
    <w:link w:val="103"/>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34">
    <w:name w:val="toc 1"/>
    <w:basedOn w:val="1"/>
    <w:next w:val="1"/>
    <w:semiHidden/>
    <w:uiPriority w:val="0"/>
  </w:style>
  <w:style w:type="paragraph" w:styleId="35">
    <w:name w:val="toc 4"/>
    <w:basedOn w:val="1"/>
    <w:next w:val="1"/>
    <w:semiHidden/>
    <w:uiPriority w:val="0"/>
    <w:pPr>
      <w:ind w:left="1260" w:leftChars="600"/>
    </w:pPr>
  </w:style>
  <w:style w:type="paragraph" w:styleId="36">
    <w:name w:val="index heading"/>
    <w:basedOn w:val="1"/>
    <w:next w:val="37"/>
    <w:uiPriority w:val="0"/>
    <w:pPr>
      <w:widowControl/>
      <w:overflowPunct w:val="0"/>
      <w:autoSpaceDE w:val="0"/>
      <w:autoSpaceDN w:val="0"/>
      <w:adjustRightInd w:val="0"/>
      <w:spacing w:before="240" w:line="300" w:lineRule="auto"/>
      <w:ind w:left="2268"/>
      <w:jc w:val="left"/>
    </w:pPr>
    <w:rPr>
      <w:kern w:val="0"/>
      <w:sz w:val="24"/>
      <w:szCs w:val="20"/>
    </w:rPr>
  </w:style>
  <w:style w:type="paragraph" w:styleId="37">
    <w:name w:val="index 1"/>
    <w:basedOn w:val="1"/>
    <w:next w:val="1"/>
    <w:uiPriority w:val="0"/>
    <w:pPr>
      <w:spacing w:line="360" w:lineRule="auto"/>
    </w:pPr>
  </w:style>
  <w:style w:type="paragraph" w:styleId="38">
    <w:name w:val="Subtitle"/>
    <w:basedOn w:val="1"/>
    <w:next w:val="1"/>
    <w:link w:val="194"/>
    <w:qFormat/>
    <w:uiPriority w:val="0"/>
    <w:pPr>
      <w:spacing w:before="240" w:after="60" w:line="312" w:lineRule="auto"/>
      <w:jc w:val="center"/>
      <w:outlineLvl w:val="1"/>
    </w:pPr>
    <w:rPr>
      <w:rFonts w:ascii="Cambria" w:hAnsi="Cambria"/>
      <w:b/>
      <w:bCs/>
      <w:kern w:val="28"/>
      <w:sz w:val="32"/>
      <w:szCs w:val="32"/>
    </w:rPr>
  </w:style>
  <w:style w:type="paragraph" w:styleId="39">
    <w:name w:val="List Number 5"/>
    <w:basedOn w:val="1"/>
    <w:uiPriority w:val="0"/>
    <w:pPr>
      <w:numPr>
        <w:ilvl w:val="2"/>
        <w:numId w:val="4"/>
      </w:numPr>
      <w:tabs>
        <w:tab w:val="left" w:pos="1260"/>
      </w:tabs>
      <w:ind w:firstLine="0"/>
    </w:pPr>
    <w:rPr>
      <w:szCs w:val="20"/>
    </w:rPr>
  </w:style>
  <w:style w:type="paragraph" w:styleId="40">
    <w:name w:val="List"/>
    <w:basedOn w:val="1"/>
    <w:uiPriority w:val="0"/>
    <w:pPr>
      <w:ind w:left="200" w:hanging="200" w:hangingChars="200"/>
    </w:pPr>
    <w:rPr>
      <w:sz w:val="28"/>
    </w:rPr>
  </w:style>
  <w:style w:type="paragraph" w:styleId="41">
    <w:name w:val="footnote text"/>
    <w:basedOn w:val="1"/>
    <w:link w:val="191"/>
    <w:uiPriority w:val="0"/>
    <w:pPr>
      <w:snapToGrid w:val="0"/>
      <w:spacing w:line="360" w:lineRule="auto"/>
      <w:ind w:firstLine="200" w:firstLineChars="200"/>
      <w:jc w:val="left"/>
    </w:pPr>
    <w:rPr>
      <w:sz w:val="18"/>
      <w:szCs w:val="18"/>
    </w:rPr>
  </w:style>
  <w:style w:type="paragraph" w:styleId="42">
    <w:name w:val="toc 6"/>
    <w:basedOn w:val="1"/>
    <w:next w:val="1"/>
    <w:semiHidden/>
    <w:uiPriority w:val="0"/>
    <w:pPr>
      <w:ind w:left="2100" w:leftChars="1000"/>
    </w:pPr>
  </w:style>
  <w:style w:type="paragraph" w:styleId="43">
    <w:name w:val="Body Text Indent 3"/>
    <w:basedOn w:val="1"/>
    <w:link w:val="146"/>
    <w:uiPriority w:val="0"/>
    <w:pPr>
      <w:spacing w:after="120"/>
      <w:ind w:left="420" w:leftChars="200"/>
    </w:pPr>
    <w:rPr>
      <w:sz w:val="16"/>
      <w:szCs w:val="16"/>
    </w:rPr>
  </w:style>
  <w:style w:type="paragraph" w:styleId="44">
    <w:name w:val="table of figures"/>
    <w:basedOn w:val="1"/>
    <w:next w:val="1"/>
    <w:uiPriority w:val="0"/>
    <w:pPr>
      <w:spacing w:line="360" w:lineRule="auto"/>
      <w:ind w:left="480" w:hanging="480" w:firstLineChars="200"/>
      <w:jc w:val="left"/>
    </w:pPr>
    <w:rPr>
      <w:rFonts w:ascii="Calibri" w:hAnsi="Calibri" w:cs="Calibri"/>
      <w:smallCaps/>
      <w:sz w:val="20"/>
      <w:szCs w:val="20"/>
    </w:rPr>
  </w:style>
  <w:style w:type="paragraph" w:styleId="45">
    <w:name w:val="toc 2"/>
    <w:basedOn w:val="1"/>
    <w:next w:val="1"/>
    <w:semiHidden/>
    <w:uiPriority w:val="0"/>
    <w:pPr>
      <w:ind w:left="420" w:leftChars="200"/>
    </w:pPr>
  </w:style>
  <w:style w:type="paragraph" w:styleId="46">
    <w:name w:val="toc 9"/>
    <w:basedOn w:val="1"/>
    <w:next w:val="1"/>
    <w:semiHidden/>
    <w:uiPriority w:val="0"/>
    <w:pPr>
      <w:ind w:left="3360" w:leftChars="1600"/>
    </w:pPr>
  </w:style>
  <w:style w:type="paragraph" w:styleId="47">
    <w:name w:val="Body Text 2"/>
    <w:basedOn w:val="1"/>
    <w:link w:val="181"/>
    <w:uiPriority w:val="0"/>
    <w:pPr>
      <w:widowControl/>
      <w:snapToGrid w:val="0"/>
      <w:spacing w:before="50" w:after="156" w:afterLines="50" w:line="400" w:lineRule="exact"/>
      <w:jc w:val="left"/>
    </w:pPr>
    <w:rPr>
      <w:rFonts w:ascii="宋体" w:hAnsi="宋体"/>
      <w:color w:val="000000"/>
      <w:sz w:val="24"/>
    </w:rPr>
  </w:style>
  <w:style w:type="paragraph" w:styleId="48">
    <w:name w:val="List Continue 2"/>
    <w:basedOn w:val="1"/>
    <w:uiPriority w:val="0"/>
    <w:pPr>
      <w:spacing w:after="120"/>
      <w:ind w:left="840" w:leftChars="400"/>
    </w:pPr>
  </w:style>
  <w:style w:type="paragraph" w:styleId="49">
    <w:name w:val="HTML Preformatted"/>
    <w:basedOn w:val="1"/>
    <w:link w:val="166"/>
    <w:uiPriority w:val="0"/>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黑体" w:hAnsi="Courier New" w:eastAsia="黑体"/>
    </w:rPr>
  </w:style>
  <w:style w:type="paragraph" w:styleId="50">
    <w:name w:val="Normal (Web)"/>
    <w:basedOn w:val="1"/>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77"/>
    <w:qFormat/>
    <w:uiPriority w:val="0"/>
    <w:pPr>
      <w:spacing w:before="240" w:after="60"/>
      <w:jc w:val="center"/>
      <w:outlineLvl w:val="0"/>
    </w:pPr>
    <w:rPr>
      <w:rFonts w:ascii="Cambria" w:hAnsi="Cambria"/>
      <w:b/>
      <w:bCs/>
      <w:sz w:val="32"/>
      <w:szCs w:val="32"/>
    </w:rPr>
  </w:style>
  <w:style w:type="paragraph" w:styleId="52">
    <w:name w:val="annotation subject"/>
    <w:basedOn w:val="18"/>
    <w:next w:val="18"/>
    <w:link w:val="195"/>
    <w:uiPriority w:val="0"/>
    <w:pPr>
      <w:adjustRightInd/>
    </w:pPr>
    <w:rPr>
      <w:b/>
      <w:bCs/>
    </w:rPr>
  </w:style>
  <w:style w:type="paragraph" w:styleId="53">
    <w:name w:val="Body Text First Indent"/>
    <w:basedOn w:val="21"/>
    <w:link w:val="187"/>
    <w:uiPriority w:val="0"/>
    <w:pPr>
      <w:ind w:firstLine="420" w:firstLineChars="100"/>
    </w:pPr>
    <w:rPr>
      <w:szCs w:val="22"/>
    </w:rPr>
  </w:style>
  <w:style w:type="paragraph" w:styleId="54">
    <w:name w:val="Body Text First Indent 2"/>
    <w:basedOn w:val="22"/>
    <w:link w:val="188"/>
    <w:uiPriority w:val="0"/>
    <w:pPr>
      <w:ind w:firstLine="420" w:firstLineChars="200"/>
    </w:pPr>
    <w:rPr>
      <w:rFonts w:ascii="宋体" w:hAnsi="Courier New"/>
      <w:spacing w:val="-4"/>
    </w:rPr>
  </w:style>
  <w:style w:type="table" w:styleId="56">
    <w:name w:val="Table Grid"/>
    <w:basedOn w:val="55"/>
    <w:uiPriority w:val="0"/>
    <w:tblPr>
      <w:tblStyle w:val="5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page number"/>
    <w:basedOn w:val="57"/>
    <w:uiPriority w:val="0"/>
  </w:style>
  <w:style w:type="character" w:styleId="60">
    <w:name w:val="FollowedHyperlink"/>
    <w:uiPriority w:val="99"/>
    <w:rPr>
      <w:color w:val="800080"/>
      <w:u w:val="single"/>
    </w:rPr>
  </w:style>
  <w:style w:type="character" w:styleId="61">
    <w:name w:val="Emphasis"/>
    <w:qFormat/>
    <w:uiPriority w:val="0"/>
    <w:rPr>
      <w:color w:val="CC0000"/>
    </w:rPr>
  </w:style>
  <w:style w:type="character" w:styleId="62">
    <w:name w:val="Hyperlink"/>
    <w:uiPriority w:val="99"/>
    <w:rPr>
      <w:color w:val="0000FF"/>
      <w:u w:val="single"/>
    </w:rPr>
  </w:style>
  <w:style w:type="character" w:styleId="63">
    <w:name w:val="HTML Code"/>
    <w:uiPriority w:val="0"/>
    <w:rPr>
      <w:rFonts w:ascii="宋体" w:hAnsi="宋体" w:eastAsia="宋体" w:cs="宋体"/>
      <w:sz w:val="24"/>
      <w:szCs w:val="24"/>
    </w:rPr>
  </w:style>
  <w:style w:type="character" w:styleId="64">
    <w:name w:val="annotation reference"/>
    <w:uiPriority w:val="0"/>
    <w:rPr>
      <w:sz w:val="21"/>
      <w:szCs w:val="21"/>
    </w:rPr>
  </w:style>
  <w:style w:type="character" w:styleId="65">
    <w:name w:val="footnote reference"/>
    <w:uiPriority w:val="0"/>
    <w:rPr>
      <w:vertAlign w:val="superscript"/>
    </w:rPr>
  </w:style>
  <w:style w:type="character" w:customStyle="1" w:styleId="66">
    <w:name w:val="标题 1 Char"/>
    <w:link w:val="2"/>
    <w:uiPriority w:val="0"/>
    <w:rPr>
      <w:rFonts w:ascii="宋体" w:hAnsi="宋体"/>
      <w:b/>
      <w:kern w:val="2"/>
      <w:sz w:val="30"/>
    </w:rPr>
  </w:style>
  <w:style w:type="character" w:customStyle="1" w:styleId="67">
    <w:name w:val="正文缩进 Char"/>
    <w:link w:val="4"/>
    <w:uiPriority w:val="0"/>
    <w:rPr>
      <w:kern w:val="2"/>
      <w:sz w:val="21"/>
    </w:rPr>
  </w:style>
  <w:style w:type="character" w:customStyle="1" w:styleId="68">
    <w:name w:val="标题 2 Char"/>
    <w:link w:val="3"/>
    <w:uiPriority w:val="0"/>
    <w:rPr>
      <w:rFonts w:ascii="宋体"/>
      <w:b/>
      <w:kern w:val="2"/>
      <w:sz w:val="28"/>
    </w:rPr>
  </w:style>
  <w:style w:type="character" w:customStyle="1" w:styleId="69">
    <w:name w:val="标题 3 Char"/>
    <w:link w:val="5"/>
    <w:uiPriority w:val="0"/>
    <w:rPr>
      <w:rFonts w:ascii="宋体"/>
      <w:b/>
      <w:bCs/>
      <w:kern w:val="2"/>
      <w:sz w:val="28"/>
    </w:rPr>
  </w:style>
  <w:style w:type="character" w:customStyle="1" w:styleId="70">
    <w:name w:val="标题 4 Char"/>
    <w:link w:val="6"/>
    <w:uiPriority w:val="0"/>
    <w:rPr>
      <w:rFonts w:ascii="黑体" w:eastAsia="黑体"/>
      <w:b/>
      <w:kern w:val="2"/>
      <w:sz w:val="24"/>
    </w:rPr>
  </w:style>
  <w:style w:type="character" w:customStyle="1" w:styleId="71">
    <w:name w:val="标题 5 Char"/>
    <w:link w:val="7"/>
    <w:uiPriority w:val="0"/>
    <w:rPr>
      <w:b/>
      <w:bCs/>
      <w:kern w:val="2"/>
      <w:sz w:val="28"/>
      <w:szCs w:val="28"/>
    </w:rPr>
  </w:style>
  <w:style w:type="character" w:customStyle="1" w:styleId="72">
    <w:name w:val="标题 6 Char"/>
    <w:link w:val="8"/>
    <w:uiPriority w:val="0"/>
    <w:rPr>
      <w:rFonts w:ascii="Cambria" w:hAnsi="Cambria"/>
      <w:b/>
      <w:bCs/>
      <w:kern w:val="2"/>
      <w:sz w:val="24"/>
      <w:szCs w:val="24"/>
    </w:rPr>
  </w:style>
  <w:style w:type="character" w:customStyle="1" w:styleId="73">
    <w:name w:val="标题 7 Char"/>
    <w:link w:val="9"/>
    <w:uiPriority w:val="0"/>
    <w:rPr>
      <w:b/>
      <w:bCs/>
      <w:kern w:val="2"/>
      <w:sz w:val="24"/>
      <w:szCs w:val="24"/>
    </w:rPr>
  </w:style>
  <w:style w:type="character" w:customStyle="1" w:styleId="74">
    <w:name w:val="标题 8 Char"/>
    <w:link w:val="10"/>
    <w:uiPriority w:val="0"/>
    <w:rPr>
      <w:rFonts w:ascii="Cambria" w:hAnsi="Cambria"/>
      <w:kern w:val="2"/>
      <w:sz w:val="24"/>
      <w:szCs w:val="24"/>
    </w:rPr>
  </w:style>
  <w:style w:type="character" w:customStyle="1" w:styleId="75">
    <w:name w:val="标题 9 Char"/>
    <w:link w:val="11"/>
    <w:uiPriority w:val="0"/>
    <w:rPr>
      <w:rFonts w:ascii="Cambria" w:hAnsi="Cambria"/>
      <w:kern w:val="2"/>
      <w:sz w:val="21"/>
      <w:szCs w:val="21"/>
    </w:rPr>
  </w:style>
  <w:style w:type="character" w:customStyle="1" w:styleId="76">
    <w:name w:val="def正文 Char Char"/>
    <w:link w:val="77"/>
    <w:uiPriority w:val="0"/>
    <w:rPr>
      <w:sz w:val="24"/>
      <w:szCs w:val="24"/>
    </w:rPr>
  </w:style>
  <w:style w:type="paragraph" w:customStyle="1" w:styleId="77">
    <w:name w:val="def正文"/>
    <w:basedOn w:val="21"/>
    <w:link w:val="76"/>
    <w:uiPriority w:val="0"/>
    <w:pPr>
      <w:spacing w:after="0"/>
    </w:pPr>
    <w:rPr>
      <w:kern w:val="0"/>
      <w:sz w:val="24"/>
    </w:rPr>
  </w:style>
  <w:style w:type="character" w:customStyle="1" w:styleId="78">
    <w:name w:val="正文文本 Char"/>
    <w:link w:val="21"/>
    <w:uiPriority w:val="0"/>
    <w:rPr>
      <w:kern w:val="2"/>
      <w:sz w:val="21"/>
      <w:szCs w:val="24"/>
    </w:rPr>
  </w:style>
  <w:style w:type="character" w:customStyle="1" w:styleId="79">
    <w:name w:val="正文2 Char Char"/>
    <w:link w:val="80"/>
    <w:qFormat/>
    <w:uiPriority w:val="0"/>
    <w:rPr>
      <w:rFonts w:eastAsia="宋体"/>
      <w:kern w:val="2"/>
      <w:sz w:val="24"/>
      <w:lang w:val="en-US" w:eastAsia="zh-CN" w:bidi="ar-SA"/>
    </w:rPr>
  </w:style>
  <w:style w:type="paragraph" w:customStyle="1" w:styleId="80">
    <w:name w:val="正文2"/>
    <w:basedOn w:val="1"/>
    <w:link w:val="79"/>
    <w:uiPriority w:val="0"/>
    <w:pPr>
      <w:adjustRightInd w:val="0"/>
      <w:spacing w:before="156" w:line="360" w:lineRule="auto"/>
      <w:ind w:firstLine="510" w:firstLineChars="200"/>
    </w:pPr>
    <w:rPr>
      <w:sz w:val="24"/>
      <w:szCs w:val="20"/>
    </w:rPr>
  </w:style>
  <w:style w:type="character" w:customStyle="1" w:styleId="81">
    <w:name w:val="HIK二级标题 Char"/>
    <w:link w:val="82"/>
    <w:uiPriority w:val="0"/>
    <w:rPr>
      <w:b/>
      <w:bCs/>
      <w:kern w:val="2"/>
      <w:sz w:val="36"/>
      <w:szCs w:val="30"/>
    </w:rPr>
  </w:style>
  <w:style w:type="paragraph" w:customStyle="1" w:styleId="82">
    <w:name w:val="HIK二级标题"/>
    <w:basedOn w:val="1"/>
    <w:link w:val="81"/>
    <w:qFormat/>
    <w:uiPriority w:val="0"/>
    <w:pPr>
      <w:keepNext/>
      <w:keepLines/>
      <w:spacing w:before="260" w:after="260" w:line="416" w:lineRule="auto"/>
      <w:ind w:right="210"/>
      <w:outlineLvl w:val="1"/>
    </w:pPr>
    <w:rPr>
      <w:b/>
      <w:bCs/>
      <w:sz w:val="36"/>
      <w:szCs w:val="30"/>
    </w:rPr>
  </w:style>
  <w:style w:type="character" w:customStyle="1" w:styleId="83">
    <w:name w:val=" Char Char26"/>
    <w:qFormat/>
    <w:uiPriority w:val="0"/>
    <w:rPr>
      <w:rFonts w:ascii="宋体" w:hAnsi="Courier New" w:eastAsia="宋体" w:cs="Arial"/>
      <w:snapToGrid w:val="0"/>
      <w:kern w:val="2"/>
      <w:sz w:val="21"/>
      <w:szCs w:val="21"/>
      <w:lang w:val="en-US" w:eastAsia="zh-CN" w:bidi="ar-SA"/>
    </w:rPr>
  </w:style>
  <w:style w:type="character" w:customStyle="1" w:styleId="84">
    <w:name w:val="z-窗体顶端 Char1"/>
    <w:uiPriority w:val="0"/>
    <w:rPr>
      <w:rFonts w:ascii="Arial" w:hAnsi="Arial" w:cs="Arial"/>
      <w:vanish/>
      <w:kern w:val="2"/>
      <w:sz w:val="16"/>
      <w:szCs w:val="16"/>
    </w:rPr>
  </w:style>
  <w:style w:type="character" w:customStyle="1" w:styleId="85">
    <w:name w:val="样式 宋体 小四"/>
    <w:uiPriority w:val="0"/>
    <w:rPr>
      <w:rFonts w:ascii="Times New Roman" w:hAnsi="Times New Roman"/>
      <w:sz w:val="24"/>
      <w:szCs w:val="24"/>
    </w:rPr>
  </w:style>
  <w:style w:type="character" w:customStyle="1" w:styleId="86">
    <w:name w:val="标题 Char1"/>
    <w:uiPriority w:val="10"/>
    <w:rPr>
      <w:rFonts w:ascii="Cambria" w:hAnsi="Cambria" w:cs="Times New Roman"/>
      <w:b/>
      <w:bCs/>
      <w:kern w:val="2"/>
      <w:sz w:val="32"/>
      <w:szCs w:val="32"/>
    </w:rPr>
  </w:style>
  <w:style w:type="character" w:customStyle="1" w:styleId="87">
    <w:name w:val="样式 标题 2Heading 2 HiddenHeading 2 CCBSH2PA Major SectionTitr... Char Char"/>
    <w:link w:val="88"/>
    <w:uiPriority w:val="0"/>
    <w:rPr>
      <w:rFonts w:ascii="Arial" w:hAnsi="Arial"/>
      <w:b/>
      <w:bCs/>
      <w:kern w:val="2"/>
      <w:sz w:val="24"/>
      <w:szCs w:val="32"/>
    </w:rPr>
  </w:style>
  <w:style w:type="paragraph" w:customStyle="1" w:styleId="88">
    <w:name w:val="样式 标题 2Heading 2 HiddenHeading 2 CCBSH2PA Major SectionTitr..."/>
    <w:basedOn w:val="3"/>
    <w:link w:val="87"/>
    <w:uiPriority w:val="0"/>
    <w:pPr>
      <w:keepLines/>
      <w:numPr>
        <w:ilvl w:val="1"/>
        <w:numId w:val="0"/>
      </w:numPr>
      <w:tabs>
        <w:tab w:val="left" w:pos="360"/>
      </w:tabs>
      <w:spacing w:before="156" w:beforeLines="50" w:after="156" w:afterLines="50" w:line="360" w:lineRule="auto"/>
    </w:pPr>
    <w:rPr>
      <w:rFonts w:ascii="Arial" w:hAnsi="Arial"/>
      <w:bCs/>
      <w:sz w:val="24"/>
      <w:szCs w:val="32"/>
    </w:rPr>
  </w:style>
  <w:style w:type="character" w:customStyle="1" w:styleId="89">
    <w:name w:val="Table Text Char1"/>
    <w:link w:val="90"/>
    <w:uiPriority w:val="0"/>
    <w:rPr>
      <w:rFonts w:ascii="Arial" w:hAnsi="Arial"/>
      <w:sz w:val="18"/>
      <w:lang w:val="en-US" w:eastAsia="zh-CN" w:bidi="ar-SA"/>
    </w:rPr>
  </w:style>
  <w:style w:type="paragraph" w:customStyle="1" w:styleId="90">
    <w:name w:val="Table Text"/>
    <w:link w:val="89"/>
    <w:uiPriority w:val="0"/>
    <w:pPr>
      <w:snapToGrid w:val="0"/>
      <w:spacing w:before="80" w:after="80"/>
    </w:pPr>
    <w:rPr>
      <w:rFonts w:ascii="Arial" w:hAnsi="Arial"/>
      <w:sz w:val="18"/>
      <w:lang w:val="en-US" w:eastAsia="zh-CN" w:bidi="ar-SA"/>
    </w:rPr>
  </w:style>
  <w:style w:type="character" w:customStyle="1" w:styleId="91">
    <w:name w:val="正文首行缩进 2 Char2"/>
    <w:basedOn w:val="92"/>
    <w:uiPriority w:val="0"/>
  </w:style>
  <w:style w:type="character" w:customStyle="1" w:styleId="92">
    <w:name w:val="正文文本缩进 Char1"/>
    <w:link w:val="22"/>
    <w:uiPriority w:val="0"/>
    <w:rPr>
      <w:kern w:val="2"/>
      <w:sz w:val="21"/>
      <w:szCs w:val="24"/>
    </w:rPr>
  </w:style>
  <w:style w:type="character" w:customStyle="1" w:styleId="93">
    <w:name w:val="font1"/>
    <w:uiPriority w:val="0"/>
    <w:rPr>
      <w:color w:val="999999"/>
      <w:sz w:val="18"/>
      <w:szCs w:val="18"/>
      <w:u w:val="none"/>
    </w:rPr>
  </w:style>
  <w:style w:type="character" w:customStyle="1" w:styleId="94">
    <w:name w:val="HTML 预设格式 Char2"/>
    <w:uiPriority w:val="0"/>
    <w:rPr>
      <w:rFonts w:ascii="Courier New" w:hAnsi="Courier New" w:cs="Courier New"/>
      <w:kern w:val="2"/>
    </w:rPr>
  </w:style>
  <w:style w:type="character" w:customStyle="1" w:styleId="95">
    <w:name w:val="明显参考1"/>
    <w:aliases w:val="替换"/>
    <w:uiPriority w:val="0"/>
    <w:rPr>
      <w:b/>
      <w:bCs/>
      <w:smallCaps/>
      <w:color w:val="FF0000"/>
      <w:spacing w:val="5"/>
      <w:u w:val="double"/>
    </w:rPr>
  </w:style>
  <w:style w:type="character" w:customStyle="1" w:styleId="96">
    <w:name w:val="批注文字 Char"/>
    <w:link w:val="18"/>
    <w:uiPriority w:val="0"/>
    <w:rPr>
      <w:kern w:val="2"/>
      <w:sz w:val="21"/>
      <w:szCs w:val="24"/>
      <w:lang w:bidi="ar-SA"/>
    </w:rPr>
  </w:style>
  <w:style w:type="character" w:customStyle="1" w:styleId="97">
    <w:name w:val="unnamed11"/>
    <w:uiPriority w:val="0"/>
    <w:rPr>
      <w:sz w:val="18"/>
      <w:szCs w:val="18"/>
    </w:rPr>
  </w:style>
  <w:style w:type="character" w:customStyle="1" w:styleId="98">
    <w:name w:val="正文首行缩进 2 Char1"/>
    <w:uiPriority w:val="99"/>
  </w:style>
  <w:style w:type="character" w:customStyle="1" w:styleId="99">
    <w:name w:val="称呼 Char"/>
    <w:link w:val="19"/>
    <w:uiPriority w:val="0"/>
    <w:rPr>
      <w:kern w:val="2"/>
      <w:sz w:val="24"/>
      <w:szCs w:val="24"/>
    </w:rPr>
  </w:style>
  <w:style w:type="character" w:customStyle="1" w:styleId="100">
    <w:name w:val=" Char Char1"/>
    <w:uiPriority w:val="0"/>
    <w:rPr>
      <w:rFonts w:eastAsia="宋体"/>
      <w:sz w:val="24"/>
      <w:lang w:val="en-US" w:eastAsia="zh-CN" w:bidi="ar-SA"/>
    </w:rPr>
  </w:style>
  <w:style w:type="character" w:customStyle="1" w:styleId="101">
    <w:name w:val="z-窗体底端 Char"/>
    <w:link w:val="102"/>
    <w:uiPriority w:val="0"/>
    <w:rPr>
      <w:rFonts w:ascii="Arial" w:hAnsi="Arial" w:cs="Arial"/>
      <w:vanish/>
      <w:sz w:val="16"/>
      <w:szCs w:val="16"/>
    </w:rPr>
  </w:style>
  <w:style w:type="paragraph" w:styleId="102">
    <w:name w:val=""/>
    <w:basedOn w:val="1"/>
    <w:next w:val="1"/>
    <w:link w:val="101"/>
    <w:uiPriority w:val="0"/>
    <w:pPr>
      <w:widowControl/>
      <w:pBdr>
        <w:top w:val="single" w:color="auto" w:sz="6" w:space="1"/>
      </w:pBdr>
      <w:jc w:val="center"/>
    </w:pPr>
    <w:rPr>
      <w:rFonts w:ascii="Arial" w:hAnsi="Arial"/>
      <w:vanish/>
      <w:kern w:val="0"/>
      <w:sz w:val="16"/>
      <w:szCs w:val="16"/>
    </w:rPr>
  </w:style>
  <w:style w:type="character" w:customStyle="1" w:styleId="103">
    <w:name w:val="页眉 Char"/>
    <w:link w:val="33"/>
    <w:uiPriority w:val="0"/>
    <w:rPr>
      <w:rFonts w:ascii="宋体"/>
      <w:sz w:val="18"/>
    </w:rPr>
  </w:style>
  <w:style w:type="character" w:customStyle="1" w:styleId="104">
    <w:name w:val="正文（缩进2汉字） Char Char"/>
    <w:link w:val="105"/>
    <w:uiPriority w:val="0"/>
    <w:rPr>
      <w:rFonts w:ascii="宋体"/>
      <w:kern w:val="2"/>
      <w:sz w:val="21"/>
    </w:rPr>
  </w:style>
  <w:style w:type="paragraph" w:customStyle="1" w:styleId="105">
    <w:name w:val="正文（缩进2汉字）"/>
    <w:basedOn w:val="1"/>
    <w:link w:val="104"/>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106">
    <w:name w:val="圆点编号列表"/>
    <w:uiPriority w:val="0"/>
    <w:rPr>
      <w:rFonts w:ascii="宋体" w:hAnsi="宋体"/>
      <w:sz w:val="24"/>
    </w:rPr>
  </w:style>
  <w:style w:type="character" w:customStyle="1" w:styleId="107">
    <w:name w:val="文档结构图 Char1"/>
    <w:uiPriority w:val="99"/>
    <w:rPr>
      <w:rFonts w:ascii="宋体"/>
      <w:kern w:val="2"/>
      <w:sz w:val="18"/>
      <w:szCs w:val="18"/>
    </w:rPr>
  </w:style>
  <w:style w:type="character" w:customStyle="1" w:styleId="108">
    <w:name w:val="HTML 预设格式 Char1"/>
    <w:uiPriority w:val="99"/>
    <w:rPr>
      <w:rFonts w:ascii="Courier New" w:hAnsi="Courier New" w:cs="Courier New"/>
      <w:kern w:val="2"/>
    </w:rPr>
  </w:style>
  <w:style w:type="character" w:customStyle="1" w:styleId="109">
    <w:name w:val="正文四号 Char Char"/>
    <w:link w:val="110"/>
    <w:uiPriority w:val="0"/>
    <w:rPr>
      <w:rFonts w:eastAsia="仿宋_GB2312"/>
      <w:kern w:val="2"/>
      <w:sz w:val="28"/>
    </w:rPr>
  </w:style>
  <w:style w:type="paragraph" w:customStyle="1" w:styleId="110">
    <w:name w:val="正文四号"/>
    <w:basedOn w:val="1"/>
    <w:link w:val="109"/>
    <w:uiPriority w:val="0"/>
    <w:pPr>
      <w:spacing w:line="360" w:lineRule="auto"/>
      <w:ind w:firstLine="200" w:firstLineChars="200"/>
    </w:pPr>
    <w:rPr>
      <w:rFonts w:eastAsia="仿宋_GB2312"/>
      <w:sz w:val="28"/>
      <w:szCs w:val="20"/>
    </w:rPr>
  </w:style>
  <w:style w:type="character" w:customStyle="1" w:styleId="111">
    <w:name w:val="脚注文本 Char2"/>
    <w:uiPriority w:val="0"/>
    <w:rPr>
      <w:kern w:val="2"/>
      <w:sz w:val="18"/>
      <w:szCs w:val="18"/>
    </w:rPr>
  </w:style>
  <w:style w:type="character" w:customStyle="1" w:styleId="112">
    <w:name w:val="style51"/>
    <w:uiPriority w:val="0"/>
    <w:rPr>
      <w:sz w:val="21"/>
      <w:szCs w:val="21"/>
    </w:rPr>
  </w:style>
  <w:style w:type="character" w:customStyle="1" w:styleId="113">
    <w:name w:val="正文样式1 Char"/>
    <w:link w:val="114"/>
    <w:locked/>
    <w:uiPriority w:val="0"/>
    <w:rPr>
      <w:rFonts w:ascii="Arial" w:hAnsi="Arial" w:cs="Arial"/>
      <w:kern w:val="2"/>
      <w:sz w:val="24"/>
    </w:rPr>
  </w:style>
  <w:style w:type="paragraph" w:customStyle="1" w:styleId="114">
    <w:name w:val="正文样式1"/>
    <w:basedOn w:val="1"/>
    <w:link w:val="113"/>
    <w:uiPriority w:val="0"/>
    <w:pPr>
      <w:spacing w:line="360" w:lineRule="auto"/>
      <w:ind w:firstLine="510"/>
    </w:pPr>
    <w:rPr>
      <w:rFonts w:ascii="Arial" w:hAnsi="Arial"/>
      <w:sz w:val="24"/>
      <w:szCs w:val="20"/>
    </w:rPr>
  </w:style>
  <w:style w:type="character" w:customStyle="1" w:styleId="115">
    <w:name w:val="px14"/>
    <w:uiPriority w:val="0"/>
  </w:style>
  <w:style w:type="character" w:customStyle="1" w:styleId="116">
    <w:name w:val="纯文本 Char"/>
    <w:link w:val="27"/>
    <w:locked/>
    <w:uiPriority w:val="0"/>
    <w:rPr>
      <w:rFonts w:ascii="宋体" w:hAnsi="Courier New" w:eastAsia="宋体" w:cs="Courier New"/>
      <w:kern w:val="2"/>
      <w:sz w:val="21"/>
      <w:szCs w:val="21"/>
      <w:lang w:val="en-US" w:eastAsia="zh-CN" w:bidi="ar-SA"/>
    </w:rPr>
  </w:style>
  <w:style w:type="character" w:customStyle="1" w:styleId="117">
    <w:name w:val="标题6 Char"/>
    <w:link w:val="118"/>
    <w:uiPriority w:val="0"/>
    <w:rPr>
      <w:kern w:val="2"/>
      <w:sz w:val="24"/>
      <w:szCs w:val="24"/>
    </w:rPr>
  </w:style>
  <w:style w:type="paragraph" w:customStyle="1" w:styleId="118">
    <w:name w:val="标题6"/>
    <w:basedOn w:val="1"/>
    <w:next w:val="119"/>
    <w:link w:val="117"/>
    <w:qFormat/>
    <w:uiPriority w:val="0"/>
    <w:pPr>
      <w:numPr>
        <w:ilvl w:val="0"/>
        <w:numId w:val="6"/>
      </w:numPr>
      <w:spacing w:before="156" w:beforeLines="50" w:after="156" w:afterLines="50" w:line="360" w:lineRule="auto"/>
      <w:outlineLvl w:val="4"/>
    </w:pPr>
    <w:rPr>
      <w:sz w:val="24"/>
    </w:rPr>
  </w:style>
  <w:style w:type="paragraph" w:customStyle="1" w:styleId="119">
    <w:name w:val="标准正文"/>
    <w:basedOn w:val="1"/>
    <w:uiPriority w:val="0"/>
    <w:pPr>
      <w:spacing w:after="156" w:afterLines="50"/>
      <w:ind w:firstLine="200" w:firstLineChars="200"/>
    </w:pPr>
    <w:rPr>
      <w:sz w:val="24"/>
      <w:szCs w:val="21"/>
    </w:rPr>
  </w:style>
  <w:style w:type="character" w:customStyle="1" w:styleId="120">
    <w:name w:val="正文小四缩进 Char Char"/>
    <w:link w:val="121"/>
    <w:uiPriority w:val="0"/>
    <w:rPr>
      <w:rFonts w:eastAsia="仿宋_GB2312"/>
      <w:kern w:val="2"/>
      <w:sz w:val="30"/>
      <w:szCs w:val="24"/>
    </w:rPr>
  </w:style>
  <w:style w:type="paragraph" w:customStyle="1" w:styleId="121">
    <w:name w:val="正文小四缩进"/>
    <w:basedOn w:val="1"/>
    <w:link w:val="120"/>
    <w:uiPriority w:val="0"/>
    <w:pPr>
      <w:spacing w:before="120" w:after="120" w:line="360" w:lineRule="auto"/>
      <w:ind w:firstLine="200" w:firstLineChars="200"/>
    </w:pPr>
    <w:rPr>
      <w:rFonts w:eastAsia="仿宋_GB2312"/>
      <w:sz w:val="30"/>
    </w:rPr>
  </w:style>
  <w:style w:type="character" w:customStyle="1" w:styleId="122">
    <w:name w:val="标题4 Char"/>
    <w:link w:val="123"/>
    <w:uiPriority w:val="0"/>
    <w:rPr>
      <w:kern w:val="2"/>
      <w:sz w:val="24"/>
      <w:szCs w:val="24"/>
    </w:rPr>
  </w:style>
  <w:style w:type="paragraph" w:customStyle="1" w:styleId="123">
    <w:name w:val="标题4"/>
    <w:basedOn w:val="1"/>
    <w:next w:val="119"/>
    <w:link w:val="122"/>
    <w:qFormat/>
    <w:uiPriority w:val="0"/>
    <w:pPr>
      <w:spacing w:before="156" w:beforeLines="50" w:after="156" w:afterLines="50" w:line="360" w:lineRule="auto"/>
      <w:ind w:left="851" w:hanging="851"/>
      <w:outlineLvl w:val="3"/>
    </w:pPr>
    <w:rPr>
      <w:sz w:val="24"/>
    </w:rPr>
  </w:style>
  <w:style w:type="character" w:customStyle="1" w:styleId="124">
    <w:name w:val="样式1 Char"/>
    <w:uiPriority w:val="0"/>
    <w:rPr>
      <w:rFonts w:eastAsia="宋体"/>
      <w:kern w:val="2"/>
      <w:sz w:val="24"/>
      <w:szCs w:val="48"/>
      <w:lang w:val="en-US" w:eastAsia="zh-CN" w:bidi="ar-SA"/>
    </w:rPr>
  </w:style>
  <w:style w:type="character" w:customStyle="1" w:styleId="125">
    <w:name w:val="正文无缩进 Char Char"/>
    <w:link w:val="126"/>
    <w:uiPriority w:val="0"/>
    <w:rPr>
      <w:rFonts w:ascii="宋体"/>
      <w:color w:val="000000"/>
      <w:kern w:val="2"/>
      <w:sz w:val="24"/>
      <w:szCs w:val="24"/>
    </w:rPr>
  </w:style>
  <w:style w:type="paragraph" w:customStyle="1" w:styleId="126">
    <w:name w:val="正文无缩进"/>
    <w:basedOn w:val="1"/>
    <w:link w:val="125"/>
    <w:uiPriority w:val="0"/>
    <w:pPr>
      <w:spacing w:line="360" w:lineRule="auto"/>
    </w:pPr>
    <w:rPr>
      <w:rFonts w:ascii="宋体"/>
      <w:color w:val="000000"/>
      <w:sz w:val="24"/>
    </w:rPr>
  </w:style>
  <w:style w:type="character" w:customStyle="1" w:styleId="127">
    <w:name w:val="正文文本缩进 2 Char1"/>
    <w:uiPriority w:val="99"/>
    <w:rPr>
      <w:kern w:val="2"/>
      <w:sz w:val="21"/>
      <w:szCs w:val="22"/>
    </w:rPr>
  </w:style>
  <w:style w:type="character" w:customStyle="1" w:styleId="128">
    <w:name w:val="项目排列 Char Char"/>
    <w:link w:val="129"/>
    <w:uiPriority w:val="0"/>
    <w:rPr>
      <w:kern w:val="2"/>
      <w:sz w:val="24"/>
      <w:szCs w:val="24"/>
    </w:rPr>
  </w:style>
  <w:style w:type="paragraph" w:customStyle="1" w:styleId="129">
    <w:name w:val="项目排列"/>
    <w:basedOn w:val="1"/>
    <w:link w:val="128"/>
    <w:uiPriority w:val="0"/>
    <w:pPr>
      <w:numPr>
        <w:ilvl w:val="0"/>
        <w:numId w:val="7"/>
      </w:numPr>
      <w:tabs>
        <w:tab w:val="left" w:pos="360"/>
      </w:tabs>
      <w:spacing w:before="156" w:beforeLines="50" w:after="156" w:afterLines="50" w:line="300" w:lineRule="auto"/>
    </w:pPr>
    <w:rPr>
      <w:sz w:val="24"/>
    </w:rPr>
  </w:style>
  <w:style w:type="character" w:customStyle="1" w:styleId="130">
    <w:name w:val="html_txt1"/>
    <w:uiPriority w:val="0"/>
    <w:rPr>
      <w:color w:val="000000"/>
    </w:rPr>
  </w:style>
  <w:style w:type="character" w:customStyle="1" w:styleId="131">
    <w:name w:val="标准文本 Char Char"/>
    <w:link w:val="132"/>
    <w:uiPriority w:val="0"/>
    <w:rPr>
      <w:kern w:val="2"/>
      <w:sz w:val="24"/>
    </w:rPr>
  </w:style>
  <w:style w:type="paragraph" w:customStyle="1" w:styleId="132">
    <w:name w:val="标准文本"/>
    <w:basedOn w:val="1"/>
    <w:link w:val="131"/>
    <w:uiPriority w:val="0"/>
    <w:pPr>
      <w:spacing w:line="360" w:lineRule="auto"/>
      <w:ind w:firstLine="480" w:firstLineChars="200"/>
    </w:pPr>
    <w:rPr>
      <w:sz w:val="24"/>
      <w:szCs w:val="20"/>
    </w:rPr>
  </w:style>
  <w:style w:type="character" w:customStyle="1" w:styleId="133">
    <w:name w:val="headline-content2"/>
    <w:uiPriority w:val="0"/>
  </w:style>
  <w:style w:type="character" w:customStyle="1" w:styleId="134">
    <w:name w:val="正文文本缩进 3 Char1"/>
    <w:semiHidden/>
    <w:uiPriority w:val="99"/>
    <w:rPr>
      <w:kern w:val="2"/>
      <w:sz w:val="16"/>
      <w:szCs w:val="16"/>
    </w:rPr>
  </w:style>
  <w:style w:type="character" w:customStyle="1" w:styleId="135">
    <w:name w:val="脚注文本 Char1"/>
    <w:uiPriority w:val="99"/>
    <w:rPr>
      <w:kern w:val="2"/>
      <w:sz w:val="18"/>
      <w:szCs w:val="18"/>
    </w:rPr>
  </w:style>
  <w:style w:type="character" w:customStyle="1" w:styleId="136">
    <w:name w:val="word"/>
    <w:uiPriority w:val="0"/>
  </w:style>
  <w:style w:type="character" w:customStyle="1" w:styleId="137">
    <w:name w:val="表格 Char Char"/>
    <w:link w:val="138"/>
    <w:uiPriority w:val="0"/>
    <w:rPr>
      <w:kern w:val="2"/>
      <w:sz w:val="28"/>
      <w:szCs w:val="24"/>
    </w:rPr>
  </w:style>
  <w:style w:type="paragraph" w:customStyle="1" w:styleId="138">
    <w:name w:val="表格"/>
    <w:basedOn w:val="1"/>
    <w:link w:val="137"/>
    <w:uiPriority w:val="0"/>
    <w:rPr>
      <w:sz w:val="28"/>
    </w:rPr>
  </w:style>
  <w:style w:type="character" w:customStyle="1" w:styleId="139">
    <w:name w:val=" Char Char Char"/>
    <w:uiPriority w:val="0"/>
    <w:rPr>
      <w:rFonts w:ascii="宋体" w:hAnsi="Courier New" w:eastAsia="宋体"/>
      <w:kern w:val="2"/>
      <w:sz w:val="21"/>
      <w:lang w:val="en-US" w:eastAsia="zh-CN" w:bidi="ar-SA"/>
    </w:rPr>
  </w:style>
  <w:style w:type="character" w:customStyle="1" w:styleId="140">
    <w:name w:val="正文文本缩进 Char"/>
    <w:uiPriority w:val="0"/>
    <w:rPr>
      <w:rFonts w:ascii="Times New Roman" w:hAnsi="Times New Roman"/>
      <w:kern w:val="2"/>
      <w:sz w:val="21"/>
      <w:szCs w:val="24"/>
    </w:rPr>
  </w:style>
  <w:style w:type="character" w:customStyle="1" w:styleId="141">
    <w:name w:val="副标题 Char2"/>
    <w:uiPriority w:val="0"/>
    <w:rPr>
      <w:rFonts w:ascii="Cambria" w:hAnsi="Cambria" w:cs="Times New Roman"/>
      <w:b/>
      <w:bCs/>
      <w:kern w:val="28"/>
      <w:sz w:val="32"/>
      <w:szCs w:val="32"/>
    </w:rPr>
  </w:style>
  <w:style w:type="character" w:customStyle="1" w:styleId="142">
    <w:name w:val="标题5 Char"/>
    <w:link w:val="143"/>
    <w:uiPriority w:val="0"/>
    <w:rPr>
      <w:kern w:val="2"/>
      <w:sz w:val="24"/>
      <w:szCs w:val="24"/>
    </w:rPr>
  </w:style>
  <w:style w:type="paragraph" w:customStyle="1" w:styleId="143">
    <w:name w:val="标题5"/>
    <w:basedOn w:val="1"/>
    <w:next w:val="119"/>
    <w:link w:val="142"/>
    <w:qFormat/>
    <w:uiPriority w:val="0"/>
    <w:pPr>
      <w:numPr>
        <w:ilvl w:val="0"/>
        <w:numId w:val="8"/>
      </w:numPr>
      <w:spacing w:before="156" w:beforeLines="50" w:after="156" w:afterLines="50" w:line="360" w:lineRule="auto"/>
      <w:outlineLvl w:val="4"/>
    </w:pPr>
    <w:rPr>
      <w:sz w:val="24"/>
    </w:rPr>
  </w:style>
  <w:style w:type="character" w:customStyle="1" w:styleId="144">
    <w:name w:val="正文文本 3 Char1"/>
    <w:uiPriority w:val="0"/>
    <w:rPr>
      <w:kern w:val="2"/>
      <w:sz w:val="16"/>
      <w:szCs w:val="16"/>
    </w:rPr>
  </w:style>
  <w:style w:type="character" w:customStyle="1" w:styleId="145">
    <w:name w:val="itemdesc"/>
    <w:uiPriority w:val="0"/>
  </w:style>
  <w:style w:type="character" w:customStyle="1" w:styleId="146">
    <w:name w:val="正文文本缩进 3 Char"/>
    <w:link w:val="43"/>
    <w:uiPriority w:val="0"/>
    <w:rPr>
      <w:kern w:val="2"/>
      <w:sz w:val="16"/>
      <w:szCs w:val="16"/>
    </w:rPr>
  </w:style>
  <w:style w:type="character" w:customStyle="1" w:styleId="147">
    <w:name w:val="编号，小四 Char"/>
    <w:link w:val="148"/>
    <w:uiPriority w:val="0"/>
    <w:rPr>
      <w:rFonts w:ascii="Arial" w:hAnsi="Arial" w:cs="宋体"/>
      <w:kern w:val="2"/>
      <w:sz w:val="24"/>
    </w:rPr>
  </w:style>
  <w:style w:type="paragraph" w:customStyle="1" w:styleId="148">
    <w:name w:val="编号，小四"/>
    <w:basedOn w:val="1"/>
    <w:link w:val="147"/>
    <w:qFormat/>
    <w:uiPriority w:val="0"/>
    <w:pPr>
      <w:numPr>
        <w:ilvl w:val="0"/>
        <w:numId w:val="4"/>
      </w:numPr>
      <w:tabs>
        <w:tab w:val="left" w:pos="1140"/>
      </w:tabs>
      <w:spacing w:line="360" w:lineRule="auto"/>
      <w:ind w:firstLine="200"/>
    </w:pPr>
    <w:rPr>
      <w:rFonts w:ascii="Arial" w:hAnsi="Arial"/>
      <w:sz w:val="24"/>
      <w:szCs w:val="20"/>
    </w:rPr>
  </w:style>
  <w:style w:type="character" w:customStyle="1" w:styleId="149">
    <w:name w:val="正文文本 2 Char1"/>
    <w:uiPriority w:val="99"/>
    <w:rPr>
      <w:kern w:val="2"/>
      <w:sz w:val="21"/>
      <w:szCs w:val="22"/>
    </w:rPr>
  </w:style>
  <w:style w:type="character" w:customStyle="1" w:styleId="150">
    <w:name w:val="文档结构图 Char"/>
    <w:link w:val="17"/>
    <w:uiPriority w:val="0"/>
    <w:rPr>
      <w:kern w:val="2"/>
      <w:sz w:val="21"/>
      <w:szCs w:val="24"/>
      <w:shd w:val="clear" w:color="auto" w:fill="000080"/>
    </w:rPr>
  </w:style>
  <w:style w:type="character" w:customStyle="1" w:styleId="151">
    <w:name w:val="日期 Char"/>
    <w:link w:val="29"/>
    <w:uiPriority w:val="0"/>
    <w:rPr>
      <w:rFonts w:ascii="宋体" w:hAnsi="宋体"/>
      <w:color w:val="000000"/>
      <w:kern w:val="2"/>
      <w:sz w:val="24"/>
      <w:szCs w:val="24"/>
    </w:rPr>
  </w:style>
  <w:style w:type="character" w:customStyle="1" w:styleId="152">
    <w:name w:val="标题 Char2"/>
    <w:uiPriority w:val="0"/>
    <w:rPr>
      <w:rFonts w:ascii="Cambria" w:hAnsi="Cambria" w:cs="Times New Roman"/>
      <w:b/>
      <w:bCs/>
      <w:kern w:val="2"/>
      <w:sz w:val="32"/>
      <w:szCs w:val="32"/>
    </w:rPr>
  </w:style>
  <w:style w:type="character" w:customStyle="1" w:styleId="153">
    <w:name w:val="px141"/>
    <w:uiPriority w:val="0"/>
    <w:rPr>
      <w:sz w:val="18"/>
      <w:szCs w:val="18"/>
    </w:rPr>
  </w:style>
  <w:style w:type="character" w:customStyle="1" w:styleId="154">
    <w:name w:val="正文首行缩进 Char1"/>
    <w:uiPriority w:val="99"/>
  </w:style>
  <w:style w:type="character" w:customStyle="1" w:styleId="155">
    <w:name w:val="副标题 Char1"/>
    <w:uiPriority w:val="11"/>
    <w:rPr>
      <w:rFonts w:ascii="Cambria" w:hAnsi="Cambria" w:cs="Times New Roman"/>
      <w:b/>
      <w:bCs/>
      <w:kern w:val="28"/>
      <w:sz w:val="32"/>
      <w:szCs w:val="32"/>
    </w:rPr>
  </w:style>
  <w:style w:type="character" w:customStyle="1" w:styleId="156">
    <w:name w:val="正文文本 2 Char2"/>
    <w:uiPriority w:val="0"/>
    <w:rPr>
      <w:kern w:val="2"/>
      <w:sz w:val="21"/>
      <w:szCs w:val="24"/>
    </w:rPr>
  </w:style>
  <w:style w:type="character" w:customStyle="1" w:styleId="157">
    <w:name w:val="页脚 Char"/>
    <w:link w:val="32"/>
    <w:uiPriority w:val="0"/>
    <w:rPr>
      <w:kern w:val="2"/>
      <w:sz w:val="18"/>
      <w:szCs w:val="18"/>
    </w:rPr>
  </w:style>
  <w:style w:type="character" w:customStyle="1" w:styleId="158">
    <w:name w:val="批注文字 Char1"/>
    <w:semiHidden/>
    <w:uiPriority w:val="99"/>
    <w:rPr>
      <w:kern w:val="2"/>
      <w:sz w:val="21"/>
      <w:szCs w:val="22"/>
    </w:rPr>
  </w:style>
  <w:style w:type="character" w:customStyle="1" w:styleId="159">
    <w:name w:val="apple-style-span"/>
    <w:uiPriority w:val="0"/>
  </w:style>
  <w:style w:type="character" w:customStyle="1" w:styleId="160">
    <w:name w:val="批注框文本 Char"/>
    <w:link w:val="31"/>
    <w:semiHidden/>
    <w:uiPriority w:val="0"/>
    <w:rPr>
      <w:kern w:val="2"/>
      <w:sz w:val="18"/>
      <w:szCs w:val="18"/>
    </w:rPr>
  </w:style>
  <w:style w:type="character" w:customStyle="1" w:styleId="161">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普通文字7 Char"/>
    <w:uiPriority w:val="0"/>
    <w:rPr>
      <w:rFonts w:ascii="宋体" w:hAnsi="Courier New" w:eastAsia="宋体"/>
      <w:kern w:val="2"/>
      <w:sz w:val="21"/>
      <w:lang w:val="en-US" w:eastAsia="zh-CN" w:bidi="ar-SA"/>
    </w:rPr>
  </w:style>
  <w:style w:type="character" w:customStyle="1" w:styleId="162">
    <w:name w:val="文档结构图 Char2"/>
    <w:uiPriority w:val="0"/>
    <w:rPr>
      <w:rFonts w:ascii="宋体"/>
      <w:kern w:val="2"/>
      <w:sz w:val="18"/>
      <w:szCs w:val="18"/>
    </w:rPr>
  </w:style>
  <w:style w:type="character" w:customStyle="1" w:styleId="163">
    <w:name w:val="批注主题 Char2"/>
    <w:uiPriority w:val="0"/>
    <w:rPr>
      <w:b/>
      <w:bCs/>
      <w:kern w:val="2"/>
      <w:sz w:val="21"/>
      <w:szCs w:val="24"/>
      <w:lang w:bidi="ar-SA"/>
    </w:rPr>
  </w:style>
  <w:style w:type="character" w:customStyle="1" w:styleId="164">
    <w:name w:val="样式3 Char1"/>
    <w:uiPriority w:val="0"/>
    <w:rPr>
      <w:rFonts w:ascii="Times New Roman" w:hAnsi="Times New Roman"/>
      <w:b/>
      <w:bCs/>
      <w:kern w:val="2"/>
      <w:sz w:val="30"/>
      <w:szCs w:val="32"/>
    </w:rPr>
  </w:style>
  <w:style w:type="character" w:customStyle="1" w:styleId="165">
    <w:name w:val="hi1"/>
    <w:uiPriority w:val="0"/>
    <w:rPr>
      <w:rFonts w:hint="default" w:ascii="Verdana" w:hAnsi="Verdana"/>
      <w:color w:val="000000"/>
      <w:sz w:val="18"/>
      <w:szCs w:val="18"/>
    </w:rPr>
  </w:style>
  <w:style w:type="character" w:customStyle="1" w:styleId="166">
    <w:name w:val="HTML 预设格式 Char"/>
    <w:link w:val="49"/>
    <w:uiPriority w:val="0"/>
    <w:rPr>
      <w:rFonts w:ascii="黑体" w:hAnsi="Courier New" w:eastAsia="黑体" w:cs="Courier New"/>
      <w:kern w:val="2"/>
      <w:sz w:val="21"/>
      <w:szCs w:val="24"/>
    </w:rPr>
  </w:style>
  <w:style w:type="character" w:customStyle="1" w:styleId="167">
    <w:name w:val="font01"/>
    <w:uiPriority w:val="0"/>
    <w:rPr>
      <w:rFonts w:hint="eastAsia" w:ascii="宋体" w:hAnsi="宋体" w:eastAsia="宋体"/>
      <w:color w:val="000000"/>
      <w:sz w:val="24"/>
      <w:szCs w:val="24"/>
      <w:u w:val="none"/>
    </w:rPr>
  </w:style>
  <w:style w:type="character" w:customStyle="1" w:styleId="168">
    <w:name w:val="称呼 Char1"/>
    <w:uiPriority w:val="0"/>
    <w:rPr>
      <w:kern w:val="2"/>
      <w:sz w:val="21"/>
      <w:szCs w:val="24"/>
    </w:rPr>
  </w:style>
  <w:style w:type="character" w:customStyle="1" w:styleId="169">
    <w:name w:val="Char Char Char Char Char"/>
    <w:uiPriority w:val="0"/>
    <w:rPr>
      <w:rFonts w:hint="eastAsia" w:ascii="宋体" w:hAnsi="Courier New" w:eastAsia="宋体"/>
      <w:kern w:val="2"/>
      <w:sz w:val="21"/>
      <w:lang w:val="en-US" w:eastAsia="zh-CN" w:bidi="ar-SA"/>
    </w:rPr>
  </w:style>
  <w:style w:type="character" w:customStyle="1" w:styleId="170">
    <w:name w:val="批注主题 Char1"/>
    <w:uiPriority w:val="99"/>
    <w:rPr>
      <w:b/>
      <w:bCs/>
      <w:kern w:val="2"/>
      <w:sz w:val="21"/>
      <w:szCs w:val="22"/>
    </w:rPr>
  </w:style>
  <w:style w:type="character" w:customStyle="1" w:styleId="171">
    <w:name w:val="题注 Char"/>
    <w:link w:val="15"/>
    <w:uiPriority w:val="0"/>
    <w:rPr>
      <w:rFonts w:ascii="Arial" w:hAnsi="Arial" w:eastAsia="黑体"/>
      <w:kern w:val="2"/>
    </w:rPr>
  </w:style>
  <w:style w:type="character" w:customStyle="1" w:styleId="172">
    <w:name w:val="仿宋小三字体"/>
    <w:uiPriority w:val="0"/>
    <w:rPr>
      <w:rFonts w:eastAsia="仿宋_GB2312"/>
      <w:sz w:val="30"/>
    </w:rPr>
  </w:style>
  <w:style w:type="character" w:customStyle="1" w:styleId="173">
    <w:name w:val="正文文本 3 Char"/>
    <w:link w:val="20"/>
    <w:uiPriority w:val="0"/>
    <w:rPr>
      <w:rFonts w:hAnsi="宋体" w:eastAsia="仿宋_GB2312"/>
      <w:b/>
      <w:bCs/>
      <w:kern w:val="2"/>
      <w:sz w:val="24"/>
    </w:rPr>
  </w:style>
  <w:style w:type="character" w:customStyle="1" w:styleId="174">
    <w:name w:val="正文首行缩进 Char2"/>
    <w:basedOn w:val="175"/>
    <w:uiPriority w:val="0"/>
  </w:style>
  <w:style w:type="character" w:customStyle="1" w:styleId="175">
    <w:name w:val="正文文本 Char1"/>
    <w:uiPriority w:val="0"/>
    <w:rPr>
      <w:kern w:val="2"/>
      <w:sz w:val="21"/>
      <w:szCs w:val="24"/>
    </w:rPr>
  </w:style>
  <w:style w:type="character" w:customStyle="1" w:styleId="176">
    <w:name w:val="menu1"/>
    <w:uiPriority w:val="0"/>
    <w:rPr>
      <w:color w:val="000000"/>
      <w:sz w:val="18"/>
      <w:szCs w:val="18"/>
      <w:u w:val="none"/>
    </w:rPr>
  </w:style>
  <w:style w:type="character" w:customStyle="1" w:styleId="177">
    <w:name w:val="标题 Char"/>
    <w:link w:val="51"/>
    <w:uiPriority w:val="0"/>
    <w:rPr>
      <w:rFonts w:ascii="Cambria" w:hAnsi="Cambria"/>
      <w:b/>
      <w:bCs/>
      <w:kern w:val="2"/>
      <w:sz w:val="32"/>
      <w:szCs w:val="32"/>
    </w:rPr>
  </w:style>
  <w:style w:type="character" w:customStyle="1" w:styleId="178">
    <w:name w:val="自定义正文 Char Char"/>
    <w:link w:val="179"/>
    <w:uiPriority w:val="0"/>
    <w:rPr>
      <w:rFonts w:ascii="仿宋_GB2312" w:eastAsia="仿宋_GB2312"/>
      <w:kern w:val="2"/>
      <w:sz w:val="28"/>
      <w:szCs w:val="24"/>
    </w:rPr>
  </w:style>
  <w:style w:type="paragraph" w:customStyle="1" w:styleId="179">
    <w:name w:val="自定义正文"/>
    <w:basedOn w:val="1"/>
    <w:link w:val="178"/>
    <w:uiPriority w:val="0"/>
    <w:pPr>
      <w:spacing w:line="480" w:lineRule="exact"/>
      <w:ind w:firstLine="200" w:firstLineChars="200"/>
      <w:jc w:val="left"/>
    </w:pPr>
    <w:rPr>
      <w:rFonts w:ascii="仿宋_GB2312" w:eastAsia="仿宋_GB2312"/>
      <w:sz w:val="28"/>
    </w:rPr>
  </w:style>
  <w:style w:type="character" w:customStyle="1" w:styleId="180">
    <w:name w:val="zbggmain style9"/>
    <w:uiPriority w:val="0"/>
  </w:style>
  <w:style w:type="character" w:customStyle="1" w:styleId="181">
    <w:name w:val="正文文本 2 Char"/>
    <w:link w:val="47"/>
    <w:uiPriority w:val="0"/>
    <w:rPr>
      <w:rFonts w:ascii="宋体" w:hAnsi="宋体"/>
      <w:color w:val="000000"/>
      <w:kern w:val="2"/>
      <w:sz w:val="24"/>
      <w:szCs w:val="24"/>
    </w:rPr>
  </w:style>
  <w:style w:type="character" w:customStyle="1" w:styleId="182">
    <w:name w:val="正文文本缩进 2 Char2"/>
    <w:uiPriority w:val="0"/>
    <w:rPr>
      <w:kern w:val="2"/>
      <w:sz w:val="21"/>
      <w:szCs w:val="24"/>
    </w:rPr>
  </w:style>
  <w:style w:type="character" w:customStyle="1" w:styleId="183">
    <w:name w:val="style21"/>
    <w:uiPriority w:val="0"/>
    <w:rPr>
      <w:sz w:val="15"/>
      <w:szCs w:val="15"/>
    </w:rPr>
  </w:style>
  <w:style w:type="character" w:customStyle="1" w:styleId="184">
    <w:name w:val="正文文本缩进 2 Char"/>
    <w:link w:val="30"/>
    <w:uiPriority w:val="0"/>
    <w:rPr>
      <w:rFonts w:ascii="仿宋_GB2312" w:hAnsi="宋体"/>
      <w:b/>
      <w:bCs/>
      <w:color w:val="000000"/>
      <w:kern w:val="2"/>
      <w:sz w:val="24"/>
      <w:szCs w:val="24"/>
    </w:rPr>
  </w:style>
  <w:style w:type="character" w:customStyle="1" w:styleId="185">
    <w:name w:val="标题 2 Char Char"/>
    <w:uiPriority w:val="0"/>
    <w:rPr>
      <w:rFonts w:ascii="Arial" w:hAnsi="Arial" w:eastAsia="黑体"/>
      <w:b/>
      <w:bCs/>
      <w:kern w:val="2"/>
      <w:sz w:val="32"/>
      <w:szCs w:val="32"/>
      <w:lang w:val="en-US" w:eastAsia="zh-CN" w:bidi="ar-SA"/>
    </w:rPr>
  </w:style>
  <w:style w:type="character" w:customStyle="1" w:styleId="186">
    <w:name w:val="z-窗体底端 Char1"/>
    <w:uiPriority w:val="0"/>
    <w:rPr>
      <w:rFonts w:ascii="Arial" w:hAnsi="Arial" w:cs="Arial"/>
      <w:vanish/>
      <w:kern w:val="2"/>
      <w:sz w:val="16"/>
      <w:szCs w:val="16"/>
    </w:rPr>
  </w:style>
  <w:style w:type="character" w:customStyle="1" w:styleId="187">
    <w:name w:val="正文首行缩进 Char"/>
    <w:link w:val="53"/>
    <w:uiPriority w:val="0"/>
    <w:rPr>
      <w:kern w:val="2"/>
      <w:sz w:val="21"/>
      <w:szCs w:val="22"/>
    </w:rPr>
  </w:style>
  <w:style w:type="character" w:customStyle="1" w:styleId="188">
    <w:name w:val="正文首行缩进 2 Char"/>
    <w:link w:val="54"/>
    <w:uiPriority w:val="0"/>
    <w:rPr>
      <w:rFonts w:ascii="宋体" w:hAnsi="Courier New"/>
      <w:spacing w:val="-4"/>
      <w:kern w:val="2"/>
      <w:sz w:val="21"/>
      <w:szCs w:val="24"/>
    </w:rPr>
  </w:style>
  <w:style w:type="character" w:customStyle="1" w:styleId="189">
    <w:name w:val="p121"/>
    <w:uiPriority w:val="0"/>
    <w:rPr>
      <w:rFonts w:hint="default" w:ascii="_x000B__x000C_" w:hAnsi="_x000B__x000C_"/>
      <w:sz w:val="24"/>
      <w:szCs w:val="24"/>
      <w:u w:val="none"/>
    </w:rPr>
  </w:style>
  <w:style w:type="character" w:customStyle="1" w:styleId="190">
    <w:name w:val="ca-3"/>
    <w:uiPriority w:val="0"/>
  </w:style>
  <w:style w:type="character" w:customStyle="1" w:styleId="191">
    <w:name w:val="脚注文本 Char"/>
    <w:link w:val="41"/>
    <w:uiPriority w:val="0"/>
    <w:rPr>
      <w:kern w:val="2"/>
      <w:sz w:val="18"/>
      <w:szCs w:val="18"/>
    </w:rPr>
  </w:style>
  <w:style w:type="character" w:customStyle="1" w:styleId="192">
    <w:name w:val="z-窗体顶端 Char"/>
    <w:link w:val="193"/>
    <w:uiPriority w:val="0"/>
    <w:rPr>
      <w:rFonts w:ascii="Arial" w:hAnsi="Arial" w:cs="Arial"/>
      <w:vanish/>
      <w:sz w:val="16"/>
      <w:szCs w:val="16"/>
    </w:rPr>
  </w:style>
  <w:style w:type="paragraph" w:styleId="193">
    <w:name w:val=""/>
    <w:basedOn w:val="1"/>
    <w:next w:val="1"/>
    <w:link w:val="192"/>
    <w:uiPriority w:val="0"/>
    <w:pPr>
      <w:widowControl/>
      <w:pBdr>
        <w:bottom w:val="single" w:color="auto" w:sz="6" w:space="1"/>
      </w:pBdr>
      <w:jc w:val="center"/>
    </w:pPr>
    <w:rPr>
      <w:rFonts w:ascii="Arial" w:hAnsi="Arial"/>
      <w:vanish/>
      <w:kern w:val="0"/>
      <w:sz w:val="16"/>
      <w:szCs w:val="16"/>
    </w:rPr>
  </w:style>
  <w:style w:type="character" w:customStyle="1" w:styleId="194">
    <w:name w:val="副标题 Char"/>
    <w:link w:val="38"/>
    <w:uiPriority w:val="0"/>
    <w:rPr>
      <w:rFonts w:ascii="Cambria" w:hAnsi="Cambria"/>
      <w:b/>
      <w:bCs/>
      <w:kern w:val="28"/>
      <w:sz w:val="32"/>
      <w:szCs w:val="32"/>
    </w:rPr>
  </w:style>
  <w:style w:type="character" w:customStyle="1" w:styleId="195">
    <w:name w:val="批注主题 Char"/>
    <w:link w:val="52"/>
    <w:uiPriority w:val="0"/>
    <w:rPr>
      <w:b/>
      <w:bCs/>
      <w:kern w:val="2"/>
      <w:sz w:val="21"/>
      <w:szCs w:val="24"/>
    </w:rPr>
  </w:style>
  <w:style w:type="character" w:customStyle="1" w:styleId="196">
    <w:name w:val="列出段落 Char"/>
    <w:link w:val="197"/>
    <w:uiPriority w:val="0"/>
    <w:rPr>
      <w:kern w:val="2"/>
      <w:sz w:val="21"/>
      <w:szCs w:val="24"/>
    </w:rPr>
  </w:style>
  <w:style w:type="paragraph" w:styleId="197">
    <w:name w:val="List Paragraph"/>
    <w:basedOn w:val="1"/>
    <w:link w:val="196"/>
    <w:qFormat/>
    <w:uiPriority w:val="0"/>
    <w:pPr>
      <w:ind w:firstLine="420" w:firstLineChars="200"/>
    </w:pPr>
  </w:style>
  <w:style w:type="character" w:customStyle="1" w:styleId="198">
    <w:name w:val="???? Char"/>
    <w:aliases w:val="?y????×? Char,?y???? Char,?y????? Char,contents Char,Corps de texte Char,body tesx Char,Corpo de texto Char,EHPT Char,Body Text2 Char,?y?????á? Char,heading_txt Char,bodytxy2 Char,??2 Char,Orig Qstn Char,Original Question Char,body text1 Char"/>
    <w:uiPriority w:val="0"/>
    <w:rPr>
      <w:rFonts w:eastAsia="宋体"/>
      <w:kern w:val="2"/>
      <w:sz w:val="21"/>
      <w:szCs w:val="24"/>
      <w:lang w:val="en-US" w:eastAsia="zh-CN" w:bidi="ar-SA"/>
    </w:rPr>
  </w:style>
  <w:style w:type="paragraph" w:customStyle="1" w:styleId="19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00">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116"/>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FF0000"/>
      <w:kern w:val="0"/>
      <w:sz w:val="20"/>
      <w:szCs w:val="20"/>
    </w:rPr>
  </w:style>
  <w:style w:type="paragraph" w:customStyle="1" w:styleId="202">
    <w:name w:val="段"/>
    <w:uiPriority w:val="0"/>
    <w:pPr>
      <w:autoSpaceDE w:val="0"/>
      <w:autoSpaceDN w:val="0"/>
      <w:ind w:firstLine="200" w:firstLineChars="200"/>
      <w:jc w:val="both"/>
    </w:pPr>
    <w:rPr>
      <w:rFonts w:ascii="宋体"/>
      <w:sz w:val="21"/>
      <w:lang w:val="en-US" w:eastAsia="zh-CN" w:bidi="ar-SA"/>
    </w:rPr>
  </w:style>
  <w:style w:type="paragraph" w:customStyle="1" w:styleId="203">
    <w:name w:val="标准小四"/>
    <w:basedOn w:val="1"/>
    <w:uiPriority w:val="0"/>
    <w:pPr>
      <w:numPr>
        <w:ilvl w:val="0"/>
        <w:numId w:val="9"/>
      </w:numPr>
      <w:spacing w:line="360" w:lineRule="auto"/>
      <w:ind w:left="0" w:firstLine="480" w:firstLineChars="200"/>
    </w:pPr>
    <w:rPr>
      <w:rFonts w:ascii="Arial" w:hAnsi="Arial"/>
      <w:sz w:val="24"/>
      <w:szCs w:val="21"/>
    </w:rPr>
  </w:style>
  <w:style w:type="paragraph" w:customStyle="1" w:styleId="204">
    <w:name w:val="正文（缩进）"/>
    <w:basedOn w:val="1"/>
    <w:uiPriority w:val="0"/>
    <w:pPr>
      <w:spacing w:before="156" w:beforeLines="50" w:after="156" w:afterLines="50" w:line="360" w:lineRule="auto"/>
      <w:ind w:firstLine="480" w:firstLineChars="200"/>
    </w:pPr>
    <w:rPr>
      <w:sz w:val="24"/>
    </w:rPr>
  </w:style>
  <w:style w:type="paragraph" w:customStyle="1" w:styleId="205">
    <w:name w:val="xl76"/>
    <w:basedOn w:val="1"/>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06">
    <w:name w:val="自定义表格文字"/>
    <w:basedOn w:val="1"/>
    <w:uiPriority w:val="0"/>
    <w:pPr>
      <w:spacing w:before="60" w:after="60" w:line="320" w:lineRule="exact"/>
      <w:jc w:val="left"/>
    </w:pPr>
    <w:rPr>
      <w:rFonts w:ascii="宋体" w:eastAsia="楷体_GB2312"/>
    </w:rPr>
  </w:style>
  <w:style w:type="paragraph" w:customStyle="1" w:styleId="207">
    <w:name w:val="默认段落字体 Para Char"/>
    <w:basedOn w:val="1"/>
    <w:uiPriority w:val="0"/>
    <w:rPr>
      <w:szCs w:val="20"/>
    </w:rPr>
  </w:style>
  <w:style w:type="paragraph" w:customStyle="1" w:styleId="208">
    <w:name w:val="xl156"/>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209">
    <w:name w:val="xl139"/>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10">
    <w:name w:val="xl113"/>
    <w:basedOn w:val="1"/>
    <w:uiPriority w:val="0"/>
    <w:pPr>
      <w:widowControl/>
      <w:pBdr>
        <w:top w:val="single" w:color="auto" w:sz="8" w:space="0"/>
        <w:bottom w:val="single" w:color="auto" w:sz="8" w:space="0"/>
      </w:pBdr>
      <w:spacing w:before="100" w:beforeAutospacing="1" w:after="100" w:afterAutospacing="1"/>
      <w:jc w:val="left"/>
    </w:pPr>
    <w:rPr>
      <w:rFonts w:ascii="Calibri" w:hAnsi="Calibri" w:cs="Calibri"/>
      <w:kern w:val="0"/>
      <w:sz w:val="18"/>
      <w:szCs w:val="18"/>
    </w:rPr>
  </w:style>
  <w:style w:type="paragraph" w:customStyle="1" w:styleId="211">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212">
    <w:name w:val="表格标题"/>
    <w:basedOn w:val="213"/>
    <w:uiPriority w:val="0"/>
    <w:pPr>
      <w:keepNext/>
      <w:jc w:val="center"/>
    </w:pPr>
    <w:rPr>
      <w:b/>
      <w:bCs/>
    </w:rPr>
  </w:style>
  <w:style w:type="paragraph" w:customStyle="1" w:styleId="213">
    <w:name w:val="表格文字"/>
    <w:basedOn w:val="27"/>
    <w:uiPriority w:val="0"/>
    <w:pPr>
      <w:jc w:val="left"/>
    </w:pPr>
    <w:rPr>
      <w:rFonts w:cs="Times New Roman"/>
      <w:sz w:val="24"/>
      <w:szCs w:val="20"/>
    </w:rPr>
  </w:style>
  <w:style w:type="paragraph" w:customStyle="1" w:styleId="214">
    <w:name w:val="xl132"/>
    <w:basedOn w:val="1"/>
    <w:uiPriority w:val="0"/>
    <w:pPr>
      <w:widowControl/>
      <w:pBdr>
        <w:left w:val="single" w:color="auto" w:sz="8" w:space="0"/>
        <w:bottom w:val="single" w:color="auto" w:sz="8" w:space="0"/>
      </w:pBdr>
      <w:spacing w:before="100" w:beforeAutospacing="1" w:after="100" w:afterAutospacing="1"/>
    </w:pPr>
    <w:rPr>
      <w:rFonts w:ascii="宋体" w:hAnsi="宋体" w:cs="宋体"/>
      <w:color w:val="3366FF"/>
      <w:kern w:val="0"/>
      <w:sz w:val="18"/>
      <w:szCs w:val="18"/>
    </w:rPr>
  </w:style>
  <w:style w:type="paragraph" w:customStyle="1" w:styleId="215">
    <w:name w:val="xl137"/>
    <w:basedOn w:val="1"/>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216">
    <w:name w:val="样式4"/>
    <w:basedOn w:val="6"/>
    <w:uiPriority w:val="0"/>
    <w:pPr>
      <w:keepLines/>
      <w:numPr>
        <w:ilvl w:val="3"/>
        <w:numId w:val="10"/>
      </w:numPr>
      <w:tabs>
        <w:tab w:val="left" w:pos="851"/>
      </w:tabs>
      <w:spacing w:before="280" w:after="290" w:line="376" w:lineRule="auto"/>
      <w:ind w:left="851" w:hanging="851"/>
    </w:pPr>
    <w:rPr>
      <w:rFonts w:ascii="Arial" w:hAnsi="Arial"/>
      <w:bCs/>
      <w:sz w:val="28"/>
      <w:szCs w:val="28"/>
    </w:rPr>
  </w:style>
  <w:style w:type="paragraph" w:customStyle="1" w:styleId="217">
    <w:name w:val="xl146"/>
    <w:basedOn w:val="1"/>
    <w:uiPriority w:val="0"/>
    <w:pPr>
      <w:widowControl/>
      <w:pBdr>
        <w:left w:val="single" w:color="auto" w:sz="8" w:space="0"/>
        <w:right w:val="single" w:color="auto" w:sz="8" w:space="0"/>
      </w:pBdr>
      <w:spacing w:before="100" w:beforeAutospacing="1" w:after="100" w:afterAutospacing="1"/>
      <w:jc w:val="center"/>
    </w:pPr>
    <w:rPr>
      <w:rFonts w:ascii="Calibri" w:hAnsi="Calibri" w:cs="Calibri"/>
      <w:color w:val="000000"/>
      <w:kern w:val="0"/>
      <w:sz w:val="18"/>
      <w:szCs w:val="18"/>
    </w:rPr>
  </w:style>
  <w:style w:type="paragraph" w:customStyle="1" w:styleId="218">
    <w:name w:val="xl35"/>
    <w:basedOn w:val="1"/>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19">
    <w:name w:val="xl91"/>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20">
    <w:name w:val="xl119"/>
    <w:basedOn w:val="1"/>
    <w:uiPriority w:val="0"/>
    <w:pPr>
      <w:widowControl/>
      <w:pBdr>
        <w:top w:val="single" w:color="auto" w:sz="8" w:space="0"/>
      </w:pBdr>
      <w:spacing w:before="100" w:beforeAutospacing="1" w:after="100" w:afterAutospacing="1"/>
      <w:jc w:val="center"/>
    </w:pPr>
    <w:rPr>
      <w:rFonts w:ascii="宋体" w:hAnsi="宋体" w:cs="宋体"/>
      <w:kern w:val="0"/>
      <w:sz w:val="18"/>
      <w:szCs w:val="18"/>
    </w:rPr>
  </w:style>
  <w:style w:type="paragraph" w:customStyle="1" w:styleId="221">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222">
    <w:name w:val="表题注"/>
    <w:next w:val="1"/>
    <w:uiPriority w:val="0"/>
    <w:pPr>
      <w:keepNext/>
      <w:numPr>
        <w:ilvl w:val="0"/>
        <w:numId w:val="11"/>
      </w:numPr>
      <w:spacing w:before="120" w:after="60"/>
      <w:ind w:left="0" w:firstLine="0"/>
      <w:jc w:val="center"/>
    </w:pPr>
    <w:rPr>
      <w:rFonts w:ascii="宋体"/>
      <w:sz w:val="18"/>
      <w:lang w:val="en-US" w:eastAsia="zh-CN" w:bidi="ar-SA"/>
    </w:rPr>
  </w:style>
  <w:style w:type="paragraph" w:customStyle="1" w:styleId="223">
    <w:name w:val="xl138"/>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24">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25">
    <w:name w:val="font8"/>
    <w:basedOn w:val="1"/>
    <w:uiPriority w:val="0"/>
    <w:pPr>
      <w:widowControl/>
      <w:spacing w:before="100" w:beforeAutospacing="1" w:after="100" w:afterAutospacing="1"/>
      <w:jc w:val="left"/>
    </w:pPr>
    <w:rPr>
      <w:rFonts w:ascii="Calibri" w:hAnsi="Calibri" w:cs="Calibri"/>
      <w:color w:val="000000"/>
      <w:kern w:val="0"/>
      <w:szCs w:val="21"/>
    </w:rPr>
  </w:style>
  <w:style w:type="paragraph" w:customStyle="1" w:styleId="226">
    <w:name w:val="表格_General"/>
    <w:basedOn w:val="1"/>
    <w:uiPriority w:val="0"/>
  </w:style>
  <w:style w:type="paragraph" w:customStyle="1" w:styleId="227">
    <w:name w:val="xl118"/>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FF0000"/>
      <w:kern w:val="0"/>
      <w:sz w:val="20"/>
      <w:szCs w:val="20"/>
    </w:rPr>
  </w:style>
  <w:style w:type="paragraph" w:customStyle="1" w:styleId="228">
    <w:name w:val="正文小四"/>
    <w:basedOn w:val="1"/>
    <w:uiPriority w:val="0"/>
    <w:pPr>
      <w:spacing w:before="156" w:beforeLines="50" w:after="156" w:afterLines="50" w:line="360" w:lineRule="auto"/>
      <w:ind w:firstLine="360" w:firstLineChars="200"/>
      <w:jc w:val="left"/>
    </w:pPr>
    <w:rPr>
      <w:sz w:val="18"/>
      <w:szCs w:val="18"/>
    </w:rPr>
  </w:style>
  <w:style w:type="paragraph" w:customStyle="1" w:styleId="229">
    <w:name w:val="xl155"/>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Calibri" w:hAnsi="Calibri" w:cs="Calibri"/>
      <w:color w:val="000000"/>
      <w:kern w:val="0"/>
      <w:sz w:val="18"/>
      <w:szCs w:val="18"/>
    </w:rPr>
  </w:style>
  <w:style w:type="paragraph" w:customStyle="1" w:styleId="230">
    <w:name w:val="xl110"/>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31">
    <w:name w:val="font12"/>
    <w:basedOn w:val="1"/>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232">
    <w:name w:val="xl85"/>
    <w:basedOn w:val="1"/>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3">
    <w:name w:val="xl163"/>
    <w:basedOn w:val="1"/>
    <w:uiPriority w:val="0"/>
    <w:pPr>
      <w:widowControl/>
      <w:spacing w:before="100" w:beforeAutospacing="1" w:after="100" w:afterAutospacing="1"/>
      <w:jc w:val="left"/>
    </w:pPr>
    <w:rPr>
      <w:rFonts w:ascii="Calibri" w:hAnsi="Calibri" w:cs="Calibri"/>
      <w:kern w:val="0"/>
      <w:sz w:val="18"/>
      <w:szCs w:val="18"/>
    </w:rPr>
  </w:style>
  <w:style w:type="paragraph" w:customStyle="1" w:styleId="234">
    <w:name w:val="xl93"/>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235">
    <w:name w:val="xl151"/>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36">
    <w:name w:val="分类缩进正文文字"/>
    <w:basedOn w:val="22"/>
    <w:uiPriority w:val="0"/>
    <w:pPr>
      <w:tabs>
        <w:tab w:val="left" w:pos="4860"/>
      </w:tabs>
      <w:spacing w:after="0" w:line="360" w:lineRule="auto"/>
      <w:ind w:left="0" w:leftChars="0"/>
      <w:jc w:val="center"/>
    </w:pPr>
    <w:rPr>
      <w:rFonts w:ascii="宋体" w:hAnsi="宋体"/>
      <w:bCs/>
    </w:rPr>
  </w:style>
  <w:style w:type="paragraph" w:customStyle="1" w:styleId="237">
    <w:name w:val="xl148"/>
    <w:basedOn w:val="1"/>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38">
    <w:name w:val="CM12"/>
    <w:basedOn w:val="1"/>
    <w:next w:val="1"/>
    <w:uiPriority w:val="0"/>
    <w:pPr>
      <w:autoSpaceDE w:val="0"/>
      <w:autoSpaceDN w:val="0"/>
      <w:adjustRightInd w:val="0"/>
      <w:spacing w:line="468" w:lineRule="atLeast"/>
      <w:jc w:val="left"/>
    </w:pPr>
    <w:rPr>
      <w:rFonts w:ascii="宋体"/>
      <w:kern w:val="0"/>
      <w:sz w:val="24"/>
    </w:rPr>
  </w:style>
  <w:style w:type="paragraph" w:customStyle="1" w:styleId="239">
    <w:name w:val="xl97"/>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40">
    <w:name w:val="xl135"/>
    <w:basedOn w:val="1"/>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3366FF"/>
      <w:kern w:val="0"/>
      <w:sz w:val="18"/>
      <w:szCs w:val="18"/>
    </w:rPr>
  </w:style>
  <w:style w:type="paragraph" w:customStyle="1" w:styleId="241">
    <w:name w:val="xl95"/>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242">
    <w:name w:val="a14"/>
    <w:basedOn w:val="1"/>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43">
    <w:name w:val="1样式1"/>
    <w:basedOn w:val="1"/>
    <w:uiPriority w:val="0"/>
    <w:pPr>
      <w:widowControl/>
      <w:numPr>
        <w:ilvl w:val="0"/>
        <w:numId w:val="12"/>
      </w:numPr>
      <w:tabs>
        <w:tab w:val="left" w:pos="1529"/>
      </w:tabs>
      <w:adjustRightInd w:val="0"/>
      <w:snapToGrid w:val="0"/>
      <w:spacing w:line="288" w:lineRule="auto"/>
      <w:jc w:val="left"/>
    </w:pPr>
    <w:rPr>
      <w:szCs w:val="21"/>
    </w:rPr>
  </w:style>
  <w:style w:type="paragraph" w:customStyle="1" w:styleId="244">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45">
    <w:name w:val="xl143"/>
    <w:basedOn w:val="1"/>
    <w:uiPriority w:val="0"/>
    <w:pPr>
      <w:widowControl/>
      <w:pBdr>
        <w:left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246">
    <w:name w:val="xl126"/>
    <w:basedOn w:val="1"/>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247">
    <w:name w:val="xl101"/>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66CC"/>
      <w:kern w:val="0"/>
      <w:sz w:val="20"/>
      <w:szCs w:val="20"/>
    </w:rPr>
  </w:style>
  <w:style w:type="paragraph" w:customStyle="1" w:styleId="248">
    <w:name w:val="正文1"/>
    <w:uiPriority w:val="0"/>
    <w:pPr>
      <w:widowControl w:val="0"/>
      <w:numPr>
        <w:ilvl w:val="0"/>
        <w:numId w:val="9"/>
      </w:numPr>
      <w:adjustRightInd w:val="0"/>
      <w:snapToGrid w:val="0"/>
      <w:spacing w:line="360" w:lineRule="auto"/>
      <w:jc w:val="both"/>
      <w:textAlignment w:val="baseline"/>
    </w:pPr>
    <w:rPr>
      <w:rFonts w:ascii="黑体" w:hAnsi="黑体" w:eastAsia="黑体"/>
      <w:sz w:val="24"/>
      <w:lang w:val="en-US" w:eastAsia="zh-CN" w:bidi="ar-SA"/>
    </w:rPr>
  </w:style>
  <w:style w:type="paragraph" w:customStyle="1" w:styleId="249">
    <w:name w:val="大项目编号"/>
    <w:basedOn w:val="21"/>
    <w:next w:val="1"/>
    <w:uiPriority w:val="0"/>
    <w:pPr>
      <w:numPr>
        <w:ilvl w:val="0"/>
        <w:numId w:val="13"/>
      </w:numPr>
      <w:tabs>
        <w:tab w:val="left" w:pos="900"/>
      </w:tabs>
      <w:spacing w:line="360" w:lineRule="auto"/>
      <w:ind w:firstLine="0"/>
    </w:pPr>
    <w:rPr>
      <w:b/>
      <w:bCs/>
      <w:sz w:val="28"/>
    </w:rPr>
  </w:style>
  <w:style w:type="paragraph" w:customStyle="1" w:styleId="250">
    <w:name w:val="样式 标题 2 + 宋体 小五 段前: 0 磅 段后: 0 磅 行距: 1.5 倍行距"/>
    <w:basedOn w:val="3"/>
    <w:uiPriority w:val="0"/>
    <w:pPr>
      <w:keepLines/>
      <w:spacing w:line="360" w:lineRule="auto"/>
    </w:pPr>
    <w:rPr>
      <w:rFonts w:hAnsi="宋体" w:cs="宋体"/>
      <w:bCs/>
      <w:sz w:val="36"/>
    </w:rPr>
  </w:style>
  <w:style w:type="paragraph" w:customStyle="1" w:styleId="251">
    <w:name w:val="xl158"/>
    <w:basedOn w:val="1"/>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252">
    <w:name w:val="xl140"/>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253">
    <w:name w:val=" Char"/>
    <w:basedOn w:val="1"/>
    <w:uiPriority w:val="0"/>
    <w:rPr>
      <w:rFonts w:ascii="仿宋_GB2312" w:eastAsia="仿宋_GB2312"/>
      <w:b/>
      <w:sz w:val="32"/>
      <w:szCs w:val="32"/>
    </w:rPr>
  </w:style>
  <w:style w:type="paragraph" w:customStyle="1" w:styleId="254">
    <w:name w:val="GndNormal"/>
    <w:basedOn w:val="1"/>
    <w:uiPriority w:val="0"/>
    <w:pPr>
      <w:spacing w:line="360" w:lineRule="auto"/>
    </w:pPr>
    <w:rPr>
      <w:rFonts w:ascii="宋体" w:hAnsi="宋体"/>
      <w:b/>
      <w:bCs/>
      <w:sz w:val="24"/>
      <w:u w:val="single"/>
    </w:rPr>
  </w:style>
  <w:style w:type="paragraph" w:customStyle="1" w:styleId="255">
    <w:name w:val="标书正文"/>
    <w:basedOn w:val="1"/>
    <w:uiPriority w:val="0"/>
    <w:pPr>
      <w:adjustRightInd w:val="0"/>
      <w:snapToGrid w:val="0"/>
      <w:spacing w:line="300" w:lineRule="auto"/>
      <w:ind w:left="1080" w:leftChars="1080" w:firstLine="200" w:firstLineChars="200"/>
    </w:pPr>
    <w:rPr>
      <w:szCs w:val="20"/>
    </w:rPr>
  </w:style>
  <w:style w:type="paragraph" w:customStyle="1" w:styleId="256">
    <w:name w:val="xl90"/>
    <w:basedOn w:val="1"/>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57">
    <w:name w:val="样式 正文缩进正文（首行缩进两字）文2ALT+Z表正文正文非缩进特点段1标题4特点 Char Char特点 ..."/>
    <w:basedOn w:val="4"/>
    <w:uiPriority w:val="0"/>
    <w:pPr>
      <w:spacing w:before="156" w:beforeLines="50" w:after="156" w:afterLines="50" w:line="360" w:lineRule="auto"/>
      <w:ind w:firstLine="200" w:firstLineChars="200"/>
    </w:pPr>
    <w:rPr>
      <w:rFonts w:ascii="宋体" w:hAnsi="宋体"/>
      <w:kern w:val="44"/>
      <w:sz w:val="24"/>
      <w:szCs w:val="24"/>
    </w:rPr>
  </w:style>
  <w:style w:type="paragraph" w:customStyle="1" w:styleId="258">
    <w:name w:val="xl117"/>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color w:val="FF0000"/>
      <w:kern w:val="0"/>
      <w:sz w:val="20"/>
      <w:szCs w:val="20"/>
    </w:rPr>
  </w:style>
  <w:style w:type="paragraph" w:customStyle="1" w:styleId="259">
    <w:name w:val=" 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60">
    <w:name w:val="xl84"/>
    <w:basedOn w:val="1"/>
    <w:uiPriority w:val="0"/>
    <w:pPr>
      <w:widowControl/>
      <w:pBdr>
        <w:left w:val="single" w:color="auto" w:sz="8" w:space="0"/>
      </w:pBdr>
      <w:spacing w:before="100" w:beforeAutospacing="1" w:after="100" w:afterAutospacing="1"/>
      <w:jc w:val="center"/>
    </w:pPr>
    <w:rPr>
      <w:rFonts w:ascii="宋体" w:hAnsi="宋体" w:cs="宋体"/>
      <w:kern w:val="0"/>
      <w:sz w:val="18"/>
      <w:szCs w:val="18"/>
    </w:rPr>
  </w:style>
  <w:style w:type="paragraph" w:customStyle="1" w:styleId="261">
    <w:name w:val="列表_箭头"/>
    <w:basedOn w:val="1"/>
    <w:uiPriority w:val="0"/>
    <w:pPr>
      <w:tabs>
        <w:tab w:val="left" w:pos="840"/>
      </w:tabs>
      <w:spacing w:before="50" w:after="50"/>
      <w:ind w:left="840" w:hanging="420"/>
    </w:pPr>
    <w:rPr>
      <w:rFonts w:ascii="宋体" w:hAnsi="宋体"/>
      <w:sz w:val="24"/>
      <w:szCs w:val="20"/>
    </w:rPr>
  </w:style>
  <w:style w:type="paragraph" w:customStyle="1" w:styleId="262">
    <w:name w:val="xl142"/>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263">
    <w:name w:val="默认段落字体 Para Char Char Char Char Char Char Char Char Char1 Char Char Char Char"/>
    <w:basedOn w:val="1"/>
    <w:uiPriority w:val="0"/>
    <w:rPr>
      <w:rFonts w:ascii="Tahoma" w:hAnsi="Tahoma"/>
      <w:sz w:val="24"/>
      <w:szCs w:val="20"/>
    </w:rPr>
  </w:style>
  <w:style w:type="paragraph" w:customStyle="1" w:styleId="264">
    <w:name w:val="Char Char Char Char1"/>
    <w:basedOn w:val="1"/>
    <w:uiPriority w:val="0"/>
    <w:rPr>
      <w:rFonts w:ascii="Tahoma" w:hAnsi="Tahoma"/>
      <w:sz w:val="24"/>
      <w:szCs w:val="20"/>
    </w:rPr>
  </w:style>
  <w:style w:type="paragraph" w:customStyle="1" w:styleId="265">
    <w:name w:val="xl69"/>
    <w:basedOn w:val="1"/>
    <w:uiPriority w:val="0"/>
    <w:pPr>
      <w:widowControl/>
      <w:pBdr>
        <w:top w:val="single" w:color="auto" w:sz="8" w:space="0"/>
        <w:bottom w:val="single" w:color="auto" w:sz="8" w:space="0"/>
      </w:pBdr>
      <w:shd w:val="clear" w:color="000000" w:fill="FFFF00"/>
      <w:spacing w:before="100" w:beforeAutospacing="1" w:after="100" w:afterAutospacing="1"/>
      <w:jc w:val="center"/>
      <w:textAlignment w:val="bottom"/>
    </w:pPr>
    <w:rPr>
      <w:rFonts w:ascii="宋体" w:hAnsi="宋体" w:cs="宋体"/>
      <w:b/>
      <w:bCs/>
      <w:kern w:val="0"/>
      <w:sz w:val="28"/>
      <w:szCs w:val="28"/>
    </w:rPr>
  </w:style>
  <w:style w:type="paragraph" w:customStyle="1" w:styleId="266">
    <w:name w:val="三级条标题"/>
    <w:basedOn w:val="267"/>
    <w:next w:val="202"/>
    <w:uiPriority w:val="0"/>
    <w:pPr>
      <w:numPr>
        <w:ilvl w:val="4"/>
        <w:numId w:val="12"/>
      </w:numPr>
      <w:tabs>
        <w:tab w:val="left" w:pos="1680"/>
        <w:tab w:val="left" w:pos="1815"/>
        <w:tab w:val="left" w:pos="1890"/>
        <w:tab w:val="left" w:pos="2100"/>
      </w:tabs>
      <w:outlineLvl w:val="4"/>
    </w:pPr>
  </w:style>
  <w:style w:type="paragraph" w:customStyle="1" w:styleId="267">
    <w:name w:val="二级条标题"/>
    <w:basedOn w:val="268"/>
    <w:next w:val="202"/>
    <w:uiPriority w:val="0"/>
    <w:pPr>
      <w:numPr>
        <w:ilvl w:val="3"/>
        <w:numId w:val="12"/>
      </w:numPr>
      <w:tabs>
        <w:tab w:val="left" w:pos="1680"/>
        <w:tab w:val="left" w:pos="1815"/>
      </w:tabs>
      <w:outlineLvl w:val="3"/>
    </w:pPr>
  </w:style>
  <w:style w:type="paragraph" w:customStyle="1" w:styleId="268">
    <w:name w:val="一级条标题"/>
    <w:next w:val="202"/>
    <w:uiPriority w:val="0"/>
    <w:pPr>
      <w:numPr>
        <w:ilvl w:val="2"/>
        <w:numId w:val="2"/>
      </w:numPr>
      <w:tabs>
        <w:tab w:val="left" w:pos="1035"/>
        <w:tab w:val="left" w:pos="1260"/>
        <w:tab w:val="left" w:pos="1815"/>
      </w:tabs>
      <w:outlineLvl w:val="2"/>
    </w:pPr>
    <w:rPr>
      <w:rFonts w:eastAsia="黑体"/>
      <w:sz w:val="21"/>
      <w:lang w:val="en-US" w:eastAsia="zh-CN" w:bidi="ar-SA"/>
    </w:rPr>
  </w:style>
  <w:style w:type="paragraph" w:customStyle="1" w:styleId="269">
    <w:name w:val="xl108"/>
    <w:basedOn w:val="1"/>
    <w:uiPriority w:val="0"/>
    <w:pPr>
      <w:widowControl/>
      <w:pBdr>
        <w:top w:val="single" w:color="000000" w:sz="8" w:space="0"/>
        <w:left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270">
    <w:name w:val="GP正文(首行缩进)"/>
    <w:basedOn w:val="1"/>
    <w:qFormat/>
    <w:uiPriority w:val="0"/>
    <w:pPr>
      <w:spacing w:line="360" w:lineRule="auto"/>
      <w:ind w:firstLine="200" w:firstLineChars="200"/>
      <w:jc w:val="left"/>
    </w:pPr>
    <w:rPr>
      <w:sz w:val="24"/>
      <w:szCs w:val="21"/>
    </w:rPr>
  </w:style>
  <w:style w:type="paragraph" w:customStyle="1" w:styleId="271">
    <w:name w:val="xl105"/>
    <w:basedOn w:val="1"/>
    <w:uiPriority w:val="0"/>
    <w:pPr>
      <w:widowControl/>
      <w:pBdr>
        <w:left w:val="single" w:color="auto" w:sz="8" w:space="0"/>
        <w:bottom w:val="single" w:color="auto" w:sz="8" w:space="0"/>
      </w:pBdr>
      <w:spacing w:before="100" w:beforeAutospacing="1" w:after="100" w:afterAutospacing="1"/>
      <w:jc w:val="left"/>
    </w:pPr>
    <w:rPr>
      <w:rFonts w:ascii="Calibri" w:hAnsi="Calibri" w:cs="Calibri"/>
      <w:kern w:val="0"/>
      <w:sz w:val="18"/>
      <w:szCs w:val="18"/>
    </w:rPr>
  </w:style>
  <w:style w:type="paragraph" w:customStyle="1" w:styleId="272">
    <w:name w:val="黑体编号列表"/>
    <w:basedOn w:val="1"/>
    <w:uiPriority w:val="0"/>
    <w:pPr>
      <w:spacing w:after="156" w:line="360" w:lineRule="auto"/>
      <w:jc w:val="left"/>
    </w:pPr>
    <w:rPr>
      <w:rFonts w:ascii="宋体" w:hAnsi="宋体"/>
      <w:b/>
      <w:bCs/>
      <w:sz w:val="24"/>
      <w:szCs w:val="20"/>
    </w:rPr>
  </w:style>
  <w:style w:type="paragraph" w:customStyle="1" w:styleId="273">
    <w:name w:val="xl129"/>
    <w:basedOn w:val="1"/>
    <w:uiPriority w:val="0"/>
    <w:pPr>
      <w:widowControl/>
      <w:pBdr>
        <w:left w:val="single" w:color="auto" w:sz="8" w:space="0"/>
        <w:bottom w:val="single" w:color="auto" w:sz="8" w:space="0"/>
      </w:pBdr>
      <w:spacing w:before="100" w:beforeAutospacing="1" w:after="100" w:afterAutospacing="1"/>
      <w:jc w:val="center"/>
    </w:pPr>
    <w:rPr>
      <w:rFonts w:ascii="Calibri" w:hAnsi="Calibri" w:cs="Calibri"/>
      <w:color w:val="3366FF"/>
      <w:kern w:val="0"/>
      <w:sz w:val="18"/>
      <w:szCs w:val="18"/>
    </w:rPr>
  </w:style>
  <w:style w:type="paragraph" w:customStyle="1" w:styleId="274">
    <w:name w:val="WW-正文文字缩进 2"/>
    <w:basedOn w:val="1"/>
    <w:uiPriority w:val="0"/>
    <w:pPr>
      <w:suppressAutoHyphens/>
      <w:ind w:firstLine="420"/>
    </w:pPr>
    <w:rPr>
      <w:kern w:val="1"/>
      <w:szCs w:val="20"/>
      <w:lang/>
    </w:rPr>
  </w:style>
  <w:style w:type="paragraph" w:customStyle="1" w:styleId="275">
    <w:name w:val="图片lhy"/>
    <w:uiPriority w:val="0"/>
    <w:pPr>
      <w:adjustRightInd w:val="0"/>
      <w:snapToGrid w:val="0"/>
      <w:ind w:firstLine="1" w:firstLineChars="1"/>
    </w:pPr>
    <w:rPr>
      <w:rFonts w:ascii="黑体" w:eastAsia="黑体"/>
      <w:color w:val="000000"/>
      <w:kern w:val="2"/>
      <w:sz w:val="21"/>
      <w:szCs w:val="21"/>
      <w:lang w:val="en-US" w:eastAsia="zh-CN" w:bidi="ar-SA"/>
    </w:rPr>
  </w:style>
  <w:style w:type="paragraph" w:customStyle="1" w:styleId="276">
    <w:name w:val="xl66"/>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Calibri"/>
      <w:color w:val="000000"/>
      <w:kern w:val="0"/>
      <w:sz w:val="18"/>
      <w:szCs w:val="18"/>
    </w:rPr>
  </w:style>
  <w:style w:type="paragraph" w:customStyle="1" w:styleId="277">
    <w:name w:val="产品特点"/>
    <w:basedOn w:val="1"/>
    <w:uiPriority w:val="0"/>
    <w:pPr>
      <w:tabs>
        <w:tab w:val="left" w:pos="900"/>
      </w:tabs>
      <w:spacing w:before="156" w:beforeLines="50" w:after="156" w:afterLines="50"/>
      <w:ind w:left="900" w:hanging="420" w:firstLineChars="200"/>
    </w:pPr>
    <w:rPr>
      <w:sz w:val="24"/>
    </w:rPr>
  </w:style>
  <w:style w:type="paragraph" w:customStyle="1" w:styleId="278">
    <w:name w:val="xl82"/>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279">
    <w:name w:val="xl134"/>
    <w:basedOn w:val="1"/>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3366FF"/>
      <w:kern w:val="0"/>
      <w:sz w:val="18"/>
      <w:szCs w:val="18"/>
    </w:rPr>
  </w:style>
  <w:style w:type="paragraph" w:customStyle="1" w:styleId="280">
    <w:name w:val="xl127"/>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81">
    <w:name w:val="Ê×ÐÐËõ½ø"/>
    <w:basedOn w:val="1"/>
    <w:uiPriority w:val="0"/>
    <w:pPr>
      <w:widowControl/>
      <w:overflowPunct w:val="0"/>
      <w:autoSpaceDE w:val="0"/>
      <w:autoSpaceDN w:val="0"/>
      <w:adjustRightInd w:val="0"/>
      <w:textAlignment w:val="baseline"/>
    </w:pPr>
    <w:rPr>
      <w:kern w:val="0"/>
      <w:sz w:val="28"/>
      <w:szCs w:val="20"/>
    </w:rPr>
  </w:style>
  <w:style w:type="paragraph" w:customStyle="1" w:styleId="282">
    <w:name w:val="Default"/>
    <w:uiPriority w:val="0"/>
    <w:pPr>
      <w:widowControl w:val="0"/>
      <w:autoSpaceDE w:val="0"/>
      <w:autoSpaceDN w:val="0"/>
      <w:adjustRightInd w:val="0"/>
    </w:pPr>
    <w:rPr>
      <w:color w:val="000000"/>
      <w:sz w:val="24"/>
      <w:szCs w:val="24"/>
      <w:lang w:val="en-US" w:eastAsia="zh-CN" w:bidi="ar-SA"/>
    </w:rPr>
  </w:style>
  <w:style w:type="paragraph" w:customStyle="1" w:styleId="283">
    <w:name w:val="Char Char1 Char Char Char Char Char Char"/>
    <w:basedOn w:val="1"/>
    <w:uiPriority w:val="0"/>
    <w:pPr>
      <w:widowControl/>
      <w:spacing w:after="160" w:line="240" w:lineRule="exact"/>
      <w:jc w:val="left"/>
    </w:pPr>
  </w:style>
  <w:style w:type="paragraph" w:customStyle="1" w:styleId="284">
    <w:name w:val=" Char1"/>
    <w:basedOn w:val="17"/>
    <w:uiPriority w:val="0"/>
    <w:rPr>
      <w:rFonts w:ascii="Tahoma" w:hAnsi="Tahoma"/>
      <w:sz w:val="24"/>
    </w:rPr>
  </w:style>
  <w:style w:type="paragraph" w:customStyle="1" w:styleId="285">
    <w:name w:val="xl109"/>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86">
    <w:name w:val="List Paragraph"/>
    <w:basedOn w:val="1"/>
    <w:uiPriority w:val="0"/>
    <w:pPr>
      <w:ind w:firstLine="420" w:firstLineChars="200"/>
    </w:pPr>
    <w:rPr>
      <w:rFonts w:ascii="Calibri" w:hAnsi="Calibri"/>
      <w:szCs w:val="22"/>
    </w:rPr>
  </w:style>
  <w:style w:type="paragraph" w:customStyle="1" w:styleId="287">
    <w:name w:val="xl72"/>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288">
    <w:name w:val="xl159"/>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3366FF"/>
      <w:kern w:val="0"/>
      <w:sz w:val="18"/>
      <w:szCs w:val="18"/>
    </w:rPr>
  </w:style>
  <w:style w:type="paragraph" w:customStyle="1" w:styleId="289">
    <w:name w:val="xl65"/>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Calibri"/>
      <w:color w:val="3366FF"/>
      <w:kern w:val="0"/>
      <w:sz w:val="18"/>
      <w:szCs w:val="18"/>
    </w:rPr>
  </w:style>
  <w:style w:type="paragraph" w:customStyle="1" w:styleId="290">
    <w:name w:val="xl144"/>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291">
    <w:name w:val="xl92"/>
    <w:basedOn w:val="1"/>
    <w:uiPriority w:val="0"/>
    <w:pPr>
      <w:widowControl/>
      <w:pBdr>
        <w:left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292">
    <w:name w:val="1 Char Char Char Char Char Char Char"/>
    <w:next w:val="1"/>
    <w:uiPriority w:val="0"/>
    <w:pPr>
      <w:keepNext/>
      <w:keepLines/>
      <w:tabs>
        <w:tab w:val="left" w:pos="3360"/>
      </w:tabs>
      <w:spacing w:before="240" w:after="240"/>
      <w:ind w:left="3360" w:hanging="420"/>
      <w:outlineLvl w:val="7"/>
    </w:pPr>
    <w:rPr>
      <w:rFonts w:ascii="Arial" w:hAnsi="Arial" w:eastAsia="黑体" w:cs="Arial"/>
      <w:snapToGrid w:val="0"/>
      <w:sz w:val="21"/>
      <w:szCs w:val="21"/>
      <w:lang w:val="en-US" w:eastAsia="zh-CN" w:bidi="ar-SA"/>
    </w:rPr>
  </w:style>
  <w:style w:type="paragraph" w:customStyle="1" w:styleId="293">
    <w:name w:val="xl68"/>
    <w:basedOn w:val="1"/>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jc w:val="center"/>
      <w:textAlignment w:val="bottom"/>
    </w:pPr>
    <w:rPr>
      <w:rFonts w:ascii="宋体" w:hAnsi="宋体" w:cs="宋体"/>
      <w:b/>
      <w:bCs/>
      <w:kern w:val="0"/>
      <w:sz w:val="28"/>
      <w:szCs w:val="28"/>
    </w:rPr>
  </w:style>
  <w:style w:type="paragraph" w:customStyle="1" w:styleId="294">
    <w:name w:val="xl79"/>
    <w:basedOn w:val="1"/>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295">
    <w:name w:val="xl87"/>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96">
    <w:name w:val="xl147"/>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97">
    <w:name w:val="xl89"/>
    <w:basedOn w:val="1"/>
    <w:uiPriority w:val="0"/>
    <w:pPr>
      <w:widowControl/>
      <w:pBdr>
        <w:bottom w:val="single" w:color="auto" w:sz="8" w:space="0"/>
      </w:pBdr>
      <w:spacing w:before="100" w:beforeAutospacing="1" w:after="100" w:afterAutospacing="1"/>
      <w:jc w:val="left"/>
    </w:pPr>
    <w:rPr>
      <w:rFonts w:ascii="宋体" w:hAnsi="宋体" w:cs="宋体"/>
      <w:kern w:val="0"/>
      <w:sz w:val="20"/>
      <w:szCs w:val="20"/>
    </w:rPr>
  </w:style>
  <w:style w:type="paragraph" w:customStyle="1" w:styleId="298">
    <w:name w:val="封面"/>
    <w:basedOn w:val="1"/>
    <w:uiPriority w:val="0"/>
    <w:pPr>
      <w:adjustRightInd w:val="0"/>
      <w:spacing w:before="100" w:after="40" w:line="288" w:lineRule="auto"/>
      <w:jc w:val="right"/>
      <w:textAlignment w:val="baseline"/>
    </w:pPr>
    <w:rPr>
      <w:rFonts w:cs="宋体"/>
      <w:b/>
      <w:snapToGrid w:val="0"/>
      <w:kern w:val="0"/>
      <w:sz w:val="52"/>
      <w:szCs w:val="20"/>
    </w:rPr>
  </w:style>
  <w:style w:type="paragraph" w:customStyle="1" w:styleId="299">
    <w:name w:val="font10"/>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00">
    <w:name w:val="xl128"/>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01">
    <w:name w:val="xl86"/>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02">
    <w:name w:val="正文表格"/>
    <w:basedOn w:val="4"/>
    <w:uiPriority w:val="0"/>
    <w:pPr>
      <w:ind w:firstLine="0"/>
    </w:pPr>
    <w:rPr>
      <w:sz w:val="24"/>
      <w:szCs w:val="24"/>
    </w:rPr>
  </w:style>
  <w:style w:type="paragraph" w:customStyle="1" w:styleId="303">
    <w:name w:val="xl96"/>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304">
    <w:name w:val="xl141"/>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305">
    <w:name w:val="xl73"/>
    <w:basedOn w:val="1"/>
    <w:uiPriority w:val="0"/>
    <w:pPr>
      <w:widowControl/>
      <w:pBdr>
        <w:right w:val="single" w:color="auto" w:sz="8" w:space="0"/>
      </w:pBdr>
      <w:spacing w:before="100" w:beforeAutospacing="1" w:after="100" w:afterAutospacing="1"/>
      <w:jc w:val="left"/>
    </w:pPr>
    <w:rPr>
      <w:rFonts w:ascii="Calibri" w:hAnsi="Calibri" w:cs="Calibri"/>
      <w:kern w:val="0"/>
      <w:sz w:val="18"/>
      <w:szCs w:val="18"/>
    </w:rPr>
  </w:style>
  <w:style w:type="paragraph" w:customStyle="1" w:styleId="306">
    <w:name w:val="_Style 18"/>
    <w:basedOn w:val="1"/>
    <w:next w:val="1"/>
    <w:uiPriority w:val="99"/>
    <w:rPr>
      <w:rFonts w:ascii="Calibri" w:hAnsi="Calibri"/>
      <w:szCs w:val="22"/>
    </w:rPr>
  </w:style>
  <w:style w:type="paragraph" w:customStyle="1" w:styleId="307">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08">
    <w:name w:val="图片"/>
    <w:basedOn w:val="1"/>
    <w:next w:val="1"/>
    <w:uiPriority w:val="0"/>
    <w:pPr>
      <w:keepNext/>
      <w:spacing w:before="60" w:after="60"/>
      <w:jc w:val="center"/>
    </w:pPr>
    <w:rPr>
      <w:kern w:val="0"/>
      <w:sz w:val="24"/>
      <w:szCs w:val="20"/>
    </w:rPr>
  </w:style>
  <w:style w:type="paragraph" w:customStyle="1" w:styleId="309">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310">
    <w:name w:val="xl153"/>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Calibri" w:hAnsi="Calibri" w:cs="Calibri"/>
      <w:color w:val="000000"/>
      <w:kern w:val="0"/>
      <w:sz w:val="18"/>
      <w:szCs w:val="18"/>
    </w:rPr>
  </w:style>
  <w:style w:type="paragraph" w:customStyle="1" w:styleId="31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12">
    <w:name w:val="xl63"/>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313">
    <w:name w:val="xl32"/>
    <w:basedOn w:val="1"/>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314">
    <w:name w:val="xl115"/>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15">
    <w:name w:val="xl133"/>
    <w:basedOn w:val="1"/>
    <w:uiPriority w:val="0"/>
    <w:pPr>
      <w:widowControl/>
      <w:pBdr>
        <w:bottom w:val="single" w:color="auto" w:sz="8" w:space="0"/>
        <w:right w:val="single" w:color="auto" w:sz="8" w:space="0"/>
      </w:pBdr>
      <w:spacing w:before="100" w:beforeAutospacing="1" w:after="100" w:afterAutospacing="1"/>
    </w:pPr>
    <w:rPr>
      <w:rFonts w:ascii="宋体" w:hAnsi="宋体" w:cs="宋体"/>
      <w:color w:val="3366FF"/>
      <w:kern w:val="0"/>
      <w:sz w:val="18"/>
      <w:szCs w:val="18"/>
    </w:rPr>
  </w:style>
  <w:style w:type="paragraph" w:customStyle="1" w:styleId="316">
    <w:name w:val="xl130"/>
    <w:basedOn w:val="1"/>
    <w:uiPriority w:val="0"/>
    <w:pPr>
      <w:widowControl/>
      <w:pBdr>
        <w:top w:val="single" w:color="auto" w:sz="8" w:space="0"/>
        <w:left w:val="single" w:color="auto" w:sz="8" w:space="0"/>
      </w:pBdr>
      <w:spacing w:before="100" w:beforeAutospacing="1" w:after="100" w:afterAutospacing="1"/>
    </w:pPr>
    <w:rPr>
      <w:rFonts w:ascii="宋体" w:hAnsi="宋体" w:cs="宋体"/>
      <w:color w:val="3366FF"/>
      <w:kern w:val="0"/>
      <w:sz w:val="18"/>
      <w:szCs w:val="18"/>
    </w:rPr>
  </w:style>
  <w:style w:type="paragraph" w:customStyle="1" w:styleId="317">
    <w:name w:val="font6"/>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318">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9">
    <w:name w:val="xl26"/>
    <w:basedOn w:val="1"/>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1">
    <w:name w:val="xl149"/>
    <w:basedOn w:val="1"/>
    <w:uiPriority w:val="0"/>
    <w:pPr>
      <w:widowControl/>
      <w:pBdr>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22">
    <w:name w:val="xl124"/>
    <w:basedOn w:val="1"/>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323">
    <w:name w:val="_Style 106"/>
    <w:next w:val="1"/>
    <w:uiPriority w:val="0"/>
    <w:pPr>
      <w:widowControl w:val="0"/>
      <w:jc w:val="both"/>
    </w:pPr>
    <w:rPr>
      <w:kern w:val="2"/>
      <w:sz w:val="21"/>
      <w:szCs w:val="24"/>
      <w:lang w:val="en-US" w:eastAsia="zh-CN" w:bidi="ar-SA"/>
    </w:rPr>
  </w:style>
  <w:style w:type="paragraph" w:customStyle="1" w:styleId="324">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325">
    <w:name w:val="xl70"/>
    <w:basedOn w:val="1"/>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rFonts w:ascii="宋体" w:hAnsi="宋体" w:cs="宋体"/>
      <w:b/>
      <w:bCs/>
      <w:kern w:val="0"/>
      <w:sz w:val="28"/>
      <w:szCs w:val="28"/>
    </w:rPr>
  </w:style>
  <w:style w:type="paragraph" w:customStyle="1" w:styleId="326">
    <w:name w:val="表格文本"/>
    <w:basedOn w:val="1"/>
    <w:uiPriority w:val="0"/>
    <w:pPr>
      <w:tabs>
        <w:tab w:val="decimal" w:pos="0"/>
      </w:tabs>
      <w:autoSpaceDE w:val="0"/>
      <w:autoSpaceDN w:val="0"/>
      <w:adjustRightInd w:val="0"/>
      <w:jc w:val="left"/>
    </w:pPr>
    <w:rPr>
      <w:kern w:val="0"/>
    </w:rPr>
  </w:style>
  <w:style w:type="paragraph" w:customStyle="1" w:styleId="327">
    <w:name w:val="xl94"/>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328">
    <w:name w:val="font14"/>
    <w:basedOn w:val="1"/>
    <w:uiPriority w:val="0"/>
    <w:pPr>
      <w:widowControl/>
      <w:spacing w:before="100" w:beforeAutospacing="1" w:after="100" w:afterAutospacing="1"/>
      <w:jc w:val="left"/>
    </w:pPr>
    <w:rPr>
      <w:color w:val="000000"/>
      <w:kern w:val="0"/>
      <w:sz w:val="18"/>
      <w:szCs w:val="18"/>
    </w:rPr>
  </w:style>
  <w:style w:type="paragraph" w:customStyle="1" w:styleId="329">
    <w:name w:val="xl104"/>
    <w:basedOn w:val="1"/>
    <w:uiPriority w:val="0"/>
    <w:pPr>
      <w:widowControl/>
      <w:pBdr>
        <w:bottom w:val="single" w:color="auto" w:sz="8" w:space="0"/>
      </w:pBdr>
      <w:spacing w:before="100" w:beforeAutospacing="1" w:after="100" w:afterAutospacing="1"/>
      <w:jc w:val="left"/>
    </w:pPr>
    <w:rPr>
      <w:rFonts w:ascii="Calibri" w:hAnsi="Calibri" w:cs="Calibri"/>
      <w:kern w:val="0"/>
      <w:sz w:val="18"/>
      <w:szCs w:val="18"/>
    </w:rPr>
  </w:style>
  <w:style w:type="paragraph" w:customStyle="1" w:styleId="330">
    <w:name w:val="xl78"/>
    <w:basedOn w:val="1"/>
    <w:uiPriority w:val="0"/>
    <w:pPr>
      <w:widowControl/>
      <w:pBdr>
        <w:right w:val="single" w:color="auto" w:sz="8" w:space="0"/>
      </w:pBdr>
      <w:spacing w:before="100" w:beforeAutospacing="1" w:after="100" w:afterAutospacing="1"/>
      <w:jc w:val="left"/>
    </w:pPr>
    <w:rPr>
      <w:rFonts w:ascii="宋体" w:hAnsi="宋体" w:cs="宋体"/>
      <w:kern w:val="0"/>
      <w:sz w:val="18"/>
      <w:szCs w:val="18"/>
    </w:rPr>
  </w:style>
  <w:style w:type="paragraph" w:customStyle="1" w:styleId="331">
    <w:name w:val="xl150"/>
    <w:basedOn w:val="1"/>
    <w:uiPriority w:val="0"/>
    <w:pPr>
      <w:widowControl/>
      <w:pBdr>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32">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33">
    <w:name w:val="xl64"/>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334">
    <w:name w:val="xl131"/>
    <w:basedOn w:val="1"/>
    <w:uiPriority w:val="0"/>
    <w:pPr>
      <w:widowControl/>
      <w:pBdr>
        <w:top w:val="single" w:color="auto" w:sz="8" w:space="0"/>
        <w:right w:val="single" w:color="auto" w:sz="8" w:space="0"/>
      </w:pBdr>
      <w:spacing w:before="100" w:beforeAutospacing="1" w:after="100" w:afterAutospacing="1"/>
    </w:pPr>
    <w:rPr>
      <w:rFonts w:ascii="宋体" w:hAnsi="宋体" w:cs="宋体"/>
      <w:color w:val="3366FF"/>
      <w:kern w:val="0"/>
      <w:sz w:val="18"/>
      <w:szCs w:val="18"/>
    </w:rPr>
  </w:style>
  <w:style w:type="paragraph" w:customStyle="1" w:styleId="335">
    <w:name w:val="xl77"/>
    <w:basedOn w:val="1"/>
    <w:uiPriority w:val="0"/>
    <w:pPr>
      <w:widowControl/>
      <w:pBdr>
        <w:left w:val="single" w:color="auto" w:sz="8" w:space="0"/>
      </w:pBdr>
      <w:spacing w:before="100" w:beforeAutospacing="1" w:after="100" w:afterAutospacing="1"/>
      <w:jc w:val="left"/>
    </w:pPr>
    <w:rPr>
      <w:rFonts w:ascii="宋体" w:hAnsi="宋体" w:cs="宋体"/>
      <w:kern w:val="0"/>
      <w:sz w:val="18"/>
      <w:szCs w:val="18"/>
    </w:rPr>
  </w:style>
  <w:style w:type="paragraph" w:customStyle="1" w:styleId="336">
    <w:name w:val="p0"/>
    <w:basedOn w:val="1"/>
    <w:uiPriority w:val="0"/>
    <w:pPr>
      <w:widowControl/>
    </w:pPr>
    <w:rPr>
      <w:kern w:val="0"/>
      <w:szCs w:val="21"/>
    </w:rPr>
  </w:style>
  <w:style w:type="paragraph" w:customStyle="1" w:styleId="337">
    <w:name w:val="xl152"/>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38">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339">
    <w:name w:val="xl165"/>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styleId="340">
    <w:name w:val="No Spacing"/>
    <w:qFormat/>
    <w:uiPriority w:val="0"/>
    <w:pPr>
      <w:widowControl w:val="0"/>
      <w:spacing w:line="360" w:lineRule="auto"/>
      <w:jc w:val="both"/>
    </w:pPr>
    <w:rPr>
      <w:kern w:val="2"/>
      <w:sz w:val="21"/>
      <w:szCs w:val="22"/>
      <w:lang w:val="en-US" w:eastAsia="zh-CN" w:bidi="ar-SA"/>
    </w:rPr>
  </w:style>
  <w:style w:type="paragraph" w:customStyle="1" w:styleId="341">
    <w:name w:val="xl83"/>
    <w:basedOn w:val="1"/>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2">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343">
    <w:name w:val="xl166"/>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344">
    <w:name w:val="zhengwen"/>
    <w:basedOn w:val="1"/>
    <w:uiPriority w:val="0"/>
    <w:pPr>
      <w:spacing w:before="100" w:beforeAutospacing="1" w:after="100" w:afterAutospacing="1" w:line="360" w:lineRule="auto"/>
      <w:ind w:firstLine="420"/>
    </w:pPr>
    <w:rPr>
      <w:sz w:val="24"/>
    </w:rPr>
  </w:style>
  <w:style w:type="paragraph" w:customStyle="1" w:styleId="345">
    <w:name w:val="xl98"/>
    <w:basedOn w:val="1"/>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46">
    <w:name w:val="xl161"/>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347">
    <w:name w:val="Char Char1 Char Char Char Char1 Char Char Char"/>
    <w:basedOn w:val="1"/>
    <w:uiPriority w:val="0"/>
    <w:pPr>
      <w:adjustRightInd w:val="0"/>
      <w:spacing w:line="360" w:lineRule="atLeast"/>
    </w:pPr>
    <w:rPr>
      <w:rFonts w:ascii="Tahoma" w:hAnsi="Tahoma"/>
      <w:sz w:val="24"/>
      <w:szCs w:val="20"/>
    </w:rPr>
  </w:style>
  <w:style w:type="paragraph" w:customStyle="1" w:styleId="348">
    <w:name w:val=" Char Char Char1 Char Char Char1 Char Char Char Char"/>
    <w:basedOn w:val="1"/>
    <w:uiPriority w:val="0"/>
  </w:style>
  <w:style w:type="paragraph" w:customStyle="1" w:styleId="349">
    <w:name w:val="xl164"/>
    <w:basedOn w:val="1"/>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350">
    <w:name w:val="font11"/>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1">
    <w:name w:val="列表1"/>
    <w:uiPriority w:val="0"/>
    <w:pPr>
      <w:numPr>
        <w:ilvl w:val="0"/>
        <w:numId w:val="10"/>
      </w:numPr>
      <w:tabs>
        <w:tab w:val="left" w:pos="1035"/>
      </w:tabs>
      <w:spacing w:line="360" w:lineRule="auto"/>
    </w:pPr>
    <w:rPr>
      <w:rFonts w:ascii="宋体" w:hAnsi="宋体"/>
      <w:kern w:val="2"/>
      <w:sz w:val="24"/>
      <w:szCs w:val="24"/>
      <w:lang w:val="en-US" w:eastAsia="zh-CN" w:bidi="ar-SA"/>
    </w:rPr>
  </w:style>
  <w:style w:type="paragraph" w:customStyle="1" w:styleId="352">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353">
    <w:name w:val="xl122"/>
    <w:basedOn w:val="1"/>
    <w:uiPriority w:val="0"/>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54">
    <w:name w:val="xl74"/>
    <w:basedOn w:val="1"/>
    <w:uiPriority w:val="0"/>
    <w:pPr>
      <w:widowControl/>
      <w:pBdr>
        <w:top w:val="single" w:color="auto" w:sz="8" w:space="0"/>
        <w:left w:val="single" w:color="auto" w:sz="8" w:space="0"/>
      </w:pBdr>
      <w:spacing w:before="100" w:beforeAutospacing="1" w:after="100" w:afterAutospacing="1"/>
      <w:jc w:val="left"/>
    </w:pPr>
    <w:rPr>
      <w:rFonts w:ascii="宋体" w:hAnsi="宋体" w:cs="宋体"/>
      <w:kern w:val="0"/>
      <w:sz w:val="18"/>
      <w:szCs w:val="18"/>
    </w:rPr>
  </w:style>
  <w:style w:type="paragraph" w:customStyle="1" w:styleId="355">
    <w:name w:val="xl103"/>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66CC"/>
      <w:kern w:val="0"/>
      <w:sz w:val="20"/>
      <w:szCs w:val="20"/>
    </w:rPr>
  </w:style>
  <w:style w:type="paragraph" w:customStyle="1" w:styleId="356">
    <w:name w:val="xl106"/>
    <w:basedOn w:val="1"/>
    <w:uiPriority w:val="0"/>
    <w:pPr>
      <w:widowControl/>
      <w:pBdr>
        <w:bottom w:val="single" w:color="auto" w:sz="8" w:space="0"/>
        <w:right w:val="single" w:color="auto" w:sz="8" w:space="0"/>
      </w:pBdr>
      <w:spacing w:before="100" w:beforeAutospacing="1" w:after="100" w:afterAutospacing="1"/>
      <w:jc w:val="left"/>
    </w:pPr>
    <w:rPr>
      <w:rFonts w:ascii="Calibri" w:hAnsi="Calibri" w:cs="Calibri"/>
      <w:kern w:val="0"/>
      <w:sz w:val="18"/>
      <w:szCs w:val="18"/>
    </w:rPr>
  </w:style>
  <w:style w:type="paragraph" w:customStyle="1" w:styleId="357">
    <w:name w:val="图题注"/>
    <w:next w:val="1"/>
    <w:uiPriority w:val="0"/>
    <w:pPr>
      <w:spacing w:before="60" w:after="120"/>
      <w:jc w:val="center"/>
    </w:pPr>
    <w:rPr>
      <w:rFonts w:ascii="宋体"/>
      <w:sz w:val="18"/>
      <w:lang w:val="en-US" w:eastAsia="zh-CN" w:bidi="ar-SA"/>
    </w:rPr>
  </w:style>
  <w:style w:type="paragraph" w:customStyle="1" w:styleId="358">
    <w:name w:val="xl112"/>
    <w:basedOn w:val="1"/>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Calibri" w:hAnsi="Calibri" w:cs="Calibri"/>
      <w:kern w:val="0"/>
      <w:sz w:val="18"/>
      <w:szCs w:val="18"/>
    </w:rPr>
  </w:style>
  <w:style w:type="paragraph" w:customStyle="1" w:styleId="359">
    <w:name w:val="样1"/>
    <w:basedOn w:val="22"/>
    <w:uiPriority w:val="0"/>
    <w:pPr>
      <w:spacing w:after="0" w:line="360" w:lineRule="auto"/>
      <w:ind w:left="0" w:leftChars="0" w:firstLine="480" w:firstLineChars="200"/>
    </w:pPr>
    <w:rPr>
      <w:rFonts w:ascii="宋体" w:hAnsi="宋体"/>
      <w:bCs/>
      <w:sz w:val="24"/>
    </w:rPr>
  </w:style>
  <w:style w:type="paragraph" w:customStyle="1" w:styleId="360">
    <w:name w:val="xl121"/>
    <w:basedOn w:val="1"/>
    <w:uiPriority w:val="0"/>
    <w:pPr>
      <w:widowControl/>
      <w:pBdr>
        <w:bottom w:val="single" w:color="000000"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61">
    <w:name w:val="默认段落字体 Para Char Char Char Char"/>
    <w:basedOn w:val="1"/>
    <w:uiPriority w:val="0"/>
    <w:rPr>
      <w:rFonts w:ascii="宋体"/>
      <w:kern w:val="0"/>
      <w:sz w:val="18"/>
      <w:szCs w:val="20"/>
      <w:u w:val="single"/>
    </w:rPr>
  </w:style>
  <w:style w:type="paragraph" w:customStyle="1" w:styleId="362">
    <w:name w:val="xl160"/>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3366FF"/>
      <w:kern w:val="0"/>
      <w:sz w:val="18"/>
      <w:szCs w:val="18"/>
    </w:rPr>
  </w:style>
  <w:style w:type="paragraph" w:customStyle="1" w:styleId="363">
    <w:name w:val="xl167"/>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64">
    <w:name w:val="xl120"/>
    <w:basedOn w:val="1"/>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 w:val="18"/>
      <w:szCs w:val="18"/>
    </w:rPr>
  </w:style>
  <w:style w:type="paragraph" w:customStyle="1" w:styleId="365">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6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7">
    <w:name w:val="xl114"/>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Calibri" w:hAnsi="Calibri" w:cs="Calibri"/>
      <w:kern w:val="0"/>
      <w:sz w:val="18"/>
      <w:szCs w:val="18"/>
    </w:rPr>
  </w:style>
  <w:style w:type="paragraph" w:customStyle="1" w:styleId="368">
    <w:name w:val="xl162"/>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69">
    <w:name w:val="xl67"/>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Calibri"/>
      <w:color w:val="000000"/>
      <w:kern w:val="0"/>
      <w:sz w:val="18"/>
      <w:szCs w:val="18"/>
    </w:rPr>
  </w:style>
  <w:style w:type="paragraph" w:customStyle="1" w:styleId="370">
    <w:name w:val="xl15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71">
    <w:name w:val="列表内容"/>
    <w:basedOn w:val="1"/>
    <w:next w:val="1"/>
    <w:uiPriority w:val="0"/>
    <w:pPr>
      <w:widowControl/>
      <w:tabs>
        <w:tab w:val="left" w:pos="360"/>
      </w:tabs>
      <w:jc w:val="left"/>
    </w:pPr>
    <w:rPr>
      <w:kern w:val="0"/>
      <w:sz w:val="18"/>
    </w:rPr>
  </w:style>
  <w:style w:type="paragraph" w:customStyle="1" w:styleId="372">
    <w:name w:val="章标题"/>
    <w:next w:val="202"/>
    <w:uiPriority w:val="0"/>
    <w:pPr>
      <w:numPr>
        <w:ilvl w:val="1"/>
        <w:numId w:val="12"/>
      </w:numPr>
      <w:tabs>
        <w:tab w:val="left" w:pos="780"/>
      </w:tabs>
      <w:spacing w:before="156" w:beforeLines="50" w:after="156" w:afterLines="50"/>
      <w:jc w:val="both"/>
      <w:outlineLvl w:val="1"/>
    </w:pPr>
    <w:rPr>
      <w:rFonts w:ascii="黑体" w:eastAsia="黑体"/>
      <w:sz w:val="21"/>
      <w:lang w:val="en-US" w:eastAsia="zh-CN" w:bidi="ar-SA"/>
    </w:rPr>
  </w:style>
  <w:style w:type="paragraph" w:customStyle="1" w:styleId="373">
    <w:name w:val="xl107"/>
    <w:basedOn w:val="1"/>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374">
    <w:name w:val="xl154"/>
    <w:basedOn w:val="1"/>
    <w:uiPriority w:val="0"/>
    <w:pPr>
      <w:widowControl/>
      <w:pBdr>
        <w:top w:val="single" w:color="auto" w:sz="8" w:space="0"/>
        <w:bottom w:val="single" w:color="auto" w:sz="8" w:space="0"/>
      </w:pBdr>
      <w:spacing w:before="100" w:beforeAutospacing="1" w:after="100" w:afterAutospacing="1"/>
      <w:jc w:val="left"/>
    </w:pPr>
    <w:rPr>
      <w:rFonts w:ascii="Calibri" w:hAnsi="Calibri" w:cs="Calibri"/>
      <w:color w:val="000000"/>
      <w:kern w:val="0"/>
      <w:sz w:val="18"/>
      <w:szCs w:val="18"/>
    </w:rPr>
  </w:style>
  <w:style w:type="paragraph" w:styleId="375">
    <w:name w:val=""/>
    <w:basedOn w:val="2"/>
    <w:next w:val="1"/>
    <w:qFormat/>
    <w:uiPriority w:val="0"/>
    <w:pPr>
      <w:keepLines/>
      <w:spacing w:before="340" w:after="330" w:line="578" w:lineRule="auto"/>
      <w:ind w:left="425" w:hanging="425"/>
      <w:jc w:val="both"/>
      <w:outlineLvl w:val="9"/>
    </w:pPr>
    <w:rPr>
      <w:rFonts w:ascii="Times New Roman" w:hAnsi="Times New Roman"/>
      <w:bCs/>
      <w:kern w:val="44"/>
      <w:sz w:val="44"/>
      <w:szCs w:val="44"/>
    </w:rPr>
  </w:style>
  <w:style w:type="paragraph" w:customStyle="1" w:styleId="376">
    <w:name w:val="图表文字"/>
    <w:basedOn w:val="1"/>
    <w:uiPriority w:val="0"/>
  </w:style>
  <w:style w:type="paragraph" w:customStyle="1" w:styleId="377">
    <w:name w:val=" Char Char Char Char Char Char Char Char Char Char"/>
    <w:basedOn w:val="1"/>
    <w:uiPriority w:val="0"/>
    <w:rPr>
      <w:rFonts w:ascii="Tahoma" w:hAnsi="Tahoma"/>
      <w:sz w:val="24"/>
      <w:szCs w:val="20"/>
    </w:rPr>
  </w:style>
  <w:style w:type="paragraph" w:customStyle="1" w:styleId="378">
    <w:name w:val="font9"/>
    <w:basedOn w:val="1"/>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379">
    <w:name w:val="xl102"/>
    <w:basedOn w:val="1"/>
    <w:uiPriority w:val="0"/>
    <w:pPr>
      <w:widowControl/>
      <w:pBdr>
        <w:top w:val="single" w:color="auto" w:sz="8" w:space="0"/>
        <w:bottom w:val="single" w:color="auto" w:sz="8" w:space="0"/>
      </w:pBdr>
      <w:spacing w:before="100" w:beforeAutospacing="1" w:after="100" w:afterAutospacing="1"/>
      <w:jc w:val="left"/>
    </w:pPr>
    <w:rPr>
      <w:rFonts w:ascii="宋体" w:hAnsi="宋体" w:cs="宋体"/>
      <w:color w:val="0066CC"/>
      <w:kern w:val="0"/>
      <w:sz w:val="20"/>
      <w:szCs w:val="20"/>
    </w:rPr>
  </w:style>
  <w:style w:type="paragraph" w:customStyle="1" w:styleId="380">
    <w:name w:val="xl81"/>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81">
    <w:name w:val="xl125"/>
    <w:basedOn w:val="1"/>
    <w:uiPriority w:val="0"/>
    <w:pPr>
      <w:widowControl/>
      <w:pBdr>
        <w:top w:val="single" w:color="auto" w:sz="8" w:space="0"/>
        <w:bottom w:val="single" w:color="auto" w:sz="8" w:space="0"/>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382">
    <w:name w:val="xl136"/>
    <w:basedOn w:val="1"/>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24"/>
    </w:rPr>
  </w:style>
  <w:style w:type="paragraph" w:customStyle="1" w:styleId="383">
    <w:name w:val="样式2"/>
    <w:basedOn w:val="3"/>
    <w:uiPriority w:val="0"/>
    <w:pPr>
      <w:keepNext w:val="0"/>
      <w:numPr>
        <w:ilvl w:val="1"/>
        <w:numId w:val="0"/>
      </w:numPr>
      <w:tabs>
        <w:tab w:val="left" w:pos="1620"/>
      </w:tabs>
      <w:spacing w:line="240" w:lineRule="auto"/>
      <w:ind w:left="747" w:hanging="567"/>
    </w:pPr>
    <w:rPr>
      <w:rFonts w:ascii="Times New Roman"/>
      <w:sz w:val="30"/>
      <w:szCs w:val="24"/>
    </w:rPr>
  </w:style>
  <w:style w:type="paragraph" w:customStyle="1" w:styleId="384">
    <w:name w:val="Char"/>
    <w:basedOn w:val="1"/>
    <w:uiPriority w:val="0"/>
    <w:rPr>
      <w:rFonts w:ascii="仿宋_GB2312" w:hAnsi="宋体" w:eastAsia="仿宋_GB2312" w:cs="宋体"/>
      <w:b/>
      <w:sz w:val="32"/>
      <w:szCs w:val="32"/>
    </w:rPr>
  </w:style>
  <w:style w:type="paragraph" w:customStyle="1" w:styleId="385">
    <w:name w:val="xl99"/>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86">
    <w:name w:val="Normal"/>
    <w:basedOn w:val="1"/>
    <w:uiPriority w:val="0"/>
    <w:rPr>
      <w:rFonts w:ascii="宋体" w:hAnsi="宋体" w:cs="宋体"/>
      <w:szCs w:val="21"/>
    </w:rPr>
  </w:style>
  <w:style w:type="paragraph" w:customStyle="1" w:styleId="387">
    <w:name w:val="此正文"/>
    <w:basedOn w:val="1"/>
    <w:uiPriority w:val="0"/>
    <w:pPr>
      <w:spacing w:line="360" w:lineRule="auto"/>
      <w:ind w:firstLine="200" w:firstLineChars="200"/>
    </w:pPr>
    <w:rPr>
      <w:sz w:val="24"/>
    </w:rPr>
  </w:style>
  <w:style w:type="paragraph" w:customStyle="1" w:styleId="388">
    <w:name w:val="Char Char Char"/>
    <w:basedOn w:val="1"/>
    <w:uiPriority w:val="0"/>
    <w:rPr>
      <w:rFonts w:ascii="Tahoma" w:hAnsi="Tahoma"/>
      <w:sz w:val="24"/>
      <w:szCs w:val="20"/>
    </w:rPr>
  </w:style>
  <w:style w:type="paragraph" w:customStyle="1" w:styleId="389">
    <w:name w:val="正文五号不缩进"/>
    <w:basedOn w:val="1"/>
    <w:uiPriority w:val="0"/>
    <w:rPr>
      <w:szCs w:val="21"/>
    </w:rPr>
  </w:style>
  <w:style w:type="paragraph" w:customStyle="1" w:styleId="390">
    <w:name w:val="正文段"/>
    <w:basedOn w:val="1"/>
    <w:uiPriority w:val="0"/>
    <w:pPr>
      <w:widowControl/>
      <w:snapToGrid w:val="0"/>
      <w:spacing w:after="156" w:afterLines="50"/>
      <w:ind w:firstLine="200" w:firstLineChars="200"/>
    </w:pPr>
    <w:rPr>
      <w:kern w:val="0"/>
      <w:sz w:val="24"/>
      <w:szCs w:val="20"/>
    </w:rPr>
  </w:style>
  <w:style w:type="paragraph" w:customStyle="1" w:styleId="391">
    <w:name w:val="xl123"/>
    <w:basedOn w:val="1"/>
    <w:uiPriority w:val="0"/>
    <w:pPr>
      <w:widowControl/>
      <w:pBdr>
        <w:top w:val="single" w:color="000000"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92">
    <w:name w:val="模板普通正文"/>
    <w:basedOn w:val="22"/>
    <w:uiPriority w:val="0"/>
    <w:pPr>
      <w:spacing w:before="156" w:beforeLines="50" w:after="10" w:line="360" w:lineRule="auto"/>
      <w:ind w:left="0" w:leftChars="0" w:firstLine="175" w:firstLineChars="175"/>
      <w:jc w:val="left"/>
    </w:pPr>
    <w:rPr>
      <w:sz w:val="24"/>
    </w:rPr>
  </w:style>
  <w:style w:type="paragraph" w:customStyle="1" w:styleId="39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94">
    <w:name w:val="font7"/>
    <w:basedOn w:val="1"/>
    <w:uiPriority w:val="0"/>
    <w:pPr>
      <w:widowControl/>
      <w:spacing w:before="100" w:beforeAutospacing="1" w:after="100" w:afterAutospacing="1"/>
      <w:jc w:val="left"/>
    </w:pPr>
    <w:rPr>
      <w:rFonts w:ascii="Calibri" w:hAnsi="Calibri" w:cs="Calibri"/>
      <w:color w:val="000000"/>
      <w:kern w:val="0"/>
      <w:sz w:val="20"/>
      <w:szCs w:val="20"/>
    </w:rPr>
  </w:style>
  <w:style w:type="paragraph" w:customStyle="1" w:styleId="395">
    <w:name w:val="xl145"/>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396">
    <w:name w:val="xl100"/>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97">
    <w:name w:val="缺省文本"/>
    <w:basedOn w:val="1"/>
    <w:uiPriority w:val="0"/>
    <w:pPr>
      <w:autoSpaceDE w:val="0"/>
      <w:autoSpaceDN w:val="0"/>
      <w:adjustRightInd w:val="0"/>
      <w:jc w:val="left"/>
    </w:pPr>
    <w:rPr>
      <w:kern w:val="0"/>
      <w:sz w:val="24"/>
    </w:rPr>
  </w:style>
  <w:style w:type="paragraph" w:customStyle="1" w:styleId="398">
    <w:name w:val="xl111"/>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399">
    <w:name w:val="带上框线页脚"/>
    <w:basedOn w:val="1"/>
    <w:uiPriority w:val="0"/>
    <w:pPr>
      <w:widowControl/>
      <w:pBdr>
        <w:top w:val="single" w:color="auto" w:sz="4" w:space="1"/>
      </w:pBdr>
      <w:spacing w:after="156" w:afterLines="50"/>
      <w:jc w:val="left"/>
    </w:pPr>
    <w:rPr>
      <w:kern w:val="0"/>
      <w:sz w:val="18"/>
      <w:szCs w:val="20"/>
    </w:rPr>
  </w:style>
  <w:style w:type="paragraph" w:customStyle="1" w:styleId="400">
    <w:name w:val="Char1"/>
    <w:basedOn w:val="1"/>
    <w:uiPriority w:val="0"/>
    <w:pPr>
      <w:numPr>
        <w:ilvl w:val="1"/>
        <w:numId w:val="14"/>
      </w:numPr>
    </w:pPr>
    <w:rPr>
      <w:sz w:val="24"/>
    </w:rPr>
  </w:style>
  <w:style w:type="paragraph" w:customStyle="1" w:styleId="401">
    <w:name w:val="样式 样式 正文文字缩进 + 四号 首行缩进:  2 字符 行距: 1.5 倍行距 + 首行缩进:  2 字符"/>
    <w:basedOn w:val="1"/>
    <w:uiPriority w:val="0"/>
    <w:pPr>
      <w:spacing w:line="360" w:lineRule="auto"/>
      <w:ind w:firstLine="480" w:firstLineChars="200"/>
    </w:pPr>
    <w:rPr>
      <w:sz w:val="24"/>
      <w:szCs w:val="20"/>
    </w:rPr>
  </w:style>
  <w:style w:type="paragraph" w:customStyle="1" w:styleId="40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03">
    <w:name w:val="正文（首行缩进2字符）"/>
    <w:basedOn w:val="1"/>
    <w:uiPriority w:val="0"/>
    <w:pPr>
      <w:spacing w:line="360" w:lineRule="auto"/>
      <w:ind w:firstLine="480" w:firstLineChars="200"/>
    </w:pPr>
    <w:rPr>
      <w:sz w:val="24"/>
    </w:rPr>
  </w:style>
  <w:style w:type="paragraph" w:customStyle="1" w:styleId="404">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405">
    <w:name w:val="xl88"/>
    <w:basedOn w:val="1"/>
    <w:uiPriority w:val="0"/>
    <w:pPr>
      <w:widowControl/>
      <w:pBdr>
        <w:left w:val="single" w:color="auto" w:sz="8" w:space="0"/>
      </w:pBdr>
      <w:spacing w:before="100" w:beforeAutospacing="1" w:after="100" w:afterAutospacing="1"/>
      <w:jc w:val="left"/>
    </w:pPr>
    <w:rPr>
      <w:rFonts w:ascii="Calibri" w:hAnsi="Calibri" w:cs="Calibri"/>
      <w:kern w:val="0"/>
      <w:sz w:val="18"/>
      <w:szCs w:val="18"/>
    </w:rPr>
  </w:style>
  <w:style w:type="paragraph" w:customStyle="1" w:styleId="406">
    <w:name w:val="font13"/>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07">
    <w:name w:val="xl75"/>
    <w:basedOn w:val="1"/>
    <w:uiPriority w:val="0"/>
    <w:pPr>
      <w:widowControl/>
      <w:pBdr>
        <w:top w:val="single" w:color="auto" w:sz="8" w:space="0"/>
      </w:pBdr>
      <w:spacing w:before="100" w:beforeAutospacing="1" w:after="100" w:afterAutospacing="1"/>
      <w:jc w:val="left"/>
    </w:pPr>
    <w:rPr>
      <w:rFonts w:ascii="宋体" w:hAnsi="宋体" w:cs="宋体"/>
      <w:kern w:val="0"/>
      <w:sz w:val="18"/>
      <w:szCs w:val="18"/>
    </w:rPr>
  </w:style>
  <w:style w:type="paragraph" w:customStyle="1" w:styleId="408">
    <w:name w:val="样式 首行缩进:  0 字符"/>
    <w:basedOn w:val="1"/>
    <w:uiPriority w:val="0"/>
    <w:pPr>
      <w:spacing w:line="360" w:lineRule="auto"/>
      <w:ind w:firstLine="200" w:firstLineChars="200"/>
    </w:pPr>
    <w:rPr>
      <w:rFonts w:ascii="Verdana" w:hAnsi="Verdana" w:cs="宋体"/>
      <w:sz w:val="24"/>
      <w:szCs w:val="20"/>
    </w:rPr>
  </w:style>
  <w:style w:type="paragraph" w:customStyle="1" w:styleId="409">
    <w:name w:val="xl71"/>
    <w:basedOn w:val="1"/>
    <w:uiPriority w:val="0"/>
    <w:pPr>
      <w:widowControl/>
      <w:pBdr>
        <w:left w:val="single" w:color="auto" w:sz="8" w:space="0"/>
        <w:right w:val="single" w:color="auto" w:sz="8" w:space="0"/>
      </w:pBdr>
      <w:spacing w:before="100" w:beforeAutospacing="1" w:after="100" w:afterAutospacing="1"/>
      <w:jc w:val="center"/>
    </w:pPr>
    <w:rPr>
      <w:rFonts w:ascii="Calibri" w:hAnsi="Calibri" w:cs="Calibri"/>
      <w:kern w:val="0"/>
      <w:sz w:val="18"/>
      <w:szCs w:val="18"/>
    </w:rPr>
  </w:style>
  <w:style w:type="paragraph" w:customStyle="1" w:styleId="41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411">
    <w:name w:val="xl80"/>
    <w:basedOn w:val="1"/>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character" w:customStyle="1" w:styleId="412">
    <w:name w:val="Char Char26"/>
    <w:qFormat/>
    <w:uiPriority w:val="0"/>
    <w:rPr>
      <w:rFonts w:ascii="宋体" w:hAnsi="Courier New" w:eastAsia="宋体" w:cs="Arial"/>
      <w:snapToGrid w:val="0"/>
      <w:kern w:val="2"/>
      <w:sz w:val="21"/>
      <w:szCs w:val="21"/>
      <w:lang w:val="en-US" w:eastAsia="zh-CN" w:bidi="ar-SA"/>
    </w:rPr>
  </w:style>
  <w:style w:type="character" w:customStyle="1" w:styleId="413">
    <w:name w:val="Char Char1"/>
    <w:uiPriority w:val="0"/>
    <w:rPr>
      <w:rFonts w:eastAsia="宋体"/>
      <w:sz w:val="24"/>
      <w:lang w:val="en-US" w:eastAsia="zh-CN" w:bidi="ar-SA"/>
    </w:rPr>
  </w:style>
  <w:style w:type="character" w:customStyle="1" w:styleId="414">
    <w:name w:val="标题 Char3"/>
    <w:basedOn w:val="57"/>
    <w:uiPriority w:val="10"/>
    <w:rPr>
      <w:rFonts w:ascii="Cambria" w:hAnsi="Cambria" w:eastAsia="宋体" w:cs="Times New Roman"/>
      <w:b/>
      <w:bCs/>
      <w:sz w:val="32"/>
      <w:szCs w:val="32"/>
    </w:rPr>
  </w:style>
  <w:style w:type="character" w:customStyle="1" w:styleId="415">
    <w:name w:val="正文文本缩进 Char2"/>
    <w:basedOn w:val="57"/>
    <w:uiPriority w:val="0"/>
    <w:rPr>
      <w:rFonts w:ascii="Calibri" w:hAnsi="Calibri" w:eastAsia="宋体" w:cs="Times New Roman"/>
      <w:szCs w:val="24"/>
    </w:rPr>
  </w:style>
  <w:style w:type="character" w:customStyle="1" w:styleId="416">
    <w:name w:val="批注文字 Char2"/>
    <w:basedOn w:val="57"/>
    <w:uiPriority w:val="0"/>
    <w:rPr>
      <w:rFonts w:ascii="Calibri" w:hAnsi="Calibri" w:eastAsia="宋体" w:cs="Times New Roman"/>
      <w:szCs w:val="24"/>
    </w:rPr>
  </w:style>
  <w:style w:type="character" w:customStyle="1" w:styleId="417">
    <w:name w:val="副标题 Char3"/>
    <w:basedOn w:val="57"/>
    <w:uiPriority w:val="11"/>
    <w:rPr>
      <w:rFonts w:ascii="Cambria" w:hAnsi="Cambria" w:eastAsia="宋体" w:cs="Times New Roman"/>
      <w:b/>
      <w:bCs/>
      <w:kern w:val="28"/>
      <w:sz w:val="32"/>
      <w:szCs w:val="32"/>
    </w:rPr>
  </w:style>
  <w:style w:type="paragraph" w:customStyle="1" w:styleId="418">
    <w:name w:val="Char Char1 Char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419">
    <w:name w:val="列出段落1"/>
    <w:basedOn w:val="1"/>
    <w:uiPriority w:val="0"/>
    <w:pPr>
      <w:ind w:firstLine="420" w:firstLineChars="200"/>
    </w:pPr>
    <w:rPr>
      <w:szCs w:val="22"/>
    </w:rPr>
  </w:style>
  <w:style w:type="paragraph" w:customStyle="1" w:styleId="420">
    <w:name w:val="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21">
    <w:name w:val="Char Char Char1 Char Char Char1 Char Char Char Char"/>
    <w:basedOn w:val="1"/>
    <w:uiPriority w:val="0"/>
  </w:style>
  <w:style w:type="paragraph" w:customStyle="1" w:styleId="422">
    <w:name w:val="Char Char Char Char Char Char Char Char Char Char"/>
    <w:basedOn w:val="1"/>
    <w:uiPriority w:val="0"/>
    <w:rPr>
      <w:rFonts w:ascii="Tahoma" w:hAnsi="Tahoma"/>
      <w:sz w:val="24"/>
      <w:szCs w:val="20"/>
    </w:rPr>
  </w:style>
  <w:style w:type="paragraph" w:customStyle="1" w:styleId="423">
    <w:name w:val="Char2"/>
    <w:basedOn w:val="1"/>
    <w:uiPriority w:val="0"/>
    <w:rPr>
      <w:rFonts w:ascii="仿宋_GB2312" w:hAnsi="宋体" w:eastAsia="仿宋_GB2312" w:cs="宋体"/>
      <w:b/>
      <w:sz w:val="32"/>
      <w:szCs w:val="32"/>
    </w:rPr>
  </w:style>
  <w:style w:type="paragraph" w:customStyle="1" w:styleId="424">
    <w:name w:val="正文3"/>
    <w:basedOn w:val="1"/>
    <w:uiPriority w:val="0"/>
    <w:rPr>
      <w:rFonts w:ascii="宋体" w:hAnsi="宋体" w:cs="宋体"/>
      <w:szCs w:val="21"/>
    </w:rPr>
  </w:style>
  <w:style w:type="paragraph" w:customStyle="1" w:styleId="425">
    <w:name w:val="Char Char Char1"/>
    <w:basedOn w:val="1"/>
    <w:uiPriority w:val="0"/>
    <w:rPr>
      <w:rFonts w:ascii="Tahoma" w:hAnsi="Tahoma"/>
      <w:sz w:val="24"/>
      <w:szCs w:val="20"/>
    </w:rPr>
  </w:style>
  <w:style w:type="paragraph" w:customStyle="1" w:styleId="426">
    <w:name w:val="Char11"/>
    <w:basedOn w:val="1"/>
    <w:uiPriority w:val="0"/>
    <w:pPr>
      <w:tabs>
        <w:tab w:val="left" w:pos="992"/>
      </w:tabs>
      <w:ind w:left="992" w:hanging="567"/>
    </w:pPr>
    <w:rPr>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7845</Words>
  <Characters>44720</Characters>
  <Lines>372</Lines>
  <Paragraphs>104</Paragraphs>
  <TotalTime>0</TotalTime>
  <ScaleCrop>false</ScaleCrop>
  <LinksUpToDate>false</LinksUpToDate>
  <CharactersWithSpaces>52461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2018-12-17T03:16:00Z</dcterms:created>
  <dc:creator>wxg</dc:creator>
  <cp:lastModifiedBy>WPS_1701756769</cp:lastModifiedBy>
  <cp:lastPrinted>2019-03-06T03:38:00Z</cp:lastPrinted>
  <dcterms:modified xsi:type="dcterms:W3CDTF">2024-02-23T01:39:46Z</dcterms:modified>
  <cp:revision>162</cp:revision>
  <dc:title>采购单位：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DC2464EB126B486E92570E549FA8FF24_13</vt:lpwstr>
  </property>
</Properties>
</file>