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25CE74F6">
      <w:pPr>
        <w:autoSpaceDE/>
        <w:autoSpaceDN/>
        <w:spacing w:line="360" w:lineRule="auto"/>
        <w:jc w:val="center"/>
        <w:rPr>
          <w:rFonts w:hint="eastAsia" w:ascii="仿宋" w:hAnsi="仿宋" w:eastAsia="仿宋" w:cs="仿宋"/>
          <w:b/>
          <w:sz w:val="52"/>
          <w:szCs w:val="52"/>
          <w:lang w:eastAsia="zh-CN"/>
        </w:rPr>
      </w:pPr>
      <w:r>
        <w:rPr>
          <w:rFonts w:hint="eastAsia" w:ascii="等线" w:hAnsi="等线" w:eastAsia="等线" w:cs="等线"/>
          <w:b/>
          <w:bCs/>
          <w:sz w:val="52"/>
          <w:szCs w:val="52"/>
        </w:rPr>
        <w:t xml:space="preserve"> </w:t>
      </w:r>
      <w:r>
        <w:rPr>
          <w:rFonts w:hint="eastAsia" w:ascii="仿宋" w:hAnsi="仿宋" w:eastAsia="仿宋" w:cs="仿宋"/>
          <w:b/>
          <w:sz w:val="44"/>
          <w:szCs w:val="44"/>
          <w:lang w:eastAsia="zh-CN"/>
        </w:rPr>
        <w:t>诸暨市大唐街道2025-2027土地综合整治--高标准农田建设监理服务采购项目</w:t>
      </w:r>
    </w:p>
    <w:p w14:paraId="7F2F80A0">
      <w:pPr>
        <w:autoSpaceDE/>
        <w:autoSpaceDN/>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lang w:eastAsia="zh-CN"/>
        </w:rPr>
        <w:t>诸正开2025-07-06</w:t>
      </w:r>
      <w:r>
        <w:rPr>
          <w:rFonts w:hint="eastAsia" w:ascii="仿宋" w:hAnsi="仿宋" w:eastAsia="仿宋" w:cs="仿宋"/>
          <w:color w:val="auto"/>
          <w:sz w:val="30"/>
          <w:szCs w:val="30"/>
        </w:rPr>
        <w:t>）</w:t>
      </w: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lang w:val="en-US" w:eastAsia="zh-CN"/>
        </w:rPr>
        <w:t>磋 商</w:t>
      </w:r>
      <w:r>
        <w:rPr>
          <w:rFonts w:hint="eastAsia" w:ascii="仿宋" w:hAnsi="仿宋" w:eastAsia="仿宋" w:cs="仿宋"/>
          <w:b/>
          <w:spacing w:val="-6"/>
          <w:sz w:val="84"/>
          <w:szCs w:val="84"/>
        </w:rPr>
        <w:t xml:space="preserve"> 文 件</w:t>
      </w:r>
    </w:p>
    <w:p w14:paraId="1120E3AA">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09C742C9">
      <w:pPr>
        <w:pStyle w:val="61"/>
        <w:rPr>
          <w:rFonts w:hint="eastAsia"/>
        </w:rPr>
      </w:pPr>
    </w:p>
    <w:p w14:paraId="34649257">
      <w:pPr>
        <w:pStyle w:val="61"/>
        <w:rPr>
          <w:rFonts w:hint="eastAsia"/>
        </w:rPr>
      </w:pPr>
    </w:p>
    <w:tbl>
      <w:tblPr>
        <w:tblStyle w:val="62"/>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24C7CEC5">
            <w:pPr>
              <w:pStyle w:val="58"/>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诸暨市人民政府大唐街道办事处</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2"/>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五</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七</w:t>
      </w:r>
      <w:r>
        <w:rPr>
          <w:rFonts w:hint="eastAsia" w:ascii="仿宋" w:hAnsi="仿宋" w:eastAsia="仿宋" w:cs="仿宋"/>
          <w:b/>
          <w:bCs/>
          <w:color w:val="auto"/>
          <w:w w:val="95"/>
          <w:sz w:val="30"/>
          <w:szCs w:val="30"/>
        </w:rPr>
        <w:t>月</w:t>
      </w:r>
    </w:p>
    <w:p w14:paraId="6242F160">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2"/>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0"/>
        <w:rPr>
          <w:rFonts w:hint="eastAsia" w:ascii="仿宋" w:hAnsi="仿宋" w:eastAsia="仿宋" w:cs="仿宋"/>
          <w:sz w:val="24"/>
        </w:rPr>
      </w:pPr>
    </w:p>
    <w:p w14:paraId="6A0D08E7">
      <w:pPr>
        <w:pStyle w:val="50"/>
        <w:rPr>
          <w:rFonts w:hint="eastAsia" w:ascii="仿宋" w:hAnsi="仿宋" w:eastAsia="仿宋" w:cs="仿宋"/>
          <w:sz w:val="24"/>
        </w:rPr>
      </w:pPr>
    </w:p>
    <w:bookmarkEnd w:id="1"/>
    <w:p w14:paraId="59380092">
      <w:pPr>
        <w:pStyle w:val="2"/>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_Toc91899870"/>
      <w:bookmarkStart w:id="4" w:name="第二部分"/>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360" w:lineRule="exact"/>
              <w:ind w:firstLine="480" w:firstLineChars="200"/>
              <w:rPr>
                <w:rFonts w:hint="eastAsia" w:ascii="仿宋" w:hAnsi="仿宋" w:eastAsia="仿宋" w:cs="仿宋"/>
                <w:b/>
                <w:color w:val="auto"/>
                <w:sz w:val="24"/>
                <w:szCs w:val="24"/>
              </w:rPr>
            </w:pPr>
            <w:r>
              <w:rPr>
                <w:rFonts w:hint="eastAsia" w:ascii="仿宋" w:hAnsi="仿宋" w:eastAsia="仿宋" w:cs="仿宋"/>
                <w:sz w:val="24"/>
                <w:szCs w:val="24"/>
                <w:lang w:eastAsia="zh-CN"/>
              </w:rPr>
              <w:t>诸暨市大唐街道2025-2027土地综合整治--高标准农田建设监理服务采购项目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6"/>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6"/>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响应文件</w:t>
            </w:r>
            <w:r>
              <w:rPr>
                <w:rFonts w:hint="eastAsia" w:ascii="仿宋" w:hAnsi="仿宋" w:eastAsia="仿宋" w:cs="仿宋"/>
                <w:color w:val="auto"/>
                <w:sz w:val="24"/>
                <w:szCs w:val="24"/>
              </w:rPr>
              <w:t>。</w:t>
            </w:r>
          </w:p>
        </w:tc>
      </w:tr>
    </w:tbl>
    <w:p w14:paraId="21B5AF2B">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58"/>
        <w:spacing w:beforeLines="50" w:beforeAutospacing="0" w:afterLines="50" w:afterAutospacing="0" w:line="300" w:lineRule="exact"/>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诸正开2025-07-06</w:t>
      </w:r>
      <w:r>
        <w:rPr>
          <w:rFonts w:hint="eastAsia" w:ascii="仿宋" w:hAnsi="仿宋" w:eastAsia="仿宋" w:cs="仿宋"/>
          <w:lang w:val="en-US" w:eastAsia="zh-CN"/>
        </w:rPr>
        <w:t xml:space="preserve">  </w:t>
      </w:r>
    </w:p>
    <w:p w14:paraId="0C76DBEC">
      <w:pPr>
        <w:pStyle w:val="58"/>
        <w:spacing w:beforeLines="50" w:beforeAutospacing="0" w:afterLines="50" w:afterAutospacing="0" w:line="300" w:lineRule="exact"/>
        <w:ind w:firstLine="556"/>
        <w:rPr>
          <w:rFonts w:hint="eastAsia" w:ascii="仿宋" w:hAnsi="仿宋" w:eastAsia="仿宋" w:cs="仿宋"/>
          <w:sz w:val="24"/>
          <w:szCs w:val="24"/>
          <w:lang w:eastAsia="zh-CN"/>
        </w:rPr>
      </w:pPr>
      <w:r>
        <w:rPr>
          <w:rFonts w:hint="eastAsia" w:ascii="仿宋" w:hAnsi="仿宋" w:eastAsia="仿宋" w:cs="仿宋"/>
          <w:b/>
          <w:bCs/>
        </w:rPr>
        <w:t>项目名称</w:t>
      </w:r>
      <w:r>
        <w:rPr>
          <w:rFonts w:hint="eastAsia" w:ascii="仿宋" w:hAnsi="仿宋" w:eastAsia="仿宋" w:cs="仿宋"/>
        </w:rPr>
        <w:t>：</w:t>
      </w:r>
      <w:r>
        <w:rPr>
          <w:rFonts w:hint="eastAsia" w:ascii="仿宋" w:hAnsi="仿宋" w:eastAsia="仿宋" w:cs="仿宋"/>
          <w:sz w:val="24"/>
          <w:szCs w:val="24"/>
          <w:lang w:eastAsia="zh-CN"/>
        </w:rPr>
        <w:t>诸暨市大唐街道2025-2027土地综合整治--高标准农田建设监理服务采购项目</w:t>
      </w:r>
    </w:p>
    <w:p w14:paraId="4D95C9E9">
      <w:pPr>
        <w:pStyle w:val="58"/>
        <w:spacing w:beforeLines="50" w:beforeAutospacing="0" w:afterLines="50" w:afterAutospacing="0" w:line="300" w:lineRule="exact"/>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58"/>
        <w:spacing w:beforeLines="50" w:beforeAutospacing="0" w:afterLines="50" w:afterAutospacing="0" w:line="300" w:lineRule="exact"/>
        <w:ind w:firstLine="556"/>
        <w:rPr>
          <w:rFonts w:hint="default" w:ascii="仿宋" w:hAnsi="仿宋" w:eastAsia="仿宋" w:cs="仿宋"/>
          <w:lang w:val="en-US"/>
        </w:rPr>
      </w:pPr>
      <w:r>
        <w:rPr>
          <w:rFonts w:hint="eastAsia" w:ascii="仿宋" w:hAnsi="仿宋" w:eastAsia="仿宋" w:cs="仿宋"/>
          <w:b/>
          <w:bCs/>
          <w:lang w:eastAsia="zh-CN"/>
        </w:rPr>
        <w:t>预算金额（元）：</w:t>
      </w:r>
      <w:r>
        <w:rPr>
          <w:rFonts w:hint="eastAsia" w:ascii="仿宋" w:hAnsi="仿宋" w:eastAsia="仿宋" w:cs="仿宋"/>
          <w:kern w:val="2"/>
          <w:sz w:val="24"/>
          <w:szCs w:val="24"/>
          <w:lang w:val="en-US" w:eastAsia="zh-CN" w:bidi="ar-SA"/>
        </w:rPr>
        <w:t>990000.00</w:t>
      </w:r>
    </w:p>
    <w:p w14:paraId="2DBD0A58">
      <w:pPr>
        <w:pStyle w:val="58"/>
        <w:spacing w:beforeLines="50" w:beforeAutospacing="0" w:afterLines="50" w:afterAutospacing="0" w:line="300" w:lineRule="exact"/>
        <w:ind w:firstLine="556"/>
        <w:rPr>
          <w:rFonts w:hint="default" w:ascii="仿宋" w:hAnsi="仿宋" w:eastAsia="仿宋" w:cs="仿宋"/>
          <w:lang w:val="en-US" w:eastAsia="zh-CN"/>
        </w:rPr>
      </w:pPr>
      <w:r>
        <w:rPr>
          <w:rFonts w:hint="eastAsia" w:ascii="仿宋" w:hAnsi="仿宋" w:eastAsia="仿宋" w:cs="仿宋"/>
          <w:b/>
          <w:bCs/>
          <w:lang w:val="en-US" w:eastAsia="zh-CN"/>
        </w:rPr>
        <w:t>最高限价（元）</w:t>
      </w:r>
      <w:r>
        <w:rPr>
          <w:rFonts w:hint="eastAsia" w:ascii="仿宋" w:hAnsi="仿宋" w:eastAsia="仿宋" w:cs="仿宋"/>
          <w:lang w:val="en-US" w:eastAsia="zh-CN"/>
        </w:rPr>
        <w:t>：</w:t>
      </w:r>
      <w:r>
        <w:rPr>
          <w:rFonts w:hint="eastAsia" w:ascii="仿宋" w:hAnsi="仿宋" w:eastAsia="仿宋" w:cs="仿宋"/>
          <w:kern w:val="2"/>
          <w:sz w:val="24"/>
          <w:szCs w:val="24"/>
          <w:lang w:val="en-US" w:eastAsia="zh-CN" w:bidi="ar-SA"/>
        </w:rPr>
        <w:t>990000.00</w:t>
      </w:r>
    </w:p>
    <w:p w14:paraId="14DFB5F2">
      <w:pPr>
        <w:keepNext w:val="0"/>
        <w:keepLines w:val="0"/>
        <w:pageBreakBefore w:val="0"/>
        <w:kinsoku/>
        <w:wordWrap/>
        <w:overflowPunct/>
        <w:topLinePunct w:val="0"/>
        <w:bidi w:val="0"/>
        <w:spacing w:line="36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bCs/>
          <w:kern w:val="0"/>
          <w:sz w:val="24"/>
          <w:szCs w:val="24"/>
          <w:lang w:val="en-US" w:eastAsia="zh-CN" w:bidi="ar-SA"/>
        </w:rPr>
        <w:t>采购需求：</w:t>
      </w:r>
      <w:r>
        <w:rPr>
          <w:rFonts w:hint="eastAsia" w:ascii="仿宋" w:hAnsi="仿宋" w:eastAsia="仿宋" w:cs="仿宋"/>
          <w:color w:val="auto"/>
          <w:sz w:val="24"/>
          <w:lang w:eastAsia="zh-CN"/>
        </w:rPr>
        <w:t>诸暨市大唐街道2025-2027土地综合整治--高标准农田建设监理服务采购项目</w:t>
      </w:r>
      <w:r>
        <w:rPr>
          <w:rFonts w:hint="eastAsia" w:ascii="仿宋" w:hAnsi="仿宋" w:eastAsia="仿宋" w:cs="仿宋"/>
          <w:color w:val="auto"/>
          <w:sz w:val="24"/>
        </w:rPr>
        <w:t>，采购预算</w:t>
      </w:r>
      <w:r>
        <w:rPr>
          <w:rFonts w:hint="eastAsia" w:ascii="仿宋" w:hAnsi="仿宋" w:eastAsia="仿宋" w:cs="仿宋"/>
          <w:color w:val="auto"/>
          <w:sz w:val="24"/>
          <w:lang w:val="en-US" w:eastAsia="zh-CN"/>
        </w:rPr>
        <w:t>金额为99万元，按折扣报价 ，</w:t>
      </w:r>
      <w:r>
        <w:rPr>
          <w:rFonts w:hint="eastAsia" w:ascii="仿宋" w:hAnsi="仿宋" w:eastAsia="仿宋" w:cs="仿宋"/>
          <w:color w:val="auto"/>
          <w:sz w:val="24"/>
        </w:rPr>
        <w:t>数量按实结算；服务期限内，</w:t>
      </w:r>
      <w:r>
        <w:rPr>
          <w:rFonts w:hint="eastAsia" w:ascii="仿宋" w:hAnsi="仿宋" w:eastAsia="仿宋" w:cs="仿宋"/>
          <w:color w:val="auto"/>
          <w:sz w:val="24"/>
          <w:lang w:val="en-US" w:eastAsia="zh-CN"/>
        </w:rPr>
        <w:t>结算</w:t>
      </w:r>
      <w:r>
        <w:rPr>
          <w:rFonts w:hint="eastAsia" w:ascii="仿宋" w:hAnsi="仿宋" w:eastAsia="仿宋" w:cs="仿宋"/>
          <w:color w:val="auto"/>
          <w:sz w:val="24"/>
        </w:rPr>
        <w:t>费</w:t>
      </w:r>
      <w:r>
        <w:rPr>
          <w:rFonts w:hint="eastAsia" w:ascii="仿宋" w:hAnsi="仿宋" w:eastAsia="仿宋" w:cs="仿宋"/>
          <w:color w:val="auto"/>
          <w:sz w:val="24"/>
          <w:lang w:val="en-US" w:eastAsia="zh-CN"/>
        </w:rPr>
        <w:t>用</w:t>
      </w:r>
      <w:r>
        <w:rPr>
          <w:rFonts w:hint="eastAsia" w:ascii="仿宋" w:hAnsi="仿宋" w:eastAsia="仿宋" w:cs="仿宋"/>
          <w:color w:val="auto"/>
          <w:sz w:val="24"/>
        </w:rPr>
        <w:t>累计结算金额最高不超过采购预算金额。具体内容详见采购需求。</w:t>
      </w:r>
    </w:p>
    <w:p w14:paraId="4629F126">
      <w:pPr>
        <w:pStyle w:val="58"/>
        <w:spacing w:beforeLines="50" w:beforeAutospacing="0" w:afterLines="50" w:afterAutospacing="0" w:line="300" w:lineRule="exact"/>
        <w:ind w:left="120" w:leftChars="57" w:firstLine="436" w:firstLineChars="181"/>
        <w:rPr>
          <w:rFonts w:hint="eastAsia" w:ascii="仿宋" w:hAnsi="仿宋" w:eastAsia="仿宋" w:cs="仿宋"/>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sz w:val="24"/>
          <w:szCs w:val="24"/>
          <w:highlight w:val="none"/>
          <w:lang w:val="en-US" w:eastAsia="zh-CN"/>
        </w:rPr>
        <w:t>详见采购需求要求</w:t>
      </w:r>
      <w:r>
        <w:rPr>
          <w:rFonts w:hint="eastAsia" w:ascii="仿宋" w:hAnsi="仿宋" w:eastAsia="仿宋" w:cs="仿宋"/>
          <w:color w:val="auto"/>
          <w:sz w:val="24"/>
          <w:szCs w:val="24"/>
          <w:highlight w:val="none"/>
        </w:rPr>
        <w:t>。</w:t>
      </w:r>
    </w:p>
    <w:p w14:paraId="6D742B8C">
      <w:pPr>
        <w:pStyle w:val="58"/>
        <w:spacing w:beforeLines="50" w:beforeAutospacing="0" w:afterLines="50" w:afterAutospacing="0" w:line="300" w:lineRule="exact"/>
        <w:ind w:firstLine="556"/>
        <w:rPr>
          <w:rFonts w:hint="eastAsia" w:ascii="仿宋" w:hAnsi="仿宋" w:eastAsia="仿宋" w:cs="仿宋"/>
          <w:b/>
          <w:bCs/>
        </w:rPr>
      </w:pPr>
      <w:r>
        <w:rPr>
          <w:rFonts w:hint="eastAsia" w:ascii="仿宋" w:hAnsi="仿宋" w:eastAsia="仿宋" w:cs="仿宋"/>
          <w:b/>
          <w:bCs/>
        </w:rPr>
        <w:t>本项</w:t>
      </w:r>
      <w:r>
        <w:rPr>
          <w:rFonts w:hint="eastAsia" w:ascii="仿宋" w:hAnsi="仿宋" w:eastAsia="仿宋" w:cs="仿宋"/>
          <w:b/>
          <w:bCs/>
          <w:color w:val="auto"/>
        </w:rPr>
        <w:t>目</w:t>
      </w:r>
      <w:r>
        <w:rPr>
          <w:rFonts w:hint="eastAsia" w:ascii="仿宋" w:hAnsi="仿宋" w:eastAsia="仿宋" w:cs="仿宋"/>
          <w:b/>
          <w:bCs/>
          <w:color w:val="auto"/>
          <w:u w:val="single"/>
        </w:rPr>
        <w:t>（否）</w:t>
      </w:r>
      <w:r>
        <w:rPr>
          <w:rFonts w:hint="eastAsia" w:ascii="仿宋" w:hAnsi="仿宋" w:eastAsia="仿宋" w:cs="仿宋"/>
          <w:b/>
          <w:bCs/>
          <w:color w:val="auto"/>
        </w:rPr>
        <w:t>接</w:t>
      </w:r>
      <w:r>
        <w:rPr>
          <w:rFonts w:hint="eastAsia" w:ascii="仿宋" w:hAnsi="仿宋" w:eastAsia="仿宋" w:cs="仿宋"/>
          <w:b/>
          <w:bCs/>
        </w:rPr>
        <w:t>受联合体投标。</w:t>
      </w:r>
    </w:p>
    <w:p w14:paraId="38C7EAE2">
      <w:pPr>
        <w:pStyle w:val="3"/>
        <w:spacing w:before="0" w:afterLines="50" w:line="300" w:lineRule="exact"/>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72F2AFF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1、符合政府采购法第二十二条之供应商资格规定；</w:t>
      </w:r>
    </w:p>
    <w:p w14:paraId="73DE87F5">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未被“信用中国”（www.creditchina.gov.cn）、中国政府采购网（www.ccgp.gov.cn）列入失信被执行人、重大税收违法失信主体、政府采购严重违法失信行为记录名单；</w:t>
      </w:r>
    </w:p>
    <w:p w14:paraId="325BA7F3">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3、落实政府采购政策需满足的资格要求：</w:t>
      </w:r>
      <w:r>
        <w:rPr>
          <w:rFonts w:hint="eastAsia" w:ascii="仿宋" w:hAnsi="仿宋" w:eastAsia="仿宋" w:cs="仿宋"/>
          <w:color w:val="auto"/>
          <w:sz w:val="24"/>
        </w:rPr>
        <w:t>专门面向中小企业，服务全部由符合政策要求的中小企业承接，提供中小企业声明函；</w:t>
      </w:r>
    </w:p>
    <w:p w14:paraId="122D8914">
      <w:pPr>
        <w:keepNext w:val="0"/>
        <w:keepLines w:val="0"/>
        <w:pageBreakBefore w:val="0"/>
        <w:kinsoku/>
        <w:wordWrap/>
        <w:overflowPunct/>
        <w:topLinePunct w:val="0"/>
        <w:bidi w:val="0"/>
        <w:spacing w:line="3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4、本项目特点资格要求：</w:t>
      </w:r>
      <w:r>
        <w:rPr>
          <w:rFonts w:hint="eastAsia" w:ascii="仿宋" w:hAnsi="仿宋" w:eastAsia="仿宋" w:cs="仿宋"/>
          <w:sz w:val="24"/>
          <w:highlight w:val="none"/>
          <w:lang w:val="en-US" w:eastAsia="zh-CN"/>
        </w:rPr>
        <w:t>供应商需具备</w:t>
      </w:r>
      <w:r>
        <w:rPr>
          <w:rFonts w:hint="eastAsia" w:ascii="仿宋" w:hAnsi="仿宋" w:eastAsia="仿宋" w:cs="仿宋"/>
          <w:sz w:val="24"/>
          <w:highlight w:val="none"/>
          <w:lang w:eastAsia="zh-CN"/>
        </w:rPr>
        <w:t>工程监理综合资质或具有水利工程施工监理</w:t>
      </w:r>
      <w:r>
        <w:rPr>
          <w:rFonts w:hint="eastAsia" w:ascii="仿宋" w:hAnsi="仿宋" w:eastAsia="仿宋" w:cs="仿宋"/>
          <w:sz w:val="24"/>
          <w:highlight w:val="none"/>
          <w:lang w:val="en-US" w:eastAsia="zh-CN"/>
        </w:rPr>
        <w:t>乙</w:t>
      </w:r>
      <w:r>
        <w:rPr>
          <w:rFonts w:hint="eastAsia" w:ascii="仿宋" w:hAnsi="仿宋" w:eastAsia="仿宋" w:cs="仿宋"/>
          <w:sz w:val="24"/>
          <w:highlight w:val="none"/>
          <w:lang w:eastAsia="zh-CN"/>
        </w:rPr>
        <w:t>级（含）以上资质；</w:t>
      </w:r>
    </w:p>
    <w:p w14:paraId="400DD496">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5、本项目不接受联合体投标。</w:t>
      </w:r>
    </w:p>
    <w:p w14:paraId="21ECC1E6">
      <w:pPr>
        <w:pStyle w:val="3"/>
        <w:spacing w:before="240" w:afterLines="50" w:line="300" w:lineRule="exact"/>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zh-CN" w:eastAsia="zh-CN"/>
        </w:rPr>
        <w:t>三、获取</w:t>
      </w:r>
      <w:r>
        <w:rPr>
          <w:rFonts w:hint="eastAsia" w:ascii="仿宋" w:eastAsia="仿宋" w:cs="仿宋"/>
          <w:bCs w:val="0"/>
          <w:sz w:val="24"/>
          <w:szCs w:val="24"/>
          <w:lang w:val="zh-CN" w:eastAsia="zh-CN"/>
        </w:rPr>
        <w:t>磋商文件</w:t>
      </w:r>
      <w:r>
        <w:rPr>
          <w:rFonts w:hint="eastAsia" w:ascii="仿宋" w:hAnsi="仿宋" w:eastAsia="仿宋" w:cs="仿宋"/>
          <w:bCs w:val="0"/>
          <w:sz w:val="24"/>
          <w:szCs w:val="24"/>
          <w:lang w:val="en-US" w:eastAsia="zh-CN"/>
        </w:rPr>
        <w:t>:</w:t>
      </w:r>
    </w:p>
    <w:p w14:paraId="112BB3D4">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时间：  /  至2025年7月18日，每天上午00:00至12:00，下午12:00至23:59（北京时间，线上获取法定节假日均可，线下获取文件法定节假日除外）</w:t>
      </w:r>
    </w:p>
    <w:p w14:paraId="35EBD30A">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地点（网址）：政府采购云平台（https://www.zcygov.cn/）</w:t>
      </w:r>
    </w:p>
    <w:p w14:paraId="0AB5C82E">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方式：潜在供应商登录政府采购云平台，在线申请获取磋商文件。进入“项目采购”应用，在获取磋商文件菜单中选择项目，申请获取磋商文件。（仅需浏览磋商文件的供应商可点击“游客，浏览磋商文件”直接下载磋商文件浏览。）</w:t>
      </w:r>
    </w:p>
    <w:p w14:paraId="58C2C210">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售价（元）：免费。</w:t>
      </w:r>
    </w:p>
    <w:p w14:paraId="6773E910">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w:t>
      </w:r>
      <w:r>
        <w:rPr>
          <w:rFonts w:hint="eastAsia" w:ascii="仿宋" w:eastAsia="仿宋" w:cs="仿宋"/>
          <w:bCs w:val="0"/>
          <w:sz w:val="24"/>
          <w:szCs w:val="24"/>
          <w:lang w:eastAsia="zh-CN"/>
        </w:rPr>
        <w:t>响应文件</w:t>
      </w:r>
      <w:r>
        <w:rPr>
          <w:rFonts w:hint="eastAsia" w:ascii="仿宋" w:hAnsi="仿宋" w:eastAsia="仿宋" w:cs="仿宋"/>
          <w:bCs w:val="0"/>
          <w:sz w:val="24"/>
          <w:szCs w:val="24"/>
        </w:rPr>
        <w:t>截止时间、开标时间和地点</w:t>
      </w:r>
    </w:p>
    <w:p w14:paraId="5E08D96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提交</w:t>
      </w:r>
      <w:r>
        <w:rPr>
          <w:rFonts w:hint="eastAsia" w:ascii="仿宋" w:hAnsi="仿宋" w:eastAsia="仿宋" w:cs="仿宋"/>
          <w:color w:val="auto"/>
          <w:sz w:val="24"/>
          <w:lang w:eastAsia="zh-CN"/>
        </w:rPr>
        <w:t>响应文件</w:t>
      </w:r>
      <w:r>
        <w:rPr>
          <w:rFonts w:hint="eastAsia" w:ascii="仿宋" w:hAnsi="仿宋" w:eastAsia="仿宋" w:cs="仿宋"/>
          <w:color w:val="auto"/>
          <w:sz w:val="24"/>
        </w:rPr>
        <w:t>截止时间：202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18</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点</w:t>
      </w:r>
      <w:r>
        <w:rPr>
          <w:rFonts w:hint="eastAsia" w:ascii="仿宋" w:hAnsi="仿宋" w:eastAsia="仿宋" w:cs="仿宋"/>
          <w:color w:val="auto"/>
          <w:sz w:val="24"/>
          <w:lang w:val="en-US" w:eastAsia="zh-CN"/>
        </w:rPr>
        <w:t>3</w:t>
      </w:r>
      <w:r>
        <w:rPr>
          <w:rFonts w:hint="eastAsia" w:ascii="仿宋" w:hAnsi="仿宋" w:eastAsia="仿宋" w:cs="仿宋"/>
          <w:color w:val="auto"/>
          <w:sz w:val="24"/>
        </w:rPr>
        <w:t>0分（北京时间）</w:t>
      </w:r>
    </w:p>
    <w:p w14:paraId="4F891089">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投标地点（网址）：政府采购云平台（https://www.zcygov.cn/）</w:t>
      </w:r>
    </w:p>
    <w:p w14:paraId="14A3E84C">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开标时间：202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18 </w:t>
      </w:r>
      <w:r>
        <w:rPr>
          <w:rFonts w:hint="eastAsia" w:ascii="仿宋" w:hAnsi="仿宋" w:eastAsia="仿宋" w:cs="仿宋"/>
          <w:color w:val="auto"/>
          <w:sz w:val="24"/>
        </w:rPr>
        <w:t>日</w:t>
      </w:r>
      <w:r>
        <w:rPr>
          <w:rFonts w:hint="eastAsia" w:ascii="仿宋" w:hAnsi="仿宋" w:eastAsia="仿宋" w:cs="仿宋"/>
          <w:color w:val="auto"/>
          <w:sz w:val="24"/>
          <w:lang w:val="en-US" w:eastAsia="zh-CN"/>
        </w:rPr>
        <w:t>9</w:t>
      </w:r>
      <w:r>
        <w:rPr>
          <w:rFonts w:hint="eastAsia" w:ascii="仿宋" w:hAnsi="仿宋" w:eastAsia="仿宋" w:cs="仿宋"/>
          <w:color w:val="auto"/>
          <w:sz w:val="24"/>
        </w:rPr>
        <w:t>点</w:t>
      </w:r>
      <w:r>
        <w:rPr>
          <w:rFonts w:hint="eastAsia" w:ascii="仿宋" w:hAnsi="仿宋" w:eastAsia="仿宋" w:cs="仿宋"/>
          <w:color w:val="auto"/>
          <w:sz w:val="24"/>
          <w:lang w:val="en-US" w:eastAsia="zh-CN"/>
        </w:rPr>
        <w:t>3</w:t>
      </w:r>
      <w:r>
        <w:rPr>
          <w:rFonts w:hint="eastAsia" w:ascii="仿宋" w:hAnsi="仿宋" w:eastAsia="仿宋" w:cs="仿宋"/>
          <w:color w:val="auto"/>
          <w:sz w:val="24"/>
        </w:rPr>
        <w:t>0分（北京时间）</w:t>
      </w:r>
    </w:p>
    <w:p w14:paraId="33941C2D">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开标地点（网址）：诸暨正开工程咨询有限公司（诸暨市东一路88号朗臻大厦19楼1902号）（本项目通过“政府采购云平台（www.zcygov.cn）”实行在线开标）。</w:t>
      </w:r>
    </w:p>
    <w:p w14:paraId="37076864">
      <w:pPr>
        <w:pStyle w:val="3"/>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keepNext w:val="0"/>
        <w:keepLines w:val="0"/>
        <w:pageBreakBefore w:val="0"/>
        <w:kinsoku/>
        <w:wordWrap/>
        <w:overflowPunct/>
        <w:topLinePunct w:val="0"/>
        <w:bidi w:val="0"/>
        <w:spacing w:line="3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w:t>
      </w:r>
      <w:r>
        <w:rPr>
          <w:rFonts w:hint="eastAsia" w:ascii="仿宋" w:hAnsi="仿宋" w:eastAsia="仿宋" w:cs="仿宋"/>
          <w:color w:val="auto"/>
          <w:sz w:val="24"/>
          <w:lang w:val="en-US" w:eastAsia="zh-CN"/>
        </w:rPr>
        <w:t>3</w:t>
      </w:r>
      <w:r>
        <w:rPr>
          <w:rFonts w:hint="eastAsia" w:ascii="仿宋" w:hAnsi="仿宋" w:eastAsia="仿宋" w:cs="仿宋"/>
          <w:color w:val="auto"/>
          <w:sz w:val="24"/>
        </w:rPr>
        <w:t>个工作日。</w:t>
      </w:r>
    </w:p>
    <w:p w14:paraId="548AD13A">
      <w:pPr>
        <w:pStyle w:val="3"/>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w:t>
      </w:r>
      <w:r>
        <w:rPr>
          <w:rFonts w:hint="eastAsia" w:ascii="仿宋" w:hAnsi="仿宋" w:eastAsia="仿宋" w:cs="仿宋"/>
          <w:sz w:val="24"/>
          <w:lang w:eastAsia="zh-CN"/>
        </w:rPr>
        <w:t>磋商文件</w:t>
      </w:r>
      <w:r>
        <w:rPr>
          <w:rFonts w:hint="eastAsia" w:ascii="仿宋" w:hAnsi="仿宋" w:eastAsia="仿宋" w:cs="仿宋"/>
          <w:sz w:val="24"/>
        </w:rPr>
        <w:t>使自己的权益受到损害的，可以自获取</w:t>
      </w:r>
      <w:r>
        <w:rPr>
          <w:rFonts w:hint="eastAsia" w:ascii="仿宋" w:hAnsi="仿宋" w:eastAsia="仿宋" w:cs="仿宋"/>
          <w:sz w:val="24"/>
          <w:lang w:eastAsia="zh-CN"/>
        </w:rPr>
        <w:t>磋商文件</w:t>
      </w:r>
      <w:r>
        <w:rPr>
          <w:rFonts w:hint="eastAsia" w:ascii="仿宋" w:hAnsi="仿宋" w:eastAsia="仿宋" w:cs="仿宋"/>
          <w:sz w:val="24"/>
        </w:rPr>
        <w:t>之日或者</w:t>
      </w:r>
      <w:r>
        <w:rPr>
          <w:rFonts w:hint="eastAsia" w:ascii="仿宋" w:hAnsi="仿宋" w:eastAsia="仿宋" w:cs="仿宋"/>
          <w:sz w:val="24"/>
          <w:lang w:eastAsia="zh-CN"/>
        </w:rPr>
        <w:t>磋商文件</w:t>
      </w:r>
      <w:r>
        <w:rPr>
          <w:rFonts w:hint="eastAsia" w:ascii="仿宋" w:hAnsi="仿宋" w:eastAsia="仿宋" w:cs="仿宋"/>
          <w:sz w:val="24"/>
        </w:rPr>
        <w:t>公告期限届满之日（公告期限届满后获取</w:t>
      </w:r>
      <w:r>
        <w:rPr>
          <w:rFonts w:hint="eastAsia" w:ascii="仿宋" w:hAnsi="仿宋" w:eastAsia="仿宋" w:cs="仿宋"/>
          <w:sz w:val="24"/>
          <w:lang w:eastAsia="zh-CN"/>
        </w:rPr>
        <w:t>磋商文件</w:t>
      </w:r>
      <w:r>
        <w:rPr>
          <w:rFonts w:hint="eastAsia" w:ascii="仿宋" w:hAnsi="仿宋" w:eastAsia="仿宋" w:cs="仿宋"/>
          <w:sz w:val="24"/>
        </w:rPr>
        <w:t>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w:t>
      </w:r>
      <w:r>
        <w:rPr>
          <w:rFonts w:hint="eastAsia" w:ascii="仿宋" w:hAnsi="仿宋" w:eastAsia="仿宋" w:cs="仿宋"/>
          <w:sz w:val="24"/>
          <w:lang w:eastAsia="zh-CN"/>
        </w:rPr>
        <w:t>磋商文件</w:t>
      </w:r>
      <w:r>
        <w:rPr>
          <w:rFonts w:hint="eastAsia" w:ascii="仿宋" w:hAnsi="仿宋" w:eastAsia="仿宋" w:cs="仿宋"/>
          <w:sz w:val="24"/>
        </w:rPr>
        <w:t>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w:t>
      </w:r>
      <w:r>
        <w:rPr>
          <w:rFonts w:hint="eastAsia" w:ascii="仿宋" w:hAnsi="仿宋" w:eastAsia="仿宋" w:cs="仿宋"/>
          <w:sz w:val="24"/>
          <w:lang w:eastAsia="zh-CN"/>
        </w:rPr>
        <w:t>响应文件</w:t>
      </w:r>
      <w:r>
        <w:rPr>
          <w:rFonts w:hint="eastAsia" w:ascii="仿宋" w:hAnsi="仿宋" w:eastAsia="仿宋" w:cs="仿宋"/>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仿宋" w:hAnsi="仿宋" w:eastAsia="仿宋" w:cs="仿宋"/>
          <w:sz w:val="24"/>
          <w:lang w:eastAsia="zh-CN"/>
        </w:rPr>
        <w:t>磋商文件</w:t>
      </w:r>
      <w:r>
        <w:rPr>
          <w:rFonts w:hint="eastAsia" w:ascii="仿宋" w:hAnsi="仿宋" w:eastAsia="仿宋" w:cs="仿宋"/>
          <w:sz w:val="24"/>
        </w:rPr>
        <w:t>的获取：使用账号登录或者使用CA登录政府采购云平台；进入“项目采购”应用，在获取采购文件菜单中选择项目，获取</w:t>
      </w:r>
      <w:r>
        <w:rPr>
          <w:rFonts w:hint="eastAsia" w:ascii="仿宋" w:hAnsi="仿宋" w:eastAsia="仿宋" w:cs="仿宋"/>
          <w:sz w:val="24"/>
          <w:lang w:eastAsia="zh-CN"/>
        </w:rPr>
        <w:t>磋商文件</w:t>
      </w:r>
      <w:r>
        <w:rPr>
          <w:rFonts w:hint="eastAsia" w:ascii="仿宋" w:hAnsi="仿宋" w:eastAsia="仿宋" w:cs="仿宋"/>
          <w:sz w:val="24"/>
        </w:rPr>
        <w:t>；④对未按上述方式获取</w:t>
      </w:r>
      <w:r>
        <w:rPr>
          <w:rFonts w:hint="eastAsia" w:ascii="仿宋" w:hAnsi="仿宋" w:eastAsia="仿宋" w:cs="仿宋"/>
          <w:sz w:val="24"/>
          <w:lang w:eastAsia="zh-CN"/>
        </w:rPr>
        <w:t>磋商文件</w:t>
      </w:r>
      <w:r>
        <w:rPr>
          <w:rFonts w:hint="eastAsia" w:ascii="仿宋" w:hAnsi="仿宋" w:eastAsia="仿宋" w:cs="仿宋"/>
          <w:sz w:val="24"/>
        </w:rPr>
        <w:t>的供应商，视为未参与该项政府采购活动，不具备对该政府采购项目提出质疑的法定权利，但因供应商资格条件或报名时间设定不符合有关法律法规规定等原因使供应商权益受损的除外；⑤</w:t>
      </w:r>
      <w:r>
        <w:rPr>
          <w:rFonts w:hint="eastAsia" w:ascii="仿宋" w:hAnsi="仿宋" w:eastAsia="仿宋" w:cs="仿宋"/>
          <w:sz w:val="24"/>
          <w:lang w:eastAsia="zh-CN"/>
        </w:rPr>
        <w:t>响应文件</w:t>
      </w:r>
      <w:r>
        <w:rPr>
          <w:rFonts w:hint="eastAsia" w:ascii="仿宋" w:hAnsi="仿宋" w:eastAsia="仿宋" w:cs="仿宋"/>
          <w:sz w:val="24"/>
        </w:rPr>
        <w:t>的制作：在“政采云电子交易客户端”中完成“填写基本信息”、“导入</w:t>
      </w:r>
      <w:r>
        <w:rPr>
          <w:rFonts w:hint="eastAsia" w:ascii="仿宋" w:hAnsi="仿宋" w:eastAsia="仿宋" w:cs="仿宋"/>
          <w:sz w:val="24"/>
          <w:lang w:eastAsia="zh-CN"/>
        </w:rPr>
        <w:t>响应文件</w:t>
      </w:r>
      <w:r>
        <w:rPr>
          <w:rFonts w:hint="eastAsia" w:ascii="仿宋" w:hAnsi="仿宋" w:eastAsia="仿宋" w:cs="仿宋"/>
          <w:sz w:val="24"/>
        </w:rPr>
        <w:t>”、“标书关联”、“标书检查”、“电子签名”、“生成电子标书”等操作；⑥不提供</w:t>
      </w:r>
      <w:r>
        <w:rPr>
          <w:rFonts w:hint="eastAsia" w:ascii="仿宋" w:hAnsi="仿宋" w:eastAsia="仿宋" w:cs="仿宋"/>
          <w:sz w:val="24"/>
          <w:lang w:eastAsia="zh-CN"/>
        </w:rPr>
        <w:t>磋商文件</w:t>
      </w:r>
      <w:r>
        <w:rPr>
          <w:rFonts w:hint="eastAsia" w:ascii="仿宋" w:hAnsi="仿宋" w:eastAsia="仿宋" w:cs="仿宋"/>
          <w:sz w:val="24"/>
        </w:rPr>
        <w:t>纸质版；⑦</w:t>
      </w:r>
      <w:r>
        <w:rPr>
          <w:rFonts w:hint="eastAsia" w:ascii="仿宋" w:hAnsi="仿宋" w:eastAsia="仿宋" w:cs="仿宋"/>
          <w:sz w:val="24"/>
          <w:lang w:eastAsia="zh-CN"/>
        </w:rPr>
        <w:t>响应文件</w:t>
      </w:r>
      <w:r>
        <w:rPr>
          <w:rFonts w:hint="eastAsia" w:ascii="仿宋" w:hAnsi="仿宋" w:eastAsia="仿宋" w:cs="仿宋"/>
          <w:sz w:val="24"/>
        </w:rPr>
        <w:t>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w:t>
      </w:r>
      <w:r>
        <w:rPr>
          <w:rFonts w:hint="eastAsia" w:ascii="仿宋" w:hAnsi="仿宋" w:eastAsia="仿宋" w:cs="仿宋"/>
          <w:sz w:val="24"/>
          <w:lang w:eastAsia="zh-CN"/>
        </w:rPr>
        <w:t>响应文件</w:t>
      </w:r>
      <w:r>
        <w:rPr>
          <w:rFonts w:hint="eastAsia" w:ascii="仿宋" w:hAnsi="仿宋" w:eastAsia="仿宋" w:cs="仿宋"/>
          <w:sz w:val="24"/>
        </w:rPr>
        <w:t>上传至政府采购云平台，还可以在投标截止时间前递交备份</w:t>
      </w:r>
      <w:r>
        <w:rPr>
          <w:rFonts w:hint="eastAsia" w:ascii="仿宋" w:hAnsi="仿宋" w:eastAsia="仿宋" w:cs="仿宋"/>
          <w:sz w:val="24"/>
          <w:lang w:eastAsia="zh-CN"/>
        </w:rPr>
        <w:t>响应文件</w:t>
      </w:r>
      <w:r>
        <w:rPr>
          <w:rFonts w:hint="eastAsia" w:ascii="仿宋" w:hAnsi="仿宋" w:eastAsia="仿宋" w:cs="仿宋"/>
          <w:sz w:val="24"/>
        </w:rPr>
        <w:t>1份。备份</w:t>
      </w:r>
      <w:r>
        <w:rPr>
          <w:rFonts w:hint="eastAsia" w:ascii="仿宋" w:hAnsi="仿宋" w:eastAsia="仿宋" w:cs="仿宋"/>
          <w:sz w:val="24"/>
          <w:lang w:eastAsia="zh-CN"/>
        </w:rPr>
        <w:t>响应文件</w:t>
      </w:r>
      <w:r>
        <w:rPr>
          <w:rFonts w:hint="eastAsia" w:ascii="仿宋" w:hAnsi="仿宋" w:eastAsia="仿宋" w:cs="仿宋"/>
          <w:sz w:val="24"/>
        </w:rPr>
        <w:t>的制作、递交详见</w:t>
      </w:r>
      <w:r>
        <w:rPr>
          <w:rFonts w:hint="eastAsia" w:ascii="仿宋" w:hAnsi="仿宋" w:eastAsia="仿宋" w:cs="仿宋"/>
          <w:sz w:val="24"/>
          <w:lang w:eastAsia="zh-CN"/>
        </w:rPr>
        <w:t>磋商文件</w:t>
      </w:r>
      <w:r>
        <w:rPr>
          <w:rFonts w:hint="eastAsia" w:ascii="仿宋" w:hAnsi="仿宋" w:eastAsia="仿宋" w:cs="仿宋"/>
          <w:sz w:val="24"/>
        </w:rPr>
        <w:t>第二部分第15点—“备份</w:t>
      </w:r>
      <w:r>
        <w:rPr>
          <w:rFonts w:hint="eastAsia" w:ascii="仿宋" w:hAnsi="仿宋" w:eastAsia="仿宋" w:cs="仿宋"/>
          <w:sz w:val="24"/>
          <w:lang w:eastAsia="zh-CN"/>
        </w:rPr>
        <w:t>响应文件</w:t>
      </w:r>
      <w:r>
        <w:rPr>
          <w:rFonts w:hint="eastAsia" w:ascii="仿宋" w:hAnsi="仿宋" w:eastAsia="仿宋" w:cs="仿宋"/>
          <w:sz w:val="24"/>
        </w:rPr>
        <w:t>”； ⑧</w:t>
      </w:r>
      <w:r>
        <w:rPr>
          <w:rFonts w:hint="eastAsia" w:ascii="仿宋" w:hAnsi="仿宋" w:eastAsia="仿宋" w:cs="仿宋"/>
          <w:sz w:val="24"/>
          <w:lang w:eastAsia="zh-CN"/>
        </w:rPr>
        <w:t>响应文件</w:t>
      </w:r>
      <w:r>
        <w:rPr>
          <w:rFonts w:hint="eastAsia" w:ascii="仿宋" w:hAnsi="仿宋" w:eastAsia="仿宋" w:cs="仿宋"/>
          <w:sz w:val="24"/>
        </w:rPr>
        <w:t>的解密：</w:t>
      </w:r>
      <w:r>
        <w:rPr>
          <w:rFonts w:hint="eastAsia" w:ascii="仿宋" w:hAnsi="仿宋" w:eastAsia="仿宋" w:cs="仿宋"/>
          <w:sz w:val="24"/>
          <w:lang w:eastAsia="zh-CN"/>
        </w:rPr>
        <w:t>供应商</w:t>
      </w:r>
      <w:r>
        <w:rPr>
          <w:rFonts w:hint="eastAsia" w:ascii="仿宋" w:hAnsi="仿宋" w:eastAsia="仿宋" w:cs="仿宋"/>
          <w:sz w:val="24"/>
        </w:rPr>
        <w:t>按照平台提示和</w:t>
      </w:r>
      <w:r>
        <w:rPr>
          <w:rFonts w:hint="eastAsia" w:ascii="仿宋" w:hAnsi="仿宋" w:eastAsia="仿宋" w:cs="仿宋"/>
          <w:sz w:val="24"/>
          <w:lang w:eastAsia="zh-CN"/>
        </w:rPr>
        <w:t>磋商文件</w:t>
      </w:r>
      <w:r>
        <w:rPr>
          <w:rFonts w:hint="eastAsia" w:ascii="仿宋" w:hAnsi="仿宋" w:eastAsia="仿宋" w:cs="仿宋"/>
          <w:sz w:val="24"/>
        </w:rPr>
        <w:t>的规定在30分钟内完成在线解密。通过“政府采购云平台”上传递交的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无法按时解密，投标供应商递交了备份</w:t>
      </w:r>
      <w:r>
        <w:rPr>
          <w:rFonts w:hint="eastAsia" w:ascii="仿宋" w:hAnsi="仿宋" w:eastAsia="仿宋" w:cs="仿宋"/>
          <w:sz w:val="24"/>
          <w:lang w:eastAsia="zh-CN"/>
        </w:rPr>
        <w:t>响应文件</w:t>
      </w:r>
      <w:r>
        <w:rPr>
          <w:rFonts w:hint="eastAsia" w:ascii="仿宋" w:hAnsi="仿宋" w:eastAsia="仿宋" w:cs="仿宋"/>
          <w:sz w:val="24"/>
        </w:rPr>
        <w:t>的，以备份</w:t>
      </w:r>
      <w:r>
        <w:rPr>
          <w:rFonts w:hint="eastAsia" w:ascii="仿宋" w:hAnsi="仿宋" w:eastAsia="仿宋" w:cs="仿宋"/>
          <w:sz w:val="24"/>
          <w:lang w:eastAsia="zh-CN"/>
        </w:rPr>
        <w:t>响应文件</w:t>
      </w:r>
      <w:r>
        <w:rPr>
          <w:rFonts w:hint="eastAsia" w:ascii="仿宋" w:hAnsi="仿宋" w:eastAsia="仿宋" w:cs="仿宋"/>
          <w:sz w:val="24"/>
        </w:rPr>
        <w:t>为依据，否则视为</w:t>
      </w:r>
      <w:r>
        <w:rPr>
          <w:rFonts w:hint="eastAsia" w:ascii="仿宋" w:hAnsi="仿宋" w:eastAsia="仿宋" w:cs="仿宋"/>
          <w:sz w:val="24"/>
          <w:lang w:eastAsia="zh-CN"/>
        </w:rPr>
        <w:t>响应文件</w:t>
      </w:r>
      <w:r>
        <w:rPr>
          <w:rFonts w:hint="eastAsia" w:ascii="仿宋" w:hAnsi="仿宋" w:eastAsia="仿宋" w:cs="仿宋"/>
          <w:sz w:val="24"/>
        </w:rPr>
        <w:t>撤回。通过“政府采购云平台”上传递交的</w:t>
      </w:r>
      <w:r>
        <w:rPr>
          <w:rFonts w:hint="eastAsia" w:ascii="仿宋" w:hAnsi="仿宋" w:eastAsia="仿宋" w:cs="仿宋"/>
          <w:sz w:val="24"/>
          <w:lang w:eastAsia="zh-CN"/>
        </w:rPr>
        <w:t>响应文件</w:t>
      </w:r>
      <w:r>
        <w:rPr>
          <w:rFonts w:hint="eastAsia" w:ascii="仿宋" w:hAnsi="仿宋" w:eastAsia="仿宋" w:cs="仿宋"/>
          <w:sz w:val="24"/>
        </w:rPr>
        <w:t>已按时解密的，备份</w:t>
      </w:r>
      <w:r>
        <w:rPr>
          <w:rFonts w:hint="eastAsia" w:ascii="仿宋" w:hAnsi="仿宋" w:eastAsia="仿宋" w:cs="仿宋"/>
          <w:sz w:val="24"/>
          <w:lang w:eastAsia="zh-CN"/>
        </w:rPr>
        <w:t>响应文件</w:t>
      </w:r>
      <w:r>
        <w:rPr>
          <w:rFonts w:hint="eastAsia" w:ascii="仿宋" w:hAnsi="仿宋" w:eastAsia="仿宋" w:cs="仿宋"/>
          <w:sz w:val="24"/>
        </w:rPr>
        <w:t>自动失效。</w:t>
      </w:r>
      <w:r>
        <w:rPr>
          <w:rFonts w:hint="eastAsia" w:ascii="仿宋" w:hAnsi="仿宋" w:eastAsia="仿宋" w:cs="仿宋"/>
          <w:sz w:val="24"/>
          <w:lang w:eastAsia="zh-CN"/>
        </w:rPr>
        <w:t>供应商</w:t>
      </w:r>
      <w:r>
        <w:rPr>
          <w:rFonts w:hint="eastAsia" w:ascii="仿宋" w:hAnsi="仿宋" w:eastAsia="仿宋" w:cs="仿宋"/>
          <w:sz w:val="24"/>
        </w:rPr>
        <w:t>仅提交备份</w:t>
      </w:r>
      <w:r>
        <w:rPr>
          <w:rFonts w:hint="eastAsia" w:ascii="仿宋" w:hAnsi="仿宋" w:eastAsia="仿宋" w:cs="仿宋"/>
          <w:sz w:val="24"/>
          <w:lang w:eastAsia="zh-CN"/>
        </w:rPr>
        <w:t>响应文件</w:t>
      </w:r>
      <w:r>
        <w:rPr>
          <w:rFonts w:hint="eastAsia" w:ascii="仿宋" w:hAnsi="仿宋" w:eastAsia="仿宋" w:cs="仿宋"/>
          <w:sz w:val="24"/>
        </w:rPr>
        <w:t>，没有在电子交易平台传输递交</w:t>
      </w:r>
      <w:r>
        <w:rPr>
          <w:rFonts w:hint="eastAsia" w:ascii="仿宋" w:hAnsi="仿宋" w:eastAsia="仿宋" w:cs="仿宋"/>
          <w:sz w:val="24"/>
          <w:lang w:eastAsia="zh-CN"/>
        </w:rPr>
        <w:t>响应文件</w:t>
      </w:r>
      <w:r>
        <w:rPr>
          <w:rFonts w:hint="eastAsia" w:ascii="仿宋" w:hAnsi="仿宋" w:eastAsia="仿宋" w:cs="仿宋"/>
          <w:sz w:val="24"/>
        </w:rPr>
        <w:t xml:space="preserve">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磋商文件</w:t>
      </w:r>
      <w:r>
        <w:rPr>
          <w:rFonts w:hint="eastAsia" w:ascii="仿宋" w:hAnsi="仿宋" w:eastAsia="仿宋" w:cs="仿宋"/>
          <w:sz w:val="24"/>
        </w:rPr>
        <w:t>公告期限与招标公告的公告期限一致。</w:t>
      </w:r>
    </w:p>
    <w:p w14:paraId="7D2D9389">
      <w:pPr>
        <w:pStyle w:val="58"/>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58"/>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492CD1E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1.采购人信息</w:t>
      </w:r>
    </w:p>
    <w:p w14:paraId="4D29134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称：诸暨市人民政府大唐街道办事处</w:t>
      </w:r>
    </w:p>
    <w:p w14:paraId="74134137">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址：诸暨市大唐街道开元东路75号</w:t>
      </w:r>
    </w:p>
    <w:p w14:paraId="76428285">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项目联系人（询问）：张主任</w:t>
      </w:r>
    </w:p>
    <w:p w14:paraId="6702C43A">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项目联系人工作电话（询问）：13735213152  </w:t>
      </w:r>
    </w:p>
    <w:p w14:paraId="458D2BD8">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质疑联系人：张主任  </w:t>
      </w:r>
    </w:p>
    <w:p w14:paraId="5EA090DB">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质疑联系人工作电话：13735213152 </w:t>
      </w:r>
    </w:p>
    <w:p w14:paraId="43D3FFA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项目联系人（询问）：方工   </w:t>
      </w:r>
    </w:p>
    <w:p w14:paraId="3465CD5D">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项目联系人工作电话（询问）：18248604053</w:t>
      </w:r>
    </w:p>
    <w:p w14:paraId="08B163E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42016A3E">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诸暨市人民政府大唐街道办事处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二0二五年七月八日</w:t>
      </w:r>
    </w:p>
    <w:p w14:paraId="0586C24F">
      <w:pPr>
        <w:pStyle w:val="23"/>
        <w:rPr>
          <w:rFonts w:hint="eastAsia" w:ascii="仿宋" w:hAnsi="仿宋" w:eastAsia="仿宋" w:cs="仿宋"/>
          <w:lang w:val="en-US" w:eastAsia="zh-CN"/>
        </w:rPr>
      </w:pPr>
    </w:p>
    <w:p w14:paraId="14F4B7C1">
      <w:pPr>
        <w:pStyle w:val="58"/>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55727F19">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2"/>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1"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。响应文件中价格全部采用人民币报价。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磋商文件未列明，而磋商供应商认为必需的费用也需列入报价。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88"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①响应文件出现不是唯一的、有选择性投标报价的；</w:t>
            </w:r>
          </w:p>
          <w:p w14:paraId="07E1FBB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②投标报价超过磋商文件中规定的预算金额或者最高限价的;</w:t>
            </w:r>
          </w:p>
          <w:p w14:paraId="736CC15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4208AA4D">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jc w:val="left"/>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仿宋"/>
                <w:bCs/>
                <w:kern w:val="0"/>
                <w:lang w:val="en-US" w:eastAsia="zh-CN"/>
              </w:rPr>
              <w:t>提供中小企业声明函</w:t>
            </w:r>
            <w:r>
              <w:rPr>
                <w:rFonts w:hint="eastAsia" w:ascii="仿宋" w:hAnsi="仿宋" w:eastAsia="仿宋" w:cs="仿宋"/>
                <w:bCs/>
                <w:kern w:val="0"/>
                <w:lang w:val="zh-CN"/>
              </w:rPr>
              <w:t>（格式见第六章）</w:t>
            </w:r>
            <w:r>
              <w:rPr>
                <w:rFonts w:hint="eastAsia" w:ascii="仿宋" w:hAnsi="仿宋" w:eastAsia="仿宋" w:cs="仿宋"/>
                <w:bCs/>
                <w:kern w:val="0"/>
                <w:lang w:val="en-US" w:eastAsia="zh-CN"/>
              </w:rPr>
              <w:t>；</w:t>
            </w:r>
          </w:p>
          <w:p w14:paraId="273E2FB0">
            <w:pPr>
              <w:adjustRightInd w:val="0"/>
              <w:snapToGrid w:val="0"/>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color w:val="000000"/>
                <w:kern w:val="0"/>
                <w:sz w:val="24"/>
                <w:szCs w:val="21"/>
                <w:lang w:val="en-US" w:eastAsia="zh-CN" w:bidi="ar-SA"/>
              </w:rPr>
              <w:t>④本项目的特定资格要求：提</w:t>
            </w:r>
            <w:r>
              <w:rPr>
                <w:rFonts w:hint="eastAsia" w:ascii="仿宋" w:hAnsi="仿宋" w:eastAsia="仿宋" w:cs="仿宋"/>
                <w:kern w:val="2"/>
                <w:sz w:val="24"/>
                <w:szCs w:val="24"/>
                <w:lang w:val="en-US" w:eastAsia="zh-CN" w:bidi="ar-SA"/>
              </w:rPr>
              <w:t>供工程监理综合资质或具有水利工程施工监理乙级（含）以上资质证书复印件（加盖单位公章）。</w:t>
            </w:r>
          </w:p>
          <w:p w14:paraId="249E4BC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磋商供应商未提供有效的资格证明文件的，视为磋商供应商不具备磋商文件中规定的资格要求，其投标无效。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响应文件项目不齐全或内容虚假的，将视为无效投标。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3B04F646">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如供应商需出具《中小企业声明函》的，可通过工业和信息化部官网公共服务平台“中小企业规模类型自测小程序”自测企业规模类型。自测时企业所属行业请选择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其他为列明</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备份</w:t>
            </w:r>
            <w:r>
              <w:rPr>
                <w:rFonts w:hint="eastAsia" w:ascii="仿宋" w:hAnsi="仿宋" w:eastAsia="仿宋" w:cs="仿宋"/>
                <w:b/>
                <w:sz w:val="24"/>
                <w:lang w:eastAsia="zh-CN"/>
              </w:rPr>
              <w:t>响应文件</w:t>
            </w:r>
            <w:r>
              <w:rPr>
                <w:rFonts w:hint="eastAsia" w:ascii="仿宋" w:hAnsi="仿宋" w:eastAsia="仿宋" w:cs="仿宋"/>
                <w:b/>
                <w:sz w:val="24"/>
              </w:rPr>
              <w:t xml:space="preserve">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68A08C01">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szCs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6"/>
                <w:rFonts w:hint="eastAsia" w:ascii="仿宋" w:hAnsi="仿宋" w:eastAsia="仿宋" w:cs="仿宋"/>
                <w:b/>
                <w:snapToGrid/>
                <w:kern w:val="2"/>
                <w:sz w:val="24"/>
                <w:szCs w:val="24"/>
                <w:lang w:val="en-US" w:eastAsia="zh-CN"/>
              </w:rPr>
              <w:t>1024831278@qq.com</w:t>
            </w:r>
            <w:r>
              <w:rPr>
                <w:rStyle w:val="76"/>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p w14:paraId="4D7053BB">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2"/>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75BF0020">
            <w:pPr>
              <w:keepNext w:val="0"/>
              <w:keepLines w:val="0"/>
              <w:pageBreakBefore w:val="0"/>
              <w:widowControl w:val="0"/>
              <w:kinsoku/>
              <w:wordWrap/>
              <w:overflowPunct/>
              <w:bidi w:val="0"/>
              <w:spacing w:line="360" w:lineRule="exact"/>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1、招标代理服务费：本项目招标代理服务费由项目中标单位支付,采用差额定率累进法进行计算，具体费率标准如下：</w:t>
            </w:r>
          </w:p>
          <w:p w14:paraId="6073D79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55670B1B">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7D023139">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4603E705">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0"/>
                <w:rFonts w:hint="eastAsia" w:ascii="仿宋" w:hAnsi="仿宋" w:eastAsia="仿宋" w:cs="仿宋"/>
                <w:b w:val="0"/>
                <w:color w:val="auto"/>
                <w:kern w:val="2"/>
                <w:sz w:val="24"/>
                <w:szCs w:val="24"/>
                <w:shd w:val="clear" w:color="auto" w:fill="FFFFFF"/>
                <w:lang w:val="en-US" w:eastAsia="zh-CN" w:bidi="ar-SA"/>
              </w:rPr>
            </w:pPr>
            <w:r>
              <w:rPr>
                <w:rStyle w:val="70"/>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3C36BAD2">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lang w:val="en-US" w:eastAsia="zh-CN"/>
              </w:rPr>
              <w:t>2、收取方式：本项目的招标代理服务费由中标人支付，在领取中标通知书时，一次性向采购代理机构付清。</w:t>
            </w:r>
          </w:p>
        </w:tc>
      </w:tr>
    </w:tbl>
    <w:p w14:paraId="3E227389">
      <w:pPr>
        <w:spacing w:line="360" w:lineRule="exact"/>
        <w:ind w:firstLine="472" w:firstLineChars="196"/>
        <w:rPr>
          <w:rFonts w:hint="eastAsia" w:ascii="仿宋" w:hAnsi="仿宋" w:eastAsia="仿宋" w:cs="仿宋"/>
          <w:b/>
          <w:bCs/>
          <w:color w:val="auto"/>
          <w:sz w:val="24"/>
        </w:rPr>
      </w:pPr>
    </w:p>
    <w:bookmarkEnd w:id="5"/>
    <w:p w14:paraId="79067B54">
      <w:pPr>
        <w:adjustRightInd/>
        <w:spacing w:line="360" w:lineRule="auto"/>
        <w:jc w:val="center"/>
        <w:outlineLvl w:val="0"/>
        <w:rPr>
          <w:rFonts w:hint="eastAsia" w:ascii="仿宋" w:hAnsi="仿宋" w:eastAsia="仿宋" w:cs="仿宋"/>
          <w:b/>
          <w:sz w:val="32"/>
          <w:szCs w:val="20"/>
        </w:rPr>
      </w:pPr>
      <w:bookmarkStart w:id="7" w:name="第三部分"/>
      <w:bookmarkStart w:id="8" w:name="_Toc164416483"/>
    </w:p>
    <w:p w14:paraId="4B629126">
      <w:pPr>
        <w:adjustRightInd/>
        <w:spacing w:line="360" w:lineRule="auto"/>
        <w:jc w:val="center"/>
        <w:outlineLvl w:val="0"/>
        <w:rPr>
          <w:rFonts w:hint="eastAsia" w:ascii="仿宋" w:hAnsi="仿宋" w:eastAsia="仿宋" w:cs="仿宋"/>
          <w:b/>
          <w:sz w:val="32"/>
          <w:szCs w:val="20"/>
        </w:rPr>
      </w:pPr>
    </w:p>
    <w:p w14:paraId="61F98ADB">
      <w:pPr>
        <w:adjustRightInd/>
        <w:spacing w:line="360" w:lineRule="auto"/>
        <w:jc w:val="center"/>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eastAsia="zh-CN"/>
        </w:rPr>
        <w:t>磋商文件</w:t>
      </w:r>
      <w:r>
        <w:rPr>
          <w:rFonts w:hint="eastAsia" w:ascii="仿宋" w:hAnsi="仿宋" w:eastAsia="仿宋" w:cs="仿宋"/>
          <w:sz w:val="24"/>
        </w:rPr>
        <w:t>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w:t>
      </w:r>
      <w:r>
        <w:rPr>
          <w:rFonts w:hint="eastAsia" w:ascii="仿宋" w:hAnsi="仿宋" w:eastAsia="仿宋" w:cs="仿宋"/>
          <w:sz w:val="24"/>
          <w:lang w:eastAsia="zh-CN"/>
        </w:rPr>
        <w:t>磋商文件</w:t>
      </w:r>
      <w:r>
        <w:rPr>
          <w:rFonts w:hint="eastAsia" w:ascii="仿宋" w:hAnsi="仿宋" w:eastAsia="仿宋" w:cs="仿宋"/>
          <w:sz w:val="24"/>
        </w:rPr>
        <w:t>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w:t>
      </w:r>
      <w:r>
        <w:rPr>
          <w:rFonts w:hint="eastAsia" w:ascii="仿宋" w:hAnsi="仿宋" w:eastAsia="仿宋" w:cs="仿宋"/>
          <w:sz w:val="24"/>
          <w:lang w:eastAsia="zh-CN"/>
        </w:rPr>
        <w:t>磋商文件</w:t>
      </w:r>
      <w:r>
        <w:rPr>
          <w:rFonts w:hint="eastAsia" w:ascii="仿宋" w:hAnsi="仿宋" w:eastAsia="仿宋" w:cs="仿宋"/>
          <w:sz w:val="24"/>
        </w:rPr>
        <w:t>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w:t>
      </w:r>
      <w:r>
        <w:rPr>
          <w:rFonts w:hint="eastAsia" w:ascii="仿宋" w:hAnsi="仿宋" w:eastAsia="仿宋" w:cs="仿宋"/>
          <w:b/>
          <w:sz w:val="24"/>
          <w:lang w:eastAsia="zh-CN"/>
        </w:rPr>
        <w:t>磋商文件</w:t>
      </w:r>
      <w:r>
        <w:rPr>
          <w:rFonts w:hint="eastAsia" w:ascii="仿宋" w:hAnsi="仿宋" w:eastAsia="仿宋" w:cs="仿宋"/>
          <w:b/>
          <w:sz w:val="24"/>
        </w:rPr>
        <w:t>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w:t>
      </w:r>
      <w:r>
        <w:rPr>
          <w:rFonts w:hint="eastAsia" w:ascii="仿宋" w:hAnsi="仿宋" w:eastAsia="仿宋" w:cs="仿宋"/>
          <w:sz w:val="24"/>
          <w:lang w:eastAsia="zh-CN"/>
        </w:rPr>
        <w:t>磋商文件</w:t>
      </w:r>
      <w:r>
        <w:rPr>
          <w:rFonts w:hint="eastAsia" w:ascii="仿宋" w:hAnsi="仿宋" w:eastAsia="仿宋" w:cs="仿宋"/>
          <w:sz w:val="24"/>
        </w:rPr>
        <w:t>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w:t>
      </w:r>
      <w:r>
        <w:rPr>
          <w:rFonts w:hint="eastAsia" w:ascii="仿宋" w:hAnsi="仿宋" w:eastAsia="仿宋" w:cs="仿宋"/>
          <w:sz w:val="24"/>
          <w:lang w:eastAsia="zh-CN"/>
        </w:rPr>
        <w:t>磋商文件</w:t>
      </w:r>
      <w:r>
        <w:rPr>
          <w:rFonts w:hint="eastAsia" w:ascii="仿宋" w:hAnsi="仿宋" w:eastAsia="仿宋" w:cs="仿宋"/>
          <w:sz w:val="24"/>
        </w:rPr>
        <w:t>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w:t>
      </w:r>
      <w:r>
        <w:rPr>
          <w:rFonts w:hint="eastAsia" w:ascii="仿宋" w:hAnsi="仿宋" w:eastAsia="仿宋" w:cs="仿宋"/>
          <w:sz w:val="24"/>
          <w:lang w:eastAsia="zh-CN"/>
        </w:rPr>
        <w:t>磋商文件</w:t>
      </w:r>
      <w:r>
        <w:rPr>
          <w:rFonts w:hint="eastAsia" w:ascii="仿宋" w:hAnsi="仿宋" w:eastAsia="仿宋" w:cs="仿宋"/>
          <w:sz w:val="24"/>
        </w:rPr>
        <w:t>的，可以对该文件提出质疑。</w:t>
      </w:r>
    </w:p>
    <w:p w14:paraId="48D841D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w:t>
      </w:r>
      <w:r>
        <w:rPr>
          <w:rFonts w:hint="eastAsia" w:ascii="仿宋" w:hAnsi="仿宋" w:eastAsia="仿宋" w:cs="仿宋"/>
          <w:sz w:val="24"/>
          <w:lang w:eastAsia="zh-CN"/>
        </w:rPr>
        <w:t>磋商文件</w:t>
      </w:r>
      <w:r>
        <w:rPr>
          <w:rFonts w:hint="eastAsia" w:ascii="仿宋" w:hAnsi="仿宋" w:eastAsia="仿宋" w:cs="仿宋"/>
          <w:sz w:val="24"/>
        </w:rPr>
        <w:t>、采购过程和中标结果使自己的权益受到损害的，可以在知道或者应知其权益受到损害之日起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提出质疑的，质疑期限为供应商获得</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之日或者</w:t>
      </w:r>
      <w:r>
        <w:rPr>
          <w:rFonts w:hint="eastAsia" w:ascii="仿宋" w:hAnsi="仿宋" w:eastAsia="仿宋" w:cs="仿宋"/>
          <w:color w:val="auto"/>
          <w:kern w:val="2"/>
          <w:sz w:val="24"/>
          <w:lang w:eastAsia="zh-CN"/>
        </w:rPr>
        <w:t>磋商文件</w:t>
      </w:r>
      <w:r>
        <w:rPr>
          <w:rFonts w:hint="eastAsia" w:ascii="仿宋" w:hAnsi="仿宋" w:eastAsia="仿宋" w:cs="仿宋"/>
          <w:color w:val="auto"/>
          <w:kern w:val="2"/>
          <w:sz w:val="24"/>
        </w:rPr>
        <w:t>公告期限届满之日起计算。</w:t>
      </w:r>
    </w:p>
    <w:p w14:paraId="3B696F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w:t>
      </w:r>
      <w:r>
        <w:rPr>
          <w:rFonts w:hint="eastAsia" w:ascii="仿宋" w:hAnsi="仿宋" w:eastAsia="仿宋" w:cs="仿宋"/>
          <w:b/>
          <w:sz w:val="32"/>
          <w:szCs w:val="20"/>
          <w:lang w:eastAsia="zh-CN"/>
        </w:rPr>
        <w:t>磋商文件</w:t>
      </w:r>
      <w:r>
        <w:rPr>
          <w:rFonts w:hint="eastAsia" w:ascii="仿宋" w:hAnsi="仿宋" w:eastAsia="仿宋" w:cs="仿宋"/>
          <w:b/>
          <w:sz w:val="32"/>
          <w:szCs w:val="20"/>
        </w:rPr>
        <w:t>的构成、澄清、补充、修改</w:t>
      </w:r>
    </w:p>
    <w:p w14:paraId="56034E41">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sz w:val="24"/>
          <w:szCs w:val="24"/>
          <w:lang w:eastAsia="zh-CN"/>
        </w:rPr>
        <w:t>磋商文件</w:t>
      </w:r>
      <w:r>
        <w:rPr>
          <w:rFonts w:hint="eastAsia" w:ascii="仿宋" w:hAnsi="仿宋" w:eastAsia="仿宋" w:cs="仿宋"/>
          <w:b/>
          <w:sz w:val="24"/>
          <w:szCs w:val="24"/>
        </w:rPr>
        <w:t>的构成</w:t>
      </w:r>
    </w:p>
    <w:p w14:paraId="7D5F5D1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5.1 </w:t>
      </w:r>
      <w:r>
        <w:rPr>
          <w:rFonts w:hint="eastAsia" w:ascii="仿宋" w:hAnsi="仿宋" w:eastAsia="仿宋" w:cs="仿宋"/>
          <w:sz w:val="24"/>
          <w:szCs w:val="24"/>
          <w:lang w:eastAsia="zh-CN"/>
        </w:rPr>
        <w:t>磋商文件</w:t>
      </w:r>
      <w:r>
        <w:rPr>
          <w:rFonts w:hint="eastAsia" w:ascii="仿宋" w:hAnsi="仿宋" w:eastAsia="仿宋" w:cs="仿宋"/>
          <w:sz w:val="24"/>
          <w:szCs w:val="24"/>
        </w:rPr>
        <w:t>包括下列文件及附件：</w:t>
      </w:r>
    </w:p>
    <w:p w14:paraId="035DCB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w:t>
      </w:r>
      <w:r>
        <w:rPr>
          <w:rFonts w:hint="eastAsia" w:ascii="仿宋" w:hAnsi="仿宋" w:eastAsia="仿宋" w:cs="仿宋"/>
          <w:bCs/>
          <w:sz w:val="24"/>
          <w:lang w:eastAsia="zh-CN"/>
        </w:rPr>
        <w:t>磋商文件</w:t>
      </w:r>
      <w:r>
        <w:rPr>
          <w:rFonts w:hint="eastAsia" w:ascii="仿宋" w:hAnsi="仿宋" w:eastAsia="仿宋" w:cs="仿宋"/>
          <w:bCs/>
          <w:sz w:val="24"/>
        </w:rPr>
        <w:t>的组成部分</w:t>
      </w:r>
      <w:r>
        <w:rPr>
          <w:rFonts w:hint="eastAsia" w:ascii="仿宋" w:hAnsi="仿宋" w:eastAsia="仿宋" w:cs="仿宋"/>
          <w:sz w:val="24"/>
        </w:rPr>
        <w:t>。</w:t>
      </w:r>
    </w:p>
    <w:p w14:paraId="3CAA96D6">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6. </w:t>
      </w:r>
      <w:r>
        <w:rPr>
          <w:rFonts w:hint="eastAsia" w:ascii="仿宋" w:hAnsi="仿宋" w:eastAsia="仿宋" w:cs="仿宋"/>
          <w:b/>
          <w:sz w:val="24"/>
          <w:szCs w:val="24"/>
          <w:lang w:eastAsia="zh-CN"/>
        </w:rPr>
        <w:t>磋商文件</w:t>
      </w:r>
      <w:r>
        <w:rPr>
          <w:rFonts w:hint="eastAsia" w:ascii="仿宋" w:hAnsi="仿宋" w:eastAsia="仿宋" w:cs="仿宋"/>
          <w:b/>
          <w:sz w:val="24"/>
          <w:szCs w:val="24"/>
        </w:rPr>
        <w:t>的澄清、补充、修改</w:t>
      </w:r>
    </w:p>
    <w:p w14:paraId="28229FE6">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w:t>
      </w:r>
      <w:r>
        <w:rPr>
          <w:rFonts w:hint="eastAsia" w:ascii="仿宋" w:hAnsi="仿宋" w:eastAsia="仿宋" w:cs="仿宋"/>
          <w:lang w:eastAsia="zh-CN"/>
        </w:rPr>
        <w:t>磋商文件</w:t>
      </w:r>
      <w:r>
        <w:rPr>
          <w:rFonts w:hint="eastAsia" w:ascii="仿宋" w:hAnsi="仿宋" w:eastAsia="仿宋" w:cs="仿宋"/>
        </w:rPr>
        <w:t>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w:t>
      </w:r>
      <w:r>
        <w:rPr>
          <w:rFonts w:hint="eastAsia" w:ascii="仿宋" w:hAnsi="仿宋" w:eastAsia="仿宋" w:cs="仿宋"/>
          <w:lang w:eastAsia="zh-CN"/>
        </w:rPr>
        <w:t>磋商文件</w:t>
      </w:r>
      <w:r>
        <w:rPr>
          <w:rFonts w:hint="eastAsia" w:ascii="仿宋" w:hAnsi="仿宋" w:eastAsia="仿宋" w:cs="仿宋"/>
        </w:rPr>
        <w:t>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w:t>
      </w:r>
      <w:r>
        <w:rPr>
          <w:rFonts w:hint="eastAsia" w:ascii="仿宋" w:hAnsi="仿宋" w:eastAsia="仿宋" w:cs="仿宋"/>
          <w:lang w:eastAsia="zh-CN"/>
        </w:rPr>
        <w:t>磋商文件</w:t>
      </w:r>
      <w:r>
        <w:rPr>
          <w:rFonts w:hint="eastAsia" w:ascii="仿宋" w:hAnsi="仿宋" w:eastAsia="仿宋" w:cs="仿宋"/>
        </w:rPr>
        <w:t>的组成部分。</w:t>
      </w:r>
    </w:p>
    <w:p w14:paraId="13AB5B3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w:t>
      </w:r>
      <w:r>
        <w:rPr>
          <w:rFonts w:hint="eastAsia" w:ascii="仿宋" w:hAnsi="仿宋" w:eastAsia="仿宋" w:cs="仿宋"/>
          <w:lang w:eastAsia="zh-CN"/>
        </w:rPr>
        <w:t>磋商文件</w:t>
      </w:r>
      <w:r>
        <w:rPr>
          <w:rFonts w:hint="eastAsia" w:ascii="仿宋" w:hAnsi="仿宋" w:eastAsia="仿宋" w:cs="仿宋"/>
        </w:rPr>
        <w:t>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7. </w:t>
      </w:r>
      <w:r>
        <w:rPr>
          <w:rFonts w:hint="eastAsia" w:ascii="仿宋" w:hAnsi="仿宋" w:eastAsia="仿宋" w:cs="仿宋"/>
          <w:b/>
          <w:sz w:val="24"/>
          <w:szCs w:val="24"/>
          <w:lang w:eastAsia="zh-CN"/>
        </w:rPr>
        <w:t>磋商文件</w:t>
      </w:r>
      <w:r>
        <w:rPr>
          <w:rFonts w:hint="eastAsia" w:ascii="仿宋" w:hAnsi="仿宋" w:eastAsia="仿宋" w:cs="仿宋"/>
          <w:b/>
          <w:sz w:val="24"/>
          <w:szCs w:val="24"/>
        </w:rPr>
        <w:t>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w:t>
      </w:r>
      <w:r>
        <w:rPr>
          <w:rFonts w:hint="eastAsia" w:ascii="仿宋" w:hAnsi="仿宋" w:eastAsia="仿宋" w:cs="仿宋"/>
          <w:snapToGrid w:val="0"/>
          <w:kern w:val="28"/>
          <w:sz w:val="24"/>
          <w:lang w:eastAsia="zh-CN"/>
        </w:rPr>
        <w:t>磋商文件</w:t>
      </w:r>
      <w:r>
        <w:rPr>
          <w:rFonts w:hint="eastAsia" w:ascii="仿宋" w:hAnsi="仿宋" w:eastAsia="仿宋" w:cs="仿宋"/>
          <w:snapToGrid w:val="0"/>
          <w:kern w:val="28"/>
          <w:sz w:val="24"/>
        </w:rPr>
        <w:t>的时间期限、地点、方式及</w:t>
      </w:r>
      <w:r>
        <w:rPr>
          <w:rFonts w:hint="eastAsia" w:ascii="仿宋" w:hAnsi="仿宋" w:eastAsia="仿宋" w:cs="仿宋"/>
          <w:snapToGrid w:val="0"/>
          <w:kern w:val="28"/>
          <w:sz w:val="24"/>
          <w:lang w:eastAsia="zh-CN"/>
        </w:rPr>
        <w:t>磋商文件</w:t>
      </w:r>
      <w:r>
        <w:rPr>
          <w:rFonts w:hint="eastAsia" w:ascii="仿宋" w:hAnsi="仿宋" w:eastAsia="仿宋" w:cs="仿宋"/>
          <w:snapToGrid w:val="0"/>
          <w:kern w:val="28"/>
          <w:sz w:val="24"/>
        </w:rPr>
        <w:t>售价。</w:t>
      </w:r>
    </w:p>
    <w:p w14:paraId="27F2E224">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15"/>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10.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eastAsia="zh-CN"/>
        </w:rPr>
        <w:t>响应文件</w:t>
      </w:r>
      <w:r>
        <w:rPr>
          <w:rFonts w:hint="eastAsia" w:ascii="仿宋" w:hAnsi="仿宋" w:eastAsia="仿宋" w:cs="仿宋"/>
          <w:sz w:val="24"/>
        </w:rPr>
        <w:t>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11. </w:t>
      </w:r>
      <w:r>
        <w:rPr>
          <w:rFonts w:hint="eastAsia" w:ascii="仿宋" w:hAnsi="仿宋" w:eastAsia="仿宋" w:cs="仿宋"/>
          <w:b/>
          <w:sz w:val="24"/>
          <w:szCs w:val="24"/>
          <w:lang w:eastAsia="zh-CN"/>
        </w:rPr>
        <w:t>响应文件</w:t>
      </w:r>
      <w:r>
        <w:rPr>
          <w:rFonts w:hint="eastAsia" w:ascii="仿宋" w:hAnsi="仿宋" w:eastAsia="仿宋" w:cs="仿宋"/>
          <w:b/>
          <w:sz w:val="24"/>
          <w:szCs w:val="24"/>
        </w:rPr>
        <w:t>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w:t>
      </w:r>
      <w:r>
        <w:rPr>
          <w:rFonts w:hint="eastAsia" w:ascii="仿宋" w:hAnsi="仿宋" w:eastAsia="仿宋" w:cs="仿宋"/>
          <w:b/>
          <w:sz w:val="24"/>
          <w:lang w:eastAsia="zh-CN"/>
        </w:rPr>
        <w:t>响应文件</w:t>
      </w:r>
      <w:r>
        <w:rPr>
          <w:rFonts w:hint="eastAsia" w:ascii="仿宋" w:hAnsi="仿宋" w:eastAsia="仿宋" w:cs="仿宋"/>
          <w:b/>
          <w:sz w:val="24"/>
        </w:rPr>
        <w:t>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lang w:eastAsia="zh-CN"/>
        </w:rPr>
        <w:t>响应文件</w:t>
      </w:r>
      <w:r>
        <w:rPr>
          <w:rFonts w:hint="eastAsia" w:ascii="仿宋" w:hAnsi="仿宋" w:eastAsia="仿宋" w:cs="仿宋"/>
          <w:b/>
          <w:szCs w:val="24"/>
        </w:rPr>
        <w:t>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磋商供应商在编制响应文件时请按照磋商文件第六部分规定的格式进行，混乱的编排导致响应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12.2磋商供应商进行电子投标应安装客户端软件—“政采云电子交易客户端”，并按照磋商文件和电子交易平台的要求编制并加密响应文件。磋商供应商未按规定加密的响应文件，电子交易平台将拒收并提示。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w:t>
      </w:r>
      <w:r>
        <w:rPr>
          <w:rFonts w:hint="eastAsia" w:ascii="仿宋" w:hAnsi="仿宋" w:eastAsia="仿宋" w:cs="仿宋"/>
          <w:b/>
          <w:sz w:val="24"/>
          <w:lang w:eastAsia="zh-CN"/>
        </w:rPr>
        <w:t>响应文件</w:t>
      </w:r>
      <w:r>
        <w:rPr>
          <w:rFonts w:hint="eastAsia" w:ascii="仿宋" w:hAnsi="仿宋" w:eastAsia="仿宋" w:cs="仿宋"/>
          <w:b/>
          <w:sz w:val="24"/>
        </w:rPr>
        <w:t>的签署、盖章</w:t>
      </w:r>
    </w:p>
    <w:p w14:paraId="1784312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w:t>
      </w:r>
      <w:r>
        <w:rPr>
          <w:rFonts w:hint="eastAsia" w:ascii="仿宋" w:hAnsi="仿宋" w:eastAsia="仿宋" w:cs="仿宋"/>
          <w:szCs w:val="24"/>
          <w:lang w:eastAsia="zh-CN"/>
        </w:rPr>
        <w:t>响应文件</w:t>
      </w:r>
      <w:r>
        <w:rPr>
          <w:rFonts w:hint="eastAsia" w:ascii="仿宋" w:hAnsi="仿宋" w:eastAsia="仿宋" w:cs="仿宋"/>
          <w:szCs w:val="24"/>
        </w:rPr>
        <w:t>按照</w:t>
      </w:r>
      <w:r>
        <w:rPr>
          <w:rFonts w:hint="eastAsia" w:ascii="仿宋" w:hAnsi="仿宋" w:eastAsia="仿宋" w:cs="仿宋"/>
          <w:szCs w:val="24"/>
          <w:lang w:eastAsia="zh-CN"/>
        </w:rPr>
        <w:t>磋商文件</w:t>
      </w:r>
      <w:r>
        <w:rPr>
          <w:rFonts w:hint="eastAsia" w:ascii="仿宋" w:hAnsi="仿宋" w:eastAsia="仿宋" w:cs="仿宋"/>
          <w:szCs w:val="24"/>
        </w:rPr>
        <w:t>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w:t>
      </w:r>
      <w:r>
        <w:rPr>
          <w:rFonts w:hint="eastAsia" w:ascii="仿宋" w:hAnsi="仿宋" w:eastAsia="仿宋" w:cs="仿宋"/>
          <w:b/>
          <w:lang w:eastAsia="zh-CN"/>
        </w:rPr>
        <w:t>响应文件</w:t>
      </w:r>
      <w:r>
        <w:rPr>
          <w:rFonts w:hint="eastAsia" w:ascii="仿宋" w:hAnsi="仿宋" w:eastAsia="仿宋" w:cs="仿宋"/>
          <w:b/>
        </w:rPr>
        <w:t>未按照</w:t>
      </w:r>
      <w:r>
        <w:rPr>
          <w:rFonts w:hint="eastAsia" w:ascii="仿宋" w:hAnsi="仿宋" w:eastAsia="仿宋" w:cs="仿宋"/>
          <w:b/>
          <w:lang w:eastAsia="zh-CN"/>
        </w:rPr>
        <w:t>磋商文件</w:t>
      </w:r>
      <w:r>
        <w:rPr>
          <w:rFonts w:hint="eastAsia" w:ascii="仿宋" w:hAnsi="仿宋" w:eastAsia="仿宋" w:cs="仿宋"/>
          <w:b/>
        </w:rPr>
        <w:t>要求签署、盖章的，其投标无效</w:t>
      </w:r>
      <w:r>
        <w:rPr>
          <w:rFonts w:hint="eastAsia" w:ascii="仿宋" w:hAnsi="仿宋" w:eastAsia="仿宋" w:cs="仿宋"/>
          <w:szCs w:val="24"/>
        </w:rPr>
        <w:t>。</w:t>
      </w:r>
    </w:p>
    <w:p w14:paraId="799C4ACF">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w:t>
      </w:r>
      <w:r>
        <w:rPr>
          <w:rFonts w:hint="eastAsia" w:ascii="仿宋" w:hAnsi="仿宋" w:eastAsia="仿宋" w:cs="仿宋"/>
          <w:lang w:eastAsia="zh-CN"/>
        </w:rPr>
        <w:t>磋商文件</w:t>
      </w:r>
      <w:r>
        <w:rPr>
          <w:rFonts w:hint="eastAsia" w:ascii="仿宋" w:hAnsi="仿宋" w:eastAsia="仿宋" w:cs="仿宋"/>
        </w:rPr>
        <w:t>对</w:t>
      </w:r>
      <w:r>
        <w:rPr>
          <w:rFonts w:hint="eastAsia" w:ascii="仿宋" w:hAnsi="仿宋" w:eastAsia="仿宋" w:cs="仿宋"/>
          <w:lang w:eastAsia="zh-CN"/>
        </w:rPr>
        <w:t>响应文件</w:t>
      </w:r>
      <w:r>
        <w:rPr>
          <w:rFonts w:hint="eastAsia" w:ascii="仿宋" w:hAnsi="仿宋" w:eastAsia="仿宋" w:cs="仿宋"/>
        </w:rPr>
        <w:t>签署、盖章的要求适用于电子签名。</w:t>
      </w:r>
    </w:p>
    <w:p w14:paraId="7F498ED3">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 xml:space="preserve">14. </w:t>
      </w:r>
      <w:r>
        <w:rPr>
          <w:rFonts w:hint="eastAsia" w:ascii="仿宋" w:hAnsi="仿宋" w:eastAsia="仿宋" w:cs="仿宋"/>
          <w:b/>
          <w:szCs w:val="24"/>
          <w:lang w:eastAsia="zh-CN"/>
        </w:rPr>
        <w:t>响应文件</w:t>
      </w:r>
      <w:r>
        <w:rPr>
          <w:rFonts w:hint="eastAsia" w:ascii="仿宋" w:hAnsi="仿宋" w:eastAsia="仿宋" w:cs="仿宋"/>
          <w:b/>
          <w:szCs w:val="24"/>
        </w:rPr>
        <w:t>的提交、补充、修改、撤回</w:t>
      </w:r>
    </w:p>
    <w:p w14:paraId="0C41DEEC">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w:t>
      </w:r>
      <w:r>
        <w:rPr>
          <w:rFonts w:hint="eastAsia" w:ascii="仿宋" w:hAnsi="仿宋" w:eastAsia="仿宋" w:cs="仿宋"/>
          <w:szCs w:val="24"/>
          <w:lang w:eastAsia="zh-CN"/>
        </w:rPr>
        <w:t>响应文件</w:t>
      </w:r>
      <w:r>
        <w:rPr>
          <w:rFonts w:hint="eastAsia" w:ascii="仿宋" w:hAnsi="仿宋" w:eastAsia="仿宋" w:cs="仿宋"/>
          <w:szCs w:val="24"/>
        </w:rPr>
        <w:t>的传输递交，并可以补充、修改或者撤回</w:t>
      </w:r>
      <w:r>
        <w:rPr>
          <w:rFonts w:hint="eastAsia" w:ascii="仿宋" w:hAnsi="仿宋" w:eastAsia="仿宋" w:cs="仿宋"/>
          <w:szCs w:val="24"/>
          <w:lang w:eastAsia="zh-CN"/>
        </w:rPr>
        <w:t>响应文件</w:t>
      </w:r>
      <w:r>
        <w:rPr>
          <w:rFonts w:hint="eastAsia" w:ascii="仿宋" w:hAnsi="仿宋" w:eastAsia="仿宋" w:cs="仿宋"/>
          <w:szCs w:val="24"/>
        </w:rPr>
        <w:t>。补充或者修改</w:t>
      </w:r>
      <w:r>
        <w:rPr>
          <w:rFonts w:hint="eastAsia" w:ascii="仿宋" w:hAnsi="仿宋" w:eastAsia="仿宋" w:cs="仿宋"/>
          <w:szCs w:val="24"/>
          <w:lang w:eastAsia="zh-CN"/>
        </w:rPr>
        <w:t>响应文件</w:t>
      </w:r>
      <w:r>
        <w:rPr>
          <w:rFonts w:hint="eastAsia" w:ascii="仿宋" w:hAnsi="仿宋" w:eastAsia="仿宋" w:cs="仿宋"/>
          <w:szCs w:val="24"/>
        </w:rPr>
        <w:t>的，应当先行撤回原文件，补充、修改后重新传输递交。投标截止时间前未完成传输的，视为撤回</w:t>
      </w:r>
      <w:r>
        <w:rPr>
          <w:rFonts w:hint="eastAsia" w:ascii="仿宋" w:hAnsi="仿宋" w:eastAsia="仿宋" w:cs="仿宋"/>
          <w:szCs w:val="24"/>
          <w:lang w:eastAsia="zh-CN"/>
        </w:rPr>
        <w:t>响应文件</w:t>
      </w:r>
      <w:r>
        <w:rPr>
          <w:rFonts w:hint="eastAsia" w:ascii="仿宋" w:hAnsi="仿宋" w:eastAsia="仿宋" w:cs="仿宋"/>
          <w:szCs w:val="24"/>
        </w:rPr>
        <w:t>。投标截止时间后递交的</w:t>
      </w:r>
      <w:r>
        <w:rPr>
          <w:rFonts w:hint="eastAsia" w:ascii="仿宋" w:hAnsi="仿宋" w:eastAsia="仿宋" w:cs="仿宋"/>
          <w:szCs w:val="24"/>
          <w:lang w:eastAsia="zh-CN"/>
        </w:rPr>
        <w:t>响应文件</w:t>
      </w:r>
      <w:r>
        <w:rPr>
          <w:rFonts w:hint="eastAsia" w:ascii="仿宋" w:hAnsi="仿宋" w:eastAsia="仿宋" w:cs="仿宋"/>
          <w:szCs w:val="24"/>
        </w:rPr>
        <w:t>，电子交易平台将拒收。</w:t>
      </w:r>
    </w:p>
    <w:p w14:paraId="72F0CE12">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w:t>
      </w:r>
      <w:r>
        <w:rPr>
          <w:rFonts w:hint="eastAsia" w:ascii="仿宋" w:hAnsi="仿宋" w:eastAsia="仿宋" w:cs="仿宋"/>
          <w:szCs w:val="24"/>
          <w:lang w:eastAsia="zh-CN"/>
        </w:rPr>
        <w:t>响应文件</w:t>
      </w:r>
      <w:r>
        <w:rPr>
          <w:rFonts w:hint="eastAsia" w:ascii="仿宋" w:hAnsi="仿宋" w:eastAsia="仿宋" w:cs="仿宋"/>
          <w:szCs w:val="24"/>
        </w:rPr>
        <w:t>，将妥善保存并即时向供应商发出确认回执通知。在投标截止时间前，除供应商补充、修改或者撤回</w:t>
      </w:r>
      <w:r>
        <w:rPr>
          <w:rFonts w:hint="eastAsia" w:ascii="仿宋" w:hAnsi="仿宋" w:eastAsia="仿宋" w:cs="仿宋"/>
          <w:szCs w:val="24"/>
          <w:lang w:eastAsia="zh-CN"/>
        </w:rPr>
        <w:t>响应文件</w:t>
      </w:r>
      <w:r>
        <w:rPr>
          <w:rFonts w:hint="eastAsia" w:ascii="仿宋" w:hAnsi="仿宋" w:eastAsia="仿宋" w:cs="仿宋"/>
          <w:szCs w:val="24"/>
        </w:rPr>
        <w:t>外，任何单位和个人不得解密或提取</w:t>
      </w:r>
      <w:r>
        <w:rPr>
          <w:rFonts w:hint="eastAsia" w:ascii="仿宋" w:hAnsi="仿宋" w:eastAsia="仿宋" w:cs="仿宋"/>
          <w:szCs w:val="24"/>
          <w:lang w:eastAsia="zh-CN"/>
        </w:rPr>
        <w:t>响应文件</w:t>
      </w:r>
      <w:r>
        <w:rPr>
          <w:rFonts w:hint="eastAsia" w:ascii="仿宋" w:hAnsi="仿宋" w:eastAsia="仿宋" w:cs="仿宋"/>
          <w:szCs w:val="24"/>
        </w:rPr>
        <w:t>。</w:t>
      </w:r>
    </w:p>
    <w:p w14:paraId="473DC9C5">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w:t>
      </w:r>
      <w:r>
        <w:rPr>
          <w:rFonts w:hint="eastAsia" w:ascii="仿宋" w:hAnsi="仿宋" w:eastAsia="仿宋" w:cs="仿宋"/>
          <w:szCs w:val="24"/>
          <w:lang w:eastAsia="zh-CN"/>
        </w:rPr>
        <w:t>响应文件</w:t>
      </w:r>
      <w:r>
        <w:rPr>
          <w:rFonts w:hint="eastAsia" w:ascii="仿宋" w:hAnsi="仿宋" w:eastAsia="仿宋" w:cs="仿宋"/>
          <w:szCs w:val="24"/>
        </w:rPr>
        <w:t>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lang w:eastAsia="zh-CN"/>
        </w:rPr>
      </w:pPr>
      <w:r>
        <w:rPr>
          <w:rFonts w:hint="eastAsia" w:ascii="仿宋" w:hAnsi="仿宋" w:eastAsia="仿宋" w:cs="仿宋"/>
          <w:b/>
          <w:sz w:val="24"/>
          <w:szCs w:val="24"/>
        </w:rPr>
        <w:t>15.备份</w:t>
      </w:r>
      <w:r>
        <w:rPr>
          <w:rFonts w:hint="eastAsia" w:ascii="仿宋" w:hAnsi="仿宋" w:eastAsia="仿宋" w:cs="仿宋"/>
          <w:b/>
          <w:sz w:val="24"/>
          <w:szCs w:val="24"/>
          <w:lang w:eastAsia="zh-CN"/>
        </w:rPr>
        <w:t>响应文件</w:t>
      </w:r>
    </w:p>
    <w:p w14:paraId="368FF527">
      <w:pPr>
        <w:pStyle w:val="32"/>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w:t>
      </w:r>
      <w:r>
        <w:rPr>
          <w:rFonts w:hint="eastAsia" w:ascii="仿宋" w:hAnsi="仿宋" w:eastAsia="仿宋" w:cs="仿宋"/>
          <w:sz w:val="24"/>
          <w:szCs w:val="24"/>
          <w:lang w:eastAsia="zh-CN"/>
        </w:rPr>
        <w:t>响应文件</w:t>
      </w:r>
      <w:r>
        <w:rPr>
          <w:rFonts w:hint="eastAsia" w:ascii="仿宋" w:hAnsi="仿宋" w:eastAsia="仿宋" w:cs="仿宋"/>
          <w:sz w:val="24"/>
          <w:szCs w:val="24"/>
        </w:rPr>
        <w:t>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w:t>
      </w:r>
      <w:r>
        <w:rPr>
          <w:rFonts w:hint="eastAsia" w:ascii="仿宋" w:hAnsi="仿宋" w:eastAsia="仿宋" w:cs="仿宋"/>
          <w:sz w:val="24"/>
          <w:szCs w:val="24"/>
          <w:lang w:eastAsia="zh-CN"/>
        </w:rPr>
        <w:t>响应文件</w:t>
      </w:r>
      <w:r>
        <w:rPr>
          <w:rFonts w:hint="eastAsia" w:ascii="仿宋" w:hAnsi="仿宋" w:eastAsia="仿宋" w:cs="仿宋"/>
          <w:sz w:val="24"/>
          <w:szCs w:val="24"/>
        </w:rPr>
        <w:t>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w:t>
      </w:r>
      <w:r>
        <w:rPr>
          <w:rFonts w:hint="eastAsia" w:ascii="仿宋" w:hAnsi="仿宋" w:eastAsia="仿宋" w:cs="仿宋"/>
          <w:b/>
          <w:sz w:val="24"/>
          <w:szCs w:val="24"/>
          <w:lang w:eastAsia="zh-CN"/>
        </w:rPr>
        <w:t>响应文件</w:t>
      </w:r>
      <w:r>
        <w:rPr>
          <w:rFonts w:hint="eastAsia" w:ascii="仿宋" w:hAnsi="仿宋" w:eastAsia="仿宋" w:cs="仿宋"/>
          <w:b/>
          <w:sz w:val="24"/>
          <w:szCs w:val="24"/>
        </w:rPr>
        <w:t>。</w:t>
      </w:r>
    </w:p>
    <w:p w14:paraId="54D0F60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w:t>
      </w:r>
      <w:r>
        <w:rPr>
          <w:rFonts w:hint="eastAsia" w:ascii="仿宋" w:hAnsi="仿宋" w:eastAsia="仿宋" w:cs="仿宋"/>
          <w:sz w:val="24"/>
          <w:szCs w:val="24"/>
          <w:lang w:eastAsia="zh-CN"/>
        </w:rPr>
        <w:t>响应文件</w:t>
      </w:r>
      <w:r>
        <w:rPr>
          <w:rFonts w:hint="eastAsia" w:ascii="仿宋" w:hAnsi="仿宋" w:eastAsia="仿宋" w:cs="仿宋"/>
          <w:sz w:val="24"/>
          <w:szCs w:val="24"/>
        </w:rPr>
        <w:t>须在“政采云投标客户端”制作生成。</w:t>
      </w:r>
      <w:r>
        <w:rPr>
          <w:rFonts w:hint="eastAsia" w:ascii="仿宋" w:hAnsi="仿宋" w:eastAsia="仿宋" w:cs="仿宋"/>
          <w:b/>
          <w:sz w:val="24"/>
          <w:szCs w:val="24"/>
        </w:rPr>
        <w:t xml:space="preserve"> </w:t>
      </w:r>
    </w:p>
    <w:p w14:paraId="5CDFB3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124681EA">
      <w:pPr>
        <w:pStyle w:val="32"/>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w:t>
      </w:r>
      <w:r>
        <w:rPr>
          <w:rFonts w:hint="eastAsia" w:ascii="仿宋" w:hAnsi="仿宋" w:eastAsia="仿宋" w:cs="仿宋"/>
          <w:b/>
          <w:sz w:val="24"/>
          <w:szCs w:val="24"/>
          <w:lang w:eastAsia="zh-CN"/>
        </w:rPr>
        <w:t>响应文件</w:t>
      </w:r>
      <w:r>
        <w:rPr>
          <w:rFonts w:hint="eastAsia" w:ascii="仿宋" w:hAnsi="仿宋" w:eastAsia="仿宋" w:cs="仿宋"/>
          <w:b/>
          <w:sz w:val="24"/>
          <w:szCs w:val="24"/>
        </w:rPr>
        <w:t>，没有在电子交易平台传输递交</w:t>
      </w:r>
      <w:r>
        <w:rPr>
          <w:rFonts w:hint="eastAsia" w:ascii="仿宋" w:hAnsi="仿宋" w:eastAsia="仿宋" w:cs="仿宋"/>
          <w:b/>
          <w:sz w:val="24"/>
          <w:szCs w:val="24"/>
          <w:lang w:eastAsia="zh-CN"/>
        </w:rPr>
        <w:t>响应文件</w:t>
      </w:r>
      <w:r>
        <w:rPr>
          <w:rFonts w:hint="eastAsia" w:ascii="仿宋" w:hAnsi="仿宋" w:eastAsia="仿宋" w:cs="仿宋"/>
          <w:b/>
          <w:sz w:val="24"/>
          <w:szCs w:val="24"/>
        </w:rPr>
        <w:t>的，投标无效。</w:t>
      </w:r>
    </w:p>
    <w:p w14:paraId="5C541EA5">
      <w:pPr>
        <w:pStyle w:val="32"/>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w:t>
      </w:r>
      <w:r>
        <w:rPr>
          <w:rFonts w:hint="eastAsia" w:ascii="仿宋" w:hAnsi="仿宋" w:eastAsia="仿宋" w:cs="仿宋"/>
          <w:sz w:val="24"/>
          <w:szCs w:val="24"/>
          <w:lang w:eastAsia="zh-CN"/>
        </w:rPr>
        <w:t>响应文件</w:t>
      </w:r>
      <w:r>
        <w:rPr>
          <w:rFonts w:hint="eastAsia" w:ascii="仿宋" w:hAnsi="仿宋" w:eastAsia="仿宋" w:cs="仿宋"/>
          <w:sz w:val="24"/>
          <w:szCs w:val="24"/>
        </w:rPr>
        <w:t>如有补充、修改，备份</w:t>
      </w:r>
      <w:r>
        <w:rPr>
          <w:rFonts w:hint="eastAsia" w:ascii="仿宋" w:hAnsi="仿宋" w:eastAsia="仿宋" w:cs="仿宋"/>
          <w:sz w:val="24"/>
          <w:szCs w:val="24"/>
          <w:lang w:eastAsia="zh-CN"/>
        </w:rPr>
        <w:t>响应文件</w:t>
      </w:r>
      <w:r>
        <w:rPr>
          <w:rFonts w:hint="eastAsia" w:ascii="仿宋" w:hAnsi="仿宋" w:eastAsia="仿宋" w:cs="仿宋"/>
          <w:sz w:val="24"/>
          <w:szCs w:val="24"/>
        </w:rPr>
        <w:t>应同步调整并再次提交，采购代理机构以最新备份</w:t>
      </w:r>
      <w:r>
        <w:rPr>
          <w:rFonts w:hint="eastAsia" w:ascii="仿宋" w:hAnsi="仿宋" w:eastAsia="仿宋" w:cs="仿宋"/>
          <w:sz w:val="24"/>
          <w:szCs w:val="24"/>
          <w:lang w:eastAsia="zh-CN"/>
        </w:rPr>
        <w:t>响应文件</w:t>
      </w:r>
      <w:r>
        <w:rPr>
          <w:rFonts w:hint="eastAsia" w:ascii="仿宋" w:hAnsi="仿宋" w:eastAsia="仿宋" w:cs="仿宋"/>
          <w:sz w:val="24"/>
          <w:szCs w:val="24"/>
        </w:rPr>
        <w:t>为准。</w:t>
      </w:r>
    </w:p>
    <w:p w14:paraId="04C1D81C">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w:t>
      </w:r>
      <w:r>
        <w:rPr>
          <w:rFonts w:hint="eastAsia" w:ascii="仿宋" w:hAnsi="仿宋" w:eastAsia="仿宋" w:cs="仿宋"/>
          <w:b/>
          <w:szCs w:val="24"/>
          <w:lang w:eastAsia="zh-CN"/>
        </w:rPr>
        <w:t>响应文件</w:t>
      </w:r>
      <w:r>
        <w:rPr>
          <w:rFonts w:hint="eastAsia" w:ascii="仿宋" w:hAnsi="仿宋" w:eastAsia="仿宋" w:cs="仿宋"/>
          <w:b/>
          <w:szCs w:val="24"/>
        </w:rPr>
        <w:t>的无效处理</w:t>
      </w:r>
    </w:p>
    <w:p w14:paraId="4064E1E7">
      <w:pPr>
        <w:pStyle w:val="24"/>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w:t>
      </w:r>
      <w:r>
        <w:rPr>
          <w:rFonts w:hint="eastAsia" w:ascii="仿宋" w:hAnsi="仿宋" w:eastAsia="仿宋" w:cs="仿宋"/>
          <w:szCs w:val="21"/>
          <w:lang w:eastAsia="zh-CN"/>
        </w:rPr>
        <w:t>磋商文件</w:t>
      </w:r>
      <w:r>
        <w:rPr>
          <w:rFonts w:hint="eastAsia" w:ascii="仿宋" w:hAnsi="仿宋" w:eastAsia="仿宋" w:cs="仿宋"/>
          <w:szCs w:val="21"/>
        </w:rPr>
        <w:t>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w:t>
      </w:r>
      <w:r>
        <w:rPr>
          <w:rFonts w:hint="eastAsia" w:ascii="仿宋" w:hAnsi="仿宋" w:eastAsia="仿宋" w:cs="仿宋"/>
          <w:sz w:val="24"/>
          <w:szCs w:val="20"/>
          <w:lang w:eastAsia="zh-CN"/>
        </w:rPr>
        <w:t>响应文件</w:t>
      </w:r>
      <w:r>
        <w:rPr>
          <w:rFonts w:hint="eastAsia" w:ascii="仿宋" w:hAnsi="仿宋" w:eastAsia="仿宋" w:cs="仿宋"/>
          <w:sz w:val="24"/>
          <w:szCs w:val="20"/>
        </w:rPr>
        <w:t>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w:t>
      </w:r>
      <w:r>
        <w:rPr>
          <w:rFonts w:hint="eastAsia" w:ascii="仿宋" w:hAnsi="仿宋" w:eastAsia="仿宋" w:cs="仿宋"/>
          <w:b/>
          <w:sz w:val="24"/>
          <w:szCs w:val="20"/>
          <w:lang w:eastAsia="zh-CN"/>
        </w:rPr>
        <w:t>响应文件</w:t>
      </w:r>
      <w:r>
        <w:rPr>
          <w:rFonts w:hint="eastAsia" w:ascii="仿宋" w:hAnsi="仿宋" w:eastAsia="仿宋" w:cs="仿宋"/>
          <w:b/>
          <w:sz w:val="24"/>
          <w:szCs w:val="20"/>
        </w:rPr>
        <w:t>中承</w:t>
      </w:r>
      <w:r>
        <w:rPr>
          <w:rFonts w:hint="eastAsia" w:ascii="仿宋" w:hAnsi="仿宋" w:eastAsia="仿宋" w:cs="仿宋"/>
          <w:b/>
          <w:sz w:val="24"/>
          <w:szCs w:val="21"/>
        </w:rPr>
        <w:t>诺的投标有效期少于</w:t>
      </w:r>
      <w:r>
        <w:rPr>
          <w:rFonts w:hint="eastAsia" w:ascii="仿宋" w:hAnsi="仿宋" w:eastAsia="仿宋" w:cs="仿宋"/>
          <w:b/>
          <w:sz w:val="24"/>
          <w:szCs w:val="21"/>
          <w:lang w:eastAsia="zh-CN"/>
        </w:rPr>
        <w:t>磋商文件</w:t>
      </w:r>
      <w:r>
        <w:rPr>
          <w:rFonts w:hint="eastAsia" w:ascii="仿宋" w:hAnsi="仿宋" w:eastAsia="仿宋" w:cs="仿宋"/>
          <w:b/>
          <w:sz w:val="24"/>
          <w:szCs w:val="21"/>
        </w:rPr>
        <w:t>中载明的投标有效期的，投标无效。</w:t>
      </w:r>
    </w:p>
    <w:p w14:paraId="2EE4B52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w:t>
      </w:r>
      <w:r>
        <w:rPr>
          <w:rFonts w:hint="eastAsia" w:ascii="仿宋" w:hAnsi="仿宋" w:eastAsia="仿宋" w:cs="仿宋"/>
          <w:lang w:eastAsia="zh-CN"/>
        </w:rPr>
        <w:t>响应文件</w:t>
      </w:r>
      <w:r>
        <w:rPr>
          <w:rFonts w:hint="eastAsia" w:ascii="仿宋" w:hAnsi="仿宋" w:eastAsia="仿宋" w:cs="仿宋"/>
        </w:rPr>
        <w:t>合格投递后，自投标截止日期起，在投标有效期内有效。</w:t>
      </w:r>
    </w:p>
    <w:p w14:paraId="7347664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w:t>
      </w:r>
      <w:r>
        <w:rPr>
          <w:rFonts w:hint="eastAsia" w:ascii="仿宋" w:hAnsi="仿宋" w:eastAsia="仿宋" w:cs="仿宋"/>
          <w:lang w:eastAsia="zh-CN"/>
        </w:rPr>
        <w:t>响应文件</w:t>
      </w:r>
      <w:r>
        <w:rPr>
          <w:rFonts w:hint="eastAsia" w:ascii="仿宋" w:hAnsi="仿宋" w:eastAsia="仿宋" w:cs="仿宋"/>
        </w:rPr>
        <w:t>，</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3"/>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3"/>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w:t>
      </w:r>
      <w:r>
        <w:rPr>
          <w:rFonts w:hint="eastAsia" w:ascii="仿宋" w:hAnsi="仿宋" w:eastAsia="仿宋" w:cs="仿宋"/>
          <w:sz w:val="24"/>
          <w:lang w:eastAsia="zh-CN"/>
        </w:rPr>
        <w:t>磋商文件</w:t>
      </w:r>
      <w:r>
        <w:rPr>
          <w:rFonts w:hint="eastAsia" w:ascii="仿宋" w:hAnsi="仿宋" w:eastAsia="仿宋" w:cs="仿宋"/>
          <w:sz w:val="24"/>
        </w:rPr>
        <w:t>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w:t>
      </w:r>
      <w:r>
        <w:rPr>
          <w:rFonts w:hint="eastAsia" w:ascii="仿宋" w:hAnsi="仿宋" w:eastAsia="仿宋" w:cs="仿宋"/>
          <w:sz w:val="24"/>
          <w:lang w:eastAsia="zh-CN"/>
        </w:rPr>
        <w:t>响应文件</w:t>
      </w:r>
      <w:r>
        <w:rPr>
          <w:rFonts w:hint="eastAsia" w:ascii="仿宋" w:hAnsi="仿宋" w:eastAsia="仿宋" w:cs="仿宋"/>
          <w:sz w:val="24"/>
        </w:rPr>
        <w:t>。采购代理机构依托电子交易平台发起开始解密指令，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w:t>
      </w:r>
      <w:r>
        <w:rPr>
          <w:rFonts w:hint="eastAsia" w:ascii="仿宋" w:hAnsi="仿宋" w:eastAsia="仿宋" w:cs="仿宋"/>
          <w:sz w:val="24"/>
          <w:lang w:eastAsia="zh-CN"/>
        </w:rPr>
        <w:t>磋商文件</w:t>
      </w:r>
      <w:r>
        <w:rPr>
          <w:rFonts w:hint="eastAsia" w:ascii="仿宋" w:hAnsi="仿宋" w:eastAsia="仿宋" w:cs="仿宋"/>
          <w:sz w:val="24"/>
        </w:rPr>
        <w:t>规定时间内完成在线解密。</w:t>
      </w:r>
    </w:p>
    <w:p w14:paraId="2B9DB47A">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lang w:eastAsia="zh-CN"/>
        </w:rPr>
        <w:t>响应文件</w:t>
      </w:r>
      <w:r>
        <w:rPr>
          <w:rFonts w:hint="eastAsia" w:ascii="仿宋" w:hAnsi="仿宋" w:eastAsia="仿宋" w:cs="仿宋"/>
          <w:b/>
          <w:sz w:val="24"/>
        </w:rPr>
        <w:t>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w:t>
      </w:r>
      <w:r>
        <w:rPr>
          <w:rFonts w:hint="eastAsia" w:ascii="仿宋" w:hAnsi="仿宋" w:eastAsia="仿宋" w:cs="仿宋"/>
          <w:b/>
          <w:sz w:val="24"/>
          <w:lang w:eastAsia="zh-CN"/>
        </w:rPr>
        <w:t>响应文件</w:t>
      </w:r>
      <w:r>
        <w:rPr>
          <w:rFonts w:hint="eastAsia" w:ascii="仿宋" w:hAnsi="仿宋" w:eastAsia="仿宋" w:cs="仿宋"/>
          <w:b/>
          <w:sz w:val="24"/>
        </w:rPr>
        <w:t>的，经</w:t>
      </w:r>
      <w:r>
        <w:rPr>
          <w:rFonts w:hint="eastAsia" w:ascii="仿宋" w:hAnsi="仿宋" w:eastAsia="仿宋" w:cs="仿宋"/>
          <w:b/>
          <w:sz w:val="24"/>
          <w:lang w:eastAsia="zh-CN"/>
        </w:rPr>
        <w:t>磋商供应商</w:t>
      </w:r>
      <w:r>
        <w:rPr>
          <w:rFonts w:hint="eastAsia" w:ascii="仿宋" w:hAnsi="仿宋" w:eastAsia="仿宋" w:cs="仿宋"/>
          <w:b/>
          <w:sz w:val="24"/>
        </w:rPr>
        <w:t>同意后以备份</w:t>
      </w:r>
      <w:r>
        <w:rPr>
          <w:rFonts w:hint="eastAsia" w:ascii="仿宋" w:hAnsi="仿宋" w:eastAsia="仿宋" w:cs="仿宋"/>
          <w:b/>
          <w:sz w:val="24"/>
          <w:lang w:eastAsia="zh-CN"/>
        </w:rPr>
        <w:t>响应文件</w:t>
      </w:r>
      <w:r>
        <w:rPr>
          <w:rFonts w:hint="eastAsia" w:ascii="仿宋" w:hAnsi="仿宋" w:eastAsia="仿宋" w:cs="仿宋"/>
          <w:b/>
          <w:sz w:val="24"/>
        </w:rPr>
        <w:t>作为依据，否则视为</w:t>
      </w:r>
      <w:r>
        <w:rPr>
          <w:rFonts w:hint="eastAsia" w:ascii="仿宋" w:hAnsi="仿宋" w:eastAsia="仿宋" w:cs="仿宋"/>
          <w:b/>
          <w:sz w:val="24"/>
          <w:lang w:eastAsia="zh-CN"/>
        </w:rPr>
        <w:t>响应文件</w:t>
      </w:r>
      <w:r>
        <w:rPr>
          <w:rFonts w:hint="eastAsia" w:ascii="仿宋" w:hAnsi="仿宋" w:eastAsia="仿宋" w:cs="仿宋"/>
          <w:b/>
          <w:sz w:val="24"/>
        </w:rPr>
        <w:t>撤回。</w:t>
      </w:r>
      <w:r>
        <w:rPr>
          <w:rFonts w:hint="eastAsia" w:ascii="仿宋" w:hAnsi="仿宋" w:eastAsia="仿宋" w:cs="仿宋"/>
          <w:b/>
          <w:sz w:val="24"/>
          <w:lang w:eastAsia="zh-CN"/>
        </w:rPr>
        <w:t>响应文件</w:t>
      </w:r>
      <w:r>
        <w:rPr>
          <w:rFonts w:hint="eastAsia" w:ascii="仿宋" w:hAnsi="仿宋" w:eastAsia="仿宋" w:cs="仿宋"/>
          <w:b/>
          <w:sz w:val="24"/>
        </w:rPr>
        <w:t>已按时解密的，备份</w:t>
      </w:r>
      <w:r>
        <w:rPr>
          <w:rFonts w:hint="eastAsia" w:ascii="仿宋" w:hAnsi="仿宋" w:eastAsia="仿宋" w:cs="仿宋"/>
          <w:b/>
          <w:sz w:val="24"/>
          <w:lang w:eastAsia="zh-CN"/>
        </w:rPr>
        <w:t>响应文件</w:t>
      </w:r>
      <w:r>
        <w:rPr>
          <w:rFonts w:hint="eastAsia" w:ascii="仿宋" w:hAnsi="仿宋" w:eastAsia="仿宋" w:cs="仿宋"/>
          <w:b/>
          <w:sz w:val="24"/>
        </w:rPr>
        <w:t>自动失效。</w:t>
      </w:r>
    </w:p>
    <w:p w14:paraId="4FA6FF41">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w:t>
      </w:r>
      <w:r>
        <w:rPr>
          <w:rFonts w:hint="eastAsia" w:ascii="仿宋" w:hAnsi="仿宋" w:eastAsia="仿宋" w:cs="仿宋"/>
          <w:sz w:val="24"/>
          <w:lang w:eastAsia="zh-CN"/>
        </w:rPr>
        <w:t>磋商文件</w:t>
      </w:r>
      <w:r>
        <w:rPr>
          <w:rFonts w:hint="eastAsia" w:ascii="仿宋" w:hAnsi="仿宋" w:eastAsia="仿宋" w:cs="仿宋"/>
          <w:sz w:val="24"/>
        </w:rPr>
        <w:t>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w:t>
      </w:r>
      <w:r>
        <w:rPr>
          <w:rFonts w:hint="eastAsia" w:ascii="仿宋" w:hAnsi="仿宋" w:eastAsia="仿宋" w:cs="仿宋"/>
          <w:kern w:val="0"/>
          <w:szCs w:val="24"/>
          <w:lang w:eastAsia="zh-CN"/>
        </w:rPr>
        <w:t>磋商文件</w:t>
      </w:r>
      <w:r>
        <w:rPr>
          <w:rFonts w:hint="eastAsia" w:ascii="仿宋" w:hAnsi="仿宋" w:eastAsia="仿宋" w:cs="仿宋"/>
          <w:kern w:val="0"/>
          <w:szCs w:val="24"/>
        </w:rPr>
        <w:t>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w:t>
      </w:r>
      <w:r>
        <w:rPr>
          <w:rFonts w:hint="eastAsia" w:ascii="仿宋" w:hAnsi="仿宋" w:eastAsia="仿宋" w:cs="仿宋"/>
          <w:kern w:val="0"/>
          <w:szCs w:val="24"/>
          <w:lang w:eastAsia="zh-CN"/>
        </w:rPr>
        <w:t>磋商文件</w:t>
      </w:r>
      <w:r>
        <w:rPr>
          <w:rFonts w:hint="eastAsia" w:ascii="仿宋" w:hAnsi="仿宋" w:eastAsia="仿宋" w:cs="仿宋"/>
          <w:kern w:val="0"/>
          <w:szCs w:val="24"/>
        </w:rPr>
        <w:t>中规定的资格要求，其投标无效。</w:t>
      </w:r>
    </w:p>
    <w:p w14:paraId="05FF1E24">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9" w:name="_Toc91899903"/>
      <w:r>
        <w:rPr>
          <w:rFonts w:hint="eastAsia" w:ascii="仿宋" w:hAnsi="仿宋" w:eastAsia="仿宋" w:cs="仿宋"/>
          <w:kern w:val="0"/>
          <w:szCs w:val="24"/>
        </w:rPr>
        <w:t>21. 评标委员会将根据</w:t>
      </w:r>
      <w:r>
        <w:rPr>
          <w:rFonts w:hint="eastAsia" w:ascii="仿宋" w:hAnsi="仿宋" w:eastAsia="仿宋" w:cs="仿宋"/>
          <w:kern w:val="0"/>
          <w:szCs w:val="24"/>
          <w:lang w:eastAsia="zh-CN"/>
        </w:rPr>
        <w:t>磋商文件</w:t>
      </w:r>
      <w:r>
        <w:rPr>
          <w:rFonts w:hint="eastAsia" w:ascii="仿宋" w:hAnsi="仿宋" w:eastAsia="仿宋" w:cs="仿宋"/>
          <w:kern w:val="0"/>
          <w:szCs w:val="24"/>
        </w:rPr>
        <w:t>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w:t>
      </w:r>
      <w:r>
        <w:rPr>
          <w:rFonts w:hint="eastAsia" w:ascii="仿宋" w:hAnsi="仿宋" w:eastAsia="仿宋" w:cs="仿宋"/>
          <w:kern w:val="0"/>
          <w:szCs w:val="24"/>
          <w:lang w:eastAsia="zh-CN"/>
        </w:rPr>
        <w:t>磋商文件</w:t>
      </w:r>
      <w:r>
        <w:rPr>
          <w:rFonts w:hint="eastAsia" w:ascii="仿宋" w:hAnsi="仿宋" w:eastAsia="仿宋" w:cs="仿宋"/>
          <w:kern w:val="0"/>
          <w:szCs w:val="24"/>
        </w:rPr>
        <w:t>的响应情况。对实质上响应</w:t>
      </w:r>
      <w:r>
        <w:rPr>
          <w:rFonts w:hint="eastAsia" w:ascii="仿宋" w:hAnsi="仿宋" w:eastAsia="仿宋" w:cs="仿宋"/>
          <w:kern w:val="0"/>
          <w:szCs w:val="24"/>
          <w:lang w:eastAsia="zh-CN"/>
        </w:rPr>
        <w:t>磋商文件</w:t>
      </w:r>
      <w:r>
        <w:rPr>
          <w:rFonts w:hint="eastAsia" w:ascii="仿宋" w:hAnsi="仿宋" w:eastAsia="仿宋" w:cs="仿宋"/>
          <w:kern w:val="0"/>
          <w:szCs w:val="24"/>
        </w:rPr>
        <w:t>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w:t>
      </w:r>
      <w:r>
        <w:rPr>
          <w:rFonts w:hint="eastAsia" w:ascii="仿宋" w:hAnsi="仿宋" w:eastAsia="仿宋" w:cs="仿宋"/>
          <w:kern w:val="0"/>
          <w:szCs w:val="24"/>
          <w:lang w:eastAsia="zh-CN"/>
        </w:rPr>
        <w:t>磋商文件</w:t>
      </w:r>
      <w:r>
        <w:rPr>
          <w:rFonts w:hint="eastAsia" w:ascii="仿宋" w:hAnsi="仿宋" w:eastAsia="仿宋" w:cs="仿宋"/>
          <w:kern w:val="0"/>
          <w:szCs w:val="24"/>
        </w:rPr>
        <w:t>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w:t>
      </w:r>
      <w:r>
        <w:rPr>
          <w:rFonts w:hint="eastAsia" w:ascii="仿宋" w:hAnsi="仿宋" w:eastAsia="仿宋" w:cs="仿宋"/>
          <w:kern w:val="0"/>
          <w:sz w:val="24"/>
          <w:lang w:eastAsia="zh-CN"/>
        </w:rPr>
        <w:t>磋商文件</w:t>
      </w:r>
      <w:r>
        <w:rPr>
          <w:rFonts w:hint="eastAsia" w:ascii="仿宋" w:hAnsi="仿宋" w:eastAsia="仿宋" w:cs="仿宋"/>
          <w:kern w:val="0"/>
          <w:sz w:val="24"/>
        </w:rPr>
        <w:t>确定的事项签订政府采购合同，并在合同签订之日起2个工作日内依法发布合同公告。</w:t>
      </w:r>
    </w:p>
    <w:p w14:paraId="52F2DBC9">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25.3采购人对合同内容负责。合同金额200万元及以上的必须由法律顾问根据《政府采购法》、《民法典》等对合同条款进行审查，出具法律意见书后方可签订合同。对于合同金额200万元以下的项目，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w:t>
      </w:r>
      <w:r>
        <w:rPr>
          <w:rFonts w:hint="eastAsia" w:ascii="仿宋" w:hAnsi="仿宋" w:eastAsia="仿宋" w:cs="仿宋"/>
          <w:lang w:eastAsia="zh-CN"/>
        </w:rPr>
        <w:t>磋商文件</w:t>
      </w:r>
      <w:r>
        <w:rPr>
          <w:rFonts w:hint="eastAsia" w:ascii="仿宋" w:hAnsi="仿宋" w:eastAsia="仿宋" w:cs="仿宋"/>
        </w:rPr>
        <w:t>、</w:t>
      </w:r>
      <w:r>
        <w:rPr>
          <w:rFonts w:hint="eastAsia" w:ascii="仿宋" w:hAnsi="仿宋" w:eastAsia="仿宋" w:cs="仿宋"/>
          <w:lang w:eastAsia="zh-CN"/>
        </w:rPr>
        <w:t>响应文件</w:t>
      </w:r>
      <w:r>
        <w:rPr>
          <w:rFonts w:hint="eastAsia" w:ascii="仿宋" w:hAnsi="仿宋" w:eastAsia="仿宋" w:cs="仿宋"/>
        </w:rPr>
        <w:t>等内容签订并公告。</w:t>
      </w:r>
    </w:p>
    <w:p w14:paraId="60082D90">
      <w:pPr>
        <w:pStyle w:val="24"/>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9"/>
    <w:p w14:paraId="356B87D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737" w:footer="992" w:gutter="0"/>
          <w:pgNumType w:fmt="decimal"/>
          <w:cols w:space="720" w:num="1"/>
          <w:titlePg/>
          <w:docGrid w:linePitch="312" w:charSpace="0"/>
        </w:sectPr>
      </w:pPr>
      <w:bookmarkStart w:id="10" w:name="_Hlt74714665"/>
      <w:bookmarkEnd w:id="10"/>
      <w:bookmarkStart w:id="11" w:name="_Hlt75236101"/>
      <w:bookmarkEnd w:id="11"/>
      <w:bookmarkStart w:id="12" w:name="_Hlt74730295"/>
      <w:bookmarkEnd w:id="12"/>
      <w:bookmarkStart w:id="13" w:name="_Hlt68403820"/>
      <w:bookmarkEnd w:id="13"/>
      <w:bookmarkStart w:id="14" w:name="_Hlt75236290"/>
      <w:bookmarkEnd w:id="14"/>
      <w:bookmarkStart w:id="15" w:name="_Hlt68072990"/>
      <w:bookmarkEnd w:id="15"/>
      <w:bookmarkStart w:id="16" w:name="_Hlt68057669"/>
      <w:bookmarkEnd w:id="16"/>
      <w:bookmarkStart w:id="17" w:name="_Hlt74707468"/>
      <w:bookmarkEnd w:id="17"/>
      <w:bookmarkStart w:id="18" w:name="_Hlt68073093"/>
      <w:bookmarkEnd w:id="18"/>
      <w:bookmarkStart w:id="19" w:name="_Hlt68072998"/>
      <w:bookmarkEnd w:id="19"/>
      <w:bookmarkStart w:id="20" w:name="_Hlt74729768"/>
      <w:bookmarkEnd w:id="20"/>
      <w:bookmarkStart w:id="21" w:name="_Hlt75236011"/>
      <w:bookmarkEnd w:id="21"/>
    </w:p>
    <w:bookmarkEnd w:id="7"/>
    <w:bookmarkEnd w:id="8"/>
    <w:p w14:paraId="319C3D29">
      <w:pPr>
        <w:spacing w:line="360" w:lineRule="auto"/>
        <w:jc w:val="center"/>
        <w:outlineLvl w:val="0"/>
        <w:rPr>
          <w:rFonts w:hint="eastAsia" w:ascii="仿宋" w:hAnsi="仿宋" w:eastAsia="仿宋" w:cs="仿宋"/>
          <w:b/>
          <w:sz w:val="36"/>
          <w:szCs w:val="36"/>
        </w:rPr>
      </w:pPr>
      <w:bookmarkStart w:id="22"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4110166D">
      <w:pPr>
        <w:spacing w:line="360" w:lineRule="auto"/>
        <w:rPr>
          <w:rFonts w:hint="eastAsia" w:ascii="仿宋" w:hAnsi="仿宋" w:eastAsia="仿宋" w:cs="仿宋"/>
          <w:b/>
          <w:sz w:val="24"/>
        </w:rPr>
      </w:pPr>
      <w:r>
        <w:rPr>
          <w:rFonts w:hint="eastAsia" w:ascii="仿宋" w:hAnsi="仿宋" w:eastAsia="仿宋" w:cs="仿宋"/>
          <w:b/>
          <w:sz w:val="24"/>
        </w:rPr>
        <w:t>一、项目概况</w:t>
      </w:r>
    </w:p>
    <w:p w14:paraId="1E42197F">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根据诸暨市土地综合整治工作方案(2025-2027 年)(诸农发[2025]24号)文件精神，结合大唐街道“非高标”永农潜力现状，我街道总规划建设高标准农田项目面积约11837亩，其中新建高标约4735亩，改造提升约7102亩</w:t>
      </w:r>
      <w:r>
        <w:rPr>
          <w:rFonts w:hint="eastAsia" w:ascii="仿宋" w:hAnsi="仿宋" w:eastAsia="仿宋" w:cs="仿宋"/>
          <w:sz w:val="24"/>
          <w:szCs w:val="24"/>
          <w:highlight w:val="none"/>
          <w:lang w:eastAsia="zh-CN"/>
        </w:rPr>
        <w:t>。具体服务的内容及数量以采购人服务期限内实际</w:t>
      </w:r>
      <w:r>
        <w:rPr>
          <w:rFonts w:hint="eastAsia" w:ascii="仿宋" w:hAnsi="仿宋" w:eastAsia="仿宋" w:cs="仿宋"/>
          <w:sz w:val="24"/>
          <w:szCs w:val="24"/>
          <w:highlight w:val="none"/>
          <w:lang w:val="en-US" w:eastAsia="zh-CN"/>
        </w:rPr>
        <w:t>需求</w:t>
      </w:r>
      <w:r>
        <w:rPr>
          <w:rFonts w:hint="eastAsia" w:ascii="仿宋" w:hAnsi="仿宋" w:eastAsia="仿宋" w:cs="仿宋"/>
          <w:sz w:val="24"/>
          <w:szCs w:val="24"/>
          <w:highlight w:val="none"/>
          <w:lang w:eastAsia="zh-CN"/>
        </w:rPr>
        <w:t>为准。</w:t>
      </w:r>
      <w:r>
        <w:rPr>
          <w:rFonts w:hint="eastAsia" w:ascii="仿宋" w:hAnsi="仿宋" w:eastAsia="仿宋" w:cs="仿宋"/>
          <w:sz w:val="24"/>
          <w:szCs w:val="24"/>
          <w:highlight w:val="none"/>
          <w:lang w:val="en-US" w:eastAsia="zh-CN"/>
        </w:rPr>
        <w:t>在服务期内中标单位应派驻专人保障日常技术服务工作。</w:t>
      </w:r>
    </w:p>
    <w:p w14:paraId="3CF454BA">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、服务期限：</w:t>
      </w:r>
      <w:r>
        <w:rPr>
          <w:rFonts w:hint="eastAsia" w:ascii="仿宋" w:hAnsi="仿宋" w:eastAsia="仿宋" w:cs="仿宋"/>
          <w:sz w:val="24"/>
          <w:lang w:val="en-US" w:eastAsia="zh-CN"/>
        </w:rPr>
        <w:t>自合同签订后至工程结束止。</w:t>
      </w:r>
    </w:p>
    <w:p w14:paraId="495AFB45">
      <w:pPr>
        <w:spacing w:line="360" w:lineRule="auto"/>
        <w:rPr>
          <w:rFonts w:hint="eastAsia" w:ascii="仿宋" w:hAnsi="仿宋" w:eastAsia="仿宋" w:cs="仿宋"/>
          <w:b/>
          <w:sz w:val="24"/>
        </w:rPr>
      </w:pPr>
      <w:r>
        <w:rPr>
          <w:rFonts w:hint="eastAsia" w:ascii="仿宋" w:hAnsi="仿宋" w:eastAsia="仿宋" w:cs="仿宋"/>
          <w:b/>
          <w:sz w:val="24"/>
        </w:rPr>
        <w:t>二、服务内容及要求</w:t>
      </w:r>
    </w:p>
    <w:p w14:paraId="53C498B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1、工程监理工作范围（包含但不限于）：</w:t>
      </w:r>
    </w:p>
    <w:p w14:paraId="060AE27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工程实施过程中的质量控制、进度控制、投资控制、变更控制、组织协调、合同管理、信息管理、安全管理，协调工程项目建设单位与工程建设有关各方的工作关系，以及工作缺陷责任期内等所有的建设内容的全过程施工监理工作。具体监理工作应严格按《建设工程监理规范》工作要求组织实施。具体监理项目根据采购人委托确认。</w:t>
      </w:r>
    </w:p>
    <w:p w14:paraId="25EE2D2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2、工程监理服务内容（包含但不限于）：</w:t>
      </w:r>
    </w:p>
    <w:p w14:paraId="5C363D43">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监理人派出与工程规模相适应的监理班子，做好工程的监理工作。监理人必须按照国家和有关建设工程监理规定进行监理，代表建设单位对工程建设进行全过程、全方位监理,监理人按自行职责对工程质量终身负责。</w:t>
      </w:r>
    </w:p>
    <w:p w14:paraId="1545394F">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2.2监理工作人员不得与承包本工程的有关承包人及其施工管理人员及材料设备供应商发生经济利益关系。</w:t>
      </w:r>
    </w:p>
    <w:p w14:paraId="2BD4EBA5">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2.3监理人应配备经验丰富的专业技术人员审核施工图纸的设计质量，对设计存在的不合理、不完整、不准确、不安全等情况应及时书面向建设单位和设计单位提出修正意见。</w:t>
      </w:r>
    </w:p>
    <w:p w14:paraId="16688DBE">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2.4严把施工质量关。监理人应按施工进度编制监理规划和各专业及分部施工实施细则。掌握好各个施工环节，在整个施工过程中要认真检查、督促施工单位严格执行国家和省颁布的有关建筑工程施工验收规范和工程技术标准，并根据施工工序进行全程旁站监理、拍照存档，杜绝偷工减料和粗制滥造。</w:t>
      </w:r>
    </w:p>
    <w:p w14:paraId="1D896BD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2.5协助建设单位审核施工图的设计和概(预)算,参与主持组织图纸会审,做好记录,写出会审纪要。</w:t>
      </w:r>
    </w:p>
    <w:p w14:paraId="2F8005DA">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2.6参与建设单位与施工承包商签订施工承包合同,审核施工进度计划，并在实施过程中检查、督促承包商严格按合同和施工规范、工程技术标准、设计要求进行施工，监督承包商现场施工管理。</w:t>
      </w:r>
    </w:p>
    <w:p w14:paraId="6CF6D8E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2.7协助建设单位做好开工前准备，审批开工报告，复核灰线，经业主同意下达开工令。</w:t>
      </w:r>
    </w:p>
    <w:p w14:paraId="57DE4C0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2.8审查承包商采购清单及样品的品牌、质量和价格，检查工程使用材料、构件、设备的规格、质量与数量。督促承包商编制材料的供需计划，协助业主安排甲供材料的供应计划。</w:t>
      </w:r>
    </w:p>
    <w:p w14:paraId="706D6348">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2.9按建设单位意见，办理设计与施工变更联系单，把好监理关，并负责对施工变更的签证、复核，主持施工图交底，参与设计变更的签证。工程变更的签证须经监理人拟派的注册造价师审核，并由总监签字确认。</w:t>
      </w:r>
    </w:p>
    <w:p w14:paraId="5910509B">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2.10主持召开工程协调会议，并做好会议纪要，调解有关工程建设各种合同争议，处理索赔事项。</w:t>
      </w:r>
    </w:p>
    <w:p w14:paraId="09763B09">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2.11检查安全防护措施和文明施工,检查督促工程进度、施工质量。</w:t>
      </w:r>
    </w:p>
    <w:p w14:paraId="5CB3E82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2.12督促施工方及时整理技术资料及竣工验收资料。</w:t>
      </w:r>
    </w:p>
    <w:p w14:paraId="53B29FBC">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2.13协助建设单位对工程投资进行控制，对施工单位提出的付款申请进行审核签发，参加审核工程结算，协助建设单位审核工程造价，努力降低工程费用。</w:t>
      </w:r>
    </w:p>
    <w:p w14:paraId="7BBAD9B6">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2.14做好工程项目监理总结，及时提供完整的监理资料（一式二份原件），定期编制监理简报。</w:t>
      </w:r>
    </w:p>
    <w:p w14:paraId="2D88290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2.15负责隐蔽工程、分部、分项工程和工程计量工作，协助建设单位组织竣工初验和竣工验收，提交竣工验收报告。</w:t>
      </w:r>
    </w:p>
    <w:p w14:paraId="6D084E44">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2.16负责各种技术资料资料的收集、整理工作，及时提供完整的施工技术档案资料一式三份原件。</w:t>
      </w:r>
    </w:p>
    <w:p w14:paraId="6B0D7CD1">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2.17负责定期检查工程质量，对可能发生的质量问题或事故提出责任鉴定意见，处理好善后工作。督促承包商认真履行保修职责，及时回访修缮。履行其他法律、法规规定的监理职责义务，提供其他可免费提供的监理服务。</w:t>
      </w:r>
    </w:p>
    <w:p w14:paraId="177D12AD">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2.18完成监理规范要求的其他工作内容。</w:t>
      </w:r>
    </w:p>
    <w:p w14:paraId="6141FE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3、项目成果</w:t>
      </w:r>
    </w:p>
    <w:p w14:paraId="47464B10">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3.1成果报告：质量评估报告、监理合同、监理会议纪要、监理日志、采购人及建设单位要求提供的有关文件及资料。</w:t>
      </w:r>
    </w:p>
    <w:p w14:paraId="7AC44DE4">
      <w:pPr>
        <w:spacing w:line="360" w:lineRule="auto"/>
        <w:ind w:firstLine="480"/>
        <w:rPr>
          <w:rFonts w:hint="eastAsia" w:ascii="仿宋" w:hAnsi="仿宋" w:eastAsia="仿宋" w:cs="仿宋"/>
          <w:b/>
          <w:sz w:val="24"/>
          <w:szCs w:val="24"/>
        </w:rPr>
      </w:pPr>
      <w:r>
        <w:rPr>
          <w:rFonts w:hint="eastAsia" w:ascii="仿宋" w:hAnsi="仿宋" w:eastAsia="仿宋" w:cs="仿宋"/>
          <w:sz w:val="24"/>
          <w:szCs w:val="24"/>
        </w:rPr>
        <w:t>3.2成果报告份数：具体文件、资料、份数等成果及数量以采购人及建设单位实际要求为准。</w:t>
      </w:r>
    </w:p>
    <w:p w14:paraId="41B02F8C">
      <w:pPr>
        <w:spacing w:line="360" w:lineRule="auto"/>
        <w:rPr>
          <w:rFonts w:hint="eastAsia" w:ascii="仿宋" w:hAnsi="仿宋" w:eastAsia="仿宋" w:cs="仿宋"/>
          <w:b/>
          <w:sz w:val="24"/>
          <w:szCs w:val="24"/>
        </w:rPr>
      </w:pPr>
      <w:r>
        <w:rPr>
          <w:rFonts w:hint="eastAsia" w:ascii="仿宋" w:hAnsi="仿宋" w:eastAsia="仿宋" w:cs="仿宋"/>
          <w:b/>
          <w:sz w:val="24"/>
          <w:szCs w:val="24"/>
        </w:rPr>
        <w:t>三、其它要求</w:t>
      </w:r>
    </w:p>
    <w:p w14:paraId="5C9C028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1、监理单位应组建满足工作需要的项目监理机构，配备必要的检测设备。项目监理机构的主要人员应具有相应的资格条件。</w:t>
      </w:r>
    </w:p>
    <w:p w14:paraId="34ECE2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总监理工程师及重要岗位监理人员应保持相对稳定，以保证监理工作正常进行，未经采购人书面同意，不得更换前述工作人员；监理单位可根据工程进展和工作需要调整项目监理机构人员，监理单位更换项目监理机构其他监理人员，并先书面通知采购人，经采购人书面确认同意后方可更换或调整，并且更换或调整人员的资格与能力应当满足该阶段项目监理工作的要求。</w:t>
      </w:r>
    </w:p>
    <w:p w14:paraId="3E74654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3、因工程项目进展需要，采购人提出增加管理人员时，监理方必须保证及时补充符合要求的监理人员。</w:t>
      </w:r>
    </w:p>
    <w:p w14:paraId="18435933">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szCs w:val="24"/>
        </w:rPr>
        <w:t>4、监理单位在监理过程中应独立地进行检测、检验、试验工作，即施工单位须做的检测、检验、试验项目，经过监理单位的旁站见证或独立检测、检验、试验后，能足以客观反映施工单位所做的检测、检验、试验项目数据及工程质量的真实情况。</w:t>
      </w:r>
    </w:p>
    <w:p w14:paraId="08EC1E8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监理单位在监理过程中不得使用施工单位的任何仪器、设备，不得使用施工单位的任何技术资料，不得与施工单位送到同一检测中心（站）进行检测。施工过程中的各类测量复核、设备安装等检测测试工作，均应按国家相关规定组织实施，监理单位与施工单位的测试数据不得相互套用。</w:t>
      </w:r>
    </w:p>
    <w:p w14:paraId="5D7D51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6、监理单位提供的资料应符合《建设工程监理规范》之规定，同时需满足采购人针对工程档案资料提交的相关要求与规定。</w:t>
      </w:r>
    </w:p>
    <w:p w14:paraId="73A1BF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7、如因监理单位过失而造成采购人的经济损失，应当向采购人进行赔偿。</w:t>
      </w:r>
    </w:p>
    <w:p w14:paraId="673DF7F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8、如监理单位对施工单位上报的已完工作量未能准确复核，并签署了与实际不符的工作量的工程进度付款凭证，采购人将追究其责任，对由此造成的损失应当向采购人进行赔偿。</w:t>
      </w:r>
    </w:p>
    <w:p w14:paraId="4D1497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9、投标人拟派总监应无在建项目，并记入不良行为记录。</w:t>
      </w:r>
    </w:p>
    <w:p w14:paraId="0360A6C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10、投标人需承诺拟派总监在合同期内不参与其他工程的招投标。</w:t>
      </w:r>
    </w:p>
    <w:p w14:paraId="52CFB97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11、在中标公示期间，预中标人的项目总监必须随带本人身份证原件、营业执照原件、资质证书原件、总监证书原件到</w:t>
      </w:r>
      <w:r>
        <w:rPr>
          <w:rFonts w:hint="eastAsia" w:ascii="仿宋" w:hAnsi="仿宋" w:eastAsia="仿宋" w:cs="仿宋"/>
          <w:sz w:val="24"/>
          <w:szCs w:val="24"/>
          <w:lang w:val="en-US" w:eastAsia="zh-CN"/>
        </w:rPr>
        <w:t>采购单位</w:t>
      </w:r>
      <w:r>
        <w:rPr>
          <w:rFonts w:hint="eastAsia" w:ascii="仿宋" w:hAnsi="仿宋" w:eastAsia="仿宋" w:cs="仿宋"/>
          <w:sz w:val="24"/>
          <w:szCs w:val="24"/>
        </w:rPr>
        <w:t>进行身份核实，否则取消中标人资格。</w:t>
      </w:r>
    </w:p>
    <w:p w14:paraId="1EFA906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派驻现场的监理有关人员如需变更的，在建设单位同意的基础上，需符合诸暨市住建局发布的《关于加强全市房屋建筑与市政基础设施工程施工现场关键岗位人员管理的通知》第二大点“严格施工现场关键岗位人员变更管理”中关于关键岗位人员可予变更的条件，并向主管部门完成审批备案等手续，在变更手续完成前，原岗位人员不得擅自离岗。</w:t>
      </w:r>
    </w:p>
    <w:p w14:paraId="0D7A9603">
      <w:pPr>
        <w:spacing w:line="360" w:lineRule="auto"/>
        <w:rPr>
          <w:rFonts w:hint="eastAsia" w:ascii="仿宋" w:hAnsi="仿宋" w:eastAsia="仿宋" w:cs="仿宋"/>
          <w:b/>
          <w:sz w:val="24"/>
          <w:szCs w:val="24"/>
          <w:highlight w:val="yellow"/>
          <w:lang w:val="en-US" w:eastAsia="zh-CN"/>
        </w:rPr>
      </w:pPr>
      <w:r>
        <w:rPr>
          <w:rFonts w:hint="eastAsia" w:ascii="仿宋" w:hAnsi="仿宋" w:eastAsia="仿宋" w:cs="仿宋"/>
          <w:b/>
          <w:sz w:val="24"/>
          <w:szCs w:val="24"/>
          <w:lang w:val="en-US" w:eastAsia="zh-CN"/>
        </w:rPr>
        <w:t>四、违约条款</w:t>
      </w:r>
    </w:p>
    <w:p w14:paraId="6075248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监理单位在工程监理中存在以下情况的，除扣罚相应监理费外（监理费不足部分在履约保证金中扣罚），建设单位有权中止合同，并把不良行为上报主管部门及公管办：</w:t>
      </w:r>
    </w:p>
    <w:p w14:paraId="113748C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1、在工程中对工程质量、安全、造价、进度等监理时弄虚作假损害业主利益的，一经查实，每发现一例，视情节严重程度扣罚该工程监理费的15%-30%。</w:t>
      </w:r>
    </w:p>
    <w:p w14:paraId="4D5CDB5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根据监理规范必须旁站的关键部位及关键工序须有专业监理工程师或总监进行旁站，并做好旁站、隐蔽工程记录及监理日记，记录可用文字及影像的形式。专业监理工程师除了每天必须进行巡查外，须按督促施工单位严格按图施工，发现问题及时处理，并报总监及发包人现场管理人员。如没有做好相关记录的视情</w:t>
      </w:r>
      <w:r>
        <w:rPr>
          <w:rFonts w:hint="eastAsia" w:ascii="仿宋" w:hAnsi="仿宋" w:eastAsia="仿宋" w:cs="仿宋"/>
          <w:sz w:val="24"/>
          <w:szCs w:val="24"/>
          <w:lang w:eastAsia="zh-CN"/>
        </w:rPr>
        <w:t>扣罚</w:t>
      </w:r>
      <w:r>
        <w:rPr>
          <w:rFonts w:hint="eastAsia" w:ascii="仿宋" w:hAnsi="仿宋" w:eastAsia="仿宋" w:cs="仿宋"/>
          <w:sz w:val="24"/>
          <w:szCs w:val="24"/>
        </w:rPr>
        <w:t>监理费1000-20000元，如监理工程师没有按要求进行旁站每查到一次，第一次</w:t>
      </w:r>
      <w:r>
        <w:rPr>
          <w:rFonts w:hint="eastAsia" w:ascii="仿宋" w:hAnsi="仿宋" w:eastAsia="仿宋" w:cs="仿宋"/>
          <w:sz w:val="24"/>
          <w:szCs w:val="24"/>
          <w:lang w:eastAsia="zh-CN"/>
        </w:rPr>
        <w:t>扣罚</w:t>
      </w:r>
      <w:r>
        <w:rPr>
          <w:rFonts w:hint="eastAsia" w:ascii="仿宋" w:hAnsi="仿宋" w:eastAsia="仿宋" w:cs="仿宋"/>
          <w:sz w:val="24"/>
          <w:szCs w:val="24"/>
        </w:rPr>
        <w:t>1000元，第二次</w:t>
      </w:r>
      <w:r>
        <w:rPr>
          <w:rFonts w:hint="eastAsia" w:ascii="仿宋" w:hAnsi="仿宋" w:eastAsia="仿宋" w:cs="仿宋"/>
          <w:sz w:val="24"/>
          <w:szCs w:val="24"/>
          <w:lang w:eastAsia="zh-CN"/>
        </w:rPr>
        <w:t>扣罚</w:t>
      </w:r>
      <w:r>
        <w:rPr>
          <w:rFonts w:hint="eastAsia" w:ascii="仿宋" w:hAnsi="仿宋" w:eastAsia="仿宋" w:cs="仿宋"/>
          <w:sz w:val="24"/>
          <w:szCs w:val="24"/>
        </w:rPr>
        <w:t>2000元，第三次</w:t>
      </w:r>
      <w:r>
        <w:rPr>
          <w:rFonts w:hint="eastAsia" w:ascii="仿宋" w:hAnsi="仿宋" w:eastAsia="仿宋" w:cs="仿宋"/>
          <w:sz w:val="24"/>
          <w:szCs w:val="24"/>
          <w:lang w:eastAsia="zh-CN"/>
        </w:rPr>
        <w:t>扣罚</w:t>
      </w:r>
      <w:r>
        <w:rPr>
          <w:rFonts w:hint="eastAsia" w:ascii="仿宋" w:hAnsi="仿宋" w:eastAsia="仿宋" w:cs="仿宋"/>
          <w:sz w:val="24"/>
          <w:szCs w:val="24"/>
        </w:rPr>
        <w:t>3000元，三次以上发包人有权解除监理合同，由监理单位承担一切责任。</w:t>
      </w:r>
    </w:p>
    <w:p w14:paraId="61AE1D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加强对施工中安全问题的监督，如施工中发现安全隐患，应及时向发包人报告，并及时要求施工单位整改。因监理工作不到位引起施工安全问题的，每起</w:t>
      </w:r>
      <w:r>
        <w:rPr>
          <w:rFonts w:hint="eastAsia" w:ascii="仿宋" w:hAnsi="仿宋" w:eastAsia="仿宋" w:cs="仿宋"/>
          <w:sz w:val="24"/>
          <w:szCs w:val="24"/>
          <w:lang w:eastAsia="zh-CN"/>
        </w:rPr>
        <w:t>扣罚</w:t>
      </w:r>
      <w:r>
        <w:rPr>
          <w:rFonts w:hint="eastAsia" w:ascii="仿宋" w:hAnsi="仿宋" w:eastAsia="仿宋" w:cs="仿宋"/>
          <w:sz w:val="24"/>
          <w:szCs w:val="24"/>
        </w:rPr>
        <w:t>监理费1000—5000元不等，如造成施工安全事故的，则除</w:t>
      </w:r>
      <w:r>
        <w:rPr>
          <w:rFonts w:hint="eastAsia" w:ascii="仿宋" w:hAnsi="仿宋" w:eastAsia="仿宋" w:cs="仿宋"/>
          <w:sz w:val="24"/>
          <w:szCs w:val="24"/>
          <w:lang w:eastAsia="zh-CN"/>
        </w:rPr>
        <w:t>扣罚</w:t>
      </w:r>
      <w:r>
        <w:rPr>
          <w:rFonts w:hint="eastAsia" w:ascii="仿宋" w:hAnsi="仿宋" w:eastAsia="仿宋" w:cs="仿宋"/>
          <w:sz w:val="24"/>
          <w:szCs w:val="24"/>
        </w:rPr>
        <w:t>全部监理费外将提请建设行政主管部门依法处理。</w:t>
      </w:r>
    </w:p>
    <w:p w14:paraId="2A339A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监理人员在审核工程洽商及设计变更单、工程变更单时应及时认真核对工程招标文件、工程合同、工程施工图纸及现场监理记录</w:t>
      </w:r>
      <w:r>
        <w:rPr>
          <w:rFonts w:hint="eastAsia" w:ascii="仿宋" w:hAnsi="仿宋" w:eastAsia="仿宋" w:cs="仿宋"/>
          <w:sz w:val="24"/>
          <w:szCs w:val="24"/>
          <w:lang w:eastAsia="zh-CN"/>
        </w:rPr>
        <w:t>、预算及市场价格</w:t>
      </w:r>
      <w:r>
        <w:rPr>
          <w:rFonts w:hint="eastAsia" w:ascii="仿宋" w:hAnsi="仿宋" w:eastAsia="仿宋" w:cs="仿宋"/>
          <w:sz w:val="24"/>
          <w:szCs w:val="24"/>
        </w:rPr>
        <w:t>等，确保变更真实合理。监理人必须督促施工单位及时上报工程洽商、工程变更单，一般的洽商、变更必须在施工单位上报后7天内签署或提出意见，否则每发生一次</w:t>
      </w:r>
      <w:r>
        <w:rPr>
          <w:rFonts w:hint="eastAsia" w:ascii="仿宋" w:hAnsi="仿宋" w:eastAsia="仿宋" w:cs="仿宋"/>
          <w:sz w:val="24"/>
          <w:szCs w:val="24"/>
          <w:lang w:eastAsia="zh-CN"/>
        </w:rPr>
        <w:t>扣罚</w:t>
      </w:r>
      <w:r>
        <w:rPr>
          <w:rFonts w:hint="eastAsia" w:ascii="仿宋" w:hAnsi="仿宋" w:eastAsia="仿宋" w:cs="仿宋"/>
          <w:sz w:val="24"/>
          <w:szCs w:val="24"/>
        </w:rPr>
        <w:t>监理费1000元</w:t>
      </w:r>
      <w:r>
        <w:rPr>
          <w:rFonts w:hint="eastAsia" w:ascii="仿宋" w:hAnsi="仿宋" w:eastAsia="仿宋" w:cs="仿宋"/>
          <w:sz w:val="24"/>
          <w:szCs w:val="24"/>
          <w:lang w:eastAsia="zh-CN"/>
        </w:rPr>
        <w:t>。</w:t>
      </w:r>
      <w:r>
        <w:rPr>
          <w:rFonts w:hint="eastAsia" w:ascii="仿宋" w:hAnsi="仿宋" w:eastAsia="仿宋" w:cs="仿宋"/>
          <w:sz w:val="24"/>
          <w:szCs w:val="24"/>
        </w:rPr>
        <w:t>若由于监理人员工作疏忽导致核定的变更明显有误或不合理的，一经认定，每发生一例，即</w:t>
      </w:r>
      <w:r>
        <w:rPr>
          <w:rFonts w:hint="eastAsia" w:ascii="仿宋" w:hAnsi="仿宋" w:eastAsia="仿宋" w:cs="仿宋"/>
          <w:sz w:val="24"/>
          <w:szCs w:val="24"/>
          <w:lang w:eastAsia="zh-CN"/>
        </w:rPr>
        <w:t>扣罚</w:t>
      </w:r>
      <w:r>
        <w:rPr>
          <w:rFonts w:hint="eastAsia" w:ascii="仿宋" w:hAnsi="仿宋" w:eastAsia="仿宋" w:cs="仿宋"/>
          <w:sz w:val="24"/>
          <w:szCs w:val="24"/>
        </w:rPr>
        <w:t>监理费1000元。</w:t>
      </w:r>
      <w:r>
        <w:rPr>
          <w:rFonts w:hint="eastAsia" w:ascii="仿宋" w:hAnsi="仿宋" w:eastAsia="仿宋" w:cs="仿宋"/>
          <w:sz w:val="24"/>
          <w:szCs w:val="24"/>
          <w:lang w:eastAsia="zh-CN"/>
        </w:rPr>
        <w:t>扣罚</w:t>
      </w:r>
      <w:r>
        <w:rPr>
          <w:rFonts w:hint="eastAsia" w:ascii="仿宋" w:hAnsi="仿宋" w:eastAsia="仿宋" w:cs="仿宋"/>
          <w:sz w:val="24"/>
          <w:szCs w:val="24"/>
        </w:rPr>
        <w:t>累计超过合同价的50%的，发包人有权</w:t>
      </w:r>
      <w:r>
        <w:rPr>
          <w:rFonts w:hint="eastAsia" w:ascii="仿宋" w:hAnsi="仿宋" w:eastAsia="仿宋" w:cs="仿宋"/>
          <w:sz w:val="24"/>
          <w:szCs w:val="24"/>
          <w:lang w:eastAsia="zh-CN"/>
        </w:rPr>
        <w:t>解</w:t>
      </w:r>
      <w:r>
        <w:rPr>
          <w:rFonts w:hint="eastAsia" w:ascii="仿宋" w:hAnsi="仿宋" w:eastAsia="仿宋" w:cs="仿宋"/>
          <w:sz w:val="24"/>
          <w:szCs w:val="24"/>
        </w:rPr>
        <w:t>除合同，由此造成的损失由监理人承担一切责任。</w:t>
      </w:r>
    </w:p>
    <w:p w14:paraId="41BACD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施工合同价</w:t>
      </w:r>
      <w:r>
        <w:rPr>
          <w:rFonts w:hint="eastAsia" w:ascii="仿宋" w:hAnsi="仿宋" w:eastAsia="仿宋" w:cs="仿宋"/>
          <w:sz w:val="24"/>
          <w:szCs w:val="24"/>
          <w:lang w:val="en-US" w:eastAsia="zh-CN"/>
        </w:rPr>
        <w:t>2</w:t>
      </w:r>
      <w:r>
        <w:rPr>
          <w:rFonts w:hint="eastAsia" w:ascii="仿宋" w:hAnsi="仿宋" w:eastAsia="仿宋" w:cs="仿宋"/>
          <w:sz w:val="24"/>
          <w:szCs w:val="24"/>
        </w:rPr>
        <w:t>00万元及以上的工程建立上下班指纹考勤制度，总监理工程师每月必须到岗15日历天以上，专业监理工程师和监理员每月必须到岗22日历天以上</w:t>
      </w:r>
      <w:r>
        <w:rPr>
          <w:rFonts w:hint="eastAsia" w:ascii="仿宋" w:hAnsi="仿宋" w:eastAsia="仿宋" w:cs="仿宋"/>
          <w:sz w:val="24"/>
          <w:szCs w:val="24"/>
          <w:lang w:eastAsia="zh-CN"/>
        </w:rPr>
        <w:t>。</w:t>
      </w:r>
      <w:r>
        <w:rPr>
          <w:rFonts w:hint="eastAsia" w:ascii="仿宋" w:hAnsi="仿宋" w:eastAsia="仿宋" w:cs="仿宋"/>
          <w:sz w:val="24"/>
          <w:szCs w:val="24"/>
        </w:rPr>
        <w:t>监理机构人员出勤天数未达到规定的每缺勤1天或虽已按指纹但经抽查不在岗，总监理工程师每次</w:t>
      </w:r>
      <w:r>
        <w:rPr>
          <w:rFonts w:hint="eastAsia" w:ascii="仿宋" w:hAnsi="仿宋" w:eastAsia="仿宋" w:cs="仿宋"/>
          <w:sz w:val="24"/>
          <w:szCs w:val="24"/>
          <w:lang w:eastAsia="zh-CN"/>
        </w:rPr>
        <w:t>扣罚</w:t>
      </w:r>
      <w:r>
        <w:rPr>
          <w:rFonts w:hint="eastAsia" w:ascii="仿宋" w:hAnsi="仿宋" w:eastAsia="仿宋" w:cs="仿宋"/>
          <w:sz w:val="24"/>
          <w:szCs w:val="24"/>
        </w:rPr>
        <w:t>3000元，专业监理工程师和监理员每次</w:t>
      </w:r>
      <w:r>
        <w:rPr>
          <w:rFonts w:hint="eastAsia" w:ascii="仿宋" w:hAnsi="仿宋" w:eastAsia="仿宋" w:cs="仿宋"/>
          <w:sz w:val="24"/>
          <w:szCs w:val="24"/>
          <w:lang w:eastAsia="zh-CN"/>
        </w:rPr>
        <w:t>扣罚</w:t>
      </w:r>
      <w:r>
        <w:rPr>
          <w:rFonts w:hint="eastAsia" w:ascii="仿宋" w:hAnsi="仿宋" w:eastAsia="仿宋" w:cs="仿宋"/>
          <w:sz w:val="24"/>
          <w:szCs w:val="24"/>
        </w:rPr>
        <w:t>1000元；监理企业项目部人员缺勤或脱岗一个月内累计达5人次（含）以上的，</w:t>
      </w:r>
      <w:r>
        <w:rPr>
          <w:rFonts w:hint="eastAsia" w:ascii="仿宋" w:hAnsi="仿宋" w:eastAsia="仿宋" w:cs="仿宋"/>
          <w:sz w:val="24"/>
          <w:szCs w:val="24"/>
          <w:lang w:eastAsia="zh-CN"/>
        </w:rPr>
        <w:t>建设单位</w:t>
      </w:r>
      <w:r>
        <w:rPr>
          <w:rFonts w:hint="eastAsia" w:ascii="仿宋" w:hAnsi="仿宋" w:eastAsia="仿宋" w:cs="仿宋"/>
          <w:sz w:val="24"/>
          <w:szCs w:val="24"/>
        </w:rPr>
        <w:t>有权解除监理合同，所造成的损失由监理方承担。（请假必须办理书面请假手续，其它请假方式一律视为缺勤或脱岗处理）。</w:t>
      </w:r>
    </w:p>
    <w:p w14:paraId="78EC0F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以下情况一经证实，</w:t>
      </w:r>
      <w:r>
        <w:rPr>
          <w:rFonts w:hint="eastAsia" w:ascii="仿宋" w:hAnsi="仿宋" w:eastAsia="仿宋" w:cs="仿宋"/>
          <w:sz w:val="24"/>
          <w:szCs w:val="24"/>
          <w:lang w:eastAsia="zh-CN"/>
        </w:rPr>
        <w:t>建设单位</w:t>
      </w:r>
      <w:r>
        <w:rPr>
          <w:rFonts w:hint="eastAsia" w:ascii="仿宋" w:hAnsi="仿宋" w:eastAsia="仿宋" w:cs="仿宋"/>
          <w:sz w:val="24"/>
          <w:szCs w:val="24"/>
        </w:rPr>
        <w:t>有权解除监理合同（没收履约保证金）并向上级主管部门通报：</w:t>
      </w:r>
    </w:p>
    <w:p w14:paraId="591067D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（A）监理人员向施工单位索贿的，包括要求报销发票、索要财物等。</w:t>
      </w:r>
    </w:p>
    <w:p w14:paraId="3951C0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（B）监理人员向施工单位强行推销施工材料的。</w:t>
      </w:r>
    </w:p>
    <w:p w14:paraId="1B3557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（C）如出现监理单位签证联系单与实际发生工程量不符的。</w:t>
      </w:r>
    </w:p>
    <w:p w14:paraId="365D42F5">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lang w:val="en-US" w:eastAsia="zh-CN"/>
        </w:rPr>
        <w:t>7、工程通过验收后，监理单位必须先向建设单位提交监理资料，再申请监理费。如监理单位未能及时提交的，建设单位有权不支付监理费，并作出相应处罚措施。</w:t>
      </w:r>
    </w:p>
    <w:p w14:paraId="4964E74E">
      <w:pPr>
        <w:spacing w:line="360" w:lineRule="auto"/>
        <w:rPr>
          <w:rFonts w:hint="eastAsia" w:ascii="仿宋" w:hAnsi="仿宋" w:eastAsia="仿宋" w:cs="仿宋"/>
          <w:b/>
          <w:sz w:val="24"/>
          <w:szCs w:val="24"/>
        </w:rPr>
      </w:pPr>
      <w:r>
        <w:rPr>
          <w:rFonts w:hint="eastAsia" w:ascii="仿宋" w:hAnsi="仿宋" w:eastAsia="仿宋" w:cs="仿宋"/>
          <w:b/>
          <w:sz w:val="24"/>
          <w:szCs w:val="24"/>
        </w:rPr>
        <w:t>四、验收</w:t>
      </w:r>
    </w:p>
    <w:p w14:paraId="7B4FDC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严格遵循国家和行业质量验收相关规范、标准执行。</w:t>
      </w:r>
    </w:p>
    <w:p w14:paraId="53D3353B">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、履约保证金、付款方式</w:t>
      </w:r>
    </w:p>
    <w:p w14:paraId="50C3CB33">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1、履约保证金：合同签订</w:t>
      </w:r>
      <w:r>
        <w:rPr>
          <w:rFonts w:hint="eastAsia" w:ascii="仿宋" w:hAnsi="仿宋" w:eastAsia="仿宋" w:cs="仿宋"/>
          <w:sz w:val="24"/>
          <w:szCs w:val="24"/>
          <w:lang w:val="en-US" w:eastAsia="zh-CN"/>
        </w:rPr>
        <w:t>前</w:t>
      </w:r>
      <w:r>
        <w:rPr>
          <w:rFonts w:hint="eastAsia" w:ascii="仿宋" w:hAnsi="仿宋" w:eastAsia="仿宋" w:cs="仿宋"/>
          <w:sz w:val="24"/>
          <w:szCs w:val="24"/>
        </w:rPr>
        <w:t>，中标人须向采购人缴纳本项目采购预算金额</w:t>
      </w:r>
      <w:r>
        <w:rPr>
          <w:rFonts w:hint="eastAsia" w:ascii="仿宋" w:hAnsi="仿宋" w:eastAsia="仿宋" w:cs="仿宋"/>
          <w:sz w:val="24"/>
          <w:szCs w:val="24"/>
          <w:lang w:val="en-US" w:eastAsia="zh-CN"/>
        </w:rPr>
        <w:t>1</w:t>
      </w:r>
      <w:r>
        <w:rPr>
          <w:rFonts w:hint="eastAsia" w:ascii="仿宋" w:hAnsi="仿宋" w:eastAsia="仿宋" w:cs="仿宋"/>
          <w:sz w:val="24"/>
          <w:szCs w:val="24"/>
        </w:rPr>
        <w:t>%的履约保证金，</w:t>
      </w:r>
      <w:r>
        <w:rPr>
          <w:rFonts w:hint="eastAsia" w:ascii="仿宋" w:hAnsi="仿宋" w:eastAsia="仿宋" w:cs="仿宋"/>
          <w:bCs/>
          <w:sz w:val="24"/>
          <w:szCs w:val="24"/>
        </w:rPr>
        <w:t>履约保证金在合同到期后且无违约情况下7个工作日内无息退还。</w:t>
      </w:r>
    </w:p>
    <w:p w14:paraId="5F21825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2、付款方式：</w:t>
      </w:r>
    </w:p>
    <w:p w14:paraId="372EB28E">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仿宋" w:hAnsi="仿宋" w:eastAsia="仿宋" w:cs="仿宋"/>
        </w:rPr>
      </w:pPr>
      <w:r>
        <w:rPr>
          <w:rFonts w:hint="eastAsia" w:ascii="仿宋" w:hAnsi="仿宋" w:eastAsia="仿宋" w:cs="仿宋"/>
          <w:sz w:val="24"/>
          <w:szCs w:val="24"/>
        </w:rPr>
        <w:t>本工程的监理费无预付款，</w:t>
      </w:r>
      <w:r>
        <w:rPr>
          <w:rFonts w:hint="eastAsia" w:ascii="仿宋" w:hAnsi="仿宋" w:eastAsia="仿宋" w:cs="仿宋"/>
          <w:sz w:val="24"/>
          <w:szCs w:val="24"/>
          <w:highlight w:val="none"/>
        </w:rPr>
        <w:t>工程</w:t>
      </w:r>
      <w:r>
        <w:rPr>
          <w:rFonts w:hint="eastAsia" w:ascii="仿宋" w:hAnsi="仿宋" w:eastAsia="仿宋" w:cs="仿宋"/>
          <w:sz w:val="24"/>
          <w:szCs w:val="24"/>
          <w:highlight w:val="none"/>
          <w:lang w:val="en-US" w:eastAsia="zh-CN"/>
        </w:rPr>
        <w:t>完</w:t>
      </w:r>
      <w:r>
        <w:rPr>
          <w:rFonts w:hint="eastAsia" w:ascii="仿宋" w:hAnsi="仿宋" w:eastAsia="仿宋" w:cs="仿宋"/>
          <w:sz w:val="24"/>
          <w:szCs w:val="24"/>
          <w:highlight w:val="none"/>
        </w:rPr>
        <w:t>工验收合格后支付监理费用的</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0%，剩余</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0%结算完成后10个工作日内按审计后结算价基数比例支付。</w:t>
      </w:r>
      <w:r>
        <w:rPr>
          <w:rFonts w:hint="eastAsia" w:ascii="仿宋" w:hAnsi="仿宋" w:eastAsia="仿宋" w:cs="仿宋"/>
          <w:color w:val="auto"/>
          <w:kern w:val="0"/>
          <w:sz w:val="24"/>
          <w:szCs w:val="21"/>
          <w:lang w:val="en-US" w:eastAsia="zh-CN" w:bidi="ar"/>
        </w:rPr>
        <w:t>付款前中标人须开具等额增值税发票。</w:t>
      </w:r>
    </w:p>
    <w:p w14:paraId="0EFAC092">
      <w:pPr>
        <w:pStyle w:val="58"/>
        <w:keepNext w:val="0"/>
        <w:keepLines w:val="0"/>
        <w:pageBreakBefore w:val="0"/>
        <w:widowControl w:val="0"/>
        <w:kinsoku/>
        <w:wordWrap/>
        <w:overflowPunct/>
        <w:topLinePunct w:val="0"/>
        <w:bidi w:val="0"/>
        <w:spacing w:before="0" w:beforeAutospacing="0" w:after="0" w:afterAutospacing="0" w:line="360" w:lineRule="auto"/>
        <w:ind w:firstLine="482" w:firstLineChars="200"/>
        <w:textAlignment w:val="auto"/>
        <w:rPr>
          <w:rFonts w:hint="eastAsia" w:ascii="仿宋" w:hAnsi="仿宋" w:eastAsia="仿宋" w:cs="仿宋"/>
          <w:b/>
          <w:bCs/>
          <w:color w:val="auto"/>
        </w:rPr>
      </w:pPr>
      <w:r>
        <w:rPr>
          <w:rFonts w:hint="eastAsia" w:ascii="仿宋" w:hAnsi="仿宋" w:eastAsia="仿宋" w:cs="仿宋"/>
          <w:b/>
          <w:bCs/>
          <w:color w:val="auto"/>
          <w:lang w:val="en-US" w:eastAsia="zh-CN"/>
        </w:rPr>
        <w:t>六、</w:t>
      </w:r>
      <w:r>
        <w:rPr>
          <w:rFonts w:hint="eastAsia" w:ascii="仿宋" w:hAnsi="仿宋" w:eastAsia="仿宋" w:cs="仿宋"/>
          <w:b/>
          <w:bCs/>
          <w:color w:val="auto"/>
        </w:rPr>
        <w:t>最高限价</w:t>
      </w:r>
    </w:p>
    <w:p w14:paraId="3A7A4488">
      <w:p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rPr>
        <w:t>本次采购</w:t>
      </w:r>
      <w:r>
        <w:rPr>
          <w:rFonts w:hint="eastAsia" w:ascii="仿宋" w:hAnsi="仿宋" w:eastAsia="仿宋" w:cs="仿宋"/>
          <w:b/>
          <w:bCs/>
          <w:sz w:val="24"/>
          <w:szCs w:val="24"/>
          <w:highlight w:val="none"/>
          <w:lang w:val="en-US" w:eastAsia="zh-CN"/>
        </w:rPr>
        <w:t>按折扣报价</w:t>
      </w:r>
      <w:r>
        <w:rPr>
          <w:rFonts w:hint="eastAsia" w:ascii="仿宋" w:hAnsi="仿宋" w:eastAsia="仿宋" w:cs="仿宋"/>
          <w:b/>
          <w:bCs/>
          <w:sz w:val="24"/>
          <w:szCs w:val="24"/>
          <w:highlight w:val="none"/>
        </w:rPr>
        <w:t>，数量按实结算。</w:t>
      </w:r>
      <w:r>
        <w:rPr>
          <w:rFonts w:hint="eastAsia" w:ascii="仿宋" w:hAnsi="仿宋" w:eastAsia="仿宋" w:cs="仿宋"/>
          <w:b/>
          <w:bCs/>
          <w:sz w:val="24"/>
          <w:szCs w:val="24"/>
          <w:highlight w:val="none"/>
          <w:lang w:val="en-US" w:eastAsia="zh-CN"/>
        </w:rPr>
        <w:t>任何高于75%的报价将被认定为无效报价，最高结算金额</w:t>
      </w:r>
      <w:r>
        <w:rPr>
          <w:rFonts w:hint="eastAsia" w:ascii="仿宋" w:hAnsi="仿宋" w:eastAsia="仿宋" w:cs="仿宋"/>
          <w:b/>
          <w:bCs/>
          <w:sz w:val="24"/>
          <w:szCs w:val="24"/>
          <w:highlight w:val="none"/>
        </w:rPr>
        <w:t>最高不超过人民币</w:t>
      </w:r>
      <w:r>
        <w:rPr>
          <w:rFonts w:hint="eastAsia" w:ascii="仿宋" w:hAnsi="仿宋" w:eastAsia="仿宋" w:cs="仿宋"/>
          <w:b/>
          <w:bCs/>
          <w:sz w:val="24"/>
          <w:szCs w:val="24"/>
          <w:highlight w:val="none"/>
          <w:u w:val="none"/>
          <w:lang w:val="en-US" w:eastAsia="zh-CN"/>
        </w:rPr>
        <w:t>玖拾玖万</w:t>
      </w:r>
      <w:r>
        <w:rPr>
          <w:rFonts w:hint="eastAsia" w:ascii="仿宋" w:hAnsi="仿宋" w:eastAsia="仿宋" w:cs="仿宋"/>
          <w:b/>
          <w:bCs/>
          <w:sz w:val="24"/>
          <w:szCs w:val="24"/>
          <w:highlight w:val="none"/>
          <w:u w:val="none"/>
        </w:rPr>
        <w:t>元整（￥</w:t>
      </w:r>
      <w:r>
        <w:rPr>
          <w:rFonts w:hint="eastAsia" w:ascii="仿宋" w:hAnsi="仿宋" w:eastAsia="仿宋" w:cs="仿宋"/>
          <w:b/>
          <w:bCs/>
          <w:sz w:val="24"/>
          <w:szCs w:val="24"/>
          <w:highlight w:val="none"/>
          <w:u w:val="none"/>
          <w:lang w:val="en-US" w:eastAsia="zh-CN"/>
        </w:rPr>
        <w:t>990000.00</w:t>
      </w:r>
      <w:r>
        <w:rPr>
          <w:rFonts w:hint="eastAsia" w:ascii="仿宋" w:hAnsi="仿宋" w:eastAsia="仿宋" w:cs="仿宋"/>
          <w:b/>
          <w:bCs/>
          <w:sz w:val="24"/>
          <w:szCs w:val="24"/>
          <w:highlight w:val="none"/>
          <w:u w:val="none"/>
        </w:rPr>
        <w:t>元）</w:t>
      </w:r>
      <w:r>
        <w:rPr>
          <w:rFonts w:hint="eastAsia" w:ascii="仿宋" w:hAnsi="仿宋" w:eastAsia="仿宋" w:cs="仿宋"/>
          <w:b/>
          <w:bCs/>
          <w:sz w:val="24"/>
          <w:szCs w:val="24"/>
          <w:highlight w:val="none"/>
          <w:lang w:eastAsia="zh-CN"/>
        </w:rPr>
        <w:t>。</w:t>
      </w:r>
    </w:p>
    <w:p w14:paraId="2DCA874E"/>
    <w:p w14:paraId="04733AB2">
      <w:pPr>
        <w:rPr>
          <w:rFonts w:hint="eastAsia" w:ascii="仿宋" w:hAnsi="仿宋" w:eastAsia="仿宋" w:cs="仿宋"/>
          <w:b/>
          <w:sz w:val="36"/>
          <w:szCs w:val="36"/>
        </w:rPr>
      </w:pPr>
    </w:p>
    <w:p w14:paraId="30D4099D">
      <w:pPr>
        <w:pStyle w:val="80"/>
        <w:rPr>
          <w:rFonts w:hint="eastAsia" w:ascii="仿宋" w:hAnsi="仿宋" w:eastAsia="仿宋" w:cs="仿宋"/>
          <w:b/>
          <w:sz w:val="36"/>
          <w:szCs w:val="36"/>
        </w:rPr>
      </w:pPr>
    </w:p>
    <w:p w14:paraId="62BCE40C">
      <w:pPr>
        <w:rPr>
          <w:rFonts w:hint="eastAsia"/>
        </w:rPr>
      </w:pPr>
    </w:p>
    <w:p w14:paraId="776B7511">
      <w:pPr>
        <w:pStyle w:val="7"/>
        <w:rPr>
          <w:rFonts w:hint="eastAsia"/>
        </w:rPr>
      </w:pPr>
    </w:p>
    <w:p w14:paraId="712D0981">
      <w:pPr>
        <w:rPr>
          <w:rFonts w:hint="eastAsia"/>
        </w:rPr>
      </w:pPr>
    </w:p>
    <w:p w14:paraId="1F2B5D06">
      <w:pPr>
        <w:pStyle w:val="7"/>
        <w:rPr>
          <w:rFonts w:hint="eastAsia"/>
        </w:rPr>
      </w:pPr>
    </w:p>
    <w:p w14:paraId="1BB392D9">
      <w:pPr>
        <w:rPr>
          <w:rFonts w:hint="eastAsia"/>
        </w:rPr>
      </w:pPr>
    </w:p>
    <w:p w14:paraId="2A6B1E78">
      <w:pPr>
        <w:pStyle w:val="7"/>
        <w:rPr>
          <w:rFonts w:hint="eastAsia"/>
        </w:rPr>
      </w:pPr>
    </w:p>
    <w:p w14:paraId="282BE352">
      <w:pPr>
        <w:rPr>
          <w:rFonts w:hint="eastAsia"/>
        </w:rPr>
      </w:pPr>
    </w:p>
    <w:p w14:paraId="7BEBAB57">
      <w:pPr>
        <w:pStyle w:val="7"/>
        <w:rPr>
          <w:rFonts w:hint="eastAsia"/>
        </w:rPr>
      </w:pPr>
    </w:p>
    <w:p w14:paraId="204BDA8E">
      <w:pPr>
        <w:rPr>
          <w:rFonts w:hint="eastAsia"/>
        </w:rPr>
      </w:pPr>
    </w:p>
    <w:p w14:paraId="7F75E4A7">
      <w:pPr>
        <w:pStyle w:val="7"/>
        <w:rPr>
          <w:rFonts w:hint="eastAsia"/>
        </w:rPr>
      </w:pPr>
    </w:p>
    <w:p w14:paraId="2CDAD7DA">
      <w:pPr>
        <w:rPr>
          <w:rFonts w:hint="eastAsia"/>
        </w:rPr>
      </w:pPr>
    </w:p>
    <w:p w14:paraId="49FDA873">
      <w:pPr>
        <w:pStyle w:val="7"/>
        <w:rPr>
          <w:rFonts w:hint="eastAsia"/>
        </w:rPr>
      </w:pPr>
    </w:p>
    <w:p w14:paraId="5C85AF60">
      <w:pPr>
        <w:rPr>
          <w:rFonts w:hint="eastAsia"/>
        </w:rPr>
      </w:pPr>
    </w:p>
    <w:p w14:paraId="623DB407">
      <w:pPr>
        <w:snapToGrid w:val="0"/>
        <w:spacing w:line="360" w:lineRule="auto"/>
        <w:jc w:val="center"/>
        <w:rPr>
          <w:rFonts w:hint="eastAsia" w:ascii="仿宋" w:hAnsi="仿宋" w:eastAsia="仿宋" w:cs="仿宋"/>
          <w:b/>
          <w:sz w:val="36"/>
          <w:szCs w:val="36"/>
        </w:rPr>
      </w:pPr>
    </w:p>
    <w:p w14:paraId="3041AC31">
      <w:pPr>
        <w:snapToGrid w:val="0"/>
        <w:spacing w:line="360" w:lineRule="auto"/>
        <w:jc w:val="center"/>
        <w:rPr>
          <w:rFonts w:hint="eastAsia" w:ascii="仿宋" w:hAnsi="仿宋" w:eastAsia="仿宋" w:cs="仿宋"/>
          <w:b/>
          <w:sz w:val="36"/>
          <w:szCs w:val="36"/>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3" w:name="_Toc184314479"/>
      <w:bookmarkEnd w:id="23"/>
      <w:bookmarkStart w:id="24" w:name="_Toc184308101"/>
      <w:bookmarkEnd w:id="24"/>
      <w:bookmarkStart w:id="25" w:name="_Toc184310306"/>
      <w:bookmarkEnd w:id="25"/>
      <w:bookmarkStart w:id="26" w:name="_Toc184313304"/>
      <w:bookmarkEnd w:id="26"/>
      <w:bookmarkStart w:id="27" w:name="_Toc184313261"/>
      <w:bookmarkEnd w:id="27"/>
      <w:bookmarkStart w:id="28" w:name="_Toc184308103"/>
      <w:bookmarkEnd w:id="28"/>
      <w:bookmarkStart w:id="29" w:name="_Toc184308107"/>
      <w:bookmarkEnd w:id="29"/>
      <w:bookmarkStart w:id="30" w:name="_Toc184308072"/>
      <w:bookmarkEnd w:id="30"/>
      <w:bookmarkStart w:id="31" w:name="_Toc184314463"/>
      <w:bookmarkEnd w:id="31"/>
      <w:bookmarkStart w:id="32" w:name="_Toc184312106"/>
      <w:bookmarkEnd w:id="32"/>
      <w:bookmarkStart w:id="33" w:name="_Toc184310337"/>
      <w:bookmarkEnd w:id="33"/>
      <w:bookmarkStart w:id="34" w:name="_Toc184308056"/>
      <w:bookmarkEnd w:id="34"/>
      <w:bookmarkStart w:id="35" w:name="_Toc184308088"/>
      <w:bookmarkEnd w:id="35"/>
      <w:bookmarkStart w:id="36" w:name="_Toc184310324"/>
      <w:bookmarkEnd w:id="36"/>
      <w:bookmarkStart w:id="37" w:name="_Toc184313269"/>
      <w:bookmarkEnd w:id="37"/>
      <w:bookmarkStart w:id="38" w:name="_Toc184310297"/>
      <w:bookmarkEnd w:id="38"/>
      <w:bookmarkStart w:id="39" w:name="_Toc184314433"/>
      <w:bookmarkEnd w:id="39"/>
      <w:bookmarkStart w:id="40" w:name="_Toc184308100"/>
      <w:bookmarkEnd w:id="40"/>
      <w:bookmarkStart w:id="41" w:name="_Toc184314411"/>
      <w:bookmarkEnd w:id="41"/>
      <w:bookmarkStart w:id="42" w:name="_Toc184313292"/>
      <w:bookmarkEnd w:id="42"/>
      <w:bookmarkStart w:id="43" w:name="_Toc184313289"/>
      <w:bookmarkEnd w:id="43"/>
      <w:bookmarkStart w:id="44" w:name="_Toc184313247"/>
      <w:bookmarkEnd w:id="44"/>
      <w:bookmarkStart w:id="45" w:name="_Toc184308099"/>
      <w:bookmarkEnd w:id="45"/>
      <w:bookmarkStart w:id="46" w:name="_Toc184314457"/>
      <w:bookmarkEnd w:id="46"/>
      <w:bookmarkStart w:id="47" w:name="_Toc184312131"/>
      <w:bookmarkEnd w:id="47"/>
      <w:bookmarkStart w:id="48" w:name="_Toc184312107"/>
      <w:bookmarkEnd w:id="48"/>
      <w:bookmarkStart w:id="49" w:name="_Toc184312099"/>
      <w:bookmarkEnd w:id="49"/>
      <w:bookmarkStart w:id="50" w:name="_Toc184314455"/>
      <w:bookmarkEnd w:id="50"/>
      <w:bookmarkStart w:id="51" w:name="_Toc184312127"/>
      <w:bookmarkEnd w:id="51"/>
      <w:bookmarkStart w:id="52" w:name="_Toc184314453"/>
      <w:bookmarkEnd w:id="52"/>
      <w:bookmarkStart w:id="53" w:name="_Toc184308076"/>
      <w:bookmarkEnd w:id="53"/>
      <w:bookmarkStart w:id="54" w:name="_Toc184313245"/>
      <w:bookmarkEnd w:id="54"/>
      <w:bookmarkStart w:id="55" w:name="_Toc184310290"/>
      <w:bookmarkEnd w:id="55"/>
      <w:bookmarkStart w:id="56" w:name="_Toc184314473"/>
      <w:bookmarkEnd w:id="56"/>
      <w:bookmarkStart w:id="57" w:name="_Toc184313270"/>
      <w:bookmarkEnd w:id="57"/>
      <w:bookmarkStart w:id="58" w:name="_Toc184312128"/>
      <w:bookmarkEnd w:id="58"/>
      <w:bookmarkStart w:id="59" w:name="_Toc184308060"/>
      <w:bookmarkEnd w:id="59"/>
      <w:bookmarkStart w:id="60" w:name="_Toc184314468"/>
      <w:bookmarkEnd w:id="60"/>
      <w:bookmarkStart w:id="61" w:name="_Toc184313265"/>
      <w:bookmarkEnd w:id="61"/>
      <w:bookmarkStart w:id="62" w:name="_Toc184310344"/>
      <w:bookmarkEnd w:id="62"/>
      <w:bookmarkStart w:id="63" w:name="_Toc184314428"/>
      <w:bookmarkEnd w:id="63"/>
      <w:bookmarkStart w:id="64" w:name="_Toc184308055"/>
      <w:bookmarkEnd w:id="64"/>
      <w:bookmarkStart w:id="65" w:name="_Toc184314435"/>
      <w:bookmarkEnd w:id="65"/>
      <w:bookmarkStart w:id="66" w:name="_Toc184310312"/>
      <w:bookmarkEnd w:id="66"/>
      <w:bookmarkStart w:id="67" w:name="_Toc184314451"/>
      <w:bookmarkEnd w:id="67"/>
      <w:bookmarkStart w:id="68" w:name="_Toc184312095"/>
      <w:bookmarkEnd w:id="68"/>
      <w:bookmarkStart w:id="69" w:name="_Toc184308094"/>
      <w:bookmarkEnd w:id="69"/>
      <w:bookmarkStart w:id="70" w:name="_Toc184312119"/>
      <w:bookmarkEnd w:id="70"/>
      <w:bookmarkStart w:id="71" w:name="_Toc184310320"/>
      <w:bookmarkEnd w:id="71"/>
      <w:bookmarkStart w:id="72" w:name="_Toc184312137"/>
      <w:bookmarkEnd w:id="72"/>
      <w:bookmarkStart w:id="73" w:name="_Toc184313298"/>
      <w:bookmarkEnd w:id="73"/>
      <w:bookmarkStart w:id="74" w:name="_Toc184313240"/>
      <w:bookmarkEnd w:id="74"/>
      <w:bookmarkStart w:id="75" w:name="_Toc184308095"/>
      <w:bookmarkEnd w:id="75"/>
      <w:bookmarkStart w:id="76" w:name="_Toc184312122"/>
      <w:bookmarkEnd w:id="76"/>
      <w:bookmarkStart w:id="77" w:name="_Toc184310314"/>
      <w:bookmarkEnd w:id="77"/>
      <w:bookmarkStart w:id="78" w:name="_Toc184310331"/>
      <w:bookmarkEnd w:id="78"/>
      <w:bookmarkStart w:id="79" w:name="_Toc184312081"/>
      <w:bookmarkEnd w:id="79"/>
      <w:bookmarkStart w:id="80" w:name="_Toc184310329"/>
      <w:bookmarkEnd w:id="80"/>
      <w:bookmarkStart w:id="81" w:name="_Toc184312068"/>
      <w:bookmarkEnd w:id="81"/>
      <w:bookmarkStart w:id="82" w:name="_Toc184312121"/>
      <w:bookmarkEnd w:id="82"/>
      <w:bookmarkStart w:id="83" w:name="_Toc184310295"/>
      <w:bookmarkEnd w:id="83"/>
      <w:bookmarkStart w:id="84" w:name="_Toc184314469"/>
      <w:bookmarkEnd w:id="84"/>
      <w:bookmarkStart w:id="85" w:name="_Toc184312100"/>
      <w:bookmarkEnd w:id="85"/>
      <w:bookmarkStart w:id="86" w:name="_Toc184314480"/>
      <w:bookmarkEnd w:id="86"/>
      <w:bookmarkStart w:id="87" w:name="_Toc184310274"/>
      <w:bookmarkEnd w:id="87"/>
      <w:bookmarkStart w:id="88" w:name="_Toc184312080"/>
      <w:bookmarkEnd w:id="88"/>
      <w:bookmarkStart w:id="89" w:name="_Toc184314448"/>
      <w:bookmarkEnd w:id="89"/>
      <w:bookmarkStart w:id="90" w:name="_Toc184312113"/>
      <w:bookmarkEnd w:id="90"/>
      <w:bookmarkStart w:id="91" w:name="_Toc184312103"/>
      <w:bookmarkEnd w:id="91"/>
      <w:bookmarkStart w:id="92" w:name="_Toc184308083"/>
      <w:bookmarkEnd w:id="92"/>
      <w:bookmarkStart w:id="93" w:name="_Toc184310275"/>
      <w:bookmarkEnd w:id="93"/>
      <w:bookmarkStart w:id="94" w:name="_Toc184313266"/>
      <w:bookmarkEnd w:id="94"/>
      <w:bookmarkStart w:id="95" w:name="_Toc184313242"/>
      <w:bookmarkEnd w:id="95"/>
      <w:bookmarkStart w:id="96" w:name="_Toc184310305"/>
      <w:bookmarkEnd w:id="96"/>
      <w:bookmarkStart w:id="97" w:name="_Toc184312086"/>
      <w:bookmarkEnd w:id="97"/>
      <w:bookmarkStart w:id="98" w:name="_Toc184313286"/>
      <w:bookmarkEnd w:id="98"/>
      <w:bookmarkStart w:id="99" w:name="_Toc184310292"/>
      <w:bookmarkEnd w:id="99"/>
      <w:bookmarkStart w:id="100" w:name="_Toc184314450"/>
      <w:bookmarkEnd w:id="100"/>
      <w:bookmarkStart w:id="101" w:name="_Toc184314410"/>
      <w:bookmarkEnd w:id="101"/>
      <w:bookmarkStart w:id="102" w:name="_Toc184310273"/>
      <w:bookmarkEnd w:id="102"/>
      <w:bookmarkStart w:id="103" w:name="_Toc184308051"/>
      <w:bookmarkEnd w:id="103"/>
      <w:bookmarkStart w:id="104" w:name="_Toc184308108"/>
      <w:bookmarkEnd w:id="104"/>
      <w:bookmarkStart w:id="105" w:name="_Toc184310332"/>
      <w:bookmarkEnd w:id="105"/>
      <w:bookmarkStart w:id="106" w:name="_Toc184313271"/>
      <w:bookmarkEnd w:id="106"/>
      <w:bookmarkStart w:id="107" w:name="_Toc184313260"/>
      <w:bookmarkEnd w:id="107"/>
      <w:bookmarkStart w:id="108" w:name="_Toc184313246"/>
      <w:bookmarkEnd w:id="108"/>
      <w:bookmarkStart w:id="109" w:name="_Toc184310291"/>
      <w:bookmarkEnd w:id="109"/>
      <w:bookmarkStart w:id="110" w:name="_Toc184310317"/>
      <w:bookmarkEnd w:id="110"/>
      <w:bookmarkStart w:id="111" w:name="_Toc184312096"/>
      <w:bookmarkEnd w:id="111"/>
      <w:bookmarkStart w:id="112" w:name="_Toc184314431"/>
      <w:bookmarkEnd w:id="112"/>
      <w:bookmarkStart w:id="113" w:name="_Toc184314481"/>
      <w:bookmarkEnd w:id="113"/>
      <w:bookmarkStart w:id="114" w:name="_Toc184312094"/>
      <w:bookmarkEnd w:id="114"/>
      <w:bookmarkStart w:id="115" w:name="_Toc184312101"/>
      <w:bookmarkEnd w:id="115"/>
      <w:bookmarkStart w:id="116" w:name="_Toc184310279"/>
      <w:bookmarkEnd w:id="116"/>
      <w:bookmarkStart w:id="117" w:name="_Toc184308065"/>
      <w:bookmarkEnd w:id="117"/>
      <w:bookmarkStart w:id="118" w:name="_Toc184308069"/>
      <w:bookmarkEnd w:id="118"/>
      <w:bookmarkStart w:id="119" w:name="_Toc184308078"/>
      <w:bookmarkEnd w:id="119"/>
      <w:bookmarkStart w:id="120" w:name="_Toc184310302"/>
      <w:bookmarkEnd w:id="120"/>
      <w:bookmarkStart w:id="121" w:name="_Toc184308074"/>
      <w:bookmarkEnd w:id="121"/>
      <w:bookmarkStart w:id="122" w:name="_Toc184313268"/>
      <w:bookmarkEnd w:id="122"/>
      <w:bookmarkStart w:id="123" w:name="_Toc184313307"/>
      <w:bookmarkEnd w:id="123"/>
      <w:bookmarkStart w:id="124" w:name="_Toc184310300"/>
      <w:bookmarkEnd w:id="124"/>
      <w:bookmarkStart w:id="125" w:name="_Toc184310339"/>
      <w:bookmarkEnd w:id="125"/>
      <w:bookmarkStart w:id="126" w:name="_Toc184310281"/>
      <w:bookmarkEnd w:id="126"/>
      <w:bookmarkStart w:id="127" w:name="_Toc184310303"/>
      <w:bookmarkEnd w:id="127"/>
      <w:bookmarkStart w:id="128" w:name="_Toc184308097"/>
      <w:bookmarkEnd w:id="128"/>
      <w:bookmarkStart w:id="129" w:name="_Toc184308053"/>
      <w:bookmarkEnd w:id="129"/>
      <w:bookmarkStart w:id="130" w:name="_Toc184312075"/>
      <w:bookmarkEnd w:id="130"/>
      <w:bookmarkStart w:id="131" w:name="_Toc184308082"/>
      <w:bookmarkEnd w:id="131"/>
      <w:bookmarkStart w:id="132" w:name="_Toc184313275"/>
      <w:bookmarkEnd w:id="132"/>
      <w:bookmarkStart w:id="133" w:name="_Toc184312134"/>
      <w:bookmarkEnd w:id="133"/>
      <w:bookmarkStart w:id="134" w:name="_Toc184312116"/>
      <w:bookmarkEnd w:id="134"/>
      <w:bookmarkStart w:id="135" w:name="_Toc184313277"/>
      <w:bookmarkEnd w:id="135"/>
      <w:bookmarkStart w:id="136" w:name="_Toc184313285"/>
      <w:bookmarkEnd w:id="136"/>
      <w:bookmarkStart w:id="137" w:name="_Toc184312082"/>
      <w:bookmarkEnd w:id="137"/>
      <w:bookmarkStart w:id="138" w:name="_Toc184312077"/>
      <w:bookmarkEnd w:id="138"/>
      <w:bookmarkStart w:id="139" w:name="_Toc184308052"/>
      <w:bookmarkEnd w:id="139"/>
      <w:bookmarkStart w:id="140" w:name="_Toc184308062"/>
      <w:bookmarkEnd w:id="140"/>
      <w:bookmarkStart w:id="141" w:name="_Toc184314472"/>
      <w:bookmarkEnd w:id="141"/>
      <w:bookmarkStart w:id="142" w:name="_Toc184313278"/>
      <w:bookmarkEnd w:id="142"/>
      <w:bookmarkStart w:id="143" w:name="_Toc184310315"/>
      <w:bookmarkEnd w:id="143"/>
      <w:bookmarkStart w:id="144" w:name="_Toc184314477"/>
      <w:bookmarkEnd w:id="144"/>
      <w:bookmarkStart w:id="145" w:name="_Toc184314427"/>
      <w:bookmarkEnd w:id="145"/>
      <w:bookmarkStart w:id="146" w:name="_Toc184314474"/>
      <w:bookmarkEnd w:id="146"/>
      <w:bookmarkStart w:id="147" w:name="_Toc184312067"/>
      <w:bookmarkEnd w:id="147"/>
      <w:bookmarkStart w:id="148" w:name="_Toc184308079"/>
      <w:bookmarkEnd w:id="148"/>
      <w:bookmarkStart w:id="149" w:name="_Toc184313264"/>
      <w:bookmarkEnd w:id="149"/>
      <w:bookmarkStart w:id="150" w:name="_Toc184310304"/>
      <w:bookmarkEnd w:id="150"/>
      <w:bookmarkStart w:id="151" w:name="_Toc184310286"/>
      <w:bookmarkEnd w:id="151"/>
      <w:bookmarkStart w:id="152" w:name="_Toc184312098"/>
      <w:bookmarkEnd w:id="152"/>
      <w:bookmarkStart w:id="153" w:name="_Toc184314449"/>
      <w:bookmarkEnd w:id="153"/>
      <w:bookmarkStart w:id="154" w:name="_Toc184314418"/>
      <w:bookmarkEnd w:id="154"/>
      <w:bookmarkStart w:id="155" w:name="_Toc184314429"/>
      <w:bookmarkEnd w:id="155"/>
      <w:bookmarkStart w:id="156" w:name="_Toc184313297"/>
      <w:bookmarkEnd w:id="156"/>
      <w:bookmarkStart w:id="157" w:name="_Toc184312072"/>
      <w:bookmarkEnd w:id="157"/>
      <w:bookmarkStart w:id="158" w:name="_Toc184314444"/>
      <w:bookmarkEnd w:id="158"/>
      <w:bookmarkStart w:id="159" w:name="_Toc184312109"/>
      <w:bookmarkEnd w:id="159"/>
      <w:bookmarkStart w:id="160" w:name="_Toc184313280"/>
      <w:bookmarkEnd w:id="160"/>
      <w:bookmarkStart w:id="161" w:name="_Toc184310343"/>
      <w:bookmarkEnd w:id="161"/>
      <w:bookmarkStart w:id="162" w:name="_Toc184314430"/>
      <w:bookmarkEnd w:id="162"/>
      <w:bookmarkStart w:id="163" w:name="_Toc184313290"/>
      <w:bookmarkEnd w:id="163"/>
      <w:bookmarkStart w:id="164" w:name="_Toc184314441"/>
      <w:bookmarkEnd w:id="164"/>
      <w:bookmarkStart w:id="165" w:name="_Toc184313301"/>
      <w:bookmarkEnd w:id="165"/>
      <w:bookmarkStart w:id="166" w:name="_Toc184312084"/>
      <w:bookmarkEnd w:id="166"/>
      <w:bookmarkStart w:id="167" w:name="_Toc184308040"/>
      <w:bookmarkEnd w:id="167"/>
      <w:bookmarkStart w:id="168" w:name="_Toc184312093"/>
      <w:bookmarkEnd w:id="168"/>
      <w:bookmarkStart w:id="169" w:name="_Toc184308105"/>
      <w:bookmarkEnd w:id="169"/>
      <w:bookmarkStart w:id="170" w:name="_Toc184312112"/>
      <w:bookmarkEnd w:id="170"/>
      <w:bookmarkStart w:id="171" w:name="_Toc184308042"/>
      <w:bookmarkEnd w:id="171"/>
      <w:bookmarkStart w:id="172" w:name="_Toc184313274"/>
      <w:bookmarkEnd w:id="172"/>
      <w:bookmarkStart w:id="173" w:name="_Toc184310287"/>
      <w:bookmarkEnd w:id="173"/>
      <w:bookmarkStart w:id="174" w:name="_Toc184313283"/>
      <w:bookmarkEnd w:id="174"/>
      <w:bookmarkStart w:id="175" w:name="_Toc184310328"/>
      <w:bookmarkEnd w:id="175"/>
      <w:bookmarkStart w:id="176" w:name="_Toc184313310"/>
      <w:bookmarkEnd w:id="176"/>
      <w:bookmarkStart w:id="177" w:name="_Toc184308096"/>
      <w:bookmarkEnd w:id="177"/>
      <w:bookmarkStart w:id="178" w:name="_Toc184308067"/>
      <w:bookmarkEnd w:id="178"/>
      <w:bookmarkStart w:id="179" w:name="_Toc184308036"/>
      <w:bookmarkEnd w:id="179"/>
      <w:bookmarkStart w:id="180" w:name="_Toc184312079"/>
      <w:bookmarkEnd w:id="180"/>
      <w:bookmarkStart w:id="181" w:name="_Toc184313244"/>
      <w:bookmarkEnd w:id="181"/>
      <w:bookmarkStart w:id="182" w:name="_Toc184314462"/>
      <w:bookmarkEnd w:id="182"/>
      <w:bookmarkStart w:id="183" w:name="_Toc184313293"/>
      <w:bookmarkEnd w:id="183"/>
      <w:bookmarkStart w:id="184" w:name="_Toc184312089"/>
      <w:bookmarkEnd w:id="184"/>
      <w:bookmarkStart w:id="185" w:name="_Toc184314425"/>
      <w:bookmarkEnd w:id="185"/>
      <w:bookmarkStart w:id="186" w:name="_Toc184308066"/>
      <w:bookmarkEnd w:id="186"/>
      <w:bookmarkStart w:id="187" w:name="_Toc184313305"/>
      <w:bookmarkEnd w:id="187"/>
      <w:bookmarkStart w:id="188" w:name="_Toc184313302"/>
      <w:bookmarkEnd w:id="188"/>
      <w:bookmarkStart w:id="189" w:name="_Toc184308084"/>
      <w:bookmarkEnd w:id="189"/>
      <w:bookmarkStart w:id="190" w:name="_Toc184308048"/>
      <w:bookmarkEnd w:id="190"/>
      <w:bookmarkStart w:id="191" w:name="_Toc184312124"/>
      <w:bookmarkEnd w:id="191"/>
      <w:bookmarkStart w:id="192" w:name="_Toc184312097"/>
      <w:bookmarkEnd w:id="192"/>
      <w:bookmarkStart w:id="193" w:name="_Toc184313309"/>
      <w:bookmarkEnd w:id="193"/>
      <w:bookmarkStart w:id="194" w:name="_Toc184310322"/>
      <w:bookmarkEnd w:id="194"/>
      <w:bookmarkStart w:id="195" w:name="_Toc184312090"/>
      <w:bookmarkEnd w:id="195"/>
      <w:bookmarkStart w:id="196" w:name="_Toc184308104"/>
      <w:bookmarkEnd w:id="196"/>
      <w:bookmarkStart w:id="197" w:name="_Toc184313295"/>
      <w:bookmarkEnd w:id="197"/>
      <w:bookmarkStart w:id="198" w:name="_Toc184310301"/>
      <w:bookmarkEnd w:id="198"/>
      <w:bookmarkStart w:id="199" w:name="_Toc184310311"/>
      <w:bookmarkEnd w:id="199"/>
      <w:bookmarkStart w:id="200" w:name="_Toc184308071"/>
      <w:bookmarkEnd w:id="200"/>
      <w:bookmarkStart w:id="201" w:name="_Toc184312139"/>
      <w:bookmarkEnd w:id="201"/>
      <w:bookmarkStart w:id="202" w:name="_Toc184313250"/>
      <w:bookmarkEnd w:id="202"/>
      <w:bookmarkStart w:id="203" w:name="_Toc184310283"/>
      <w:bookmarkEnd w:id="203"/>
      <w:bookmarkStart w:id="204" w:name="_Toc184313259"/>
      <w:bookmarkEnd w:id="204"/>
      <w:bookmarkStart w:id="205" w:name="_Toc184308059"/>
      <w:bookmarkEnd w:id="205"/>
      <w:bookmarkStart w:id="206" w:name="_Toc184310278"/>
      <w:bookmarkEnd w:id="206"/>
      <w:bookmarkStart w:id="207" w:name="_Toc184312074"/>
      <w:bookmarkEnd w:id="207"/>
      <w:bookmarkStart w:id="208" w:name="_Toc184314434"/>
      <w:bookmarkEnd w:id="208"/>
      <w:bookmarkStart w:id="209" w:name="_Toc184312070"/>
      <w:bookmarkEnd w:id="209"/>
      <w:bookmarkStart w:id="210" w:name="_Toc184312076"/>
      <w:bookmarkEnd w:id="210"/>
      <w:bookmarkStart w:id="211" w:name="_Toc184313288"/>
      <w:bookmarkEnd w:id="211"/>
      <w:bookmarkStart w:id="212" w:name="_Toc184314423"/>
      <w:bookmarkEnd w:id="212"/>
      <w:bookmarkStart w:id="213" w:name="_Toc184308081"/>
      <w:bookmarkEnd w:id="213"/>
      <w:bookmarkStart w:id="214" w:name="_Toc184312133"/>
      <w:bookmarkEnd w:id="214"/>
      <w:bookmarkStart w:id="215" w:name="_Toc184310298"/>
      <w:bookmarkEnd w:id="215"/>
      <w:bookmarkStart w:id="216" w:name="_Toc184310310"/>
      <w:bookmarkEnd w:id="216"/>
      <w:bookmarkStart w:id="217" w:name="_Toc184308064"/>
      <w:bookmarkEnd w:id="217"/>
      <w:bookmarkStart w:id="218" w:name="_Toc184310319"/>
      <w:bookmarkEnd w:id="218"/>
      <w:bookmarkStart w:id="219" w:name="_Toc184310285"/>
      <w:bookmarkEnd w:id="219"/>
      <w:bookmarkStart w:id="220" w:name="_Toc184312126"/>
      <w:bookmarkEnd w:id="220"/>
      <w:bookmarkStart w:id="221" w:name="_Toc184308098"/>
      <w:bookmarkEnd w:id="221"/>
      <w:bookmarkStart w:id="222" w:name="_Toc184312115"/>
      <w:bookmarkEnd w:id="222"/>
      <w:bookmarkStart w:id="223" w:name="_Toc184310288"/>
      <w:bookmarkEnd w:id="223"/>
      <w:bookmarkStart w:id="224" w:name="_Toc184310321"/>
      <w:bookmarkEnd w:id="224"/>
      <w:bookmarkStart w:id="225" w:name="_Toc184308077"/>
      <w:bookmarkEnd w:id="225"/>
      <w:bookmarkStart w:id="226" w:name="_Toc184314422"/>
      <w:bookmarkEnd w:id="226"/>
      <w:bookmarkStart w:id="227" w:name="_Toc184308047"/>
      <w:bookmarkEnd w:id="227"/>
      <w:bookmarkStart w:id="228" w:name="_Toc184312125"/>
      <w:bookmarkEnd w:id="228"/>
      <w:bookmarkStart w:id="229" w:name="_Toc184312104"/>
      <w:bookmarkEnd w:id="229"/>
      <w:bookmarkStart w:id="230" w:name="_Toc184312118"/>
      <w:bookmarkEnd w:id="230"/>
      <w:bookmarkStart w:id="231" w:name="_Toc184310282"/>
      <w:bookmarkEnd w:id="231"/>
      <w:bookmarkStart w:id="232" w:name="_Toc184313267"/>
      <w:bookmarkEnd w:id="232"/>
      <w:bookmarkStart w:id="233" w:name="_Toc184313248"/>
      <w:bookmarkEnd w:id="233"/>
      <w:bookmarkStart w:id="234" w:name="_Toc184314456"/>
      <w:bookmarkEnd w:id="234"/>
      <w:bookmarkStart w:id="235" w:name="_Toc184310308"/>
      <w:bookmarkEnd w:id="235"/>
      <w:bookmarkStart w:id="236" w:name="_Toc184310330"/>
      <w:bookmarkEnd w:id="236"/>
      <w:bookmarkStart w:id="237" w:name="_Toc184313251"/>
      <w:bookmarkEnd w:id="237"/>
      <w:bookmarkStart w:id="238" w:name="_Toc184314436"/>
      <w:bookmarkEnd w:id="238"/>
      <w:bookmarkStart w:id="239" w:name="_Toc184314467"/>
      <w:bookmarkEnd w:id="239"/>
      <w:bookmarkStart w:id="240" w:name="_Toc184308086"/>
      <w:bookmarkEnd w:id="240"/>
      <w:bookmarkStart w:id="241" w:name="_Toc184312085"/>
      <w:bookmarkEnd w:id="241"/>
      <w:bookmarkStart w:id="242" w:name="_Toc184312110"/>
      <w:bookmarkEnd w:id="242"/>
      <w:bookmarkStart w:id="243" w:name="_Toc184308102"/>
      <w:bookmarkEnd w:id="243"/>
      <w:bookmarkStart w:id="244" w:name="_Toc184314442"/>
      <w:bookmarkEnd w:id="244"/>
      <w:bookmarkStart w:id="245" w:name="_Toc184310293"/>
      <w:bookmarkEnd w:id="245"/>
      <w:bookmarkStart w:id="246" w:name="_Toc184313284"/>
      <w:bookmarkEnd w:id="246"/>
      <w:bookmarkStart w:id="247" w:name="_Toc184314471"/>
      <w:bookmarkEnd w:id="247"/>
      <w:bookmarkStart w:id="248" w:name="_Toc184312111"/>
      <w:bookmarkEnd w:id="248"/>
      <w:bookmarkStart w:id="249" w:name="_Toc184310327"/>
      <w:bookmarkEnd w:id="249"/>
      <w:bookmarkStart w:id="250" w:name="_Toc184313239"/>
      <w:bookmarkEnd w:id="250"/>
      <w:bookmarkStart w:id="251" w:name="_Toc184313258"/>
      <w:bookmarkEnd w:id="251"/>
      <w:bookmarkStart w:id="252" w:name="_Toc184310309"/>
      <w:bookmarkEnd w:id="252"/>
      <w:bookmarkStart w:id="253" w:name="_Toc184310316"/>
      <w:bookmarkEnd w:id="253"/>
      <w:bookmarkStart w:id="254" w:name="_Toc184308087"/>
      <w:bookmarkEnd w:id="254"/>
      <w:bookmarkStart w:id="255" w:name="_Toc184312088"/>
      <w:bookmarkEnd w:id="255"/>
      <w:bookmarkStart w:id="256" w:name="_Toc184308057"/>
      <w:bookmarkEnd w:id="256"/>
      <w:bookmarkStart w:id="257" w:name="_Toc184314443"/>
      <w:bookmarkEnd w:id="257"/>
      <w:bookmarkStart w:id="258" w:name="_Toc184313272"/>
      <w:bookmarkEnd w:id="258"/>
      <w:bookmarkStart w:id="259" w:name="_Toc184314460"/>
      <w:bookmarkEnd w:id="259"/>
      <w:bookmarkStart w:id="260" w:name="_Toc184308091"/>
      <w:bookmarkEnd w:id="260"/>
      <w:bookmarkStart w:id="261" w:name="_Toc184313273"/>
      <w:bookmarkEnd w:id="261"/>
      <w:bookmarkStart w:id="262" w:name="_Toc184310338"/>
      <w:bookmarkEnd w:id="262"/>
      <w:bookmarkStart w:id="263" w:name="_Toc184308070"/>
      <w:bookmarkEnd w:id="263"/>
      <w:bookmarkStart w:id="264" w:name="_Toc184314413"/>
      <w:bookmarkEnd w:id="264"/>
      <w:bookmarkStart w:id="265" w:name="_Toc184313296"/>
      <w:bookmarkEnd w:id="265"/>
      <w:bookmarkStart w:id="266" w:name="_Toc184314464"/>
      <w:bookmarkEnd w:id="266"/>
      <w:bookmarkStart w:id="267" w:name="_Toc184313254"/>
      <w:bookmarkEnd w:id="267"/>
      <w:bookmarkStart w:id="268" w:name="_Toc184314412"/>
      <w:bookmarkEnd w:id="268"/>
      <w:bookmarkStart w:id="269" w:name="_Toc184313255"/>
      <w:bookmarkEnd w:id="269"/>
      <w:bookmarkStart w:id="270" w:name="_Toc184314439"/>
      <w:bookmarkEnd w:id="270"/>
      <w:bookmarkStart w:id="271" w:name="_Toc184308075"/>
      <w:bookmarkEnd w:id="271"/>
      <w:bookmarkStart w:id="272" w:name="_Toc184312069"/>
      <w:bookmarkEnd w:id="272"/>
      <w:bookmarkStart w:id="273" w:name="_Toc184312078"/>
      <w:bookmarkEnd w:id="273"/>
      <w:bookmarkStart w:id="274" w:name="_Toc184310333"/>
      <w:bookmarkEnd w:id="274"/>
      <w:bookmarkStart w:id="275" w:name="_Toc184308080"/>
      <w:bookmarkEnd w:id="275"/>
      <w:bookmarkStart w:id="276" w:name="_Toc184308049"/>
      <w:bookmarkEnd w:id="276"/>
      <w:bookmarkStart w:id="277" w:name="_Toc184314438"/>
      <w:bookmarkEnd w:id="277"/>
      <w:bookmarkStart w:id="278" w:name="_Toc184310307"/>
      <w:bookmarkEnd w:id="278"/>
      <w:bookmarkStart w:id="279" w:name="_Toc184312136"/>
      <w:bookmarkEnd w:id="279"/>
      <w:bookmarkStart w:id="280" w:name="_Toc184314416"/>
      <w:bookmarkEnd w:id="280"/>
      <w:bookmarkStart w:id="281" w:name="_Toc184308090"/>
      <w:bookmarkEnd w:id="281"/>
      <w:bookmarkStart w:id="282" w:name="_Toc184312091"/>
      <w:bookmarkEnd w:id="282"/>
      <w:bookmarkStart w:id="283" w:name="_Toc184313306"/>
      <w:bookmarkEnd w:id="283"/>
      <w:bookmarkStart w:id="284" w:name="_Toc184313291"/>
      <w:bookmarkEnd w:id="284"/>
      <w:bookmarkStart w:id="285" w:name="_Toc184314482"/>
      <w:bookmarkEnd w:id="285"/>
      <w:bookmarkStart w:id="286" w:name="_Toc184314437"/>
      <w:bookmarkEnd w:id="286"/>
      <w:bookmarkStart w:id="287" w:name="_Toc184310294"/>
      <w:bookmarkEnd w:id="287"/>
      <w:bookmarkStart w:id="288" w:name="_Toc184310335"/>
      <w:bookmarkEnd w:id="288"/>
      <w:bookmarkStart w:id="289" w:name="_Toc184314475"/>
      <w:bookmarkEnd w:id="289"/>
      <w:bookmarkStart w:id="290" w:name="_Toc184310296"/>
      <w:bookmarkEnd w:id="290"/>
      <w:bookmarkStart w:id="291" w:name="_Toc184308085"/>
      <w:bookmarkEnd w:id="291"/>
      <w:bookmarkStart w:id="292" w:name="_Toc184310289"/>
      <w:bookmarkEnd w:id="292"/>
      <w:bookmarkStart w:id="293" w:name="_Toc184312123"/>
      <w:bookmarkEnd w:id="293"/>
      <w:bookmarkStart w:id="294" w:name="_Toc184314445"/>
      <w:bookmarkEnd w:id="294"/>
      <w:bookmarkStart w:id="295" w:name="_Toc184312073"/>
      <w:bookmarkEnd w:id="295"/>
      <w:bookmarkStart w:id="296" w:name="_Toc184308037"/>
      <w:bookmarkEnd w:id="296"/>
      <w:bookmarkStart w:id="297" w:name="_Toc184312092"/>
      <w:bookmarkEnd w:id="297"/>
      <w:bookmarkStart w:id="298" w:name="_Toc184312132"/>
      <w:bookmarkEnd w:id="298"/>
      <w:bookmarkStart w:id="299" w:name="_Toc184314476"/>
      <w:bookmarkEnd w:id="299"/>
      <w:bookmarkStart w:id="300" w:name="_Toc184312138"/>
      <w:bookmarkEnd w:id="300"/>
      <w:bookmarkStart w:id="301" w:name="_Toc184314454"/>
      <w:bookmarkEnd w:id="301"/>
      <w:bookmarkStart w:id="302" w:name="_Toc184308089"/>
      <w:bookmarkEnd w:id="302"/>
      <w:bookmarkStart w:id="303" w:name="_Toc184314447"/>
      <w:bookmarkEnd w:id="303"/>
      <w:bookmarkStart w:id="304" w:name="_Toc184313287"/>
      <w:bookmarkEnd w:id="304"/>
      <w:bookmarkStart w:id="305" w:name="_Toc184308093"/>
      <w:bookmarkEnd w:id="305"/>
      <w:bookmarkStart w:id="306" w:name="_Toc184310313"/>
      <w:bookmarkEnd w:id="306"/>
      <w:bookmarkStart w:id="307" w:name="_Toc184312071"/>
      <w:bookmarkEnd w:id="307"/>
      <w:bookmarkStart w:id="308" w:name="_Toc184313294"/>
      <w:bookmarkEnd w:id="308"/>
      <w:bookmarkStart w:id="309" w:name="_Toc184314440"/>
      <w:bookmarkEnd w:id="309"/>
      <w:bookmarkStart w:id="310" w:name="_Toc184314466"/>
      <w:bookmarkEnd w:id="310"/>
      <w:bookmarkStart w:id="311" w:name="_Toc184310276"/>
      <w:bookmarkEnd w:id="311"/>
      <w:bookmarkStart w:id="312" w:name="_Toc184313257"/>
      <w:bookmarkEnd w:id="312"/>
      <w:bookmarkStart w:id="313" w:name="_Toc184312087"/>
      <w:bookmarkEnd w:id="313"/>
      <w:bookmarkStart w:id="314" w:name="_Toc184314424"/>
      <w:bookmarkEnd w:id="314"/>
      <w:bookmarkStart w:id="315" w:name="_Toc184314465"/>
      <w:bookmarkEnd w:id="315"/>
      <w:bookmarkStart w:id="316" w:name="_Toc184313281"/>
      <w:bookmarkEnd w:id="316"/>
      <w:bookmarkStart w:id="317" w:name="_Toc184308058"/>
      <w:bookmarkEnd w:id="317"/>
      <w:bookmarkStart w:id="318" w:name="_Toc184313252"/>
      <w:bookmarkEnd w:id="318"/>
      <w:bookmarkStart w:id="319" w:name="_Toc184314417"/>
      <w:bookmarkEnd w:id="319"/>
      <w:bookmarkStart w:id="320" w:name="_Toc184308092"/>
      <w:bookmarkEnd w:id="320"/>
      <w:bookmarkStart w:id="321" w:name="_Toc184310326"/>
      <w:bookmarkEnd w:id="321"/>
      <w:bookmarkStart w:id="322" w:name="_Toc184313249"/>
      <w:bookmarkEnd w:id="322"/>
      <w:bookmarkStart w:id="323" w:name="_Toc184312102"/>
      <w:bookmarkEnd w:id="323"/>
      <w:bookmarkStart w:id="324" w:name="_Toc184310325"/>
      <w:bookmarkEnd w:id="324"/>
      <w:bookmarkStart w:id="325" w:name="_Toc184313299"/>
      <w:bookmarkEnd w:id="325"/>
      <w:bookmarkStart w:id="326" w:name="_Toc184310318"/>
      <w:bookmarkEnd w:id="326"/>
      <w:bookmarkStart w:id="327" w:name="_Toc184313300"/>
      <w:bookmarkEnd w:id="327"/>
      <w:bookmarkStart w:id="328" w:name="_Toc184314420"/>
      <w:bookmarkEnd w:id="328"/>
      <w:bookmarkStart w:id="329" w:name="_Toc184310284"/>
      <w:bookmarkEnd w:id="329"/>
      <w:bookmarkStart w:id="330" w:name="_Toc184308050"/>
      <w:bookmarkEnd w:id="330"/>
      <w:bookmarkStart w:id="331" w:name="_Toc184313279"/>
      <w:bookmarkEnd w:id="331"/>
      <w:bookmarkStart w:id="332" w:name="_Toc184310341"/>
      <w:bookmarkEnd w:id="332"/>
      <w:bookmarkStart w:id="333" w:name="_Toc184308061"/>
      <w:bookmarkEnd w:id="333"/>
      <w:bookmarkStart w:id="334" w:name="_Toc184312120"/>
      <w:bookmarkEnd w:id="334"/>
      <w:bookmarkStart w:id="335" w:name="_Toc184308039"/>
      <w:bookmarkEnd w:id="335"/>
      <w:bookmarkStart w:id="336" w:name="_Toc184308038"/>
      <w:bookmarkEnd w:id="336"/>
      <w:bookmarkStart w:id="337" w:name="_Toc184313256"/>
      <w:bookmarkEnd w:id="337"/>
      <w:bookmarkStart w:id="338" w:name="_Toc184314419"/>
      <w:bookmarkEnd w:id="338"/>
      <w:bookmarkStart w:id="339" w:name="_Toc184308054"/>
      <w:bookmarkEnd w:id="339"/>
      <w:bookmarkStart w:id="340" w:name="_Toc184313241"/>
      <w:bookmarkEnd w:id="340"/>
      <w:bookmarkStart w:id="341" w:name="_Toc184310334"/>
      <w:bookmarkEnd w:id="341"/>
      <w:bookmarkStart w:id="342" w:name="_Toc184312114"/>
      <w:bookmarkEnd w:id="342"/>
      <w:bookmarkStart w:id="343" w:name="_Toc184308106"/>
      <w:bookmarkEnd w:id="343"/>
      <w:bookmarkStart w:id="344" w:name="_Toc184314458"/>
      <w:bookmarkEnd w:id="344"/>
      <w:bookmarkStart w:id="345" w:name="_Toc184314432"/>
      <w:bookmarkEnd w:id="345"/>
      <w:bookmarkStart w:id="346" w:name="_Toc184314415"/>
      <w:bookmarkEnd w:id="346"/>
      <w:bookmarkStart w:id="347" w:name="_Toc184310323"/>
      <w:bookmarkEnd w:id="347"/>
      <w:bookmarkStart w:id="348" w:name="_Toc184314446"/>
      <w:bookmarkEnd w:id="348"/>
      <w:bookmarkStart w:id="349" w:name="_Toc184313276"/>
      <w:bookmarkEnd w:id="349"/>
      <w:bookmarkStart w:id="350" w:name="_Toc184313243"/>
      <w:bookmarkEnd w:id="350"/>
      <w:bookmarkStart w:id="351" w:name="_Toc184310340"/>
      <w:bookmarkEnd w:id="351"/>
      <w:bookmarkStart w:id="352" w:name="_Toc184314414"/>
      <w:bookmarkEnd w:id="352"/>
      <w:bookmarkStart w:id="353" w:name="_Toc184312105"/>
      <w:bookmarkEnd w:id="353"/>
      <w:bookmarkStart w:id="354" w:name="_Toc184308068"/>
      <w:bookmarkEnd w:id="354"/>
      <w:bookmarkStart w:id="355" w:name="_Toc184308046"/>
      <w:bookmarkEnd w:id="355"/>
      <w:bookmarkStart w:id="356" w:name="_Toc184308045"/>
      <w:bookmarkEnd w:id="356"/>
      <w:bookmarkStart w:id="357" w:name="_Toc184313308"/>
      <w:bookmarkEnd w:id="357"/>
      <w:bookmarkStart w:id="358" w:name="_Toc184310342"/>
      <w:bookmarkEnd w:id="358"/>
      <w:bookmarkStart w:id="359" w:name="_Toc184313238"/>
      <w:bookmarkEnd w:id="359"/>
      <w:bookmarkStart w:id="360" w:name="_Toc184313303"/>
      <w:bookmarkEnd w:id="360"/>
      <w:bookmarkStart w:id="361" w:name="_Toc184310277"/>
      <w:bookmarkEnd w:id="361"/>
      <w:bookmarkStart w:id="362" w:name="_Toc184310272"/>
      <w:bookmarkEnd w:id="362"/>
      <w:bookmarkStart w:id="363" w:name="_Toc184314470"/>
      <w:bookmarkEnd w:id="363"/>
      <w:bookmarkStart w:id="364" w:name="_Toc184314478"/>
      <w:bookmarkEnd w:id="364"/>
      <w:bookmarkStart w:id="365" w:name="_Toc184312108"/>
      <w:bookmarkEnd w:id="365"/>
      <w:bookmarkStart w:id="366" w:name="_Toc184313263"/>
      <w:bookmarkEnd w:id="366"/>
      <w:bookmarkStart w:id="367" w:name="_Toc184312135"/>
      <w:bookmarkEnd w:id="367"/>
      <w:bookmarkStart w:id="368" w:name="_Toc184314452"/>
      <w:bookmarkEnd w:id="368"/>
      <w:bookmarkStart w:id="369" w:name="_Toc184314421"/>
      <w:bookmarkEnd w:id="369"/>
      <w:bookmarkStart w:id="370" w:name="_Toc184314459"/>
      <w:bookmarkEnd w:id="370"/>
      <w:bookmarkStart w:id="371" w:name="_Toc184310280"/>
      <w:bookmarkEnd w:id="371"/>
      <w:bookmarkStart w:id="372" w:name="_Toc184308044"/>
      <w:bookmarkEnd w:id="372"/>
      <w:bookmarkStart w:id="373" w:name="_Toc184312130"/>
      <w:bookmarkEnd w:id="373"/>
      <w:bookmarkStart w:id="374" w:name="_Toc184313253"/>
      <w:bookmarkEnd w:id="374"/>
      <w:bookmarkStart w:id="375" w:name="_Toc184308073"/>
      <w:bookmarkEnd w:id="375"/>
      <w:bookmarkStart w:id="376" w:name="_Toc184312129"/>
      <w:bookmarkEnd w:id="376"/>
      <w:bookmarkStart w:id="377" w:name="_Toc184312117"/>
      <w:bookmarkEnd w:id="377"/>
      <w:bookmarkStart w:id="378" w:name="_Toc184313262"/>
      <w:bookmarkEnd w:id="378"/>
      <w:bookmarkStart w:id="379" w:name="_Toc184314461"/>
      <w:bookmarkEnd w:id="379"/>
      <w:bookmarkStart w:id="380" w:name="_Toc184314426"/>
      <w:bookmarkEnd w:id="380"/>
      <w:bookmarkStart w:id="381" w:name="_Toc184313282"/>
      <w:bookmarkEnd w:id="381"/>
      <w:bookmarkStart w:id="382" w:name="_Toc184308041"/>
      <w:bookmarkEnd w:id="382"/>
      <w:bookmarkStart w:id="383" w:name="_Toc184312083"/>
      <w:bookmarkEnd w:id="383"/>
      <w:bookmarkStart w:id="384" w:name="_Toc184308043"/>
      <w:bookmarkEnd w:id="384"/>
      <w:bookmarkStart w:id="385" w:name="_Toc184308063"/>
      <w:bookmarkEnd w:id="385"/>
      <w:bookmarkStart w:id="386" w:name="_Toc184310299"/>
      <w:bookmarkEnd w:id="386"/>
      <w:bookmarkStart w:id="387" w:name="_Toc184310336"/>
      <w:bookmarkEnd w:id="387"/>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2F5325D4">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11B54F8F">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（2）商务技术得分=商务技术评分，商务技术评分=所有评委的有效评分的算术平均数，技术权值=80%。</w:t>
      </w:r>
    </w:p>
    <w:p w14:paraId="2515E391">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（3）报价得分=（评标基准价/投标折扣）*价格权值*100，评标基准价=有效供应商的最低投标报价，价格权值=20%；</w:t>
      </w:r>
    </w:p>
    <w:p w14:paraId="76869174">
      <w:pPr>
        <w:keepNext w:val="0"/>
        <w:keepLines w:val="0"/>
        <w:pageBreakBefore w:val="0"/>
        <w:widowControl w:val="0"/>
        <w:kinsoku/>
        <w:wordWrap/>
        <w:overflowPunct/>
        <w:topLinePunct w:val="0"/>
        <w:autoSpaceDE w:val="0"/>
        <w:autoSpaceDN w:val="0"/>
        <w:bidi w:val="0"/>
        <w:adjustRightInd w:val="0"/>
        <w:snapToGrid w:val="0"/>
        <w:spacing w:line="300" w:lineRule="exact"/>
        <w:ind w:firstLine="0" w:firstLineChars="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（4）商务技术分评分细则（80分）</w:t>
      </w:r>
    </w:p>
    <w:tbl>
      <w:tblPr>
        <w:tblStyle w:val="62"/>
        <w:tblW w:w="10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1135"/>
        <w:gridCol w:w="7944"/>
        <w:gridCol w:w="736"/>
      </w:tblGrid>
      <w:tr w14:paraId="587DD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0" w:type="dxa"/>
            <w:noWrap w:val="0"/>
            <w:vAlign w:val="center"/>
          </w:tcPr>
          <w:p w14:paraId="7A7EC07F">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135" w:type="dxa"/>
            <w:noWrap w:val="0"/>
            <w:vAlign w:val="center"/>
          </w:tcPr>
          <w:p w14:paraId="6942167C">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项目</w:t>
            </w:r>
          </w:p>
        </w:tc>
        <w:tc>
          <w:tcPr>
            <w:tcW w:w="7944" w:type="dxa"/>
            <w:noWrap w:val="0"/>
            <w:vAlign w:val="center"/>
          </w:tcPr>
          <w:p w14:paraId="0D43ED73">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36" w:type="dxa"/>
            <w:noWrap w:val="0"/>
            <w:vAlign w:val="center"/>
          </w:tcPr>
          <w:p w14:paraId="100BC723">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14:paraId="3572A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740" w:type="dxa"/>
            <w:noWrap w:val="0"/>
            <w:vAlign w:val="center"/>
          </w:tcPr>
          <w:p w14:paraId="038BC70C">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1</w:t>
            </w:r>
          </w:p>
        </w:tc>
        <w:tc>
          <w:tcPr>
            <w:tcW w:w="1135" w:type="dxa"/>
            <w:noWrap w:val="0"/>
            <w:vAlign w:val="center"/>
          </w:tcPr>
          <w:p w14:paraId="5494B28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企业资信</w:t>
            </w:r>
          </w:p>
        </w:tc>
        <w:tc>
          <w:tcPr>
            <w:tcW w:w="7944" w:type="dxa"/>
            <w:noWrap w:val="0"/>
            <w:vAlign w:val="center"/>
          </w:tcPr>
          <w:p w14:paraId="4869A89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Cs/>
                <w:sz w:val="24"/>
                <w:szCs w:val="24"/>
              </w:rPr>
            </w:pPr>
            <w:r>
              <w:rPr>
                <w:rFonts w:hint="eastAsia" w:ascii="仿宋" w:hAnsi="仿宋" w:eastAsia="仿宋" w:cs="仿宋"/>
                <w:bCs/>
                <w:sz w:val="24"/>
                <w:szCs w:val="24"/>
              </w:rPr>
              <w:t>投标人具有有效期内的质量管理体系认证证书、职业健康安全管理体系认证证书、环境管理体系认证证书的，每提供一个证书得1分，最高得3分。</w:t>
            </w:r>
            <w:r>
              <w:rPr>
                <w:rFonts w:hint="eastAsia" w:ascii="仿宋" w:hAnsi="仿宋" w:eastAsia="仿宋" w:cs="仿宋"/>
                <w:b/>
                <w:bCs/>
                <w:w w:val="90"/>
                <w:sz w:val="24"/>
              </w:rPr>
              <w:t>（注：</w:t>
            </w:r>
            <w:r>
              <w:rPr>
                <w:rFonts w:hint="eastAsia" w:ascii="仿宋" w:hAnsi="仿宋" w:eastAsia="仿宋" w:cs="仿宋"/>
                <w:b/>
                <w:bCs/>
                <w:color w:val="auto"/>
                <w:sz w:val="24"/>
                <w:szCs w:val="24"/>
                <w:highlight w:val="none"/>
              </w:rPr>
              <w:t>商务技术文件中需提供有效期内证书复印件并加盖投标人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，否则不得分。）</w:t>
            </w:r>
          </w:p>
        </w:tc>
        <w:tc>
          <w:tcPr>
            <w:tcW w:w="736" w:type="dxa"/>
            <w:noWrap w:val="0"/>
            <w:vAlign w:val="center"/>
          </w:tcPr>
          <w:p w14:paraId="7249591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分</w:t>
            </w:r>
          </w:p>
        </w:tc>
      </w:tr>
      <w:tr w14:paraId="4BAEB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 w:hRule="atLeast"/>
          <w:jc w:val="center"/>
        </w:trPr>
        <w:tc>
          <w:tcPr>
            <w:tcW w:w="740" w:type="dxa"/>
            <w:noWrap w:val="0"/>
            <w:vAlign w:val="center"/>
          </w:tcPr>
          <w:p w14:paraId="29FF3B68">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2</w:t>
            </w:r>
          </w:p>
          <w:p w14:paraId="459BFBCE">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lang w:val="en-US" w:eastAsia="zh-CN"/>
              </w:rPr>
            </w:pPr>
          </w:p>
        </w:tc>
        <w:tc>
          <w:tcPr>
            <w:tcW w:w="1135" w:type="dxa"/>
            <w:noWrap w:val="0"/>
            <w:vAlign w:val="center"/>
          </w:tcPr>
          <w:p w14:paraId="0F0EACD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项目经验</w:t>
            </w:r>
          </w:p>
        </w:tc>
        <w:tc>
          <w:tcPr>
            <w:tcW w:w="7944" w:type="dxa"/>
            <w:noWrap w:val="0"/>
            <w:vAlign w:val="center"/>
          </w:tcPr>
          <w:p w14:paraId="1A99D8AB">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Cs/>
                <w:sz w:val="24"/>
                <w:szCs w:val="24"/>
              </w:rPr>
            </w:pPr>
            <w:r>
              <w:rPr>
                <w:rFonts w:hint="eastAsia" w:ascii="仿宋" w:hAnsi="仿宋" w:eastAsia="仿宋" w:cs="仿宋"/>
                <w:bCs/>
                <w:color w:val="000000"/>
                <w:sz w:val="24"/>
                <w:szCs w:val="24"/>
              </w:rPr>
              <w:t>投标人自20</w:t>
            </w:r>
            <w:r>
              <w:rPr>
                <w:rFonts w:hint="eastAsia" w:ascii="仿宋" w:hAnsi="仿宋" w:eastAsia="仿宋" w:cs="仿宋"/>
                <w:bCs/>
                <w:color w:val="000000"/>
                <w:sz w:val="24"/>
                <w:szCs w:val="24"/>
                <w:lang w:val="en-US" w:eastAsia="zh-CN"/>
              </w:rPr>
              <w:t>22</w:t>
            </w:r>
            <w:r>
              <w:rPr>
                <w:rFonts w:hint="eastAsia" w:ascii="仿宋" w:hAnsi="仿宋" w:eastAsia="仿宋" w:cs="仿宋"/>
                <w:bCs/>
                <w:color w:val="000000"/>
                <w:sz w:val="24"/>
                <w:szCs w:val="24"/>
              </w:rPr>
              <w:t>年1月1日以来（以合同签订时间为准）承担过</w:t>
            </w:r>
            <w:r>
              <w:rPr>
                <w:rFonts w:hint="eastAsia" w:ascii="仿宋" w:hAnsi="仿宋" w:eastAsia="仿宋" w:cs="仿宋"/>
                <w:bCs/>
                <w:color w:val="000000"/>
                <w:sz w:val="24"/>
                <w:szCs w:val="24"/>
                <w:lang w:val="en-US" w:eastAsia="zh-CN"/>
              </w:rPr>
              <w:t>类似</w:t>
            </w:r>
            <w:r>
              <w:rPr>
                <w:rFonts w:hint="eastAsia" w:ascii="仿宋" w:hAnsi="仿宋" w:eastAsia="仿宋" w:cs="仿宋"/>
                <w:bCs/>
                <w:color w:val="000000"/>
                <w:sz w:val="24"/>
                <w:szCs w:val="24"/>
              </w:rPr>
              <w:t>项目业绩的，每提供1个业绩合同得1分，最高得</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w:t>
            </w:r>
          </w:p>
          <w:p w14:paraId="6367DCDB">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Cs/>
                <w:sz w:val="24"/>
                <w:szCs w:val="24"/>
              </w:rPr>
            </w:pPr>
            <w:r>
              <w:rPr>
                <w:rFonts w:hint="eastAsia" w:ascii="仿宋" w:hAnsi="仿宋" w:eastAsia="仿宋" w:cs="仿宋"/>
                <w:b/>
                <w:bCs/>
                <w:color w:val="auto"/>
                <w:sz w:val="24"/>
                <w:szCs w:val="24"/>
                <w:highlight w:val="none"/>
              </w:rPr>
              <w:t>（注：商务技术文件中需提供合同（包括但不限于合同内容、双方签字盖章、签署时间；若合同内容不能体现相关信息的，还需提供合同业主盖章的证明材料）复印件并加盖投标人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rPr>
              <w:t>，否则不得分。）</w:t>
            </w:r>
          </w:p>
        </w:tc>
        <w:tc>
          <w:tcPr>
            <w:tcW w:w="736" w:type="dxa"/>
            <w:noWrap w:val="0"/>
            <w:vAlign w:val="center"/>
          </w:tcPr>
          <w:p w14:paraId="77BDAAD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2分</w:t>
            </w:r>
          </w:p>
        </w:tc>
      </w:tr>
      <w:tr w14:paraId="791D9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5" w:hRule="atLeast"/>
          <w:jc w:val="center"/>
        </w:trPr>
        <w:tc>
          <w:tcPr>
            <w:tcW w:w="740" w:type="dxa"/>
            <w:vMerge w:val="restart"/>
            <w:noWrap w:val="0"/>
            <w:vAlign w:val="center"/>
          </w:tcPr>
          <w:p w14:paraId="7FCDB38F">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3</w:t>
            </w:r>
          </w:p>
        </w:tc>
        <w:tc>
          <w:tcPr>
            <w:tcW w:w="1135" w:type="dxa"/>
            <w:vMerge w:val="restart"/>
            <w:noWrap w:val="0"/>
            <w:vAlign w:val="center"/>
          </w:tcPr>
          <w:p w14:paraId="4E41B19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人员配备</w:t>
            </w:r>
          </w:p>
        </w:tc>
        <w:tc>
          <w:tcPr>
            <w:tcW w:w="7944" w:type="dxa"/>
            <w:noWrap w:val="0"/>
            <w:vAlign w:val="center"/>
          </w:tcPr>
          <w:p w14:paraId="06C2351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i w:val="0"/>
                <w:iCs w:val="0"/>
                <w:caps w:val="0"/>
                <w:color w:val="000000"/>
                <w:spacing w:val="0"/>
                <w:sz w:val="24"/>
                <w:szCs w:val="24"/>
                <w:shd w:val="clear" w:color="auto" w:fill="FFFFFF"/>
                <w:lang w:eastAsia="zh-CN"/>
              </w:rPr>
            </w:pPr>
            <w:r>
              <w:rPr>
                <w:rFonts w:hint="eastAsia" w:ascii="仿宋" w:hAnsi="仿宋" w:eastAsia="仿宋" w:cs="仿宋"/>
                <w:i w:val="0"/>
                <w:iCs w:val="0"/>
                <w:caps w:val="0"/>
                <w:color w:val="000000"/>
                <w:spacing w:val="0"/>
                <w:sz w:val="24"/>
                <w:szCs w:val="24"/>
                <w:shd w:val="clear" w:color="auto" w:fill="FFFFFF"/>
                <w:lang w:eastAsia="zh-CN"/>
              </w:rPr>
              <w:t>拟派总监具有中国水利</w:t>
            </w:r>
            <w:r>
              <w:rPr>
                <w:rFonts w:hint="eastAsia" w:ascii="仿宋" w:hAnsi="仿宋" w:eastAsia="仿宋" w:cs="仿宋"/>
                <w:i w:val="0"/>
                <w:iCs w:val="0"/>
                <w:caps w:val="0"/>
                <w:color w:val="000000"/>
                <w:spacing w:val="0"/>
                <w:sz w:val="24"/>
                <w:szCs w:val="24"/>
                <w:shd w:val="clear" w:color="auto" w:fill="FFFFFF"/>
                <w:lang w:val="en-US" w:eastAsia="zh-CN"/>
              </w:rPr>
              <w:t>部门或</w:t>
            </w:r>
            <w:r>
              <w:rPr>
                <w:rFonts w:hint="eastAsia" w:ascii="仿宋" w:hAnsi="仿宋" w:eastAsia="仿宋" w:cs="仿宋"/>
                <w:i w:val="0"/>
                <w:iCs w:val="0"/>
                <w:caps w:val="0"/>
                <w:color w:val="000000"/>
                <w:spacing w:val="0"/>
                <w:sz w:val="24"/>
                <w:szCs w:val="24"/>
                <w:shd w:val="clear" w:color="auto" w:fill="FFFFFF"/>
                <w:lang w:eastAsia="zh-CN"/>
              </w:rPr>
              <w:t>协会颁发的全国水利工程建设监理工程师证书或具有建设部颁发的国家注册监理工程师（水利）证书的基础上，具有工程类高级专业技术职称的得</w:t>
            </w:r>
            <w:r>
              <w:rPr>
                <w:rFonts w:hint="eastAsia" w:ascii="仿宋" w:hAnsi="仿宋" w:eastAsia="仿宋" w:cs="仿宋"/>
                <w:i w:val="0"/>
                <w:iCs w:val="0"/>
                <w:caps w:val="0"/>
                <w:color w:val="000000"/>
                <w:spacing w:val="0"/>
                <w:sz w:val="24"/>
                <w:szCs w:val="24"/>
                <w:shd w:val="clear" w:color="auto" w:fill="FFFFFF"/>
                <w:lang w:val="en-US" w:eastAsia="zh-CN"/>
              </w:rPr>
              <w:t>3</w:t>
            </w:r>
            <w:r>
              <w:rPr>
                <w:rFonts w:hint="eastAsia" w:ascii="仿宋" w:hAnsi="仿宋" w:eastAsia="仿宋" w:cs="仿宋"/>
                <w:i w:val="0"/>
                <w:iCs w:val="0"/>
                <w:caps w:val="0"/>
                <w:color w:val="000000"/>
                <w:spacing w:val="0"/>
                <w:sz w:val="24"/>
                <w:szCs w:val="24"/>
                <w:shd w:val="clear" w:color="auto" w:fill="FFFFFF"/>
                <w:lang w:eastAsia="zh-CN"/>
              </w:rPr>
              <w:t>分。</w:t>
            </w:r>
          </w:p>
          <w:p w14:paraId="0F46850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Cs/>
                <w:sz w:val="24"/>
                <w:szCs w:val="24"/>
              </w:rPr>
            </w:pPr>
            <w:r>
              <w:rPr>
                <w:rFonts w:hint="eastAsia" w:ascii="仿宋" w:hAnsi="仿宋" w:eastAsia="仿宋" w:cs="仿宋"/>
                <w:b/>
                <w:bCs/>
                <w:color w:val="auto"/>
                <w:sz w:val="24"/>
                <w:szCs w:val="24"/>
                <w:highlight w:val="none"/>
              </w:rPr>
              <w:t>（注：人员必须为投标人在职员工（含离、退休返聘人员），商务技术文件中需提供投标人为其缴纳的近</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个月的社保缴纳证明或离、退休人员聘用合同（社保缴纳证明以社保机构出具的社保证明为准）、相关证书复印件，以上材料均需加盖投标人公章，未提供或提供不全不得分。）</w:t>
            </w:r>
          </w:p>
        </w:tc>
        <w:tc>
          <w:tcPr>
            <w:tcW w:w="736" w:type="dxa"/>
            <w:noWrap w:val="0"/>
            <w:vAlign w:val="center"/>
          </w:tcPr>
          <w:p w14:paraId="1303492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3分</w:t>
            </w:r>
          </w:p>
        </w:tc>
      </w:tr>
      <w:tr w14:paraId="53546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740" w:type="dxa"/>
            <w:vMerge w:val="continue"/>
            <w:noWrap w:val="0"/>
            <w:vAlign w:val="center"/>
          </w:tcPr>
          <w:p w14:paraId="288AB68F">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p>
        </w:tc>
        <w:tc>
          <w:tcPr>
            <w:tcW w:w="1135" w:type="dxa"/>
            <w:vMerge w:val="continue"/>
            <w:noWrap w:val="0"/>
            <w:vAlign w:val="center"/>
          </w:tcPr>
          <w:p w14:paraId="39B38E1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p>
        </w:tc>
        <w:tc>
          <w:tcPr>
            <w:tcW w:w="7944" w:type="dxa"/>
            <w:noWrap w:val="0"/>
            <w:vAlign w:val="center"/>
          </w:tcPr>
          <w:p w14:paraId="46F50F6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拟派“技术服务团队”组成人员（总监理工程师除外）</w:t>
            </w:r>
            <w:r>
              <w:rPr>
                <w:rFonts w:hint="eastAsia" w:ascii="仿宋" w:hAnsi="仿宋" w:eastAsia="仿宋" w:cs="仿宋"/>
                <w:sz w:val="24"/>
                <w:szCs w:val="24"/>
                <w:lang w:eastAsia="zh-CN"/>
              </w:rPr>
              <w:t>配</w:t>
            </w:r>
            <w:r>
              <w:rPr>
                <w:rFonts w:hint="eastAsia" w:ascii="仿宋" w:hAnsi="仿宋" w:eastAsia="仿宋" w:cs="仿宋"/>
                <w:kern w:val="16"/>
                <w:sz w:val="24"/>
                <w:szCs w:val="24"/>
                <w:lang w:val="en-US" w:eastAsia="zh-CN"/>
              </w:rPr>
              <w:t>备</w:t>
            </w:r>
            <w:r>
              <w:rPr>
                <w:rFonts w:hint="eastAsia" w:ascii="仿宋" w:hAnsi="仿宋" w:eastAsia="仿宋" w:cs="仿宋"/>
                <w:kern w:val="16"/>
                <w:sz w:val="24"/>
                <w:highlight w:val="white"/>
              </w:rPr>
              <w:t>水利水电工程</w:t>
            </w:r>
            <w:r>
              <w:rPr>
                <w:rFonts w:hint="eastAsia" w:ascii="仿宋" w:hAnsi="仿宋" w:eastAsia="仿宋" w:cs="仿宋"/>
                <w:kern w:val="16"/>
                <w:sz w:val="24"/>
                <w:szCs w:val="24"/>
              </w:rPr>
              <w:t>专业监理工程师</w:t>
            </w:r>
            <w:r>
              <w:rPr>
                <w:rFonts w:hint="eastAsia" w:ascii="仿宋" w:hAnsi="仿宋" w:eastAsia="仿宋" w:cs="仿宋"/>
                <w:kern w:val="16"/>
                <w:sz w:val="24"/>
                <w:szCs w:val="24"/>
                <w:lang w:val="en-US" w:eastAsia="zh-CN"/>
              </w:rPr>
              <w:t>1名得2分；</w:t>
            </w:r>
            <w:r>
              <w:rPr>
                <w:rFonts w:hint="eastAsia" w:ascii="仿宋" w:hAnsi="仿宋" w:eastAsia="仿宋" w:cs="仿宋"/>
                <w:kern w:val="16"/>
                <w:sz w:val="24"/>
                <w:highlight w:val="white"/>
              </w:rPr>
              <w:t>水利水电工程监理员</w:t>
            </w:r>
            <w:r>
              <w:rPr>
                <w:rFonts w:hint="eastAsia" w:ascii="仿宋" w:hAnsi="仿宋" w:eastAsia="仿宋" w:cs="仿宋"/>
                <w:kern w:val="16"/>
                <w:sz w:val="24"/>
                <w:szCs w:val="24"/>
                <w:lang w:val="en-US" w:eastAsia="zh-CN"/>
              </w:rPr>
              <w:t>1名得2分。</w:t>
            </w:r>
            <w:r>
              <w:rPr>
                <w:rFonts w:hint="eastAsia" w:ascii="仿宋" w:hAnsi="仿宋" w:eastAsia="仿宋" w:cs="仿宋"/>
                <w:sz w:val="24"/>
                <w:szCs w:val="24"/>
                <w:lang w:eastAsia="zh-CN"/>
              </w:rPr>
              <w:t>本项</w:t>
            </w:r>
            <w:r>
              <w:rPr>
                <w:rFonts w:hint="eastAsia" w:ascii="仿宋" w:hAnsi="仿宋" w:eastAsia="仿宋" w:cs="仿宋"/>
                <w:sz w:val="24"/>
                <w:szCs w:val="24"/>
              </w:rPr>
              <w:t>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034B5E2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
                <w:bCs/>
                <w:sz w:val="24"/>
                <w:szCs w:val="24"/>
              </w:rPr>
            </w:pPr>
            <w:r>
              <w:rPr>
                <w:rFonts w:hint="eastAsia" w:ascii="仿宋" w:hAnsi="仿宋" w:eastAsia="仿宋" w:cs="仿宋"/>
                <w:b/>
                <w:bCs/>
                <w:color w:val="auto"/>
                <w:sz w:val="24"/>
                <w:szCs w:val="24"/>
                <w:highlight w:val="none"/>
              </w:rPr>
              <w:t>（注：人员必须为投标人在职员工（含离、退休返聘人员），商务技术文件中需提供投标人为其缴纳的近</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个月的社保缴纳证明或离、退休人员聘用合同（社保缴纳证明以社保机构出具的社保证明为准）、相关证书复印件，以上材料均需加盖投标人公章，未提供或提供不全不得分。）</w:t>
            </w:r>
          </w:p>
        </w:tc>
        <w:tc>
          <w:tcPr>
            <w:tcW w:w="736" w:type="dxa"/>
            <w:noWrap w:val="0"/>
            <w:vAlign w:val="center"/>
          </w:tcPr>
          <w:p w14:paraId="71E770B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val="en-US" w:eastAsia="zh-CN"/>
              </w:rPr>
              <w:t>分</w:t>
            </w:r>
          </w:p>
        </w:tc>
      </w:tr>
      <w:tr w14:paraId="0BFC9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740" w:type="dxa"/>
            <w:vMerge w:val="restart"/>
            <w:noWrap w:val="0"/>
            <w:vAlign w:val="center"/>
          </w:tcPr>
          <w:p w14:paraId="09F4F4FD">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4</w:t>
            </w:r>
          </w:p>
        </w:tc>
        <w:tc>
          <w:tcPr>
            <w:tcW w:w="1135" w:type="dxa"/>
            <w:vMerge w:val="restart"/>
            <w:noWrap w:val="0"/>
            <w:vAlign w:val="center"/>
          </w:tcPr>
          <w:p w14:paraId="6BF9DD9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技术（服务）方案</w:t>
            </w:r>
          </w:p>
        </w:tc>
        <w:tc>
          <w:tcPr>
            <w:tcW w:w="7944" w:type="dxa"/>
            <w:noWrap w:val="0"/>
            <w:vAlign w:val="center"/>
          </w:tcPr>
          <w:p w14:paraId="5CB3D04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rPr>
              <w:t>根据投标人结合项目需求及自身经验对项目监理的重难点、关键性技术难题和应对措施的分析阐述</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val="en-US" w:eastAsia="zh-CN"/>
              </w:rPr>
              <w:t>详尽、合理可行</w:t>
            </w:r>
            <w:r>
              <w:rPr>
                <w:rFonts w:hint="eastAsia" w:ascii="仿宋" w:hAnsi="仿宋" w:eastAsia="仿宋" w:cs="仿宋"/>
                <w:color w:val="auto"/>
                <w:sz w:val="24"/>
                <w:szCs w:val="24"/>
                <w:highlight w:val="none"/>
              </w:rPr>
              <w:t>等</w:t>
            </w:r>
            <w:r>
              <w:rPr>
                <w:rFonts w:hint="eastAsia" w:ascii="仿宋" w:hAnsi="仿宋" w:eastAsia="仿宋" w:cs="仿宋"/>
                <w:b w:val="0"/>
                <w:bCs/>
                <w:color w:val="auto"/>
                <w:sz w:val="24"/>
                <w:szCs w:val="24"/>
                <w:highlight w:val="none"/>
                <w:lang w:val="en-US" w:eastAsia="zh-CN"/>
              </w:rPr>
              <w:t>由评委进行综合评分。（评分范围：8、7、6、5、4、3、2、1、0）</w:t>
            </w:r>
          </w:p>
        </w:tc>
        <w:tc>
          <w:tcPr>
            <w:tcW w:w="736" w:type="dxa"/>
            <w:noWrap w:val="0"/>
            <w:vAlign w:val="center"/>
          </w:tcPr>
          <w:p w14:paraId="7723286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w:t>
            </w:r>
          </w:p>
        </w:tc>
      </w:tr>
      <w:tr w14:paraId="06AD7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 w:hRule="atLeast"/>
          <w:jc w:val="center"/>
        </w:trPr>
        <w:tc>
          <w:tcPr>
            <w:tcW w:w="740" w:type="dxa"/>
            <w:vMerge w:val="continue"/>
            <w:noWrap w:val="0"/>
            <w:vAlign w:val="center"/>
          </w:tcPr>
          <w:p w14:paraId="5571336E">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p>
        </w:tc>
        <w:tc>
          <w:tcPr>
            <w:tcW w:w="1135" w:type="dxa"/>
            <w:vMerge w:val="continue"/>
            <w:noWrap w:val="0"/>
            <w:vAlign w:val="center"/>
          </w:tcPr>
          <w:p w14:paraId="43A8C0B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rPr>
            </w:pPr>
          </w:p>
        </w:tc>
        <w:tc>
          <w:tcPr>
            <w:tcW w:w="7944" w:type="dxa"/>
            <w:noWrap w:val="0"/>
            <w:vAlign w:val="center"/>
          </w:tcPr>
          <w:p w14:paraId="35EE05D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rPr>
            </w:pPr>
            <w:r>
              <w:rPr>
                <w:rFonts w:hint="eastAsia" w:ascii="仿宋" w:hAnsi="仿宋" w:eastAsia="仿宋" w:cs="仿宋"/>
                <w:sz w:val="24"/>
              </w:rPr>
              <w:t>监理工作整体服务方案：</w:t>
            </w:r>
          </w:p>
          <w:p w14:paraId="420BFA0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rPr>
            </w:pPr>
            <w:r>
              <w:rPr>
                <w:rFonts w:hint="eastAsia" w:ascii="仿宋" w:hAnsi="仿宋" w:eastAsia="仿宋" w:cs="仿宋"/>
                <w:sz w:val="24"/>
              </w:rPr>
              <w:t>（1）整体监理服务方案与需求的吻合程度以及方案的优势情况，包括施工各阶段监理工作程序、流程是否详细明确、合理可行</w:t>
            </w:r>
            <w:r>
              <w:rPr>
                <w:rFonts w:hint="eastAsia" w:ascii="仿宋" w:hAnsi="仿宋" w:eastAsia="仿宋" w:cs="仿宋"/>
                <w:b w:val="0"/>
                <w:bCs/>
                <w:color w:val="auto"/>
                <w:sz w:val="24"/>
                <w:szCs w:val="24"/>
                <w:highlight w:val="none"/>
                <w:lang w:val="en-US" w:eastAsia="zh-CN"/>
              </w:rPr>
              <w:t>由评委进行综合评分。（评分范围：4、3、2、1、0）</w:t>
            </w:r>
          </w:p>
          <w:p w14:paraId="3BB301A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rPr>
            </w:pPr>
            <w:r>
              <w:rPr>
                <w:rFonts w:hint="eastAsia" w:ascii="仿宋" w:hAnsi="仿宋" w:eastAsia="仿宋" w:cs="仿宋"/>
                <w:sz w:val="24"/>
              </w:rPr>
              <w:t>（2）响应方案是否具有一定的前瞻性，对项目建设思路、原则、特点、技术要求的理解和监理要点情况，对技术方案的表述是否详细准确，条理是否合理可行</w:t>
            </w:r>
            <w:r>
              <w:rPr>
                <w:rFonts w:hint="eastAsia" w:ascii="仿宋" w:hAnsi="仿宋" w:eastAsia="仿宋" w:cs="仿宋"/>
                <w:b w:val="0"/>
                <w:bCs/>
                <w:color w:val="auto"/>
                <w:sz w:val="24"/>
                <w:szCs w:val="24"/>
                <w:highlight w:val="none"/>
                <w:lang w:val="en-US" w:eastAsia="zh-CN"/>
              </w:rPr>
              <w:t>由评委进行综合评分。（评分范围4、3、2、1、0）</w:t>
            </w:r>
          </w:p>
          <w:p w14:paraId="441E1F6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rPr>
            </w:pPr>
            <w:r>
              <w:rPr>
                <w:rFonts w:hint="eastAsia" w:ascii="仿宋" w:hAnsi="仿宋" w:eastAsia="仿宋" w:cs="仿宋"/>
                <w:sz w:val="24"/>
              </w:rPr>
              <w:t>（3）监理日常各项工作制度、监理人员权利和责任是否详细明确、合理可行</w:t>
            </w:r>
            <w:r>
              <w:rPr>
                <w:rFonts w:hint="eastAsia" w:ascii="仿宋" w:hAnsi="仿宋" w:eastAsia="仿宋" w:cs="仿宋"/>
                <w:b w:val="0"/>
                <w:bCs/>
                <w:color w:val="auto"/>
                <w:sz w:val="24"/>
                <w:szCs w:val="24"/>
                <w:highlight w:val="none"/>
                <w:lang w:val="en-US" w:eastAsia="zh-CN"/>
              </w:rPr>
              <w:t>由评委进行综合评分。（评分范围：4、3、2、1、0）</w:t>
            </w:r>
          </w:p>
        </w:tc>
        <w:tc>
          <w:tcPr>
            <w:tcW w:w="736" w:type="dxa"/>
            <w:noWrap w:val="0"/>
            <w:vAlign w:val="center"/>
          </w:tcPr>
          <w:p w14:paraId="63D13A7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12分</w:t>
            </w:r>
          </w:p>
        </w:tc>
      </w:tr>
      <w:tr w14:paraId="387150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740" w:type="dxa"/>
            <w:vMerge w:val="continue"/>
            <w:noWrap w:val="0"/>
            <w:vAlign w:val="center"/>
          </w:tcPr>
          <w:p w14:paraId="2A81A2FA">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2AB38E8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0963FFE6">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rPr>
              <w:t>根据投标人提供的质量控制方案内容的全面性、完整性，以及提出的质量控制方法和措施的合理性和可行性，</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2ADFAE9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r w14:paraId="3842B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40" w:type="dxa"/>
            <w:vMerge w:val="continue"/>
            <w:noWrap w:val="0"/>
            <w:vAlign w:val="center"/>
          </w:tcPr>
          <w:p w14:paraId="78D8A788">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6DDC15E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4DED252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sz w:val="24"/>
              </w:rPr>
            </w:pPr>
            <w:r>
              <w:rPr>
                <w:rFonts w:hint="eastAsia" w:ascii="仿宋" w:hAnsi="仿宋" w:eastAsia="仿宋" w:cs="仿宋"/>
                <w:color w:val="000000"/>
                <w:sz w:val="24"/>
              </w:rPr>
              <w:t>根据投标人提供的进度控制方案内容的全面性、完整性，针对项目进度的提供的进度分析和进度控制措施是否合理可行，</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24596BE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r w14:paraId="1BBDF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740" w:type="dxa"/>
            <w:vMerge w:val="continue"/>
            <w:noWrap w:val="0"/>
            <w:vAlign w:val="center"/>
          </w:tcPr>
          <w:p w14:paraId="51EC6CDA">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5DCECD5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37E53A13">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sz w:val="24"/>
              </w:rPr>
            </w:pPr>
            <w:r>
              <w:rPr>
                <w:rFonts w:hint="eastAsia" w:ascii="仿宋" w:hAnsi="仿宋" w:eastAsia="仿宋" w:cs="仿宋"/>
                <w:color w:val="000000"/>
                <w:sz w:val="24"/>
              </w:rPr>
              <w:t>根据投标人提供的投资控制方案内容全面性、完整性，以及针对本项目有可能存在的风险分析和制定防范性对策的合理性、可行性，</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3D58598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r w14:paraId="354C4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40" w:type="dxa"/>
            <w:vMerge w:val="continue"/>
            <w:noWrap w:val="0"/>
            <w:vAlign w:val="center"/>
          </w:tcPr>
          <w:p w14:paraId="0CBC591A">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086C993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51A01FB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sz w:val="24"/>
              </w:rPr>
            </w:pPr>
            <w:r>
              <w:rPr>
                <w:rFonts w:hint="eastAsia" w:ascii="仿宋" w:hAnsi="仿宋" w:eastAsia="仿宋" w:cs="仿宋"/>
                <w:color w:val="000000"/>
                <w:sz w:val="24"/>
              </w:rPr>
              <w:t>根据投标人提供的合同管理</w:t>
            </w:r>
            <w:r>
              <w:rPr>
                <w:rFonts w:hint="eastAsia" w:ascii="仿宋" w:hAnsi="仿宋" w:eastAsia="仿宋" w:cs="仿宋"/>
                <w:sz w:val="24"/>
              </w:rPr>
              <w:t>、安全管理和信息管理方案</w:t>
            </w:r>
            <w:r>
              <w:rPr>
                <w:rFonts w:hint="eastAsia" w:ascii="仿宋" w:hAnsi="仿宋" w:eastAsia="仿宋" w:cs="仿宋"/>
                <w:color w:val="000000"/>
                <w:sz w:val="24"/>
              </w:rPr>
              <w:t>内容全面性、完整性，以及针对本项目档案、数据信息安全控制措施的合理性和可行性，</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5AF6FE9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r w14:paraId="45068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40" w:type="dxa"/>
            <w:vMerge w:val="continue"/>
            <w:noWrap w:val="0"/>
            <w:vAlign w:val="center"/>
          </w:tcPr>
          <w:p w14:paraId="000FA5A7">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0DFBAD0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3EF2478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000000"/>
                <w:sz w:val="24"/>
              </w:rPr>
            </w:pPr>
            <w:r>
              <w:rPr>
                <w:rFonts w:hint="eastAsia" w:ascii="仿宋" w:hAnsi="仿宋" w:eastAsia="仿宋" w:cs="仿宋"/>
                <w:color w:val="000000"/>
                <w:sz w:val="24"/>
              </w:rPr>
              <w:t>根据投标人提供的安全、文明施工控制方案内容全面性、完整性，控制手段和措施的合理性和可行性，</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3B712E9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r w14:paraId="2AF2E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740" w:type="dxa"/>
            <w:vMerge w:val="continue"/>
            <w:noWrap w:val="0"/>
            <w:vAlign w:val="center"/>
          </w:tcPr>
          <w:p w14:paraId="43D9EDB0">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Cs/>
                <w:sz w:val="24"/>
                <w:szCs w:val="24"/>
              </w:rPr>
            </w:pPr>
          </w:p>
        </w:tc>
        <w:tc>
          <w:tcPr>
            <w:tcW w:w="1135" w:type="dxa"/>
            <w:vMerge w:val="continue"/>
            <w:noWrap w:val="0"/>
            <w:vAlign w:val="center"/>
          </w:tcPr>
          <w:p w14:paraId="2740733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Cs/>
                <w:sz w:val="24"/>
                <w:szCs w:val="24"/>
              </w:rPr>
            </w:pPr>
          </w:p>
        </w:tc>
        <w:tc>
          <w:tcPr>
            <w:tcW w:w="7944" w:type="dxa"/>
            <w:noWrap w:val="0"/>
            <w:vAlign w:val="center"/>
          </w:tcPr>
          <w:p w14:paraId="274B6B9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bCs/>
                <w:sz w:val="24"/>
                <w:szCs w:val="24"/>
              </w:rPr>
            </w:pPr>
            <w:r>
              <w:rPr>
                <w:rFonts w:hint="eastAsia" w:ascii="仿宋" w:hAnsi="仿宋" w:eastAsia="仿宋" w:cs="仿宋"/>
                <w:sz w:val="24"/>
                <w:szCs w:val="24"/>
              </w:rPr>
              <w:t>根据投标人针对本项目采购单位提出的应急响应方案，包括应急响应时间、人员应急安排等应急保障措施情况的合理程度及完备程度</w:t>
            </w:r>
            <w:r>
              <w:rPr>
                <w:rFonts w:hint="eastAsia" w:ascii="仿宋" w:hAnsi="仿宋" w:eastAsia="仿宋" w:cs="仿宋"/>
                <w:b w:val="0"/>
                <w:bCs/>
                <w:color w:val="auto"/>
                <w:sz w:val="24"/>
                <w:szCs w:val="24"/>
                <w:highlight w:val="none"/>
                <w:lang w:val="en-US" w:eastAsia="zh-CN"/>
              </w:rPr>
              <w:t>由评委进行综合评分。（评分范围：6、5、4、3、2、1、0）</w:t>
            </w:r>
          </w:p>
        </w:tc>
        <w:tc>
          <w:tcPr>
            <w:tcW w:w="736" w:type="dxa"/>
            <w:noWrap w:val="0"/>
            <w:vAlign w:val="center"/>
          </w:tcPr>
          <w:p w14:paraId="0FBEC01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6分</w:t>
            </w:r>
          </w:p>
        </w:tc>
      </w:tr>
      <w:tr w14:paraId="136F2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740" w:type="dxa"/>
            <w:noWrap w:val="0"/>
            <w:vAlign w:val="center"/>
          </w:tcPr>
          <w:p w14:paraId="0B341E89">
            <w:pPr>
              <w:keepNext w:val="0"/>
              <w:keepLines w:val="0"/>
              <w:pageBreakBefore w:val="0"/>
              <w:widowControl w:val="0"/>
              <w:kinsoku/>
              <w:wordWrap/>
              <w:overflowPunct/>
              <w:topLinePunct w:val="0"/>
              <w:autoSpaceDE w:val="0"/>
              <w:autoSpaceDN w:val="0"/>
              <w:bidi w:val="0"/>
              <w:adjustRightInd w:val="0"/>
              <w:snapToGrid/>
              <w:spacing w:line="312"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5</w:t>
            </w:r>
          </w:p>
        </w:tc>
        <w:tc>
          <w:tcPr>
            <w:tcW w:w="1135" w:type="dxa"/>
            <w:noWrap w:val="0"/>
            <w:vAlign w:val="center"/>
          </w:tcPr>
          <w:p w14:paraId="21AC367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eastAsia="zh-CN"/>
              </w:rPr>
            </w:pPr>
            <w:r>
              <w:rPr>
                <w:rFonts w:hint="eastAsia" w:ascii="仿宋" w:hAnsi="仿宋" w:eastAsia="仿宋" w:cs="仿宋"/>
                <w:b/>
                <w:bCs/>
                <w:color w:val="auto"/>
                <w:sz w:val="24"/>
                <w:szCs w:val="24"/>
                <w:highlight w:val="none"/>
              </w:rPr>
              <w:t>服务及时性及便利性</w:t>
            </w:r>
          </w:p>
        </w:tc>
        <w:tc>
          <w:tcPr>
            <w:tcW w:w="7944" w:type="dxa"/>
            <w:noWrap w:val="0"/>
            <w:vAlign w:val="center"/>
          </w:tcPr>
          <w:p w14:paraId="2689B449">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宋体"/>
                <w:bCs/>
                <w:color w:val="auto"/>
                <w:sz w:val="24"/>
                <w:szCs w:val="24"/>
              </w:rPr>
              <w:t>根据</w:t>
            </w:r>
            <w:r>
              <w:rPr>
                <w:rFonts w:hint="eastAsia" w:ascii="仿宋" w:hAnsi="仿宋" w:eastAsia="仿宋" w:cs="仿宋"/>
                <w:b w:val="0"/>
                <w:bCs w:val="0"/>
                <w:color w:val="auto"/>
                <w:sz w:val="24"/>
                <w:szCs w:val="24"/>
                <w:highlight w:val="none"/>
                <w:lang w:val="en-US" w:eastAsia="zh-CN"/>
              </w:rPr>
              <w:t>响应供应商</w:t>
            </w:r>
            <w:r>
              <w:rPr>
                <w:rFonts w:hint="eastAsia" w:ascii="仿宋" w:hAnsi="仿宋" w:eastAsia="仿宋" w:cs="宋体"/>
                <w:bCs/>
                <w:color w:val="auto"/>
                <w:sz w:val="24"/>
                <w:szCs w:val="24"/>
                <w:lang w:val="en-US" w:eastAsia="zh-CN"/>
              </w:rPr>
              <w:t>提供的</w:t>
            </w:r>
            <w:r>
              <w:rPr>
                <w:rFonts w:hint="eastAsia" w:ascii="仿宋" w:hAnsi="仿宋" w:eastAsia="仿宋" w:cs="宋体"/>
                <w:bCs/>
                <w:color w:val="auto"/>
                <w:sz w:val="24"/>
                <w:szCs w:val="24"/>
              </w:rPr>
              <w:t>服务响应方案（包括</w:t>
            </w:r>
            <w:r>
              <w:rPr>
                <w:rFonts w:hint="eastAsia" w:ascii="仿宋" w:hAnsi="仿宋" w:eastAsia="仿宋" w:cs="Times New Roman"/>
                <w:color w:val="auto"/>
                <w:sz w:val="24"/>
                <w:szCs w:val="24"/>
              </w:rPr>
              <w:t>对拟投入的技术人员制定具体服务工作计划，确保技术人员到位，提供</w:t>
            </w:r>
            <w:r>
              <w:rPr>
                <w:rFonts w:hint="eastAsia" w:ascii="仿宋" w:hAnsi="仿宋" w:eastAsia="仿宋" w:cs="仿宋"/>
                <w:color w:val="auto"/>
                <w:sz w:val="24"/>
                <w:szCs w:val="24"/>
              </w:rPr>
              <w:t>快速服务响应</w:t>
            </w:r>
            <w:r>
              <w:rPr>
                <w:rFonts w:hint="eastAsia" w:ascii="仿宋" w:hAnsi="仿宋" w:eastAsia="仿宋" w:cs="Times New Roman"/>
                <w:color w:val="auto"/>
                <w:sz w:val="24"/>
                <w:szCs w:val="24"/>
              </w:rPr>
              <w:t>等保障措施</w:t>
            </w:r>
            <w:r>
              <w:rPr>
                <w:rFonts w:hint="eastAsia" w:ascii="仿宋" w:hAnsi="仿宋" w:eastAsia="仿宋" w:cs="宋体"/>
                <w:bCs/>
                <w:color w:val="auto"/>
                <w:sz w:val="24"/>
                <w:szCs w:val="24"/>
              </w:rPr>
              <w:t>）是否详细明确、合理可行</w:t>
            </w:r>
            <w:r>
              <w:rPr>
                <w:rFonts w:hint="eastAsia" w:ascii="仿宋" w:hAnsi="仿宋" w:eastAsia="仿宋" w:cs="仿宋"/>
                <w:b w:val="0"/>
                <w:bCs/>
                <w:color w:val="auto"/>
                <w:sz w:val="24"/>
                <w:szCs w:val="24"/>
                <w:highlight w:val="none"/>
                <w:lang w:val="en-US" w:eastAsia="zh-CN"/>
              </w:rPr>
              <w:t>由评委进行综合评分。（评分范围：7、6、5、4、3、2、1、0）</w:t>
            </w:r>
          </w:p>
        </w:tc>
        <w:tc>
          <w:tcPr>
            <w:tcW w:w="736" w:type="dxa"/>
            <w:noWrap w:val="0"/>
            <w:vAlign w:val="center"/>
          </w:tcPr>
          <w:p w14:paraId="6FFE085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7分</w:t>
            </w:r>
          </w:p>
        </w:tc>
      </w:tr>
    </w:tbl>
    <w:p w14:paraId="09F348B1"/>
    <w:p w14:paraId="61BDF5A2">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lang w:val="en-US" w:eastAsia="zh-CN"/>
        </w:rPr>
        <w:t>CA签</w:t>
      </w:r>
      <w:r>
        <w:rPr>
          <w:rFonts w:hint="eastAsia" w:ascii="仿宋" w:hAnsi="仿宋" w:eastAsia="仿宋" w:cs="仿宋"/>
          <w:b/>
          <w:bCs/>
          <w:sz w:val="24"/>
        </w:rPr>
        <w:t>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3.供应商编制商务技术文件（商务技术文件部分）时，建议按此目录（序号和内容）提供评标标准相应的商务技术资料。</w:t>
      </w:r>
    </w:p>
    <w:p w14:paraId="5FA688E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4.通过资格审查和符合性评审的供应商全部入围进行报价评审。</w:t>
      </w:r>
    </w:p>
    <w:p w14:paraId="3CC954A8">
      <w:pPr>
        <w:pageBreakBefore w:val="0"/>
        <w:kinsoku/>
        <w:wordWrap/>
        <w:overflowPunct/>
        <w:topLinePunct w:val="0"/>
        <w:bidi w:val="0"/>
        <w:adjustRightInd/>
        <w:spacing w:line="420" w:lineRule="exact"/>
        <w:ind w:left="0" w:leftChars="0"/>
        <w:textAlignment w:val="auto"/>
        <w:rPr>
          <w:rFonts w:hint="eastAsia" w:ascii="仿宋" w:hAnsi="仿宋" w:eastAsia="仿宋" w:cs="仿宋"/>
          <w:b/>
          <w:sz w:val="28"/>
          <w:szCs w:val="22"/>
          <w:lang w:val="en-US" w:eastAsia="zh-CN"/>
        </w:rPr>
      </w:pPr>
      <w:r>
        <w:rPr>
          <w:rFonts w:hint="eastAsia" w:ascii="仿宋" w:hAnsi="仿宋" w:eastAsia="仿宋" w:cs="仿宋"/>
          <w:b/>
          <w:sz w:val="28"/>
          <w:szCs w:val="22"/>
          <w:lang w:val="en-US" w:eastAsia="zh-CN"/>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磋商文件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w:t>
      </w:r>
      <w:r>
        <w:rPr>
          <w:rFonts w:hint="eastAsia" w:ascii="仿宋" w:hAnsi="仿宋" w:eastAsia="仿宋" w:cs="仿宋"/>
          <w:kern w:val="0"/>
          <w:sz w:val="24"/>
          <w:lang w:eastAsia="zh-CN"/>
        </w:rPr>
        <w:t>响应文件</w:t>
      </w:r>
      <w:r>
        <w:rPr>
          <w:rFonts w:hint="eastAsia" w:ascii="仿宋" w:hAnsi="仿宋" w:eastAsia="仿宋" w:cs="仿宋"/>
          <w:kern w:val="0"/>
          <w:sz w:val="24"/>
        </w:rPr>
        <w:t>进行符合性审查，以确定其是否满足</w:t>
      </w:r>
      <w:r>
        <w:rPr>
          <w:rFonts w:hint="eastAsia" w:ascii="仿宋" w:hAnsi="仿宋" w:eastAsia="仿宋" w:cs="仿宋"/>
          <w:kern w:val="0"/>
          <w:sz w:val="24"/>
          <w:lang w:eastAsia="zh-CN"/>
        </w:rPr>
        <w:t>磋商文件</w:t>
      </w:r>
      <w:r>
        <w:rPr>
          <w:rFonts w:hint="eastAsia" w:ascii="仿宋" w:hAnsi="仿宋" w:eastAsia="仿宋" w:cs="仿宋"/>
          <w:kern w:val="0"/>
          <w:sz w:val="24"/>
        </w:rPr>
        <w:t>的实质性要求。不满足</w:t>
      </w:r>
      <w:r>
        <w:rPr>
          <w:rFonts w:hint="eastAsia" w:ascii="仿宋" w:hAnsi="仿宋" w:eastAsia="仿宋" w:cs="仿宋"/>
          <w:kern w:val="0"/>
          <w:sz w:val="24"/>
          <w:lang w:eastAsia="zh-CN"/>
        </w:rPr>
        <w:t>磋商文件</w:t>
      </w:r>
      <w:r>
        <w:rPr>
          <w:rFonts w:hint="eastAsia" w:ascii="仿宋" w:hAnsi="仿宋" w:eastAsia="仿宋" w:cs="仿宋"/>
          <w:kern w:val="0"/>
          <w:sz w:val="24"/>
        </w:rPr>
        <w:t>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中规定的评标方法和标准，对符合性审查合格的</w:t>
      </w:r>
      <w:r>
        <w:rPr>
          <w:rFonts w:hint="eastAsia" w:ascii="仿宋" w:hAnsi="仿宋" w:eastAsia="仿宋" w:cs="仿宋"/>
          <w:kern w:val="0"/>
          <w:sz w:val="24"/>
          <w:lang w:eastAsia="zh-CN"/>
        </w:rPr>
        <w:t>响应文件</w:t>
      </w:r>
      <w:r>
        <w:rPr>
          <w:rFonts w:hint="eastAsia" w:ascii="仿宋" w:hAnsi="仿宋" w:eastAsia="仿宋" w:cs="仿宋"/>
          <w:kern w:val="0"/>
          <w:sz w:val="24"/>
        </w:rPr>
        <w:t>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3"/>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w:t>
      </w:r>
      <w:r>
        <w:rPr>
          <w:rFonts w:hint="eastAsia" w:ascii="仿宋" w:hAnsi="仿宋" w:eastAsia="仿宋" w:cs="仿宋"/>
          <w:kern w:val="0"/>
          <w:szCs w:val="24"/>
          <w:lang w:eastAsia="zh-CN"/>
        </w:rPr>
        <w:t>响应文件</w:t>
      </w:r>
      <w:r>
        <w:rPr>
          <w:rFonts w:hint="eastAsia" w:ascii="仿宋" w:hAnsi="仿宋" w:eastAsia="仿宋" w:cs="仿宋"/>
          <w:kern w:val="0"/>
          <w:szCs w:val="24"/>
        </w:rPr>
        <w:t>报价出现前后不一致的，按照下列规定修正：</w:t>
      </w:r>
    </w:p>
    <w:p w14:paraId="37E7EEEF">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w:t>
      </w:r>
      <w:r>
        <w:rPr>
          <w:rFonts w:hint="eastAsia" w:ascii="仿宋" w:hAnsi="仿宋" w:eastAsia="仿宋" w:cs="仿宋"/>
          <w:kern w:val="0"/>
          <w:szCs w:val="24"/>
          <w:lang w:eastAsia="zh-CN"/>
        </w:rPr>
        <w:t>响应文件</w:t>
      </w:r>
      <w:r>
        <w:rPr>
          <w:rFonts w:hint="eastAsia" w:ascii="仿宋" w:hAnsi="仿宋" w:eastAsia="仿宋" w:cs="仿宋"/>
          <w:kern w:val="0"/>
          <w:szCs w:val="24"/>
        </w:rPr>
        <w:t>中开标一览表(报价表)内容与</w:t>
      </w:r>
      <w:r>
        <w:rPr>
          <w:rFonts w:hint="eastAsia" w:ascii="仿宋" w:hAnsi="仿宋" w:eastAsia="仿宋" w:cs="仿宋"/>
          <w:kern w:val="0"/>
          <w:szCs w:val="24"/>
          <w:lang w:eastAsia="zh-CN"/>
        </w:rPr>
        <w:t>响应文件</w:t>
      </w:r>
      <w:r>
        <w:rPr>
          <w:rFonts w:hint="eastAsia" w:ascii="仿宋" w:hAnsi="仿宋" w:eastAsia="仿宋" w:cs="仿宋"/>
          <w:kern w:val="0"/>
          <w:szCs w:val="24"/>
        </w:rPr>
        <w:t>中相应内容不一致的，以开标一览表(报价表)为准;</w:t>
      </w:r>
    </w:p>
    <w:p w14:paraId="1BD1CF53">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中规定的预算金额或者最高限价的，投标无效。</w:t>
      </w:r>
    </w:p>
    <w:p w14:paraId="3974675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5B289CB9">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评审中出现下列情形之一的，评标委员会应当启动异常低价投标审查程序：</w:t>
      </w:r>
    </w:p>
    <w:p w14:paraId="5FE3B39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（一）投标报价低于全部通过符合性审查供应商投标报价平均值50%的，即投标报价&lt;全部通过符合性审查供应商投标报价平均值×50%；</w:t>
      </w:r>
    </w:p>
    <w:p w14:paraId="11896734">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（二）投标报价低于通过符合性审查且报价次低供应商投标报价50%的，即投标报价&lt;通过符合性审查且报价次低供应商投标报价×50%；</w:t>
      </w:r>
    </w:p>
    <w:p w14:paraId="721AA44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（三）投标报价低于采购项目最高限价45%的，即投标报价&lt;采购项目最高限价×45%；</w:t>
      </w:r>
    </w:p>
    <w:p w14:paraId="5D91954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（四）其他评标委员会认为供应商报价过低，有可能影响产品质量或者不能诚信履约的情形。</w:t>
      </w:r>
    </w:p>
    <w:p w14:paraId="5273C805">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482CDC1A">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Cs w:val="24"/>
        </w:rPr>
      </w:pPr>
      <w:r>
        <w:rPr>
          <w:rFonts w:hint="eastAsia" w:ascii="仿宋" w:hAnsi="仿宋" w:eastAsia="仿宋" w:cs="仿宋"/>
          <w:b/>
          <w:bCs/>
          <w:kern w:val="0"/>
          <w:sz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349C0507">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w:t>
      </w:r>
      <w:r>
        <w:rPr>
          <w:rFonts w:hint="eastAsia" w:ascii="仿宋" w:hAnsi="仿宋" w:eastAsia="仿宋" w:cs="仿宋"/>
          <w:kern w:val="0"/>
          <w:sz w:val="24"/>
          <w:lang w:eastAsia="zh-CN"/>
        </w:rPr>
        <w:t>响应文件</w:t>
      </w:r>
      <w:r>
        <w:rPr>
          <w:rFonts w:hint="eastAsia" w:ascii="仿宋" w:hAnsi="仿宋" w:eastAsia="仿宋" w:cs="仿宋"/>
          <w:kern w:val="0"/>
          <w:sz w:val="24"/>
        </w:rPr>
        <w:t>满足</w:t>
      </w:r>
      <w:r>
        <w:rPr>
          <w:rFonts w:hint="eastAsia" w:ascii="仿宋" w:hAnsi="仿宋" w:eastAsia="仿宋" w:cs="仿宋"/>
          <w:kern w:val="0"/>
          <w:sz w:val="24"/>
          <w:lang w:eastAsia="zh-CN"/>
        </w:rPr>
        <w:t>磋商文件</w:t>
      </w:r>
      <w:r>
        <w:rPr>
          <w:rFonts w:hint="eastAsia" w:ascii="仿宋" w:hAnsi="仿宋" w:eastAsia="仿宋" w:cs="仿宋"/>
          <w:kern w:val="0"/>
          <w:sz w:val="24"/>
        </w:rPr>
        <w:t>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3"/>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w:t>
      </w:r>
      <w:r>
        <w:rPr>
          <w:rFonts w:hint="eastAsia" w:ascii="仿宋" w:hAnsi="仿宋" w:eastAsia="仿宋" w:cs="仿宋"/>
          <w:kern w:val="0"/>
          <w:szCs w:val="24"/>
          <w:lang w:eastAsia="zh-CN"/>
        </w:rPr>
        <w:t>响应文件</w:t>
      </w:r>
      <w:r>
        <w:rPr>
          <w:rFonts w:hint="eastAsia" w:ascii="仿宋" w:hAnsi="仿宋" w:eastAsia="仿宋" w:cs="仿宋"/>
          <w:kern w:val="0"/>
          <w:szCs w:val="24"/>
        </w:rPr>
        <w:t>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w:t>
      </w:r>
      <w:r>
        <w:rPr>
          <w:rFonts w:hint="eastAsia" w:ascii="仿宋" w:hAnsi="仿宋" w:eastAsia="仿宋" w:cs="仿宋"/>
          <w:kern w:val="0"/>
          <w:szCs w:val="24"/>
          <w:lang w:eastAsia="zh-CN"/>
        </w:rPr>
        <w:t>响应文件</w:t>
      </w:r>
      <w:r>
        <w:rPr>
          <w:rFonts w:hint="eastAsia" w:ascii="仿宋" w:hAnsi="仿宋" w:eastAsia="仿宋" w:cs="仿宋"/>
          <w:kern w:val="0"/>
          <w:szCs w:val="24"/>
        </w:rPr>
        <w:t>的范围或者改变</w:t>
      </w:r>
      <w:r>
        <w:rPr>
          <w:rFonts w:hint="eastAsia" w:ascii="仿宋" w:hAnsi="仿宋" w:eastAsia="仿宋" w:cs="仿宋"/>
          <w:kern w:val="0"/>
          <w:szCs w:val="24"/>
          <w:lang w:eastAsia="zh-CN"/>
        </w:rPr>
        <w:t>响应文件</w:t>
      </w:r>
      <w:r>
        <w:rPr>
          <w:rFonts w:hint="eastAsia" w:ascii="仿宋" w:hAnsi="仿宋" w:eastAsia="仿宋" w:cs="仿宋"/>
          <w:kern w:val="0"/>
          <w:szCs w:val="24"/>
        </w:rPr>
        <w:t>的实质性内容。</w:t>
      </w:r>
    </w:p>
    <w:p w14:paraId="66531C80">
      <w:pPr>
        <w:pStyle w:val="24"/>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w:t>
      </w:r>
      <w:r>
        <w:rPr>
          <w:rFonts w:hint="eastAsia" w:ascii="仿宋" w:hAnsi="仿宋" w:eastAsia="仿宋" w:cs="仿宋"/>
          <w:kern w:val="0"/>
          <w:sz w:val="24"/>
          <w:lang w:eastAsia="zh-CN"/>
        </w:rPr>
        <w:t>响应文件</w:t>
      </w:r>
      <w:r>
        <w:rPr>
          <w:rFonts w:hint="eastAsia" w:ascii="仿宋" w:hAnsi="仿宋" w:eastAsia="仿宋" w:cs="仿宋"/>
          <w:kern w:val="0"/>
          <w:sz w:val="24"/>
        </w:rPr>
        <w:t>未按照</w:t>
      </w:r>
      <w:r>
        <w:rPr>
          <w:rFonts w:hint="eastAsia" w:ascii="仿宋" w:hAnsi="仿宋" w:eastAsia="仿宋" w:cs="仿宋"/>
          <w:kern w:val="0"/>
          <w:sz w:val="24"/>
          <w:lang w:eastAsia="zh-CN"/>
        </w:rPr>
        <w:t>磋商文件</w:t>
      </w:r>
      <w:r>
        <w:rPr>
          <w:rFonts w:hint="eastAsia" w:ascii="仿宋" w:hAnsi="仿宋" w:eastAsia="仿宋" w:cs="仿宋"/>
          <w:kern w:val="0"/>
          <w:sz w:val="24"/>
        </w:rPr>
        <w:t>要求签署、盖章的；</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w:t>
      </w:r>
      <w:r>
        <w:rPr>
          <w:rFonts w:hint="eastAsia" w:ascii="仿宋" w:hAnsi="仿宋" w:eastAsia="仿宋" w:cs="仿宋"/>
          <w:kern w:val="0"/>
          <w:sz w:val="24"/>
          <w:lang w:eastAsia="zh-CN"/>
        </w:rPr>
        <w:t>磋商文件</w:t>
      </w:r>
      <w:r>
        <w:rPr>
          <w:rFonts w:hint="eastAsia" w:ascii="仿宋" w:hAnsi="仿宋" w:eastAsia="仿宋" w:cs="仿宋"/>
          <w:kern w:val="0"/>
          <w:sz w:val="24"/>
        </w:rPr>
        <w:t>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w:t>
      </w:r>
      <w:r>
        <w:rPr>
          <w:rFonts w:hint="eastAsia" w:ascii="仿宋" w:hAnsi="仿宋" w:eastAsia="仿宋" w:cs="仿宋"/>
          <w:kern w:val="0"/>
          <w:sz w:val="24"/>
          <w:lang w:eastAsia="zh-CN"/>
        </w:rPr>
        <w:t>响应文件</w:t>
      </w:r>
      <w:r>
        <w:rPr>
          <w:rFonts w:hint="eastAsia" w:ascii="仿宋" w:hAnsi="仿宋" w:eastAsia="仿宋" w:cs="仿宋"/>
          <w:kern w:val="0"/>
          <w:sz w:val="24"/>
        </w:rPr>
        <w:t>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w:t>
      </w:r>
      <w:r>
        <w:rPr>
          <w:rFonts w:hint="eastAsia" w:ascii="仿宋" w:hAnsi="仿宋" w:eastAsia="仿宋" w:cs="仿宋"/>
          <w:kern w:val="0"/>
          <w:sz w:val="24"/>
          <w:lang w:eastAsia="zh-CN"/>
        </w:rPr>
        <w:t>响应文件</w:t>
      </w:r>
      <w:r>
        <w:rPr>
          <w:rFonts w:hint="eastAsia" w:ascii="仿宋" w:hAnsi="仿宋" w:eastAsia="仿宋" w:cs="仿宋"/>
          <w:kern w:val="0"/>
          <w:sz w:val="24"/>
        </w:rPr>
        <w:t>中承诺的投标有效期少于</w:t>
      </w:r>
      <w:r>
        <w:rPr>
          <w:rFonts w:hint="eastAsia" w:ascii="仿宋" w:hAnsi="仿宋" w:eastAsia="仿宋" w:cs="仿宋"/>
          <w:kern w:val="0"/>
          <w:sz w:val="24"/>
          <w:lang w:eastAsia="zh-CN"/>
        </w:rPr>
        <w:t>磋商文件</w:t>
      </w:r>
      <w:r>
        <w:rPr>
          <w:rFonts w:hint="eastAsia" w:ascii="仿宋" w:hAnsi="仿宋" w:eastAsia="仿宋" w:cs="仿宋"/>
          <w:kern w:val="0"/>
          <w:sz w:val="24"/>
        </w:rPr>
        <w:t>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w:t>
      </w:r>
      <w:r>
        <w:rPr>
          <w:rFonts w:hint="eastAsia" w:ascii="仿宋" w:hAnsi="仿宋" w:eastAsia="仿宋" w:cs="仿宋"/>
          <w:kern w:val="0"/>
          <w:sz w:val="24"/>
          <w:lang w:eastAsia="zh-CN"/>
        </w:rPr>
        <w:t>磋商文件</w:t>
      </w:r>
      <w:r>
        <w:rPr>
          <w:rFonts w:hint="eastAsia" w:ascii="仿宋" w:hAnsi="仿宋" w:eastAsia="仿宋" w:cs="仿宋"/>
          <w:kern w:val="0"/>
          <w:sz w:val="24"/>
        </w:rPr>
        <w:t>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w:t>
      </w:r>
      <w:r>
        <w:rPr>
          <w:rFonts w:hint="eastAsia" w:ascii="仿宋" w:hAnsi="仿宋" w:eastAsia="仿宋" w:cs="仿宋"/>
          <w:kern w:val="0"/>
          <w:sz w:val="24"/>
          <w:lang w:eastAsia="zh-CN"/>
        </w:rPr>
        <w:t>响应文件</w:t>
      </w:r>
      <w:r>
        <w:rPr>
          <w:rFonts w:hint="eastAsia" w:ascii="仿宋" w:hAnsi="仿宋" w:eastAsia="仿宋" w:cs="仿宋"/>
          <w:kern w:val="0"/>
          <w:sz w:val="24"/>
        </w:rPr>
        <w:t>，没有在电子交易平台传输递交</w:t>
      </w:r>
      <w:r>
        <w:rPr>
          <w:rFonts w:hint="eastAsia" w:ascii="仿宋" w:hAnsi="仿宋" w:eastAsia="仿宋" w:cs="仿宋"/>
          <w:kern w:val="0"/>
          <w:sz w:val="24"/>
          <w:lang w:eastAsia="zh-CN"/>
        </w:rPr>
        <w:t>响应文件</w:t>
      </w:r>
      <w:r>
        <w:rPr>
          <w:rFonts w:hint="eastAsia" w:ascii="仿宋" w:hAnsi="仿宋" w:eastAsia="仿宋" w:cs="仿宋"/>
          <w:kern w:val="0"/>
          <w:sz w:val="24"/>
        </w:rPr>
        <w:t>的，投标无效；</w:t>
      </w:r>
    </w:p>
    <w:p w14:paraId="1C17108F">
      <w:pPr>
        <w:pStyle w:val="3"/>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eastAsia="zh-CN"/>
        </w:rPr>
        <w:t>响应文件</w:t>
      </w:r>
      <w:r>
        <w:rPr>
          <w:rFonts w:hint="eastAsia" w:ascii="仿宋" w:hAnsi="仿宋" w:eastAsia="仿宋" w:cs="仿宋"/>
          <w:b w:val="0"/>
          <w:bCs w:val="0"/>
          <w:kern w:val="0"/>
          <w:sz w:val="24"/>
          <w:szCs w:val="24"/>
          <w:lang w:val="en-US"/>
        </w:rPr>
        <w:t>不满足</w:t>
      </w:r>
      <w:r>
        <w:rPr>
          <w:rFonts w:hint="eastAsia" w:ascii="仿宋" w:eastAsia="仿宋" w:cs="仿宋"/>
          <w:b w:val="0"/>
          <w:bCs w:val="0"/>
          <w:kern w:val="0"/>
          <w:sz w:val="24"/>
          <w:szCs w:val="24"/>
          <w:lang w:val="en-US" w:eastAsia="zh-CN"/>
        </w:rPr>
        <w:t>磋商文件</w:t>
      </w:r>
      <w:r>
        <w:rPr>
          <w:rFonts w:hint="eastAsia" w:ascii="仿宋" w:hAnsi="仿宋" w:eastAsia="仿宋" w:cs="仿宋"/>
          <w:b w:val="0"/>
          <w:bCs w:val="0"/>
          <w:kern w:val="0"/>
          <w:sz w:val="24"/>
          <w:szCs w:val="24"/>
          <w:lang w:val="en-US"/>
        </w:rPr>
        <w:t>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Style w:val="24"/>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w:t>
      </w:r>
      <w:r>
        <w:rPr>
          <w:rFonts w:hint="eastAsia" w:ascii="仿宋" w:hAnsi="仿宋" w:eastAsia="仿宋" w:cs="仿宋"/>
          <w:lang w:eastAsia="zh-CN"/>
        </w:rPr>
        <w:t>磋商文件</w:t>
      </w:r>
      <w:r>
        <w:rPr>
          <w:rFonts w:hint="eastAsia" w:ascii="仿宋" w:hAnsi="仿宋" w:eastAsia="仿宋" w:cs="仿宋"/>
        </w:rPr>
        <w:t>作实质响应的供应商不足3家的；</w:t>
      </w:r>
    </w:p>
    <w:p w14:paraId="26BA9D4C">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Style w:val="24"/>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w:t>
      </w:r>
      <w:r>
        <w:rPr>
          <w:rFonts w:hint="eastAsia" w:ascii="仿宋" w:hAnsi="仿宋" w:eastAsia="仿宋" w:cs="仿宋"/>
          <w:b/>
          <w:lang w:eastAsia="zh-CN"/>
        </w:rPr>
        <w:t>磋商文件</w:t>
      </w:r>
      <w:r>
        <w:rPr>
          <w:rFonts w:hint="eastAsia" w:ascii="仿宋" w:hAnsi="仿宋" w:eastAsia="仿宋" w:cs="仿宋"/>
          <w:b/>
        </w:rPr>
        <w:t>，重新组织采购活动。</w:t>
      </w:r>
      <w:r>
        <w:rPr>
          <w:rFonts w:hint="eastAsia" w:ascii="仿宋" w:hAnsi="仿宋" w:eastAsia="仿宋" w:cs="仿宋"/>
        </w:rPr>
        <w:t>评标委员会发现</w:t>
      </w:r>
      <w:r>
        <w:rPr>
          <w:rFonts w:hint="eastAsia" w:ascii="仿宋" w:hAnsi="仿宋" w:eastAsia="仿宋" w:cs="仿宋"/>
          <w:lang w:eastAsia="zh-CN"/>
        </w:rPr>
        <w:t>磋商文件</w:t>
      </w:r>
      <w:r>
        <w:rPr>
          <w:rFonts w:hint="eastAsia" w:ascii="仿宋" w:hAnsi="仿宋" w:eastAsia="仿宋" w:cs="仿宋"/>
        </w:rPr>
        <w:t>存在歧义、重大缺陷导致评标工作无法进行，或者</w:t>
      </w:r>
      <w:r>
        <w:rPr>
          <w:rFonts w:hint="eastAsia" w:ascii="仿宋" w:hAnsi="仿宋" w:eastAsia="仿宋" w:cs="仿宋"/>
          <w:lang w:eastAsia="zh-CN"/>
        </w:rPr>
        <w:t>磋商文件</w:t>
      </w:r>
      <w:r>
        <w:rPr>
          <w:rFonts w:hint="eastAsia" w:ascii="仿宋" w:hAnsi="仿宋" w:eastAsia="仿宋" w:cs="仿宋"/>
        </w:rPr>
        <w:t>内容违反国家有关强制性规定的，将停止评标工作，并与采购人、采购代理机构沟通并作书面记录。采购人、采购代理机构确认后，将修改</w:t>
      </w:r>
      <w:r>
        <w:rPr>
          <w:rFonts w:hint="eastAsia" w:ascii="仿宋" w:hAnsi="仿宋" w:eastAsia="仿宋" w:cs="仿宋"/>
          <w:lang w:eastAsia="zh-CN"/>
        </w:rPr>
        <w:t>磋商文件</w:t>
      </w:r>
      <w:r>
        <w:rPr>
          <w:rFonts w:hint="eastAsia" w:ascii="仿宋" w:hAnsi="仿宋" w:eastAsia="仿宋" w:cs="仿宋"/>
        </w:rPr>
        <w:t>，重新组织采购活动。</w:t>
      </w:r>
    </w:p>
    <w:p w14:paraId="772D7D38">
      <w:pPr>
        <w:pStyle w:val="24"/>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Style w:val="24"/>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Style w:val="24"/>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Style w:val="24"/>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p w14:paraId="226C2181">
      <w:pPr>
        <w:pStyle w:val="24"/>
        <w:snapToGrid w:val="0"/>
        <w:spacing w:line="360" w:lineRule="auto"/>
        <w:ind w:firstLine="0" w:firstLineChars="0"/>
        <w:rPr>
          <w:rFonts w:hint="eastAsia" w:ascii="仿宋" w:hAnsi="仿宋" w:eastAsia="仿宋" w:cs="仿宋"/>
        </w:rPr>
      </w:pPr>
    </w:p>
    <w:bookmarkEnd w:id="22"/>
    <w:p w14:paraId="30EE929B">
      <w:pPr>
        <w:spacing w:line="480" w:lineRule="auto"/>
        <w:jc w:val="both"/>
        <w:rPr>
          <w:rFonts w:hint="eastAsia" w:ascii="仿宋" w:hAnsi="仿宋" w:eastAsia="仿宋" w:cs="仿宋"/>
          <w:b/>
          <w:sz w:val="36"/>
          <w:szCs w:val="36"/>
        </w:rPr>
      </w:pPr>
      <w:bookmarkStart w:id="388" w:name="第五部分"/>
      <w:bookmarkStart w:id="389" w:name="_Toc86217003"/>
    </w:p>
    <w:p w14:paraId="3A8CEC3C">
      <w:pPr>
        <w:spacing w:line="480" w:lineRule="auto"/>
        <w:jc w:val="center"/>
        <w:rPr>
          <w:rFonts w:hint="eastAsia" w:ascii="仿宋" w:hAnsi="仿宋" w:eastAsia="仿宋" w:cs="仿宋"/>
          <w:b/>
          <w:sz w:val="36"/>
          <w:szCs w:val="36"/>
        </w:rPr>
      </w:pPr>
    </w:p>
    <w:p w14:paraId="7F2AC315">
      <w:pPr>
        <w:pStyle w:val="2"/>
        <w:rPr>
          <w:rFonts w:hint="eastAsia" w:ascii="仿宋" w:hAnsi="仿宋" w:eastAsia="仿宋" w:cs="仿宋"/>
          <w:b/>
          <w:sz w:val="36"/>
          <w:szCs w:val="36"/>
        </w:rPr>
      </w:pPr>
    </w:p>
    <w:p w14:paraId="54BA3732">
      <w:pPr>
        <w:rPr>
          <w:rFonts w:hint="eastAsia" w:ascii="仿宋" w:hAnsi="仿宋" w:eastAsia="仿宋" w:cs="仿宋"/>
          <w:b/>
          <w:sz w:val="36"/>
          <w:szCs w:val="36"/>
        </w:rPr>
      </w:pPr>
    </w:p>
    <w:p w14:paraId="6397059D">
      <w:pPr>
        <w:pStyle w:val="2"/>
        <w:rPr>
          <w:rFonts w:hint="eastAsia" w:ascii="仿宋" w:hAnsi="仿宋" w:eastAsia="仿宋" w:cs="仿宋"/>
          <w:b/>
          <w:sz w:val="36"/>
          <w:szCs w:val="36"/>
        </w:rPr>
      </w:pPr>
    </w:p>
    <w:p w14:paraId="462C65FD">
      <w:pPr>
        <w:rPr>
          <w:rFonts w:hint="eastAsia"/>
        </w:rPr>
      </w:pPr>
    </w:p>
    <w:p w14:paraId="2F224EB5">
      <w:pPr>
        <w:spacing w:line="480" w:lineRule="auto"/>
        <w:jc w:val="center"/>
        <w:rPr>
          <w:rFonts w:hint="eastAsia" w:ascii="仿宋" w:hAnsi="仿宋" w:eastAsia="仿宋" w:cs="仿宋"/>
          <w:b/>
          <w:sz w:val="36"/>
          <w:szCs w:val="36"/>
        </w:rPr>
      </w:pPr>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7"/>
        <w:ind w:firstLine="2843" w:firstLineChars="1180"/>
        <w:rPr>
          <w:rFonts w:hint="eastAsia" w:ascii="仿宋" w:hAnsi="仿宋" w:eastAsia="仿宋" w:cs="仿宋"/>
          <w:b/>
          <w:szCs w:val="24"/>
        </w:rPr>
      </w:pPr>
    </w:p>
    <w:p w14:paraId="1866C0FA">
      <w:pPr>
        <w:pStyle w:val="707"/>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7"/>
        <w:rPr>
          <w:rFonts w:hint="eastAsia" w:ascii="仿宋" w:hAnsi="仿宋" w:eastAsia="仿宋" w:cs="仿宋"/>
          <w:szCs w:val="24"/>
        </w:rPr>
      </w:pPr>
    </w:p>
    <w:p w14:paraId="77AA71FC">
      <w:pPr>
        <w:pStyle w:val="707"/>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5"/>
        <w:spacing w:before="120" w:line="22" w:lineRule="atLeast"/>
        <w:rPr>
          <w:rFonts w:hint="eastAsia" w:ascii="仿宋" w:hAnsi="仿宋" w:eastAsia="仿宋" w:cs="仿宋"/>
          <w:szCs w:val="24"/>
        </w:rPr>
      </w:pPr>
    </w:p>
    <w:p w14:paraId="6B7C6A6D">
      <w:pPr>
        <w:pStyle w:val="605"/>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4F1215E">
      <w:pPr>
        <w:widowControl/>
        <w:jc w:val="left"/>
        <w:rPr>
          <w:rFonts w:hint="eastAsia" w:ascii="仿宋" w:hAnsi="仿宋" w:eastAsia="仿宋" w:cs="仿宋"/>
          <w:kern w:val="0"/>
          <w:sz w:val="24"/>
        </w:rPr>
        <w:sectPr>
          <w:footerReference r:id="rId19" w:type="default"/>
          <w:pgSz w:w="11907" w:h="16840"/>
          <w:pgMar w:top="1440" w:right="1080" w:bottom="1440" w:left="1080" w:header="851" w:footer="851" w:gutter="0"/>
          <w:pgNumType w:fmt="decimal"/>
          <w:cols w:space="720" w:num="1"/>
        </w:sectPr>
      </w:pPr>
    </w:p>
    <w:p w14:paraId="200B623A">
      <w:pPr>
        <w:pStyle w:val="3"/>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文件（编号：</w:t>
      </w:r>
      <w:r>
        <w:rPr>
          <w:rFonts w:hint="eastAsia" w:ascii="仿宋" w:hAnsi="仿宋" w:eastAsia="仿宋" w:cs="仿宋"/>
          <w:sz w:val="24"/>
          <w:szCs w:val="24"/>
          <w:lang w:eastAsia="zh-CN"/>
        </w:rPr>
        <w:t>诸正开</w:t>
      </w:r>
      <w:r>
        <w:rPr>
          <w:rFonts w:hint="eastAsia" w:ascii="仿宋" w:hAnsi="仿宋" w:eastAsia="仿宋" w:cs="仿宋"/>
          <w:sz w:val="24"/>
          <w:szCs w:val="24"/>
        </w:rPr>
        <w:t>20</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w:t>
      </w:r>
      <w:r>
        <w:rPr>
          <w:rFonts w:hint="eastAsia" w:ascii="仿宋" w:hAnsi="仿宋" w:eastAsia="仿宋" w:cs="仿宋"/>
          <w:sz w:val="24"/>
          <w:szCs w:val="24"/>
          <w:lang w:val="en-US" w:eastAsia="zh-CN"/>
        </w:rPr>
        <w:t>竞争性磋商</w:t>
      </w:r>
      <w:r>
        <w:rPr>
          <w:rFonts w:hint="eastAsia" w:ascii="仿宋" w:hAnsi="仿宋" w:eastAsia="仿宋" w:cs="仿宋"/>
          <w:sz w:val="24"/>
          <w:szCs w:val="24"/>
        </w:rPr>
        <w:t>。甲方确定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d. </w:t>
      </w:r>
      <w:r>
        <w:rPr>
          <w:rFonts w:hint="eastAsia" w:ascii="仿宋" w:hAnsi="仿宋" w:eastAsia="仿宋" w:cs="仿宋"/>
          <w:sz w:val="24"/>
          <w:szCs w:val="24"/>
          <w:lang w:eastAsia="zh-CN"/>
        </w:rPr>
        <w:t>响应文件</w:t>
      </w:r>
    </w:p>
    <w:p w14:paraId="232916C6">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 xml:space="preserve">e. </w:t>
      </w:r>
      <w:r>
        <w:rPr>
          <w:rFonts w:hint="eastAsia" w:ascii="仿宋" w:hAnsi="仿宋" w:eastAsia="仿宋" w:cs="仿宋"/>
          <w:sz w:val="24"/>
          <w:szCs w:val="24"/>
          <w:lang w:eastAsia="zh-CN"/>
        </w:rPr>
        <w:t>磋商文件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0B0A1F46">
      <w:pPr>
        <w:spacing w:line="360" w:lineRule="auto"/>
        <w:ind w:firstLine="480" w:firstLineChars="200"/>
        <w:rPr>
          <w:rFonts w:hint="eastAsia" w:ascii="仿宋" w:hAnsi="仿宋" w:eastAsia="仿宋" w:cs="仿宋"/>
          <w:color w:val="auto"/>
          <w:kern w:val="2"/>
          <w:sz w:val="24"/>
          <w:szCs w:val="24"/>
          <w:highlight w:val="none"/>
          <w:lang w:val="en-US" w:eastAsia="zh-CN" w:bidi="ar-SA"/>
          <w14:ligatures w14:val="none"/>
        </w:rPr>
      </w:pPr>
      <w:r>
        <w:rPr>
          <w:rFonts w:hint="eastAsia" w:ascii="仿宋" w:hAnsi="仿宋" w:eastAsia="仿宋" w:cs="仿宋"/>
          <w:sz w:val="24"/>
          <w:szCs w:val="24"/>
        </w:rPr>
        <w:t>2.支付方式：</w:t>
      </w:r>
      <w:r>
        <w:rPr>
          <w:rFonts w:hint="eastAsia" w:ascii="仿宋" w:hAnsi="仿宋" w:eastAsia="仿宋" w:cs="仿宋"/>
          <w:color w:val="auto"/>
          <w:kern w:val="2"/>
          <w:sz w:val="24"/>
          <w:szCs w:val="24"/>
          <w:highlight w:val="none"/>
          <w:lang w:val="en-US" w:eastAsia="zh-CN" w:bidi="ar-SA"/>
          <w14:ligatures w14:val="none"/>
        </w:rPr>
        <w:t>自签订合同后1个月内，支付30%合同款；提交规划报批稿后，支付40%合同款；完成所有合同规定内容并通过验收后1个月内，支付30%合同款。</w:t>
      </w:r>
    </w:p>
    <w:p w14:paraId="7FEA8353">
      <w:pPr>
        <w:spacing w:line="360" w:lineRule="auto"/>
        <w:ind w:firstLine="480" w:firstLineChars="200"/>
        <w:rPr>
          <w:rFonts w:hint="eastAsia" w:ascii="仿宋" w:hAnsi="仿宋" w:eastAsia="仿宋" w:cs="仿宋"/>
          <w:color w:val="auto"/>
          <w:kern w:val="2"/>
          <w:sz w:val="24"/>
          <w:szCs w:val="24"/>
          <w:highlight w:val="none"/>
          <w:lang w:val="en-US" w:eastAsia="zh-CN" w:bidi="ar-SA"/>
          <w14:ligatures w14:val="none"/>
        </w:rPr>
      </w:pPr>
      <w:r>
        <w:rPr>
          <w:rFonts w:hint="eastAsia" w:ascii="仿宋" w:hAnsi="仿宋" w:eastAsia="仿宋" w:cs="仿宋"/>
          <w:color w:val="auto"/>
          <w:kern w:val="2"/>
          <w:sz w:val="24"/>
          <w:szCs w:val="24"/>
          <w:highlight w:val="none"/>
          <w:lang w:val="en-US" w:eastAsia="zh-CN" w:bidi="ar-SA"/>
          <w14:ligatures w14:val="none"/>
        </w:rPr>
        <w:t>（每次支付前中标单位需根据采购人要求提供费用结算清单及正式的税务发票，因未按要求提供费用结算清单及正式的税务发票而引起的延迟付款由中标单位自行承担全部责任，以上付款根据上级拨款到位后依次支付。）</w:t>
      </w: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5"/>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w:t>
      </w:r>
      <w:r>
        <w:rPr>
          <w:rFonts w:hint="eastAsia" w:ascii="仿宋" w:hAnsi="仿宋" w:eastAsia="仿宋" w:cs="仿宋"/>
          <w:sz w:val="24"/>
          <w:szCs w:val="24"/>
          <w:lang w:eastAsia="zh-CN"/>
        </w:rPr>
        <w:t>磋商文件</w:t>
      </w:r>
      <w:r>
        <w:rPr>
          <w:rFonts w:hint="eastAsia" w:ascii="仿宋" w:hAnsi="仿宋" w:eastAsia="仿宋" w:cs="仿宋"/>
          <w:sz w:val="24"/>
          <w:szCs w:val="24"/>
        </w:rPr>
        <w:t>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w:t>
      </w:r>
      <w:r>
        <w:rPr>
          <w:rFonts w:hint="eastAsia" w:ascii="仿宋" w:hAnsi="仿宋" w:eastAsia="仿宋" w:cs="仿宋"/>
          <w:sz w:val="24"/>
          <w:szCs w:val="24"/>
          <w:lang w:eastAsia="zh-CN"/>
        </w:rPr>
        <w:t>磋商文件</w:t>
      </w:r>
      <w:r>
        <w:rPr>
          <w:rFonts w:hint="eastAsia" w:ascii="仿宋" w:hAnsi="仿宋" w:eastAsia="仿宋" w:cs="仿宋"/>
          <w:sz w:val="24"/>
          <w:szCs w:val="24"/>
        </w:rPr>
        <w:t>和</w:t>
      </w:r>
      <w:r>
        <w:rPr>
          <w:rFonts w:hint="eastAsia" w:ascii="仿宋" w:hAnsi="仿宋" w:eastAsia="仿宋" w:cs="仿宋"/>
          <w:sz w:val="24"/>
          <w:szCs w:val="24"/>
          <w:lang w:eastAsia="zh-CN"/>
        </w:rPr>
        <w:t>响应文件</w:t>
      </w:r>
      <w:r>
        <w:rPr>
          <w:rFonts w:hint="eastAsia" w:ascii="仿宋" w:hAnsi="仿宋" w:eastAsia="仿宋" w:cs="仿宋"/>
          <w:sz w:val="24"/>
          <w:szCs w:val="24"/>
        </w:rPr>
        <w:t>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438E2B8">
      <w:pPr>
        <w:pStyle w:val="7"/>
        <w:rPr>
          <w:rFonts w:hint="eastAsia"/>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8"/>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89"/>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31C92EDE">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2C1BC3DE">
      <w:pPr>
        <w:snapToGrid w:val="0"/>
        <w:spacing w:line="360" w:lineRule="auto"/>
        <w:rPr>
          <w:rFonts w:hint="eastAsia" w:ascii="仿宋" w:hAnsi="仿宋" w:eastAsia="仿宋" w:cs="仿宋"/>
          <w:sz w:val="24"/>
        </w:rPr>
      </w:pPr>
      <w:r>
        <w:rPr>
          <w:rFonts w:hint="eastAsia" w:ascii="仿宋" w:hAnsi="仿宋" w:eastAsia="仿宋" w:cs="仿宋"/>
          <w:sz w:val="24"/>
        </w:rPr>
        <w:t>（2）落实政府采购政策需满足的资格要求（如需）……………………（页码）</w:t>
      </w:r>
    </w:p>
    <w:p w14:paraId="2C866739">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（3）本项目的特定资格要求（如需）……………………………………（页码）</w:t>
      </w:r>
    </w:p>
    <w:p w14:paraId="278DF9F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0073871C">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682124C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p>
    <w:p w14:paraId="4AEA5B8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32F51FC6">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55C463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4B489B9">
      <w:pPr>
        <w:keepNext w:val="0"/>
        <w:keepLines w:val="0"/>
        <w:pageBreakBefore w:val="0"/>
        <w:widowControl w:val="0"/>
        <w:kinsoku/>
        <w:wordWrap/>
        <w:overflowPunct/>
        <w:topLinePunct w:val="0"/>
        <w:autoSpaceDE/>
        <w:autoSpaceDN/>
        <w:bidi w:val="0"/>
        <w:adjustRightInd w:val="0"/>
        <w:snapToGrid w:val="0"/>
        <w:spacing w:line="420" w:lineRule="exact"/>
        <w:ind w:firstLine="360" w:firstLineChars="15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一</w:t>
      </w:r>
      <w:r>
        <w:rPr>
          <w:rFonts w:hint="eastAsia" w:ascii="仿宋" w:hAnsi="仿宋" w:eastAsia="仿宋" w:cs="仿宋"/>
          <w:sz w:val="24"/>
          <w:lang w:eastAsia="zh-CN"/>
        </w:rPr>
        <w:t>）</w:t>
      </w:r>
      <w:r>
        <w:rPr>
          <w:rFonts w:hint="eastAsia" w:ascii="仿宋" w:hAnsi="仿宋" w:eastAsia="仿宋" w:cs="仿宋"/>
          <w:sz w:val="24"/>
        </w:rPr>
        <w:t>具备《中华人民共和国政府采购法》第二十二条规定的以下条件：</w:t>
      </w:r>
    </w:p>
    <w:p w14:paraId="68FA402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1FD6B4D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269641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264323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3E24097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62DF0F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4545F42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二</w:t>
      </w:r>
      <w:r>
        <w:rPr>
          <w:rFonts w:hint="eastAsia" w:ascii="仿宋" w:hAnsi="仿宋" w:eastAsia="仿宋" w:cs="仿宋"/>
          <w:sz w:val="24"/>
          <w:lang w:eastAsia="zh-CN"/>
        </w:rPr>
        <w:t>）未被信用中国（www.creditchina.go</w:t>
      </w:r>
      <w:r>
        <w:rPr>
          <w:rFonts w:hint="eastAsia" w:ascii="仿宋" w:hAnsi="仿宋" w:eastAsia="仿宋" w:cs="仿宋"/>
          <w:sz w:val="24"/>
        </w:rPr>
        <w:t>v.cn)、中国政府采购网（www.ccgp.gov.cn）列入失信被执行人、重大税收违法案件当事人名单、政府采购严重违法失信行为记录名单。</w:t>
      </w:r>
    </w:p>
    <w:p w14:paraId="154991B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49D1BE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FECF61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64B4B2A8">
      <w:pPr>
        <w:pStyle w:val="3"/>
        <w:rPr>
          <w:rFonts w:hint="eastAsia" w:ascii="仿宋" w:hAnsi="仿宋" w:eastAsia="仿宋" w:cs="仿宋"/>
          <w:lang w:val="en-US"/>
        </w:rPr>
      </w:pPr>
    </w:p>
    <w:p w14:paraId="12F38A16">
      <w:pPr>
        <w:rPr>
          <w:rFonts w:hint="eastAsia" w:ascii="仿宋" w:hAnsi="仿宋" w:eastAsia="仿宋" w:cs="仿宋"/>
        </w:rPr>
      </w:pPr>
    </w:p>
    <w:p w14:paraId="3F999714">
      <w:pPr>
        <w:pStyle w:val="3"/>
        <w:rPr>
          <w:rFonts w:hint="eastAsia" w:ascii="仿宋" w:hAnsi="仿宋" w:eastAsia="仿宋" w:cs="仿宋"/>
          <w:lang w:val="en-US"/>
        </w:rPr>
      </w:pPr>
    </w:p>
    <w:p w14:paraId="2866757B">
      <w:pPr>
        <w:rPr>
          <w:rFonts w:hint="eastAsia" w:ascii="仿宋" w:hAnsi="仿宋" w:eastAsia="仿宋" w:cs="仿宋"/>
        </w:rPr>
      </w:pPr>
    </w:p>
    <w:p w14:paraId="73E40D53">
      <w:pPr>
        <w:pStyle w:val="3"/>
        <w:rPr>
          <w:rFonts w:hint="eastAsia" w:ascii="仿宋" w:hAnsi="仿宋" w:eastAsia="仿宋" w:cs="仿宋"/>
          <w:lang w:val="en-US"/>
        </w:rPr>
      </w:pPr>
    </w:p>
    <w:p w14:paraId="4E2B963A">
      <w:pPr>
        <w:rPr>
          <w:rFonts w:hint="eastAsia" w:ascii="仿宋" w:hAnsi="仿宋" w:eastAsia="仿宋" w:cs="仿宋"/>
        </w:rPr>
      </w:pPr>
    </w:p>
    <w:p w14:paraId="503B6985">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磋商供应商名称(电子签名)：</w:t>
      </w:r>
    </w:p>
    <w:p w14:paraId="0E64F4E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F1198F7">
      <w:pPr>
        <w:snapToGrid w:val="0"/>
        <w:spacing w:line="360" w:lineRule="auto"/>
        <w:ind w:right="480"/>
        <w:jc w:val="both"/>
        <w:rPr>
          <w:rFonts w:hint="eastAsia" w:ascii="仿宋" w:hAnsi="仿宋" w:eastAsia="仿宋" w:cs="仿宋"/>
          <w:b/>
          <w:kern w:val="0"/>
          <w:sz w:val="32"/>
          <w:szCs w:val="32"/>
        </w:rPr>
      </w:pPr>
    </w:p>
    <w:p w14:paraId="38E10F18">
      <w:pPr>
        <w:snapToGrid w:val="0"/>
        <w:spacing w:line="360" w:lineRule="auto"/>
        <w:ind w:right="480"/>
        <w:jc w:val="center"/>
        <w:rPr>
          <w:rFonts w:hint="eastAsia" w:ascii="仿宋" w:hAnsi="仿宋" w:eastAsia="仿宋" w:cs="仿宋"/>
          <w:b/>
          <w:kern w:val="0"/>
          <w:sz w:val="32"/>
          <w:szCs w:val="32"/>
        </w:rPr>
      </w:pPr>
    </w:p>
    <w:p w14:paraId="39A0707A">
      <w:pPr>
        <w:snapToGrid w:val="0"/>
        <w:spacing w:line="360" w:lineRule="auto"/>
        <w:ind w:right="480"/>
        <w:jc w:val="center"/>
        <w:rPr>
          <w:rFonts w:hint="eastAsia" w:ascii="仿宋" w:hAnsi="仿宋" w:eastAsia="仿宋" w:cs="仿宋"/>
          <w:b/>
          <w:kern w:val="0"/>
          <w:sz w:val="32"/>
          <w:szCs w:val="32"/>
        </w:rPr>
      </w:pPr>
    </w:p>
    <w:p w14:paraId="34AD60E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3F6DB329">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F88B545">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FA68B1C">
      <w:pPr>
        <w:pStyle w:val="83"/>
        <w:keepNext w:val="0"/>
        <w:keepLines w:val="0"/>
        <w:pageBreakBefore w:val="0"/>
        <w:widowControl w:val="0"/>
        <w:numPr>
          <w:ilvl w:val="0"/>
          <w:numId w:val="0"/>
        </w:numPr>
        <w:kinsoku/>
        <w:wordWrap/>
        <w:overflowPunct/>
        <w:topLinePunct w:val="0"/>
        <w:autoSpaceDE/>
        <w:autoSpaceDN/>
        <w:bidi w:val="0"/>
        <w:adjustRightInd w:val="0"/>
        <w:spacing w:after="0" w:afterLines="0" w:line="42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BE3D6E">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0FEB37C0">
      <w:pPr>
        <w:snapToGrid w:val="0"/>
        <w:spacing w:before="50" w:after="50" w:line="360" w:lineRule="auto"/>
        <w:jc w:val="center"/>
        <w:rPr>
          <w:rFonts w:hint="eastAsia" w:ascii="仿宋" w:hAnsi="仿宋" w:eastAsia="仿宋" w:cs="仿宋"/>
          <w:b/>
          <w:sz w:val="24"/>
        </w:rPr>
      </w:pPr>
    </w:p>
    <w:p w14:paraId="53B9F4DC">
      <w:pPr>
        <w:snapToGrid w:val="0"/>
        <w:spacing w:before="50" w:after="50" w:line="360" w:lineRule="auto"/>
        <w:jc w:val="center"/>
        <w:rPr>
          <w:rFonts w:hint="eastAsia" w:ascii="仿宋" w:hAnsi="仿宋" w:eastAsia="仿宋" w:cs="仿宋"/>
          <w:b/>
          <w:sz w:val="24"/>
        </w:rPr>
      </w:pPr>
    </w:p>
    <w:p w14:paraId="4B42CC83">
      <w:pPr>
        <w:snapToGrid w:val="0"/>
        <w:spacing w:before="50" w:after="50" w:line="360" w:lineRule="auto"/>
        <w:jc w:val="center"/>
        <w:rPr>
          <w:rFonts w:hint="eastAsia" w:ascii="仿宋" w:hAnsi="仿宋" w:eastAsia="仿宋" w:cs="仿宋"/>
          <w:b/>
          <w:sz w:val="24"/>
        </w:rPr>
      </w:pPr>
    </w:p>
    <w:p w14:paraId="2BC24A58">
      <w:pPr>
        <w:snapToGrid w:val="0"/>
        <w:spacing w:before="50" w:after="50" w:line="360" w:lineRule="auto"/>
        <w:jc w:val="center"/>
        <w:rPr>
          <w:rFonts w:hint="eastAsia" w:ascii="仿宋" w:hAnsi="仿宋" w:eastAsia="仿宋" w:cs="仿宋"/>
          <w:b/>
          <w:sz w:val="24"/>
        </w:rPr>
      </w:pPr>
    </w:p>
    <w:p w14:paraId="5A80F39D">
      <w:pPr>
        <w:snapToGrid w:val="0"/>
        <w:spacing w:before="50" w:after="50" w:line="360" w:lineRule="auto"/>
        <w:jc w:val="center"/>
        <w:rPr>
          <w:rFonts w:hint="eastAsia" w:ascii="仿宋" w:hAnsi="仿宋" w:eastAsia="仿宋" w:cs="仿宋"/>
          <w:b/>
          <w:sz w:val="24"/>
        </w:rPr>
      </w:pPr>
    </w:p>
    <w:p w14:paraId="2BF53CB4">
      <w:pPr>
        <w:snapToGrid w:val="0"/>
        <w:spacing w:before="50" w:after="50" w:line="360" w:lineRule="auto"/>
        <w:jc w:val="center"/>
        <w:rPr>
          <w:rFonts w:hint="eastAsia" w:ascii="仿宋" w:hAnsi="仿宋" w:eastAsia="仿宋" w:cs="仿宋"/>
          <w:b/>
          <w:sz w:val="24"/>
        </w:rPr>
      </w:pPr>
    </w:p>
    <w:p w14:paraId="00B12465">
      <w:pPr>
        <w:snapToGrid w:val="0"/>
        <w:spacing w:before="50" w:after="50" w:line="360" w:lineRule="auto"/>
        <w:jc w:val="center"/>
        <w:rPr>
          <w:rFonts w:hint="eastAsia" w:ascii="仿宋" w:hAnsi="仿宋" w:eastAsia="仿宋" w:cs="仿宋"/>
          <w:b/>
          <w:sz w:val="24"/>
        </w:rPr>
      </w:pPr>
    </w:p>
    <w:p w14:paraId="648F1FED">
      <w:pPr>
        <w:snapToGrid w:val="0"/>
        <w:spacing w:before="50" w:after="50" w:line="360" w:lineRule="auto"/>
        <w:jc w:val="center"/>
        <w:rPr>
          <w:rFonts w:hint="eastAsia" w:ascii="仿宋" w:hAnsi="仿宋" w:eastAsia="仿宋" w:cs="仿宋"/>
          <w:b/>
          <w:sz w:val="24"/>
        </w:rPr>
      </w:pPr>
    </w:p>
    <w:p w14:paraId="16E7BD1D">
      <w:pPr>
        <w:snapToGrid w:val="0"/>
        <w:spacing w:before="50" w:after="50" w:line="360" w:lineRule="auto"/>
        <w:jc w:val="center"/>
        <w:rPr>
          <w:rFonts w:hint="eastAsia" w:ascii="仿宋" w:hAnsi="仿宋" w:eastAsia="仿宋" w:cs="仿宋"/>
          <w:b/>
          <w:sz w:val="24"/>
        </w:rPr>
      </w:pPr>
    </w:p>
    <w:p w14:paraId="06A50288">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3"/>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3"/>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3"/>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5"/>
        <w:rPr>
          <w:rFonts w:hint="eastAsia"/>
        </w:rPr>
      </w:pPr>
    </w:p>
    <w:p w14:paraId="6A9D5F31">
      <w:pPr>
        <w:rPr>
          <w:rFonts w:hint="eastAsia" w:ascii="仿宋" w:hAnsi="仿宋" w:eastAsia="仿宋" w:cs="仿宋"/>
          <w:b/>
          <w:kern w:val="0"/>
          <w:sz w:val="32"/>
          <w:szCs w:val="32"/>
        </w:rPr>
      </w:pPr>
    </w:p>
    <w:p w14:paraId="5AC60E41">
      <w:pPr>
        <w:pStyle w:val="23"/>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C4ED354">
      <w:pPr>
        <w:snapToGrid w:val="0"/>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0C804647">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w:t>
      </w:r>
      <w:r>
        <w:rPr>
          <w:rFonts w:hint="eastAsia" w:ascii="仿宋" w:hAnsi="仿宋" w:eastAsia="仿宋" w:cs="仿宋"/>
          <w:sz w:val="24"/>
          <w:lang w:val="en-US" w:eastAsia="zh-CN"/>
        </w:rPr>
        <w:t>磋商</w:t>
      </w:r>
      <w:r>
        <w:rPr>
          <w:rFonts w:hint="eastAsia" w:ascii="仿宋" w:hAnsi="仿宋" w:eastAsia="仿宋" w:cs="仿宋"/>
          <w:sz w:val="24"/>
        </w:rPr>
        <w:t>的有关活动，并对此项目进行</w:t>
      </w:r>
      <w:r>
        <w:rPr>
          <w:rFonts w:hint="eastAsia" w:ascii="仿宋" w:hAnsi="仿宋" w:eastAsia="仿宋" w:cs="仿宋"/>
          <w:sz w:val="24"/>
          <w:lang w:val="en-US" w:eastAsia="zh-CN"/>
        </w:rPr>
        <w:t>磋商</w:t>
      </w:r>
      <w:r>
        <w:rPr>
          <w:rFonts w:hint="eastAsia" w:ascii="仿宋" w:hAnsi="仿宋" w:eastAsia="仿宋" w:cs="仿宋"/>
          <w:sz w:val="24"/>
        </w:rPr>
        <w:t>。为此：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val="en-US" w:eastAsia="zh-CN"/>
        </w:rPr>
        <w:t>磋商</w:t>
      </w:r>
      <w:r>
        <w:rPr>
          <w:rFonts w:hint="eastAsia" w:ascii="仿宋" w:hAnsi="仿宋" w:eastAsia="仿宋" w:cs="仿宋"/>
          <w:sz w:val="24"/>
        </w:rPr>
        <w:t>有效期从提交</w:t>
      </w:r>
      <w:r>
        <w:rPr>
          <w:rFonts w:hint="eastAsia" w:ascii="仿宋" w:hAnsi="仿宋" w:eastAsia="仿宋" w:cs="仿宋"/>
          <w:sz w:val="24"/>
          <w:lang w:val="en-US" w:eastAsia="zh-CN"/>
        </w:rPr>
        <w:t>磋商响应</w:t>
      </w:r>
      <w:r>
        <w:rPr>
          <w:rFonts w:hint="eastAsia" w:ascii="仿宋" w:hAnsi="仿宋" w:eastAsia="仿宋" w:cs="仿宋"/>
          <w:sz w:val="24"/>
        </w:rPr>
        <w:t>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val="en-US" w:eastAsia="zh-CN"/>
        </w:rPr>
        <w:t>磋商响应文件</w:t>
      </w:r>
      <w:r>
        <w:rPr>
          <w:rFonts w:hint="eastAsia" w:ascii="仿宋" w:hAnsi="仿宋" w:eastAsia="仿宋" w:cs="仿宋"/>
          <w:sz w:val="24"/>
        </w:rPr>
        <w:t>在</w:t>
      </w:r>
      <w:r>
        <w:rPr>
          <w:rFonts w:hint="eastAsia" w:ascii="仿宋" w:hAnsi="仿宋" w:eastAsia="仿宋" w:cs="仿宋"/>
          <w:sz w:val="24"/>
          <w:lang w:val="en-US" w:eastAsia="zh-CN"/>
        </w:rPr>
        <w:t>磋商</w:t>
      </w:r>
      <w:r>
        <w:rPr>
          <w:rFonts w:hint="eastAsia" w:ascii="仿宋" w:hAnsi="仿宋" w:eastAsia="仿宋" w:cs="仿宋"/>
          <w:sz w:val="24"/>
        </w:rPr>
        <w:t>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val="en-US" w:eastAsia="zh-CN"/>
        </w:rPr>
        <w:t>磋商响应文件</w:t>
      </w:r>
      <w:r>
        <w:rPr>
          <w:rFonts w:hint="eastAsia" w:ascii="仿宋" w:hAnsi="仿宋" w:eastAsia="仿宋" w:cs="仿宋"/>
          <w:sz w:val="24"/>
        </w:rPr>
        <w:t>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val="en-US" w:eastAsia="zh-CN"/>
        </w:rPr>
        <w:t>磋商</w:t>
      </w:r>
      <w:r>
        <w:rPr>
          <w:rFonts w:hint="eastAsia" w:ascii="仿宋" w:hAnsi="仿宋" w:eastAsia="仿宋" w:cs="仿宋"/>
          <w:sz w:val="24"/>
        </w:rPr>
        <w:t>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val="en-US" w:eastAsia="zh-CN"/>
        </w:rPr>
        <w:t>磋商</w:t>
      </w:r>
      <w:r>
        <w:rPr>
          <w:rFonts w:hint="eastAsia" w:ascii="仿宋" w:hAnsi="仿宋" w:eastAsia="仿宋" w:cs="仿宋"/>
          <w:sz w:val="24"/>
        </w:rPr>
        <w:t xml:space="preserve">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0DC3E9B2">
      <w:pPr>
        <w:jc w:val="center"/>
        <w:rPr>
          <w:rFonts w:hint="eastAsia" w:ascii="仿宋" w:hAnsi="仿宋" w:eastAsia="仿宋" w:cs="仿宋"/>
          <w:b/>
          <w:kern w:val="0"/>
          <w:sz w:val="32"/>
          <w:szCs w:val="32"/>
          <w:lang w:val="zh-CN"/>
        </w:rPr>
      </w:pPr>
    </w:p>
    <w:p w14:paraId="57F29898">
      <w:pPr>
        <w:jc w:val="center"/>
        <w:rPr>
          <w:rFonts w:hint="eastAsia" w:ascii="仿宋" w:hAnsi="仿宋" w:eastAsia="仿宋" w:cs="仿宋"/>
          <w:b/>
          <w:kern w:val="0"/>
          <w:sz w:val="32"/>
          <w:szCs w:val="32"/>
          <w:lang w:val="zh-CN"/>
        </w:rPr>
      </w:pPr>
    </w:p>
    <w:p w14:paraId="2E5B0C52">
      <w:pPr>
        <w:jc w:val="center"/>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5304A640">
      <w:pPr>
        <w:snapToGrid w:val="0"/>
        <w:spacing w:line="360" w:lineRule="auto"/>
        <w:ind w:firstLine="576"/>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1AD45E97">
      <w:pPr>
        <w:snapToGrid w:val="0"/>
        <w:spacing w:line="360" w:lineRule="auto"/>
        <w:ind w:firstLine="576"/>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3"/>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3"/>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3"/>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3"/>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文件按照</w:t>
            </w:r>
            <w:r>
              <w:rPr>
                <w:rFonts w:hint="eastAsia" w:ascii="仿宋" w:hAnsi="仿宋" w:eastAsia="仿宋" w:cs="仿宋"/>
                <w:sz w:val="24"/>
                <w:lang w:val="en-US" w:eastAsia="zh-CN"/>
              </w:rPr>
              <w:t>磋商</w:t>
            </w:r>
            <w:r>
              <w:rPr>
                <w:rFonts w:hint="eastAsia" w:ascii="仿宋" w:hAnsi="仿宋" w:eastAsia="仿宋" w:cs="仿宋"/>
                <w:sz w:val="24"/>
              </w:rPr>
              <w:t>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w:t>
            </w:r>
            <w:r>
              <w:rPr>
                <w:rFonts w:hint="eastAsia" w:ascii="仿宋" w:hAnsi="仿宋" w:eastAsia="仿宋" w:cs="仿宋"/>
                <w:sz w:val="24"/>
                <w:lang w:val="en-US" w:eastAsia="zh-CN"/>
              </w:rPr>
              <w:t>磋商响应</w:t>
            </w:r>
            <w:r>
              <w:rPr>
                <w:rFonts w:hint="eastAsia" w:ascii="仿宋" w:hAnsi="仿宋" w:eastAsia="仿宋" w:cs="仿宋"/>
                <w:sz w:val="24"/>
              </w:rPr>
              <w:t>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w:t>
            </w:r>
            <w:r>
              <w:rPr>
                <w:rFonts w:hint="eastAsia" w:ascii="仿宋" w:hAnsi="仿宋" w:eastAsia="仿宋" w:cs="仿宋"/>
                <w:sz w:val="24"/>
                <w:lang w:val="en-US" w:eastAsia="zh-CN"/>
              </w:rPr>
              <w:t>磋商</w:t>
            </w:r>
            <w:r>
              <w:rPr>
                <w:rFonts w:hint="eastAsia" w:ascii="仿宋" w:hAnsi="仿宋" w:eastAsia="仿宋" w:cs="仿宋"/>
                <w:sz w:val="24"/>
              </w:rPr>
              <w:t>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文件中承诺的投标有效期不少于</w:t>
            </w:r>
            <w:r>
              <w:rPr>
                <w:rFonts w:hint="eastAsia" w:ascii="仿宋" w:hAnsi="仿宋" w:eastAsia="仿宋" w:cs="仿宋"/>
                <w:sz w:val="24"/>
                <w:lang w:val="en-US" w:eastAsia="zh-CN"/>
              </w:rPr>
              <w:t>磋商</w:t>
            </w:r>
            <w:r>
              <w:rPr>
                <w:rFonts w:hint="eastAsia" w:ascii="仿宋" w:hAnsi="仿宋" w:eastAsia="仿宋" w:cs="仿宋"/>
                <w:sz w:val="24"/>
              </w:rPr>
              <w:t>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磋商响应</w:t>
            </w:r>
            <w:r>
              <w:rPr>
                <w:rFonts w:hint="eastAsia" w:ascii="仿宋" w:hAnsi="仿宋" w:eastAsia="仿宋" w:cs="仿宋"/>
                <w:sz w:val="24"/>
              </w:rPr>
              <w:t>文件满足</w:t>
            </w:r>
            <w:r>
              <w:rPr>
                <w:rFonts w:hint="eastAsia" w:ascii="仿宋" w:hAnsi="仿宋" w:eastAsia="仿宋" w:cs="仿宋"/>
                <w:sz w:val="24"/>
                <w:lang w:val="en-US" w:eastAsia="zh-CN"/>
              </w:rPr>
              <w:t>磋商</w:t>
            </w:r>
            <w:r>
              <w:rPr>
                <w:rFonts w:hint="eastAsia" w:ascii="仿宋" w:hAnsi="仿宋" w:eastAsia="仿宋" w:cs="仿宋"/>
                <w:sz w:val="24"/>
              </w:rPr>
              <w:t>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lang w:val="en-US" w:eastAsia="zh-CN"/>
              </w:rPr>
              <w:t>磋商</w:t>
            </w:r>
            <w:r>
              <w:rPr>
                <w:rFonts w:hint="eastAsia" w:ascii="仿宋" w:hAnsi="仿宋" w:eastAsia="仿宋" w:cs="仿宋"/>
                <w:sz w:val="24"/>
              </w:rPr>
              <w:t>文件其它实质性要求相应的材料（“★” 系指实质性要求条款，</w:t>
            </w:r>
            <w:r>
              <w:rPr>
                <w:rFonts w:hint="eastAsia" w:ascii="仿宋" w:hAnsi="仿宋" w:eastAsia="仿宋" w:cs="仿宋"/>
                <w:sz w:val="24"/>
                <w:lang w:val="en-US" w:eastAsia="zh-CN"/>
              </w:rPr>
              <w:t>磋商</w:t>
            </w:r>
            <w:r>
              <w:rPr>
                <w:rFonts w:hint="eastAsia" w:ascii="仿宋" w:hAnsi="仿宋" w:eastAsia="仿宋" w:cs="仿宋"/>
                <w:sz w:val="24"/>
              </w:rPr>
              <w:t>文件无其它实质性要求的，无需提供）</w:t>
            </w:r>
          </w:p>
        </w:tc>
      </w:tr>
    </w:tbl>
    <w:p w14:paraId="7C28834C">
      <w:pPr>
        <w:jc w:val="center"/>
        <w:rPr>
          <w:rFonts w:hint="eastAsia" w:ascii="仿宋" w:hAnsi="仿宋" w:eastAsia="仿宋" w:cs="仿宋"/>
          <w:b/>
          <w:kern w:val="0"/>
          <w:sz w:val="32"/>
          <w:szCs w:val="32"/>
        </w:rPr>
      </w:pPr>
    </w:p>
    <w:p w14:paraId="64BEED09">
      <w:pPr>
        <w:pStyle w:val="23"/>
        <w:rPr>
          <w:rFonts w:hint="eastAsia" w:ascii="仿宋" w:hAnsi="仿宋" w:eastAsia="仿宋" w:cs="仿宋"/>
        </w:rPr>
      </w:pPr>
    </w:p>
    <w:p w14:paraId="1116615A">
      <w:pPr>
        <w:rPr>
          <w:rFonts w:hint="eastAsia" w:ascii="仿宋" w:hAnsi="仿宋" w:eastAsia="仿宋" w:cs="仿宋"/>
          <w:b/>
          <w:kern w:val="0"/>
          <w:sz w:val="32"/>
          <w:szCs w:val="32"/>
        </w:rPr>
      </w:pPr>
    </w:p>
    <w:p w14:paraId="32A4F69B">
      <w:pPr>
        <w:pStyle w:val="61"/>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28C92337">
      <w:pPr>
        <w:pStyle w:val="61"/>
        <w:rPr>
          <w:rFonts w:hint="eastAsia" w:ascii="仿宋" w:hAnsi="仿宋" w:eastAsia="仿宋" w:cs="仿宋"/>
          <w:b/>
          <w:kern w:val="0"/>
          <w:sz w:val="32"/>
          <w:szCs w:val="32"/>
        </w:rPr>
      </w:pPr>
    </w:p>
    <w:p w14:paraId="2577B6FB">
      <w:pPr>
        <w:rPr>
          <w:rFonts w:hint="eastAsia" w:ascii="仿宋" w:hAnsi="仿宋" w:eastAsia="仿宋" w:cs="仿宋"/>
          <w:b/>
          <w:kern w:val="0"/>
          <w:sz w:val="32"/>
          <w:szCs w:val="32"/>
        </w:rPr>
      </w:pPr>
    </w:p>
    <w:p w14:paraId="45964F0B">
      <w:pPr>
        <w:pStyle w:val="61"/>
        <w:rPr>
          <w:rFonts w:hint="eastAsia" w:ascii="仿宋" w:hAnsi="仿宋" w:eastAsia="仿宋" w:cs="仿宋"/>
          <w:b/>
          <w:kern w:val="0"/>
          <w:sz w:val="32"/>
          <w:szCs w:val="32"/>
        </w:rPr>
      </w:pPr>
    </w:p>
    <w:p w14:paraId="2EDBCC3A">
      <w:pPr>
        <w:rPr>
          <w:rFonts w:hint="eastAsia" w:ascii="仿宋" w:hAnsi="仿宋" w:eastAsia="仿宋" w:cs="仿宋"/>
          <w:b/>
          <w:kern w:val="0"/>
          <w:sz w:val="32"/>
          <w:szCs w:val="32"/>
        </w:rPr>
      </w:pPr>
    </w:p>
    <w:p w14:paraId="23A20969">
      <w:pPr>
        <w:pStyle w:val="61"/>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pStyle w:val="61"/>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w:t>
      </w:r>
      <w:r>
        <w:rPr>
          <w:rFonts w:hint="eastAsia" w:ascii="仿宋" w:hAnsi="仿宋" w:eastAsia="仿宋" w:cs="仿宋"/>
          <w:b/>
          <w:sz w:val="24"/>
          <w:lang w:eastAsia="zh-CN"/>
        </w:rPr>
        <w:t>磋商文件</w:t>
      </w:r>
      <w:r>
        <w:rPr>
          <w:rFonts w:hint="eastAsia" w:ascii="仿宋" w:hAnsi="仿宋" w:eastAsia="仿宋" w:cs="仿宋"/>
          <w:b/>
          <w:sz w:val="24"/>
        </w:rPr>
        <w:t>第四部分评标办法前附表中“</w:t>
      </w:r>
      <w:r>
        <w:rPr>
          <w:rFonts w:hint="eastAsia" w:ascii="仿宋" w:hAnsi="仿宋" w:eastAsia="仿宋" w:cs="仿宋"/>
          <w:b/>
          <w:sz w:val="24"/>
          <w:lang w:eastAsia="zh-CN"/>
        </w:rPr>
        <w:t>响应文件</w:t>
      </w:r>
      <w:r>
        <w:rPr>
          <w:rFonts w:hint="eastAsia" w:ascii="仿宋" w:hAnsi="仿宋" w:eastAsia="仿宋" w:cs="仿宋"/>
          <w:b/>
          <w:sz w:val="24"/>
        </w:rPr>
        <w:t>中评标标准相应的商务技术资料目录”提供资料）</w:t>
      </w:r>
    </w:p>
    <w:p w14:paraId="5D09A50E">
      <w:pPr>
        <w:jc w:val="center"/>
        <w:rPr>
          <w:rFonts w:hint="eastAsia" w:ascii="仿宋" w:hAnsi="仿宋" w:eastAsia="仿宋" w:cs="仿宋"/>
          <w:b/>
          <w:kern w:val="0"/>
          <w:sz w:val="32"/>
          <w:szCs w:val="32"/>
        </w:rPr>
      </w:pPr>
    </w:p>
    <w:p w14:paraId="6DB98B26">
      <w:pPr>
        <w:pStyle w:val="5"/>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5"/>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lang w:eastAsia="zh-CN"/>
              </w:rPr>
              <w:t>磋商文件</w:t>
            </w:r>
            <w:r>
              <w:rPr>
                <w:rFonts w:hint="eastAsia" w:ascii="仿宋" w:hAnsi="仿宋" w:eastAsia="仿宋" w:cs="仿宋"/>
                <w:b/>
                <w:bCs/>
                <w:sz w:val="24"/>
              </w:rPr>
              <w:t>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lang w:eastAsia="zh-CN"/>
              </w:rPr>
              <w:t>响应文件</w:t>
            </w:r>
            <w:r>
              <w:rPr>
                <w:rFonts w:hint="eastAsia" w:ascii="仿宋" w:hAnsi="仿宋" w:eastAsia="仿宋" w:cs="仿宋"/>
                <w:b/>
                <w:bCs/>
                <w:sz w:val="24"/>
              </w:rPr>
              <w:t>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w:t>
      </w:r>
      <w:r>
        <w:rPr>
          <w:rFonts w:hint="eastAsia" w:ascii="仿宋" w:hAnsi="仿宋" w:eastAsia="仿宋" w:cs="仿宋"/>
          <w:b/>
          <w:kern w:val="0"/>
          <w:sz w:val="24"/>
          <w:lang w:eastAsia="zh-CN"/>
        </w:rPr>
        <w:t>磋商文件</w:t>
      </w:r>
      <w:r>
        <w:rPr>
          <w:rFonts w:hint="eastAsia" w:ascii="仿宋" w:hAnsi="仿宋" w:eastAsia="仿宋" w:cs="仿宋"/>
          <w:b/>
          <w:kern w:val="0"/>
          <w:sz w:val="24"/>
        </w:rPr>
        <w:t>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pStyle w:val="61"/>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1F791CF7">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诸暨市人民政府大唐街道办事处：</w:t>
      </w:r>
    </w:p>
    <w:p w14:paraId="7558D816">
      <w:pPr>
        <w:keepNext w:val="0"/>
        <w:keepLines w:val="0"/>
        <w:pageBreakBefore w:val="0"/>
        <w:widowControl w:val="0"/>
        <w:kinsoku/>
        <w:wordWrap/>
        <w:overflowPunct/>
        <w:topLinePunct w:val="0"/>
        <w:bidi w:val="0"/>
        <w:adjustRightInd w:val="0"/>
        <w:snapToGrid w:val="0"/>
        <w:spacing w:line="420" w:lineRule="exact"/>
        <w:ind w:left="0" w:leftChars="0"/>
        <w:textAlignment w:val="auto"/>
        <w:rPr>
          <w:rFonts w:hint="eastAsia" w:ascii="仿宋" w:hAnsi="仿宋" w:eastAsia="仿宋" w:cs="仿宋"/>
          <w:sz w:val="24"/>
        </w:rPr>
      </w:pPr>
      <w:r>
        <w:rPr>
          <w:rFonts w:hint="eastAsia" w:ascii="仿宋" w:hAnsi="仿宋" w:eastAsia="仿宋" w:cs="仿宋"/>
          <w:sz w:val="24"/>
          <w:lang w:val="en-US" w:eastAsia="zh-CN"/>
        </w:rPr>
        <w:t>诸暨正开工程咨询有限公司</w:t>
      </w:r>
      <w:r>
        <w:rPr>
          <w:rFonts w:hint="eastAsia" w:ascii="仿宋" w:hAnsi="仿宋" w:eastAsia="仿宋" w:cs="仿宋"/>
          <w:sz w:val="24"/>
        </w:rPr>
        <w:t>：</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21ECA5B">
      <w:pPr>
        <w:spacing w:line="360" w:lineRule="auto"/>
        <w:jc w:val="center"/>
        <w:rPr>
          <w:rFonts w:hint="eastAsia" w:ascii="仿宋" w:hAnsi="仿宋" w:eastAsia="仿宋" w:cs="仿宋"/>
          <w:b/>
          <w:bCs/>
          <w:sz w:val="24"/>
        </w:rPr>
      </w:pPr>
    </w:p>
    <w:p w14:paraId="7EE9300D">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center"/>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2"/>
        <w:rPr>
          <w:rFonts w:hint="eastAsia" w:ascii="仿宋" w:hAnsi="仿宋" w:eastAsia="仿宋" w:cs="仿宋"/>
          <w:b/>
          <w:kern w:val="0"/>
          <w:sz w:val="32"/>
          <w:szCs w:val="32"/>
        </w:rPr>
      </w:pPr>
    </w:p>
    <w:p w14:paraId="25D0BE40">
      <w:pPr>
        <w:pStyle w:val="23"/>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2"/>
        <w:rPr>
          <w:rFonts w:hint="eastAsia" w:ascii="仿宋" w:hAnsi="仿宋" w:eastAsia="仿宋" w:cs="仿宋"/>
          <w:b/>
          <w:kern w:val="0"/>
          <w:sz w:val="32"/>
          <w:szCs w:val="32"/>
        </w:rPr>
      </w:pPr>
    </w:p>
    <w:p w14:paraId="3B96A9F3">
      <w:pPr>
        <w:pStyle w:val="23"/>
        <w:rPr>
          <w:rFonts w:hint="eastAsia" w:ascii="仿宋" w:hAnsi="仿宋" w:eastAsia="仿宋" w:cs="仿宋"/>
        </w:rPr>
      </w:pPr>
    </w:p>
    <w:p w14:paraId="77990B7E">
      <w:pPr>
        <w:pStyle w:val="23"/>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2"/>
        <w:rPr>
          <w:rFonts w:hint="eastAsia" w:ascii="仿宋" w:hAnsi="仿宋" w:eastAsia="仿宋" w:cs="仿宋"/>
          <w:b/>
          <w:kern w:val="0"/>
          <w:sz w:val="32"/>
          <w:szCs w:val="32"/>
        </w:rPr>
      </w:pPr>
    </w:p>
    <w:p w14:paraId="7CC25864">
      <w:pPr>
        <w:pStyle w:val="23"/>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3"/>
        <w:rPr>
          <w:rFonts w:hint="eastAsia" w:ascii="仿宋" w:hAnsi="仿宋" w:eastAsia="仿宋" w:cs="仿宋"/>
        </w:rPr>
      </w:pPr>
    </w:p>
    <w:p w14:paraId="401D1115">
      <w:pPr>
        <w:pStyle w:val="22"/>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1F03D573">
      <w:pPr>
        <w:pStyle w:val="698"/>
        <w:keepNext w:val="0"/>
        <w:pageBreakBefore w:val="0"/>
        <w:numPr>
          <w:ilvl w:val="0"/>
          <w:numId w:val="8"/>
        </w:numPr>
        <w:tabs>
          <w:tab w:val="clear" w:pos="720"/>
        </w:tabs>
        <w:snapToGrid w:val="0"/>
        <w:spacing w:before="120" w:after="120"/>
        <w:ind w:firstLine="643"/>
        <w:jc w:val="center"/>
        <w:outlineLvl w:val="9"/>
        <w:rPr>
          <w:rFonts w:hint="default" w:ascii="仿宋" w:hAnsi="仿宋" w:eastAsia="仿宋" w:cs="仿宋"/>
          <w:b w:val="0"/>
          <w:bCs/>
          <w:color w:val="auto"/>
          <w:sz w:val="28"/>
          <w:szCs w:val="28"/>
          <w:lang w:val="en-US" w:eastAsia="zh-CN"/>
        </w:rPr>
      </w:pPr>
      <w:r>
        <w:rPr>
          <w:rFonts w:hint="eastAsia" w:ascii="仿宋" w:hAnsi="仿宋" w:eastAsia="仿宋" w:cs="仿宋"/>
          <w:kern w:val="2"/>
          <w:sz w:val="32"/>
          <w:szCs w:val="32"/>
        </w:rPr>
        <w:t>开标一览表</w:t>
      </w:r>
      <w:r>
        <w:rPr>
          <w:rFonts w:hint="eastAsia" w:ascii="仿宋" w:hAnsi="仿宋" w:eastAsia="仿宋" w:cs="仿宋"/>
          <w:kern w:val="2"/>
          <w:sz w:val="32"/>
          <w:szCs w:val="32"/>
          <w:lang w:val="en-US" w:eastAsia="zh-CN"/>
        </w:rPr>
        <w:t xml:space="preserve">  （格式）</w:t>
      </w:r>
    </w:p>
    <w:p w14:paraId="09F13B8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8"/>
          <w:szCs w:val="28"/>
          <w:lang w:eastAsia="zh-CN"/>
        </w:rPr>
        <w:t>项目名称： 诸暨市大唐街道2025-2027土地综合整治--高标准农田建设监理服务采购项目</w:t>
      </w:r>
    </w:p>
    <w:p w14:paraId="787D751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8"/>
          <w:szCs w:val="28"/>
          <w:lang w:eastAsia="zh-CN"/>
        </w:rPr>
        <w:t>项目编号：</w:t>
      </w:r>
      <w:r>
        <w:rPr>
          <w:rFonts w:hint="eastAsia" w:ascii="仿宋" w:hAnsi="仿宋" w:eastAsia="仿宋" w:cs="仿宋"/>
          <w:b w:val="0"/>
          <w:bCs/>
          <w:color w:val="auto"/>
          <w:sz w:val="28"/>
          <w:szCs w:val="28"/>
          <w:lang w:val="en-US" w:eastAsia="zh-CN"/>
        </w:rPr>
        <w:t>诸正开2025-07-06</w:t>
      </w:r>
    </w:p>
    <w:tbl>
      <w:tblPr>
        <w:tblStyle w:val="6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468"/>
        <w:gridCol w:w="1791"/>
        <w:gridCol w:w="3135"/>
      </w:tblGrid>
      <w:tr w14:paraId="78DF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2" w:type="dxa"/>
            <w:vMerge w:val="restart"/>
            <w:noWrap w:val="0"/>
            <w:vAlign w:val="center"/>
          </w:tcPr>
          <w:p w14:paraId="15FCAFAC">
            <w:pPr>
              <w:jc w:val="center"/>
              <w:outlineLvl w:val="9"/>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3468" w:type="dxa"/>
            <w:vMerge w:val="restart"/>
            <w:noWrap w:val="0"/>
            <w:vAlign w:val="center"/>
          </w:tcPr>
          <w:p w14:paraId="162291E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4926" w:type="dxa"/>
            <w:gridSpan w:val="2"/>
            <w:noWrap w:val="0"/>
            <w:vAlign w:val="center"/>
          </w:tcPr>
          <w:p w14:paraId="509B8E31">
            <w:pPr>
              <w:jc w:val="center"/>
              <w:outlineLvl w:val="9"/>
              <w:rPr>
                <w:rFonts w:hint="eastAsia" w:ascii="仿宋" w:hAnsi="仿宋" w:eastAsia="仿宋" w:cs="仿宋"/>
                <w:b/>
                <w:color w:val="auto"/>
                <w:sz w:val="24"/>
                <w:szCs w:val="24"/>
                <w:lang w:eastAsia="zh-CN"/>
              </w:rPr>
            </w:pPr>
            <w:bookmarkStart w:id="397" w:name="_GoBack"/>
            <w:bookmarkEnd w:id="397"/>
            <w:r>
              <w:rPr>
                <w:rFonts w:hint="eastAsia" w:ascii="仿宋" w:hAnsi="仿宋" w:eastAsia="仿宋" w:cs="仿宋"/>
                <w:b/>
                <w:color w:val="auto"/>
                <w:sz w:val="24"/>
                <w:szCs w:val="24"/>
                <w:lang w:val="en-US" w:eastAsia="zh-CN"/>
              </w:rPr>
              <w:t>折扣</w:t>
            </w:r>
            <w:r>
              <w:rPr>
                <w:rFonts w:hint="eastAsia" w:ascii="仿宋" w:hAnsi="仿宋" w:eastAsia="仿宋" w:cs="仿宋"/>
                <w:b/>
                <w:color w:val="auto"/>
                <w:sz w:val="24"/>
                <w:szCs w:val="24"/>
              </w:rPr>
              <w:t>报价</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w:t>
            </w:r>
          </w:p>
        </w:tc>
      </w:tr>
      <w:tr w14:paraId="38A9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2" w:type="dxa"/>
            <w:vMerge w:val="continue"/>
            <w:noWrap w:val="0"/>
            <w:vAlign w:val="center"/>
          </w:tcPr>
          <w:p w14:paraId="75FF19A2">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15C58EAF">
            <w:pPr>
              <w:jc w:val="center"/>
              <w:outlineLvl w:val="9"/>
              <w:rPr>
                <w:rFonts w:hint="eastAsia" w:ascii="仿宋" w:hAnsi="仿宋" w:eastAsia="仿宋" w:cs="仿宋"/>
                <w:b/>
                <w:color w:val="auto"/>
                <w:sz w:val="24"/>
                <w:szCs w:val="24"/>
              </w:rPr>
            </w:pPr>
          </w:p>
        </w:tc>
        <w:tc>
          <w:tcPr>
            <w:tcW w:w="1791" w:type="dxa"/>
            <w:noWrap w:val="0"/>
            <w:vAlign w:val="center"/>
          </w:tcPr>
          <w:p w14:paraId="31ECD6B2">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135" w:type="dxa"/>
            <w:noWrap w:val="0"/>
            <w:vAlign w:val="center"/>
          </w:tcPr>
          <w:p w14:paraId="337FD6B3">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5DA0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32" w:type="dxa"/>
            <w:noWrap w:val="0"/>
            <w:vAlign w:val="center"/>
          </w:tcPr>
          <w:p w14:paraId="69487453">
            <w:pPr>
              <w:jc w:val="center"/>
              <w:outlineLvl w:val="9"/>
              <w:rPr>
                <w:rFonts w:hint="eastAsia" w:ascii="仿宋" w:hAnsi="仿宋" w:eastAsia="仿宋" w:cs="仿宋"/>
                <w:b/>
                <w:color w:val="auto"/>
                <w:sz w:val="24"/>
                <w:szCs w:val="24"/>
              </w:rPr>
            </w:pPr>
          </w:p>
        </w:tc>
        <w:tc>
          <w:tcPr>
            <w:tcW w:w="3468" w:type="dxa"/>
            <w:noWrap w:val="0"/>
            <w:vAlign w:val="center"/>
          </w:tcPr>
          <w:p w14:paraId="65A16D7D">
            <w:pPr>
              <w:jc w:val="left"/>
              <w:outlineLvl w:val="9"/>
              <w:rPr>
                <w:rFonts w:hint="eastAsia" w:ascii="仿宋" w:hAnsi="仿宋" w:eastAsia="仿宋" w:cs="仿宋"/>
                <w:color w:val="auto"/>
                <w:sz w:val="24"/>
                <w:szCs w:val="24"/>
                <w:lang w:eastAsia="zh-CN"/>
              </w:rPr>
            </w:pPr>
          </w:p>
        </w:tc>
        <w:tc>
          <w:tcPr>
            <w:tcW w:w="1791" w:type="dxa"/>
            <w:noWrap w:val="0"/>
            <w:vAlign w:val="center"/>
          </w:tcPr>
          <w:p w14:paraId="46393B50">
            <w:pPr>
              <w:spacing w:line="700" w:lineRule="exact"/>
              <w:jc w:val="left"/>
              <w:outlineLvl w:val="9"/>
              <w:rPr>
                <w:rFonts w:hint="eastAsia" w:ascii="仿宋" w:hAnsi="仿宋" w:eastAsia="仿宋" w:cs="仿宋"/>
                <w:color w:val="auto"/>
                <w:sz w:val="24"/>
                <w:szCs w:val="24"/>
                <w:lang w:val="en-US" w:eastAsia="zh-CN"/>
              </w:rPr>
            </w:pPr>
          </w:p>
        </w:tc>
        <w:tc>
          <w:tcPr>
            <w:tcW w:w="3135" w:type="dxa"/>
            <w:noWrap w:val="0"/>
            <w:vAlign w:val="center"/>
          </w:tcPr>
          <w:p w14:paraId="57885E1F">
            <w:pPr>
              <w:spacing w:line="700" w:lineRule="exact"/>
              <w:outlineLvl w:val="9"/>
              <w:rPr>
                <w:rFonts w:hint="eastAsia" w:ascii="仿宋" w:hAnsi="仿宋" w:eastAsia="仿宋" w:cs="仿宋"/>
                <w:color w:val="auto"/>
                <w:sz w:val="24"/>
                <w:szCs w:val="24"/>
                <w:lang w:val="en-US" w:eastAsia="zh-CN"/>
              </w:rPr>
            </w:pPr>
          </w:p>
        </w:tc>
      </w:tr>
    </w:tbl>
    <w:p w14:paraId="3EF14F31">
      <w:pPr>
        <w:spacing w:line="360" w:lineRule="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说明：</w:t>
      </w:r>
    </w:p>
    <w:p w14:paraId="7761CC7D">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此表在不改变格式要求的情况下，</w:t>
      </w:r>
      <w:r>
        <w:rPr>
          <w:rFonts w:hint="eastAsia" w:ascii="仿宋" w:hAnsi="仿宋" w:eastAsia="仿宋" w:cs="仿宋"/>
          <w:kern w:val="0"/>
          <w:sz w:val="24"/>
          <w:lang w:val="en-US" w:eastAsia="zh-CN"/>
        </w:rPr>
        <w:t>磋商供应商</w:t>
      </w:r>
      <w:r>
        <w:rPr>
          <w:rFonts w:hint="eastAsia" w:ascii="仿宋" w:hAnsi="仿宋" w:eastAsia="仿宋" w:cs="仿宋"/>
          <w:kern w:val="0"/>
          <w:sz w:val="24"/>
          <w:lang w:val="zh-CN" w:eastAsia="zh-CN"/>
        </w:rPr>
        <w:t>可根据项目实际情况自行调整。</w:t>
      </w:r>
    </w:p>
    <w:p w14:paraId="6A5EA432">
      <w:pPr>
        <w:keepNext w:val="0"/>
        <w:keepLines w:val="0"/>
        <w:pageBreakBefore w:val="0"/>
        <w:widowControl w:val="0"/>
        <w:numPr>
          <w:ilvl w:val="0"/>
          <w:numId w:val="9"/>
        </w:numPr>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b/>
          <w:bCs/>
          <w:kern w:val="0"/>
          <w:sz w:val="24"/>
          <w:lang w:val="zh-CN" w:eastAsia="zh-CN"/>
        </w:rPr>
      </w:pPr>
      <w:r>
        <w:rPr>
          <w:rFonts w:hint="eastAsia" w:ascii="仿宋" w:hAnsi="仿宋" w:eastAsia="仿宋" w:cs="仿宋"/>
          <w:kern w:val="0"/>
          <w:sz w:val="24"/>
          <w:lang w:val="zh-CN" w:eastAsia="zh-CN"/>
        </w:rPr>
        <w:t>有关本项目实施所涉及的一切费用均计入报价。</w:t>
      </w:r>
      <w:r>
        <w:rPr>
          <w:rFonts w:hint="eastAsia" w:ascii="仿宋" w:hAnsi="仿宋" w:eastAsia="仿宋" w:cs="仿宋"/>
          <w:b/>
          <w:bCs/>
          <w:kern w:val="0"/>
          <w:sz w:val="24"/>
          <w:lang w:val="zh-CN" w:eastAsia="zh-CN"/>
        </w:rPr>
        <w:t>采购人将以合同形式有</w:t>
      </w:r>
    </w:p>
    <w:p w14:paraId="29D312EC">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bCs/>
          <w:kern w:val="0"/>
          <w:sz w:val="24"/>
          <w:lang w:val="zh-CN" w:eastAsia="zh-CN"/>
        </w:rPr>
      </w:pPr>
      <w:r>
        <w:rPr>
          <w:rFonts w:hint="eastAsia" w:ascii="仿宋" w:hAnsi="仿宋" w:eastAsia="仿宋" w:cs="仿宋"/>
          <w:b/>
          <w:bCs/>
          <w:kern w:val="0"/>
          <w:sz w:val="24"/>
          <w:lang w:val="zh-CN" w:eastAsia="zh-CN"/>
        </w:rPr>
        <w:t>偿取得货物或服务，不接受</w:t>
      </w:r>
      <w:r>
        <w:rPr>
          <w:rFonts w:hint="eastAsia" w:ascii="仿宋" w:hAnsi="仿宋" w:eastAsia="仿宋" w:cs="仿宋"/>
          <w:b/>
          <w:bCs/>
          <w:kern w:val="0"/>
          <w:sz w:val="24"/>
          <w:lang w:val="en-US" w:eastAsia="zh-CN"/>
        </w:rPr>
        <w:t>磋商供应商</w:t>
      </w:r>
      <w:r>
        <w:rPr>
          <w:rFonts w:hint="eastAsia" w:ascii="仿宋" w:hAnsi="仿宋" w:eastAsia="仿宋" w:cs="仿宋"/>
          <w:b/>
          <w:bCs/>
          <w:kern w:val="0"/>
          <w:sz w:val="24"/>
          <w:lang w:val="zh-CN" w:eastAsia="zh-CN"/>
        </w:rPr>
        <w:t>给予的赠品、回扣或者与采购无关的其他商品、服务，不得出现“0元”“免费赠送”等形式的无偿报价，</w:t>
      </w:r>
      <w:r>
        <w:rPr>
          <w:rFonts w:hint="eastAsia" w:ascii="仿宋" w:hAnsi="仿宋" w:eastAsia="仿宋" w:cs="仿宋"/>
          <w:b/>
          <w:bCs/>
          <w:kern w:val="0"/>
          <w:sz w:val="24"/>
          <w:lang w:val="en-US" w:eastAsia="zh-CN"/>
        </w:rPr>
        <w:t>否则视为磋商文件含有采购人不能接受的附加条件的，投标无效</w:t>
      </w:r>
      <w:r>
        <w:rPr>
          <w:rFonts w:hint="eastAsia" w:ascii="仿宋" w:hAnsi="仿宋" w:eastAsia="仿宋" w:cs="仿宋"/>
          <w:b/>
          <w:bCs/>
          <w:kern w:val="0"/>
          <w:sz w:val="24"/>
          <w:lang w:val="zh-CN" w:eastAsia="zh-CN"/>
        </w:rPr>
        <w:t>。</w:t>
      </w:r>
    </w:p>
    <w:p w14:paraId="55135DA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eastAsia="zh-CN"/>
        </w:rPr>
        <w:t>、特别提示：采购代理机构将对项目名称和项目编号，</w:t>
      </w:r>
      <w:r>
        <w:rPr>
          <w:rFonts w:hint="eastAsia" w:ascii="仿宋" w:hAnsi="仿宋" w:eastAsia="仿宋" w:cs="仿宋"/>
          <w:kern w:val="0"/>
          <w:sz w:val="24"/>
          <w:lang w:val="en-US" w:eastAsia="zh-CN"/>
        </w:rPr>
        <w:t>成交</w:t>
      </w:r>
      <w:r>
        <w:rPr>
          <w:rFonts w:hint="eastAsia" w:ascii="仿宋" w:hAnsi="仿宋" w:eastAsia="仿宋" w:cs="仿宋"/>
          <w:kern w:val="0"/>
          <w:sz w:val="24"/>
          <w:lang w:val="zh-CN" w:eastAsia="zh-CN"/>
        </w:rPr>
        <w:t>供应商名称、地址和中标金额，主要中标标的名称、规格型号、数量、单价、服务要求等予以公示。</w:t>
      </w:r>
    </w:p>
    <w:p w14:paraId="57178BB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4</w:t>
      </w:r>
      <w:r>
        <w:rPr>
          <w:rFonts w:hint="eastAsia" w:ascii="仿宋" w:hAnsi="仿宋" w:eastAsia="仿宋" w:cs="仿宋"/>
          <w:kern w:val="0"/>
          <w:sz w:val="24"/>
          <w:lang w:val="zh-CN" w:eastAsia="zh-CN"/>
        </w:rPr>
        <w:t>、符合磋商文件中列明的可享受中小企业扶持政策的</w:t>
      </w:r>
      <w:r>
        <w:rPr>
          <w:rFonts w:hint="eastAsia" w:ascii="仿宋" w:hAnsi="仿宋" w:eastAsia="仿宋" w:cs="仿宋"/>
          <w:kern w:val="0"/>
          <w:sz w:val="24"/>
          <w:lang w:val="en-US" w:eastAsia="zh-CN"/>
        </w:rPr>
        <w:t>磋商供应商</w:t>
      </w:r>
      <w:r>
        <w:rPr>
          <w:rFonts w:hint="eastAsia" w:ascii="仿宋" w:hAnsi="仿宋" w:eastAsia="仿宋" w:cs="仿宋"/>
          <w:kern w:val="0"/>
          <w:sz w:val="24"/>
          <w:lang w:val="zh-CN" w:eastAsia="zh-CN"/>
        </w:rPr>
        <w:t>，请填写中小企业声明函。注：投标人提供的中小企业声明函内容不实的，属于提供虚假材料谋取中标、成交，依照《中华人民共和国政府采购法》等国家有关规定追究相应责任。</w:t>
      </w:r>
    </w:p>
    <w:p w14:paraId="1B45C9D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en-US" w:eastAsia="zh-CN"/>
        </w:rPr>
      </w:pPr>
    </w:p>
    <w:p w14:paraId="0109A08A">
      <w:pPr>
        <w:spacing w:line="480" w:lineRule="auto"/>
        <w:jc w:val="righ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磋商供应商</w:t>
      </w:r>
      <w:r>
        <w:rPr>
          <w:rFonts w:hint="eastAsia" w:ascii="仿宋" w:hAnsi="仿宋" w:eastAsia="仿宋" w:cs="仿宋"/>
          <w:b/>
          <w:bCs/>
          <w:color w:val="auto"/>
          <w:sz w:val="24"/>
          <w:szCs w:val="24"/>
        </w:rPr>
        <w:t>全称（电子签章）：</w:t>
      </w:r>
      <w:r>
        <w:rPr>
          <w:rFonts w:hint="eastAsia" w:ascii="仿宋" w:hAnsi="仿宋" w:eastAsia="仿宋" w:cs="仿宋"/>
          <w:b/>
          <w:bCs/>
          <w:color w:val="auto"/>
          <w:sz w:val="24"/>
          <w:szCs w:val="24"/>
          <w:u w:val="single"/>
        </w:rPr>
        <w:t>________________</w:t>
      </w:r>
    </w:p>
    <w:p w14:paraId="27CBFF3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jc w:val="right"/>
        <w:textAlignment w:val="auto"/>
        <w:rPr>
          <w:rFonts w:hint="eastAsia" w:ascii="仿宋" w:hAnsi="仿宋" w:eastAsia="仿宋" w:cs="仿宋"/>
          <w:kern w:val="0"/>
          <w:sz w:val="24"/>
          <w:lang w:val="zh-CN"/>
        </w:rPr>
      </w:pPr>
      <w:r>
        <w:rPr>
          <w:rFonts w:hint="eastAsia" w:ascii="仿宋" w:hAnsi="仿宋" w:eastAsia="仿宋" w:cs="仿宋"/>
          <w:b/>
          <w:bCs/>
          <w:color w:val="auto"/>
          <w:sz w:val="24"/>
          <w:szCs w:val="24"/>
        </w:rPr>
        <w:t>日  期：</w:t>
      </w:r>
      <w:r>
        <w:rPr>
          <w:rFonts w:hint="eastAsia" w:ascii="仿宋" w:hAnsi="仿宋" w:eastAsia="仿宋" w:cs="仿宋"/>
          <w:b/>
          <w:bCs/>
          <w:color w:val="auto"/>
          <w:sz w:val="24"/>
          <w:szCs w:val="24"/>
          <w:u w:val="none"/>
        </w:rPr>
        <w:t>_______年_______月_______日</w:t>
      </w:r>
    </w:p>
    <w:p w14:paraId="2F073118">
      <w:pPr>
        <w:pStyle w:val="22"/>
        <w:jc w:val="right"/>
        <w:rPr>
          <w:rFonts w:hint="eastAsia" w:ascii="仿宋" w:hAnsi="仿宋" w:eastAsia="仿宋" w:cs="仿宋"/>
          <w:kern w:val="0"/>
          <w:sz w:val="24"/>
          <w:lang w:val="zh-CN"/>
        </w:rPr>
      </w:pPr>
    </w:p>
    <w:p w14:paraId="6F3E6A06">
      <w:pPr>
        <w:pStyle w:val="23"/>
        <w:rPr>
          <w:rFonts w:hint="eastAsia" w:ascii="仿宋" w:hAnsi="仿宋" w:eastAsia="仿宋" w:cs="仿宋"/>
          <w:kern w:val="0"/>
          <w:sz w:val="24"/>
          <w:lang w:val="zh-CN"/>
        </w:rPr>
      </w:pPr>
    </w:p>
    <w:p w14:paraId="75396345">
      <w:pPr>
        <w:pStyle w:val="23"/>
        <w:rPr>
          <w:rFonts w:hint="eastAsia" w:ascii="仿宋" w:hAnsi="仿宋" w:eastAsia="仿宋" w:cs="仿宋"/>
          <w:lang w:val="zh-CN"/>
        </w:rPr>
      </w:pPr>
    </w:p>
    <w:p w14:paraId="4CC3999F">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2"/>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0" w:name="_Toc465665161"/>
      <w:r>
        <w:rPr>
          <w:rFonts w:hint="eastAsia" w:ascii="仿宋" w:hAnsi="仿宋" w:eastAsia="仿宋" w:cs="仿宋"/>
        </w:rPr>
        <w:t>附件</w:t>
      </w:r>
      <w:bookmarkEnd w:id="390"/>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1" w:name="OLE_LINK13"/>
      <w:bookmarkStart w:id="392" w:name="OLE_LINK14"/>
      <w:r>
        <w:rPr>
          <w:rFonts w:hint="eastAsia" w:ascii="仿宋" w:hAnsi="仿宋" w:eastAsia="仿宋" w:cs="仿宋"/>
          <w:b/>
          <w:spacing w:val="6"/>
          <w:sz w:val="32"/>
          <w:szCs w:val="32"/>
        </w:rPr>
        <w:t>残疾人福利性单位声明函</w:t>
      </w:r>
    </w:p>
    <w:bookmarkEnd w:id="391"/>
    <w:bookmarkEnd w:id="392"/>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3"/>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3"/>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3"/>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3"/>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3"/>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pStyle w:val="61"/>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0"/>
      <w:ind w:firstLine="360"/>
      <w:jc w:val="center"/>
    </w:pPr>
  </w:p>
  <w:p w14:paraId="58E79388">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0"/>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AD5013">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3" w:name="_Toc36110187"/>
    <w:bookmarkStart w:id="394" w:name="_Toc91899912"/>
    <w:bookmarkStart w:id="395" w:name="_Toc164085800"/>
    <w:bookmarkStart w:id="396" w:name="_Toc131845147"/>
    <w:r>
      <w:rPr>
        <w:rFonts w:ascii="仿宋_GB2312" w:eastAsia="仿宋_GB2312"/>
        <w:kern w:val="0"/>
        <w:szCs w:val="21"/>
      </w:rPr>
      <w:t xml:space="preserve"> </w:t>
    </w:r>
    <w:r>
      <w:rPr>
        <w:rFonts w:hint="eastAsia" w:ascii="仿宋_GB2312" w:eastAsia="仿宋_GB2312"/>
        <w:kern w:val="0"/>
        <w:szCs w:val="21"/>
      </w:rPr>
      <w:t>页</w:t>
    </w:r>
    <w:bookmarkEnd w:id="393"/>
    <w:bookmarkEnd w:id="394"/>
    <w:bookmarkEnd w:id="395"/>
    <w:bookmarkEnd w:id="3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0"/>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0"/>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14:paraId="40EC4148">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0"/>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752E8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1"/>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1"/>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1"/>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1"/>
      <w:rPr>
        <w:rFonts w:hint="eastAsia" w:eastAsia="宋体"/>
        <w:lang w:eastAsia="zh-CN"/>
      </w:rPr>
    </w:pPr>
    <w:r>
      <w:t xml:space="preserve">                                             </w:t>
    </w:r>
    <w:r>
      <w:rPr>
        <w:rFonts w:hint="eastAsia"/>
      </w:rPr>
      <w:t>诸暨市政府采购公开</w:t>
    </w:r>
    <w:r>
      <w:rPr>
        <w:rFonts w:hint="eastAsia"/>
        <w:lang w:eastAsia="zh-CN"/>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1"/>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1"/>
      <w:pBdr>
        <w:bottom w:val="none" w:color="auto" w:sz="0" w:space="0"/>
      </w:pBdr>
      <w:jc w:val="both"/>
      <w:rPr>
        <w:rFonts w:ascii="微软雅黑" w:hAnsi="微软雅黑" w:eastAsia="微软雅黑" w:cs="微软雅黑"/>
        <w:b/>
        <w:bCs/>
        <w:color w:val="1F497D"/>
        <w:u w:val="thick"/>
      </w:rPr>
    </w:pPr>
  </w:p>
  <w:p w14:paraId="744458C5">
    <w:pPr>
      <w:pStyle w:val="41"/>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1"/>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1"/>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3117">
    <w:pPr>
      <w:pStyle w:val="41"/>
      <w:pBdr>
        <w:bottom w:val="none" w:color="auto" w:sz="0" w:space="1"/>
      </w:pBdr>
    </w:pPr>
    <w:r>
      <w:t></w:t>
    </w:r>
  </w:p>
  <w:p w14:paraId="096A39BE">
    <w:pPr>
      <w:pStyle w:val="41"/>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1"/>
      <w:pBdr>
        <w:bottom w:val="thickThinSmallGap" w:color="auto" w:sz="12"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E1675EC2"/>
    <w:multiLevelType w:val="singleLevel"/>
    <w:tmpl w:val="E1675EC2"/>
    <w:lvl w:ilvl="0" w:tentative="0">
      <w:start w:val="1"/>
      <w:numFmt w:val="decimal"/>
      <w:suff w:val="nothing"/>
      <w:lvlText w:val="%1、"/>
      <w:lvlJc w:val="left"/>
    </w:lvl>
  </w:abstractNum>
  <w:abstractNum w:abstractNumId="2">
    <w:nsid w:val="FD4D9EAF"/>
    <w:multiLevelType w:val="singleLevel"/>
    <w:tmpl w:val="FD4D9EAF"/>
    <w:lvl w:ilvl="0" w:tentative="0">
      <w:start w:val="1"/>
      <w:numFmt w:val="decimal"/>
      <w:suff w:val="nothing"/>
      <w:lvlText w:val="（%1）"/>
      <w:lvlJc w:val="left"/>
    </w:lvl>
  </w:abstractNum>
  <w:abstractNum w:abstractNumId="3">
    <w:nsid w:val="041000EE"/>
    <w:multiLevelType w:val="singleLevel"/>
    <w:tmpl w:val="041000EE"/>
    <w:lvl w:ilvl="0" w:tentative="0">
      <w:start w:val="6"/>
      <w:numFmt w:val="chineseCounting"/>
      <w:suff w:val="nothing"/>
      <w:lvlText w:val="%1、"/>
      <w:lvlJc w:val="left"/>
      <w:rPr>
        <w:rFonts w:hint="eastAsia"/>
      </w:rPr>
    </w:lvl>
  </w:abstractNum>
  <w:abstractNum w:abstractNumId="4">
    <w:nsid w:val="06FDC38F"/>
    <w:multiLevelType w:val="singleLevel"/>
    <w:tmpl w:val="06FDC38F"/>
    <w:lvl w:ilvl="0" w:tentative="0">
      <w:start w:val="6"/>
      <w:numFmt w:val="chineseCounting"/>
      <w:suff w:val="nothing"/>
      <w:lvlText w:val="（%1）"/>
      <w:lvlJc w:val="left"/>
      <w:rPr>
        <w:rFonts w:hint="eastAsia"/>
      </w:rPr>
    </w:lvl>
  </w:abstractNum>
  <w:abstractNum w:abstractNumId="5">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7">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5"/>
  </w:num>
  <w:num w:numId="3">
    <w:abstractNumId w:val="8"/>
  </w:num>
  <w:num w:numId="4">
    <w:abstractNumId w:val="7"/>
  </w:num>
  <w:num w:numId="5">
    <w:abstractNumId w:val="4"/>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25A8F"/>
    <w:rsid w:val="013748B0"/>
    <w:rsid w:val="014063FE"/>
    <w:rsid w:val="01527EDF"/>
    <w:rsid w:val="01722330"/>
    <w:rsid w:val="017A5F8B"/>
    <w:rsid w:val="019F7441"/>
    <w:rsid w:val="01B37585"/>
    <w:rsid w:val="01D55165"/>
    <w:rsid w:val="01DF6BF8"/>
    <w:rsid w:val="01E64C5E"/>
    <w:rsid w:val="01EC2C57"/>
    <w:rsid w:val="02371009"/>
    <w:rsid w:val="025A529E"/>
    <w:rsid w:val="026B2E25"/>
    <w:rsid w:val="02824D4D"/>
    <w:rsid w:val="029F68A7"/>
    <w:rsid w:val="02C32E43"/>
    <w:rsid w:val="02DC4B10"/>
    <w:rsid w:val="02DD76CE"/>
    <w:rsid w:val="02E1776D"/>
    <w:rsid w:val="02F36323"/>
    <w:rsid w:val="02F5619C"/>
    <w:rsid w:val="02FA7BAC"/>
    <w:rsid w:val="03065425"/>
    <w:rsid w:val="0326446A"/>
    <w:rsid w:val="032D5555"/>
    <w:rsid w:val="03323B24"/>
    <w:rsid w:val="03455F4E"/>
    <w:rsid w:val="0350044F"/>
    <w:rsid w:val="036634D2"/>
    <w:rsid w:val="03771BF4"/>
    <w:rsid w:val="037B1947"/>
    <w:rsid w:val="03B665B5"/>
    <w:rsid w:val="03BB7FBE"/>
    <w:rsid w:val="03C70711"/>
    <w:rsid w:val="03DD35E4"/>
    <w:rsid w:val="03F37758"/>
    <w:rsid w:val="03F84D6E"/>
    <w:rsid w:val="03FD05D6"/>
    <w:rsid w:val="04076900"/>
    <w:rsid w:val="04115E30"/>
    <w:rsid w:val="041A5A3B"/>
    <w:rsid w:val="041B6B58"/>
    <w:rsid w:val="042311BA"/>
    <w:rsid w:val="042B157A"/>
    <w:rsid w:val="04387860"/>
    <w:rsid w:val="044A30F0"/>
    <w:rsid w:val="044B7594"/>
    <w:rsid w:val="048F763B"/>
    <w:rsid w:val="049F330E"/>
    <w:rsid w:val="04AA775C"/>
    <w:rsid w:val="04AF1889"/>
    <w:rsid w:val="04E62470"/>
    <w:rsid w:val="04F66F48"/>
    <w:rsid w:val="05085485"/>
    <w:rsid w:val="05251E14"/>
    <w:rsid w:val="052676B9"/>
    <w:rsid w:val="05467D5B"/>
    <w:rsid w:val="055661F0"/>
    <w:rsid w:val="056B1570"/>
    <w:rsid w:val="056B77C2"/>
    <w:rsid w:val="058D7738"/>
    <w:rsid w:val="059B24B4"/>
    <w:rsid w:val="05A16594"/>
    <w:rsid w:val="05A47ACE"/>
    <w:rsid w:val="05A7762D"/>
    <w:rsid w:val="05D00EC1"/>
    <w:rsid w:val="05FE4F36"/>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862691"/>
    <w:rsid w:val="079C240D"/>
    <w:rsid w:val="07C35693"/>
    <w:rsid w:val="07E37AE3"/>
    <w:rsid w:val="08000695"/>
    <w:rsid w:val="08061376"/>
    <w:rsid w:val="08163A15"/>
    <w:rsid w:val="08236132"/>
    <w:rsid w:val="08452D77"/>
    <w:rsid w:val="086401F8"/>
    <w:rsid w:val="086C7AD9"/>
    <w:rsid w:val="08751CAA"/>
    <w:rsid w:val="087E4C40"/>
    <w:rsid w:val="08805332"/>
    <w:rsid w:val="08836BD0"/>
    <w:rsid w:val="08C6543B"/>
    <w:rsid w:val="08D66AD6"/>
    <w:rsid w:val="08DA33A3"/>
    <w:rsid w:val="08E80F13"/>
    <w:rsid w:val="091F4B4B"/>
    <w:rsid w:val="09335624"/>
    <w:rsid w:val="0944690F"/>
    <w:rsid w:val="09535675"/>
    <w:rsid w:val="095F057D"/>
    <w:rsid w:val="09642282"/>
    <w:rsid w:val="09733572"/>
    <w:rsid w:val="09772C16"/>
    <w:rsid w:val="097B7F41"/>
    <w:rsid w:val="098353B5"/>
    <w:rsid w:val="09896468"/>
    <w:rsid w:val="099217C1"/>
    <w:rsid w:val="09A92330"/>
    <w:rsid w:val="09B06B87"/>
    <w:rsid w:val="09BF40EE"/>
    <w:rsid w:val="09C13146"/>
    <w:rsid w:val="09E04166"/>
    <w:rsid w:val="0A0C3321"/>
    <w:rsid w:val="0A1C0718"/>
    <w:rsid w:val="0A3E7710"/>
    <w:rsid w:val="0A5B7E63"/>
    <w:rsid w:val="0A7B2255"/>
    <w:rsid w:val="0A97435B"/>
    <w:rsid w:val="0AA374A5"/>
    <w:rsid w:val="0AAB7649"/>
    <w:rsid w:val="0AB96882"/>
    <w:rsid w:val="0ABC5606"/>
    <w:rsid w:val="0B30404E"/>
    <w:rsid w:val="0B4C6C14"/>
    <w:rsid w:val="0B512FB6"/>
    <w:rsid w:val="0B534F80"/>
    <w:rsid w:val="0B631A88"/>
    <w:rsid w:val="0B683D45"/>
    <w:rsid w:val="0B7F3F11"/>
    <w:rsid w:val="0B884417"/>
    <w:rsid w:val="0BAF665A"/>
    <w:rsid w:val="0BD25EA5"/>
    <w:rsid w:val="0BEF6A57"/>
    <w:rsid w:val="0BF6188C"/>
    <w:rsid w:val="0BF70001"/>
    <w:rsid w:val="0BF73C91"/>
    <w:rsid w:val="0C170175"/>
    <w:rsid w:val="0C256887"/>
    <w:rsid w:val="0C2B3807"/>
    <w:rsid w:val="0C571A41"/>
    <w:rsid w:val="0C5C1171"/>
    <w:rsid w:val="0C5E1CBC"/>
    <w:rsid w:val="0C615B50"/>
    <w:rsid w:val="0C730CDE"/>
    <w:rsid w:val="0C7F364B"/>
    <w:rsid w:val="0C8445DA"/>
    <w:rsid w:val="0C87121B"/>
    <w:rsid w:val="0CC007F7"/>
    <w:rsid w:val="0CDA546F"/>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D63300"/>
    <w:rsid w:val="0DF50604"/>
    <w:rsid w:val="0DF702FE"/>
    <w:rsid w:val="0E060E51"/>
    <w:rsid w:val="0E213113"/>
    <w:rsid w:val="0E5604B2"/>
    <w:rsid w:val="0E6D5D79"/>
    <w:rsid w:val="0E926BE8"/>
    <w:rsid w:val="0E9D0089"/>
    <w:rsid w:val="0EAD0A9E"/>
    <w:rsid w:val="0EB803EE"/>
    <w:rsid w:val="0EF94D4B"/>
    <w:rsid w:val="0EFD148A"/>
    <w:rsid w:val="0F113188"/>
    <w:rsid w:val="0F2940D9"/>
    <w:rsid w:val="0F4958DC"/>
    <w:rsid w:val="0F515DF7"/>
    <w:rsid w:val="0F596BA8"/>
    <w:rsid w:val="0F6248D2"/>
    <w:rsid w:val="0F693536"/>
    <w:rsid w:val="0F72420E"/>
    <w:rsid w:val="0F7B0511"/>
    <w:rsid w:val="0F7B76D9"/>
    <w:rsid w:val="0F816ACD"/>
    <w:rsid w:val="0F9832DB"/>
    <w:rsid w:val="0F987405"/>
    <w:rsid w:val="0FBF3FD2"/>
    <w:rsid w:val="0FBF7FF3"/>
    <w:rsid w:val="0FD50659"/>
    <w:rsid w:val="0FF94348"/>
    <w:rsid w:val="100A02F0"/>
    <w:rsid w:val="103A670E"/>
    <w:rsid w:val="10646583"/>
    <w:rsid w:val="106B68C8"/>
    <w:rsid w:val="107D4B15"/>
    <w:rsid w:val="10895484"/>
    <w:rsid w:val="108A3C80"/>
    <w:rsid w:val="1092654A"/>
    <w:rsid w:val="109A0BCE"/>
    <w:rsid w:val="109B0818"/>
    <w:rsid w:val="10C26171"/>
    <w:rsid w:val="10F33360"/>
    <w:rsid w:val="10FC16EA"/>
    <w:rsid w:val="110F1D40"/>
    <w:rsid w:val="112371A2"/>
    <w:rsid w:val="11266F33"/>
    <w:rsid w:val="114E57CE"/>
    <w:rsid w:val="1170358A"/>
    <w:rsid w:val="11755C50"/>
    <w:rsid w:val="117D68B3"/>
    <w:rsid w:val="118963A1"/>
    <w:rsid w:val="11917C84"/>
    <w:rsid w:val="11951E4E"/>
    <w:rsid w:val="11B83D8F"/>
    <w:rsid w:val="11C6522A"/>
    <w:rsid w:val="11CE710E"/>
    <w:rsid w:val="11E104CC"/>
    <w:rsid w:val="11E20309"/>
    <w:rsid w:val="12255233"/>
    <w:rsid w:val="123A0C48"/>
    <w:rsid w:val="12530213"/>
    <w:rsid w:val="125515DD"/>
    <w:rsid w:val="127723A9"/>
    <w:rsid w:val="1283614B"/>
    <w:rsid w:val="12862074"/>
    <w:rsid w:val="12883966"/>
    <w:rsid w:val="129E45B4"/>
    <w:rsid w:val="12A0243C"/>
    <w:rsid w:val="12D81596"/>
    <w:rsid w:val="12E34E3B"/>
    <w:rsid w:val="12FB2185"/>
    <w:rsid w:val="12FB3F33"/>
    <w:rsid w:val="12FD414F"/>
    <w:rsid w:val="13072A44"/>
    <w:rsid w:val="13180F89"/>
    <w:rsid w:val="1323348A"/>
    <w:rsid w:val="1332191F"/>
    <w:rsid w:val="1335195F"/>
    <w:rsid w:val="135F4BE2"/>
    <w:rsid w:val="13637D2A"/>
    <w:rsid w:val="137A57A0"/>
    <w:rsid w:val="139B1A0A"/>
    <w:rsid w:val="139D25C7"/>
    <w:rsid w:val="13AE71F7"/>
    <w:rsid w:val="13BA2040"/>
    <w:rsid w:val="13BF1404"/>
    <w:rsid w:val="13BF3CE4"/>
    <w:rsid w:val="13E744B7"/>
    <w:rsid w:val="14056E6E"/>
    <w:rsid w:val="141008D8"/>
    <w:rsid w:val="14125FE6"/>
    <w:rsid w:val="143D057B"/>
    <w:rsid w:val="144162BD"/>
    <w:rsid w:val="144B713C"/>
    <w:rsid w:val="146D271E"/>
    <w:rsid w:val="14982588"/>
    <w:rsid w:val="149A5AD9"/>
    <w:rsid w:val="14A524FA"/>
    <w:rsid w:val="14A7619D"/>
    <w:rsid w:val="14BA7E1E"/>
    <w:rsid w:val="14D964F6"/>
    <w:rsid w:val="150536C3"/>
    <w:rsid w:val="150C0679"/>
    <w:rsid w:val="150C1963"/>
    <w:rsid w:val="151447A0"/>
    <w:rsid w:val="15247B8E"/>
    <w:rsid w:val="153320AA"/>
    <w:rsid w:val="153656F6"/>
    <w:rsid w:val="154A6454"/>
    <w:rsid w:val="155B6F0B"/>
    <w:rsid w:val="15762120"/>
    <w:rsid w:val="15785D0F"/>
    <w:rsid w:val="158A3C94"/>
    <w:rsid w:val="159B19FD"/>
    <w:rsid w:val="15C947BC"/>
    <w:rsid w:val="165322D8"/>
    <w:rsid w:val="16585909"/>
    <w:rsid w:val="166F1D9B"/>
    <w:rsid w:val="1690179D"/>
    <w:rsid w:val="16A8729C"/>
    <w:rsid w:val="16B33777"/>
    <w:rsid w:val="16BC70A7"/>
    <w:rsid w:val="16C6339E"/>
    <w:rsid w:val="16E80C72"/>
    <w:rsid w:val="16F615E1"/>
    <w:rsid w:val="171F181B"/>
    <w:rsid w:val="1726179A"/>
    <w:rsid w:val="172779EC"/>
    <w:rsid w:val="172F2D79"/>
    <w:rsid w:val="17557BEF"/>
    <w:rsid w:val="177D1DEC"/>
    <w:rsid w:val="178B779F"/>
    <w:rsid w:val="17AA4179"/>
    <w:rsid w:val="17D2722C"/>
    <w:rsid w:val="17D349C1"/>
    <w:rsid w:val="17E16522"/>
    <w:rsid w:val="17E72CD8"/>
    <w:rsid w:val="17EF6030"/>
    <w:rsid w:val="17F90BC6"/>
    <w:rsid w:val="181635BD"/>
    <w:rsid w:val="18243F2C"/>
    <w:rsid w:val="18267CA4"/>
    <w:rsid w:val="182C4B8E"/>
    <w:rsid w:val="1830729E"/>
    <w:rsid w:val="183121A5"/>
    <w:rsid w:val="1853221E"/>
    <w:rsid w:val="1870062C"/>
    <w:rsid w:val="18817102"/>
    <w:rsid w:val="18830A15"/>
    <w:rsid w:val="18852B28"/>
    <w:rsid w:val="188B5321"/>
    <w:rsid w:val="18F2402A"/>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21E55"/>
    <w:rsid w:val="1A3B5C77"/>
    <w:rsid w:val="1A444411"/>
    <w:rsid w:val="1A9058A9"/>
    <w:rsid w:val="1A9133CF"/>
    <w:rsid w:val="1A984BAD"/>
    <w:rsid w:val="1AA42C91"/>
    <w:rsid w:val="1AA50C28"/>
    <w:rsid w:val="1AB8220E"/>
    <w:rsid w:val="1AC217DA"/>
    <w:rsid w:val="1ACD08AB"/>
    <w:rsid w:val="1ADC289C"/>
    <w:rsid w:val="1AE4166C"/>
    <w:rsid w:val="1AF06CFB"/>
    <w:rsid w:val="1AF11B8D"/>
    <w:rsid w:val="1AFF47DC"/>
    <w:rsid w:val="1B065B6B"/>
    <w:rsid w:val="1B11359C"/>
    <w:rsid w:val="1B154000"/>
    <w:rsid w:val="1B2A271F"/>
    <w:rsid w:val="1B530544"/>
    <w:rsid w:val="1B713184"/>
    <w:rsid w:val="1B7A20B5"/>
    <w:rsid w:val="1B8847D2"/>
    <w:rsid w:val="1B945CBD"/>
    <w:rsid w:val="1BA209CF"/>
    <w:rsid w:val="1BAA0BEC"/>
    <w:rsid w:val="1BB4777D"/>
    <w:rsid w:val="1BC53330"/>
    <w:rsid w:val="1BD75AB8"/>
    <w:rsid w:val="1BDD4B1E"/>
    <w:rsid w:val="1BFC2ACA"/>
    <w:rsid w:val="1C0459C2"/>
    <w:rsid w:val="1C1347F8"/>
    <w:rsid w:val="1C135997"/>
    <w:rsid w:val="1C1B3B4A"/>
    <w:rsid w:val="1C5F3784"/>
    <w:rsid w:val="1C632B49"/>
    <w:rsid w:val="1C7D3C0B"/>
    <w:rsid w:val="1C88086E"/>
    <w:rsid w:val="1C8973FB"/>
    <w:rsid w:val="1C8B27CB"/>
    <w:rsid w:val="1CC932F4"/>
    <w:rsid w:val="1CDA3001"/>
    <w:rsid w:val="1CDB6935"/>
    <w:rsid w:val="1CF163A7"/>
    <w:rsid w:val="1CF86BD6"/>
    <w:rsid w:val="1D0E0D07"/>
    <w:rsid w:val="1D266CE1"/>
    <w:rsid w:val="1D3963AF"/>
    <w:rsid w:val="1D3A7D4E"/>
    <w:rsid w:val="1D3B1494"/>
    <w:rsid w:val="1D694FDC"/>
    <w:rsid w:val="1D6A673C"/>
    <w:rsid w:val="1D77549B"/>
    <w:rsid w:val="1D9247AE"/>
    <w:rsid w:val="1D990F18"/>
    <w:rsid w:val="1D9A259A"/>
    <w:rsid w:val="1DB567EC"/>
    <w:rsid w:val="1DB93368"/>
    <w:rsid w:val="1DCC309C"/>
    <w:rsid w:val="1DF51A98"/>
    <w:rsid w:val="1E0345E3"/>
    <w:rsid w:val="1E1660C5"/>
    <w:rsid w:val="1E3429EF"/>
    <w:rsid w:val="1E3D060F"/>
    <w:rsid w:val="1E3F7D2E"/>
    <w:rsid w:val="1E4134E4"/>
    <w:rsid w:val="1E5062B3"/>
    <w:rsid w:val="1E523514"/>
    <w:rsid w:val="1E714A66"/>
    <w:rsid w:val="1E780B2E"/>
    <w:rsid w:val="1E802593"/>
    <w:rsid w:val="1E9516DF"/>
    <w:rsid w:val="1EA23DFC"/>
    <w:rsid w:val="1EA703CC"/>
    <w:rsid w:val="1EAA273C"/>
    <w:rsid w:val="1EB7330C"/>
    <w:rsid w:val="1F0A0FF3"/>
    <w:rsid w:val="1F38650F"/>
    <w:rsid w:val="1F5771FF"/>
    <w:rsid w:val="1F680BA2"/>
    <w:rsid w:val="1F6F0182"/>
    <w:rsid w:val="1FB47172"/>
    <w:rsid w:val="1FC173D5"/>
    <w:rsid w:val="1FC57DA2"/>
    <w:rsid w:val="1FD60202"/>
    <w:rsid w:val="1FE67D19"/>
    <w:rsid w:val="1FE868A9"/>
    <w:rsid w:val="20034907"/>
    <w:rsid w:val="20140D2A"/>
    <w:rsid w:val="201723F5"/>
    <w:rsid w:val="20173E4B"/>
    <w:rsid w:val="202D78A0"/>
    <w:rsid w:val="204B414A"/>
    <w:rsid w:val="204E48BC"/>
    <w:rsid w:val="205173F8"/>
    <w:rsid w:val="20665611"/>
    <w:rsid w:val="206C7450"/>
    <w:rsid w:val="208921B3"/>
    <w:rsid w:val="20973DEB"/>
    <w:rsid w:val="20A23587"/>
    <w:rsid w:val="20B26522"/>
    <w:rsid w:val="20B44310"/>
    <w:rsid w:val="20B9542D"/>
    <w:rsid w:val="20F3093F"/>
    <w:rsid w:val="20F90DC5"/>
    <w:rsid w:val="211116EB"/>
    <w:rsid w:val="2116462E"/>
    <w:rsid w:val="212E3725"/>
    <w:rsid w:val="216133FC"/>
    <w:rsid w:val="21626087"/>
    <w:rsid w:val="21B207FA"/>
    <w:rsid w:val="21D56769"/>
    <w:rsid w:val="21E52EF3"/>
    <w:rsid w:val="21FB5D7B"/>
    <w:rsid w:val="220B1C3D"/>
    <w:rsid w:val="221D1D20"/>
    <w:rsid w:val="2228286B"/>
    <w:rsid w:val="22334A87"/>
    <w:rsid w:val="224A27E1"/>
    <w:rsid w:val="22631AF5"/>
    <w:rsid w:val="227C4964"/>
    <w:rsid w:val="229677D4"/>
    <w:rsid w:val="22BD1205"/>
    <w:rsid w:val="22BE6801"/>
    <w:rsid w:val="22C5473C"/>
    <w:rsid w:val="22C81958"/>
    <w:rsid w:val="22EC5646"/>
    <w:rsid w:val="22F57858"/>
    <w:rsid w:val="22FD3CF7"/>
    <w:rsid w:val="233500BF"/>
    <w:rsid w:val="23377FF7"/>
    <w:rsid w:val="235D02F2"/>
    <w:rsid w:val="236478D2"/>
    <w:rsid w:val="2366189C"/>
    <w:rsid w:val="236B425F"/>
    <w:rsid w:val="23836192"/>
    <w:rsid w:val="23867849"/>
    <w:rsid w:val="23901F29"/>
    <w:rsid w:val="239C0061"/>
    <w:rsid w:val="23A520A0"/>
    <w:rsid w:val="23B908A4"/>
    <w:rsid w:val="23E95BEF"/>
    <w:rsid w:val="23FD0064"/>
    <w:rsid w:val="240B5FA0"/>
    <w:rsid w:val="244D65B8"/>
    <w:rsid w:val="245375B0"/>
    <w:rsid w:val="24642C0A"/>
    <w:rsid w:val="24822706"/>
    <w:rsid w:val="249A76CF"/>
    <w:rsid w:val="24A06A19"/>
    <w:rsid w:val="24B22173"/>
    <w:rsid w:val="24B93C4E"/>
    <w:rsid w:val="24B95AD9"/>
    <w:rsid w:val="24BE24DA"/>
    <w:rsid w:val="24CF5825"/>
    <w:rsid w:val="24D663E6"/>
    <w:rsid w:val="24D77F2B"/>
    <w:rsid w:val="24E862E1"/>
    <w:rsid w:val="24F1163A"/>
    <w:rsid w:val="255045B2"/>
    <w:rsid w:val="25792918"/>
    <w:rsid w:val="258B00E2"/>
    <w:rsid w:val="259D70CC"/>
    <w:rsid w:val="25A917A6"/>
    <w:rsid w:val="25B328ED"/>
    <w:rsid w:val="25B85E7F"/>
    <w:rsid w:val="25BE27CC"/>
    <w:rsid w:val="25E76599"/>
    <w:rsid w:val="25EF43B9"/>
    <w:rsid w:val="25F56F08"/>
    <w:rsid w:val="25F74A5C"/>
    <w:rsid w:val="2628662C"/>
    <w:rsid w:val="262D45DE"/>
    <w:rsid w:val="265C0D35"/>
    <w:rsid w:val="265E2CFF"/>
    <w:rsid w:val="26697A1A"/>
    <w:rsid w:val="269009DE"/>
    <w:rsid w:val="26926505"/>
    <w:rsid w:val="26A53EF9"/>
    <w:rsid w:val="26A94201"/>
    <w:rsid w:val="26AA1AA0"/>
    <w:rsid w:val="26AC274F"/>
    <w:rsid w:val="26B97F35"/>
    <w:rsid w:val="26C03072"/>
    <w:rsid w:val="26C4369F"/>
    <w:rsid w:val="26ED7BDF"/>
    <w:rsid w:val="270218DC"/>
    <w:rsid w:val="27044A29"/>
    <w:rsid w:val="271D34C8"/>
    <w:rsid w:val="27392E24"/>
    <w:rsid w:val="274F083D"/>
    <w:rsid w:val="276142BF"/>
    <w:rsid w:val="276B56D3"/>
    <w:rsid w:val="27783712"/>
    <w:rsid w:val="277C287E"/>
    <w:rsid w:val="27856069"/>
    <w:rsid w:val="27907362"/>
    <w:rsid w:val="279544FE"/>
    <w:rsid w:val="279D1605"/>
    <w:rsid w:val="27B150B0"/>
    <w:rsid w:val="27BC0609"/>
    <w:rsid w:val="27F07987"/>
    <w:rsid w:val="27F60D15"/>
    <w:rsid w:val="28090A48"/>
    <w:rsid w:val="280E42B1"/>
    <w:rsid w:val="28333E1D"/>
    <w:rsid w:val="283D6944"/>
    <w:rsid w:val="28454BD6"/>
    <w:rsid w:val="28455253"/>
    <w:rsid w:val="28551971"/>
    <w:rsid w:val="285B1C53"/>
    <w:rsid w:val="286E5F3E"/>
    <w:rsid w:val="288145BF"/>
    <w:rsid w:val="28855745"/>
    <w:rsid w:val="289F7086"/>
    <w:rsid w:val="28C32028"/>
    <w:rsid w:val="28CC490F"/>
    <w:rsid w:val="28DB0637"/>
    <w:rsid w:val="28DE40AA"/>
    <w:rsid w:val="28E53263"/>
    <w:rsid w:val="292C0F27"/>
    <w:rsid w:val="29345E77"/>
    <w:rsid w:val="294C65AD"/>
    <w:rsid w:val="295108F9"/>
    <w:rsid w:val="29515D72"/>
    <w:rsid w:val="29802F8C"/>
    <w:rsid w:val="29806583"/>
    <w:rsid w:val="298505A2"/>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E65071"/>
    <w:rsid w:val="2B14398C"/>
    <w:rsid w:val="2B437463"/>
    <w:rsid w:val="2B7807EE"/>
    <w:rsid w:val="2B911481"/>
    <w:rsid w:val="2BAF1907"/>
    <w:rsid w:val="2BB331A5"/>
    <w:rsid w:val="2BBF00EC"/>
    <w:rsid w:val="2BC2758C"/>
    <w:rsid w:val="2BC37CFD"/>
    <w:rsid w:val="2BC52ED8"/>
    <w:rsid w:val="2BD5237F"/>
    <w:rsid w:val="2BE536CE"/>
    <w:rsid w:val="2BE758D9"/>
    <w:rsid w:val="2BF6650A"/>
    <w:rsid w:val="2BFD1B79"/>
    <w:rsid w:val="2C09049E"/>
    <w:rsid w:val="2C0A653C"/>
    <w:rsid w:val="2C191F85"/>
    <w:rsid w:val="2C1A3224"/>
    <w:rsid w:val="2C891ED6"/>
    <w:rsid w:val="2C8E59C0"/>
    <w:rsid w:val="2C901BD4"/>
    <w:rsid w:val="2CB51823"/>
    <w:rsid w:val="2CE82D6F"/>
    <w:rsid w:val="2CFC0B7C"/>
    <w:rsid w:val="2D1A7254"/>
    <w:rsid w:val="2D26209C"/>
    <w:rsid w:val="2D343236"/>
    <w:rsid w:val="2D3447B9"/>
    <w:rsid w:val="2D391DD0"/>
    <w:rsid w:val="2D404F0C"/>
    <w:rsid w:val="2D4D587B"/>
    <w:rsid w:val="2D930998"/>
    <w:rsid w:val="2DAA05D8"/>
    <w:rsid w:val="2DC7118A"/>
    <w:rsid w:val="2DD15014"/>
    <w:rsid w:val="2DEE730F"/>
    <w:rsid w:val="2DF72DE4"/>
    <w:rsid w:val="2E0220AF"/>
    <w:rsid w:val="2E150147"/>
    <w:rsid w:val="2E277E7A"/>
    <w:rsid w:val="2E4B082A"/>
    <w:rsid w:val="2E4E18AB"/>
    <w:rsid w:val="2E521D21"/>
    <w:rsid w:val="2E5B7B24"/>
    <w:rsid w:val="2E5D4E86"/>
    <w:rsid w:val="2E5D790B"/>
    <w:rsid w:val="2E627104"/>
    <w:rsid w:val="2E693FEF"/>
    <w:rsid w:val="2E7110F5"/>
    <w:rsid w:val="2E7F2E89"/>
    <w:rsid w:val="2E8E614B"/>
    <w:rsid w:val="2E9A3C18"/>
    <w:rsid w:val="2EA74B17"/>
    <w:rsid w:val="2EBB0FEE"/>
    <w:rsid w:val="2EC63002"/>
    <w:rsid w:val="2EE046B1"/>
    <w:rsid w:val="2F0A6B38"/>
    <w:rsid w:val="2F6F3887"/>
    <w:rsid w:val="2F78750D"/>
    <w:rsid w:val="2F8D6403"/>
    <w:rsid w:val="2F946CCB"/>
    <w:rsid w:val="2FA17659"/>
    <w:rsid w:val="2FC5794B"/>
    <w:rsid w:val="2FD25781"/>
    <w:rsid w:val="2FFD7934"/>
    <w:rsid w:val="30226B4B"/>
    <w:rsid w:val="302428C3"/>
    <w:rsid w:val="30733ACD"/>
    <w:rsid w:val="308610F1"/>
    <w:rsid w:val="308C3862"/>
    <w:rsid w:val="308E5F8F"/>
    <w:rsid w:val="30907F59"/>
    <w:rsid w:val="309379D8"/>
    <w:rsid w:val="30A270F7"/>
    <w:rsid w:val="30BB21D9"/>
    <w:rsid w:val="30DF1478"/>
    <w:rsid w:val="30E67B79"/>
    <w:rsid w:val="30EA2B2E"/>
    <w:rsid w:val="30EC46C7"/>
    <w:rsid w:val="30EC586F"/>
    <w:rsid w:val="311178E3"/>
    <w:rsid w:val="31237606"/>
    <w:rsid w:val="31293F09"/>
    <w:rsid w:val="31615451"/>
    <w:rsid w:val="319C6071"/>
    <w:rsid w:val="31AC537E"/>
    <w:rsid w:val="31B41A25"/>
    <w:rsid w:val="31E3679B"/>
    <w:rsid w:val="31E732FD"/>
    <w:rsid w:val="31EC7411"/>
    <w:rsid w:val="31F75DB5"/>
    <w:rsid w:val="32146967"/>
    <w:rsid w:val="324E2D81"/>
    <w:rsid w:val="324F174E"/>
    <w:rsid w:val="32517576"/>
    <w:rsid w:val="32700042"/>
    <w:rsid w:val="327B641F"/>
    <w:rsid w:val="327D6706"/>
    <w:rsid w:val="328A09D8"/>
    <w:rsid w:val="32B048E2"/>
    <w:rsid w:val="32BE5C2C"/>
    <w:rsid w:val="32C4038E"/>
    <w:rsid w:val="32CB7D16"/>
    <w:rsid w:val="32FB6478"/>
    <w:rsid w:val="32FD73FC"/>
    <w:rsid w:val="33093FF2"/>
    <w:rsid w:val="33263B3F"/>
    <w:rsid w:val="33403BE0"/>
    <w:rsid w:val="336963EB"/>
    <w:rsid w:val="336D27D3"/>
    <w:rsid w:val="3371617D"/>
    <w:rsid w:val="33816EEB"/>
    <w:rsid w:val="33B566B0"/>
    <w:rsid w:val="33BA709B"/>
    <w:rsid w:val="33D740F0"/>
    <w:rsid w:val="33EB55CD"/>
    <w:rsid w:val="33EC4C02"/>
    <w:rsid w:val="340D2360"/>
    <w:rsid w:val="3410665D"/>
    <w:rsid w:val="34211214"/>
    <w:rsid w:val="342E63AB"/>
    <w:rsid w:val="343C00E1"/>
    <w:rsid w:val="34585BF7"/>
    <w:rsid w:val="346C7513"/>
    <w:rsid w:val="34846E13"/>
    <w:rsid w:val="34853B4C"/>
    <w:rsid w:val="34950E68"/>
    <w:rsid w:val="34986E94"/>
    <w:rsid w:val="34AF62C9"/>
    <w:rsid w:val="34BA1A48"/>
    <w:rsid w:val="34BD5094"/>
    <w:rsid w:val="34CB4388"/>
    <w:rsid w:val="34EC597A"/>
    <w:rsid w:val="34F860CC"/>
    <w:rsid w:val="34FA6E12"/>
    <w:rsid w:val="351647A5"/>
    <w:rsid w:val="358D5588"/>
    <w:rsid w:val="35A10512"/>
    <w:rsid w:val="35A47374"/>
    <w:rsid w:val="361231BE"/>
    <w:rsid w:val="36142918"/>
    <w:rsid w:val="363A3B40"/>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5F2433"/>
    <w:rsid w:val="37DF3574"/>
    <w:rsid w:val="37EE7094"/>
    <w:rsid w:val="38296C89"/>
    <w:rsid w:val="383002EB"/>
    <w:rsid w:val="38586797"/>
    <w:rsid w:val="388008B3"/>
    <w:rsid w:val="38AA3B82"/>
    <w:rsid w:val="38BB5D8F"/>
    <w:rsid w:val="38BC0149"/>
    <w:rsid w:val="38BD38B5"/>
    <w:rsid w:val="38CF183A"/>
    <w:rsid w:val="38D87D1C"/>
    <w:rsid w:val="39047736"/>
    <w:rsid w:val="391E324A"/>
    <w:rsid w:val="3938118D"/>
    <w:rsid w:val="39384D9B"/>
    <w:rsid w:val="393D2C48"/>
    <w:rsid w:val="393F42CA"/>
    <w:rsid w:val="39406294"/>
    <w:rsid w:val="395307B3"/>
    <w:rsid w:val="395D0BF4"/>
    <w:rsid w:val="39636459"/>
    <w:rsid w:val="396B7F6C"/>
    <w:rsid w:val="39B417A9"/>
    <w:rsid w:val="39DC5FBD"/>
    <w:rsid w:val="39FC5695"/>
    <w:rsid w:val="3A006D8E"/>
    <w:rsid w:val="3A013C75"/>
    <w:rsid w:val="3A1C3C84"/>
    <w:rsid w:val="3A3651E5"/>
    <w:rsid w:val="3A697CD2"/>
    <w:rsid w:val="3A6B7341"/>
    <w:rsid w:val="3A731392"/>
    <w:rsid w:val="3A744481"/>
    <w:rsid w:val="3A8C7BEF"/>
    <w:rsid w:val="3A906246"/>
    <w:rsid w:val="3AA452F9"/>
    <w:rsid w:val="3ADE4D48"/>
    <w:rsid w:val="3B0070EF"/>
    <w:rsid w:val="3B2349B7"/>
    <w:rsid w:val="3B331C0C"/>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A01523"/>
    <w:rsid w:val="3CCE23CB"/>
    <w:rsid w:val="3CD014E9"/>
    <w:rsid w:val="3CD17D17"/>
    <w:rsid w:val="3CEA09F1"/>
    <w:rsid w:val="3D202664"/>
    <w:rsid w:val="3D3B749E"/>
    <w:rsid w:val="3D3C7F39"/>
    <w:rsid w:val="3D440F09"/>
    <w:rsid w:val="3D4504A0"/>
    <w:rsid w:val="3D8734BB"/>
    <w:rsid w:val="3D9A11D4"/>
    <w:rsid w:val="3DA16D89"/>
    <w:rsid w:val="3DA364BE"/>
    <w:rsid w:val="3DA74B34"/>
    <w:rsid w:val="3DB50FFF"/>
    <w:rsid w:val="3DDC2A2F"/>
    <w:rsid w:val="3DE041CB"/>
    <w:rsid w:val="3DE55DF3"/>
    <w:rsid w:val="3DF07218"/>
    <w:rsid w:val="3E0D48F6"/>
    <w:rsid w:val="3E1868B4"/>
    <w:rsid w:val="3E377251"/>
    <w:rsid w:val="3E3D2DA2"/>
    <w:rsid w:val="3E3D533D"/>
    <w:rsid w:val="3E42664B"/>
    <w:rsid w:val="3E5A7334"/>
    <w:rsid w:val="3E726EF0"/>
    <w:rsid w:val="3E755F09"/>
    <w:rsid w:val="3E7B5D6B"/>
    <w:rsid w:val="3E843E66"/>
    <w:rsid w:val="3E8F51FE"/>
    <w:rsid w:val="3E926F87"/>
    <w:rsid w:val="3E9A59DE"/>
    <w:rsid w:val="3EA7783B"/>
    <w:rsid w:val="3EAD43CC"/>
    <w:rsid w:val="3EAF4836"/>
    <w:rsid w:val="3EC33DFA"/>
    <w:rsid w:val="3EE31B9B"/>
    <w:rsid w:val="3EE82E22"/>
    <w:rsid w:val="3F0044FB"/>
    <w:rsid w:val="3F060E16"/>
    <w:rsid w:val="3F1D1096"/>
    <w:rsid w:val="3F2F0234"/>
    <w:rsid w:val="3F402B4A"/>
    <w:rsid w:val="3F6363FE"/>
    <w:rsid w:val="3F756B8F"/>
    <w:rsid w:val="3F8A0269"/>
    <w:rsid w:val="3F8A2017"/>
    <w:rsid w:val="3F95482B"/>
    <w:rsid w:val="3FB35A12"/>
    <w:rsid w:val="3FDF6807"/>
    <w:rsid w:val="400E0E9A"/>
    <w:rsid w:val="4019356B"/>
    <w:rsid w:val="40267F92"/>
    <w:rsid w:val="402E6E46"/>
    <w:rsid w:val="40572841"/>
    <w:rsid w:val="40592157"/>
    <w:rsid w:val="405A7C3B"/>
    <w:rsid w:val="406D5BC1"/>
    <w:rsid w:val="406E1CAE"/>
    <w:rsid w:val="40792BC6"/>
    <w:rsid w:val="408D6263"/>
    <w:rsid w:val="409E3FCC"/>
    <w:rsid w:val="40A0133A"/>
    <w:rsid w:val="40B06FCC"/>
    <w:rsid w:val="40B3559D"/>
    <w:rsid w:val="40C31A53"/>
    <w:rsid w:val="40C96B6F"/>
    <w:rsid w:val="40D43E92"/>
    <w:rsid w:val="40DF6392"/>
    <w:rsid w:val="40FB058A"/>
    <w:rsid w:val="40FF545D"/>
    <w:rsid w:val="410067C8"/>
    <w:rsid w:val="41287D39"/>
    <w:rsid w:val="413018BA"/>
    <w:rsid w:val="413C553B"/>
    <w:rsid w:val="414D154E"/>
    <w:rsid w:val="415154E2"/>
    <w:rsid w:val="418F0D2A"/>
    <w:rsid w:val="41A95AF7"/>
    <w:rsid w:val="41D01505"/>
    <w:rsid w:val="42312C1E"/>
    <w:rsid w:val="42474939"/>
    <w:rsid w:val="424C3C57"/>
    <w:rsid w:val="425D7EB7"/>
    <w:rsid w:val="42613FF3"/>
    <w:rsid w:val="42660D96"/>
    <w:rsid w:val="42786A9F"/>
    <w:rsid w:val="42843695"/>
    <w:rsid w:val="428667D2"/>
    <w:rsid w:val="42AE5046"/>
    <w:rsid w:val="42B07FE6"/>
    <w:rsid w:val="42B86E9B"/>
    <w:rsid w:val="42C341BE"/>
    <w:rsid w:val="42C65A5C"/>
    <w:rsid w:val="42CD1CE0"/>
    <w:rsid w:val="42E1381E"/>
    <w:rsid w:val="42ED6459"/>
    <w:rsid w:val="42FE58DD"/>
    <w:rsid w:val="430420E0"/>
    <w:rsid w:val="43174B3D"/>
    <w:rsid w:val="43217136"/>
    <w:rsid w:val="434B5F61"/>
    <w:rsid w:val="434B790E"/>
    <w:rsid w:val="4360274F"/>
    <w:rsid w:val="438D078D"/>
    <w:rsid w:val="43943464"/>
    <w:rsid w:val="43977AB6"/>
    <w:rsid w:val="439E42E3"/>
    <w:rsid w:val="43A3342B"/>
    <w:rsid w:val="43A37B4B"/>
    <w:rsid w:val="43C77C27"/>
    <w:rsid w:val="43D441A9"/>
    <w:rsid w:val="43DE09EE"/>
    <w:rsid w:val="43F403A7"/>
    <w:rsid w:val="44002FAD"/>
    <w:rsid w:val="440C56F0"/>
    <w:rsid w:val="44586B88"/>
    <w:rsid w:val="4473751E"/>
    <w:rsid w:val="44770B4E"/>
    <w:rsid w:val="44775260"/>
    <w:rsid w:val="447F2366"/>
    <w:rsid w:val="449101DD"/>
    <w:rsid w:val="449A1F8F"/>
    <w:rsid w:val="44A1408B"/>
    <w:rsid w:val="44DE1391"/>
    <w:rsid w:val="44EB58BC"/>
    <w:rsid w:val="44FD328B"/>
    <w:rsid w:val="451B225C"/>
    <w:rsid w:val="451D3288"/>
    <w:rsid w:val="452410C9"/>
    <w:rsid w:val="4528655A"/>
    <w:rsid w:val="45317DFB"/>
    <w:rsid w:val="4532173E"/>
    <w:rsid w:val="45613CC5"/>
    <w:rsid w:val="456D3CE4"/>
    <w:rsid w:val="45701158"/>
    <w:rsid w:val="4579042C"/>
    <w:rsid w:val="457F0571"/>
    <w:rsid w:val="45835EDE"/>
    <w:rsid w:val="45851176"/>
    <w:rsid w:val="459534C4"/>
    <w:rsid w:val="45B34097"/>
    <w:rsid w:val="45BD3146"/>
    <w:rsid w:val="45C63B94"/>
    <w:rsid w:val="4600066E"/>
    <w:rsid w:val="460E7DA5"/>
    <w:rsid w:val="46401EEC"/>
    <w:rsid w:val="46422483"/>
    <w:rsid w:val="4659254A"/>
    <w:rsid w:val="465B0637"/>
    <w:rsid w:val="465E3F0D"/>
    <w:rsid w:val="4666070F"/>
    <w:rsid w:val="466A16E6"/>
    <w:rsid w:val="46821C9A"/>
    <w:rsid w:val="46875502"/>
    <w:rsid w:val="46893F2B"/>
    <w:rsid w:val="46935C55"/>
    <w:rsid w:val="46956EB6"/>
    <w:rsid w:val="46A14816"/>
    <w:rsid w:val="46A2233C"/>
    <w:rsid w:val="46BB51AC"/>
    <w:rsid w:val="46BD0F24"/>
    <w:rsid w:val="46C4686E"/>
    <w:rsid w:val="46C63A60"/>
    <w:rsid w:val="46E14C12"/>
    <w:rsid w:val="470D5A07"/>
    <w:rsid w:val="4723347D"/>
    <w:rsid w:val="47242D51"/>
    <w:rsid w:val="475278BE"/>
    <w:rsid w:val="476D46F8"/>
    <w:rsid w:val="477B778F"/>
    <w:rsid w:val="478203EC"/>
    <w:rsid w:val="47B025FA"/>
    <w:rsid w:val="47B75973"/>
    <w:rsid w:val="47B9793D"/>
    <w:rsid w:val="47C167F2"/>
    <w:rsid w:val="47DB78B4"/>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028AB"/>
    <w:rsid w:val="48AE4FC8"/>
    <w:rsid w:val="48B94FF3"/>
    <w:rsid w:val="48BC6561"/>
    <w:rsid w:val="48CE566A"/>
    <w:rsid w:val="48E37AAB"/>
    <w:rsid w:val="48FD4B4C"/>
    <w:rsid w:val="490A68E0"/>
    <w:rsid w:val="4910358D"/>
    <w:rsid w:val="491055FE"/>
    <w:rsid w:val="493C0826"/>
    <w:rsid w:val="495430AE"/>
    <w:rsid w:val="495C67D2"/>
    <w:rsid w:val="495F5B3E"/>
    <w:rsid w:val="496F77D7"/>
    <w:rsid w:val="497654FD"/>
    <w:rsid w:val="49987AF9"/>
    <w:rsid w:val="49B64211"/>
    <w:rsid w:val="49DF11B1"/>
    <w:rsid w:val="49EF3AEA"/>
    <w:rsid w:val="49F6167F"/>
    <w:rsid w:val="4A064FA0"/>
    <w:rsid w:val="4A16615C"/>
    <w:rsid w:val="4A174DEF"/>
    <w:rsid w:val="4A2F038B"/>
    <w:rsid w:val="4A4424D7"/>
    <w:rsid w:val="4A4D0811"/>
    <w:rsid w:val="4A6F2535"/>
    <w:rsid w:val="4A78588E"/>
    <w:rsid w:val="4A881849"/>
    <w:rsid w:val="4AA46948"/>
    <w:rsid w:val="4AB82D0F"/>
    <w:rsid w:val="4AEB7664"/>
    <w:rsid w:val="4AFB026D"/>
    <w:rsid w:val="4AFD7C19"/>
    <w:rsid w:val="4B0567D1"/>
    <w:rsid w:val="4B132244"/>
    <w:rsid w:val="4B236AAE"/>
    <w:rsid w:val="4B49722A"/>
    <w:rsid w:val="4B58121B"/>
    <w:rsid w:val="4B707271"/>
    <w:rsid w:val="4B9739F7"/>
    <w:rsid w:val="4BC82845"/>
    <w:rsid w:val="4BE11211"/>
    <w:rsid w:val="4BEE2503"/>
    <w:rsid w:val="4C1C49DF"/>
    <w:rsid w:val="4C245A30"/>
    <w:rsid w:val="4C43011D"/>
    <w:rsid w:val="4C4D4AF8"/>
    <w:rsid w:val="4CB6685F"/>
    <w:rsid w:val="4CBE1552"/>
    <w:rsid w:val="4CC367FE"/>
    <w:rsid w:val="4CC748AA"/>
    <w:rsid w:val="4CD945DE"/>
    <w:rsid w:val="4CEE6EA6"/>
    <w:rsid w:val="4D077F3C"/>
    <w:rsid w:val="4D123355"/>
    <w:rsid w:val="4D1A70D0"/>
    <w:rsid w:val="4D2A3B31"/>
    <w:rsid w:val="4D312C52"/>
    <w:rsid w:val="4D3D2DBF"/>
    <w:rsid w:val="4D422183"/>
    <w:rsid w:val="4D6B792C"/>
    <w:rsid w:val="4D905305"/>
    <w:rsid w:val="4D964A72"/>
    <w:rsid w:val="4D9C1254"/>
    <w:rsid w:val="4D9C5D37"/>
    <w:rsid w:val="4DA1284D"/>
    <w:rsid w:val="4DC94652"/>
    <w:rsid w:val="4DD03C33"/>
    <w:rsid w:val="4DD94895"/>
    <w:rsid w:val="4DDD3C5A"/>
    <w:rsid w:val="4DFC4A28"/>
    <w:rsid w:val="4DFF0631"/>
    <w:rsid w:val="4E353A96"/>
    <w:rsid w:val="4E793892"/>
    <w:rsid w:val="4E7D6A64"/>
    <w:rsid w:val="4E800872"/>
    <w:rsid w:val="4E8862BB"/>
    <w:rsid w:val="4EA824BA"/>
    <w:rsid w:val="4EC569ED"/>
    <w:rsid w:val="4ED50EA1"/>
    <w:rsid w:val="4EDF237F"/>
    <w:rsid w:val="4EEC050C"/>
    <w:rsid w:val="4F0E67C1"/>
    <w:rsid w:val="4F104EC3"/>
    <w:rsid w:val="4F3075A8"/>
    <w:rsid w:val="4F47354A"/>
    <w:rsid w:val="4F5F701C"/>
    <w:rsid w:val="4F911C54"/>
    <w:rsid w:val="4FB56C3C"/>
    <w:rsid w:val="4FBF5D0D"/>
    <w:rsid w:val="4FC664C1"/>
    <w:rsid w:val="4FE15C83"/>
    <w:rsid w:val="4FE625E0"/>
    <w:rsid w:val="4FF84D7B"/>
    <w:rsid w:val="4FF95729"/>
    <w:rsid w:val="50055E16"/>
    <w:rsid w:val="50125E3D"/>
    <w:rsid w:val="5020164B"/>
    <w:rsid w:val="50210776"/>
    <w:rsid w:val="5021480F"/>
    <w:rsid w:val="50412BC6"/>
    <w:rsid w:val="504F52E3"/>
    <w:rsid w:val="50770C26"/>
    <w:rsid w:val="50962ECB"/>
    <w:rsid w:val="509B4084"/>
    <w:rsid w:val="50A42E38"/>
    <w:rsid w:val="50A4577F"/>
    <w:rsid w:val="50B213CE"/>
    <w:rsid w:val="50B73D1F"/>
    <w:rsid w:val="50BD5BC9"/>
    <w:rsid w:val="50C11EEE"/>
    <w:rsid w:val="50C51101"/>
    <w:rsid w:val="50E5543F"/>
    <w:rsid w:val="50E97CFC"/>
    <w:rsid w:val="50FA4028"/>
    <w:rsid w:val="510A120A"/>
    <w:rsid w:val="510D65B7"/>
    <w:rsid w:val="511157AB"/>
    <w:rsid w:val="5142540C"/>
    <w:rsid w:val="517F7502"/>
    <w:rsid w:val="518832C8"/>
    <w:rsid w:val="51A0432A"/>
    <w:rsid w:val="51A74E09"/>
    <w:rsid w:val="51A86090"/>
    <w:rsid w:val="51B7396D"/>
    <w:rsid w:val="520B348B"/>
    <w:rsid w:val="52287B99"/>
    <w:rsid w:val="522E4CC3"/>
    <w:rsid w:val="523227C6"/>
    <w:rsid w:val="52391DA6"/>
    <w:rsid w:val="5244713B"/>
    <w:rsid w:val="52462715"/>
    <w:rsid w:val="525B6B2A"/>
    <w:rsid w:val="52615633"/>
    <w:rsid w:val="528B637A"/>
    <w:rsid w:val="52977FD4"/>
    <w:rsid w:val="52A25790"/>
    <w:rsid w:val="52A96B6F"/>
    <w:rsid w:val="52B23907"/>
    <w:rsid w:val="52B45975"/>
    <w:rsid w:val="52B61649"/>
    <w:rsid w:val="52C03D1F"/>
    <w:rsid w:val="52D41ACF"/>
    <w:rsid w:val="52D94AA4"/>
    <w:rsid w:val="52EA3A62"/>
    <w:rsid w:val="52F50BB8"/>
    <w:rsid w:val="52F91536"/>
    <w:rsid w:val="52FF2882"/>
    <w:rsid w:val="53097272"/>
    <w:rsid w:val="53544462"/>
    <w:rsid w:val="53566988"/>
    <w:rsid w:val="535D5D56"/>
    <w:rsid w:val="535D7D17"/>
    <w:rsid w:val="53603363"/>
    <w:rsid w:val="537F5EDF"/>
    <w:rsid w:val="5397158E"/>
    <w:rsid w:val="53A92F5C"/>
    <w:rsid w:val="53BD2C37"/>
    <w:rsid w:val="53BD7396"/>
    <w:rsid w:val="53CA0D92"/>
    <w:rsid w:val="54013861"/>
    <w:rsid w:val="542645AC"/>
    <w:rsid w:val="54487265"/>
    <w:rsid w:val="544D6070"/>
    <w:rsid w:val="5452714F"/>
    <w:rsid w:val="54605E1E"/>
    <w:rsid w:val="54B3506A"/>
    <w:rsid w:val="54CA0D16"/>
    <w:rsid w:val="54DD4057"/>
    <w:rsid w:val="54E3424B"/>
    <w:rsid w:val="54E7490F"/>
    <w:rsid w:val="550764A4"/>
    <w:rsid w:val="550B2BF6"/>
    <w:rsid w:val="55107082"/>
    <w:rsid w:val="55214EB5"/>
    <w:rsid w:val="55233775"/>
    <w:rsid w:val="55364EFD"/>
    <w:rsid w:val="554031D6"/>
    <w:rsid w:val="555D4828"/>
    <w:rsid w:val="55755B87"/>
    <w:rsid w:val="5579070C"/>
    <w:rsid w:val="557A4C8B"/>
    <w:rsid w:val="55872E29"/>
    <w:rsid w:val="558931E1"/>
    <w:rsid w:val="55923347"/>
    <w:rsid w:val="55925180"/>
    <w:rsid w:val="55983B1B"/>
    <w:rsid w:val="559F6FA1"/>
    <w:rsid w:val="55A7069A"/>
    <w:rsid w:val="55A8376B"/>
    <w:rsid w:val="55AC06EC"/>
    <w:rsid w:val="55DC29B6"/>
    <w:rsid w:val="55DD4241"/>
    <w:rsid w:val="55DF4A13"/>
    <w:rsid w:val="561A5A4B"/>
    <w:rsid w:val="5643240A"/>
    <w:rsid w:val="566B6D1E"/>
    <w:rsid w:val="56815ACA"/>
    <w:rsid w:val="56B16294"/>
    <w:rsid w:val="56CD6F61"/>
    <w:rsid w:val="57032A2C"/>
    <w:rsid w:val="570453D1"/>
    <w:rsid w:val="570F5219"/>
    <w:rsid w:val="571E156B"/>
    <w:rsid w:val="571E3982"/>
    <w:rsid w:val="57415259"/>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675AB"/>
    <w:rsid w:val="57D95FDD"/>
    <w:rsid w:val="58262129"/>
    <w:rsid w:val="582B03E3"/>
    <w:rsid w:val="582C232B"/>
    <w:rsid w:val="583A2674"/>
    <w:rsid w:val="5853793A"/>
    <w:rsid w:val="58627B7D"/>
    <w:rsid w:val="588E49B2"/>
    <w:rsid w:val="58917D2F"/>
    <w:rsid w:val="5894085C"/>
    <w:rsid w:val="589715D5"/>
    <w:rsid w:val="58A213EA"/>
    <w:rsid w:val="58AE4F0C"/>
    <w:rsid w:val="58B85899"/>
    <w:rsid w:val="58BA3515"/>
    <w:rsid w:val="58BD6D69"/>
    <w:rsid w:val="58D87F98"/>
    <w:rsid w:val="58E363A9"/>
    <w:rsid w:val="59205A6E"/>
    <w:rsid w:val="595E1678"/>
    <w:rsid w:val="596D5BD4"/>
    <w:rsid w:val="597E3DD8"/>
    <w:rsid w:val="59C06909"/>
    <w:rsid w:val="59CC3500"/>
    <w:rsid w:val="59DD74BB"/>
    <w:rsid w:val="59F80043"/>
    <w:rsid w:val="59FD7B5D"/>
    <w:rsid w:val="5A09252F"/>
    <w:rsid w:val="5A0B2778"/>
    <w:rsid w:val="5A117165"/>
    <w:rsid w:val="5A1B7FE4"/>
    <w:rsid w:val="5A252C10"/>
    <w:rsid w:val="5A2A7C7B"/>
    <w:rsid w:val="5A3E2560"/>
    <w:rsid w:val="5A5D3B6E"/>
    <w:rsid w:val="5A637A76"/>
    <w:rsid w:val="5A6D33BA"/>
    <w:rsid w:val="5A792B1F"/>
    <w:rsid w:val="5A874767"/>
    <w:rsid w:val="5AAD6F28"/>
    <w:rsid w:val="5AD63A24"/>
    <w:rsid w:val="5AF52A20"/>
    <w:rsid w:val="5AFF0DCB"/>
    <w:rsid w:val="5B0430C9"/>
    <w:rsid w:val="5B172EA1"/>
    <w:rsid w:val="5B2E1A1D"/>
    <w:rsid w:val="5B372BFB"/>
    <w:rsid w:val="5B6F6839"/>
    <w:rsid w:val="5B7200D7"/>
    <w:rsid w:val="5B843A1C"/>
    <w:rsid w:val="5B873E3F"/>
    <w:rsid w:val="5B877CDF"/>
    <w:rsid w:val="5BA504AD"/>
    <w:rsid w:val="5BBF204D"/>
    <w:rsid w:val="5BC73ABB"/>
    <w:rsid w:val="5BEF55D4"/>
    <w:rsid w:val="5C02690E"/>
    <w:rsid w:val="5C0C4088"/>
    <w:rsid w:val="5C190553"/>
    <w:rsid w:val="5C196DA7"/>
    <w:rsid w:val="5C1F4650"/>
    <w:rsid w:val="5C2A048C"/>
    <w:rsid w:val="5C2F333E"/>
    <w:rsid w:val="5C321615"/>
    <w:rsid w:val="5C3435DF"/>
    <w:rsid w:val="5C403D31"/>
    <w:rsid w:val="5C4E28F2"/>
    <w:rsid w:val="5C593045"/>
    <w:rsid w:val="5C80234E"/>
    <w:rsid w:val="5C8A680C"/>
    <w:rsid w:val="5CCD4019"/>
    <w:rsid w:val="5CF53B8F"/>
    <w:rsid w:val="5D041203"/>
    <w:rsid w:val="5D0C4701"/>
    <w:rsid w:val="5D0F0395"/>
    <w:rsid w:val="5D107BA8"/>
    <w:rsid w:val="5D221076"/>
    <w:rsid w:val="5D2D0F82"/>
    <w:rsid w:val="5D397964"/>
    <w:rsid w:val="5D4B5084"/>
    <w:rsid w:val="5D4B6E32"/>
    <w:rsid w:val="5D4D2245"/>
    <w:rsid w:val="5D5A391C"/>
    <w:rsid w:val="5D5E6285"/>
    <w:rsid w:val="5D5F10C0"/>
    <w:rsid w:val="5D5F468B"/>
    <w:rsid w:val="5D7C523D"/>
    <w:rsid w:val="5D845EA0"/>
    <w:rsid w:val="5D8503D2"/>
    <w:rsid w:val="5D891B7B"/>
    <w:rsid w:val="5DAD3649"/>
    <w:rsid w:val="5DAD38EE"/>
    <w:rsid w:val="5DB22A0D"/>
    <w:rsid w:val="5DC6470A"/>
    <w:rsid w:val="5DCD5A99"/>
    <w:rsid w:val="5DE1393C"/>
    <w:rsid w:val="5E006862"/>
    <w:rsid w:val="5E0207B9"/>
    <w:rsid w:val="5E1834A1"/>
    <w:rsid w:val="5E2356B9"/>
    <w:rsid w:val="5E261785"/>
    <w:rsid w:val="5E4A7017"/>
    <w:rsid w:val="5E552BBA"/>
    <w:rsid w:val="5E611C10"/>
    <w:rsid w:val="5E6A153A"/>
    <w:rsid w:val="5EA20CD3"/>
    <w:rsid w:val="5EAE4B05"/>
    <w:rsid w:val="5EC450EE"/>
    <w:rsid w:val="5ED50DE3"/>
    <w:rsid w:val="5EFC7377"/>
    <w:rsid w:val="5F06174D"/>
    <w:rsid w:val="5F155949"/>
    <w:rsid w:val="5F261904"/>
    <w:rsid w:val="5F370C6B"/>
    <w:rsid w:val="5F381638"/>
    <w:rsid w:val="5F3A3602"/>
    <w:rsid w:val="5F4F0E5B"/>
    <w:rsid w:val="5F6277C6"/>
    <w:rsid w:val="5F6D0B1D"/>
    <w:rsid w:val="5F885663"/>
    <w:rsid w:val="5F8D0B82"/>
    <w:rsid w:val="5F9F5213"/>
    <w:rsid w:val="5FA10F8B"/>
    <w:rsid w:val="5FAE5456"/>
    <w:rsid w:val="5FB07420"/>
    <w:rsid w:val="5FBC4017"/>
    <w:rsid w:val="5FCC5339"/>
    <w:rsid w:val="5FD255E8"/>
    <w:rsid w:val="5FE04A18"/>
    <w:rsid w:val="5FE34A5B"/>
    <w:rsid w:val="5FFE1E36"/>
    <w:rsid w:val="5FFE63DD"/>
    <w:rsid w:val="60172FFB"/>
    <w:rsid w:val="60232584"/>
    <w:rsid w:val="602776E2"/>
    <w:rsid w:val="604C7149"/>
    <w:rsid w:val="605424A1"/>
    <w:rsid w:val="606F1958"/>
    <w:rsid w:val="607330CE"/>
    <w:rsid w:val="607F6566"/>
    <w:rsid w:val="60825176"/>
    <w:rsid w:val="609F2AC4"/>
    <w:rsid w:val="60A67755"/>
    <w:rsid w:val="60C3313F"/>
    <w:rsid w:val="60E5329F"/>
    <w:rsid w:val="60FA2EE8"/>
    <w:rsid w:val="61054A27"/>
    <w:rsid w:val="610A52BC"/>
    <w:rsid w:val="610E43FE"/>
    <w:rsid w:val="611D2366"/>
    <w:rsid w:val="61241E74"/>
    <w:rsid w:val="61421856"/>
    <w:rsid w:val="61483DB4"/>
    <w:rsid w:val="615227C4"/>
    <w:rsid w:val="61654E3F"/>
    <w:rsid w:val="61661972"/>
    <w:rsid w:val="6182292A"/>
    <w:rsid w:val="619F7F92"/>
    <w:rsid w:val="61C55405"/>
    <w:rsid w:val="61CB0541"/>
    <w:rsid w:val="61F94C26"/>
    <w:rsid w:val="62000E56"/>
    <w:rsid w:val="62436329"/>
    <w:rsid w:val="624F3E49"/>
    <w:rsid w:val="62500A46"/>
    <w:rsid w:val="62576091"/>
    <w:rsid w:val="62632286"/>
    <w:rsid w:val="6269416D"/>
    <w:rsid w:val="627D5CDF"/>
    <w:rsid w:val="62885958"/>
    <w:rsid w:val="628C6355"/>
    <w:rsid w:val="62C531E2"/>
    <w:rsid w:val="62CF7BBD"/>
    <w:rsid w:val="62F40B65"/>
    <w:rsid w:val="62FA10DE"/>
    <w:rsid w:val="62FC2CFE"/>
    <w:rsid w:val="63024505"/>
    <w:rsid w:val="635B1DB5"/>
    <w:rsid w:val="63711FED"/>
    <w:rsid w:val="63880DDC"/>
    <w:rsid w:val="638D750D"/>
    <w:rsid w:val="63AC6CC0"/>
    <w:rsid w:val="63E458EA"/>
    <w:rsid w:val="64055776"/>
    <w:rsid w:val="64144421"/>
    <w:rsid w:val="64240056"/>
    <w:rsid w:val="643E143A"/>
    <w:rsid w:val="645434DB"/>
    <w:rsid w:val="648B6EEF"/>
    <w:rsid w:val="64B21544"/>
    <w:rsid w:val="64C158BF"/>
    <w:rsid w:val="64C33752"/>
    <w:rsid w:val="64CE2EAA"/>
    <w:rsid w:val="64EF09EB"/>
    <w:rsid w:val="64FB4E73"/>
    <w:rsid w:val="6535464F"/>
    <w:rsid w:val="653C3090"/>
    <w:rsid w:val="655645C6"/>
    <w:rsid w:val="655D3BA6"/>
    <w:rsid w:val="65660CAD"/>
    <w:rsid w:val="656811A3"/>
    <w:rsid w:val="65705687"/>
    <w:rsid w:val="65854376"/>
    <w:rsid w:val="658767BE"/>
    <w:rsid w:val="65892531"/>
    <w:rsid w:val="658E5B0E"/>
    <w:rsid w:val="65934948"/>
    <w:rsid w:val="659B647C"/>
    <w:rsid w:val="65AB4911"/>
    <w:rsid w:val="65AB66C0"/>
    <w:rsid w:val="65AE2E61"/>
    <w:rsid w:val="65F30067"/>
    <w:rsid w:val="6604430D"/>
    <w:rsid w:val="66195831"/>
    <w:rsid w:val="662E75B1"/>
    <w:rsid w:val="6632293D"/>
    <w:rsid w:val="66342C2E"/>
    <w:rsid w:val="663E784C"/>
    <w:rsid w:val="668B6A45"/>
    <w:rsid w:val="66DE2AC5"/>
    <w:rsid w:val="66FB3677"/>
    <w:rsid w:val="671169F6"/>
    <w:rsid w:val="672901E4"/>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6A0640"/>
    <w:rsid w:val="696C085C"/>
    <w:rsid w:val="6977531D"/>
    <w:rsid w:val="69833A63"/>
    <w:rsid w:val="69AA4EE0"/>
    <w:rsid w:val="69B8584F"/>
    <w:rsid w:val="69C76B2A"/>
    <w:rsid w:val="69CC2BFF"/>
    <w:rsid w:val="69FD55B8"/>
    <w:rsid w:val="6A0B1C62"/>
    <w:rsid w:val="6A1F767C"/>
    <w:rsid w:val="6A2406C8"/>
    <w:rsid w:val="6A843983"/>
    <w:rsid w:val="6AD40467"/>
    <w:rsid w:val="6ADE0BD1"/>
    <w:rsid w:val="6AE96859"/>
    <w:rsid w:val="6B147746"/>
    <w:rsid w:val="6B24787C"/>
    <w:rsid w:val="6B347157"/>
    <w:rsid w:val="6B573233"/>
    <w:rsid w:val="6B5B6274"/>
    <w:rsid w:val="6B5C6490"/>
    <w:rsid w:val="6B612554"/>
    <w:rsid w:val="6B6339DC"/>
    <w:rsid w:val="6B685053"/>
    <w:rsid w:val="6B741C4A"/>
    <w:rsid w:val="6B817F14"/>
    <w:rsid w:val="6B8A6D77"/>
    <w:rsid w:val="6B935D53"/>
    <w:rsid w:val="6B945E48"/>
    <w:rsid w:val="6B961BC0"/>
    <w:rsid w:val="6BA9399A"/>
    <w:rsid w:val="6BD10E4A"/>
    <w:rsid w:val="6C0E5BFA"/>
    <w:rsid w:val="6C196F71"/>
    <w:rsid w:val="6C226FCB"/>
    <w:rsid w:val="6C2918DA"/>
    <w:rsid w:val="6C2B67AC"/>
    <w:rsid w:val="6C31226F"/>
    <w:rsid w:val="6C3A079D"/>
    <w:rsid w:val="6C552F0B"/>
    <w:rsid w:val="6C5D26DE"/>
    <w:rsid w:val="6C6A0C5A"/>
    <w:rsid w:val="6C8C67B7"/>
    <w:rsid w:val="6C9D744C"/>
    <w:rsid w:val="6CA125CA"/>
    <w:rsid w:val="6CEC4D99"/>
    <w:rsid w:val="6CF05300"/>
    <w:rsid w:val="6CF22E26"/>
    <w:rsid w:val="6D082649"/>
    <w:rsid w:val="6D140FEE"/>
    <w:rsid w:val="6D167928"/>
    <w:rsid w:val="6D26299B"/>
    <w:rsid w:val="6D4772EC"/>
    <w:rsid w:val="6D9078AF"/>
    <w:rsid w:val="6DAA3FEF"/>
    <w:rsid w:val="6DC0172B"/>
    <w:rsid w:val="6DCB690C"/>
    <w:rsid w:val="6DD41A5B"/>
    <w:rsid w:val="6DE3508D"/>
    <w:rsid w:val="6DE83935"/>
    <w:rsid w:val="6DF43C2E"/>
    <w:rsid w:val="6DF51CA3"/>
    <w:rsid w:val="6E0A419F"/>
    <w:rsid w:val="6E35746E"/>
    <w:rsid w:val="6E3F653F"/>
    <w:rsid w:val="6E657628"/>
    <w:rsid w:val="6E8335BD"/>
    <w:rsid w:val="6E8E12EF"/>
    <w:rsid w:val="6E967FF1"/>
    <w:rsid w:val="6E972936"/>
    <w:rsid w:val="6EBA40BE"/>
    <w:rsid w:val="6EBC7B8F"/>
    <w:rsid w:val="6ECC1868"/>
    <w:rsid w:val="6ED446C5"/>
    <w:rsid w:val="6EF410D7"/>
    <w:rsid w:val="6F084B83"/>
    <w:rsid w:val="6F2A7D94"/>
    <w:rsid w:val="6F4F0B61"/>
    <w:rsid w:val="6F6B4615"/>
    <w:rsid w:val="6F7F39B9"/>
    <w:rsid w:val="6F8331F1"/>
    <w:rsid w:val="6F885CC3"/>
    <w:rsid w:val="6F8A5598"/>
    <w:rsid w:val="6F9E1043"/>
    <w:rsid w:val="6FA10DEF"/>
    <w:rsid w:val="6FAE1A09"/>
    <w:rsid w:val="6FC0545D"/>
    <w:rsid w:val="6FD75BF8"/>
    <w:rsid w:val="700510C2"/>
    <w:rsid w:val="700955DD"/>
    <w:rsid w:val="70131A31"/>
    <w:rsid w:val="701B6B38"/>
    <w:rsid w:val="70495453"/>
    <w:rsid w:val="704A4D27"/>
    <w:rsid w:val="705B5186"/>
    <w:rsid w:val="707723D0"/>
    <w:rsid w:val="70C20D61"/>
    <w:rsid w:val="70F5661B"/>
    <w:rsid w:val="710124A8"/>
    <w:rsid w:val="711A0B9D"/>
    <w:rsid w:val="71341C5F"/>
    <w:rsid w:val="71360107"/>
    <w:rsid w:val="713B688E"/>
    <w:rsid w:val="718F158B"/>
    <w:rsid w:val="71C01745"/>
    <w:rsid w:val="71D43752"/>
    <w:rsid w:val="71F1796A"/>
    <w:rsid w:val="7214383E"/>
    <w:rsid w:val="72154626"/>
    <w:rsid w:val="72165809"/>
    <w:rsid w:val="72262B5D"/>
    <w:rsid w:val="72283FF7"/>
    <w:rsid w:val="722E7212"/>
    <w:rsid w:val="723A0474"/>
    <w:rsid w:val="724C2FD8"/>
    <w:rsid w:val="724E282C"/>
    <w:rsid w:val="7258197D"/>
    <w:rsid w:val="725923E4"/>
    <w:rsid w:val="725B146D"/>
    <w:rsid w:val="72793266"/>
    <w:rsid w:val="727E3828"/>
    <w:rsid w:val="72864BF7"/>
    <w:rsid w:val="729023FC"/>
    <w:rsid w:val="72A746B3"/>
    <w:rsid w:val="72E820EE"/>
    <w:rsid w:val="72F571CC"/>
    <w:rsid w:val="73012015"/>
    <w:rsid w:val="730B69EF"/>
    <w:rsid w:val="732857F3"/>
    <w:rsid w:val="735C549D"/>
    <w:rsid w:val="7399049F"/>
    <w:rsid w:val="739D493C"/>
    <w:rsid w:val="73AF1A71"/>
    <w:rsid w:val="73C0646E"/>
    <w:rsid w:val="73CF5C6F"/>
    <w:rsid w:val="7414117C"/>
    <w:rsid w:val="7420296E"/>
    <w:rsid w:val="742222F5"/>
    <w:rsid w:val="74455F31"/>
    <w:rsid w:val="74476126"/>
    <w:rsid w:val="74635A20"/>
    <w:rsid w:val="74706664"/>
    <w:rsid w:val="747800B5"/>
    <w:rsid w:val="747F3682"/>
    <w:rsid w:val="749C4185"/>
    <w:rsid w:val="74BE0A36"/>
    <w:rsid w:val="74E249F9"/>
    <w:rsid w:val="74E413C5"/>
    <w:rsid w:val="7500081F"/>
    <w:rsid w:val="75067759"/>
    <w:rsid w:val="752E6DCD"/>
    <w:rsid w:val="7551380D"/>
    <w:rsid w:val="75600BE5"/>
    <w:rsid w:val="7564475C"/>
    <w:rsid w:val="757E468B"/>
    <w:rsid w:val="7583797F"/>
    <w:rsid w:val="75976C60"/>
    <w:rsid w:val="75B74A12"/>
    <w:rsid w:val="75D20F1D"/>
    <w:rsid w:val="75DA2C18"/>
    <w:rsid w:val="75DC4673"/>
    <w:rsid w:val="75E31EA6"/>
    <w:rsid w:val="75F145C2"/>
    <w:rsid w:val="75F54412"/>
    <w:rsid w:val="76165DD7"/>
    <w:rsid w:val="761D08E0"/>
    <w:rsid w:val="762B73A9"/>
    <w:rsid w:val="76516E0F"/>
    <w:rsid w:val="765D347C"/>
    <w:rsid w:val="765E32DA"/>
    <w:rsid w:val="766C1E9B"/>
    <w:rsid w:val="76826699"/>
    <w:rsid w:val="76877DFA"/>
    <w:rsid w:val="768947FB"/>
    <w:rsid w:val="769A3178"/>
    <w:rsid w:val="76C87133"/>
    <w:rsid w:val="76CD08D5"/>
    <w:rsid w:val="76DB4B92"/>
    <w:rsid w:val="76FE19B6"/>
    <w:rsid w:val="77043E82"/>
    <w:rsid w:val="77052AA4"/>
    <w:rsid w:val="77136511"/>
    <w:rsid w:val="772C162A"/>
    <w:rsid w:val="772C33D8"/>
    <w:rsid w:val="77340A39"/>
    <w:rsid w:val="77351FD0"/>
    <w:rsid w:val="77472422"/>
    <w:rsid w:val="7762504C"/>
    <w:rsid w:val="77754D7F"/>
    <w:rsid w:val="777A4144"/>
    <w:rsid w:val="777F31F2"/>
    <w:rsid w:val="77860D3A"/>
    <w:rsid w:val="77A318EC"/>
    <w:rsid w:val="77AB3185"/>
    <w:rsid w:val="77BD0700"/>
    <w:rsid w:val="77D1700D"/>
    <w:rsid w:val="77D23F80"/>
    <w:rsid w:val="77EC04CC"/>
    <w:rsid w:val="78085BF3"/>
    <w:rsid w:val="78104AA8"/>
    <w:rsid w:val="7838116A"/>
    <w:rsid w:val="78650950"/>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47B9E"/>
    <w:rsid w:val="79A97383"/>
    <w:rsid w:val="79E27E8B"/>
    <w:rsid w:val="79F850CE"/>
    <w:rsid w:val="79FD443C"/>
    <w:rsid w:val="7A067F11"/>
    <w:rsid w:val="7A1D1975"/>
    <w:rsid w:val="7A3E5150"/>
    <w:rsid w:val="7A4670D6"/>
    <w:rsid w:val="7A4D5B40"/>
    <w:rsid w:val="7A534B63"/>
    <w:rsid w:val="7A615382"/>
    <w:rsid w:val="7A67303B"/>
    <w:rsid w:val="7A707A80"/>
    <w:rsid w:val="7A8157E9"/>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A0FE4"/>
    <w:rsid w:val="7C254906"/>
    <w:rsid w:val="7C421432"/>
    <w:rsid w:val="7C590818"/>
    <w:rsid w:val="7C7C10F6"/>
    <w:rsid w:val="7C853BEA"/>
    <w:rsid w:val="7C881368"/>
    <w:rsid w:val="7C896BD7"/>
    <w:rsid w:val="7C9E6B26"/>
    <w:rsid w:val="7CE27788"/>
    <w:rsid w:val="7CEB2570"/>
    <w:rsid w:val="7D006E99"/>
    <w:rsid w:val="7D0C32F1"/>
    <w:rsid w:val="7D0F408D"/>
    <w:rsid w:val="7D491C6C"/>
    <w:rsid w:val="7D5429C0"/>
    <w:rsid w:val="7D63574E"/>
    <w:rsid w:val="7D6E6D43"/>
    <w:rsid w:val="7D7B358D"/>
    <w:rsid w:val="7D823D52"/>
    <w:rsid w:val="7D8E7CAA"/>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442D3C"/>
    <w:rsid w:val="7F6531DB"/>
    <w:rsid w:val="7F715AF2"/>
    <w:rsid w:val="7F8518D8"/>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5"/>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8"/>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2"/>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27"/>
    <w:qFormat/>
    <w:uiPriority w:val="99"/>
    <w:pPr>
      <w:shd w:val="clear" w:color="auto" w:fill="000080"/>
    </w:pPr>
    <w:rPr>
      <w:sz w:val="24"/>
      <w:szCs w:val="20"/>
    </w:rPr>
  </w:style>
  <w:style w:type="paragraph" w:styleId="19">
    <w:name w:val="annotation text"/>
    <w:basedOn w:val="1"/>
    <w:link w:val="355"/>
    <w:qFormat/>
    <w:uiPriority w:val="99"/>
    <w:pPr>
      <w:jc w:val="left"/>
    </w:pPr>
    <w:rPr>
      <w:sz w:val="24"/>
      <w:szCs w:val="20"/>
    </w:rPr>
  </w:style>
  <w:style w:type="paragraph" w:styleId="20">
    <w:name w:val="Salutation"/>
    <w:basedOn w:val="1"/>
    <w:next w:val="1"/>
    <w:link w:val="97"/>
    <w:qFormat/>
    <w:uiPriority w:val="99"/>
    <w:rPr>
      <w:rFonts w:ascii="仿宋_GB2312" w:eastAsia="仿宋_GB2312"/>
      <w:sz w:val="28"/>
      <w:szCs w:val="20"/>
    </w:rPr>
  </w:style>
  <w:style w:type="paragraph" w:styleId="21">
    <w:name w:val="List Bullet 3"/>
    <w:basedOn w:val="1"/>
    <w:qFormat/>
    <w:uiPriority w:val="99"/>
    <w:pPr>
      <w:snapToGrid w:val="0"/>
      <w:spacing w:line="360" w:lineRule="auto"/>
      <w:ind w:left="360" w:right="238" w:hanging="360"/>
      <w:contextualSpacing/>
    </w:pPr>
    <w:rPr>
      <w:sz w:val="24"/>
    </w:rPr>
  </w:style>
  <w:style w:type="paragraph" w:styleId="22">
    <w:name w:val="Body Text"/>
    <w:basedOn w:val="1"/>
    <w:next w:val="23"/>
    <w:link w:val="93"/>
    <w:qFormat/>
    <w:uiPriority w:val="99"/>
    <w:pPr>
      <w:autoSpaceDE w:val="0"/>
      <w:autoSpaceDN w:val="0"/>
      <w:spacing w:line="360" w:lineRule="auto"/>
    </w:pPr>
    <w:rPr>
      <w:rFonts w:ascii="宋体" w:hAnsi="Arial" w:cs="Arial"/>
      <w:sz w:val="24"/>
      <w:szCs w:val="21"/>
      <w:lang w:val="zh-CN"/>
    </w:rPr>
  </w:style>
  <w:style w:type="paragraph" w:styleId="23">
    <w:name w:val="Body Text First Indent"/>
    <w:basedOn w:val="22"/>
    <w:next w:val="1"/>
    <w:link w:val="94"/>
    <w:qFormat/>
    <w:uiPriority w:val="99"/>
    <w:pPr>
      <w:ind w:firstLine="420"/>
    </w:pPr>
    <w:rPr>
      <w:rFonts w:hAnsi="Times New Roman" w:cs="Times New Roman"/>
      <w:szCs w:val="20"/>
    </w:rPr>
  </w:style>
  <w:style w:type="paragraph" w:styleId="24">
    <w:name w:val="Body Text Indent"/>
    <w:basedOn w:val="1"/>
    <w:next w:val="1"/>
    <w:link w:val="99"/>
    <w:qFormat/>
    <w:uiPriority w:val="99"/>
    <w:pPr>
      <w:spacing w:line="480" w:lineRule="exact"/>
      <w:ind w:firstLine="480" w:firstLineChars="200"/>
    </w:pPr>
    <w:rPr>
      <w:rFonts w:ascii="宋体" w:hAnsi="宋体"/>
      <w:sz w:val="24"/>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1"/>
    <w:qFormat/>
    <w:uiPriority w:val="99"/>
    <w:rPr>
      <w:rFonts w:ascii="宋体" w:hAnsi="Courier New" w:cs="Arial"/>
      <w:szCs w:val="21"/>
    </w:rPr>
  </w:style>
  <w:style w:type="paragraph" w:styleId="33">
    <w:name w:val="index 7"/>
    <w:basedOn w:val="1"/>
    <w:next w:val="1"/>
    <w:qFormat/>
    <w:locked/>
    <w:uiPriority w:val="0"/>
    <w:pPr>
      <w:ind w:left="1200" w:leftChars="1200"/>
    </w:pPr>
    <w:rPr>
      <w:rFonts w:ascii="Times New Roman" w:hAnsi="Times New Roman"/>
      <w:szCs w:val="24"/>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2"/>
    <w:qFormat/>
    <w:uiPriority w:val="99"/>
    <w:pPr>
      <w:ind w:left="100" w:leftChars="2500"/>
    </w:pPr>
    <w:rPr>
      <w:rFonts w:ascii="宋体"/>
      <w:sz w:val="24"/>
      <w:szCs w:val="21"/>
      <w:lang w:val="zh-CN"/>
    </w:rPr>
  </w:style>
  <w:style w:type="paragraph" w:styleId="37">
    <w:name w:val="Body Text Indent 2"/>
    <w:basedOn w:val="1"/>
    <w:link w:val="103"/>
    <w:qFormat/>
    <w:uiPriority w:val="99"/>
    <w:pPr>
      <w:spacing w:line="360" w:lineRule="auto"/>
      <w:ind w:firstLine="601"/>
      <w:textAlignment w:val="baseline"/>
    </w:pPr>
    <w:rPr>
      <w:rFonts w:ascii="宋体"/>
      <w:kern w:val="0"/>
      <w:sz w:val="28"/>
      <w:szCs w:val="20"/>
    </w:rPr>
  </w:style>
  <w:style w:type="paragraph" w:styleId="38">
    <w:name w:val="endnote text"/>
    <w:basedOn w:val="1"/>
    <w:link w:val="104"/>
    <w:qFormat/>
    <w:uiPriority w:val="99"/>
    <w:rPr>
      <w:lang w:val="zh-CN"/>
    </w:rPr>
  </w:style>
  <w:style w:type="paragraph" w:styleId="39">
    <w:name w:val="Balloon Text"/>
    <w:basedOn w:val="1"/>
    <w:link w:val="213"/>
    <w:qFormat/>
    <w:uiPriority w:val="99"/>
    <w:rPr>
      <w:sz w:val="18"/>
      <w:szCs w:val="20"/>
    </w:rPr>
  </w:style>
  <w:style w:type="paragraph" w:styleId="40">
    <w:name w:val="footer"/>
    <w:basedOn w:val="1"/>
    <w:link w:val="391"/>
    <w:qFormat/>
    <w:uiPriority w:val="99"/>
    <w:pPr>
      <w:tabs>
        <w:tab w:val="center" w:pos="4153"/>
        <w:tab w:val="right" w:pos="8306"/>
      </w:tabs>
      <w:snapToGrid w:val="0"/>
      <w:jc w:val="left"/>
    </w:pPr>
    <w:rPr>
      <w:sz w:val="18"/>
      <w:szCs w:val="20"/>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8"/>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9"/>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10"/>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1"/>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2"/>
    <w:qFormat/>
    <w:uiPriority w:val="99"/>
    <w:pPr>
      <w:spacing w:after="120" w:line="480" w:lineRule="auto"/>
    </w:pPr>
  </w:style>
  <w:style w:type="paragraph" w:styleId="57">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4"/>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5"/>
    <w:qFormat/>
    <w:uiPriority w:val="99"/>
    <w:rPr>
      <w:b/>
      <w:bCs/>
    </w:rPr>
  </w:style>
  <w:style w:type="paragraph" w:styleId="61">
    <w:name w:val="Body Text First Indent 2"/>
    <w:basedOn w:val="24"/>
    <w:next w:val="1"/>
    <w:link w:val="116"/>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qFormat/>
    <w:locked/>
    <w:uiPriority w:val="0"/>
    <w:rPr>
      <w:rFonts w:ascii="Courier New" w:hAnsi="Courier New"/>
    </w:rPr>
  </w:style>
  <w:style w:type="paragraph" w:customStyle="1" w:styleId="80">
    <w:name w:val="Body Text First Indent 21"/>
    <w:basedOn w:val="8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1">
    <w:name w:val="Body Text Indent1"/>
    <w:basedOn w:val="1"/>
    <w:next w:val="1"/>
    <w:qFormat/>
    <w:uiPriority w:val="0"/>
    <w:pPr>
      <w:ind w:left="420" w:leftChars="200"/>
    </w:p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3">
    <w:name w:val="Body Text 31"/>
    <w:basedOn w:val="1"/>
    <w:qFormat/>
    <w:uiPriority w:val="0"/>
    <w:pPr>
      <w:spacing w:after="120" w:afterLines="0"/>
    </w:pPr>
    <w:rPr>
      <w:sz w:val="16"/>
      <w:szCs w:val="16"/>
    </w:rPr>
  </w:style>
  <w:style w:type="character" w:customStyle="1" w:styleId="84">
    <w:name w:val="Heading 1 Char"/>
    <w:basedOn w:val="69"/>
    <w:link w:val="2"/>
    <w:qFormat/>
    <w:locked/>
    <w:uiPriority w:val="99"/>
    <w:rPr>
      <w:rFonts w:ascii="Times New Roman" w:hAnsi="Times New Roman" w:eastAsia="黑体" w:cs="Times New Roman"/>
      <w:b/>
      <w:kern w:val="0"/>
      <w:sz w:val="24"/>
    </w:rPr>
  </w:style>
  <w:style w:type="character" w:customStyle="1" w:styleId="85">
    <w:name w:val="Heading 2 Char"/>
    <w:basedOn w:val="69"/>
    <w:link w:val="3"/>
    <w:semiHidden/>
    <w:qFormat/>
    <w:locked/>
    <w:uiPriority w:val="99"/>
    <w:rPr>
      <w:rFonts w:ascii="Cambria" w:hAnsi="Cambria" w:eastAsia="宋体" w:cs="Times New Roman"/>
      <w:b/>
      <w:bCs/>
      <w:sz w:val="32"/>
      <w:szCs w:val="32"/>
    </w:rPr>
  </w:style>
  <w:style w:type="character" w:customStyle="1" w:styleId="86">
    <w:name w:val="Heading 3 Char"/>
    <w:basedOn w:val="69"/>
    <w:link w:val="4"/>
    <w:semiHidden/>
    <w:qFormat/>
    <w:locked/>
    <w:uiPriority w:val="99"/>
    <w:rPr>
      <w:rFonts w:cs="Times New Roman"/>
      <w:b/>
      <w:bCs/>
      <w:sz w:val="32"/>
      <w:szCs w:val="32"/>
    </w:rPr>
  </w:style>
  <w:style w:type="character" w:customStyle="1" w:styleId="87">
    <w:name w:val="Heading 4 Char"/>
    <w:basedOn w:val="69"/>
    <w:link w:val="5"/>
    <w:qFormat/>
    <w:locked/>
    <w:uiPriority w:val="99"/>
    <w:rPr>
      <w:rFonts w:ascii="Arial" w:hAnsi="Arial" w:eastAsia="黑体" w:cs="Times New Roman"/>
      <w:b/>
      <w:kern w:val="2"/>
      <w:sz w:val="28"/>
      <w:lang w:val="zh-CN"/>
    </w:rPr>
  </w:style>
  <w:style w:type="character" w:customStyle="1" w:styleId="88">
    <w:name w:val="Heading 5 Char"/>
    <w:basedOn w:val="69"/>
    <w:link w:val="6"/>
    <w:qFormat/>
    <w:locked/>
    <w:uiPriority w:val="99"/>
    <w:rPr>
      <w:rFonts w:cs="Times New Roman"/>
      <w:b/>
      <w:kern w:val="2"/>
      <w:sz w:val="28"/>
    </w:rPr>
  </w:style>
  <w:style w:type="character" w:customStyle="1" w:styleId="89">
    <w:name w:val="Heading 6 Char"/>
    <w:basedOn w:val="69"/>
    <w:link w:val="7"/>
    <w:qFormat/>
    <w:locked/>
    <w:uiPriority w:val="99"/>
    <w:rPr>
      <w:rFonts w:ascii="Arial" w:hAnsi="Arial" w:eastAsia="黑体" w:cs="Times New Roman"/>
      <w:b/>
      <w:kern w:val="2"/>
      <w:sz w:val="24"/>
    </w:rPr>
  </w:style>
  <w:style w:type="character" w:customStyle="1" w:styleId="90">
    <w:name w:val="Heading 7 Char"/>
    <w:basedOn w:val="69"/>
    <w:link w:val="8"/>
    <w:qFormat/>
    <w:locked/>
    <w:uiPriority w:val="99"/>
    <w:rPr>
      <w:rFonts w:ascii="宋体" w:hAnsi="宋体" w:eastAsia="宋体" w:cs="Times New Roman"/>
      <w:b/>
      <w:kern w:val="2"/>
      <w:sz w:val="24"/>
      <w:lang w:val="en-US" w:eastAsia="zh-CN"/>
    </w:rPr>
  </w:style>
  <w:style w:type="character" w:customStyle="1" w:styleId="91">
    <w:name w:val="Heading 8 Char"/>
    <w:basedOn w:val="69"/>
    <w:link w:val="9"/>
    <w:qFormat/>
    <w:locked/>
    <w:uiPriority w:val="99"/>
    <w:rPr>
      <w:rFonts w:ascii="Arial" w:hAnsi="Arial" w:eastAsia="黑体" w:cs="Times New Roman"/>
      <w:kern w:val="2"/>
      <w:sz w:val="24"/>
    </w:rPr>
  </w:style>
  <w:style w:type="character" w:customStyle="1" w:styleId="92">
    <w:name w:val="Heading 9 Char"/>
    <w:basedOn w:val="69"/>
    <w:link w:val="10"/>
    <w:qFormat/>
    <w:locked/>
    <w:uiPriority w:val="99"/>
    <w:rPr>
      <w:rFonts w:ascii="Arial" w:hAnsi="Arial" w:eastAsia="黑体" w:cs="Times New Roman"/>
      <w:kern w:val="2"/>
      <w:sz w:val="21"/>
    </w:rPr>
  </w:style>
  <w:style w:type="character" w:customStyle="1" w:styleId="93">
    <w:name w:val="Body Text Char"/>
    <w:basedOn w:val="69"/>
    <w:link w:val="22"/>
    <w:qFormat/>
    <w:locked/>
    <w:uiPriority w:val="99"/>
    <w:rPr>
      <w:rFonts w:ascii="宋体" w:hAnsi="Arial" w:eastAsia="宋体" w:cs="Times New Roman"/>
      <w:snapToGrid w:val="0"/>
      <w:kern w:val="2"/>
      <w:sz w:val="21"/>
      <w:lang w:val="zh-CN" w:eastAsia="zh-CN"/>
    </w:rPr>
  </w:style>
  <w:style w:type="character" w:customStyle="1" w:styleId="94">
    <w:name w:val="Body Text First Indent Char"/>
    <w:basedOn w:val="93"/>
    <w:link w:val="23"/>
    <w:qFormat/>
    <w:locked/>
    <w:uiPriority w:val="99"/>
    <w:rPr>
      <w:sz w:val="24"/>
    </w:rPr>
  </w:style>
  <w:style w:type="character" w:customStyle="1" w:styleId="95">
    <w:name w:val="Document Map Char"/>
    <w:basedOn w:val="69"/>
    <w:link w:val="18"/>
    <w:qFormat/>
    <w:locked/>
    <w:uiPriority w:val="99"/>
    <w:rPr>
      <w:rFonts w:eastAsia="宋体" w:cs="Times New Roman"/>
      <w:kern w:val="2"/>
      <w:sz w:val="24"/>
      <w:lang w:val="en-US" w:eastAsia="zh-CN"/>
    </w:rPr>
  </w:style>
  <w:style w:type="character" w:customStyle="1" w:styleId="96">
    <w:name w:val="Comment Text Char"/>
    <w:basedOn w:val="69"/>
    <w:link w:val="19"/>
    <w:qFormat/>
    <w:locked/>
    <w:uiPriority w:val="99"/>
    <w:rPr>
      <w:rFonts w:ascii="宋体" w:hAnsi="宋体" w:eastAsia="宋体" w:cs="Times New Roman"/>
      <w:kern w:val="2"/>
      <w:sz w:val="24"/>
      <w:lang w:val="en-US" w:eastAsia="zh-CN"/>
    </w:rPr>
  </w:style>
  <w:style w:type="character" w:customStyle="1" w:styleId="97">
    <w:name w:val="Salutation Char"/>
    <w:basedOn w:val="69"/>
    <w:link w:val="20"/>
    <w:qFormat/>
    <w:locked/>
    <w:uiPriority w:val="99"/>
    <w:rPr>
      <w:rFonts w:ascii="仿宋_GB2312" w:eastAsia="仿宋_GB2312" w:cs="Times New Roman"/>
      <w:kern w:val="2"/>
      <w:sz w:val="28"/>
    </w:rPr>
  </w:style>
  <w:style w:type="character" w:customStyle="1" w:styleId="98">
    <w:name w:val="Body Text 3 Char"/>
    <w:basedOn w:val="69"/>
    <w:qFormat/>
    <w:locked/>
    <w:uiPriority w:val="99"/>
    <w:rPr>
      <w:rFonts w:cs="Times New Roman"/>
      <w:kern w:val="2"/>
      <w:sz w:val="21"/>
    </w:rPr>
  </w:style>
  <w:style w:type="character" w:customStyle="1" w:styleId="99">
    <w:name w:val="Body Text Indent Char"/>
    <w:basedOn w:val="69"/>
    <w:link w:val="24"/>
    <w:qFormat/>
    <w:locked/>
    <w:uiPriority w:val="99"/>
    <w:rPr>
      <w:rFonts w:ascii="宋体" w:eastAsia="宋体" w:cs="Times New Roman"/>
      <w:kern w:val="2"/>
      <w:sz w:val="24"/>
    </w:rPr>
  </w:style>
  <w:style w:type="character" w:customStyle="1" w:styleId="100">
    <w:name w:val="HTML Address Char"/>
    <w:basedOn w:val="69"/>
    <w:link w:val="29"/>
    <w:qFormat/>
    <w:locked/>
    <w:uiPriority w:val="99"/>
    <w:rPr>
      <w:rFonts w:ascii="宋体" w:eastAsia="宋体" w:cs="Times New Roman"/>
      <w:i/>
      <w:sz w:val="24"/>
    </w:rPr>
  </w:style>
  <w:style w:type="character" w:customStyle="1" w:styleId="101">
    <w:name w:val="Plain Text Char"/>
    <w:basedOn w:val="69"/>
    <w:link w:val="32"/>
    <w:qFormat/>
    <w:locked/>
    <w:uiPriority w:val="99"/>
    <w:rPr>
      <w:rFonts w:ascii="宋体" w:hAnsi="Courier New" w:eastAsia="宋体" w:cs="Times New Roman"/>
      <w:snapToGrid w:val="0"/>
      <w:kern w:val="2"/>
      <w:sz w:val="21"/>
      <w:lang w:val="en-US" w:eastAsia="zh-CN"/>
    </w:rPr>
  </w:style>
  <w:style w:type="character" w:customStyle="1" w:styleId="102">
    <w:name w:val="Date Char"/>
    <w:basedOn w:val="69"/>
    <w:link w:val="36"/>
    <w:qFormat/>
    <w:locked/>
    <w:uiPriority w:val="99"/>
    <w:rPr>
      <w:rFonts w:ascii="宋体" w:cs="Times New Roman"/>
      <w:kern w:val="2"/>
      <w:sz w:val="21"/>
      <w:lang w:val="zh-CN"/>
    </w:rPr>
  </w:style>
  <w:style w:type="character" w:customStyle="1" w:styleId="103">
    <w:name w:val="Body Text Indent 2 Char"/>
    <w:basedOn w:val="69"/>
    <w:link w:val="37"/>
    <w:qFormat/>
    <w:locked/>
    <w:uiPriority w:val="99"/>
    <w:rPr>
      <w:rFonts w:ascii="宋体" w:cs="Times New Roman"/>
      <w:sz w:val="28"/>
    </w:rPr>
  </w:style>
  <w:style w:type="character" w:customStyle="1" w:styleId="104">
    <w:name w:val="Endnote Text Char"/>
    <w:basedOn w:val="69"/>
    <w:link w:val="38"/>
    <w:qFormat/>
    <w:locked/>
    <w:uiPriority w:val="99"/>
    <w:rPr>
      <w:rFonts w:cs="Times New Roman"/>
      <w:kern w:val="2"/>
      <w:sz w:val="24"/>
      <w:lang w:val="zh-CN"/>
    </w:rPr>
  </w:style>
  <w:style w:type="character" w:customStyle="1" w:styleId="105">
    <w:name w:val="Balloon Text Char"/>
    <w:basedOn w:val="69"/>
    <w:link w:val="39"/>
    <w:qFormat/>
    <w:locked/>
    <w:uiPriority w:val="99"/>
    <w:rPr>
      <w:rFonts w:eastAsia="宋体" w:cs="Times New Roman"/>
      <w:kern w:val="2"/>
      <w:sz w:val="18"/>
      <w:lang w:val="en-US" w:eastAsia="zh-CN"/>
    </w:rPr>
  </w:style>
  <w:style w:type="character" w:customStyle="1" w:styleId="106">
    <w:name w:val="Footer Char"/>
    <w:basedOn w:val="69"/>
    <w:link w:val="40"/>
    <w:qFormat/>
    <w:locked/>
    <w:uiPriority w:val="99"/>
    <w:rPr>
      <w:rFonts w:eastAsia="宋体" w:cs="Times New Roman"/>
      <w:kern w:val="2"/>
      <w:sz w:val="18"/>
      <w:lang w:val="en-US" w:eastAsia="zh-CN"/>
    </w:rPr>
  </w:style>
  <w:style w:type="character" w:customStyle="1" w:styleId="107">
    <w:name w:val="Header Char"/>
    <w:basedOn w:val="69"/>
    <w:link w:val="41"/>
    <w:qFormat/>
    <w:locked/>
    <w:uiPriority w:val="99"/>
    <w:rPr>
      <w:rFonts w:eastAsia="宋体" w:cs="Times New Roman"/>
      <w:kern w:val="2"/>
      <w:sz w:val="18"/>
      <w:lang w:val="en-US" w:eastAsia="zh-CN"/>
    </w:rPr>
  </w:style>
  <w:style w:type="character" w:customStyle="1" w:styleId="108">
    <w:name w:val="Signature Char"/>
    <w:basedOn w:val="69"/>
    <w:link w:val="42"/>
    <w:qFormat/>
    <w:locked/>
    <w:uiPriority w:val="99"/>
    <w:rPr>
      <w:rFonts w:eastAsia="仿宋_GB2312" w:cs="Times New Roman"/>
      <w:sz w:val="24"/>
    </w:rPr>
  </w:style>
  <w:style w:type="character" w:customStyle="1" w:styleId="109">
    <w:name w:val="Subtitle Char"/>
    <w:basedOn w:val="69"/>
    <w:link w:val="47"/>
    <w:qFormat/>
    <w:locked/>
    <w:uiPriority w:val="99"/>
    <w:rPr>
      <w:rFonts w:ascii="Arial" w:hAnsi="Arial" w:eastAsia="隶书" w:cs="Times New Roman"/>
      <w:b/>
      <w:kern w:val="28"/>
      <w:sz w:val="32"/>
      <w:lang w:val="en-US" w:eastAsia="zh-CN"/>
    </w:rPr>
  </w:style>
  <w:style w:type="character" w:customStyle="1" w:styleId="110">
    <w:name w:val="Footnote Text Char"/>
    <w:basedOn w:val="69"/>
    <w:link w:val="50"/>
    <w:qFormat/>
    <w:locked/>
    <w:uiPriority w:val="99"/>
    <w:rPr>
      <w:rFonts w:cs="Times New Roman"/>
      <w:color w:val="0000FF"/>
      <w:sz w:val="21"/>
    </w:rPr>
  </w:style>
  <w:style w:type="character" w:customStyle="1" w:styleId="111">
    <w:name w:val="Body Text Indent 3 Char"/>
    <w:basedOn w:val="69"/>
    <w:link w:val="53"/>
    <w:qFormat/>
    <w:locked/>
    <w:uiPriority w:val="99"/>
    <w:rPr>
      <w:rFonts w:cs="Times New Roman"/>
      <w:kern w:val="2"/>
      <w:sz w:val="24"/>
    </w:rPr>
  </w:style>
  <w:style w:type="character" w:customStyle="1" w:styleId="112">
    <w:name w:val="Body Text 2 Char"/>
    <w:basedOn w:val="69"/>
    <w:link w:val="56"/>
    <w:qFormat/>
    <w:locked/>
    <w:uiPriority w:val="99"/>
    <w:rPr>
      <w:rFonts w:cs="Times New Roman"/>
      <w:kern w:val="2"/>
      <w:sz w:val="24"/>
    </w:rPr>
  </w:style>
  <w:style w:type="character" w:customStyle="1" w:styleId="113">
    <w:name w:val="HTML Preformatted Char"/>
    <w:basedOn w:val="69"/>
    <w:link w:val="57"/>
    <w:qFormat/>
    <w:locked/>
    <w:uiPriority w:val="99"/>
    <w:rPr>
      <w:rFonts w:ascii="黑体" w:hAnsi="Courier New" w:eastAsia="黑体" w:cs="Times New Roman"/>
    </w:rPr>
  </w:style>
  <w:style w:type="character" w:customStyle="1" w:styleId="114">
    <w:name w:val="Title Char"/>
    <w:basedOn w:val="69"/>
    <w:link w:val="59"/>
    <w:qFormat/>
    <w:locked/>
    <w:uiPriority w:val="99"/>
    <w:rPr>
      <w:rFonts w:cs="Times New Roman"/>
      <w:b/>
      <w:sz w:val="24"/>
      <w:lang w:val="en-GB"/>
    </w:rPr>
  </w:style>
  <w:style w:type="character" w:customStyle="1" w:styleId="115">
    <w:name w:val="Comment Subject Char"/>
    <w:basedOn w:val="96"/>
    <w:link w:val="60"/>
    <w:qFormat/>
    <w:locked/>
    <w:uiPriority w:val="99"/>
    <w:rPr>
      <w:b/>
    </w:rPr>
  </w:style>
  <w:style w:type="character" w:customStyle="1" w:styleId="116">
    <w:name w:val="Body Text First Indent 2 Char"/>
    <w:basedOn w:val="99"/>
    <w:link w:val="61"/>
    <w:qFormat/>
    <w:locked/>
    <w:uiPriority w:val="99"/>
  </w:style>
  <w:style w:type="paragraph" w:customStyle="1" w:styleId="117">
    <w:name w:val="表格文字"/>
    <w:basedOn w:val="32"/>
    <w:next w:val="22"/>
    <w:qFormat/>
    <w:uiPriority w:val="99"/>
    <w:pPr>
      <w:adjustRightInd/>
      <w:ind w:firstLine="200" w:firstLineChars="200"/>
    </w:pPr>
    <w:rPr>
      <w:rFonts w:ascii="Arial" w:hAnsi="Arial"/>
      <w:spacing w:val="-5"/>
      <w:kern w:val="0"/>
      <w:sz w:val="24"/>
      <w:szCs w:val="20"/>
    </w:rPr>
  </w:style>
  <w:style w:type="paragraph" w:customStyle="1" w:styleId="118">
    <w:name w:val="表格"/>
    <w:basedOn w:val="1"/>
    <w:qFormat/>
    <w:uiPriority w:val="99"/>
    <w:pPr>
      <w:snapToGrid w:val="0"/>
      <w:ind w:firstLine="42" w:firstLineChars="21"/>
    </w:pPr>
    <w:rPr>
      <w:rFonts w:ascii="宋体" w:hAnsi="宋体"/>
      <w:kern w:val="0"/>
      <w:sz w:val="20"/>
      <w:szCs w:val="20"/>
    </w:rPr>
  </w:style>
  <w:style w:type="character" w:customStyle="1" w:styleId="119">
    <w:name w:val="表格非标题文字 Char"/>
    <w:link w:val="120"/>
    <w:qFormat/>
    <w:locked/>
    <w:uiPriority w:val="99"/>
    <w:rPr>
      <w:rFonts w:ascii="Futura Bk" w:hAnsi="Futura Bk"/>
      <w:kern w:val="2"/>
      <w:sz w:val="21"/>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仿宋_GB2312" w:hAnsi="仿宋_GB2312" w:eastAsia="仿宋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E6E6E6"/>
    </w:rPr>
  </w:style>
  <w:style w:type="character" w:customStyle="1" w:styleId="139">
    <w:name w:val="txt"/>
    <w:qFormat/>
    <w:uiPriority w:val="99"/>
    <w:rPr>
      <w:rFonts w:ascii="仿宋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仿宋_GB2312" w:hAnsi="微软雅黑" w:eastAsia="仿宋_GB2312"/>
      <w:sz w:val="21"/>
    </w:rPr>
  </w:style>
  <w:style w:type="paragraph" w:customStyle="1" w:styleId="150">
    <w:name w:val="5正文"/>
    <w:basedOn w:val="1"/>
    <w:link w:val="149"/>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仿宋_GB2312" w:hAnsi="宋体" w:eastAsia="仿宋_GB2312"/>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仿宋_GB2312" w:eastAsia="仿宋_GB2312"/>
      <w:b/>
      <w:kern w:val="2"/>
      <w:sz w:val="24"/>
      <w:lang w:val="zh-CN" w:eastAsia="zh-CN"/>
    </w:rPr>
  </w:style>
  <w:style w:type="character" w:customStyle="1" w:styleId="155">
    <w:name w:val="font11"/>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basedOn w:val="69"/>
    <w:qFormat/>
    <w:uiPriority w:val="99"/>
    <w:rPr>
      <w:rFonts w:ascii="Arial" w:hAnsi="Arial" w:eastAsia="黑体" w:cs="Arial"/>
      <w:snapToGrid w:val="0"/>
      <w:kern w:val="0"/>
      <w:sz w:val="21"/>
      <w:szCs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仿宋_GB2312" w:hAnsi="仿宋" w:eastAsia="仿宋_GB2312"/>
      <w:kern w:val="2"/>
      <w:sz w:val="24"/>
    </w:rPr>
  </w:style>
  <w:style w:type="character" w:customStyle="1" w:styleId="160">
    <w:name w:val="样式4 Char"/>
    <w:qFormat/>
    <w:uiPriority w:val="99"/>
    <w:rPr>
      <w:rFonts w:ascii="仿宋_GB2312" w:hAnsi="仿宋" w:eastAsia="仿宋_GB2312"/>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qFormat/>
    <w:uiPriority w:val="99"/>
    <w:rPr>
      <w:rFonts w:ascii="仿宋_GB2312" w:hAnsi="仿宋" w:eastAsia="仿宋_GB2312"/>
      <w:b/>
      <w:kern w:val="2"/>
      <w:sz w:val="24"/>
    </w:rPr>
  </w:style>
  <w:style w:type="character" w:customStyle="1" w:styleId="173">
    <w:name w:val="font12gray1"/>
    <w:qFormat/>
    <w:uiPriority w:val="99"/>
    <w:rPr>
      <w:rFonts w:ascii="仿宋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qFormat/>
    <w:uiPriority w:val="99"/>
    <w:rPr>
      <w:rFonts w:ascii="仿宋_GB2312" w:eastAsia="仿宋_GB2312"/>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qFormat/>
    <w:uiPriority w:val="99"/>
    <w:rPr>
      <w:rFonts w:cs="Times New Roman"/>
      <w:lang w:bidi="ar-SA"/>
    </w:rPr>
  </w:style>
  <w:style w:type="character" w:customStyle="1" w:styleId="181">
    <w:name w:val="正文 项目 Char"/>
    <w:qFormat/>
    <w:uiPriority w:val="99"/>
    <w:rPr>
      <w:rFonts w:ascii="仿宋_GB2312" w:hAnsi="仿宋_GB2312" w:eastAsia="仿宋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仿宋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仿宋_GB2312" w:hAnsi="Times New Roman" w:eastAsia="仿宋_GB2312"/>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仿宋_GB2312" w:hAnsi="仿宋" w:eastAsia="仿宋_GB2312"/>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3"/>
    <w:link w:val="197"/>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330066"/>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Balloon Text Char1"/>
    <w:link w:val="39"/>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仿宋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5"/>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eastAsia="宋体"/>
      <w:b/>
      <w:sz w:val="28"/>
    </w:rPr>
  </w:style>
  <w:style w:type="paragraph" w:customStyle="1" w:styleId="224">
    <w:name w:val="3级"/>
    <w:basedOn w:val="225"/>
    <w:link w:val="223"/>
    <w:qFormat/>
    <w:uiPriority w:val="99"/>
    <w:pPr>
      <w:ind w:left="0" w:right="466" w:firstLine="288"/>
    </w:pPr>
    <w:rPr>
      <w:rFonts w:hAnsi="Times New Roman"/>
      <w:bCs w:val="0"/>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qFormat/>
    <w:uiPriority w:val="99"/>
    <w:rPr>
      <w:rFonts w:ascii="仿宋_GB2312" w:eastAsia="微软雅黑"/>
      <w:b/>
      <w:kern w:val="2"/>
      <w:sz w:val="32"/>
      <w:lang w:val="en-US" w:eastAsia="zh-CN"/>
    </w:rPr>
  </w:style>
  <w:style w:type="character" w:customStyle="1" w:styleId="227">
    <w:name w:val="Document Map Char1"/>
    <w:link w:val="18"/>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366FB6"/>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basedOn w:val="69"/>
    <w:qFormat/>
    <w:uiPriority w:val="99"/>
    <w:rPr>
      <w:rFonts w:ascii="Arial" w:hAnsi="Arial" w:eastAsia="黑体" w:cs="Arial"/>
      <w:snapToGrid w:val="0"/>
      <w:kern w:val="0"/>
      <w:sz w:val="21"/>
      <w:szCs w:val="21"/>
    </w:rPr>
  </w:style>
  <w:style w:type="character" w:customStyle="1" w:styleId="240">
    <w:name w:val="big1"/>
    <w:qFormat/>
    <w:uiPriority w:val="99"/>
    <w:rPr>
      <w:rFonts w:ascii="宋体" w:hAnsi="宋体" w:eastAsia="宋体"/>
      <w:color w:val="333333"/>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basedOn w:val="196"/>
    <w:qFormat/>
    <w:uiPriority w:val="99"/>
    <w:rPr>
      <w:rFonts w:cs="仿宋_GB2312"/>
      <w:bCs/>
      <w:szCs w:val="30"/>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5"/>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333333"/>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仿宋_GB2312" w:eastAsia="仿宋_GB2312"/>
      <w:b/>
      <w:kern w:val="2"/>
      <w:sz w:val="24"/>
      <w:lang w:val="zh-CN" w:eastAsia="zh-CN"/>
    </w:rPr>
  </w:style>
  <w:style w:type="character" w:customStyle="1" w:styleId="252">
    <w:name w:val="Caption Char"/>
    <w:link w:val="16"/>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仿宋_GB2312" w:eastAsia="仿宋_GB2312"/>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仿宋_GB2312" w:eastAsia="仿宋_GB2312"/>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qFormat/>
    <w:uiPriority w:val="99"/>
    <w:rPr>
      <w:color w:val="333333"/>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仿宋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仿宋_GB2312" w:eastAsia="仿宋_GB2312"/>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仿宋_GB2312" w:hAnsi="仿宋_GB2312" w:eastAsia="仿宋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Heading 1 Char1"/>
    <w:link w:val="2"/>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仿宋_GB2312" w:eastAsia="微软雅黑"/>
      <w:b/>
      <w:kern w:val="2"/>
      <w:sz w:val="23"/>
      <w:lang w:val="en-US" w:eastAsia="zh-CN"/>
    </w:rPr>
  </w:style>
  <w:style w:type="character" w:customStyle="1" w:styleId="310">
    <w:name w:val="样式8 Char"/>
    <w:qFormat/>
    <w:uiPriority w:val="99"/>
    <w:rPr>
      <w:rFonts w:ascii="仿宋_GB2312" w:hAnsi="宋体" w:eastAsia="仿宋_GB2312"/>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仿宋_GB2312" w:eastAsia="仿宋_GB2312"/>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5"/>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Heading 7 Char1"/>
    <w:link w:val="8"/>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FF6633"/>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仿宋_GB2312" w:eastAsia="仿宋_GB2312"/>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仿宋_GB2312" w:hAnsi="Courier New" w:eastAsia="仿宋_GB2312"/>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Comment Text Char1"/>
    <w:link w:val="19"/>
    <w:qFormat/>
    <w:locked/>
    <w:uiPriority w:val="99"/>
    <w:rPr>
      <w:kern w:val="2"/>
      <w:sz w:val="24"/>
    </w:rPr>
  </w:style>
  <w:style w:type="character" w:customStyle="1" w:styleId="356">
    <w:name w:val="hui3"/>
    <w:qFormat/>
    <w:uiPriority w:val="99"/>
    <w:rPr>
      <w:color w:val="333333"/>
    </w:rPr>
  </w:style>
  <w:style w:type="character" w:customStyle="1" w:styleId="357">
    <w:name w:val="Char Char17"/>
    <w:qFormat/>
    <w:uiPriority w:val="99"/>
    <w:rPr>
      <w:rFonts w:eastAsia="仿宋_GB2312"/>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仿宋_GB2312" w:eastAsia="仿宋_GB2312"/>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仿宋_GB2312"/>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仿宋_GB2312" w:eastAsia="仿宋_GB2312"/>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Footer Char1"/>
    <w:link w:val="40"/>
    <w:qFormat/>
    <w:locked/>
    <w:uiPriority w:val="99"/>
    <w:rPr>
      <w:kern w:val="2"/>
      <w:sz w:val="18"/>
    </w:rPr>
  </w:style>
  <w:style w:type="character" w:customStyle="1" w:styleId="392">
    <w:name w:val="Char Char36"/>
    <w:qFormat/>
    <w:uiPriority w:val="99"/>
    <w:rPr>
      <w:rFonts w:ascii="仿宋_GB2312" w:hAnsi="仿宋_GB2312" w:eastAsia="仿宋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qFormat/>
    <w:uiPriority w:val="99"/>
  </w:style>
  <w:style w:type="character" w:customStyle="1" w:styleId="400">
    <w:name w:val="Header Char1"/>
    <w:link w:val="41"/>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next w:val="17"/>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仿宋_GB2312" w:eastAsia="仿宋_GB2312"/>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basedOn w:val="69"/>
    <w:qFormat/>
    <w:uiPriority w:val="99"/>
    <w:rPr>
      <w:rFonts w:ascii="Arial" w:hAnsi="Arial" w:eastAsia="黑体" w:cs="Arial"/>
      <w:snapToGrid w:val="0"/>
      <w:kern w:val="0"/>
      <w:sz w:val="21"/>
      <w:szCs w:val="21"/>
    </w:rPr>
  </w:style>
  <w:style w:type="character" w:customStyle="1" w:styleId="430">
    <w:name w:val="pt9"/>
    <w:qFormat/>
    <w:uiPriority w:val="99"/>
    <w:rPr>
      <w:rFonts w:ascii="仿宋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15"/>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69"/>
    <w:qFormat/>
    <w:uiPriority w:val="99"/>
    <w:rPr>
      <w:rFonts w:ascii="Arial" w:hAnsi="Arial" w:eastAsia="黑体" w:cs="Arial"/>
      <w:snapToGrid w:val="0"/>
      <w:kern w:val="0"/>
      <w:sz w:val="21"/>
      <w:szCs w:val="21"/>
    </w:rPr>
  </w:style>
  <w:style w:type="character" w:customStyle="1" w:styleId="439">
    <w:name w:val="hui"/>
    <w:basedOn w:val="69"/>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4"/>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qFormat/>
    <w:uiPriority w:val="99"/>
    <w:pPr>
      <w:adjustRightInd/>
      <w:ind w:firstLine="200" w:firstLineChars="200"/>
    </w:pPr>
    <w:rPr>
      <w:rFonts w:ascii="Tahoma" w:hAnsi="Tahoma"/>
      <w:sz w:val="24"/>
      <w:szCs w:val="20"/>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99"/>
    <w:pPr>
      <w:adjustRightInd/>
      <w:spacing w:before="156" w:line="360" w:lineRule="auto"/>
      <w:ind w:firstLine="510" w:firstLineChars="200"/>
    </w:pPr>
    <w:rPr>
      <w:sz w:val="24"/>
      <w:szCs w:val="20"/>
    </w:rPr>
  </w:style>
  <w:style w:type="paragraph" w:customStyle="1" w:styleId="473">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仿宋_GB2312" w:eastAsia="仿宋_GB2312"/>
      <w:b/>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qFormat/>
    <w:uiPriority w:val="99"/>
    <w:pPr>
      <w:adjustRightInd/>
    </w:pPr>
    <w:rPr>
      <w:rFonts w:ascii="Tahoma" w:hAnsi="Tahoma"/>
      <w:sz w:val="24"/>
      <w:szCs w:val="20"/>
    </w:rPr>
  </w:style>
  <w:style w:type="paragraph" w:customStyle="1" w:styleId="485">
    <w:name w:val="_Style 11"/>
    <w:basedOn w:val="1"/>
    <w:qFormat/>
    <w:uiPriority w:val="99"/>
    <w:pPr>
      <w:adjustRightInd/>
      <w:ind w:firstLine="420" w:firstLineChars="200"/>
    </w:pPr>
    <w:rPr>
      <w:rFonts w:eastAsia="仿宋_GB2312"/>
      <w:sz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99"/>
    <w:rPr>
      <w:rFonts w:ascii="Tahoma" w:hAnsi="Tahoma"/>
      <w:sz w:val="24"/>
      <w:szCs w:val="20"/>
    </w:rPr>
  </w:style>
  <w:style w:type="paragraph" w:customStyle="1" w:styleId="488">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9">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99"/>
    <w:pPr>
      <w:tabs>
        <w:tab w:val="left" w:pos="1260"/>
      </w:tabs>
      <w:ind w:left="1260" w:hanging="420"/>
    </w:pPr>
    <w:rPr>
      <w:rFonts w:ascii="Arial" w:hAnsi="Arial" w:eastAsia="黑体"/>
      <w:lang w:val="en-US"/>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2">
    <w:name w:val="Char2"/>
    <w:basedOn w:val="1"/>
    <w:qFormat/>
    <w:uiPriority w:val="99"/>
    <w:rPr>
      <w:rFonts w:ascii="仿宋_GB2312" w:eastAsia="仿宋_GB2312"/>
      <w:b/>
      <w:sz w:val="32"/>
      <w:szCs w:val="32"/>
    </w:rPr>
  </w:style>
  <w:style w:type="paragraph" w:customStyle="1" w:styleId="503">
    <w:name w:val="数字标题3"/>
    <w:basedOn w:val="4"/>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0"/>
    </w:rPr>
  </w:style>
  <w:style w:type="paragraph" w:customStyle="1" w:styleId="505">
    <w:name w:val="MM Topic 5"/>
    <w:basedOn w:val="6"/>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仿宋_GB2312" w:eastAsia="仿宋_GB2312"/>
      <w:b/>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qFormat/>
    <w:uiPriority w:val="99"/>
    <w:rPr>
      <w:rFonts w:ascii="仿宋_GB2312" w:eastAsia="仿宋_GB2312"/>
      <w:b/>
      <w:sz w:val="32"/>
      <w:szCs w:val="32"/>
    </w:rPr>
  </w:style>
  <w:style w:type="paragraph" w:customStyle="1" w:styleId="510">
    <w:name w:val="Char2 Char Char Char1"/>
    <w:basedOn w:val="1"/>
    <w:qFormat/>
    <w:uiPriority w:val="99"/>
    <w:rPr>
      <w:rFonts w:ascii="仿宋_GB2312" w:eastAsia="仿宋_GB2312"/>
      <w:b/>
      <w:sz w:val="32"/>
      <w:szCs w:val="32"/>
    </w:rPr>
  </w:style>
  <w:style w:type="paragraph" w:customStyle="1" w:styleId="511">
    <w:name w:val="默认段落样式"/>
    <w:basedOn w:val="163"/>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99"/>
    <w:pPr>
      <w:adjustRightInd/>
    </w:pPr>
    <w:rPr>
      <w:rFonts w:ascii="Tahoma" w:hAnsi="Tahoma"/>
      <w:sz w:val="24"/>
      <w:szCs w:val="20"/>
    </w:rPr>
  </w:style>
  <w:style w:type="paragraph" w:customStyle="1" w:styleId="520">
    <w:name w:val="列出段落5"/>
    <w:basedOn w:val="1"/>
    <w:qFormat/>
    <w:uiPriority w:val="99"/>
    <w:pPr>
      <w:spacing w:line="360" w:lineRule="auto"/>
      <w:ind w:firstLine="200" w:firstLineChars="200"/>
    </w:pPr>
    <w:rPr>
      <w:rFonts w:eastAsia="楷体_GB2312" w:cs="Lucida Sans"/>
      <w:sz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99"/>
    <w:pPr>
      <w:widowControl/>
      <w:jc w:val="left"/>
    </w:pPr>
    <w:rPr>
      <w:rFonts w:cs="宋体"/>
      <w:sz w:val="24"/>
      <w:szCs w:val="20"/>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4"/>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2"/>
    <w:qFormat/>
    <w:uiPriority w:val="99"/>
    <w:pPr>
      <w:tabs>
        <w:tab w:val="left" w:pos="840"/>
      </w:tabs>
      <w:adjustRightInd/>
      <w:ind w:left="840" w:hanging="420"/>
    </w:pPr>
  </w:style>
  <w:style w:type="paragraph" w:customStyle="1" w:styleId="632">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99"/>
    <w:pPr>
      <w:adjustRightInd/>
      <w:spacing w:line="300" w:lineRule="auto"/>
      <w:jc w:val="center"/>
    </w:pPr>
  </w:style>
  <w:style w:type="paragraph" w:customStyle="1" w:styleId="639">
    <w:name w:val="_Style 6"/>
    <w:basedOn w:val="1"/>
    <w:qFormat/>
    <w:uiPriority w:val="99"/>
    <w:pPr>
      <w:adjustRightInd/>
      <w:ind w:firstLine="420" w:firstLineChars="200"/>
    </w:pPr>
    <w:rPr>
      <w:rFonts w:eastAsia="仿宋_GB2312"/>
      <w:sz w:val="28"/>
    </w:rPr>
  </w:style>
  <w:style w:type="paragraph" w:customStyle="1" w:styleId="640">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99"/>
    <w:rPr>
      <w:rFonts w:ascii="仿宋_GB2312" w:eastAsia="仿宋_GB2312"/>
      <w:b/>
      <w:sz w:val="32"/>
      <w:szCs w:val="20"/>
    </w:rPr>
  </w:style>
  <w:style w:type="paragraph" w:customStyle="1" w:styleId="65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99"/>
    <w:pPr>
      <w:adjustRightInd/>
      <w:ind w:firstLine="200" w:firstLineChars="200"/>
    </w:pPr>
    <w:rPr>
      <w:rFonts w:ascii="Tahoma" w:hAnsi="Tahoma"/>
      <w:sz w:val="24"/>
      <w:szCs w:val="20"/>
    </w:rPr>
  </w:style>
  <w:style w:type="paragraph" w:customStyle="1" w:styleId="652">
    <w:name w:val="a1"/>
    <w:basedOn w:val="1"/>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99"/>
    <w:pPr>
      <w:spacing w:afterLines="50"/>
      <w:jc w:val="left"/>
      <w:outlineLvl w:val="3"/>
    </w:pPr>
    <w:rPr>
      <w:sz w:val="24"/>
      <w:szCs w:val="24"/>
    </w:rPr>
  </w:style>
  <w:style w:type="paragraph" w:customStyle="1" w:styleId="65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99"/>
    <w:pPr>
      <w:adjustRightInd/>
    </w:pPr>
    <w:rPr>
      <w:rFonts w:ascii="Tahoma" w:hAnsi="Tahoma"/>
      <w:sz w:val="24"/>
      <w:szCs w:val="20"/>
    </w:rPr>
  </w:style>
  <w:style w:type="paragraph" w:customStyle="1" w:styleId="65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99"/>
    <w:pPr>
      <w:tabs>
        <w:tab w:val="left" w:pos="1260"/>
        <w:tab w:val="left" w:pos="1680"/>
        <w:tab w:val="left" w:pos="2100"/>
      </w:tabs>
      <w:ind w:left="0"/>
      <w:outlineLvl w:val="3"/>
    </w:pPr>
  </w:style>
  <w:style w:type="paragraph" w:customStyle="1" w:styleId="662">
    <w:name w:val="一级条标题"/>
    <w:basedOn w:val="663"/>
    <w:next w:val="645"/>
    <w:qFormat/>
    <w:uiPriority w:val="99"/>
    <w:pPr>
      <w:tabs>
        <w:tab w:val="left" w:pos="1260"/>
        <w:tab w:val="left" w:pos="1680"/>
      </w:tabs>
      <w:spacing w:beforeLines="0" w:afterLines="0"/>
      <w:ind w:left="1680"/>
      <w:outlineLvl w:val="2"/>
    </w:pPr>
  </w:style>
  <w:style w:type="paragraph" w:customStyle="1" w:styleId="663">
    <w:name w:val="章标题"/>
    <w:next w:val="64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99"/>
    <w:pPr>
      <w:jc w:val="left"/>
      <w:outlineLvl w:val="1"/>
    </w:pPr>
    <w:rPr>
      <w:rFonts w:ascii="Times New Roman" w:hAnsi="Times New Roman" w:eastAsia="仿宋"/>
      <w:sz w:val="30"/>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99"/>
    <w:rPr>
      <w:rFonts w:ascii="仿宋_GB2312" w:eastAsia="仿宋_GB2312"/>
      <w:b/>
      <w:sz w:val="32"/>
      <w:szCs w:val="32"/>
    </w:rPr>
  </w:style>
  <w:style w:type="paragraph" w:customStyle="1" w:styleId="707">
    <w:name w:val="正文缩进1"/>
    <w:basedOn w:val="1"/>
    <w:next w:val="24"/>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99"/>
    <w:pPr>
      <w:spacing w:line="360" w:lineRule="atLeast"/>
      <w:jc w:val="right"/>
      <w:textAlignment w:val="baseline"/>
    </w:pPr>
    <w:rPr>
      <w:rFonts w:ascii="Symbol" w:hAnsi="Symbol"/>
      <w:kern w:val="0"/>
      <w:szCs w:val="20"/>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99"/>
    <w:rPr>
      <w:rFonts w:ascii="仿宋_GB2312" w:eastAsia="仿宋_GB2312"/>
      <w:b/>
      <w:sz w:val="32"/>
      <w:szCs w:val="20"/>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9">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99"/>
    <w:rPr>
      <w:rFonts w:ascii="仿宋_GB2312" w:eastAsia="仿宋_GB2312"/>
      <w:b/>
      <w:sz w:val="32"/>
      <w:szCs w:val="32"/>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99"/>
    <w:pPr>
      <w:adjustRightInd/>
      <w:spacing w:line="360" w:lineRule="auto"/>
    </w:pPr>
    <w:rPr>
      <w:rFonts w:ascii="宋体" w:hAnsi="宋体"/>
      <w:szCs w:val="20"/>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rPr>
  </w:style>
  <w:style w:type="paragraph" w:customStyle="1" w:styleId="759">
    <w:name w:val="Char Char Char Char11"/>
    <w:basedOn w:val="1"/>
    <w:qFormat/>
    <w:uiPriority w:val="99"/>
    <w:rPr>
      <w:rFonts w:ascii="Tahoma" w:hAnsi="Tahoma"/>
      <w:sz w:val="24"/>
      <w:szCs w:val="20"/>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99"/>
    <w:rPr>
      <w:rFonts w:ascii="Tahoma" w:hAnsi="Tahoma"/>
      <w:sz w:val="24"/>
      <w:szCs w:val="20"/>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4"/>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rPr>
  </w:style>
  <w:style w:type="paragraph" w:customStyle="1" w:styleId="791">
    <w:name w:val="Char111"/>
    <w:basedOn w:val="1"/>
    <w:qFormat/>
    <w:uiPriority w:val="99"/>
    <w:rPr>
      <w:rFonts w:ascii="仿宋_GB2312" w:eastAsia="仿宋_GB2312"/>
      <w:b/>
      <w:sz w:val="32"/>
      <w:szCs w:val="32"/>
    </w:rPr>
  </w:style>
  <w:style w:type="paragraph" w:customStyle="1" w:styleId="792">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sz w:val="24"/>
      <w:szCs w:val="20"/>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qFormat/>
    <w:uiPriority w:val="99"/>
    <w:rPr>
      <w:rFonts w:ascii="仿宋_GB2312" w:eastAsia="仿宋_GB2312"/>
      <w:b/>
      <w:sz w:val="32"/>
      <w:szCs w:val="32"/>
    </w:rPr>
  </w:style>
  <w:style w:type="paragraph" w:customStyle="1" w:styleId="799">
    <w:name w:val="五级条标题"/>
    <w:basedOn w:val="800"/>
    <w:next w:val="645"/>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30"/>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99"/>
    <w:rPr>
      <w:rFonts w:ascii="仿宋_GB2312" w:eastAsia="仿宋_GB2312"/>
      <w:b/>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sz w:val="24"/>
      <w:szCs w:val="20"/>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rPr>
  </w:style>
  <w:style w:type="paragraph" w:customStyle="1" w:styleId="845">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4"/>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99"/>
    <w:rPr>
      <w:rFonts w:ascii="仿宋_GB2312" w:eastAsia="仿宋_GB2312"/>
      <w:b/>
      <w:sz w:val="32"/>
      <w:szCs w:val="20"/>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rPr>
  </w:style>
  <w:style w:type="paragraph" w:customStyle="1" w:styleId="867">
    <w:name w:val="列表段落1"/>
    <w:basedOn w:val="1"/>
    <w:qFormat/>
    <w:uiPriority w:val="99"/>
    <w:pPr>
      <w:adjustRightInd/>
      <w:ind w:right="238" w:firstLine="420"/>
    </w:pPr>
    <w:rPr>
      <w:rFonts w:ascii="Calibri" w:hAnsi="Calibri"/>
      <w:sz w:val="24"/>
    </w:rPr>
  </w:style>
  <w:style w:type="paragraph" w:customStyle="1" w:styleId="868">
    <w:name w:val="Char Char110"/>
    <w:basedOn w:val="1"/>
    <w:qFormat/>
    <w:uiPriority w:val="99"/>
    <w:pPr>
      <w:spacing w:line="360" w:lineRule="auto"/>
    </w:pPr>
    <w:rPr>
      <w:rFonts w:ascii="Tahoma" w:hAnsi="Tahoma"/>
      <w:sz w:val="24"/>
      <w:szCs w:val="20"/>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99"/>
    <w:rPr>
      <w:rFonts w:ascii="Tahoma" w:hAnsi="Tahoma" w:cs="仿宋_GB2312"/>
      <w:sz w:val="24"/>
      <w:szCs w:val="20"/>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8">
    <w:name w:val="_Style 12"/>
    <w:basedOn w:val="18"/>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99"/>
    <w:pPr>
      <w:adjustRightInd/>
      <w:ind w:firstLine="200" w:firstLineChars="200"/>
    </w:pPr>
    <w:rPr>
      <w:rFonts w:ascii="Tahoma" w:hAnsi="Tahoma"/>
      <w:sz w:val="24"/>
      <w:szCs w:val="20"/>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rPr>
  </w:style>
  <w:style w:type="paragraph" w:customStyle="1" w:styleId="891">
    <w:name w:val="正文箭头"/>
    <w:basedOn w:val="544"/>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qFormat/>
    <w:uiPriority w:val="99"/>
    <w:pPr>
      <w:tabs>
        <w:tab w:val="left" w:pos="1080"/>
      </w:tabs>
      <w:ind w:left="1080" w:hanging="1080"/>
    </w:pPr>
  </w:style>
  <w:style w:type="paragraph" w:customStyle="1" w:styleId="902">
    <w:name w:val="数字标题1"/>
    <w:basedOn w:val="2"/>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69"/>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首行缩进 21"/>
    <w:basedOn w:val="973"/>
    <w:qFormat/>
    <w:uiPriority w:val="0"/>
    <w:pPr>
      <w:ind w:firstLine="420"/>
    </w:pPr>
    <w:rPr>
      <w:rFonts w:ascii="Times New Roman" w:hAnsi="Times New Roman" w:eastAsia="宋体" w:cs="宋体"/>
    </w:rPr>
  </w:style>
  <w:style w:type="paragraph" w:customStyle="1" w:styleId="973">
    <w:name w:val="正文文本缩进1"/>
    <w:basedOn w:val="1"/>
    <w:next w:val="1"/>
    <w:qFormat/>
    <w:uiPriority w:val="0"/>
    <w:pPr>
      <w:spacing w:after="120"/>
      <w:ind w:left="420" w:leftChars="200"/>
    </w:p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character" w:customStyle="1" w:styleId="976">
    <w:name w:val="bookmark-item"/>
    <w:basedOn w:val="69"/>
    <w:qFormat/>
    <w:uiPriority w:val="99"/>
    <w:rPr>
      <w:rFonts w:cs="Times New Roman"/>
    </w:rPr>
  </w:style>
  <w:style w:type="paragraph" w:customStyle="1" w:styleId="977">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52</Pages>
  <Words>12557</Words>
  <Characters>13632</Characters>
  <Lines>0</Lines>
  <Paragraphs>0</Paragraphs>
  <TotalTime>11</TotalTime>
  <ScaleCrop>false</ScaleCrop>
  <LinksUpToDate>false</LinksUpToDate>
  <CharactersWithSpaces>13861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2024-12-16T03:02:00Z</cp:lastPrinted>
  <dcterms:modified xsi:type="dcterms:W3CDTF">2025-07-08T04:54:25Z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9EB1FBEF13B04460872B9A114B9F6C37</vt:lpwstr>
  </property>
  <property fmtid="{D5CDD505-2E9C-101B-9397-08002B2CF9AE}" pid="5" name="KSOTemplateDocerSaveRecord">
    <vt:lpwstr>eyJoZGlkIjoiY2JmY2M2NWJhNWY3ODRmMmQzOGYzNmQwNGZiMGEzZGIiLCJ1c2VySWQiOiI2MDQ4MzI1MTgifQ==</vt:lpwstr>
  </property>
</Properties>
</file>