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33F031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诸暨市应急消防管理站提质升级设备采购项目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诸正开2025-07-13</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人）：诸暨市应急管理局</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诸暨市应急消防管理站提质升级设备采购项目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诸正开2025-07-13</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诸暨市应急消防管理站提质升级设备采购项目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3073252.00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3073252.00</w:t>
      </w:r>
    </w:p>
    <w:p w14:paraId="2E956A2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val="en-US" w:eastAsia="zh-CN"/>
        </w:rPr>
      </w:pPr>
      <w:r>
        <w:rPr>
          <w:rFonts w:hint="eastAsia" w:ascii="仿宋" w:hAnsi="仿宋" w:eastAsia="仿宋" w:cs="仿宋"/>
          <w:b/>
          <w:sz w:val="24"/>
          <w:lang w:val="en-US" w:eastAsia="zh-CN"/>
        </w:rPr>
        <w:t>采购需求：</w:t>
      </w:r>
      <w:r>
        <w:rPr>
          <w:rFonts w:hint="eastAsia" w:ascii="仿宋" w:hAnsi="仿宋" w:eastAsia="仿宋" w:cs="仿宋"/>
          <w:b w:val="0"/>
          <w:bCs/>
          <w:sz w:val="24"/>
          <w:lang w:val="en-US" w:eastAsia="zh-CN"/>
        </w:rPr>
        <w:t>诸暨市应急消防管理站提质升级设备采购项目，本标项的采购预算金额见下表。具体内容详见采购需求。</w:t>
      </w:r>
    </w:p>
    <w:tbl>
      <w:tblPr>
        <w:tblStyle w:val="65"/>
        <w:tblW w:w="82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
        <w:gridCol w:w="4469"/>
        <w:gridCol w:w="2828"/>
      </w:tblGrid>
      <w:tr w14:paraId="28DB1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6" w:type="dxa"/>
            <w:vAlign w:val="center"/>
          </w:tcPr>
          <w:p w14:paraId="04736A94">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标项</w:t>
            </w:r>
          </w:p>
        </w:tc>
        <w:tc>
          <w:tcPr>
            <w:tcW w:w="4469" w:type="dxa"/>
            <w:vAlign w:val="center"/>
          </w:tcPr>
          <w:p w14:paraId="6DA3DDFD">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标项名称</w:t>
            </w:r>
          </w:p>
        </w:tc>
        <w:tc>
          <w:tcPr>
            <w:tcW w:w="2828" w:type="dxa"/>
            <w:vAlign w:val="center"/>
          </w:tcPr>
          <w:p w14:paraId="7E6639B1">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预算金额（</w:t>
            </w:r>
            <w:r>
              <w:rPr>
                <w:rFonts w:hint="eastAsia" w:ascii="仿宋" w:hAnsi="仿宋" w:eastAsia="仿宋" w:cs="仿宋"/>
                <w:b/>
                <w:bCs/>
                <w:color w:val="auto"/>
                <w:sz w:val="24"/>
                <w:lang w:val="en-US" w:eastAsia="zh-CN"/>
              </w:rPr>
              <w:t>万</w:t>
            </w:r>
            <w:r>
              <w:rPr>
                <w:rFonts w:hint="eastAsia" w:ascii="仿宋" w:hAnsi="仿宋" w:eastAsia="仿宋" w:cs="仿宋"/>
                <w:b/>
                <w:bCs/>
                <w:color w:val="auto"/>
                <w:sz w:val="24"/>
              </w:rPr>
              <w:t>元）</w:t>
            </w:r>
          </w:p>
        </w:tc>
      </w:tr>
      <w:tr w14:paraId="79BAC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16" w:type="dxa"/>
            <w:vAlign w:val="center"/>
          </w:tcPr>
          <w:p w14:paraId="06B3357A">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二</w:t>
            </w:r>
          </w:p>
        </w:tc>
        <w:tc>
          <w:tcPr>
            <w:tcW w:w="4469" w:type="dxa"/>
            <w:vAlign w:val="center"/>
          </w:tcPr>
          <w:p w14:paraId="366B9985">
            <w:pPr>
              <w:spacing w:line="276" w:lineRule="auto"/>
              <w:ind w:firstLine="1680" w:firstLineChars="700"/>
              <w:jc w:val="both"/>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应急消防救援装备</w:t>
            </w:r>
          </w:p>
        </w:tc>
        <w:tc>
          <w:tcPr>
            <w:tcW w:w="2828" w:type="dxa"/>
            <w:vAlign w:val="center"/>
          </w:tcPr>
          <w:p w14:paraId="76A32C64">
            <w:pPr>
              <w:spacing w:line="276"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307.3252</w:t>
            </w:r>
          </w:p>
        </w:tc>
      </w:tr>
    </w:tbl>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0C1F02E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1、符合《中华人民共和国政府采购法》第二十二条之供应商资格规定；</w:t>
      </w:r>
    </w:p>
    <w:p w14:paraId="55A0FB8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2、未被“信用中国”（www.creditchina.gov.cn）、中国政府采购网（www.ccgp.gov.cn）列入失信被执行人、重大税收违法失信主体、政府采购严重违法失信行为记录名单；</w:t>
      </w:r>
    </w:p>
    <w:p w14:paraId="5379AF7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标项二】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14:paraId="05728D8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本项目的特定资格要求：【</w:t>
      </w:r>
      <w:r>
        <w:rPr>
          <w:rFonts w:hint="eastAsia" w:ascii="仿宋" w:hAnsi="仿宋" w:eastAsia="仿宋" w:cs="仿宋"/>
          <w:sz w:val="24"/>
          <w:lang w:val="en-US" w:eastAsia="zh-CN"/>
        </w:rPr>
        <w:t>标项二】无</w:t>
      </w:r>
      <w:r>
        <w:rPr>
          <w:rFonts w:hint="eastAsia" w:ascii="仿宋" w:hAnsi="仿宋" w:eastAsia="仿宋" w:cs="仿宋"/>
          <w:sz w:val="24"/>
        </w:rPr>
        <w:t>。</w:t>
      </w:r>
    </w:p>
    <w:p w14:paraId="52FB419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、本项目接受联合体投标。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月31</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31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诸暨市应急管理局</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w:t>
      </w:r>
      <w:r>
        <w:rPr>
          <w:rFonts w:hint="eastAsia" w:ascii="仿宋" w:hAnsi="仿宋" w:eastAsia="仿宋" w:cs="仿宋"/>
          <w:b w:val="0"/>
          <w:bCs/>
          <w:color w:val="auto"/>
          <w:kern w:val="2"/>
          <w:sz w:val="24"/>
          <w:szCs w:val="21"/>
          <w:highlight w:val="none"/>
          <w:lang w:val="en-US" w:eastAsia="zh-CN" w:bidi="ar-SA"/>
        </w:rPr>
        <w:t>诸暨市东一路26号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项目联系人（询问）：应成龙 </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项目联系人工作电话（询问）：13777328723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质疑联系人：应主任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质疑联系人工作电话：13777328723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3AD7B3F">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标项二】</w:t>
            </w:r>
            <w:r>
              <w:rPr>
                <w:rFonts w:hint="eastAsia" w:ascii="仿宋" w:hAnsi="仿宋" w:eastAsia="仿宋" w:cs="仿宋"/>
                <w:color w:val="auto"/>
                <w:kern w:val="2"/>
                <w:sz w:val="24"/>
                <w:szCs w:val="24"/>
                <w:highlight w:val="none"/>
                <w:lang w:val="en-US" w:eastAsia="zh-CN" w:bidi="ar-SA"/>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2ED228DC">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default" w:ascii="仿宋" w:hAnsi="仿宋" w:eastAsia="仿宋" w:cs="仿宋"/>
                <w:lang w:val="en-US"/>
              </w:rPr>
            </w:pPr>
            <w:r>
              <w:rPr>
                <w:rFonts w:hint="eastAsia" w:ascii="仿宋" w:hAnsi="仿宋" w:eastAsia="仿宋" w:cs="仿宋"/>
                <w:lang w:val="zh-CN"/>
              </w:rPr>
              <w:t>④本项目的特定资格要求</w:t>
            </w:r>
            <w:r>
              <w:rPr>
                <w:rFonts w:hint="eastAsia" w:ascii="仿宋" w:hAnsi="仿宋" w:eastAsia="仿宋" w:cs="仿宋"/>
                <w:lang w:val="zh-CN" w:eastAsia="zh-CN"/>
              </w:rPr>
              <w:t>：</w:t>
            </w:r>
            <w:r>
              <w:rPr>
                <w:rFonts w:hint="eastAsia" w:ascii="仿宋" w:hAnsi="仿宋" w:eastAsia="仿宋" w:cs="仿宋"/>
                <w:sz w:val="24"/>
              </w:rPr>
              <w:t>【</w:t>
            </w:r>
            <w:r>
              <w:rPr>
                <w:rFonts w:hint="eastAsia" w:ascii="仿宋" w:hAnsi="仿宋" w:eastAsia="仿宋" w:cs="仿宋"/>
                <w:sz w:val="24"/>
                <w:lang w:val="en-US" w:eastAsia="zh-CN"/>
              </w:rPr>
              <w:t>标项二】无</w:t>
            </w:r>
            <w:r>
              <w:rPr>
                <w:rFonts w:hint="eastAsia" w:ascii="仿宋" w:hAnsi="仿宋" w:eastAsia="仿宋" w:cs="仿宋"/>
                <w:lang w:val="en-US" w:eastAsia="zh-CN"/>
              </w:rPr>
              <w:t>。</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8DACEF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39D7D0E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758701D2">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详见采购需求清单</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A8"/>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6B4A1EA6">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b w:val="0"/>
                <w:bCs w:val="0"/>
                <w:kern w:val="0"/>
                <w:sz w:val="24"/>
                <w:u w:val="none"/>
                <w:lang w:val="en-US" w:eastAsia="zh-CN"/>
              </w:rPr>
              <w:t>标项二：</w:t>
            </w:r>
            <w:r>
              <w:rPr>
                <w:rFonts w:hint="eastAsia" w:ascii="仿宋" w:hAnsi="仿宋" w:eastAsia="仿宋" w:cs="仿宋"/>
                <w:color w:val="auto"/>
                <w:sz w:val="24"/>
                <w:szCs w:val="24"/>
                <w:highlight w:val="none"/>
                <w:u w:val="single"/>
                <w:lang w:val="en-US" w:eastAsia="zh-CN"/>
              </w:rPr>
              <w:t>应急消防救援装备，</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b w:val="0"/>
                <w:bCs w:val="0"/>
                <w:kern w:val="0"/>
                <w:sz w:val="24"/>
                <w:u w:val="single"/>
                <w:lang w:val="en-US" w:eastAsia="zh-CN"/>
              </w:rPr>
              <w:t>工业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工业 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75077230">
      <w:pPr>
        <w:rPr>
          <w:rFonts w:hint="eastAsia" w:ascii="仿宋" w:hAnsi="仿宋" w:eastAsia="仿宋" w:cs="仿宋"/>
          <w:b/>
          <w:sz w:val="32"/>
          <w:szCs w:val="20"/>
        </w:rPr>
      </w:pPr>
    </w:p>
    <w:p w14:paraId="006120F9">
      <w:pPr>
        <w:pStyle w:val="83"/>
        <w:rPr>
          <w:rFonts w:hint="eastAsia"/>
        </w:rPr>
      </w:pPr>
    </w:p>
    <w:p w14:paraId="396A351F">
      <w:pPr>
        <w:rPr>
          <w:rFonts w:hint="eastAsia"/>
        </w:rPr>
      </w:pPr>
    </w:p>
    <w:p w14:paraId="004B0A97">
      <w:pPr>
        <w:pStyle w:val="23"/>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74707468"/>
      <w:bookmarkEnd w:id="12"/>
      <w:bookmarkStart w:id="13" w:name="_Hlt75236011"/>
      <w:bookmarkEnd w:id="13"/>
      <w:bookmarkStart w:id="14" w:name="_Hlt68073093"/>
      <w:bookmarkEnd w:id="14"/>
      <w:bookmarkStart w:id="15" w:name="_Hlt75236101"/>
      <w:bookmarkEnd w:id="15"/>
      <w:bookmarkStart w:id="16" w:name="_Hlt68072998"/>
      <w:bookmarkEnd w:id="16"/>
      <w:bookmarkStart w:id="17" w:name="_Hlt74714665"/>
      <w:bookmarkEnd w:id="17"/>
      <w:bookmarkStart w:id="18" w:name="_Hlt74730295"/>
      <w:bookmarkEnd w:id="18"/>
      <w:bookmarkStart w:id="19" w:name="_Hlt68403820"/>
      <w:bookmarkEnd w:id="19"/>
      <w:bookmarkStart w:id="20" w:name="_Hlt75236290"/>
      <w:bookmarkEnd w:id="20"/>
      <w:bookmarkStart w:id="21" w:name="_Hlt68057669"/>
      <w:bookmarkEnd w:id="21"/>
      <w:bookmarkStart w:id="22" w:name="_Hlt74729768"/>
      <w:bookmarkEnd w:id="22"/>
      <w:bookmarkStart w:id="23" w:name="_Hlt68072990"/>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63D1405B">
      <w:pPr>
        <w:spacing w:line="240" w:lineRule="auto"/>
        <w:ind w:firstLine="42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产品要求中如有参考品牌、型号的仅作为投标方案参考，但投标产品品牌、型号至少应与参考品牌、型号相当。</w:t>
      </w:r>
    </w:p>
    <w:p w14:paraId="0A012004">
      <w:pPr>
        <w:spacing w:line="24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highlight w:val="none"/>
          <w:u w:val="single"/>
        </w:rPr>
        <w:t>除参考品牌、型号以外，欢迎其它能满足本项目技术需求且性能与参考品牌、型号相当的产品参加。</w:t>
      </w:r>
    </w:p>
    <w:p w14:paraId="468239D3">
      <w:pPr>
        <w:spacing w:before="187" w:line="227" w:lineRule="auto"/>
        <w:ind w:left="543"/>
        <w:rPr>
          <w:rFonts w:hint="eastAsia" w:ascii="仿宋" w:hAnsi="仿宋" w:eastAsia="仿宋" w:cs="仿宋"/>
          <w:color w:val="auto"/>
          <w:sz w:val="22"/>
          <w:szCs w:val="22"/>
          <w:highlight w:val="none"/>
        </w:rPr>
      </w:pPr>
      <w:r>
        <w:rPr>
          <w:rFonts w:hint="eastAsia" w:ascii="仿宋" w:hAnsi="仿宋" w:eastAsia="仿宋" w:cs="仿宋"/>
          <w:b/>
          <w:bCs/>
          <w:color w:val="auto"/>
          <w:spacing w:val="7"/>
          <w:sz w:val="22"/>
          <w:szCs w:val="22"/>
          <w:highlight w:val="none"/>
          <w:lang w:val="en-US" w:eastAsia="zh-CN"/>
        </w:rPr>
        <w:t>一</w:t>
      </w:r>
      <w:r>
        <w:rPr>
          <w:rFonts w:hint="eastAsia" w:ascii="仿宋" w:hAnsi="仿宋" w:eastAsia="仿宋" w:cs="仿宋"/>
          <w:b/>
          <w:bCs/>
          <w:color w:val="auto"/>
          <w:spacing w:val="7"/>
          <w:sz w:val="22"/>
          <w:szCs w:val="22"/>
          <w:highlight w:val="none"/>
        </w:rPr>
        <w:t>、采购清单及主要技术性能要求</w:t>
      </w:r>
    </w:p>
    <w:p w14:paraId="7FEBB422">
      <w:pPr>
        <w:rPr>
          <w:rFonts w:hint="eastAsia" w:ascii="仿宋" w:hAnsi="仿宋" w:eastAsia="仿宋" w:cs="仿宋"/>
          <w:color w:val="auto"/>
          <w:highlight w:val="none"/>
        </w:rPr>
      </w:pPr>
    </w:p>
    <w:tbl>
      <w:tblPr>
        <w:tblStyle w:val="65"/>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662"/>
        <w:gridCol w:w="956"/>
        <w:gridCol w:w="735"/>
        <w:gridCol w:w="6839"/>
      </w:tblGrid>
      <w:tr w14:paraId="5A56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9820" w:type="dxa"/>
            <w:gridSpan w:val="5"/>
            <w:tcBorders>
              <w:top w:val="single" w:color="000000" w:sz="4" w:space="0"/>
              <w:left w:val="single" w:color="000000" w:sz="4" w:space="0"/>
              <w:bottom w:val="single" w:color="000000" w:sz="4" w:space="0"/>
              <w:right w:val="single" w:color="000000" w:sz="4" w:space="0"/>
            </w:tcBorders>
            <w:noWrap w:val="0"/>
            <w:vAlign w:val="center"/>
          </w:tcPr>
          <w:p w14:paraId="494D887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标项二：应急消防救援装备</w:t>
            </w:r>
          </w:p>
        </w:tc>
      </w:tr>
      <w:tr w14:paraId="4D0E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14:paraId="44FF413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54BA39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4DC2E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13E77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9ED6FC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功能及技术参数</w:t>
            </w:r>
          </w:p>
        </w:tc>
      </w:tr>
      <w:tr w14:paraId="1214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980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B716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FF67A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便携式发电机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0922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469953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1.类型：单缸、强制风冷、四冲程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2.额定功率KW：≥5.0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3.最大功率KW: ≥5.5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4.额定频率HZ：≥50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5.额定电压V：220V/230V/380V/400V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相数：单相/三相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电流22.7A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6.启动方式：手启动装置/电启动装置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7.汽油容量L：≥25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8.发动机：≥8.6KW/3600rpm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9.排量：≥420cc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10.连续工作时长：≥13H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11.燃油：92号以上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12.噪音dB（7米）：≤72dB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13.净量（±5）KG：≤84KG</w:t>
            </w:r>
          </w:p>
        </w:tc>
      </w:tr>
      <w:tr w14:paraId="03B9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BA8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0D7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001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小型或中型无人机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0722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F6C9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1.整机重量（含桨叶、1组电池、云台相机组件）≤4kg                                                                       2. 最大飞行海拔高度：≥7000m                                                                                                                      3.最大可承受风速 ≥6级风 ≥12 m/s                                                                                                         4.最大飞行时间 ≥40分钟                                                                                                                           5.防水等级 飞行器及其配套相机具备IP55防护等级                                                                                                                                            6.搭载摄像机≥3840×2160 @30Hz，支持MP4格式，搭载红外热成像视频分辨率≥640×512@30Hz，支持MP4格式；                                         7.飞行器拓展储存 ≥256G</w:t>
            </w:r>
          </w:p>
        </w:tc>
      </w:tr>
      <w:tr w14:paraId="2299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0A9FE">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6D063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660F5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救援伸缩杆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C7BF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DE747E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作用范围：适合在泥潭沼泽、山涧峡谷、码头船上、洪灾遇险地带、冬季冰面，救援人员发现落水者或遇险被困人员后，在岸上或船上开展远距离安全施救，也可用来打捞漂浮物时使用。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2、拉杆：超轻碳纤维, 展开长度（米）：≥5米,折叠后长度：≤1.5米,重量：≤0.9Kg </w:t>
            </w:r>
          </w:p>
          <w:p w14:paraId="72AB4AD3">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3、拉动重量:120KG，</w:t>
            </w:r>
          </w:p>
        </w:tc>
      </w:tr>
      <w:tr w14:paraId="02D5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5D35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96D72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5B83E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13DE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DA260F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合金材质，适用于抢险救援；</w:t>
            </w:r>
          </w:p>
          <w:p w14:paraId="56EFD5D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2.长度≥120cm；</w:t>
            </w:r>
          </w:p>
          <w:p w14:paraId="42DB1A4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3.重量≥1100g</w:t>
            </w:r>
          </w:p>
        </w:tc>
      </w:tr>
      <w:tr w14:paraId="7D91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B1C6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9B4E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A434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高音喇叭</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FE9D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7B0D9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1.供电方式：锂电池和干电池转换使用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2.工作电压：7.4V.充电时间：≤4小时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3.充电器：  5V/2A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4.充电接口：TYPE_C接口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5.最大功率：≥50W</w:t>
            </w:r>
          </w:p>
        </w:tc>
      </w:tr>
      <w:tr w14:paraId="1CB3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05E8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783B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4407E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救援担架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961B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95ABA0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 xml:space="preserve">总长：≥180cm; </w:t>
            </w:r>
          </w:p>
          <w:p w14:paraId="5EBDB8C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2.面料：牛津布；</w:t>
            </w:r>
          </w:p>
          <w:p w14:paraId="0B2D4FB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3.宽度：≥53cm，</w:t>
            </w:r>
          </w:p>
          <w:p w14:paraId="16C945A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4.承重：≥160KG  </w:t>
            </w:r>
          </w:p>
          <w:p w14:paraId="14AFC14C">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5.净重≤7kg</w:t>
            </w:r>
          </w:p>
        </w:tc>
      </w:tr>
      <w:tr w14:paraId="5A5B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8A6F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1C566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F2AB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救生绳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8622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D91D7E3">
            <w:pPr>
              <w:keepNext w:val="0"/>
              <w:keepLines w:val="0"/>
              <w:widowControl/>
              <w:numPr>
                <w:ilvl w:val="0"/>
                <w:numId w:val="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结构：为夹心绳，承重部分由连续纤维材料制成，强度高、延伸率小、抗冲击性能好、耐高温。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2.破断强度：轻型≥20KN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3.耐高温性能：载温度204℃时间5MIN环境下，不融熔、焦化。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4.规 格：轻型 ≥9.5mm</w:t>
            </w:r>
          </w:p>
          <w:p w14:paraId="0CAA5B4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5.符合XF494-2023《消防用防坠落装备》，提供国家消防装备质量检验检测中心出具的型式试验报告</w:t>
            </w:r>
            <w:r>
              <w:rPr>
                <w:rFonts w:hint="eastAsia" w:ascii="仿宋" w:hAnsi="仿宋" w:eastAsia="仿宋" w:cs="仿宋"/>
                <w:color w:val="auto"/>
                <w:sz w:val="24"/>
                <w:szCs w:val="24"/>
                <w:highlight w:val="none"/>
              </w:rPr>
              <w:t>。</w:t>
            </w:r>
          </w:p>
        </w:tc>
      </w:tr>
      <w:tr w14:paraId="10E7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EEE0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8137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B5D28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5EE8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AD1007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卷盘内置经特殊处理的警示带，高密度绦纶布材质，双面反光,防水。</w:t>
            </w:r>
          </w:p>
          <w:p w14:paraId="5314178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2.尺寸：约5CM*50米。</w:t>
            </w:r>
          </w:p>
          <w:p w14:paraId="27423B4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3.警示带上印有“消防”字样。</w:t>
            </w:r>
          </w:p>
          <w:p w14:paraId="2B17149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4.本产品操作简单，携带方便，使用时不会污染现场环境。</w:t>
            </w:r>
          </w:p>
          <w:p w14:paraId="47B8DF9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5.色泽鲜艳，可多次重复使用。</w:t>
            </w:r>
          </w:p>
          <w:p w14:paraId="62F7665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6.符合FZ/T 65002-1995《特种工业用绳带 物理机械性能试验方法》、GB 20653-2020《防护服装 职业用高可视性警示服》，提供符合国家认证标准的检测机构出具的检验报告。</w:t>
            </w:r>
          </w:p>
        </w:tc>
      </w:tr>
      <w:tr w14:paraId="4D3A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F88F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61E9C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A3CD3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电动U型救生圈</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BB3F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DD5447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 规格要求：外形尺寸≤长1100mm×宽800mm×高200mm，重量≤17Kg。</w:t>
            </w:r>
          </w:p>
          <w:p w14:paraId="2143473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 外壳材质：需具有GB/T1843-2008中冲击强度的测试报告。（提供符合国家认证标准的第三方检测机构出具的检验报告佐证）</w:t>
            </w:r>
          </w:p>
          <w:p w14:paraId="3B038FC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空载速度：≥30km/h。（提供符合国家认证标准的第三方检测机构出具的检验报告佐证）</w:t>
            </w:r>
          </w:p>
          <w:p w14:paraId="70A171A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载人速度：≥9km/h(额定载重≥85kg)。</w:t>
            </w:r>
          </w:p>
          <w:p w14:paraId="6BB6B1C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水上拖力：拖拽总重≥900Kg，能正常匀速行驶。</w:t>
            </w:r>
          </w:p>
          <w:p w14:paraId="5206661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浮力≥250N，须符合GB/T 4302-2008中5.9要求。（提供符合国家认证标准的第三方检测机构出具的检验报告佐证）</w:t>
            </w:r>
          </w:p>
          <w:p w14:paraId="5259757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电池：采用现场可更换锂电池组供电，锂电池须符合GB31241-2022标准中相关要求。</w:t>
            </w:r>
          </w:p>
          <w:p w14:paraId="6D5BD8E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 续航时间：单组电池≥100分钟，更换1次电池≥200分钟（配1组备用电池组）。</w:t>
            </w:r>
          </w:p>
          <w:p w14:paraId="1464DA2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 遥控距离≥1500米，显示屏能显示设备位置、电池及电压、信号质量、控制模式、航向等。</w:t>
            </w:r>
          </w:p>
          <w:p w14:paraId="1353D4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 安全要求：固定抓扶把手≥7个，绳索孔≥8个，配置反光救生绳，提供彩色照片佐证。</w:t>
            </w:r>
          </w:p>
          <w:p w14:paraId="286958F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 耐用性要求：救生圈须符合GB/T 5080.7-1986标准（平均无故障时间≥200h），抛投须符合GB4302-2008中5.6要求（≥30米入水，无损坏能正常工作）。（提供符合国家认证标准的第三方检测机构出具的检验报告佐证）</w:t>
            </w:r>
          </w:p>
          <w:p w14:paraId="0EBAF44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 操控模式：具有远程遥控和本机自主驾驶两种模式，提供彩色照片佐证。</w:t>
            </w:r>
          </w:p>
          <w:p w14:paraId="2BCE07C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 设备接口：具备≥3个专用设备接口，可以根据工作需求安装不同的设备，拆装方便，提供彩色照片佐证。</w:t>
            </w:r>
          </w:p>
          <w:p w14:paraId="08B3BB8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 防护性能：须符合GB/T 4208-2017中IP68要求。</w:t>
            </w:r>
          </w:p>
          <w:p w14:paraId="15D852F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 电磁兼容性及安全性：电磁兼容性符合GB/T17626.2-2018和GB/T17626.3-2016中等级3的规定，安全性符合GB16796-2022的相关要求。</w:t>
            </w:r>
          </w:p>
          <w:p w14:paraId="3314B6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p>
        </w:tc>
      </w:tr>
      <w:tr w14:paraId="6018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F9F8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0FCEF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A330A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缓降器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EE05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63F6AB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1、技术性能符合GB21976.2—2012《建筑火灾逃生避难器材 第2部分：逃生缓降器》标准要求。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2、缓降器各部件应无变形、损伤等异常现象。金属件的外表面应光滑、无锈蚀、斑点、毛刺并进行防腐蚀处理。绳索端头应采用保护物包扎。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3、在缓降器使用状态对其施加拉伸负荷。绳索、调速器等受力部件应无明显的变形、破损、脱卸等异常现象。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4、抗跌落性能，抗冲击性能满足标准要求。耐腐性能进行标准负荷下降速度实验，安全负荷≥900N，长度30米，其下降速度≥0.7m/s。</w:t>
            </w:r>
          </w:p>
        </w:tc>
      </w:tr>
      <w:tr w14:paraId="5805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8AF3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15DE6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28AC2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防洪子堤</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E5BD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D31B778">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用于堤防漫溢险情和地下车库、地下通道等临时加高.</w:t>
            </w:r>
          </w:p>
          <w:p w14:paraId="27A0F11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2.子堤每组长≥10m. </w:t>
            </w:r>
          </w:p>
          <w:p w14:paraId="0C3E20D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3.单元宽≥1m  </w:t>
            </w:r>
          </w:p>
          <w:p w14:paraId="2D03836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4.高≥1.3m. </w:t>
            </w:r>
          </w:p>
          <w:p w14:paraId="2D537A2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5.挡水深度≥1m</w:t>
            </w:r>
          </w:p>
        </w:tc>
      </w:tr>
      <w:tr w14:paraId="568B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BCCC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06FF6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CA16B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除雪装备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0AFD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04CD8C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1、铲头材质：锰钢淬火；铲头钢材厚度不小于3㎜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2、铲头尺寸：≥39*45*31cm；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3、木柄材质：≥1.2m国槐或铁梨木柄。配有刮雪铲。                                                                           4、手扶扫雪机：功率：≥1800W,工作宽度≥30cm，重量≤6kg。</w:t>
            </w:r>
          </w:p>
        </w:tc>
      </w:tr>
      <w:tr w14:paraId="02FD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52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执法类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B0556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174B7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测电笔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E90D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C7D95B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 xml:space="preserve">LED显示 </w:t>
            </w:r>
          </w:p>
          <w:p w14:paraId="2A24143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2.感应探测，通断测量 </w:t>
            </w:r>
          </w:p>
          <w:p w14:paraId="43BE37A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3.电压检测范围：AC12-400V电压。</w:t>
            </w:r>
          </w:p>
        </w:tc>
      </w:tr>
      <w:tr w14:paraId="0ECD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249F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B84F8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3E141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强光手电（头灯）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570F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3301BA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符合：GB3836.2-2010 爆炸性环境                                                                                                                                                                  1、隔爆型最高防爆等级，可在易燃易爆场所安全使用。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2、采用固态免维护LED光源，光效高，寿命长达10万小时。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3、具有工作光、强光、弱光，爆闪，SOS， 5种光设计，按动按钮可进行自由转换。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人性化的电量指示（百分30%电量为红色，百分之70为绿色）和低电压显示功能设计，可随时查询电池电量；当电量不足时，灯具会自动提示进行充电。尾部带有红色方位信号指示灯，可给救援现场人员定位警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5、额定电压 DC3.7V,  额定容量 ≥2200mAh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6、额定功率（LED）3W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7、平均使用寿命 ≥100000h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8、连续放电时间： ≥6h（强光）/12h（工作光）/20h（频闪）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9、充电时间 5h电池使用寿命 ≥1000（循环）,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10、外形尺寸 ≤28×140mm(直径×长度)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11、重量≤ 0.12kg ,                                                                                                                                 ★12、外壳防护等级 ≥IP66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防爆标志：ExdⅡCT6 Gb</w:t>
            </w:r>
          </w:p>
          <w:p w14:paraId="1A07045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条款须提供符合国家认证标准的第三方检测机构出具的检验报告。</w:t>
            </w:r>
          </w:p>
        </w:tc>
      </w:tr>
      <w:tr w14:paraId="7843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455B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BD31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912CB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D927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FF984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1.产品尺寸 ≤5000x16mm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2.产品重量 ≤160g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3.产品颜色 黄色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4.产品材质 抗摔ABS，50°中碳钢制作尺带</w:t>
            </w:r>
          </w:p>
        </w:tc>
      </w:tr>
      <w:tr w14:paraId="1124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F0E45">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44957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77EAD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CC8C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BFB85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2.功能：防酸、防碱、防油、防侵蚀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3.用途：乳胶材质，柔软、安全无毒</w:t>
            </w:r>
          </w:p>
        </w:tc>
      </w:tr>
      <w:tr w14:paraId="1797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409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160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17</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3B1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防爆照相机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66B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128F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环境条件：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1工作环境：0℃—40℃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2、相对湿度：≤95%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3、大气压力：80Kpa—110 Kpa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4、地面和有甲烷和煤尘存在的场所。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5.记录媒体SD存储卡、SDHC存储卡、SDXC存储卡、兼容UHS-I</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6.图像感应器尺寸≥22.3×14.9毫米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7.图像感应器类型：CMOS图像感应器（支持全像素双核CMOS AF）有效像素约2420万像素</w:t>
            </w:r>
          </w:p>
        </w:tc>
      </w:tr>
      <w:tr w14:paraId="31A5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210A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8272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3DD84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取样器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0E45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8D61C6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一、</w:t>
            </w:r>
            <w:r>
              <w:rPr>
                <w:rFonts w:hint="eastAsia" w:ascii="仿宋" w:hAnsi="仿宋" w:eastAsia="仿宋" w:cs="仿宋"/>
                <w:i w:val="0"/>
                <w:iCs w:val="0"/>
                <w:color w:val="auto"/>
                <w:kern w:val="0"/>
                <w:sz w:val="24"/>
                <w:szCs w:val="24"/>
                <w:highlight w:val="none"/>
                <w:u w:val="none"/>
                <w:lang w:val="en-US" w:eastAsia="zh-CN" w:bidi="ar"/>
              </w:rPr>
              <w:t>液体取样器：                                                                                                                          1.产品用途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可以广泛应用于各种行业场所的液体取样工作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2.将采样绳一端牢固接地，另一端与底部取样器牢固连接。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3.将底部取样器以≤1米/秒的速度下落至容器底部。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二、固体体取样器：                                                                                                                     1.产品用途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可以广泛应用于各种行业场所的易燃易爆危险性工作。                                                                                                                                                             2.采样量≥5kg                                                                                                                                                                      3.采样筒长度  1000mm、1200mm </w:t>
            </w:r>
          </w:p>
          <w:p w14:paraId="0D04C88A">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4.该采样器由两块锂电池、电机、采样螺旋和采样筒组成。</w:t>
            </w:r>
          </w:p>
        </w:tc>
      </w:tr>
      <w:tr w14:paraId="1486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A06B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E30A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DF40B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DA23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144573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1.帽壳：承受打击，使坠落物与人体隔开。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2.帽箍：使安全帽保持在头上一个确定的位置。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3.顶带：分散冲击力，保持帽壳的浮动，以便分散冲击力。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4.缓冲垫：发生冲击时，减少冲击力。</w:t>
            </w:r>
          </w:p>
        </w:tc>
      </w:tr>
      <w:tr w14:paraId="6C4C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7831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C25C6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7B3B1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便携式笔记本电脑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E1F1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D0DFFC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1.处理器：英特尔®酷睿™Ultra5-125H处理器3。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2.内存：32GB DDR51。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3.硬盘：1TB SSD1。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4.显示屏：≥14英寸OLED屏幕，分辨率2880x1920，刷新率60Hz。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5.整体重量≤1.31千克，厚度约≥ 14mm。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6.电池与续航：内置70Wh电池，支持至高40W的超级快充反向充电4。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7.接口：左侧配备1个USB-C接口、1个USB-A 3.2 Gen 1接口、1个HDMI接口、1个3.5mm音频接口；右侧配备1个USB-A 3.2 Gen 1接口2。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8.操作系统：Windows 11</w:t>
            </w:r>
          </w:p>
        </w:tc>
      </w:tr>
      <w:tr w14:paraId="294A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326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监测预警类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3C82B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D9AAD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手摇报警器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B737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C69BC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1、声压级：105±2dB(A)@1m(半消声室环境测量)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2、音响频率：600±20Hz(取决于手摇速度)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3、材质：铝合金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4、净重：≤1.5kg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5、有效范围：500-800m</w:t>
            </w:r>
          </w:p>
        </w:tc>
      </w:tr>
      <w:tr w14:paraId="47F3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F80B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27F16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B01C5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望远镜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1F72E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66D08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1.倍率（倍）≥ 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2.物镜直径（mm）≥ 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3.出瞳直径（mm）≥ 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4.出瞳距离（mm）≥18                                                                                                       5.近焦距离 ≥5m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6.镜体材料PPS</w:t>
            </w:r>
          </w:p>
        </w:tc>
      </w:tr>
      <w:tr w14:paraId="09B4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BCF5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58F7D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2DBD9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红外热成像夜视仪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7750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6D149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一、用于隐患火点探测，适用于浓烟环境下的应急救援，液晶显示模块，轻巧便携，多种场景伪彩，支持激光指示，可快速确定被困人员位置。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二、支持中心点测温，高低温追踪，可手动设置报警阈值，通过屏幕高低温报警画面 、蜂呜器报警。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三、产品技术参数要求：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1、探测器分辨率≥160*120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2、热灵敏度≤60mK@25℃；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3、视场角≥40°×30°；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4、测温范围：≥-10℃~+500℃；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5、测温精度：±2%或±2℃；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7、防护等级≥IP54；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7、存储卡≥16GB；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8、电池类型:可充电锂电池续航≥5h；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9、电源接口:USB 直充 type-C；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10、工作温度:0℃~+50℃；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11、存储温度:-20℃~+60℃；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12、尺寸：≤200*75*60MM；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13、重量≤350g；</w:t>
            </w:r>
          </w:p>
        </w:tc>
      </w:tr>
      <w:tr w14:paraId="028D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14:paraId="580F52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DE5C4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319BF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ABCC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880BE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1.长≥2米，高≥2米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2.深≥0.5米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3.隔层板高度可调节</w:t>
            </w:r>
          </w:p>
        </w:tc>
      </w:tr>
      <w:tr w14:paraId="6D18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14:paraId="6DDEE9A1">
            <w:pPr>
              <w:keepNext w:val="0"/>
              <w:keepLines w:val="0"/>
              <w:widowControl/>
              <w:suppressLineNumbers w:val="0"/>
              <w:jc w:val="left"/>
              <w:textAlignment w:val="center"/>
              <w:rPr>
                <w:color w:val="auto"/>
                <w:highlight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5998716">
            <w:pPr>
              <w:keepNext w:val="0"/>
              <w:keepLines w:val="0"/>
              <w:widowControl/>
              <w:suppressLineNumbers w:val="0"/>
              <w:jc w:val="left"/>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FFB265F">
            <w:pPr>
              <w:numPr>
                <w:ilvl w:val="0"/>
                <w:numId w:val="0"/>
              </w:numPr>
              <w:jc w:val="center"/>
              <w:rPr>
                <w:rFonts w:hint="default" w:ascii="宋体" w:hAnsi="宋体" w:eastAsia="宋体" w:cs="宋体"/>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前线指挥帐篷</w:t>
            </w:r>
          </w:p>
          <w:p w14:paraId="1532A3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84721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B2107D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样式：指挥专用20㎡帐篷为长方形双坡面直墙建筑样式。一端山墙开门，门上偏左开通气口，另一端山墙正中的上方开风斗口，两侧墙各开两个窗户，两侧墙支起可成遮阳篷。整体帐篷通过拉绳拉起，用三角桩加固。</w:t>
            </w:r>
          </w:p>
          <w:p w14:paraId="5E02793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2、尺寸：篷体长5600mm，篷体宽3630mm，侧墙高1700mm，脊顶高2510mm。</w:t>
            </w:r>
          </w:p>
          <w:p w14:paraId="00EC8EE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3、面料：</w:t>
            </w:r>
          </w:p>
          <w:p w14:paraId="221AB71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篷体：1111dtex×1111dtex涤纶丝天蓝色PU涂层布， </w:t>
            </w:r>
          </w:p>
          <w:p w14:paraId="30A3092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地铺：555dtex×555dtex涤纶丝灰色PVC涂层布，</w:t>
            </w:r>
          </w:p>
          <w:p w14:paraId="7CD0EEB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棉内胆保温层：白色中空涤纶短纤维絮片。</w:t>
            </w:r>
          </w:p>
          <w:p w14:paraId="52DC967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4、支架：</w:t>
            </w:r>
          </w:p>
          <w:p w14:paraId="704C8C0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通用杆、立柱杆、地杆为焊接钢管：Φ38mm×1.2mm；</w:t>
            </w:r>
          </w:p>
          <w:p w14:paraId="4A70216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三通、四通为焊接钢管：Φ42mm×1.5mm；</w:t>
            </w:r>
          </w:p>
          <w:p w14:paraId="6CE65BB4">
            <w:pPr>
              <w:keepNext w:val="0"/>
              <w:keepLines w:val="0"/>
              <w:widowControl/>
              <w:numPr>
                <w:ilvl w:val="0"/>
                <w:numId w:val="0"/>
              </w:numPr>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阳篷杆为焊接钢管：Φ19mm×1.0mm；均为白色喷漆。</w:t>
            </w:r>
          </w:p>
          <w:p w14:paraId="1D2CBC06">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5、产品标志：帐篷顶坡两面居中均匀排列印刷“应急指挥”字样，面向门时，门左、右两侧居中，分别印“指”、“挥”字样。</w:t>
            </w:r>
          </w:p>
          <w:p w14:paraId="712B1D0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6、帐篷共4包：篷体地铺1包，棉内胆1包，框架2包。</w:t>
            </w:r>
          </w:p>
        </w:tc>
      </w:tr>
      <w:tr w14:paraId="7900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51C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64EE7F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2039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内燃机液压破拆工具组或电动液压破拆工具组（液压机动泵、液压剪扩器、撑顶器、液压管）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6071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CCEFFC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符合GB/T17906-2021 《液压破拆工具通用技术条件》)                                                                                                     1.配置要求：含双输出液压机动泵、剪扩器、撑顶器、液压管等；</w:t>
            </w:r>
          </w:p>
          <w:p w14:paraId="27FF236F">
            <w:pPr>
              <w:keepNext w:val="0"/>
              <w:keepLines w:val="0"/>
              <w:widowControl/>
              <w:numPr>
                <w:ilvl w:val="0"/>
                <w:numId w:val="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液压机动泵双输出用作液压破拆工具的动力源。可同时接驳两件液压破拆工具同时工作3小时以上。可同时供2组液压工具作业，重量≤25KG；</w:t>
            </w:r>
          </w:p>
          <w:p w14:paraId="65ACA9B4">
            <w:pPr>
              <w:keepNext w:val="0"/>
              <w:keepLines w:val="0"/>
              <w:widowControl/>
              <w:numPr>
                <w:ilvl w:val="0"/>
                <w:numId w:val="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液压剪扩器：单管工作原理、可带压操作，手控阀操作可使刀片的张开闭合处于任何位置，用于同步救援配套使用，最大扩张力≥20吨，最大剪切力≥68吨，牵引力≥6吨，扩张距离≥390mm。</w:t>
            </w:r>
          </w:p>
          <w:p w14:paraId="2E87C4C2">
            <w:pPr>
              <w:keepNext w:val="0"/>
              <w:keepLines w:val="0"/>
              <w:widowControl/>
              <w:numPr>
                <w:ilvl w:val="0"/>
                <w:numId w:val="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液压撑顶器：用于撑开、顶升障碍重物，双级液压撑顶器，一级支撑力≥27吨，二级支撑力≥14吨；</w:t>
            </w:r>
          </w:p>
          <w:p w14:paraId="02F2844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5.液压管：高压工作压力≥70Mpa，配2套≥5米软管；配备其他破拆工具应符合相应要求。</w:t>
            </w:r>
          </w:p>
        </w:tc>
      </w:tr>
      <w:tr w14:paraId="3C99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47B3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C25D3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F378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正压式消防空气呼吸器（6.8L）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EE0F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26F4D10">
            <w:pPr>
              <w:keepNext w:val="0"/>
              <w:keepLines w:val="0"/>
              <w:widowControl/>
              <w:suppressLineNumbers w:val="0"/>
              <w:jc w:val="left"/>
              <w:textAlignment w:val="center"/>
              <w:rPr>
                <w:rStyle w:val="234"/>
                <w:rFonts w:hint="eastAsia" w:ascii="仿宋" w:hAnsi="仿宋" w:eastAsia="仿宋" w:cs="仿宋"/>
                <w:color w:val="auto"/>
                <w:sz w:val="24"/>
                <w:szCs w:val="24"/>
                <w:highlight w:val="none"/>
                <w:lang w:val="en-US" w:eastAsia="zh-CN" w:bidi="ar"/>
              </w:rPr>
            </w:pPr>
            <w:r>
              <w:rPr>
                <w:rStyle w:val="234"/>
                <w:rFonts w:hint="eastAsia" w:ascii="仿宋" w:hAnsi="仿宋" w:eastAsia="仿宋" w:cs="仿宋"/>
                <w:color w:val="auto"/>
                <w:sz w:val="24"/>
                <w:szCs w:val="24"/>
                <w:highlight w:val="none"/>
                <w:lang w:val="en-US" w:eastAsia="zh-CN" w:bidi="ar"/>
              </w:rPr>
              <w:t>本装具由气瓶总成、减压器总成、供气阀总成、面罩总成、压力平视显示装置、背托总成、报警器等组成。材料和部件具有耐高温、耐低温、阻燃、防腐、防水、防尘、防爆等性能；技术性能符合XF124-2013《正压式消防空气呼吸器》,</w:t>
            </w:r>
            <w:r>
              <w:rPr>
                <w:rFonts w:hint="eastAsia" w:ascii="仿宋" w:hAnsi="仿宋" w:eastAsia="仿宋" w:cs="仿宋"/>
                <w:i w:val="0"/>
                <w:iCs w:val="0"/>
                <w:color w:val="auto"/>
                <w:kern w:val="0"/>
                <w:sz w:val="24"/>
                <w:szCs w:val="24"/>
                <w:highlight w:val="none"/>
                <w:u w:val="none"/>
                <w:lang w:val="en-US" w:eastAsia="zh-CN" w:bidi="ar"/>
              </w:rPr>
              <w:t>提供国家消防装备质量检验检测中心出具的型式试验报告</w:t>
            </w:r>
            <w:r>
              <w:rPr>
                <w:rStyle w:val="234"/>
                <w:rFonts w:hint="eastAsia" w:ascii="仿宋" w:hAnsi="仿宋" w:eastAsia="仿宋" w:cs="仿宋"/>
                <w:color w:val="auto"/>
                <w:sz w:val="24"/>
                <w:szCs w:val="24"/>
                <w:highlight w:val="none"/>
                <w:lang w:val="en-US" w:eastAsia="zh-CN" w:bidi="ar"/>
              </w:rPr>
              <w:t>。</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1、气瓶：容积6.8L，为全缠绕式碳纤维符合气瓶，保护层为全缠绕式碳纤维复合材料，内胆采用高强度、经防腐处理、重量轻的铝合金材料。气瓶工作压力30MPa，水压试验压力≥50MPa，爆破压力≥102MPa。瓶体由阻燃气瓶保护套全方位保护，气瓶保护套配有两道荧光标识，在黑暗处可见。</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2、全面罩：大视野球形面罩，总视野保留率≥76%，双目视野保留率≥65%，下方视野＞35°，镜片透光率≥93%，吸入气体CO</w:t>
            </w:r>
            <w:r>
              <w:rPr>
                <w:rStyle w:val="972"/>
                <w:rFonts w:hint="eastAsia" w:ascii="仿宋" w:hAnsi="仿宋" w:eastAsia="仿宋" w:cs="仿宋"/>
                <w:color w:val="auto"/>
                <w:sz w:val="24"/>
                <w:szCs w:val="24"/>
                <w:highlight w:val="none"/>
                <w:lang w:val="en-US" w:eastAsia="zh-CN" w:bidi="ar"/>
              </w:rPr>
              <w:t>₂</w:t>
            </w:r>
            <w:r>
              <w:rPr>
                <w:rStyle w:val="234"/>
                <w:rFonts w:hint="eastAsia" w:ascii="仿宋" w:hAnsi="仿宋" w:eastAsia="仿宋" w:cs="仿宋"/>
                <w:color w:val="auto"/>
                <w:sz w:val="24"/>
                <w:szCs w:val="24"/>
                <w:highlight w:val="none"/>
                <w:lang w:val="en-US" w:eastAsia="zh-CN" w:bidi="ar"/>
              </w:rPr>
              <w:t>含量≤0.89%。镜面硬化处理，防雾、防划、抗冲击；面罩与皮肤接触部位均采用硅胶材质；面罩头网采用芳纶阻燃材料，永久阻燃，五点式收紧结构，与面部贴合更紧密。</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3、供气阀：与面罩为卡扣式连接，单手可操作，无需定位快速连接面罩，可360°旋转，配有硅胶保护套，阻燃，抗冲击。设置应急冲泄阀可强制供气，冲刷面罩镜面。体积小，不影响视野。</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4、压力平视显示装置：内置于全面罩内，提示灯在视野右下角布置，不影响正常视线；光强柔和，避免干扰视线，伤害眼睛；与压力信号发射装置无线连接，唯一配对，无线连接距离≥3米；三种颜色的指示灯指示不同状态的气瓶压力，提供预警、报警。在气瓶压力为0-6MPa时，红色指示灯闪烁；在气瓶压力为6-10MPa时，黄色指示灯常亮；在气瓶压力为10-30MPa，绿色指示灯常亮。当电量不足的时，黄色欠压灯闪亮，并且能继续工作超过3小时。连续工作时间≥75小时；待机时间≥180天；防爆等级≥ExiaⅡCT3Ga，具有独立的防爆证书。</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5、背托:肩带、腰带均采用芳纶阻燃材料。肩带配有宽大弹性衬垫和3M的反光条。高中压导气管采用隐藏设计。背板符合人机工程学设计，与人体背部贴合，重量分散在腰部，有效减少人员疲劳感；腰带采用前拉收紧方式；腰带扣采用新型插钩式，可单指解开，使用温度-30~+60℃，可有效避免低温变脆，插扣解开失效问题，使用寿命可达3万次。配有独立腰垫，可随人体形态变化而适当转动，减轻疲劳感。</w:t>
            </w:r>
          </w:p>
          <w:p w14:paraId="5F09FC56">
            <w:pPr>
              <w:keepNext w:val="0"/>
              <w:keepLines w:val="0"/>
              <w:widowControl/>
              <w:suppressLineNumbers w:val="0"/>
              <w:ind w:firstLine="240" w:firstLineChars="100"/>
              <w:jc w:val="left"/>
              <w:textAlignment w:val="center"/>
              <w:rPr>
                <w:rFonts w:hint="eastAsia" w:ascii="仿宋" w:hAnsi="仿宋" w:eastAsia="仿宋" w:cs="仿宋"/>
                <w:i w:val="0"/>
                <w:iCs w:val="0"/>
                <w:color w:val="auto"/>
                <w:sz w:val="24"/>
                <w:szCs w:val="24"/>
                <w:highlight w:val="none"/>
                <w:u w:val="none"/>
              </w:rPr>
            </w:pPr>
            <w:r>
              <w:rPr>
                <w:rStyle w:val="234"/>
                <w:rFonts w:hint="eastAsia" w:ascii="仿宋" w:hAnsi="仿宋" w:eastAsia="仿宋" w:cs="仿宋"/>
                <w:color w:val="auto"/>
                <w:sz w:val="24"/>
                <w:szCs w:val="24"/>
                <w:highlight w:val="none"/>
                <w:lang w:val="en-US" w:eastAsia="zh-CN" w:bidi="ar"/>
              </w:rPr>
              <w:t>6、减压阀：性能稳定可靠，输出压力0.6MPa。设有安全阀，具备超压保护功能。高中压导气管均由阻燃橡胶保护，柔韧性好，耐磨抗刮擦。高压管内气管为螺旋式设计，在充满高压气体时也能柔韧灵活。胸前配有自锁式快速救援接口，可满足多人呼吸需要。</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w:t>
            </w:r>
            <w:r>
              <w:rPr>
                <w:rStyle w:val="234"/>
                <w:rFonts w:hint="eastAsia" w:ascii="仿宋" w:hAnsi="仿宋" w:eastAsia="仿宋" w:cs="仿宋"/>
                <w:i w:val="0"/>
                <w:iCs w:val="0"/>
                <w:color w:val="auto"/>
                <w:sz w:val="24"/>
                <w:szCs w:val="24"/>
                <w:highlight w:val="none"/>
                <w:lang w:val="en-US" w:eastAsia="zh-CN" w:bidi="ar"/>
              </w:rPr>
              <w:t>7、报警器：体积小，报警压力5.5MPa±0.5；连续声响时间以90dB（A）的声强持续＞15s;</w:t>
            </w:r>
            <w:r>
              <w:rPr>
                <w:rStyle w:val="234"/>
                <w:rFonts w:hint="eastAsia" w:ascii="仿宋" w:hAnsi="仿宋" w:eastAsia="仿宋" w:cs="仿宋"/>
                <w:i w:val="0"/>
                <w:iCs w:val="0"/>
                <w:color w:val="auto"/>
                <w:sz w:val="24"/>
                <w:szCs w:val="24"/>
                <w:highlight w:val="none"/>
                <w:lang w:val="en-US" w:eastAsia="zh-CN" w:bidi="ar"/>
              </w:rPr>
              <w:br w:type="textWrapping"/>
            </w:r>
            <w:r>
              <w:rPr>
                <w:rStyle w:val="234"/>
                <w:rFonts w:hint="eastAsia" w:ascii="仿宋" w:hAnsi="仿宋" w:eastAsia="仿宋" w:cs="仿宋"/>
                <w:i w:val="0"/>
                <w:iCs w:val="0"/>
                <w:color w:val="auto"/>
                <w:sz w:val="24"/>
                <w:szCs w:val="24"/>
                <w:highlight w:val="none"/>
                <w:lang w:val="en-US" w:eastAsia="zh-CN" w:bidi="ar"/>
              </w:rPr>
              <w:t xml:space="preserve">  8、整机佩戴重量（气瓶充气30MPa）：≤11kg。</w:t>
            </w:r>
            <w:r>
              <w:rPr>
                <w:rStyle w:val="234"/>
                <w:rFonts w:hint="eastAsia" w:ascii="仿宋" w:hAnsi="仿宋" w:eastAsia="仿宋" w:cs="仿宋"/>
                <w:i w:val="0"/>
                <w:iCs w:val="0"/>
                <w:color w:val="auto"/>
                <w:sz w:val="24"/>
                <w:szCs w:val="24"/>
                <w:highlight w:val="none"/>
                <w:lang w:val="en-US" w:eastAsia="zh-CN" w:bidi="ar"/>
              </w:rPr>
              <w:br w:type="textWrapping"/>
            </w:r>
            <w:r>
              <w:rPr>
                <w:rStyle w:val="234"/>
                <w:rFonts w:hint="eastAsia" w:ascii="仿宋" w:hAnsi="仿宋" w:eastAsia="仿宋" w:cs="仿宋"/>
                <w:i w:val="0"/>
                <w:iCs w:val="0"/>
                <w:color w:val="auto"/>
                <w:sz w:val="24"/>
                <w:szCs w:val="24"/>
                <w:highlight w:val="none"/>
                <w:lang w:val="en-US" w:eastAsia="zh-CN" w:bidi="ar"/>
              </w:rPr>
              <w:t xml:space="preserve">  9、性能参数</w:t>
            </w:r>
            <w:r>
              <w:rPr>
                <w:rStyle w:val="234"/>
                <w:rFonts w:hint="eastAsia" w:ascii="仿宋" w:hAnsi="仿宋" w:eastAsia="仿宋" w:cs="仿宋"/>
                <w:i w:val="0"/>
                <w:iCs w:val="0"/>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1）整机气密1分钟内下降值为0MPa。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2）动态呼吸阻力：气瓶压力30MPa-2MPa呼吸量40*2.5L/min，全面罩内始终保持正压；吸气阻力≤350Pa；呼气阻力≤620Pa; 气瓶压力2MPa-1MPa呼吸量25*2L/min：全面罩内保持正压；吸气阻力≤360Pa；呼气阻力≤520Pa；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3）耐高温性能：高温试验后，各零部件无异常变形、粘连、脱胶等现象；以呼吸频率40次/min，呼吸流量100L/min呼吸，呼吸器的全面罩保持正压；呼气阻力≤610Pa；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4）耐低温性能：低温试验后，各零部件无开裂、异常收缩、发脆等现象；以呼吸频率25次/min，呼吸流量50L/min呼吸，呼吸器的全面罩内保持正压；呼气阻力≤510Pa；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5）耐辐射热性能：整机气密性能：在气密性能试验后，其压力表的压力指示值在1min内下降≤1.3MPa；气瓶压力30MPa~2MPa，呼吸量40*2.5L/min，吸气阻力≤90Pa，呼气阻力：≤900Pa；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6）静态压力（Pa）：静态压力≤300Pa，且不大于排气阀的开启压力。</w:t>
            </w:r>
          </w:p>
        </w:tc>
      </w:tr>
      <w:tr w14:paraId="5014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750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CECF0F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DDCA9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防盗窗破拆用角磨机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C53F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14D48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锂电充电式角磨机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1.工作电压≤24V；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2.最大输出功率≥1000W；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3.空载转速≤9000r/min；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4.切割深度≥30mm;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5.重量≤4KG；</w:t>
            </w:r>
          </w:p>
        </w:tc>
      </w:tr>
      <w:tr w14:paraId="28B2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7F9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侦检类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00D65C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884B2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有毒有害气体检测仪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DB94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62574D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一、产品功能要求：用于检查氧气、一氧化碳、二氧化氮、可燃气体、硫化氢气体浓度；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1、响应时间:泵吸式T90＜30s；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2、检测气体：氧气、一氧化碳、二氧化氮、可燃气体、硫化氢；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3、量程：氧气：0-30%VOL、一氧化碳：0-1000PPM、二氧化氮：0-100PPM、可燃气体：0-100%LEL、硫化氢：0-100PPM；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4、分辨率：氧气：0.1%VOL、一氧化碳：1PPM、二氧化氮：0.1PPM、可燃气体：0.1%LEL、硫化氢：0.1PPM；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5、工作环境:温度-10°C~50°C;相对湿度≤95%RH(无冷凝)；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6、工作电压:DC3.7V(充电锂电池供电，锂电池容量≥5000mAh)；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7、显示方式≥2.0英寸彩色显示模块；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8、报警方式:声光振显四重报警；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9、采样方式:泵吸式；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10、数据通信:支持USB连接电脑.上位机查看数据；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11、系统语言:支持中英文切换;其他语言可定制；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12、配备充电器:Type-C充电接口；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13、防爆等级≥ExibIlBT3Gb本质安全型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14、半导体传感器寿命：≥2年；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15、防护等级：≥IP65。</w:t>
            </w:r>
          </w:p>
        </w:tc>
      </w:tr>
      <w:tr w14:paraId="213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E9275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C81DF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A3048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漏电检测仪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EF57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AE0BD2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直径：≥32mm，长度：≥500.0mm，重量：≤450g，高温-20℃~60℃，持续时间≥2h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1、试样在 5kV，1min 耐压过程中，不应闪络、击穿，试验后，应无放电、灼伤痕迹，无明显发热现象。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2、探测范围或敏感度由TAC手杖和电线导体之间的距离决定，将电线导体放在不同位置以确定最大范围。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3、信号“探测”表示为每两秒“哔哔”的警告声至少响起一次。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4、探测电压：120V/60Hz或220V/50Hz或380V/50Hz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5、防水能力可承受飞溅的水滴</w:t>
            </w:r>
          </w:p>
          <w:p w14:paraId="09A1A3B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6、4节5号碱性电池或内置可充电电池供电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7、保存运输时为-40至158华氏度(-40至70摄氏度)</w:t>
            </w:r>
          </w:p>
          <w:p w14:paraId="17EB27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8、提供符合国家认证标准的检测机构出具的检验报告</w:t>
            </w:r>
          </w:p>
        </w:tc>
      </w:tr>
      <w:tr w14:paraId="690E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424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5B503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41F6A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91241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66237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D9D0D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1FDCD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0A583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5DE46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D1982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70477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061992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22BD65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防护类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A005B7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DA5FD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激流救生衣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ECA0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58C7C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1、背心式设计，救生衣主色为红色。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2、采用可提拉面料，具有良好的耐磨性、耐撕裂性、耐久性等特性。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3、四个前置方块挂点和胸前25个战术挂点，6个D型扣，可固定潜水刀、频闪灯、定位灯等装备。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4、松紧带设计，使得穿着人员更紧贴于颈部，领部后方扁平拖拽把手（橡胶材质），确保救援过程中使用者被施救时的紧急安全拖拽作用力。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5、性能等级/设计浮力：≥150N。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6、激流救生衣提供符合国家认证标准的第三方检测机构出具的检验报告。</w:t>
            </w:r>
          </w:p>
        </w:tc>
      </w:tr>
      <w:tr w14:paraId="246A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AFD8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F24CC5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496DE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水域救援头盔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5784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6A4A85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1、外壳采用全新ABS材料,结实、耐撞、承受力高。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2、内衬为高强度发泡材料，佩戴轻便舒适、不吸水。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3、符合人体工程学的多孔位设计,加快头部散热或排水以及减少风向阻力。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4、护耳组件外层采用ABS制成,固定在头盔两侧,护耳能全面地保护头部侧面免遭碰撞与擦伤，防止撞击中对耳朵造成伤害,内部使用柔软RB材质冷压成形，缓冲冲击力，佩戴舒适。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5、两侧附加战术导轨座，附带与头盔导轨兼容的夹具，可调节位置及角度。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6、重量：≤510克，穿戴轻便。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7、通用型头盔，适合大部分人头部尺寸，配专用调节器，可在56-62厘米之间调节。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8、提供符合国家认证标准的第三方检测机构出具的检验报告。</w:t>
            </w:r>
          </w:p>
        </w:tc>
      </w:tr>
      <w:tr w14:paraId="1A6C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E074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733B0E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8010C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135A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E1037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1、符合国家XF44-2015《消防头盔》标准要求，提供符合国家认证标准的第三方检测机构出具的检验报告。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2、为全盔式头盔，由帽壳、佩戴装置及附件（面罩、披肩）等构成，浅色透明面罩，粘贴消防帽徽。颜色:黄色、红色。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3、材质：帽壳材质为聚酰胺材料（PA66），缓冲层及下颏带材质为对人体无毒、无自然伤害的阻燃材料，帽壳为一次性注塑成型。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4、披肩：应为装卸式，采用芳纶阻燃面料复合的三层结构，颜色为藏蓝。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5、滑轨：盔体两侧设黑色多功能模块化滑轨，耐高温阻燃材质。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6、反光标识条：荧光黄色，荧光桔红色。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7、冲击吸收性能：高温预处理，最大冲击力≤3000N；辐射热预处理，最大冲击力≤3100N；低温预处理，最大冲击力≤3100N；浸水预处理，最大冲击力≤3200N。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8、阻燃性能：头盔经高温实验后，下颏带损毁长度≤15mm，续燃时间0s；披肩损毁长度≤30mm，续燃时间0s；面罩续燃时间 0s；各部分均无熔融、滴落现象。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9、电绝缘性能：帽壳泄露电流≤1.0mA。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10、下颏带抗拉强度：延伸长度≤20mm。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11、侧向刚性：帽壳最大变形≤32mm，卸载后变形≤3mm，帽壳无碎片脱落。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12、面罩光学性能：面罩透光率≥69%（浅色）。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13、披肩防水性能 耐静水压＞17kPa。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14、质量：≤1300g。</w:t>
            </w:r>
          </w:p>
        </w:tc>
      </w:tr>
      <w:tr w14:paraId="5372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AF1D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069125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872F1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B10E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C2AA7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1.1符合XF10-2014《消防员灭火防护服》标准要求，验收时提供符合国家认证标准的第三方检测机构出具的检验报告。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1.2符合应急管理部消防救援局最新款消防员灭火防护服款式标识要求。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1.3由防水透气层、隔热层、舒适层三层面料组成，分为上衣和下裤两部分，有救生拖拉带。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2.1外观为藏蓝色。颜色为藏蓝色，潘通色号为ANTONE19-4013TCXDarkNavy，色差≥3级（按《纺织品色牢度试验评定变色用灰色样卡》GB/T250-2008标准评判）。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2.2衣领。衣领为立领，前部设护领，内侧采用顺色贴肤舒适面料。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2.3上衣前门襟和裤子门禁拉链均为8号铜齿拉链，门襟魔术贴为贯通式；上衣下摆，上衣舒适层下摆设置止水布。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2.4标识魔术贴。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2.5反光标志带：采用“黄银黄”组合色反光标志带。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2.6裤脚口处采用圆弧形设计，内部设置止水布，内侧设置拉链，裤脚设耐磨材料包边。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2.7补强处理。肩、肘、膝部采用耐磨层加厚处理，耐磨层柔软且易于清洗。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2.8右肩部设有两个挂袢，衣和裤子间重叠部分≥200mm。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2.9裤子裆部采用一体式设计。裤子配H型背带，具有较强抗疲劳性、阻燃性能，背带可调节长度，可拆卸。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3.1外层面料（加强布面料）225±11g/m²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3.2防水透气层（隔热层）160±8g/m²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3.3舒适层：120±6g/㎡。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3.4反光标志带经向：≤35mm、纬向：≤35mm，所有试验续燃时间≤1s，且无熔融滴落现象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3.5热稳定性能（变化率）：外层：≤2.0%；防水透气层：≤3.0%；外层加强材料：≤2.0%；舒适层：≤3.0%；试样表面无明显变化。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3.6缩水率：外层经纬向：≤1.0%；防水透气层（隔热层）经纬向：≤3.0%；舒适层经纬向：≤5.0%。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3.7表面抗湿性能：≥3级。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3.8断裂强力：外层：经向≥500N、纬向≥1000N；舒适层：经向≥300N、纬向≥400N；接缝断裂强力：经向≥400N、纬向≥400N。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3.9外层撕破强力：经向≥260N、纬向≥190N。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3.10色牢度：耐洗沾色4级、耐水摩擦4级、耐光色牢度：符合4级要求。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3.11防水透气层耐静水压＞50kpa、透湿≥5000（g/(㎡·24h)）、拒油性能≥3级。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3.12针距密度：明暗线≥12（针/3cm）。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3.13反光标志带：经耐热性能试验，反光材料表面无炭化、脱落现象，经高低温性能试验，产品未出现断裂、起皱、扭曲现象。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▲3.14质量：≤3kg。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3.15整体热防护性能（TPP（cal/c㎡））：≥30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3.16救生拖拉带：展开时间4s，拖动距离＞2.5m。</w:t>
            </w:r>
          </w:p>
        </w:tc>
      </w:tr>
      <w:tr w14:paraId="3693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02E6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5C300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CCEDA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8570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4A7E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1.符合XF7-2004《消防手套》标准，提供符合国家认证标准的第三方检测机构出具的检验报告，符合统型款要求。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2、用于手部防护，具备阻燃、隔热、反光、防水等性能。主要材质，防水层面料：透明低透防水袋，隔热测：芳纶隔热毡。主体材料、款式、标识等符合消防手套统型要求。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3.阻燃性能：手套和袖筒外层材料和隔热层材料的损毁长度≤50mm，续燃和阴燃时间≤0s，且无熔融、滴落现象。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4.整体热防护性能：≥28.0cal/cm2；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5.穿戴时间≤2s。</w:t>
            </w:r>
          </w:p>
        </w:tc>
      </w:tr>
      <w:tr w14:paraId="735A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26E1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7CB078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0D852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消防安全腰带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2F48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32B442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1.1符合国家XF494-2023《消防用防坠落装备》标准要求，验收时提供符合国家认证标准的第三方检测机构出具的检验报告。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1.2该产品符合消防安全腰带款式标识统型要求。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1.3正立方向静拉力：≥13kN，重量≤0.8kg。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2.1由织带、带扣、D型环和移动板组成，采取插扦改良式设计。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2.2主体颜色为藏蓝色。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2.3织带为一整根，没有接缝。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3.1扦针孔：优质不锈钢材质，直径12mm，成双排六列型式向前等距排列。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3.2织带：尼龙66材质，织带为整根，没有接缝，具有一定硬度，末端收尾为整烫圆弧型。织带边缘通过热封或其他措施来防止织线松脱。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3.3带扣：热锻铝7075合金材质，阳极氧化处理工艺。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3.4扦针：不锈钢420材质，双扦针。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3.5D型环：铝合金材质，阳极氧化处理工艺，配置两个D型环，厚度10±1mm，其中一个采用缝合固定；另一个采用移动板和D型环组合结构，可自由调节。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3.6耐高温性能：经（204±5）℃5min耐高温性能试验后，安全腰带的织带和缝线未出现熔融、焦化现象；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3.7金属零件的耐腐蚀性能：金属配件经48h中性盐雾试验后，外观符合GB/T6461外观等级评定轻微级的要求，并保持原有性能，各项指标符合标准要求。</w:t>
            </w:r>
          </w:p>
        </w:tc>
      </w:tr>
      <w:tr w14:paraId="7982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80F3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5FF40D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E1BBA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31D0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2B205E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1.1符合国家XF6-2004《消防员灭火防护靴》标准要求，验收时提供符合国家认证标准的第三方检测机构出具的检验报告。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1.2具有防刺穿、防砸、防滑、防强酸强碱等功能，脚码符合国家标准要求。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1.3主体颜色应为黑色，应便于消防员快速穿着，后跟可视部位处应有明显阻燃反光标志带，宽度不应小于50mm。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1.4从靴外底起至靴筒口最低处的高度不应低于340mm。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1.5靴帮、靴底材料应为阻燃橡胶，包头应为铝质防砸包头，靴底防穿刺层应采用芳香族聚酰胺纤维（凯夫拉纤维）复合材料，靴内衬采用发泡氯丁胶海绵材料。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1.6靴内采用减震缓冲排汗鞋垫，在足心处应采用足弓支撑设计，后跟结构应能够分散脚部冲击地面时的震荡波，可有效吸收地面冲击力。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2.1外底耐油性能-2至10%。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2.2耐砸性能：静压力≥18mm，冲击≥17mm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2.3抗刺穿性能：≥1900N.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2.4电绝缘性能：击穿电压大于5000V，泄漏电流≤0.5mA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2.5隔热性能：≤18℃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2.6抗辐射热渗透性能：≤20℃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2.7防滑性能：＞15°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2.8防水性能：没有出现渗水现象。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2.9质量：≤2.6kg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3.其他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3.1每只灭火防护胶靴靴帮外侧有以下永久性标志；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3.2严禁用于带电、浓酸和浓碱等有强烈腐蚀性的化学品场所作业。</w:t>
            </w:r>
          </w:p>
        </w:tc>
      </w:tr>
      <w:tr w14:paraId="733F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4217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806B67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94A7E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消防通用安全绳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804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8844D7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1.1符合国家XF494-2023《消防用防坠落装备》标准要求，验收时提供符合国家认证标准的第三方检测机构出具的检验报告。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2.1安全绳整体粗细均匀、结构一致，表面无任何机械损伤，并且绳两端妥善收尾。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2.2整绳由绳芯、绳皮连续组合而成，绳皮材料和绳芯材料为涤纶纤维。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2.3使用同种材料的细绳扎缝50mm，在扎缝处热封，扎缝处包以裹紧的金属内环或塑料套管。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3.1直径：≤16mm，长度30米。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3.2破断强度：≥50KN。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3.3延伸率：当承重达到破断强度的10%时，安全绳的延伸率为≤4.0%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3.4耐高温性能：经（204±5）℃耐高温性能试验后，未出现熔融、焦化现象。</w:t>
            </w:r>
          </w:p>
        </w:tc>
      </w:tr>
      <w:tr w14:paraId="79A6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3746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D3D6A6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E0E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佩戴式防爆照明灯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B0A0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6F35B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检验依据 GB30734-2014《消防员照明灯具 》GB/T3836.1-2021   爆炸性环境第1部分：设备通用要求，GB/T3836.4-2021 爆炸性环境第4部分：由本质安全型“i”保护的设备</w:t>
            </w:r>
          </w:p>
          <w:p w14:paraId="16F59EA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光源采用 LED 光源，强光平均照度应不低于 1272lx，最低照度应不低于1169lx，弱光平均照度应不低于 802lx,最低照度应不低于 721lx。（须在检验报告中体现验证）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2、采用尾部大开关设计，同时灯具尾部带有红色方位灯，起到警示和定位作用。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3、采用全新 Type-c 充电口设计，灯体表面通过 4 格 LED 蓝色电量显示装置，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4、照明功能：灯具通过轻按开关可实现强光、弱光、爆闪的开启、关闭和切换，对现场进行照明、信号指示；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5、防爆等级不低于 ExibIICT4Gb。（防爆合格证证明）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6、电池装入灯具是无需区分安装方向；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7、灯具跌落高度：1M,跌落次数 4 次 ，试验结果应不影响防爆型式的任何损坏 ，跌落试验合格 。</w:t>
            </w:r>
          </w:p>
          <w:p w14:paraId="6AA40102">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 、基本参数：额定电压：DC3.7V 、额定容量：1.9Ah、连续放电时间：480min( 弱光 )/240min ( 强光 )充电时间：4h、重量：≤ 100g(含电池不含支架)、支架≤40g。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9、外壳防护：IP68（2m,90min）；（防爆合格证证明）                                                      10、照明灯潜水深度5m，持续时间1h（提供符合国家认证标准的第三方检测机构出具的检验报告）</w:t>
            </w:r>
          </w:p>
        </w:tc>
      </w:tr>
      <w:tr w14:paraId="08DD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A69E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709AA3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C3582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消防员呼救器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938C07">
            <w:pPr>
              <w:keepNext w:val="0"/>
              <w:keepLines w:val="0"/>
              <w:pageBreakBefore w:val="0"/>
              <w:widowControl/>
              <w:suppressLineNumbers w:val="0"/>
              <w:kinsoku/>
              <w:wordWrap/>
              <w:overflowPunct/>
              <w:topLinePunct w:val="0"/>
              <w:autoSpaceDE w:val="0"/>
              <w:autoSpaceDN w:val="0"/>
              <w:bidi w:val="0"/>
              <w:adjustRightInd w:val="0"/>
              <w:spacing w:line="336"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C1E584D">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1.整体性能</w:t>
            </w:r>
          </w:p>
          <w:p w14:paraId="6D97536D">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bCs/>
                <w:color w:val="auto"/>
                <w:sz w:val="24"/>
                <w:szCs w:val="24"/>
                <w:highlight w:val="none"/>
              </w:rPr>
              <w:t>符合GB  27900-2011《消防员呼救器》标准</w:t>
            </w: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r>
              <w:rPr>
                <w:rFonts w:hint="eastAsia" w:ascii="仿宋" w:hAnsi="仿宋" w:eastAsia="仿宋" w:cs="仿宋"/>
                <w:color w:val="auto"/>
                <w:sz w:val="24"/>
                <w:szCs w:val="24"/>
                <w:highlight w:val="none"/>
              </w:rPr>
              <w:t>。</w:t>
            </w:r>
          </w:p>
          <w:p w14:paraId="0E29CA59">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bCs/>
                <w:color w:val="auto"/>
                <w:kern w:val="0"/>
                <w:sz w:val="24"/>
                <w:szCs w:val="24"/>
                <w:highlight w:val="none"/>
              </w:rPr>
              <w:t>用于消防员在黑暗、浓烟等环境中的位置标识及呼救报警，具备防水、防爆、耐挤压、耐高温等性能。</w:t>
            </w:r>
          </w:p>
          <w:p w14:paraId="74037C3D">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2.技术性能</w:t>
            </w:r>
          </w:p>
          <w:p w14:paraId="23B0508B">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2.1</w:t>
            </w:r>
            <w:r>
              <w:rPr>
                <w:rFonts w:hint="eastAsia" w:ascii="仿宋" w:hAnsi="仿宋" w:eastAsia="仿宋" w:cs="仿宋"/>
                <w:color w:val="auto"/>
                <w:sz w:val="24"/>
                <w:szCs w:val="24"/>
                <w:highlight w:val="none"/>
              </w:rPr>
              <w:t>可充电，配有充电短路保护的智能充电器，每一只呼救器配有一个充电器</w:t>
            </w:r>
          </w:p>
          <w:p w14:paraId="5FD2BAD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2允许静止时间：30±2s。</w:t>
            </w:r>
          </w:p>
          <w:p w14:paraId="05286771">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3预报警时间：15±2s。</w:t>
            </w:r>
          </w:p>
          <w:p w14:paraId="2C9CDFE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2.4预报警声级强度：≥80dB。</w:t>
            </w:r>
          </w:p>
          <w:p w14:paraId="4F7F6EC2">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2.5报警声级强度：≥100dB。</w:t>
            </w:r>
          </w:p>
          <w:p w14:paraId="47459A7E">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2.6连续工作时间：连续开机时间≥24h；连续报警时间≥1500min。</w:t>
            </w:r>
          </w:p>
          <w:p w14:paraId="5BAAFB5D">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2.7质量：≤300g。</w:t>
            </w:r>
          </w:p>
          <w:p w14:paraId="49F073BE">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2.8绝缘性能：大于550MΩ。</w:t>
            </w:r>
          </w:p>
          <w:p w14:paraId="58301C2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2.9发光亮度：≥300cd/㎡。</w:t>
            </w:r>
          </w:p>
          <w:p w14:paraId="6811F09B">
            <w:pPr>
              <w:keepNext w:val="0"/>
              <w:keepLines w:val="0"/>
              <w:pageBreakBefore w:val="0"/>
              <w:widowControl/>
              <w:suppressLineNumbers w:val="0"/>
              <w:kinsoku/>
              <w:wordWrap/>
              <w:overflowPunct/>
              <w:topLinePunct w:val="0"/>
              <w:autoSpaceDE w:val="0"/>
              <w:autoSpaceDN w:val="0"/>
              <w:bidi w:val="0"/>
              <w:adjustRightInd w:val="0"/>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2.10防爆标志：Ex ia IIC T4 Ga</w:t>
            </w:r>
          </w:p>
        </w:tc>
      </w:tr>
      <w:tr w14:paraId="2CDA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AB57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4246FB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E60BF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方位灯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7C40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8D1763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符合GB/T27899-2011《消防员方位灯》标准要求，            GB/T3836.1-2021爆炸性环境 第 1部分:设备通用要求  GB/T3836.4-2021爆炸性环境 第4部分:由质安全型“i”保护的设备</w:t>
            </w:r>
          </w:p>
          <w:p w14:paraId="5B6383DA">
            <w:pPr>
              <w:keepNext w:val="0"/>
              <w:keepLines w:val="0"/>
              <w:widowControl/>
              <w:numPr>
                <w:ilvl w:val="0"/>
                <w:numId w:val="6"/>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方位灯适用于消防灭火救援现场、易燃易爆场所等使用，外壳采用 抗强力冲击材料。                                    2、采用 LED 光源,具有频闪功能。                                                               3、方位灯设置有挂扣夹，挂扣夹顶端设置挂扣环；可以通过夹持、 挂扣环等方式佩戴。                            </w:t>
            </w:r>
          </w:p>
          <w:p w14:paraId="03FAE73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4、方位灯采用7号干电池方式供电。闪光频率1HZ-2HZ。                                 5、外形尺寸（长×宽×高）：≤70mm×50mm×40mm。                                                      6、防爆等级不低于 Ex ia IIc T6 Ga                                                7、外壳防护等级不低于 IP68 (2m,90min)                                                        8、方位灯发光亮度应不小于 300cd/m2                                                  9、方位灯质量：≤0.1kg </w:t>
            </w:r>
          </w:p>
        </w:tc>
      </w:tr>
      <w:tr w14:paraId="5AD1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8964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9B358F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71A5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消防轻型安全绳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5CCD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482CEE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符合XF494-2023标准；用途：消防员灭火救援、抢险救灾或日常训练。结构：为夹心绳，承重部分由连续纤维材料制成，强度高、延伸率小、抗冲击性能好、耐高温。</w:t>
            </w:r>
          </w:p>
          <w:p w14:paraId="366648BD">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2、</w:t>
            </w:r>
            <w:r>
              <w:rPr>
                <w:rFonts w:hint="eastAsia" w:ascii="仿宋" w:hAnsi="仿宋" w:eastAsia="仿宋" w:cs="仿宋"/>
                <w:i w:val="0"/>
                <w:iCs w:val="0"/>
                <w:color w:val="auto"/>
                <w:kern w:val="0"/>
                <w:sz w:val="24"/>
                <w:szCs w:val="24"/>
                <w:highlight w:val="none"/>
                <w:u w:val="none"/>
                <w:lang w:val="en-US" w:eastAsia="zh-CN" w:bidi="ar"/>
              </w:rPr>
              <w:t>直径10±0.5mm，长度，20米，破断强度：≥25KN；</w:t>
            </w:r>
          </w:p>
          <w:p w14:paraId="7F526222">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3、</w:t>
            </w:r>
            <w:r>
              <w:rPr>
                <w:rFonts w:hint="eastAsia" w:ascii="仿宋" w:hAnsi="仿宋" w:eastAsia="仿宋" w:cs="仿宋"/>
                <w:i w:val="0"/>
                <w:iCs w:val="0"/>
                <w:color w:val="auto"/>
                <w:kern w:val="0"/>
                <w:sz w:val="24"/>
                <w:szCs w:val="24"/>
                <w:highlight w:val="none"/>
                <w:u w:val="none"/>
                <w:lang w:val="en-US" w:eastAsia="zh-CN" w:bidi="ar"/>
              </w:rPr>
              <w:t>耐高温性能：在温度204℃时间5MIN环境下，不融熔、焦化。</w:t>
            </w:r>
          </w:p>
          <w:p w14:paraId="37AFFE4A">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4、</w:t>
            </w:r>
            <w:r>
              <w:rPr>
                <w:rFonts w:hint="eastAsia" w:ascii="仿宋" w:hAnsi="仿宋" w:eastAsia="仿宋" w:cs="仿宋"/>
                <w:i w:val="0"/>
                <w:iCs w:val="0"/>
                <w:color w:val="auto"/>
                <w:kern w:val="0"/>
                <w:sz w:val="24"/>
                <w:szCs w:val="24"/>
                <w:highlight w:val="none"/>
                <w:u w:val="none"/>
                <w:lang w:val="en-US" w:eastAsia="zh-CN" w:bidi="ar"/>
              </w:rPr>
              <w:t>当承重达到最小破断强度的10%时，安全绳的延伸率为≤6.3%。产品提供符合国家认证标准的第三方检测机构出具的检验报告。</w:t>
            </w:r>
          </w:p>
        </w:tc>
      </w:tr>
      <w:tr w14:paraId="18EB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A8D2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C601C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494E2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消防腰斧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A770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E579E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1.体性能符合XF 630-2023《消防腰斧》标准要求；提供符合国家认证标准的第三方检测机构出具的检验报告                                                                                                                      2.整体重量≤1kg                                                                                                                                                    3.尺寸≤320mm X 175mm                                                                                                          4.电绝缘性能 ≥10MΩ</w:t>
            </w:r>
          </w:p>
        </w:tc>
      </w:tr>
      <w:tr w14:paraId="0A95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66BB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65359D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547FE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D72C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5B5CC4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1、符合XF 633-2006《消防员抢险救援防护服装》标准要求.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2、半盔式头盔，颜色：桔红色或红色可选。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3、盔壳采用高强度塑料材料制成，顶部有加强筋，高抗冲击，具有优异的防紫外线功能。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4、头盔粘贴有反光标志，头盔指定位置可粘贴标识。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5、佩戴装置整体为黑色，能灵活方便地调节大小。帽托和缓冲层形状适体，且不移位，佩戴舒适。顶部为网状衬垫，四周为舒适层。下颏带能灵活方便地调节长短，保证佩戴头盔稳定舒适，解脱方便。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6、帽壳两侧设有安装通讯、照明等配件的结构，多功能模块化滑轨设计，可自由调整位置，为阻燃尼龙材质。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7、帽箍调节器为旋钮式。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8、下颏带插扣为快脱插扣。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9、冲击吸收性能：高温预处理、低温预处理、浸水预处理，最大冲击力≤2900N。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10、阻燃性能：火源离开帽壳后，帽壳火焰在 5s 内自熄。电绝缘性能：≤1.5mA。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11、侧向刚性：帽壳最大变形值≤40mm,卸载后变形值≤7 mm。下额带抗拉强度：延伸长度≤17 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12、质量（不含附件）：≤800g。</w:t>
            </w:r>
          </w:p>
        </w:tc>
      </w:tr>
      <w:tr w14:paraId="421C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8259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A15AC5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2EC9F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ECE4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C5878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1.整体性能总体性能符合XF633-2006《消防员抢险救援服装》的标准。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2.1热稳定性能：在温度180±5℃条件下，经5分钟后，试样表面吴变化，且无熔融、熔滴和剥离现象。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2.2手套耐磨性能优异，在9kPa的压力下，经5000次循环摩擦后，试样不应被磨穿。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2.3手套耐撕破性能：经向≥90N，纬向≥130N；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2.4抗切割性能：≥15N。</w:t>
            </w:r>
          </w:p>
        </w:tc>
      </w:tr>
      <w:tr w14:paraId="5036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681C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FE6B4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7F1A0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875F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AD329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1、产品符合XF633-2006《消防员抢险救援防护服装》标准。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2、产品款式为上衣和下裤，整套服装颜色采用拼色结构，配备行军帽、腰带和抢险救援专用臂章。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3、采用双层结构织法，内层采用舒适性纤维混纺材料；颜色为潘通色号17-1456TPX的桔色. 阻燃性能：续燃时间≤0.5s，损毁长度经、纬向≤80mm，且不应有熔融、滴落现象；断裂强力：经向≥700N，纬向≥800N；撕破强力：经向≥140N，纬向≥150N；耐洗沾色、耐水摩擦及光色牢度≥4级。面料超吸汗快干，并且对面料表面稳定具有一定的调整功能。耐水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4、款式：上下分体式结构，衬衫式设计，脚口和袖口设有魔术贴，易于收紧，整体协调，便于靴子和手套穿脱；肩、肘、臀、膝 盖、裆部外贴外层面料衬芳纶毡，加厚处理增加耐磨性；小立领设计，拉链可拉至领口上方，外加门排和护领，保证颈部防护的同时，穿着舒适，不影响头部活动；前胸左右胸可用魔术贴粘贴标识，反光标志带下方两个有盖贴袋采用拼色，可放置轻便工具；后背折裥设计，增加手臂伸展活动量，穿着舒适；膝盖两侧收折裥，使膝盖弯曲，符合人体工程学；裤腰设置防滑腰衬，两侧装橡筋 收紧，裤门襟用裤钩和拉链闭合。裤腰下两个口袋，放置轻便物品。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5、产品所有硬质附件表面光滑，无毛刺和锋利的边缘，五金件经过防腐蚀处理。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6、产品的缝纫线热稳定性能：经（180±5）℃,热稳定性能试验后，缝纫线无熔融，收缩现象；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7、救援服上衣前门襟和裤子前襟选用8号拉链，颜色与外层面料相匹配。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8、救援服标识、反光标志采用耐火、防水、荧光材料喷涂印制，样式按照部局24式统型标准执行。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9、产品具有清晰耐久标志（执行标准、型号、规格；生产厂的名称或商标）。</w:t>
            </w:r>
          </w:p>
        </w:tc>
      </w:tr>
      <w:tr w14:paraId="1C64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F93A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32096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7891A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4BF5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998B1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消防员抢险救援靴A型总体性能符合XF633-2006《消防员抢险救援防护服装》的标准，验收时提供符合国家认证标准的第三方检测机构出具的检验报告。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1、整靴的主体颜色应为黑色，且有醒目颜色反光标志。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2、鞋带：阻燃橘红色鞋带，鞋舌上方设计有储存鞋带的收拉袋。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3、靴底抗刺穿力≥1100N。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4、质量：255码的整双靴总质量不应超过2.5kg。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5、热稳定性能：抢险救援靴在温度为（180±5）℃条件下，经5min后，靴上任何部件不应产生熔滴，所有硬质附件应保持性能完好。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6、抢险救援靴在进行防滑性能试验时，始滑角≥22°。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7、抢险救援靴的击穿电压≥5000V，且泄漏电流≤0.13mA。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8、抢险救援靴在抗热辐射性能试验中10kW/m2被辐照1min后，靴底内的温升≤8.6℃。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9、鞋头耐压性能：内靴头间隙高度≥15mm。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10、鞋头抗冲击性能：内靴头间隙高度≥17mm。</w:t>
            </w:r>
          </w:p>
        </w:tc>
      </w:tr>
      <w:tr w14:paraId="3370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60D41">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AEDCC1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A1D24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消防员灭火防护头套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AC4C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57921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1.整体性能符合国家XF869-2010《消防员灭火防护头套》标准要求，提供符合国家认证标准的第三方检测机构出具的检验报告。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2.材料及结构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2.1面料为芳纶针织面料.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2.2头套前部、后部与防护服领口内重叠的长度≥200mm，头套侧部与防护服领口内重叠的长度≥130mm，保证在剧烈运动时，头套仍然能够固定并塞在衣服内。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3.1阻燃性能：经向损毁长度≤40mm、纬向损毁长度≤40mm，续燃时间0s，无熔融、滴落现象；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3.2热稳定性能：尺寸变化率≤5.0%，无变色、熔融和滴落现象；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3.3水洗尺寸变化率：直向≤3%、横向≤3%；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3.4抗起球性能：4-5级；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3.5甲醛含量：无；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3.6PH值：4.0-7.5；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3.7缝纫线耐高温性能：无熔融、炭化现象；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3.8整体性能：接缝强力：≥810N；针距密度：缝制明暗线≥14针/3cm；质量：≤150g。</w:t>
            </w:r>
          </w:p>
        </w:tc>
      </w:tr>
      <w:tr w14:paraId="785C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1139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53C54E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1059C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消防全身式安全吊带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6FC6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5AE867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1、符合XF494-2023《消防用防坠落装备》标准。</w:t>
            </w:r>
          </w:p>
          <w:p w14:paraId="61623FB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2、吊带腰部前方、胸剑骨部位和背部各设有一个金属拉环，腰后部设有一个织带拉环作为承载连接部件，腰部左右两侧设各设有一个金属拉环用于工作定位和器具携带。</w:t>
            </w:r>
          </w:p>
          <w:p w14:paraId="51854EF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3、织带采用高强涤纶长丝材质，金属拉环材质为7075航空铝、中碳钢。</w:t>
            </w:r>
          </w:p>
          <w:p w14:paraId="7402C6D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4、织带宽度43±2mm，厚度1.5±0.2mm，腰部后方金属拉环厚度:5.0±1 mm;腰部前方、胸剑骨部位和背部金属拉环最大厚度 12±1mm，最小厚度 6.5±1mm。</w:t>
            </w:r>
          </w:p>
          <w:p w14:paraId="24B76B6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5、设计负荷≥2.67kN。</w:t>
            </w:r>
          </w:p>
          <w:p w14:paraId="1550B1D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6、安全带带扣边角半径≥6mm。</w:t>
            </w:r>
          </w:p>
          <w:p w14:paraId="26B353E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7、全身型安全吊带上所有承载连接部件应进行正立、倒立和水平方向静拉力试验。试验后安全吊带不应从人体模型上松脱,安全吊带的织带在带扣和调节装置内的滑移距离应不超过 25 mm，而且安全吊带不应出现影响其安全性能的明显损伤。</w:t>
            </w:r>
          </w:p>
          <w:p w14:paraId="44BE2DF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8、所有连接部件进行冲击试验时，安全带未从人体模型松脱，且未出现影响安全性能的明显损伤。</w:t>
            </w:r>
          </w:p>
          <w:p w14:paraId="62C2CF1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9、经204℃±5℃的耐高温性能试验后，安全带的织带和缝线未出现熔融、焦化现象。</w:t>
            </w:r>
          </w:p>
          <w:p w14:paraId="3CBBAA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10、试样中的金属零件经 GB/T 10125 规定的 48h 中性盐雾试验后，外观符合 GB/T6461外观等级评定轻微级的要求。</w:t>
            </w:r>
          </w:p>
        </w:tc>
      </w:tr>
      <w:tr w14:paraId="74B5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2FAF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311901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A938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手提式强光照明灯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76D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4E2F6B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检验依据 GB30734-2014《消防员照明灯具 》。GB/T3836.1-2021 爆炸性环境第1部分：设备通用要求，GB/T3836.2-2021  爆炸性环境第2部分：由隔爆外壳“d”保护的设备。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GB/T3836.4-2021  爆炸性环境第4部分：由本质安全型“i”保护的设备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1、光源功率:2x12W(聚光)，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2、额定电压:≥DC22.2V（防爆合格证证明）                                                                                                                                                          3、额定容量:≥2.6Ah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4、防爆标志:Ex db ia ⅡC T6 Gb（防爆合格证证明）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5、连续放电时间:≥10h(聚光工作光)、≥5h(聚光强光)≥16h/≥8h(泛光工作光单侧/双侧)≥8h/≥4h(泛光强光单侧/双侧)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6、充电时间:≤3h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7、重量:≤1.5kg（提供符合国家认证标准的第三方检测机构出具的检验报告）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8、外形尺寸:(ф70±3)x(190±3)mm(外径x长)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9、防护等级:IP68（1.5m,2h）(防爆合格证证明)                                                                                                                                                    10、潜水深度5m，持续时间1h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11、灯具需采用双开关双光型光源配置，双光型采用12W暖白+12W冷白设计;并具有聚光、泛光、红蓝警示多种工作模式需同时具有暖白光源及冷白光源可通过开关控制实现白光、黄光切换转换。                                                                                   12、有电量显示，泛光工作灯、红蓝警示灯、冷暖切换、磁力吸附。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13、光源采用 LED 光源，5米处强光平均照度应不低于1650lx，弱光平均照度应不低于 760lx,最低照度应不低于700lx。（须在检验报告中体现验证）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14、低电压报警时间:10-20s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15、低电压状态下连续工作时间:强光≥15min工作光≥30min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p>
        </w:tc>
      </w:tr>
      <w:tr w14:paraId="01BD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AC73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C71A15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8428F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消防护目镜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5DB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0820DE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1.1符合国家XF1273－2015《消防员防护辅助装备消防护目镜》标准，验收时提供符合国家认证标准的第三方检测机构出具的检验报告。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2.1除镜片边缘5MM宽的区域以外，镜片不存在气泡、水泡、划痕、凹痕、固体杂质、气体杂质、暗点、斑点、蚀损斑、霉斑、修补斑、蚀孔、碎片、裂纹、抛光缺陷或波纹等表面缺陷。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2.2松紧带具有较强抗疲劳性。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2.3光透射比：≥85%。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2.4在防雾试验期间，护目镜镜片在10s内不起雾。</w:t>
            </w:r>
          </w:p>
        </w:tc>
      </w:tr>
      <w:tr w14:paraId="7F82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5C2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53FEB0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3D955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消防员防蜂服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20F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B8212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1、连体式，应具有很好的密封性；面罩为成型不锈钢网制成，应具有耐折、耐压、回弹性好特点，保护穿着的面部；不锈钢网的面罩应透气性好，视窗清晰，穿着舒适。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2、防蜂服包括头罩、上下衣、手套、胶靴连为一体，散热风扇（不少于两台、并外覆风扇保护罩）；头罩内置帽壳、帽衬，视窗为钢网面罩。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3、具有防割、防穿刺、防叮咬、防蜂蛰、防水等性能。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4、防蜂服本体面料断裂强力经向≥1300N；纬向≥800N；撕破强力：经向≥100N；纬向≥80N；抗蛰刺性能：≥0.4N。</w:t>
            </w:r>
          </w:p>
        </w:tc>
      </w:tr>
      <w:tr w14:paraId="44CF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bottom"/>
          </w:tcPr>
          <w:p w14:paraId="0A9CF3E5">
            <w:pP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492445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0DD9D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消防移动式照明装置</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C0734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653478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GB 26755-2011《消防移动式照明装置》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1.绝缘电阻应大于500MΩ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2.耐压强度：试验后应无击穿、闪络现象。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3.可靠性：照明装置经100个工作周期可靠性试验后，照明装置应能正常工作。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4.气候机械环境适应性：高温试验、低温试验、恒定湿热试验、雨淋试验、振动试验，试验后，照明装置应能正常工作。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5.升降时间：升降高度不大于5m，上升、下降≤60s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6.限位性能：1h内升降杆下滑应不超过6cm。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7.抗弯性能：在承受一定的水平拉力后，不得产生永久性变形。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8.水平回转角≥360°，俯仰角≥60°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9.照度：照明装置在10m处≥100Lx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10.防护性能：照明系统防护性能应符合GB4208规定的IP55的要求。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11.发电机、升降杆、脚轮、灯头、等组成。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12.光源类型：4×500W卤素灯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13.连续工作时间：可接市电供电长时使用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14.发电机组一次注满燃油：≥8 h，最大升起高度≥ 4 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15.额定输出功率/燃油箱额定容量：≥3000W/15L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须提供符合国家认证标准的第三方检测机构出具的检验报告。</w:t>
            </w:r>
          </w:p>
        </w:tc>
      </w:tr>
      <w:tr w14:paraId="7672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bottom"/>
          </w:tcPr>
          <w:p w14:paraId="65F3B79B">
            <w:pP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4758BC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62F05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便携式应急终端、防毒面罩</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3ABF9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C7B525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便携式应急终端：</w:t>
            </w:r>
          </w:p>
          <w:p w14:paraId="65F15EC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短报文通信：具有北斗三号RDSS短报文通信功能；</w:t>
            </w:r>
          </w:p>
          <w:p w14:paraId="2C018C2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2、定位功能：支持单北斗定位模块；</w:t>
            </w:r>
          </w:p>
          <w:p w14:paraId="1DFAC1B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3、语音播报：支持语音播报功能；</w:t>
            </w:r>
          </w:p>
          <w:p w14:paraId="42E1D70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4、报警功能：支持一键SOS报警，并且有防误触翻盖；</w:t>
            </w:r>
          </w:p>
          <w:p w14:paraId="641F7BC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5、报平安功能：支持一键报告平安；</w:t>
            </w:r>
          </w:p>
          <w:p w14:paraId="481D4A5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6、追踪模式功能：可设置自动频度的位置上报；</w:t>
            </w:r>
          </w:p>
          <w:p w14:paraId="03BA11A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7、落水报警功能：具有落水检测，自动开机，自动报警；</w:t>
            </w:r>
          </w:p>
          <w:p w14:paraId="7679C23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8、状态指示：具有电量、卫星信号强度、短报文接收及定位指示灯；</w:t>
            </w:r>
          </w:p>
          <w:p w14:paraId="5A03541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9、单向上报支持微信小程序应用，支持发送手机短信、微信，报警信息支持电话、短信、公众号通知；</w:t>
            </w:r>
          </w:p>
          <w:p w14:paraId="65C17D3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10、支持选配配套通信APP支持北斗三号二级卡发7秒及以上语音；</w:t>
            </w:r>
          </w:p>
          <w:p w14:paraId="1037828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11、配套通信APP支持渐进式图片传输方式，丢非核心包情况下不影响图片的合成；</w:t>
            </w:r>
          </w:p>
          <w:p w14:paraId="62D4899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12、支持4G，有公网信号4G上报，无公网信号自动切换北斗短报文上报；</w:t>
            </w:r>
          </w:p>
          <w:p w14:paraId="5959EAE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13、续航时间：位置追踪状态（2分钟上报一次）≥17小时，报警求救SOS状态(10分钟上报一次)≥72小时</w:t>
            </w:r>
          </w:p>
          <w:p w14:paraId="647C22A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14、支持防反接，断电数据保护；</w:t>
            </w:r>
          </w:p>
          <w:p w14:paraId="52ACADF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15、尺寸：≤105*65*25mm；</w:t>
            </w:r>
          </w:p>
          <w:p w14:paraId="12BE67E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16、防护等级：≥IP67；</w:t>
            </w:r>
          </w:p>
          <w:p w14:paraId="08EDDCE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17、接口型式：磁吸充电接口；</w:t>
            </w:r>
          </w:p>
          <w:p w14:paraId="37DD8C6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▲18、设备需包含北斗白卡、物联网卡、应急规约、入网序列号，设备能无缝接入浙江北斗应急终端管理平台，并且提供平台维护，时间至少五年。                                              </w:t>
            </w:r>
          </w:p>
          <w:p w14:paraId="2938833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防毒面罩：</w:t>
            </w:r>
          </w:p>
          <w:p w14:paraId="42C6262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1、检验依据符合GB 2890一2009《呼吸防护自吸过滤式防毒面具》；</w:t>
            </w:r>
          </w:p>
          <w:p w14:paraId="277C931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2、面罩阻燃性：续燃时间0s；</w:t>
            </w:r>
          </w:p>
          <w:p w14:paraId="6129996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3、当呼气阀减压至-1180 Pa 时，全面罩呼气阀于 45 s 内负压值下降不大于 500 Pa；</w:t>
            </w:r>
          </w:p>
          <w:p w14:paraId="7EF44A7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4、面量泄漏率：全面罩的泄漏率不大于 0.05 %；</w:t>
            </w:r>
          </w:p>
          <w:p w14:paraId="6CE9F5F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5、面罩死腔：面罩死腔测试结果不大于 1%；</w:t>
            </w:r>
          </w:p>
          <w:p w14:paraId="259AA00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6、面罩吸气阻力：39pa；</w:t>
            </w:r>
          </w:p>
          <w:p w14:paraId="787F8AB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7、面晕呼气阀阻力：55Pa；</w:t>
            </w:r>
          </w:p>
          <w:p w14:paraId="6548EC8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8、镜片透光率≥90%。</w:t>
            </w:r>
          </w:p>
        </w:tc>
      </w:tr>
    </w:tbl>
    <w:p w14:paraId="51C41789">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5EB3AB8">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1.以上清单中的货物“主要技术性能要求 ”等仅作对拟购货物的功能、技术性能、技术参数等最低标准的说明，而非采购人对某一或某些品牌产品的特定指向。投标人可根据各自的方案提供合理的产品配置方案，但必须达到国家或行业的标准规范及招标需求的基本要求，且产品的功能、技术性能、规格、技术参数等要优于或相当于招标需求中的各项要求。</w:t>
      </w:r>
    </w:p>
    <w:p w14:paraId="652637AD">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2.投标人应根据所投货物（产品）实际情况提供准确技术参数和性能指标（或配置）进行响应， 若因投标人未如实响应所造成的投标无效、无法履约验收等风险，由投标人承担相应法律责任且采购人将保留向该投标人追偿的权力。</w:t>
      </w:r>
    </w:p>
    <w:p w14:paraId="27E41DA3">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注：技术参数中标注“★”的为</w:t>
      </w:r>
      <w:r>
        <w:rPr>
          <w:rFonts w:hint="eastAsia" w:ascii="仿宋" w:hAnsi="仿宋" w:eastAsia="仿宋" w:cs="仿宋"/>
          <w:b/>
          <w:bCs/>
          <w:color w:val="auto"/>
          <w:sz w:val="24"/>
          <w:highlight w:val="none"/>
          <w:lang w:val="en-US" w:eastAsia="zh-CN"/>
        </w:rPr>
        <w:t>实质性响应条款，不满足则做无效投标处理，</w:t>
      </w:r>
      <w:r>
        <w:rPr>
          <w:rFonts w:hint="eastAsia" w:ascii="仿宋" w:hAnsi="仿宋" w:eastAsia="仿宋" w:cs="仿宋"/>
          <w:b/>
          <w:bCs/>
          <w:color w:val="auto"/>
          <w:sz w:val="24"/>
          <w:highlight w:val="none"/>
        </w:rPr>
        <w:t>标注“</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”的为</w:t>
      </w:r>
      <w:r>
        <w:rPr>
          <w:rFonts w:hint="eastAsia" w:ascii="仿宋" w:hAnsi="仿宋" w:eastAsia="仿宋" w:cs="仿宋"/>
          <w:b/>
          <w:bCs/>
          <w:color w:val="auto"/>
          <w:sz w:val="24"/>
          <w:highlight w:val="none"/>
          <w:lang w:val="en-US" w:eastAsia="zh-CN"/>
        </w:rPr>
        <w:t>重要技术参数条款，对此投标人需提供相关检测报告佐证是否满足实质性响应条款和重要技术参数条款的要求</w:t>
      </w:r>
      <w:r>
        <w:rPr>
          <w:rFonts w:hint="eastAsia" w:ascii="仿宋" w:hAnsi="仿宋" w:eastAsia="仿宋" w:cs="仿宋"/>
          <w:b/>
          <w:bCs/>
          <w:color w:val="auto"/>
          <w:sz w:val="24"/>
          <w:highlight w:val="none"/>
        </w:rPr>
        <w:t>。以上需要提供的相关证明材料、佐证资料由供应商保证材料的真实性。中标后5个工作日内采购人有权对以上资料的真实性进行核查，若发现弄虚作假的，按相关规定处理。</w:t>
      </w:r>
    </w:p>
    <w:p w14:paraId="08FBB5AF">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产品质量、供货、安装调试及验收</w:t>
      </w:r>
    </w:p>
    <w:p w14:paraId="7391AF27">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、质量要求</w:t>
      </w:r>
    </w:p>
    <w:p w14:paraId="43A4935D">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（1）投标人拟投货物应符合国家相关的行业标准、出厂标准，以及质量安全要求，交货期内货 物相关标准和技术规范等有更新或发布新标准时，投标人应遵照最新标准进行供货和提供配套服务。</w:t>
      </w:r>
    </w:p>
    <w:p w14:paraId="1208B8C0">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拟投货物须为近半年内出厂的原装全新、未使用过的、符合相关质量标准的合格产品（包括标准件、零部件等）。投标文件中须提供照片或说明书等相关证明材料。中标单位不得以次充好，产品来源合法，同时应根据国家有关规定及采购人的要求做好售后服务工作，否则采购人有权拒绝验收并追究中标单位的违约责任。</w:t>
      </w:r>
    </w:p>
    <w:p w14:paraId="73C774C3">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（3）供货过程中若出现部件缺少或损坏，投标人应立即补足或更换全新同规格产品，并承担相关费用直至完全达到验收标准为止，由此产生的逾期或违约风险及相关费用全部由中标单位自行承担。</w:t>
      </w:r>
    </w:p>
    <w:p w14:paraId="24D9DCFE">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（4）采购人机械设备使用过程中因产品质量问题造成的故障，中标单位积极配合妥善解决，如产品内部结构或主要零部件因厂家制造问题造成的事故，中标单位承担全部责任，造成采购单位损失的，全部由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赔偿。</w:t>
      </w:r>
    </w:p>
    <w:p w14:paraId="04A5AE84">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（4）中标单位应按照国家有关标准和招标文件要求对本采购货物进行安装调试，并确保所有货物能够正常使用和通过验收。</w:t>
      </w:r>
    </w:p>
    <w:p w14:paraId="7D856C19">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（3）验收时因产品质量产生任何问题，采购人有权无条件退换货，如造成损失，由中标单位承担赔偿责任。</w:t>
      </w:r>
    </w:p>
    <w:p w14:paraId="03CD7B4C">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（5）中标单位应保证其提供的产品中所有预装和为本项目安装的软件均为具有合法版权或使用权的正版软件且无质量瑕疵，并提供所有软件终生免费升级服务。</w:t>
      </w:r>
    </w:p>
    <w:p w14:paraId="41068CD7">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2、包装及运输要求</w:t>
      </w:r>
    </w:p>
    <w:p w14:paraId="421C1F9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（1）中标单位提供的货物须具有安全保护、保险措施，以防止货物在运输途中受损或损坏。</w:t>
      </w:r>
    </w:p>
    <w:p w14:paraId="18BC2E94">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单位负责货物的包装及运输，货物包装应符合国家或专业（部）标准规定，应适合远距离运输和反复搬运，中标单位应在货物发运前对其进行满足运输距离、防潮、防震、防锈和防破损装卸等要求包装，以保证货物安全运达采购人指定地点。</w:t>
      </w:r>
    </w:p>
    <w:p w14:paraId="1D51440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（3）中标单位应负责将所有货物送至采购人指定的位置。如在运输、搬运、安装过程中造成设备损坏，采购人有权拒绝签收， 由此产生的逾期或违约风险及相关费用全部由中标单位自行承担。</w:t>
      </w:r>
    </w:p>
    <w:p w14:paraId="640DBC3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（4）货物到达现场后，中标单位应共同参与货物的开箱检验工作。若发现货物与装箱单数目不符， 由中标单位负责补齐或收回，如采购人对货物质量有异议，中标单位负责解释及处理，直到符合合同 约定为止，同时采购人保留依法追究中标单位违约责任的权利。开箱检验包括但不仅限于以下方式：</w:t>
      </w:r>
    </w:p>
    <w:p w14:paraId="4B60655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①中标单位在将货物运到采购人指定地点时，采购人、中标单位及采购人委托的验收参与人员根据本 合同约定的计量方式、技术标准和质量要求对中标单位交付的货物进行初步清点，主要核对：数量、规 格型号、产地、质量等级、尺寸、颜色、参数、包装及标识完整、完好程度、交货资料，各方签字后 即表示初步验收清点完成，可以进行组装就位施工，但并不免除任何中标单位对交货产品存在质量、制 造、设计、性能、零部件的完整性等各方面的缺陷和不合格的责任、违约责任和对采购人造成损失的 赔偿。</w:t>
      </w:r>
    </w:p>
    <w:p w14:paraId="6EA106D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②采购人、中标单位及采购人委托的验收参与人员初步清点时，若发现存在数量、规格型号、产地、质量等级、参数、包装及标识完整、完好程度、交货资料方面存在不合格情形的，采购人有权全 部拒收或部分拒收、退货、部分退货、拒付货款直至解除本合同，并向中标单位索赔因此造成的损失。 如采购人选择不解除合同但要求中标单位重新供货的，中标单位应当无条件重新供货，且交货期限不得延 长， 由此产生的逾期交货风险和违约责任全部由中标单位自行承担。</w:t>
      </w:r>
    </w:p>
    <w:p w14:paraId="1EE36475">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、安装调试要求</w:t>
      </w:r>
    </w:p>
    <w:p w14:paraId="70B9E1B5">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提供的货物在使用前需进行安装、调试的，成交供应商需负责安装、调试并培训招标单位的使用操作人员，直到符合技术要求，招标人才做最终验收。</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交货时须连同设备相关资料一同交给招标人。</w:t>
      </w:r>
    </w:p>
    <w:p w14:paraId="146CF14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负责设备的安装、调试，费用由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承担，请考虑到本次投标报价中。</w:t>
      </w:r>
    </w:p>
    <w:p w14:paraId="30B7FE47">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、验收要求</w:t>
      </w:r>
    </w:p>
    <w:p w14:paraId="65F3D0D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验收按国家有关规范标准(国家无验收规范标准的按双方合同规定的要求)进行。采购人保留邀请参加本项目的其他供应商或者第三方机构或相关技术专家参与</w:t>
      </w:r>
      <w:r>
        <w:rPr>
          <w:rFonts w:hint="eastAsia" w:ascii="仿宋" w:hAnsi="仿宋" w:eastAsia="仿宋" w:cs="仿宋"/>
          <w:color w:val="auto"/>
          <w:sz w:val="24"/>
          <w:highlight w:val="none"/>
          <w:lang w:val="en-US" w:eastAsia="zh-CN"/>
        </w:rPr>
        <w:t>验收的权利。参与验收的供应商或者第三方机构的意见作为验收书的参考资料一并存档。验收费用由中标单位承担。</w:t>
      </w:r>
    </w:p>
    <w:p w14:paraId="30C21FE3">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2.2验收依据及标准：以项目合同、工程变更单、响应文件、实际供货情况等材料为验收依据。</w:t>
      </w:r>
    </w:p>
    <w:p w14:paraId="7FFF1886">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、售后要求</w:t>
      </w:r>
    </w:p>
    <w:p w14:paraId="68F9045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（1）保修期及保修内容</w:t>
      </w:r>
    </w:p>
    <w:p w14:paraId="430F1B12">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质保期为两年。质保期内由于设备质量原因造成的损伤和损坏，供应商必须免费修复和更换。质保期内除故障的维修外，还包括设备的常规检查、调校、润滑等维保内容。质保期结束前必须由供应商的工程师和采购人代表一起对产品进行一次全面测试和检查，任何质量问题供应商必须负责解决，并得到采购人代表的认可。</w:t>
      </w:r>
    </w:p>
    <w:p w14:paraId="420021A5">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（2）技术培训</w:t>
      </w:r>
    </w:p>
    <w:p w14:paraId="45C5472A">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负责对采购人的技术人员进行培训（提供完整的技术培训，使采购人今后能自行操作、维护）。供应商须在投标文件中提供详细的培训计划，包括培训内容和培训时间、培训费用等。技术培训费用应包含在投标总价中。</w:t>
      </w:r>
    </w:p>
    <w:p w14:paraId="20921128">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（3）售后服务响应时限 </w:t>
      </w:r>
    </w:p>
    <w:p w14:paraId="5B2D25D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需提供专门的售后服务电话，</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在接到采购人通知后，2小时内做出响应，4小时内派人赴现场处理问题。48 小时内无法修复的，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需无偿提供备机供采购人使用。</w:t>
      </w:r>
    </w:p>
    <w:p w14:paraId="42E4C506">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、其他要求</w:t>
      </w:r>
    </w:p>
    <w:p w14:paraId="5E0F94F7">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（1）设备外观清洁，标记编号以及盘面显示等字体清晰，明确。铭牌、使用指示、警告指示应以中文或英文及易懂的通用符号来表示；应准确无误地标明设备之型号、规格、制造厂及生产或出厂日期。</w:t>
      </w:r>
    </w:p>
    <w:p w14:paraId="157AC80E">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（2）对于影响设备正常工作的必要组成部分，无论在技术规范中指出与否，供应商都应提供并在投标文件中明确列出。</w:t>
      </w:r>
    </w:p>
    <w:p w14:paraId="384936CE">
      <w:pPr>
        <w:keepNext w:val="0"/>
        <w:keepLines w:val="0"/>
        <w:pageBreakBefore w:val="0"/>
        <w:widowControl w:val="0"/>
        <w:kinsoku/>
        <w:wordWrap/>
        <w:overflowPunct/>
        <w:topLinePunct w:val="0"/>
        <w:autoSpaceDE/>
        <w:autoSpaceDN/>
        <w:bidi w:val="0"/>
        <w:adjustRightInd w:val="0"/>
        <w:snapToGrid w:val="0"/>
        <w:spacing w:line="284"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（3）若后续采购人对产品有统一涂装要求的，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无条件配合，费用包含在投标报价内。</w:t>
      </w:r>
    </w:p>
    <w:p w14:paraId="7E28CB95">
      <w:pPr>
        <w:keepNext w:val="0"/>
        <w:keepLines w:val="0"/>
        <w:pageBreakBefore w:val="0"/>
        <w:widowControl w:val="0"/>
        <w:kinsoku/>
        <w:wordWrap/>
        <w:overflowPunct/>
        <w:topLinePunct w:val="0"/>
        <w:autoSpaceDE/>
        <w:autoSpaceDN/>
        <w:bidi w:val="0"/>
        <w:adjustRightInd w:val="0"/>
        <w:snapToGrid w:val="0"/>
        <w:spacing w:line="284"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（4）交货期：合同签订完毕日起30日历天内完成供货，交采购单位验收。</w:t>
      </w:r>
    </w:p>
    <w:p w14:paraId="5987ACEC">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履约保证金</w:t>
      </w:r>
      <w:r>
        <w:rPr>
          <w:rFonts w:hint="eastAsia" w:ascii="仿宋" w:hAnsi="仿宋" w:eastAsia="仿宋" w:cs="仿宋"/>
          <w:b/>
          <w:bCs/>
          <w:color w:val="auto"/>
          <w:sz w:val="24"/>
          <w:highlight w:val="none"/>
          <w:lang w:eastAsia="zh-CN"/>
        </w:rPr>
        <w:t>：</w:t>
      </w:r>
    </w:p>
    <w:p w14:paraId="6410A8B9">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color w:val="auto"/>
          <w:kern w:val="0"/>
          <w:sz w:val="24"/>
          <w:highlight w:val="none"/>
          <w:lang w:val="en-US" w:eastAsia="zh-CN"/>
        </w:rPr>
        <w:t>项目实施前，中标人须向采购人缴纳合同金额1%的履约保证金，待项目验收通过后无息退还。</w:t>
      </w:r>
    </w:p>
    <w:p w14:paraId="6E7BC54F">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付款方式</w:t>
      </w:r>
    </w:p>
    <w:p w14:paraId="67BEB223">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合同签订后支付合同金额40%的预付款项（须在采购人支付预付款七个工作日前提供预付款保函，采购人凭</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提供的预付款保函支付合同金额预付款。签订合同时如</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明确表示无需支付预付款或者主动要求降低支付预付款比例的，采购人可按实际情况不支付预付款或降低支付预付款金额），剩余款项在所有产品全部供货完成经采购人验收合格后一次性付清。采购人未按约定向</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支付合同款项，应向</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支付逾期利息，利率为合同签订时一年期贷款市场报价利率。</w:t>
      </w:r>
    </w:p>
    <w:p w14:paraId="3C49EDB9">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最高限价：</w:t>
      </w:r>
    </w:p>
    <w:p w14:paraId="56C6FA3B">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val="en-US" w:eastAsia="zh-CN"/>
        </w:rPr>
        <w:t>本项目</w:t>
      </w:r>
      <w:r>
        <w:rPr>
          <w:rFonts w:hint="eastAsia" w:ascii="仿宋" w:hAnsi="仿宋" w:eastAsia="仿宋" w:cs="仿宋"/>
          <w:b/>
          <w:bCs/>
          <w:color w:val="auto"/>
          <w:sz w:val="24"/>
          <w:u w:val="single"/>
          <w:lang w:val="en-US" w:eastAsia="zh-CN"/>
        </w:rPr>
        <w:t>最高限价为人民币叁佰零柒万叁仟贰佰伍拾贰元</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￥:3073252.00）。整</w:t>
      </w:r>
      <w:r>
        <w:rPr>
          <w:rFonts w:hint="eastAsia" w:ascii="仿宋" w:hAnsi="仿宋" w:eastAsia="仿宋" w:cs="仿宋"/>
          <w:b/>
          <w:bCs/>
          <w:color w:val="auto"/>
          <w:sz w:val="24"/>
          <w:u w:val="single"/>
        </w:rPr>
        <w:t>任何超过最高限价的报价将被认定为无效报价。报价包含产品、配件、安装、调试、上牌、验收、保险、售后、税费等一切费用。</w:t>
      </w:r>
    </w:p>
    <w:p w14:paraId="47F402D2">
      <w:pPr>
        <w:adjustRightInd/>
        <w:spacing w:line="360" w:lineRule="auto"/>
        <w:ind w:firstLine="2883"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3246"/>
      <w:bookmarkEnd w:id="25"/>
      <w:bookmarkStart w:id="26" w:name="_Toc184314441"/>
      <w:bookmarkEnd w:id="26"/>
      <w:bookmarkStart w:id="27" w:name="_Toc184313289"/>
      <w:bookmarkEnd w:id="27"/>
      <w:bookmarkStart w:id="28" w:name="_Toc184308069"/>
      <w:bookmarkEnd w:id="28"/>
      <w:bookmarkStart w:id="29" w:name="_Toc184314428"/>
      <w:bookmarkEnd w:id="29"/>
      <w:bookmarkStart w:id="30" w:name="_Toc184308052"/>
      <w:bookmarkEnd w:id="30"/>
      <w:bookmarkStart w:id="31" w:name="_Toc184314446"/>
      <w:bookmarkEnd w:id="31"/>
      <w:bookmarkStart w:id="32" w:name="_Toc184310290"/>
      <w:bookmarkEnd w:id="32"/>
      <w:bookmarkStart w:id="33" w:name="_Toc184314450"/>
      <w:bookmarkEnd w:id="33"/>
      <w:bookmarkStart w:id="34" w:name="_Toc184310272"/>
      <w:bookmarkEnd w:id="34"/>
      <w:bookmarkStart w:id="35" w:name="_Toc184310342"/>
      <w:bookmarkEnd w:id="35"/>
      <w:bookmarkStart w:id="36" w:name="_Toc184312135"/>
      <w:bookmarkEnd w:id="36"/>
      <w:bookmarkStart w:id="37" w:name="_Toc184308085"/>
      <w:bookmarkEnd w:id="37"/>
      <w:bookmarkStart w:id="38" w:name="_Toc184314476"/>
      <w:bookmarkEnd w:id="38"/>
      <w:bookmarkStart w:id="39" w:name="_Toc184314422"/>
      <w:bookmarkEnd w:id="39"/>
      <w:bookmarkStart w:id="40" w:name="_Toc184314437"/>
      <w:bookmarkEnd w:id="40"/>
      <w:bookmarkStart w:id="41" w:name="_Toc184313309"/>
      <w:bookmarkEnd w:id="41"/>
      <w:bookmarkStart w:id="42" w:name="_Toc184310335"/>
      <w:bookmarkEnd w:id="42"/>
      <w:bookmarkStart w:id="43" w:name="_Toc184313282"/>
      <w:bookmarkEnd w:id="43"/>
      <w:bookmarkStart w:id="44" w:name="_Toc184314419"/>
      <w:bookmarkEnd w:id="44"/>
      <w:bookmarkStart w:id="45" w:name="_Toc184313283"/>
      <w:bookmarkEnd w:id="45"/>
      <w:bookmarkStart w:id="46" w:name="_Toc184308067"/>
      <w:bookmarkEnd w:id="46"/>
      <w:bookmarkStart w:id="47" w:name="_Toc184308045"/>
      <w:bookmarkEnd w:id="47"/>
      <w:bookmarkStart w:id="48" w:name="_Toc184308091"/>
      <w:bookmarkEnd w:id="48"/>
      <w:bookmarkStart w:id="49" w:name="_Toc184308036"/>
      <w:bookmarkEnd w:id="49"/>
      <w:bookmarkStart w:id="50" w:name="_Toc184314459"/>
      <w:bookmarkEnd w:id="50"/>
      <w:bookmarkStart w:id="51" w:name="_Toc184313248"/>
      <w:bookmarkEnd w:id="51"/>
      <w:bookmarkStart w:id="52" w:name="_Toc184313269"/>
      <w:bookmarkEnd w:id="52"/>
      <w:bookmarkStart w:id="53" w:name="_Toc184308064"/>
      <w:bookmarkEnd w:id="53"/>
      <w:bookmarkStart w:id="54" w:name="_Toc184313290"/>
      <w:bookmarkEnd w:id="54"/>
      <w:bookmarkStart w:id="55" w:name="_Toc184314425"/>
      <w:bookmarkEnd w:id="55"/>
      <w:bookmarkStart w:id="56" w:name="_Toc184312103"/>
      <w:bookmarkEnd w:id="56"/>
      <w:bookmarkStart w:id="57" w:name="_Toc184308078"/>
      <w:bookmarkEnd w:id="57"/>
      <w:bookmarkStart w:id="58" w:name="_Toc184308042"/>
      <w:bookmarkEnd w:id="58"/>
      <w:bookmarkStart w:id="59" w:name="_Toc184310320"/>
      <w:bookmarkEnd w:id="59"/>
      <w:bookmarkStart w:id="60" w:name="_Toc184314471"/>
      <w:bookmarkEnd w:id="60"/>
      <w:bookmarkStart w:id="61" w:name="_Toc184310327"/>
      <w:bookmarkEnd w:id="61"/>
      <w:bookmarkStart w:id="62" w:name="_Toc184312129"/>
      <w:bookmarkEnd w:id="62"/>
      <w:bookmarkStart w:id="63" w:name="_Toc184313286"/>
      <w:bookmarkEnd w:id="63"/>
      <w:bookmarkStart w:id="64" w:name="_Toc184313291"/>
      <w:bookmarkEnd w:id="64"/>
      <w:bookmarkStart w:id="65" w:name="_Toc184313254"/>
      <w:bookmarkEnd w:id="65"/>
      <w:bookmarkStart w:id="66" w:name="_Toc184313310"/>
      <w:bookmarkEnd w:id="66"/>
      <w:bookmarkStart w:id="67" w:name="_Toc184312075"/>
      <w:bookmarkEnd w:id="67"/>
      <w:bookmarkStart w:id="68" w:name="_Toc184312097"/>
      <w:bookmarkEnd w:id="68"/>
      <w:bookmarkStart w:id="69" w:name="_Toc184308063"/>
      <w:bookmarkEnd w:id="69"/>
      <w:bookmarkStart w:id="70" w:name="_Toc184314455"/>
      <w:bookmarkEnd w:id="70"/>
      <w:bookmarkStart w:id="71" w:name="_Toc184312138"/>
      <w:bookmarkEnd w:id="71"/>
      <w:bookmarkStart w:id="72" w:name="_Toc184310344"/>
      <w:bookmarkEnd w:id="72"/>
      <w:bookmarkStart w:id="73" w:name="_Toc184308094"/>
      <w:bookmarkEnd w:id="73"/>
      <w:bookmarkStart w:id="74" w:name="_Toc184308074"/>
      <w:bookmarkEnd w:id="74"/>
      <w:bookmarkStart w:id="75" w:name="_Toc184314453"/>
      <w:bookmarkEnd w:id="75"/>
      <w:bookmarkStart w:id="76" w:name="_Toc184310286"/>
      <w:bookmarkEnd w:id="76"/>
      <w:bookmarkStart w:id="77" w:name="_Toc184308093"/>
      <w:bookmarkEnd w:id="77"/>
      <w:bookmarkStart w:id="78" w:name="_Toc184310315"/>
      <w:bookmarkEnd w:id="78"/>
      <w:bookmarkStart w:id="79" w:name="_Toc184310334"/>
      <w:bookmarkEnd w:id="79"/>
      <w:bookmarkStart w:id="80" w:name="_Toc184308071"/>
      <w:bookmarkEnd w:id="80"/>
      <w:bookmarkStart w:id="81" w:name="_Toc184314473"/>
      <w:bookmarkEnd w:id="81"/>
      <w:bookmarkStart w:id="82" w:name="_Toc184314482"/>
      <w:bookmarkEnd w:id="82"/>
      <w:bookmarkStart w:id="83" w:name="_Toc184312080"/>
      <w:bookmarkEnd w:id="83"/>
      <w:bookmarkStart w:id="84" w:name="_Toc184308066"/>
      <w:bookmarkEnd w:id="84"/>
      <w:bookmarkStart w:id="85" w:name="_Toc184308083"/>
      <w:bookmarkEnd w:id="85"/>
      <w:bookmarkStart w:id="86" w:name="_Toc184314415"/>
      <w:bookmarkEnd w:id="86"/>
      <w:bookmarkStart w:id="87" w:name="_Toc184308075"/>
      <w:bookmarkEnd w:id="87"/>
      <w:bookmarkStart w:id="88" w:name="_Toc184308079"/>
      <w:bookmarkEnd w:id="88"/>
      <w:bookmarkStart w:id="89" w:name="_Toc184312093"/>
      <w:bookmarkEnd w:id="89"/>
      <w:bookmarkStart w:id="90" w:name="_Toc184314458"/>
      <w:bookmarkEnd w:id="90"/>
      <w:bookmarkStart w:id="91" w:name="_Toc184312124"/>
      <w:bookmarkEnd w:id="91"/>
      <w:bookmarkStart w:id="92" w:name="_Toc184312085"/>
      <w:bookmarkEnd w:id="92"/>
      <w:bookmarkStart w:id="93" w:name="_Toc184310298"/>
      <w:bookmarkEnd w:id="93"/>
      <w:bookmarkStart w:id="94" w:name="_Toc184313249"/>
      <w:bookmarkEnd w:id="94"/>
      <w:bookmarkStart w:id="95" w:name="_Toc184312098"/>
      <w:bookmarkEnd w:id="95"/>
      <w:bookmarkStart w:id="96" w:name="_Toc184313260"/>
      <w:bookmarkEnd w:id="96"/>
      <w:bookmarkStart w:id="97" w:name="_Toc184313272"/>
      <w:bookmarkEnd w:id="97"/>
      <w:bookmarkStart w:id="98" w:name="_Toc184312117"/>
      <w:bookmarkEnd w:id="98"/>
      <w:bookmarkStart w:id="99" w:name="_Toc184313302"/>
      <w:bookmarkEnd w:id="99"/>
      <w:bookmarkStart w:id="100" w:name="_Toc184310287"/>
      <w:bookmarkEnd w:id="100"/>
      <w:bookmarkStart w:id="101" w:name="_Toc184308080"/>
      <w:bookmarkEnd w:id="101"/>
      <w:bookmarkStart w:id="102" w:name="_Toc184310284"/>
      <w:bookmarkEnd w:id="102"/>
      <w:bookmarkStart w:id="103" w:name="_Toc184310299"/>
      <w:bookmarkEnd w:id="103"/>
      <w:bookmarkStart w:id="104" w:name="_Toc184314481"/>
      <w:bookmarkEnd w:id="104"/>
      <w:bookmarkStart w:id="105" w:name="_Toc184314412"/>
      <w:bookmarkEnd w:id="105"/>
      <w:bookmarkStart w:id="106" w:name="_Toc184314418"/>
      <w:bookmarkEnd w:id="106"/>
      <w:bookmarkStart w:id="107" w:name="_Toc184313273"/>
      <w:bookmarkEnd w:id="107"/>
      <w:bookmarkStart w:id="108" w:name="_Toc184314466"/>
      <w:bookmarkEnd w:id="108"/>
      <w:bookmarkStart w:id="109" w:name="_Toc184313241"/>
      <w:bookmarkEnd w:id="109"/>
      <w:bookmarkStart w:id="110" w:name="_Toc184310303"/>
      <w:bookmarkEnd w:id="110"/>
      <w:bookmarkStart w:id="111" w:name="_Toc184312132"/>
      <w:bookmarkEnd w:id="111"/>
      <w:bookmarkStart w:id="112" w:name="_Toc184314445"/>
      <w:bookmarkEnd w:id="112"/>
      <w:bookmarkStart w:id="113" w:name="_Toc184312073"/>
      <w:bookmarkEnd w:id="113"/>
      <w:bookmarkStart w:id="114" w:name="_Toc184310282"/>
      <w:bookmarkEnd w:id="114"/>
      <w:bookmarkStart w:id="115" w:name="_Toc184313243"/>
      <w:bookmarkEnd w:id="115"/>
      <w:bookmarkStart w:id="116" w:name="_Toc184312127"/>
      <w:bookmarkEnd w:id="116"/>
      <w:bookmarkStart w:id="117" w:name="_Toc184312125"/>
      <w:bookmarkEnd w:id="117"/>
      <w:bookmarkStart w:id="118" w:name="_Toc184308038"/>
      <w:bookmarkEnd w:id="118"/>
      <w:bookmarkStart w:id="119" w:name="_Toc184310336"/>
      <w:bookmarkEnd w:id="119"/>
      <w:bookmarkStart w:id="120" w:name="_Toc184312123"/>
      <w:bookmarkEnd w:id="120"/>
      <w:bookmarkStart w:id="121" w:name="_Toc184308081"/>
      <w:bookmarkEnd w:id="121"/>
      <w:bookmarkStart w:id="122" w:name="_Toc184314451"/>
      <w:bookmarkEnd w:id="122"/>
      <w:bookmarkStart w:id="123" w:name="_Toc184308098"/>
      <w:bookmarkEnd w:id="123"/>
      <w:bookmarkStart w:id="124" w:name="_Toc184313277"/>
      <w:bookmarkEnd w:id="124"/>
      <w:bookmarkStart w:id="125" w:name="_Toc184308061"/>
      <w:bookmarkEnd w:id="125"/>
      <w:bookmarkStart w:id="126" w:name="_Toc184310311"/>
      <w:bookmarkEnd w:id="126"/>
      <w:bookmarkStart w:id="127" w:name="_Toc184308049"/>
      <w:bookmarkEnd w:id="127"/>
      <w:bookmarkStart w:id="128" w:name="_Toc184312092"/>
      <w:bookmarkEnd w:id="128"/>
      <w:bookmarkStart w:id="129" w:name="_Toc184312105"/>
      <w:bookmarkEnd w:id="129"/>
      <w:bookmarkStart w:id="130" w:name="_Toc184313305"/>
      <w:bookmarkEnd w:id="130"/>
      <w:bookmarkStart w:id="131" w:name="_Toc184313257"/>
      <w:bookmarkEnd w:id="131"/>
      <w:bookmarkStart w:id="132" w:name="_Toc184314432"/>
      <w:bookmarkEnd w:id="132"/>
      <w:bookmarkStart w:id="133" w:name="_Toc184308106"/>
      <w:bookmarkEnd w:id="133"/>
      <w:bookmarkStart w:id="134" w:name="_Toc184314421"/>
      <w:bookmarkEnd w:id="134"/>
      <w:bookmarkStart w:id="135" w:name="_Toc184312113"/>
      <w:bookmarkEnd w:id="135"/>
      <w:bookmarkStart w:id="136" w:name="_Toc184312137"/>
      <w:bookmarkEnd w:id="136"/>
      <w:bookmarkStart w:id="137" w:name="_Toc184308060"/>
      <w:bookmarkEnd w:id="137"/>
      <w:bookmarkStart w:id="138" w:name="_Toc184313292"/>
      <w:bookmarkEnd w:id="138"/>
      <w:bookmarkStart w:id="139" w:name="_Toc184310332"/>
      <w:bookmarkEnd w:id="139"/>
      <w:bookmarkStart w:id="140" w:name="_Toc184310294"/>
      <w:bookmarkEnd w:id="140"/>
      <w:bookmarkStart w:id="141" w:name="_Toc184314423"/>
      <w:bookmarkEnd w:id="141"/>
      <w:bookmarkStart w:id="142" w:name="_Toc184313242"/>
      <w:bookmarkEnd w:id="142"/>
      <w:bookmarkStart w:id="143" w:name="_Toc184310314"/>
      <w:bookmarkEnd w:id="143"/>
      <w:bookmarkStart w:id="144" w:name="_Toc184308082"/>
      <w:bookmarkEnd w:id="144"/>
      <w:bookmarkStart w:id="145" w:name="_Toc184308051"/>
      <w:bookmarkEnd w:id="145"/>
      <w:bookmarkStart w:id="146" w:name="_Toc184313308"/>
      <w:bookmarkEnd w:id="146"/>
      <w:bookmarkStart w:id="147" w:name="_Toc184314420"/>
      <w:bookmarkEnd w:id="147"/>
      <w:bookmarkStart w:id="148" w:name="_Toc184313301"/>
      <w:bookmarkEnd w:id="148"/>
      <w:bookmarkStart w:id="149" w:name="_Toc184308077"/>
      <w:bookmarkEnd w:id="149"/>
      <w:bookmarkStart w:id="150" w:name="_Toc184308103"/>
      <w:bookmarkEnd w:id="150"/>
      <w:bookmarkStart w:id="151" w:name="_Toc184313245"/>
      <w:bookmarkEnd w:id="151"/>
      <w:bookmarkStart w:id="152" w:name="_Toc184313240"/>
      <w:bookmarkEnd w:id="152"/>
      <w:bookmarkStart w:id="153" w:name="_Toc184310317"/>
      <w:bookmarkEnd w:id="153"/>
      <w:bookmarkStart w:id="154" w:name="_Toc184314430"/>
      <w:bookmarkEnd w:id="154"/>
      <w:bookmarkStart w:id="155" w:name="_Toc184312076"/>
      <w:bookmarkEnd w:id="155"/>
      <w:bookmarkStart w:id="156" w:name="_Toc184308076"/>
      <w:bookmarkEnd w:id="156"/>
      <w:bookmarkStart w:id="157" w:name="_Toc184312079"/>
      <w:bookmarkEnd w:id="157"/>
      <w:bookmarkStart w:id="158" w:name="_Toc184312119"/>
      <w:bookmarkEnd w:id="158"/>
      <w:bookmarkStart w:id="159" w:name="_Toc184312087"/>
      <w:bookmarkEnd w:id="159"/>
      <w:bookmarkStart w:id="160" w:name="_Toc184313307"/>
      <w:bookmarkEnd w:id="160"/>
      <w:bookmarkStart w:id="161" w:name="_Toc184314479"/>
      <w:bookmarkEnd w:id="161"/>
      <w:bookmarkStart w:id="162" w:name="_Toc184308055"/>
      <w:bookmarkEnd w:id="162"/>
      <w:bookmarkStart w:id="163" w:name="_Toc184312088"/>
      <w:bookmarkEnd w:id="163"/>
      <w:bookmarkStart w:id="164" w:name="_Toc184312104"/>
      <w:bookmarkEnd w:id="164"/>
      <w:bookmarkStart w:id="165" w:name="_Toc184312082"/>
      <w:bookmarkEnd w:id="165"/>
      <w:bookmarkStart w:id="166" w:name="_Toc184312111"/>
      <w:bookmarkEnd w:id="166"/>
      <w:bookmarkStart w:id="167" w:name="_Toc184313295"/>
      <w:bookmarkEnd w:id="167"/>
      <w:bookmarkStart w:id="168" w:name="_Toc184313294"/>
      <w:bookmarkEnd w:id="168"/>
      <w:bookmarkStart w:id="169" w:name="_Toc184313268"/>
      <w:bookmarkEnd w:id="169"/>
      <w:bookmarkStart w:id="170" w:name="_Toc184308072"/>
      <w:bookmarkEnd w:id="170"/>
      <w:bookmarkStart w:id="171" w:name="_Toc184310333"/>
      <w:bookmarkEnd w:id="171"/>
      <w:bookmarkStart w:id="172" w:name="_Toc184310338"/>
      <w:bookmarkEnd w:id="172"/>
      <w:bookmarkStart w:id="173" w:name="_Toc184314468"/>
      <w:bookmarkEnd w:id="173"/>
      <w:bookmarkStart w:id="174" w:name="_Toc184308046"/>
      <w:bookmarkEnd w:id="174"/>
      <w:bookmarkStart w:id="175" w:name="_Toc184312078"/>
      <w:bookmarkEnd w:id="175"/>
      <w:bookmarkStart w:id="176" w:name="_Toc184313252"/>
      <w:bookmarkEnd w:id="176"/>
      <w:bookmarkStart w:id="177" w:name="_Toc184314414"/>
      <w:bookmarkEnd w:id="177"/>
      <w:bookmarkStart w:id="178" w:name="_Toc184310276"/>
      <w:bookmarkEnd w:id="178"/>
      <w:bookmarkStart w:id="179" w:name="_Toc184314411"/>
      <w:bookmarkEnd w:id="179"/>
      <w:bookmarkStart w:id="180" w:name="_Toc184312101"/>
      <w:bookmarkEnd w:id="180"/>
      <w:bookmarkStart w:id="181" w:name="_Toc184310275"/>
      <w:bookmarkEnd w:id="181"/>
      <w:bookmarkStart w:id="182" w:name="_Toc184310310"/>
      <w:bookmarkEnd w:id="182"/>
      <w:bookmarkStart w:id="183" w:name="_Toc184308058"/>
      <w:bookmarkEnd w:id="183"/>
      <w:bookmarkStart w:id="184" w:name="_Toc184310292"/>
      <w:bookmarkEnd w:id="184"/>
      <w:bookmarkStart w:id="185" w:name="_Toc184308099"/>
      <w:bookmarkEnd w:id="185"/>
      <w:bookmarkStart w:id="186" w:name="_Toc184314434"/>
      <w:bookmarkEnd w:id="186"/>
      <w:bookmarkStart w:id="187" w:name="_Toc184312106"/>
      <w:bookmarkEnd w:id="187"/>
      <w:bookmarkStart w:id="188" w:name="_Toc184308054"/>
      <w:bookmarkEnd w:id="188"/>
      <w:bookmarkStart w:id="189" w:name="_Toc184308089"/>
      <w:bookmarkEnd w:id="189"/>
      <w:bookmarkStart w:id="190" w:name="_Toc184313285"/>
      <w:bookmarkEnd w:id="190"/>
      <w:bookmarkStart w:id="191" w:name="_Toc184308065"/>
      <w:bookmarkEnd w:id="191"/>
      <w:bookmarkStart w:id="192" w:name="_Toc184313238"/>
      <w:bookmarkEnd w:id="192"/>
      <w:bookmarkStart w:id="193" w:name="_Toc184310274"/>
      <w:bookmarkEnd w:id="193"/>
      <w:bookmarkStart w:id="194" w:name="_Toc184310309"/>
      <w:bookmarkEnd w:id="194"/>
      <w:bookmarkStart w:id="195" w:name="_Toc184310304"/>
      <w:bookmarkEnd w:id="195"/>
      <w:bookmarkStart w:id="196" w:name="_Toc184310307"/>
      <w:bookmarkEnd w:id="196"/>
      <w:bookmarkStart w:id="197" w:name="_Toc184310291"/>
      <w:bookmarkEnd w:id="197"/>
      <w:bookmarkStart w:id="198" w:name="_Toc184314465"/>
      <w:bookmarkEnd w:id="198"/>
      <w:bookmarkStart w:id="199" w:name="_Toc184308043"/>
      <w:bookmarkEnd w:id="199"/>
      <w:bookmarkStart w:id="200" w:name="_Toc184313258"/>
      <w:bookmarkEnd w:id="200"/>
      <w:bookmarkStart w:id="201" w:name="_Toc184308073"/>
      <w:bookmarkEnd w:id="201"/>
      <w:bookmarkStart w:id="202" w:name="_Toc184312110"/>
      <w:bookmarkEnd w:id="202"/>
      <w:bookmarkStart w:id="203" w:name="_Toc184313281"/>
      <w:bookmarkEnd w:id="203"/>
      <w:bookmarkStart w:id="204" w:name="_Toc184310273"/>
      <w:bookmarkEnd w:id="204"/>
      <w:bookmarkStart w:id="205" w:name="_Toc184312126"/>
      <w:bookmarkEnd w:id="205"/>
      <w:bookmarkStart w:id="206" w:name="_Toc184308041"/>
      <w:bookmarkEnd w:id="206"/>
      <w:bookmarkStart w:id="207" w:name="_Toc184314462"/>
      <w:bookmarkEnd w:id="207"/>
      <w:bookmarkStart w:id="208" w:name="_Toc184314413"/>
      <w:bookmarkEnd w:id="208"/>
      <w:bookmarkStart w:id="209" w:name="_Toc184314410"/>
      <w:bookmarkEnd w:id="209"/>
      <w:bookmarkStart w:id="210" w:name="_Toc184312128"/>
      <w:bookmarkEnd w:id="210"/>
      <w:bookmarkStart w:id="211" w:name="_Toc184314416"/>
      <w:bookmarkEnd w:id="211"/>
      <w:bookmarkStart w:id="212" w:name="_Toc184308037"/>
      <w:bookmarkEnd w:id="212"/>
      <w:bookmarkStart w:id="213" w:name="_Toc184313244"/>
      <w:bookmarkEnd w:id="213"/>
      <w:bookmarkStart w:id="214" w:name="_Toc184310308"/>
      <w:bookmarkEnd w:id="214"/>
      <w:bookmarkStart w:id="215" w:name="_Toc184313261"/>
      <w:bookmarkEnd w:id="215"/>
      <w:bookmarkStart w:id="216" w:name="_Toc184312112"/>
      <w:bookmarkEnd w:id="216"/>
      <w:bookmarkStart w:id="217" w:name="_Toc184308088"/>
      <w:bookmarkEnd w:id="217"/>
      <w:bookmarkStart w:id="218" w:name="_Toc184310301"/>
      <w:bookmarkEnd w:id="218"/>
      <w:bookmarkStart w:id="219" w:name="_Toc184314442"/>
      <w:bookmarkEnd w:id="219"/>
      <w:bookmarkStart w:id="220" w:name="_Toc184313262"/>
      <w:bookmarkEnd w:id="220"/>
      <w:bookmarkStart w:id="221" w:name="_Toc184314435"/>
      <w:bookmarkEnd w:id="221"/>
      <w:bookmarkStart w:id="222" w:name="_Toc184313255"/>
      <w:bookmarkEnd w:id="222"/>
      <w:bookmarkStart w:id="223" w:name="_Toc184314433"/>
      <w:bookmarkEnd w:id="223"/>
      <w:bookmarkStart w:id="224" w:name="_Toc184314478"/>
      <w:bookmarkEnd w:id="224"/>
      <w:bookmarkStart w:id="225" w:name="_Toc184312086"/>
      <w:bookmarkEnd w:id="225"/>
      <w:bookmarkStart w:id="226" w:name="_Toc184314457"/>
      <w:bookmarkEnd w:id="226"/>
      <w:bookmarkStart w:id="227" w:name="_Toc184312134"/>
      <w:bookmarkEnd w:id="227"/>
      <w:bookmarkStart w:id="228" w:name="_Toc184313298"/>
      <w:bookmarkEnd w:id="228"/>
      <w:bookmarkStart w:id="229" w:name="_Toc184314460"/>
      <w:bookmarkEnd w:id="229"/>
      <w:bookmarkStart w:id="230" w:name="_Toc184314439"/>
      <w:bookmarkEnd w:id="230"/>
      <w:bookmarkStart w:id="231" w:name="_Toc184310285"/>
      <w:bookmarkEnd w:id="231"/>
      <w:bookmarkStart w:id="232" w:name="_Toc184313274"/>
      <w:bookmarkEnd w:id="232"/>
      <w:bookmarkStart w:id="233" w:name="_Toc184312100"/>
      <w:bookmarkEnd w:id="233"/>
      <w:bookmarkStart w:id="234" w:name="_Toc184314456"/>
      <w:bookmarkEnd w:id="234"/>
      <w:bookmarkStart w:id="235" w:name="_Toc184310324"/>
      <w:bookmarkEnd w:id="235"/>
      <w:bookmarkStart w:id="236" w:name="_Toc184314472"/>
      <w:bookmarkEnd w:id="236"/>
      <w:bookmarkStart w:id="237" w:name="_Toc184310329"/>
      <w:bookmarkEnd w:id="237"/>
      <w:bookmarkStart w:id="238" w:name="_Toc184310289"/>
      <w:bookmarkEnd w:id="238"/>
      <w:bookmarkStart w:id="239" w:name="_Toc184313300"/>
      <w:bookmarkEnd w:id="239"/>
      <w:bookmarkStart w:id="240" w:name="_Toc184313287"/>
      <w:bookmarkEnd w:id="240"/>
      <w:bookmarkStart w:id="241" w:name="_Toc184313303"/>
      <w:bookmarkEnd w:id="241"/>
      <w:bookmarkStart w:id="242" w:name="_Toc184314447"/>
      <w:bookmarkEnd w:id="242"/>
      <w:bookmarkStart w:id="243" w:name="_Toc184313270"/>
      <w:bookmarkEnd w:id="243"/>
      <w:bookmarkStart w:id="244" w:name="_Toc184313266"/>
      <w:bookmarkEnd w:id="244"/>
      <w:bookmarkStart w:id="245" w:name="_Toc184310328"/>
      <w:bookmarkEnd w:id="245"/>
      <w:bookmarkStart w:id="246" w:name="_Toc184312107"/>
      <w:bookmarkEnd w:id="246"/>
      <w:bookmarkStart w:id="247" w:name="_Toc184313251"/>
      <w:bookmarkEnd w:id="247"/>
      <w:bookmarkStart w:id="248" w:name="_Toc184310316"/>
      <w:bookmarkEnd w:id="248"/>
      <w:bookmarkStart w:id="249" w:name="_Toc184312102"/>
      <w:bookmarkEnd w:id="249"/>
      <w:bookmarkStart w:id="250" w:name="_Toc184310278"/>
      <w:bookmarkEnd w:id="250"/>
      <w:bookmarkStart w:id="251" w:name="_Toc184312130"/>
      <w:bookmarkEnd w:id="251"/>
      <w:bookmarkStart w:id="252" w:name="_Toc184308047"/>
      <w:bookmarkEnd w:id="252"/>
      <w:bookmarkStart w:id="253" w:name="_Toc184308039"/>
      <w:bookmarkEnd w:id="253"/>
      <w:bookmarkStart w:id="254" w:name="_Toc184312071"/>
      <w:bookmarkEnd w:id="254"/>
      <w:bookmarkStart w:id="255" w:name="_Toc184308048"/>
      <w:bookmarkEnd w:id="255"/>
      <w:bookmarkStart w:id="256" w:name="_Toc184312069"/>
      <w:bookmarkEnd w:id="256"/>
      <w:bookmarkStart w:id="257" w:name="_Toc184314463"/>
      <w:bookmarkEnd w:id="257"/>
      <w:bookmarkStart w:id="258" w:name="_Toc184310283"/>
      <w:bookmarkEnd w:id="258"/>
      <w:bookmarkStart w:id="259" w:name="_Toc184313259"/>
      <w:bookmarkEnd w:id="259"/>
      <w:bookmarkStart w:id="260" w:name="_Toc184308097"/>
      <w:bookmarkEnd w:id="260"/>
      <w:bookmarkStart w:id="261" w:name="_Toc184308086"/>
      <w:bookmarkEnd w:id="261"/>
      <w:bookmarkStart w:id="262" w:name="_Toc184312121"/>
      <w:bookmarkEnd w:id="262"/>
      <w:bookmarkStart w:id="263" w:name="_Toc184313247"/>
      <w:bookmarkEnd w:id="263"/>
      <w:bookmarkStart w:id="264" w:name="_Toc184313256"/>
      <w:bookmarkEnd w:id="264"/>
      <w:bookmarkStart w:id="265" w:name="_Toc184314426"/>
      <w:bookmarkEnd w:id="265"/>
      <w:bookmarkStart w:id="266" w:name="_Toc184308107"/>
      <w:bookmarkEnd w:id="266"/>
      <w:bookmarkStart w:id="267" w:name="_Toc184313296"/>
      <w:bookmarkEnd w:id="267"/>
      <w:bookmarkStart w:id="268" w:name="_Toc184314464"/>
      <w:bookmarkEnd w:id="268"/>
      <w:bookmarkStart w:id="269" w:name="_Toc184312094"/>
      <w:bookmarkEnd w:id="269"/>
      <w:bookmarkStart w:id="270" w:name="_Toc184308095"/>
      <w:bookmarkEnd w:id="270"/>
      <w:bookmarkStart w:id="271" w:name="_Toc184312099"/>
      <w:bookmarkEnd w:id="271"/>
      <w:bookmarkStart w:id="272" w:name="_Toc184310300"/>
      <w:bookmarkEnd w:id="272"/>
      <w:bookmarkStart w:id="273" w:name="_Toc184313263"/>
      <w:bookmarkEnd w:id="273"/>
      <w:bookmarkStart w:id="274" w:name="_Toc184314469"/>
      <w:bookmarkEnd w:id="274"/>
      <w:bookmarkStart w:id="275" w:name="_Toc184310325"/>
      <w:bookmarkEnd w:id="275"/>
      <w:bookmarkStart w:id="276" w:name="_Toc184310306"/>
      <w:bookmarkEnd w:id="276"/>
      <w:bookmarkStart w:id="277" w:name="_Toc184314454"/>
      <w:bookmarkEnd w:id="277"/>
      <w:bookmarkStart w:id="278" w:name="_Toc184313250"/>
      <w:bookmarkEnd w:id="278"/>
      <w:bookmarkStart w:id="279" w:name="_Toc184310277"/>
      <w:bookmarkEnd w:id="279"/>
      <w:bookmarkStart w:id="280" w:name="_Toc184312089"/>
      <w:bookmarkEnd w:id="280"/>
      <w:bookmarkStart w:id="281" w:name="_Toc184308062"/>
      <w:bookmarkEnd w:id="281"/>
      <w:bookmarkStart w:id="282" w:name="_Toc184312096"/>
      <w:bookmarkEnd w:id="282"/>
      <w:bookmarkStart w:id="283" w:name="_Toc184308100"/>
      <w:bookmarkEnd w:id="283"/>
      <w:bookmarkStart w:id="284" w:name="_Toc184313267"/>
      <w:bookmarkEnd w:id="284"/>
      <w:bookmarkStart w:id="285" w:name="_Toc184308090"/>
      <w:bookmarkEnd w:id="285"/>
      <w:bookmarkStart w:id="286" w:name="_Toc184310313"/>
      <w:bookmarkEnd w:id="286"/>
      <w:bookmarkStart w:id="287" w:name="_Toc184310295"/>
      <w:bookmarkEnd w:id="287"/>
      <w:bookmarkStart w:id="288" w:name="_Toc184313275"/>
      <w:bookmarkEnd w:id="288"/>
      <w:bookmarkStart w:id="289" w:name="_Toc184308104"/>
      <w:bookmarkEnd w:id="289"/>
      <w:bookmarkStart w:id="290" w:name="_Toc184313265"/>
      <w:bookmarkEnd w:id="290"/>
      <w:bookmarkStart w:id="291" w:name="_Toc184314440"/>
      <w:bookmarkEnd w:id="291"/>
      <w:bookmarkStart w:id="292" w:name="_Toc184308050"/>
      <w:bookmarkEnd w:id="292"/>
      <w:bookmarkStart w:id="293" w:name="_Toc184308059"/>
      <w:bookmarkEnd w:id="293"/>
      <w:bookmarkStart w:id="294" w:name="_Toc184310305"/>
      <w:bookmarkEnd w:id="294"/>
      <w:bookmarkStart w:id="295" w:name="_Toc184310319"/>
      <w:bookmarkEnd w:id="295"/>
      <w:bookmarkStart w:id="296" w:name="_Toc184312074"/>
      <w:bookmarkEnd w:id="296"/>
      <w:bookmarkStart w:id="297" w:name="_Toc184312133"/>
      <w:bookmarkEnd w:id="297"/>
      <w:bookmarkStart w:id="298" w:name="_Toc184312077"/>
      <w:bookmarkEnd w:id="298"/>
      <w:bookmarkStart w:id="299" w:name="_Toc184312091"/>
      <w:bookmarkEnd w:id="299"/>
      <w:bookmarkStart w:id="300" w:name="_Toc184313293"/>
      <w:bookmarkEnd w:id="300"/>
      <w:bookmarkStart w:id="301" w:name="_Toc184308053"/>
      <w:bookmarkEnd w:id="301"/>
      <w:bookmarkStart w:id="302" w:name="_Toc184310293"/>
      <w:bookmarkEnd w:id="302"/>
      <w:bookmarkStart w:id="303" w:name="_Toc184310341"/>
      <w:bookmarkEnd w:id="303"/>
      <w:bookmarkStart w:id="304" w:name="_Toc184308108"/>
      <w:bookmarkEnd w:id="304"/>
      <w:bookmarkStart w:id="305" w:name="_Toc184314429"/>
      <w:bookmarkEnd w:id="305"/>
      <w:bookmarkStart w:id="306" w:name="_Toc184312095"/>
      <w:bookmarkEnd w:id="306"/>
      <w:bookmarkStart w:id="307" w:name="_Toc184310302"/>
      <w:bookmarkEnd w:id="307"/>
      <w:bookmarkStart w:id="308" w:name="_Toc184312068"/>
      <w:bookmarkEnd w:id="308"/>
      <w:bookmarkStart w:id="309" w:name="_Toc184314461"/>
      <w:bookmarkEnd w:id="309"/>
      <w:bookmarkStart w:id="310" w:name="_Toc184308070"/>
      <w:bookmarkEnd w:id="310"/>
      <w:bookmarkStart w:id="311" w:name="_Toc184308102"/>
      <w:bookmarkEnd w:id="311"/>
      <w:bookmarkStart w:id="312" w:name="_Toc184313264"/>
      <w:bookmarkEnd w:id="312"/>
      <w:bookmarkStart w:id="313" w:name="_Toc184314443"/>
      <w:bookmarkEnd w:id="313"/>
      <w:bookmarkStart w:id="314" w:name="_Toc184308084"/>
      <w:bookmarkEnd w:id="314"/>
      <w:bookmarkStart w:id="315" w:name="_Toc184308087"/>
      <w:bookmarkEnd w:id="315"/>
      <w:bookmarkStart w:id="316" w:name="_Toc184312136"/>
      <w:bookmarkEnd w:id="316"/>
      <w:bookmarkStart w:id="317" w:name="_Toc184312109"/>
      <w:bookmarkEnd w:id="317"/>
      <w:bookmarkStart w:id="318" w:name="_Toc184312084"/>
      <w:bookmarkEnd w:id="318"/>
      <w:bookmarkStart w:id="319" w:name="_Toc184314444"/>
      <w:bookmarkEnd w:id="319"/>
      <w:bookmarkStart w:id="320" w:name="_Toc184310281"/>
      <w:bookmarkEnd w:id="320"/>
      <w:bookmarkStart w:id="321" w:name="_Toc184314480"/>
      <w:bookmarkEnd w:id="321"/>
      <w:bookmarkStart w:id="322" w:name="_Toc184310326"/>
      <w:bookmarkEnd w:id="322"/>
      <w:bookmarkStart w:id="323" w:name="_Toc184314477"/>
      <w:bookmarkEnd w:id="323"/>
      <w:bookmarkStart w:id="324" w:name="_Toc184313299"/>
      <w:bookmarkEnd w:id="324"/>
      <w:bookmarkStart w:id="325" w:name="_Toc184310339"/>
      <w:bookmarkEnd w:id="325"/>
      <w:bookmarkStart w:id="326" w:name="_Toc184313280"/>
      <w:bookmarkEnd w:id="326"/>
      <w:bookmarkStart w:id="327" w:name="_Toc184313239"/>
      <w:bookmarkEnd w:id="327"/>
      <w:bookmarkStart w:id="328" w:name="_Toc184314448"/>
      <w:bookmarkEnd w:id="328"/>
      <w:bookmarkStart w:id="329" w:name="_Toc184313306"/>
      <w:bookmarkEnd w:id="329"/>
      <w:bookmarkStart w:id="330" w:name="_Toc184310280"/>
      <w:bookmarkEnd w:id="330"/>
      <w:bookmarkStart w:id="331" w:name="_Toc184314436"/>
      <w:bookmarkEnd w:id="331"/>
      <w:bookmarkStart w:id="332" w:name="_Toc184310322"/>
      <w:bookmarkEnd w:id="332"/>
      <w:bookmarkStart w:id="333" w:name="_Toc184313253"/>
      <w:bookmarkEnd w:id="333"/>
      <w:bookmarkStart w:id="334" w:name="_Toc184313288"/>
      <w:bookmarkEnd w:id="334"/>
      <w:bookmarkStart w:id="335" w:name="_Toc184308056"/>
      <w:bookmarkEnd w:id="335"/>
      <w:bookmarkStart w:id="336" w:name="_Toc184314424"/>
      <w:bookmarkEnd w:id="336"/>
      <w:bookmarkStart w:id="337" w:name="_Toc184308105"/>
      <w:bookmarkEnd w:id="337"/>
      <w:bookmarkStart w:id="338" w:name="_Toc184314452"/>
      <w:bookmarkEnd w:id="338"/>
      <w:bookmarkStart w:id="339" w:name="_Toc184310340"/>
      <w:bookmarkEnd w:id="339"/>
      <w:bookmarkStart w:id="340" w:name="_Toc184310288"/>
      <w:bookmarkEnd w:id="340"/>
      <w:bookmarkStart w:id="341" w:name="_Toc184312115"/>
      <w:bookmarkEnd w:id="341"/>
      <w:bookmarkStart w:id="342" w:name="_Toc184312108"/>
      <w:bookmarkEnd w:id="342"/>
      <w:bookmarkStart w:id="343" w:name="_Toc184314438"/>
      <w:bookmarkEnd w:id="343"/>
      <w:bookmarkStart w:id="344" w:name="_Toc184312072"/>
      <w:bookmarkEnd w:id="344"/>
      <w:bookmarkStart w:id="345" w:name="_Toc184310331"/>
      <w:bookmarkEnd w:id="345"/>
      <w:bookmarkStart w:id="346" w:name="_Toc184310297"/>
      <w:bookmarkEnd w:id="346"/>
      <w:bookmarkStart w:id="347" w:name="_Toc184313284"/>
      <w:bookmarkEnd w:id="347"/>
      <w:bookmarkStart w:id="348" w:name="_Toc184314470"/>
      <w:bookmarkEnd w:id="348"/>
      <w:bookmarkStart w:id="349" w:name="_Toc184308057"/>
      <w:bookmarkEnd w:id="349"/>
      <w:bookmarkStart w:id="350" w:name="_Toc184314474"/>
      <w:bookmarkEnd w:id="350"/>
      <w:bookmarkStart w:id="351" w:name="_Toc184313271"/>
      <w:bookmarkEnd w:id="351"/>
      <w:bookmarkStart w:id="352" w:name="_Toc184310296"/>
      <w:bookmarkEnd w:id="352"/>
      <w:bookmarkStart w:id="353" w:name="_Toc184308092"/>
      <w:bookmarkEnd w:id="353"/>
      <w:bookmarkStart w:id="354" w:name="_Toc184312131"/>
      <w:bookmarkEnd w:id="354"/>
      <w:bookmarkStart w:id="355" w:name="_Toc184314417"/>
      <w:bookmarkEnd w:id="355"/>
      <w:bookmarkStart w:id="356" w:name="_Toc184310343"/>
      <w:bookmarkEnd w:id="356"/>
      <w:bookmarkStart w:id="357" w:name="_Toc184313276"/>
      <w:bookmarkEnd w:id="357"/>
      <w:bookmarkStart w:id="358" w:name="_Toc184308068"/>
      <w:bookmarkEnd w:id="358"/>
      <w:bookmarkStart w:id="359" w:name="_Toc184314431"/>
      <w:bookmarkEnd w:id="359"/>
      <w:bookmarkStart w:id="360" w:name="_Toc184314449"/>
      <w:bookmarkEnd w:id="360"/>
      <w:bookmarkStart w:id="361" w:name="_Toc184310323"/>
      <w:bookmarkEnd w:id="361"/>
      <w:bookmarkStart w:id="362" w:name="_Toc184308040"/>
      <w:bookmarkEnd w:id="362"/>
      <w:bookmarkStart w:id="363" w:name="_Toc184310312"/>
      <w:bookmarkEnd w:id="363"/>
      <w:bookmarkStart w:id="364" w:name="_Toc184312139"/>
      <w:bookmarkEnd w:id="364"/>
      <w:bookmarkStart w:id="365" w:name="_Toc184310330"/>
      <w:bookmarkEnd w:id="365"/>
      <w:bookmarkStart w:id="366" w:name="_Toc184313304"/>
      <w:bookmarkEnd w:id="366"/>
      <w:bookmarkStart w:id="367" w:name="_Toc184314475"/>
      <w:bookmarkEnd w:id="367"/>
      <w:bookmarkStart w:id="368" w:name="_Toc184312114"/>
      <w:bookmarkEnd w:id="368"/>
      <w:bookmarkStart w:id="369" w:name="_Toc184313297"/>
      <w:bookmarkEnd w:id="369"/>
      <w:bookmarkStart w:id="370" w:name="_Toc184312090"/>
      <w:bookmarkEnd w:id="370"/>
      <w:bookmarkStart w:id="371" w:name="_Toc184312116"/>
      <w:bookmarkEnd w:id="371"/>
      <w:bookmarkStart w:id="372" w:name="_Toc184310321"/>
      <w:bookmarkEnd w:id="372"/>
      <w:bookmarkStart w:id="373" w:name="_Toc184312118"/>
      <w:bookmarkEnd w:id="373"/>
      <w:bookmarkStart w:id="374" w:name="_Toc184314427"/>
      <w:bookmarkEnd w:id="374"/>
      <w:bookmarkStart w:id="375" w:name="_Toc184312083"/>
      <w:bookmarkEnd w:id="375"/>
      <w:bookmarkStart w:id="376" w:name="_Toc184312081"/>
      <w:bookmarkEnd w:id="376"/>
      <w:bookmarkStart w:id="377" w:name="_Toc184310279"/>
      <w:bookmarkEnd w:id="377"/>
      <w:bookmarkStart w:id="378" w:name="_Toc184312070"/>
      <w:bookmarkEnd w:id="378"/>
      <w:bookmarkStart w:id="379" w:name="_Toc184314467"/>
      <w:bookmarkEnd w:id="379"/>
      <w:bookmarkStart w:id="380" w:name="_Toc184313279"/>
      <w:bookmarkEnd w:id="380"/>
      <w:bookmarkStart w:id="381" w:name="_Toc184310337"/>
      <w:bookmarkEnd w:id="381"/>
      <w:bookmarkStart w:id="382" w:name="_Toc184312122"/>
      <w:bookmarkEnd w:id="382"/>
      <w:bookmarkStart w:id="383" w:name="_Toc184310318"/>
      <w:bookmarkEnd w:id="383"/>
      <w:bookmarkStart w:id="384" w:name="_Toc184312067"/>
      <w:bookmarkEnd w:id="384"/>
      <w:bookmarkStart w:id="385" w:name="_Toc184312120"/>
      <w:bookmarkEnd w:id="385"/>
      <w:bookmarkStart w:id="386" w:name="_Toc184308096"/>
      <w:bookmarkEnd w:id="386"/>
      <w:bookmarkStart w:id="387" w:name="_Toc184308101"/>
      <w:bookmarkEnd w:id="387"/>
      <w:bookmarkStart w:id="388" w:name="_Toc184313278"/>
      <w:bookmarkEnd w:id="388"/>
      <w:bookmarkStart w:id="389" w:name="_Toc184308044"/>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w:t>
      </w:r>
    </w:p>
    <w:p w14:paraId="52681FB7">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标项2：</w:t>
      </w:r>
      <w:r>
        <w:rPr>
          <w:rFonts w:hint="eastAsia" w:ascii="仿宋" w:hAnsi="仿宋" w:eastAsia="仿宋" w:cs="仿宋"/>
          <w:color w:val="auto"/>
          <w:sz w:val="24"/>
          <w:szCs w:val="24"/>
          <w:highlight w:val="none"/>
          <w:lang w:val="en-US" w:eastAsia="zh-CN"/>
        </w:rPr>
        <w:t>应急消防救援装备</w:t>
      </w:r>
      <w:r>
        <w:rPr>
          <w:rFonts w:hint="eastAsia" w:ascii="仿宋" w:hAnsi="仿宋" w:eastAsia="仿宋" w:cs="仿宋"/>
          <w:color w:val="auto"/>
          <w:sz w:val="24"/>
          <w:highlight w:val="none"/>
          <w:lang w:val="en-US" w:eastAsia="zh-CN"/>
        </w:rPr>
        <w:t>（70分）</w:t>
      </w:r>
    </w:p>
    <w:tbl>
      <w:tblPr>
        <w:tblStyle w:val="65"/>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15"/>
        <w:gridCol w:w="721"/>
      </w:tblGrid>
      <w:tr w14:paraId="7FB2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09054E31">
            <w:pPr>
              <w:tabs>
                <w:tab w:val="left" w:pos="0"/>
              </w:tabs>
              <w:autoSpaceDE w:val="0"/>
              <w:autoSpaceDN w:val="0"/>
              <w:adjustRightIn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674E624D">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评分项目内容</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3F213A2">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0E4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64246675">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1.类似业绩</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554D7528">
            <w:pPr>
              <w:pStyle w:val="36"/>
              <w:keepNext w:val="0"/>
              <w:keepLines w:val="0"/>
              <w:pageBreakBefore w:val="0"/>
              <w:kinsoku/>
              <w:wordWrap/>
              <w:overflowPunct/>
              <w:topLinePunct w:val="0"/>
              <w:autoSpaceDE w:val="0"/>
              <w:autoSpaceDN w:val="0"/>
              <w:bidi w:val="0"/>
              <w:snapToGrid/>
              <w:spacing w:line="264" w:lineRule="auto"/>
              <w:ind w:firstLine="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年1月1日以来（以合同签订日期为准）承担过类似项目业绩，每提供一个得1分，最高得3分。 </w:t>
            </w:r>
            <w:r>
              <w:rPr>
                <w:rFonts w:hint="eastAsia" w:ascii="仿宋" w:hAnsi="仿宋" w:eastAsia="仿宋" w:cs="仿宋"/>
                <w:b/>
                <w:bCs/>
                <w:color w:val="auto"/>
                <w:kern w:val="0"/>
                <w:sz w:val="24"/>
                <w:szCs w:val="24"/>
                <w:highlight w:val="none"/>
              </w:rPr>
              <w:t>投标文件中提供合同扫描件加盖投标人公章</w:t>
            </w:r>
            <w:r>
              <w:rPr>
                <w:rFonts w:hint="eastAsia" w:ascii="仿宋" w:hAnsi="仿宋" w:eastAsia="仿宋" w:cs="仿宋"/>
                <w:b/>
                <w:bCs/>
                <w:color w:val="auto"/>
                <w:kern w:val="0"/>
                <w:sz w:val="24"/>
                <w:szCs w:val="24"/>
                <w:highlight w:val="none"/>
                <w:lang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A21EB48">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3分</w:t>
            </w:r>
          </w:p>
        </w:tc>
      </w:tr>
      <w:tr w14:paraId="32CA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right w:val="single" w:color="auto" w:sz="4" w:space="0"/>
            </w:tcBorders>
            <w:noWrap w:val="0"/>
            <w:vAlign w:val="center"/>
          </w:tcPr>
          <w:p w14:paraId="07B7334A">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2.项目总体理解</w:t>
            </w:r>
          </w:p>
        </w:tc>
        <w:tc>
          <w:tcPr>
            <w:tcW w:w="8115" w:type="dxa"/>
            <w:tcBorders>
              <w:top w:val="single" w:color="auto" w:sz="4" w:space="0"/>
              <w:left w:val="single" w:color="auto" w:sz="4" w:space="0"/>
              <w:bottom w:val="single" w:color="auto" w:sz="4" w:space="0"/>
              <w:right w:val="single" w:color="auto" w:sz="4" w:space="0"/>
            </w:tcBorders>
            <w:noWrap w:val="0"/>
            <w:vAlign w:val="top"/>
          </w:tcPr>
          <w:p w14:paraId="7E6BB8DC">
            <w:pPr>
              <w:pStyle w:val="966"/>
              <w:keepNext w:val="0"/>
              <w:keepLines w:val="0"/>
              <w:pageBreakBefore w:val="0"/>
              <w:kinsoku/>
              <w:wordWrap/>
              <w:overflowPunct/>
              <w:topLinePunct w:val="0"/>
              <w:autoSpaceDE w:val="0"/>
              <w:autoSpaceDN w:val="0"/>
              <w:bidi w:val="0"/>
              <w:snapToGrid/>
              <w:spacing w:line="264" w:lineRule="auto"/>
              <w:ind w:right="97"/>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lang w:val="en-US" w:bidi="ar-SA"/>
              </w:rPr>
              <w:t>根据投标</w:t>
            </w:r>
            <w:r>
              <w:rPr>
                <w:rFonts w:hint="eastAsia" w:ascii="仿宋" w:hAnsi="仿宋" w:eastAsia="仿宋" w:cs="仿宋"/>
                <w:color w:val="auto"/>
                <w:kern w:val="0"/>
                <w:sz w:val="24"/>
                <w:szCs w:val="24"/>
                <w:highlight w:val="none"/>
                <w:lang w:val="en-US" w:eastAsia="zh-CN" w:bidi="ar-SA"/>
              </w:rPr>
              <w:t>人</w:t>
            </w:r>
            <w:r>
              <w:rPr>
                <w:rFonts w:hint="eastAsia" w:ascii="仿宋" w:hAnsi="仿宋" w:eastAsia="仿宋" w:cs="仿宋"/>
                <w:color w:val="auto"/>
                <w:kern w:val="0"/>
                <w:sz w:val="24"/>
                <w:szCs w:val="24"/>
                <w:highlight w:val="none"/>
                <w:lang w:val="en-US" w:bidi="ar-SA"/>
              </w:rPr>
              <w:t>对本项目的总体理解</w:t>
            </w:r>
            <w:r>
              <w:rPr>
                <w:rFonts w:hint="eastAsia" w:ascii="仿宋" w:hAnsi="仿宋" w:eastAsia="仿宋" w:cs="仿宋"/>
                <w:color w:val="auto"/>
                <w:kern w:val="0"/>
                <w:sz w:val="24"/>
                <w:szCs w:val="24"/>
                <w:highlight w:val="none"/>
                <w:lang w:val="en-US" w:eastAsia="zh-CN" w:bidi="ar-SA"/>
              </w:rPr>
              <w:t>是否详细、全面、可行</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bidi="ar-SA"/>
              </w:rPr>
              <w:t>，包含以下要点：</w:t>
            </w:r>
            <w:r>
              <w:rPr>
                <w:rFonts w:hint="eastAsia" w:ascii="仿宋" w:hAnsi="仿宋" w:eastAsia="仿宋" w:cs="仿宋"/>
                <w:color w:val="auto"/>
                <w:kern w:val="0"/>
                <w:sz w:val="24"/>
                <w:szCs w:val="24"/>
                <w:highlight w:val="none"/>
              </w:rPr>
              <w:t>①</w:t>
            </w:r>
            <w:r>
              <w:rPr>
                <w:rFonts w:hint="eastAsia" w:ascii="仿宋" w:hAnsi="仿宋" w:eastAsia="仿宋" w:cs="仿宋"/>
                <w:b w:val="0"/>
                <w:bCs/>
                <w:color w:val="auto"/>
                <w:sz w:val="24"/>
                <w:szCs w:val="24"/>
                <w:highlight w:val="none"/>
              </w:rPr>
              <w:t>产品总体选型、配置方案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b w:val="0"/>
                <w:bCs/>
                <w:color w:val="auto"/>
                <w:sz w:val="24"/>
                <w:szCs w:val="24"/>
                <w:highlight w:val="none"/>
                <w:lang w:val="en-US" w:eastAsia="zh-CN"/>
              </w:rPr>
              <w:t>技术工艺方案（2分）；</w:t>
            </w:r>
            <w:r>
              <w:rPr>
                <w:rFonts w:hint="eastAsia" w:ascii="仿宋" w:hAnsi="仿宋" w:eastAsia="仿宋" w:cs="仿宋"/>
                <w:color w:val="auto"/>
                <w:kern w:val="0"/>
                <w:sz w:val="24"/>
                <w:szCs w:val="24"/>
                <w:highlight w:val="none"/>
              </w:rPr>
              <w:t>③</w:t>
            </w:r>
            <w:r>
              <w:rPr>
                <w:rFonts w:hint="eastAsia" w:ascii="仿宋" w:hAnsi="仿宋" w:eastAsia="仿宋" w:cs="仿宋"/>
                <w:b w:val="0"/>
                <w:bCs/>
                <w:color w:val="auto"/>
                <w:sz w:val="24"/>
                <w:szCs w:val="24"/>
                <w:highlight w:val="none"/>
                <w:lang w:val="en-US" w:eastAsia="zh-CN"/>
              </w:rPr>
              <w:t>设计方案：</w:t>
            </w:r>
            <w:r>
              <w:rPr>
                <w:rFonts w:hint="eastAsia" w:ascii="仿宋" w:hAnsi="仿宋" w:eastAsia="仿宋" w:cs="仿宋"/>
                <w:b w:val="0"/>
                <w:bCs/>
                <w:color w:val="auto"/>
                <w:sz w:val="24"/>
                <w:szCs w:val="24"/>
                <w:highlight w:val="none"/>
              </w:rPr>
              <w:t>包括所投产品的主要技术、结构、功能、特点、配置、操作说明等阐述</w:t>
            </w:r>
            <w:r>
              <w:rPr>
                <w:rFonts w:hint="eastAsia" w:ascii="仿宋" w:hAnsi="仿宋" w:eastAsia="仿宋" w:cs="仿宋"/>
                <w:b w:val="0"/>
                <w:bCs/>
                <w:color w:val="auto"/>
                <w:sz w:val="24"/>
                <w:szCs w:val="24"/>
                <w:highlight w:val="none"/>
                <w:lang w:val="en-US" w:eastAsia="zh-CN"/>
              </w:rPr>
              <w:t>（2分）。</w:t>
            </w:r>
          </w:p>
          <w:p w14:paraId="55C3A461">
            <w:pPr>
              <w:pStyle w:val="966"/>
              <w:keepNext w:val="0"/>
              <w:keepLines w:val="0"/>
              <w:pageBreakBefore w:val="0"/>
              <w:kinsoku/>
              <w:wordWrap/>
              <w:overflowPunct/>
              <w:topLinePunct w:val="0"/>
              <w:autoSpaceDE w:val="0"/>
              <w:autoSpaceDN w:val="0"/>
              <w:bidi w:val="0"/>
              <w:snapToGrid/>
              <w:spacing w:line="264" w:lineRule="auto"/>
              <w:ind w:right="97" w:rightChars="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34A052F">
            <w:pPr>
              <w:pStyle w:val="966"/>
              <w:keepNext w:val="0"/>
              <w:keepLines w:val="0"/>
              <w:pageBreakBefore w:val="0"/>
              <w:kinsoku/>
              <w:wordWrap/>
              <w:overflowPunct/>
              <w:topLinePunct w:val="0"/>
              <w:autoSpaceDE w:val="0"/>
              <w:autoSpaceDN w:val="0"/>
              <w:bidi w:val="0"/>
              <w:snapToGrid/>
              <w:spacing w:line="264" w:lineRule="auto"/>
              <w:ind w:right="97" w:rightChars="0"/>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bidi="ar-SA"/>
              </w:rPr>
              <w:t>6</w:t>
            </w:r>
            <w:r>
              <w:rPr>
                <w:rFonts w:hint="eastAsia" w:ascii="仿宋" w:hAnsi="仿宋" w:eastAsia="仿宋" w:cs="仿宋"/>
                <w:b/>
                <w:bCs/>
                <w:color w:val="auto"/>
                <w:kern w:val="0"/>
                <w:sz w:val="24"/>
                <w:szCs w:val="24"/>
                <w:highlight w:val="none"/>
                <w:lang w:val="en-US" w:bidi="ar-SA"/>
              </w:rPr>
              <w:t>分</w:t>
            </w:r>
          </w:p>
        </w:tc>
      </w:tr>
      <w:tr w14:paraId="047D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F7FA671">
            <w:pPr>
              <w:keepNext w:val="0"/>
              <w:keepLines w:val="0"/>
              <w:pageBreakBefore w:val="0"/>
              <w:widowControl/>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3.项目实施方案</w:t>
            </w:r>
          </w:p>
        </w:tc>
        <w:tc>
          <w:tcPr>
            <w:tcW w:w="8115" w:type="dxa"/>
            <w:noWrap w:val="0"/>
            <w:vAlign w:val="center"/>
          </w:tcPr>
          <w:p w14:paraId="67C3E26A">
            <w:pPr>
              <w:pStyle w:val="966"/>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lang w:val="en-US" w:bidi="ar-SA"/>
              </w:rPr>
              <w:t>根据投标人针对本次采购项目制定的详细实施方案</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sz w:val="24"/>
                <w:szCs w:val="24"/>
                <w:lang w:val="en-US" w:eastAsia="zh-CN"/>
              </w:rPr>
              <w:t>包含：</w:t>
            </w:r>
            <w:r>
              <w:rPr>
                <w:rFonts w:hint="eastAsia" w:ascii="仿宋" w:hAnsi="仿宋" w:eastAsia="仿宋" w:cs="仿宋"/>
                <w:color w:val="auto"/>
                <w:kern w:val="0"/>
                <w:sz w:val="24"/>
                <w:szCs w:val="24"/>
                <w:highlight w:val="none"/>
              </w:rPr>
              <w:t>①</w:t>
            </w:r>
            <w:r>
              <w:rPr>
                <w:rFonts w:hint="eastAsia" w:ascii="仿宋" w:hAnsi="仿宋" w:eastAsia="仿宋" w:cs="仿宋"/>
                <w:sz w:val="24"/>
                <w:szCs w:val="24"/>
                <w:lang w:val="en-US" w:eastAsia="zh-CN"/>
              </w:rPr>
              <w:t>项目实施人员计划安排（2分）；</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sz w:val="24"/>
                <w:szCs w:val="24"/>
                <w:lang w:val="en-US" w:eastAsia="zh-CN"/>
              </w:rPr>
              <w:t>实施进度安排（2分）；</w:t>
            </w:r>
            <w:r>
              <w:rPr>
                <w:rFonts w:hint="eastAsia" w:ascii="仿宋" w:hAnsi="仿宋" w:eastAsia="仿宋" w:cs="仿宋"/>
                <w:color w:val="auto"/>
                <w:kern w:val="0"/>
                <w:sz w:val="24"/>
                <w:szCs w:val="24"/>
                <w:highlight w:val="none"/>
              </w:rPr>
              <w:t>③</w:t>
            </w:r>
            <w:r>
              <w:rPr>
                <w:rFonts w:hint="eastAsia" w:ascii="仿宋" w:hAnsi="仿宋" w:eastAsia="仿宋" w:cs="仿宋"/>
                <w:sz w:val="24"/>
                <w:szCs w:val="24"/>
                <w:lang w:val="en-US" w:eastAsia="zh-CN"/>
              </w:rPr>
              <w:t>项目管理方案、项目保障方案（2分）。</w:t>
            </w:r>
          </w:p>
          <w:p w14:paraId="7FB044BD">
            <w:pPr>
              <w:pStyle w:val="966"/>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1DFF5208">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1FE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55DADCF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4.质量保证措施</w:t>
            </w:r>
          </w:p>
        </w:tc>
        <w:tc>
          <w:tcPr>
            <w:tcW w:w="8115" w:type="dxa"/>
            <w:noWrap w:val="0"/>
            <w:vAlign w:val="center"/>
          </w:tcPr>
          <w:p w14:paraId="4E6F7208">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提供针对本项目质量保证的措施进行综合评审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质量管理制度与生产质量控制流程（3分）；</w:t>
            </w:r>
            <w:r>
              <w:rPr>
                <w:rFonts w:hint="eastAsia" w:ascii="仿宋" w:hAnsi="仿宋" w:eastAsia="仿宋" w:cs="仿宋"/>
                <w:color w:val="auto"/>
                <w:kern w:val="0"/>
                <w:sz w:val="24"/>
                <w:szCs w:val="24"/>
                <w:highlight w:val="none"/>
              </w:rPr>
              <w:t>②对采购需求</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响应情况</w:t>
            </w:r>
            <w:r>
              <w:rPr>
                <w:rFonts w:hint="eastAsia" w:ascii="仿宋" w:hAnsi="仿宋" w:eastAsia="仿宋" w:cs="仿宋"/>
                <w:color w:val="auto"/>
                <w:kern w:val="0"/>
                <w:sz w:val="24"/>
                <w:szCs w:val="24"/>
                <w:highlight w:val="none"/>
                <w:lang w:val="en-US" w:eastAsia="zh-CN"/>
              </w:rPr>
              <w:t>以及在紧急情况下的应对措施（3分）</w:t>
            </w:r>
            <w:r>
              <w:rPr>
                <w:rFonts w:hint="eastAsia" w:ascii="仿宋" w:hAnsi="仿宋" w:eastAsia="仿宋" w:cs="仿宋"/>
                <w:color w:val="auto"/>
                <w:kern w:val="0"/>
                <w:sz w:val="24"/>
                <w:szCs w:val="24"/>
                <w:highlight w:val="none"/>
              </w:rPr>
              <w:t>。</w:t>
            </w:r>
          </w:p>
          <w:p w14:paraId="1B87B795">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内容完整全面、合理可行的得3分；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内容存在欠缺但相对完整、基本可行的得2分；③内容简单、可行性不高的得1分；④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0FD6D5AB">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256F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5BD3147">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5.技术指标响应情况</w:t>
            </w:r>
          </w:p>
        </w:tc>
        <w:tc>
          <w:tcPr>
            <w:tcW w:w="8115" w:type="dxa"/>
            <w:noWrap w:val="0"/>
            <w:vAlign w:val="center"/>
          </w:tcPr>
          <w:p w14:paraId="0C9623B3">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评委根据投标人提供的技术参数要求是否满足招标文件技术参数要求情况打分。</w:t>
            </w:r>
          </w:p>
          <w:p w14:paraId="053DB925">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1.全部满足招标文件技术参数要求内容的得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分。</w:t>
            </w:r>
          </w:p>
          <w:p w14:paraId="24916B32">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2.带“▲”号标识的条款或要求为重要技术参数指标或者要求，每负偏离一项扣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分；其他技术指标或参数要求每负偏离一项扣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分，扣完为止。</w:t>
            </w:r>
          </w:p>
          <w:p w14:paraId="38836C03">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（注：本项最高得</w:t>
            </w: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721" w:type="dxa"/>
            <w:noWrap w:val="0"/>
            <w:vAlign w:val="center"/>
          </w:tcPr>
          <w:p w14:paraId="76FD0000">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w:t>
            </w:r>
          </w:p>
        </w:tc>
      </w:tr>
      <w:tr w14:paraId="6EA9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30E5D34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6.拟投入人员情况</w:t>
            </w:r>
          </w:p>
        </w:tc>
        <w:tc>
          <w:tcPr>
            <w:tcW w:w="8115" w:type="dxa"/>
            <w:noWrap w:val="0"/>
            <w:vAlign w:val="center"/>
          </w:tcPr>
          <w:p w14:paraId="107C8B77">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根据投标人拟投入本项目的人员</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eastAsia="zh-CN"/>
              </w:rPr>
              <w:t>：包括：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人员</w:t>
            </w:r>
            <w:r>
              <w:rPr>
                <w:rFonts w:hint="eastAsia" w:ascii="仿宋" w:hAnsi="仿宋" w:eastAsia="仿宋" w:cs="仿宋"/>
                <w:color w:val="auto"/>
                <w:kern w:val="0"/>
                <w:sz w:val="24"/>
                <w:szCs w:val="24"/>
                <w:highlight w:val="none"/>
              </w:rPr>
              <w:t>的专业技术能力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②工作经验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③团队结构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④人员数量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⑤</w:t>
            </w:r>
            <w:r>
              <w:rPr>
                <w:rFonts w:hint="eastAsia" w:ascii="仿宋" w:hAnsi="仿宋" w:eastAsia="仿宋" w:cs="仿宋"/>
                <w:color w:val="auto"/>
                <w:kern w:val="0"/>
                <w:sz w:val="24"/>
                <w:szCs w:val="24"/>
                <w:highlight w:val="none"/>
                <w:lang w:val="en-US" w:eastAsia="zh-CN"/>
              </w:rPr>
              <w:t>应急响应能力（1分）。</w:t>
            </w:r>
          </w:p>
          <w:p w14:paraId="2AC2DFEE">
            <w:pPr>
              <w:keepNext w:val="0"/>
              <w:keepLines w:val="0"/>
              <w:pageBreakBefore w:val="0"/>
              <w:widowControl/>
              <w:kinsoku/>
              <w:wordWrap/>
              <w:overflowPunct/>
              <w:topLinePunct w:val="0"/>
              <w:autoSpaceDE w:val="0"/>
              <w:autoSpaceDN w:val="0"/>
              <w:bidi w:val="0"/>
              <w:snapToGrid/>
              <w:spacing w:line="264" w:lineRule="auto"/>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10026C33">
            <w:pPr>
              <w:keepNext w:val="0"/>
              <w:keepLines w:val="0"/>
              <w:pageBreakBefore w:val="0"/>
              <w:widowControl/>
              <w:kinsoku/>
              <w:wordWrap/>
              <w:overflowPunct/>
              <w:topLinePunct w:val="0"/>
              <w:autoSpaceDE w:val="0"/>
              <w:autoSpaceDN w:val="0"/>
              <w:bidi w:val="0"/>
              <w:snapToGrid/>
              <w:spacing w:line="264"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分</w:t>
            </w:r>
          </w:p>
        </w:tc>
      </w:tr>
      <w:tr w14:paraId="0632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34EA32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7.供货方案</w:t>
            </w:r>
          </w:p>
        </w:tc>
        <w:tc>
          <w:tcPr>
            <w:tcW w:w="8115" w:type="dxa"/>
            <w:noWrap w:val="0"/>
            <w:vAlign w:val="center"/>
          </w:tcPr>
          <w:p w14:paraId="4EBA512A">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供货方案</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包括①</w:t>
            </w:r>
            <w:r>
              <w:rPr>
                <w:rFonts w:hint="eastAsia" w:ascii="仿宋" w:hAnsi="仿宋" w:eastAsia="仿宋" w:cs="仿宋"/>
                <w:color w:val="auto"/>
                <w:kern w:val="0"/>
                <w:sz w:val="24"/>
                <w:szCs w:val="24"/>
                <w:highlight w:val="none"/>
                <w:lang w:val="en-US" w:eastAsia="zh-CN"/>
              </w:rPr>
              <w:t>供货周期保障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运输保障方案（2分）；</w:t>
            </w: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val="en-US" w:eastAsia="zh-CN"/>
              </w:rPr>
              <w:t>紧急联络机制（2分）。</w:t>
            </w:r>
          </w:p>
          <w:p w14:paraId="4B0993C1">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279867D6">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15AD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25DA934C">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8.培训方案</w:t>
            </w:r>
          </w:p>
        </w:tc>
        <w:tc>
          <w:tcPr>
            <w:tcW w:w="8115" w:type="dxa"/>
            <w:noWrap w:val="0"/>
            <w:vAlign w:val="center"/>
          </w:tcPr>
          <w:p w14:paraId="4A398237">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投标人针对</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的培训方案进行综合评审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包括①培训对象、课时内容安排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②师资力量安排，培训的形式等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p>
          <w:p w14:paraId="09D56FC0">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63EFF8BE">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2分</w:t>
            </w:r>
          </w:p>
        </w:tc>
      </w:tr>
      <w:tr w14:paraId="1425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1022FDD0">
            <w:pPr>
              <w:pStyle w:val="36"/>
              <w:keepNext w:val="0"/>
              <w:keepLines w:val="0"/>
              <w:pageBreakBefore w:val="0"/>
              <w:kinsoku/>
              <w:wordWrap/>
              <w:overflowPunct/>
              <w:topLinePunct w:val="0"/>
              <w:autoSpaceDE w:val="0"/>
              <w:autoSpaceDN w:val="0"/>
              <w:bidi w:val="0"/>
              <w:snapToGrid/>
              <w:spacing w:line="264" w:lineRule="auto"/>
              <w:ind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.安装调试验收方案</w:t>
            </w:r>
          </w:p>
        </w:tc>
        <w:tc>
          <w:tcPr>
            <w:tcW w:w="8115" w:type="dxa"/>
            <w:noWrap w:val="0"/>
            <w:vAlign w:val="top"/>
          </w:tcPr>
          <w:p w14:paraId="539CCEC0">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w:t>
            </w:r>
            <w:r>
              <w:rPr>
                <w:rFonts w:hint="eastAsia" w:ascii="仿宋" w:hAnsi="仿宋" w:eastAsia="仿宋" w:cs="仿宋"/>
                <w:color w:val="auto"/>
                <w:kern w:val="0"/>
                <w:sz w:val="24"/>
                <w:szCs w:val="24"/>
                <w:highlight w:val="none"/>
                <w:lang w:val="en-US" w:eastAsia="zh-CN"/>
              </w:rPr>
              <w:t>针对投标人提供</w:t>
            </w:r>
            <w:r>
              <w:rPr>
                <w:rFonts w:hint="eastAsia" w:ascii="仿宋" w:hAnsi="仿宋" w:eastAsia="仿宋" w:cs="仿宋"/>
                <w:color w:val="auto"/>
                <w:kern w:val="0"/>
                <w:sz w:val="24"/>
                <w:szCs w:val="24"/>
                <w:highlight w:val="none"/>
              </w:rPr>
              <w:t>的安装调试</w:t>
            </w:r>
            <w:r>
              <w:rPr>
                <w:rFonts w:hint="eastAsia" w:ascii="仿宋" w:hAnsi="仿宋" w:eastAsia="仿宋" w:cs="仿宋"/>
                <w:color w:val="auto"/>
                <w:kern w:val="0"/>
                <w:sz w:val="24"/>
                <w:szCs w:val="24"/>
                <w:highlight w:val="none"/>
                <w:lang w:val="en-US" w:eastAsia="zh-CN"/>
              </w:rPr>
              <w:t>验收</w:t>
            </w:r>
            <w:r>
              <w:rPr>
                <w:rFonts w:hint="eastAsia" w:ascii="仿宋" w:hAnsi="仿宋" w:eastAsia="仿宋" w:cs="仿宋"/>
                <w:color w:val="auto"/>
                <w:kern w:val="0"/>
                <w:sz w:val="24"/>
                <w:szCs w:val="24"/>
                <w:highlight w:val="none"/>
              </w:rPr>
              <w:t>方案等进行综合评审，主要包括：①人员的安排</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kern w:val="0"/>
                <w:sz w:val="24"/>
                <w:szCs w:val="24"/>
                <w:highlight w:val="none"/>
              </w:rPr>
              <w:t>时间进度的规划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②对设备的调试进度安排，调试的步骤、措施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w:t>
            </w:r>
            <w:r>
              <w:rPr>
                <w:rFonts w:hint="eastAsia" w:ascii="仿宋" w:hAnsi="仿宋" w:eastAsia="仿宋" w:cs="仿宋"/>
                <w:b w:val="0"/>
                <w:bCs/>
                <w:color w:val="auto"/>
                <w:sz w:val="24"/>
                <w:szCs w:val="24"/>
                <w:highlight w:val="none"/>
              </w:rPr>
              <w:t>验收保障方案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包括验收组织和协调等验收配合措施、验收反馈处理机制</w:t>
            </w:r>
            <w:r>
              <w:rPr>
                <w:rFonts w:hint="eastAsia" w:ascii="仿宋" w:hAnsi="仿宋" w:eastAsia="仿宋" w:cs="仿宋"/>
                <w:b w:val="0"/>
                <w:bCs/>
                <w:color w:val="auto"/>
                <w:sz w:val="24"/>
                <w:szCs w:val="24"/>
                <w:highlight w:val="none"/>
                <w:lang w:val="en-US" w:eastAsia="zh-CN"/>
              </w:rPr>
              <w:t>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④重点难点</w:t>
            </w:r>
            <w:r>
              <w:rPr>
                <w:rFonts w:hint="eastAsia" w:ascii="仿宋" w:hAnsi="仿宋" w:eastAsia="仿宋" w:cs="仿宋"/>
                <w:color w:val="auto"/>
                <w:kern w:val="0"/>
                <w:sz w:val="24"/>
                <w:szCs w:val="24"/>
                <w:highlight w:val="none"/>
                <w:lang w:val="en-US" w:eastAsia="zh-CN"/>
              </w:rPr>
              <w:t>以及</w:t>
            </w:r>
            <w:r>
              <w:rPr>
                <w:rFonts w:hint="eastAsia" w:ascii="仿宋" w:hAnsi="仿宋" w:eastAsia="仿宋" w:cs="仿宋"/>
                <w:color w:val="auto"/>
                <w:kern w:val="0"/>
                <w:sz w:val="24"/>
                <w:szCs w:val="24"/>
                <w:highlight w:val="none"/>
              </w:rPr>
              <w:t>问题的解决方案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23A48E1C">
            <w:pPr>
              <w:pStyle w:val="36"/>
              <w:keepNext w:val="0"/>
              <w:keepLines w:val="0"/>
              <w:pageBreakBefore w:val="0"/>
              <w:kinsoku/>
              <w:wordWrap/>
              <w:overflowPunct/>
              <w:topLinePunct w:val="0"/>
              <w:autoSpaceDE w:val="0"/>
              <w:autoSpaceDN w:val="0"/>
              <w:bidi w:val="0"/>
              <w:snapToGrid/>
              <w:spacing w:line="264"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0A8205C1">
            <w:pPr>
              <w:pStyle w:val="36"/>
              <w:keepNext w:val="0"/>
              <w:keepLines w:val="0"/>
              <w:pageBreakBefore w:val="0"/>
              <w:kinsoku/>
              <w:wordWrap/>
              <w:overflowPunct/>
              <w:topLinePunct w:val="0"/>
              <w:autoSpaceDE w:val="0"/>
              <w:autoSpaceDN w:val="0"/>
              <w:bidi w:val="0"/>
              <w:snapToGrid/>
              <w:spacing w:line="264" w:lineRule="auto"/>
              <w:ind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分</w:t>
            </w:r>
          </w:p>
        </w:tc>
      </w:tr>
      <w:tr w14:paraId="1D03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728B1CB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.售后服务</w:t>
            </w:r>
          </w:p>
        </w:tc>
        <w:tc>
          <w:tcPr>
            <w:tcW w:w="8115" w:type="dxa"/>
            <w:noWrap w:val="0"/>
            <w:vAlign w:val="center"/>
          </w:tcPr>
          <w:p w14:paraId="4DDCDA0E">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结合本项目特点，对</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提供的运维保障及措施进行综合评审，包含但不限于：①质保期服务内容承诺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；②响应方式、响应时间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；③根据零部件、备品备件的</w:t>
            </w:r>
            <w:r>
              <w:rPr>
                <w:rFonts w:hint="eastAsia" w:ascii="仿宋" w:hAnsi="仿宋" w:eastAsia="仿宋" w:cs="仿宋"/>
                <w:color w:val="auto"/>
                <w:kern w:val="0"/>
                <w:sz w:val="24"/>
                <w:szCs w:val="24"/>
                <w:highlight w:val="none"/>
                <w:lang w:val="en-US" w:eastAsia="zh-CN"/>
              </w:rPr>
              <w:t>保障措施（1分）</w:t>
            </w:r>
            <w:r>
              <w:rPr>
                <w:rFonts w:hint="eastAsia" w:ascii="仿宋" w:hAnsi="仿宋" w:eastAsia="仿宋" w:cs="仿宋"/>
                <w:color w:val="auto"/>
                <w:kern w:val="0"/>
                <w:sz w:val="24"/>
                <w:szCs w:val="24"/>
                <w:highlight w:val="none"/>
              </w:rPr>
              <w:t>；④售后服务点设置情况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；⑤保修期外服务承诺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；⑥质保期外易损件的收费情况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p>
          <w:p w14:paraId="2F829682">
            <w:pPr>
              <w:pStyle w:val="36"/>
              <w:keepNext w:val="0"/>
              <w:keepLines w:val="0"/>
              <w:pageBreakBefore w:val="0"/>
              <w:kinsoku/>
              <w:wordWrap/>
              <w:overflowPunct/>
              <w:topLinePunct w:val="0"/>
              <w:autoSpaceDE w:val="0"/>
              <w:autoSpaceDN w:val="0"/>
              <w:bidi w:val="0"/>
              <w:snapToGrid/>
              <w:spacing w:line="264" w:lineRule="auto"/>
              <w:ind w:firstLine="0" w:firstLineChars="0"/>
              <w:jc w:val="left"/>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739C51DE">
            <w:pPr>
              <w:pStyle w:val="966"/>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3FDE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8" w:type="dxa"/>
            <w:gridSpan w:val="3"/>
            <w:noWrap w:val="0"/>
            <w:vAlign w:val="center"/>
          </w:tcPr>
          <w:p w14:paraId="1D1C0F59">
            <w:pPr>
              <w:pStyle w:val="966"/>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若为联合体</w:t>
            </w:r>
            <w:r>
              <w:rPr>
                <w:rFonts w:hint="eastAsia" w:ascii="仿宋" w:hAnsi="仿宋" w:eastAsia="仿宋" w:cs="仿宋"/>
                <w:b/>
                <w:bCs/>
                <w:color w:val="auto"/>
                <w:kern w:val="0"/>
                <w:sz w:val="24"/>
                <w:szCs w:val="24"/>
                <w:highlight w:val="none"/>
                <w:lang w:val="en-US" w:eastAsia="zh-CN"/>
              </w:rPr>
              <w:t>参加</w:t>
            </w:r>
            <w:r>
              <w:rPr>
                <w:rFonts w:hint="eastAsia" w:ascii="仿宋" w:hAnsi="仿宋" w:eastAsia="仿宋" w:cs="仿宋"/>
                <w:b/>
                <w:bCs/>
                <w:color w:val="auto"/>
                <w:kern w:val="0"/>
                <w:sz w:val="24"/>
                <w:szCs w:val="24"/>
                <w:highlight w:val="none"/>
              </w:rPr>
              <w:t>投标</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联合体一方满足评分条件的，</w:t>
            </w:r>
            <w:r>
              <w:rPr>
                <w:rFonts w:hint="eastAsia" w:ascii="仿宋" w:hAnsi="仿宋" w:eastAsia="仿宋" w:cs="仿宋"/>
                <w:b/>
                <w:bCs/>
                <w:color w:val="auto"/>
                <w:kern w:val="0"/>
                <w:sz w:val="24"/>
                <w:szCs w:val="24"/>
                <w:highlight w:val="none"/>
              </w:rPr>
              <w:t>即</w:t>
            </w:r>
            <w:r>
              <w:rPr>
                <w:rFonts w:hint="eastAsia" w:ascii="仿宋" w:hAnsi="仿宋" w:eastAsia="仿宋" w:cs="仿宋"/>
                <w:b/>
                <w:bCs/>
                <w:color w:val="auto"/>
                <w:kern w:val="0"/>
                <w:sz w:val="24"/>
                <w:szCs w:val="24"/>
                <w:highlight w:val="none"/>
                <w:lang w:val="en-US" w:eastAsia="zh-CN"/>
              </w:rPr>
              <w:t>予以认可</w:t>
            </w:r>
            <w:r>
              <w:rPr>
                <w:rFonts w:hint="eastAsia" w:ascii="仿宋" w:hAnsi="仿宋" w:eastAsia="仿宋" w:cs="仿宋"/>
                <w:b/>
                <w:bCs/>
                <w:color w:val="auto"/>
                <w:kern w:val="0"/>
                <w:sz w:val="24"/>
                <w:szCs w:val="24"/>
                <w:highlight w:val="none"/>
              </w:rPr>
              <w:t>得分</w:t>
            </w:r>
            <w:r>
              <w:rPr>
                <w:rFonts w:hint="eastAsia" w:ascii="仿宋" w:hAnsi="仿宋" w:eastAsia="仿宋" w:cs="仿宋"/>
                <w:color w:val="auto"/>
                <w:kern w:val="0"/>
                <w:sz w:val="24"/>
                <w:szCs w:val="24"/>
                <w:highlight w:val="none"/>
                <w:lang w:eastAsia="zh-CN"/>
              </w:rPr>
              <w:t>。</w:t>
            </w:r>
          </w:p>
        </w:tc>
      </w:tr>
    </w:tbl>
    <w:p w14:paraId="6010904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312" w:lineRule="auto"/>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312" w:lineRule="auto"/>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312" w:lineRule="auto"/>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312" w:lineRule="auto"/>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312" w:lineRule="auto"/>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312" w:lineRule="auto"/>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312" w:lineRule="auto"/>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312" w:lineRule="auto"/>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312" w:lineRule="auto"/>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312" w:lineRule="auto"/>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312" w:lineRule="auto"/>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312" w:lineRule="auto"/>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312" w:lineRule="auto"/>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keepNext w:val="0"/>
        <w:keepLines w:val="0"/>
        <w:pageBreakBefore w:val="0"/>
        <w:kinsoku/>
        <w:wordWrap/>
        <w:overflowPunct/>
        <w:topLinePunct w:val="0"/>
        <w:autoSpaceDE/>
        <w:autoSpaceDN/>
        <w:bidi w:val="0"/>
        <w:spacing w:line="312" w:lineRule="auto"/>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keepNext w:val="0"/>
        <w:keepLines w:val="0"/>
        <w:pageBreakBefore w:val="0"/>
        <w:kinsoku/>
        <w:wordWrap/>
        <w:overflowPunct/>
        <w:topLinePunct w:val="0"/>
        <w:autoSpaceDE/>
        <w:autoSpaceDN/>
        <w:bidi w:val="0"/>
        <w:snapToGrid w:val="0"/>
        <w:spacing w:line="312" w:lineRule="auto"/>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keepNext w:val="0"/>
        <w:keepLines w:val="0"/>
        <w:pageBreakBefore w:val="0"/>
        <w:kinsoku/>
        <w:wordWrap/>
        <w:overflowPunct/>
        <w:topLinePunct w:val="0"/>
        <w:autoSpaceDE/>
        <w:autoSpaceDN/>
        <w:bidi w:val="0"/>
        <w:spacing w:line="312" w:lineRule="auto"/>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keepNext w:val="0"/>
        <w:keepLines w:val="0"/>
        <w:pageBreakBefore w:val="0"/>
        <w:widowControl w:val="0"/>
        <w:kinsoku/>
        <w:wordWrap/>
        <w:overflowPunct/>
        <w:topLinePunct w:val="0"/>
        <w:autoSpaceDE/>
        <w:autoSpaceDN/>
        <w:bidi w:val="0"/>
        <w:snapToGrid w:val="0"/>
        <w:spacing w:line="312" w:lineRule="auto"/>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keepNext w:val="0"/>
        <w:keepLines w:val="0"/>
        <w:pageBreakBefore w:val="0"/>
        <w:widowControl w:val="0"/>
        <w:kinsoku/>
        <w:wordWrap/>
        <w:overflowPunct/>
        <w:topLinePunct w:val="0"/>
        <w:autoSpaceDE/>
        <w:autoSpaceDN/>
        <w:bidi w:val="0"/>
        <w:snapToGrid w:val="0"/>
        <w:spacing w:line="312" w:lineRule="auto"/>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keepNext w:val="0"/>
        <w:keepLines w:val="0"/>
        <w:pageBreakBefore w:val="0"/>
        <w:widowControl w:val="0"/>
        <w:kinsoku/>
        <w:wordWrap/>
        <w:overflowPunct/>
        <w:topLinePunct w:val="0"/>
        <w:autoSpaceDE/>
        <w:autoSpaceDN/>
        <w:bidi w:val="0"/>
        <w:snapToGrid w:val="0"/>
        <w:spacing w:line="312" w:lineRule="auto"/>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keepNext w:val="0"/>
        <w:keepLines w:val="0"/>
        <w:pageBreakBefore w:val="0"/>
        <w:widowControl w:val="0"/>
        <w:kinsoku/>
        <w:wordWrap/>
        <w:overflowPunct/>
        <w:topLinePunct w:val="0"/>
        <w:autoSpaceDE/>
        <w:autoSpaceDN/>
        <w:bidi w:val="0"/>
        <w:snapToGrid w:val="0"/>
        <w:spacing w:line="312" w:lineRule="auto"/>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keepNext w:val="0"/>
        <w:keepLines w:val="0"/>
        <w:pageBreakBefore w:val="0"/>
        <w:widowControl w:val="0"/>
        <w:kinsoku/>
        <w:wordWrap/>
        <w:overflowPunct/>
        <w:topLinePunct w:val="0"/>
        <w:autoSpaceDE/>
        <w:autoSpaceDN/>
        <w:bidi w:val="0"/>
        <w:snapToGrid w:val="0"/>
        <w:spacing w:line="312" w:lineRule="auto"/>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keepNext w:val="0"/>
        <w:keepLines w:val="0"/>
        <w:pageBreakBefore w:val="0"/>
        <w:widowControl w:val="0"/>
        <w:kinsoku/>
        <w:wordWrap/>
        <w:overflowPunct/>
        <w:topLinePunct w:val="0"/>
        <w:autoSpaceDE/>
        <w:autoSpaceDN/>
        <w:bidi w:val="0"/>
        <w:snapToGrid w:val="0"/>
        <w:spacing w:line="312" w:lineRule="auto"/>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keepNext w:val="0"/>
        <w:keepLines w:val="0"/>
        <w:pageBreakBefore w:val="0"/>
        <w:widowControl w:val="0"/>
        <w:kinsoku/>
        <w:wordWrap/>
        <w:overflowPunct/>
        <w:topLinePunct w:val="0"/>
        <w:autoSpaceDE/>
        <w:autoSpaceDN/>
        <w:bidi w:val="0"/>
        <w:snapToGrid w:val="0"/>
        <w:spacing w:line="312" w:lineRule="auto"/>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7D85699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AC027E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C0040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61D7453F">
      <w:pPr>
        <w:pStyle w:val="83"/>
        <w:rPr>
          <w:rFonts w:hint="eastAsia" w:ascii="仿宋" w:hAnsi="仿宋" w:eastAsia="仿宋" w:cs="仿宋"/>
          <w:sz w:val="21"/>
          <w:szCs w:val="21"/>
          <w:u w:val="single"/>
        </w:rPr>
      </w:pPr>
    </w:p>
    <w:p w14:paraId="27E71F1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11809AD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甲方</w:t>
      </w:r>
      <w:r>
        <w:rPr>
          <w:rFonts w:hint="eastAsia" w:ascii="仿宋" w:hAnsi="仿宋" w:eastAsia="仿宋" w:cs="仿宋"/>
          <w:sz w:val="21"/>
          <w:szCs w:val="21"/>
        </w:rPr>
        <w:t>无正当理由拒收货物，由</w:t>
      </w:r>
      <w:r>
        <w:rPr>
          <w:rFonts w:hint="eastAsia" w:ascii="仿宋" w:hAnsi="仿宋" w:eastAsia="仿宋" w:cs="仿宋"/>
          <w:sz w:val="21"/>
          <w:szCs w:val="21"/>
          <w:lang w:eastAsia="zh-CN"/>
        </w:rPr>
        <w:t>甲方</w:t>
      </w:r>
      <w:r>
        <w:rPr>
          <w:rFonts w:hint="eastAsia" w:ascii="仿宋" w:hAnsi="仿宋" w:eastAsia="仿宋" w:cs="仿宋"/>
          <w:sz w:val="21"/>
          <w:szCs w:val="21"/>
        </w:rPr>
        <w:t>向</w:t>
      </w:r>
      <w:r>
        <w:rPr>
          <w:rFonts w:hint="eastAsia" w:ascii="仿宋" w:hAnsi="仿宋" w:eastAsia="仿宋" w:cs="仿宋"/>
          <w:sz w:val="21"/>
          <w:szCs w:val="21"/>
          <w:lang w:eastAsia="zh-CN"/>
        </w:rPr>
        <w:t>乙方</w:t>
      </w:r>
      <w:r>
        <w:rPr>
          <w:rFonts w:hint="eastAsia" w:ascii="仿宋" w:hAnsi="仿宋" w:eastAsia="仿宋" w:cs="仿宋"/>
          <w:sz w:val="21"/>
          <w:szCs w:val="21"/>
        </w:rPr>
        <w:t>偿付拒收货物价的5%违约金。</w:t>
      </w:r>
    </w:p>
    <w:p w14:paraId="5FE62EA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2.乙方</w:t>
      </w:r>
      <w:r>
        <w:rPr>
          <w:rFonts w:hint="eastAsia" w:ascii="仿宋" w:hAnsi="仿宋" w:eastAsia="仿宋" w:cs="仿宋"/>
          <w:sz w:val="21"/>
          <w:szCs w:val="21"/>
        </w:rPr>
        <w:t>不得转包和</w:t>
      </w:r>
      <w:r>
        <w:rPr>
          <w:rFonts w:hint="eastAsia" w:ascii="仿宋" w:hAnsi="仿宋" w:eastAsia="仿宋" w:cs="仿宋"/>
          <w:sz w:val="21"/>
          <w:szCs w:val="21"/>
          <w:lang w:val="en-US" w:eastAsia="zh-CN"/>
        </w:rPr>
        <w:t>违法</w:t>
      </w:r>
      <w:r>
        <w:rPr>
          <w:rFonts w:hint="eastAsia" w:ascii="仿宋" w:hAnsi="仿宋" w:eastAsia="仿宋" w:cs="仿宋"/>
          <w:sz w:val="21"/>
          <w:szCs w:val="21"/>
        </w:rPr>
        <w:t>分包。否则视作违约，</w:t>
      </w:r>
      <w:r>
        <w:rPr>
          <w:rFonts w:hint="eastAsia" w:ascii="仿宋" w:hAnsi="仿宋" w:eastAsia="仿宋" w:cs="仿宋"/>
          <w:sz w:val="21"/>
          <w:szCs w:val="21"/>
          <w:lang w:eastAsia="zh-CN"/>
        </w:rPr>
        <w:t>甲方</w:t>
      </w:r>
      <w:r>
        <w:rPr>
          <w:rFonts w:hint="eastAsia" w:ascii="仿宋" w:hAnsi="仿宋" w:eastAsia="仿宋" w:cs="仿宋"/>
          <w:sz w:val="21"/>
          <w:szCs w:val="21"/>
        </w:rPr>
        <w:t>有权解除合同并没收全部履约保证金，并且</w:t>
      </w:r>
      <w:r>
        <w:rPr>
          <w:rFonts w:hint="eastAsia" w:ascii="仿宋" w:hAnsi="仿宋" w:eastAsia="仿宋" w:cs="仿宋"/>
          <w:sz w:val="21"/>
          <w:szCs w:val="21"/>
          <w:lang w:eastAsia="zh-CN"/>
        </w:rPr>
        <w:t>乙方</w:t>
      </w:r>
      <w:r>
        <w:rPr>
          <w:rFonts w:hint="eastAsia" w:ascii="仿宋" w:hAnsi="仿宋" w:eastAsia="仿宋" w:cs="仿宋"/>
          <w:sz w:val="21"/>
          <w:szCs w:val="21"/>
        </w:rPr>
        <w:t>需承担由此引起的一切经济损失。</w:t>
      </w:r>
    </w:p>
    <w:p w14:paraId="22E34D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无特殊情况，</w:t>
      </w:r>
      <w:r>
        <w:rPr>
          <w:rFonts w:hint="eastAsia" w:ascii="仿宋" w:hAnsi="仿宋" w:eastAsia="仿宋" w:cs="仿宋"/>
          <w:sz w:val="21"/>
          <w:szCs w:val="21"/>
          <w:lang w:eastAsia="zh-CN"/>
        </w:rPr>
        <w:t>乙方</w:t>
      </w:r>
      <w:r>
        <w:rPr>
          <w:rFonts w:hint="eastAsia" w:ascii="仿宋" w:hAnsi="仿宋" w:eastAsia="仿宋" w:cs="仿宋"/>
          <w:sz w:val="21"/>
          <w:szCs w:val="21"/>
        </w:rPr>
        <w:t>擅自终止合同的，</w:t>
      </w:r>
      <w:r>
        <w:rPr>
          <w:rFonts w:hint="eastAsia" w:ascii="仿宋" w:hAnsi="仿宋" w:eastAsia="仿宋" w:cs="仿宋"/>
          <w:sz w:val="21"/>
          <w:szCs w:val="21"/>
          <w:lang w:eastAsia="zh-CN"/>
        </w:rPr>
        <w:t>甲方</w:t>
      </w:r>
      <w:r>
        <w:rPr>
          <w:rFonts w:hint="eastAsia" w:ascii="仿宋" w:hAnsi="仿宋" w:eastAsia="仿宋" w:cs="仿宋"/>
          <w:sz w:val="21"/>
          <w:szCs w:val="21"/>
        </w:rPr>
        <w:t>有权没收其全部履约保证金，履约保证金不足以赔偿</w:t>
      </w:r>
      <w:r>
        <w:rPr>
          <w:rFonts w:hint="eastAsia" w:ascii="仿宋" w:hAnsi="仿宋" w:eastAsia="仿宋" w:cs="仿宋"/>
          <w:sz w:val="21"/>
          <w:szCs w:val="21"/>
          <w:lang w:eastAsia="zh-CN"/>
        </w:rPr>
        <w:t>甲方</w:t>
      </w:r>
      <w:r>
        <w:rPr>
          <w:rFonts w:hint="eastAsia" w:ascii="仿宋" w:hAnsi="仿宋" w:eastAsia="仿宋" w:cs="仿宋"/>
          <w:sz w:val="21"/>
          <w:szCs w:val="21"/>
        </w:rPr>
        <w:t>损失的，</w:t>
      </w:r>
      <w:r>
        <w:rPr>
          <w:rFonts w:hint="eastAsia" w:ascii="仿宋" w:hAnsi="仿宋" w:eastAsia="仿宋" w:cs="仿宋"/>
          <w:sz w:val="21"/>
          <w:szCs w:val="21"/>
          <w:lang w:eastAsia="zh-CN"/>
        </w:rPr>
        <w:t>乙方</w:t>
      </w:r>
      <w:r>
        <w:rPr>
          <w:rFonts w:hint="eastAsia" w:ascii="仿宋" w:hAnsi="仿宋" w:eastAsia="仿宋" w:cs="仿宋"/>
          <w:sz w:val="21"/>
          <w:szCs w:val="21"/>
        </w:rPr>
        <w:t>按实际损失赔偿。</w:t>
      </w:r>
    </w:p>
    <w:p w14:paraId="6FAE2EB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如果乙方没有按照合同规定期限内完成所有设备供货安装，则甲方可以在履约保证金中扣除违约赔偿金，违约赔偿金按每迟延一日扣除中标金额0.5%计，但违约赔偿金的最高限额为迟交货物计价金额的5%。如果乙方在达到最高限额后仍不能交付的，甲方有权解除合同，解除合同的通知自到达乙方时生效。因迟延履行造成甲方损失的，甲方有权要求赔偿。</w:t>
      </w:r>
    </w:p>
    <w:p w14:paraId="7D66AD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55CF428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bookmarkStart w:id="394" w:name="_GoBack"/>
      <w:bookmarkEnd w:id="394"/>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8"/>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诸暨市应急消防管理站提质升级设备采购项目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诸正开2025-07-13</w:t>
      </w:r>
    </w:p>
    <w:tbl>
      <w:tblPr>
        <w:tblStyle w:val="65"/>
        <w:tblpPr w:leftFromText="180" w:rightFromText="180" w:vertAnchor="text" w:horzAnchor="page" w:tblpX="1380" w:tblpY="201"/>
        <w:tblOverlap w:val="never"/>
        <w:tblW w:w="9218" w:type="dxa"/>
        <w:tblInd w:w="0" w:type="dxa"/>
        <w:tblLayout w:type="fixed"/>
        <w:tblCellMar>
          <w:top w:w="0" w:type="dxa"/>
          <w:left w:w="0" w:type="dxa"/>
          <w:bottom w:w="0" w:type="dxa"/>
          <w:right w:w="0" w:type="dxa"/>
        </w:tblCellMar>
      </w:tblPr>
      <w:tblGrid>
        <w:gridCol w:w="709"/>
        <w:gridCol w:w="996"/>
        <w:gridCol w:w="3256"/>
        <w:gridCol w:w="993"/>
        <w:gridCol w:w="992"/>
        <w:gridCol w:w="909"/>
        <w:gridCol w:w="1363"/>
      </w:tblGrid>
      <w:tr w14:paraId="5419E2D1">
        <w:tblPrEx>
          <w:tblCellMar>
            <w:top w:w="0" w:type="dxa"/>
            <w:left w:w="0" w:type="dxa"/>
            <w:bottom w:w="0" w:type="dxa"/>
            <w:right w:w="0"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vAlign w:val="center"/>
          </w:tcPr>
          <w:p w14:paraId="4057EC12">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1A05004F">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56" w:type="dxa"/>
            <w:tcBorders>
              <w:top w:val="single" w:color="auto" w:sz="4" w:space="0"/>
              <w:left w:val="single" w:color="auto" w:sz="4" w:space="0"/>
              <w:bottom w:val="single" w:color="auto" w:sz="4" w:space="0"/>
              <w:right w:val="single" w:color="auto" w:sz="4" w:space="0"/>
            </w:tcBorders>
            <w:vAlign w:val="center"/>
          </w:tcPr>
          <w:p w14:paraId="189D2BAB">
            <w:pPr>
              <w:pStyle w:val="991"/>
              <w:spacing w:line="240" w:lineRule="auto"/>
              <w:ind w:left="63" w:right="63"/>
              <w:rPr>
                <w:rFonts w:ascii="仿宋" w:hAnsi="仿宋" w:eastAsia="仿宋"/>
                <w:sz w:val="24"/>
                <w:szCs w:val="24"/>
              </w:rPr>
            </w:pPr>
            <w:r>
              <w:rPr>
                <w:rFonts w:hint="eastAsia" w:ascii="仿宋" w:hAnsi="仿宋" w:eastAsia="仿宋" w:cs="仿宋"/>
                <w:kern w:val="0"/>
                <w:sz w:val="24"/>
                <w:lang w:val="zh-CN"/>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14:paraId="4DCF7985">
            <w:pPr>
              <w:pStyle w:val="991"/>
              <w:spacing w:line="240" w:lineRule="auto"/>
              <w:ind w:left="63" w:right="63"/>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AB409DE">
            <w:pPr>
              <w:pStyle w:val="991"/>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7C40E6E5">
            <w:pPr>
              <w:pStyle w:val="991"/>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909" w:type="dxa"/>
            <w:tcBorders>
              <w:top w:val="single" w:color="auto" w:sz="4" w:space="0"/>
              <w:left w:val="nil"/>
              <w:bottom w:val="single" w:color="auto" w:sz="4" w:space="0"/>
              <w:right w:val="single" w:color="auto" w:sz="4" w:space="0"/>
            </w:tcBorders>
            <w:vAlign w:val="center"/>
          </w:tcPr>
          <w:p w14:paraId="1F9B6761">
            <w:pPr>
              <w:pStyle w:val="991"/>
              <w:spacing w:after="0" w:line="240" w:lineRule="auto"/>
              <w:ind w:left="62" w:right="62"/>
              <w:rPr>
                <w:rFonts w:ascii="仿宋" w:hAnsi="仿宋" w:eastAsia="仿宋"/>
                <w:sz w:val="24"/>
                <w:szCs w:val="24"/>
              </w:rPr>
            </w:pPr>
            <w:r>
              <w:rPr>
                <w:rFonts w:ascii="仿宋" w:hAnsi="仿宋" w:eastAsia="仿宋"/>
                <w:sz w:val="24"/>
                <w:szCs w:val="24"/>
              </w:rPr>
              <w:t>合计</w:t>
            </w:r>
          </w:p>
          <w:p w14:paraId="49AB9C06">
            <w:pPr>
              <w:pStyle w:val="991"/>
              <w:spacing w:after="0" w:line="240" w:lineRule="auto"/>
              <w:ind w:left="62" w:right="62"/>
              <w:rPr>
                <w:rFonts w:ascii="仿宋" w:hAnsi="仿宋" w:eastAsia="仿宋"/>
                <w:sz w:val="24"/>
                <w:szCs w:val="24"/>
              </w:rPr>
            </w:pPr>
            <w:r>
              <w:rPr>
                <w:rFonts w:ascii="仿宋" w:hAnsi="仿宋" w:eastAsia="仿宋"/>
                <w:sz w:val="24"/>
                <w:szCs w:val="24"/>
              </w:rPr>
              <w:t>（元）</w:t>
            </w:r>
          </w:p>
        </w:tc>
        <w:tc>
          <w:tcPr>
            <w:tcW w:w="1363" w:type="dxa"/>
            <w:tcBorders>
              <w:top w:val="single" w:color="auto" w:sz="4" w:space="0"/>
              <w:left w:val="nil"/>
              <w:bottom w:val="single" w:color="auto" w:sz="4" w:space="0"/>
              <w:right w:val="single" w:color="auto" w:sz="4" w:space="0"/>
            </w:tcBorders>
            <w:vAlign w:val="center"/>
          </w:tcPr>
          <w:p w14:paraId="35E53A2D">
            <w:pPr>
              <w:pStyle w:val="991"/>
              <w:spacing w:line="240" w:lineRule="auto"/>
              <w:ind w:left="63" w:right="63"/>
              <w:rPr>
                <w:rFonts w:ascii="仿宋" w:hAnsi="仿宋" w:eastAsia="仿宋"/>
                <w:sz w:val="24"/>
                <w:szCs w:val="24"/>
              </w:rPr>
            </w:pPr>
            <w:r>
              <w:rPr>
                <w:rFonts w:ascii="仿宋" w:hAnsi="仿宋" w:eastAsia="仿宋"/>
                <w:sz w:val="24"/>
                <w:szCs w:val="24"/>
              </w:rPr>
              <w:t>服务期限</w:t>
            </w:r>
          </w:p>
        </w:tc>
      </w:tr>
      <w:tr w14:paraId="3D5E0AC7">
        <w:tblPrEx>
          <w:tblCellMar>
            <w:top w:w="0" w:type="dxa"/>
            <w:left w:w="0" w:type="dxa"/>
            <w:bottom w:w="0" w:type="dxa"/>
            <w:right w:w="0"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14:paraId="6F08F1A7">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996" w:type="dxa"/>
            <w:tcBorders>
              <w:top w:val="single" w:color="auto" w:sz="4" w:space="0"/>
              <w:left w:val="single" w:color="auto" w:sz="4" w:space="0"/>
              <w:bottom w:val="single" w:color="auto" w:sz="4" w:space="0"/>
              <w:right w:val="single" w:color="auto" w:sz="4" w:space="0"/>
            </w:tcBorders>
            <w:vAlign w:val="center"/>
          </w:tcPr>
          <w:p w14:paraId="74770DA4">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07B77C0B">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556D25A">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4A43A2">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60A3EC81">
            <w:pPr>
              <w:pStyle w:val="991"/>
              <w:spacing w:line="360" w:lineRule="auto"/>
              <w:ind w:left="63" w:right="63"/>
              <w:rPr>
                <w:rFonts w:ascii="仿宋" w:hAnsi="仿宋" w:eastAsia="仿宋"/>
                <w:sz w:val="24"/>
                <w:szCs w:val="24"/>
              </w:rPr>
            </w:pPr>
          </w:p>
        </w:tc>
        <w:tc>
          <w:tcPr>
            <w:tcW w:w="1363" w:type="dxa"/>
            <w:vMerge w:val="restart"/>
            <w:tcBorders>
              <w:top w:val="single" w:color="auto" w:sz="4" w:space="0"/>
              <w:left w:val="nil"/>
              <w:right w:val="single" w:color="auto" w:sz="4" w:space="0"/>
            </w:tcBorders>
            <w:vAlign w:val="center"/>
          </w:tcPr>
          <w:p w14:paraId="2B81EDC8">
            <w:pPr>
              <w:pStyle w:val="991"/>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7C9EC3CB">
        <w:tblPrEx>
          <w:tblCellMar>
            <w:top w:w="0" w:type="dxa"/>
            <w:left w:w="0" w:type="dxa"/>
            <w:bottom w:w="0" w:type="dxa"/>
            <w:right w:w="0" w:type="dxa"/>
          </w:tblCellMar>
        </w:tblPrEx>
        <w:trPr>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46930CA1">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996" w:type="dxa"/>
            <w:tcBorders>
              <w:top w:val="single" w:color="auto" w:sz="4" w:space="0"/>
              <w:left w:val="single" w:color="auto" w:sz="4" w:space="0"/>
              <w:bottom w:val="single" w:color="auto" w:sz="4" w:space="0"/>
              <w:right w:val="single" w:color="auto" w:sz="4" w:space="0"/>
            </w:tcBorders>
            <w:vAlign w:val="center"/>
          </w:tcPr>
          <w:p w14:paraId="1955F96E">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7F5E502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491341">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C1CDA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57E621D9">
            <w:pPr>
              <w:pStyle w:val="991"/>
              <w:spacing w:line="360" w:lineRule="auto"/>
              <w:ind w:left="63" w:right="63"/>
              <w:rPr>
                <w:rFonts w:ascii="仿宋" w:hAnsi="仿宋" w:eastAsia="仿宋"/>
                <w:sz w:val="24"/>
                <w:szCs w:val="24"/>
              </w:rPr>
            </w:pPr>
          </w:p>
        </w:tc>
        <w:tc>
          <w:tcPr>
            <w:tcW w:w="1363" w:type="dxa"/>
            <w:vMerge w:val="continue"/>
            <w:tcBorders>
              <w:left w:val="nil"/>
              <w:right w:val="single" w:color="auto" w:sz="4" w:space="0"/>
            </w:tcBorders>
          </w:tcPr>
          <w:p w14:paraId="18265607">
            <w:pPr>
              <w:pStyle w:val="991"/>
              <w:spacing w:line="360" w:lineRule="auto"/>
              <w:ind w:left="63" w:right="63"/>
              <w:rPr>
                <w:rFonts w:ascii="仿宋" w:hAnsi="仿宋" w:eastAsia="仿宋"/>
                <w:sz w:val="24"/>
                <w:szCs w:val="24"/>
              </w:rPr>
            </w:pPr>
          </w:p>
        </w:tc>
      </w:tr>
      <w:tr w14:paraId="199F5D4F">
        <w:tblPrEx>
          <w:tblCellMar>
            <w:top w:w="0" w:type="dxa"/>
            <w:left w:w="0" w:type="dxa"/>
            <w:bottom w:w="0" w:type="dxa"/>
            <w:right w:w="0" w:type="dxa"/>
          </w:tblCellMar>
        </w:tblPrEx>
        <w:trPr>
          <w:trHeight w:val="378" w:hRule="atLeast"/>
        </w:trPr>
        <w:tc>
          <w:tcPr>
            <w:tcW w:w="709" w:type="dxa"/>
            <w:tcBorders>
              <w:top w:val="single" w:color="auto" w:sz="4" w:space="0"/>
              <w:left w:val="single" w:color="auto" w:sz="4" w:space="0"/>
              <w:bottom w:val="single" w:color="auto" w:sz="4" w:space="0"/>
              <w:right w:val="single" w:color="auto" w:sz="4" w:space="0"/>
            </w:tcBorders>
            <w:vAlign w:val="center"/>
          </w:tcPr>
          <w:p w14:paraId="3DE61090">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996" w:type="dxa"/>
            <w:tcBorders>
              <w:top w:val="single" w:color="auto" w:sz="4" w:space="0"/>
              <w:left w:val="single" w:color="auto" w:sz="4" w:space="0"/>
              <w:bottom w:val="single" w:color="auto" w:sz="4" w:space="0"/>
              <w:right w:val="single" w:color="auto" w:sz="4" w:space="0"/>
            </w:tcBorders>
            <w:vAlign w:val="center"/>
          </w:tcPr>
          <w:p w14:paraId="515434A9">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3E4DFD6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80F698F">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3C335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140A535E">
            <w:pPr>
              <w:pStyle w:val="991"/>
              <w:spacing w:line="360" w:lineRule="auto"/>
              <w:ind w:left="63" w:right="63"/>
              <w:rPr>
                <w:rFonts w:ascii="仿宋" w:hAnsi="仿宋" w:eastAsia="仿宋"/>
                <w:sz w:val="24"/>
                <w:szCs w:val="24"/>
              </w:rPr>
            </w:pPr>
          </w:p>
        </w:tc>
        <w:tc>
          <w:tcPr>
            <w:tcW w:w="1363" w:type="dxa"/>
            <w:vMerge w:val="continue"/>
            <w:tcBorders>
              <w:left w:val="nil"/>
              <w:bottom w:val="single" w:color="auto" w:sz="4" w:space="0"/>
              <w:right w:val="single" w:color="auto" w:sz="4" w:space="0"/>
            </w:tcBorders>
          </w:tcPr>
          <w:p w14:paraId="5CED3645">
            <w:pPr>
              <w:pStyle w:val="991"/>
              <w:spacing w:line="360" w:lineRule="auto"/>
              <w:ind w:left="63" w:right="63"/>
              <w:rPr>
                <w:rFonts w:ascii="仿宋" w:hAnsi="仿宋" w:eastAsia="仿宋"/>
                <w:sz w:val="24"/>
                <w:szCs w:val="24"/>
              </w:rPr>
            </w:pPr>
          </w:p>
        </w:tc>
      </w:tr>
      <w:tr w14:paraId="0EE765BB">
        <w:tblPrEx>
          <w:tblCellMar>
            <w:top w:w="0" w:type="dxa"/>
            <w:left w:w="0" w:type="dxa"/>
            <w:bottom w:w="0" w:type="dxa"/>
            <w:right w:w="0" w:type="dxa"/>
          </w:tblCellMar>
        </w:tblPrEx>
        <w:trPr>
          <w:trHeight w:val="1119" w:hRule="atLeast"/>
        </w:trPr>
        <w:tc>
          <w:tcPr>
            <w:tcW w:w="9218" w:type="dxa"/>
            <w:gridSpan w:val="7"/>
            <w:tcBorders>
              <w:top w:val="single" w:color="auto" w:sz="4" w:space="0"/>
              <w:left w:val="single" w:color="auto" w:sz="4" w:space="0"/>
              <w:bottom w:val="single" w:color="auto" w:sz="4" w:space="0"/>
              <w:right w:val="single" w:color="auto" w:sz="4" w:space="0"/>
            </w:tcBorders>
            <w:vAlign w:val="center"/>
          </w:tcPr>
          <w:p w14:paraId="1F732F15">
            <w:pPr>
              <w:spacing w:beforeLines="50" w:line="240" w:lineRule="auto"/>
              <w:ind w:firstLine="480" w:firstLineChars="200"/>
              <w:jc w:val="center"/>
              <w:rPr>
                <w:rFonts w:hint="eastAsia" w:ascii="仿宋" w:hAnsi="仿宋" w:eastAsia="仿宋" w:cs="Arial Unicode MS"/>
                <w:color w:val="auto"/>
                <w:sz w:val="24"/>
                <w:szCs w:val="24"/>
              </w:rPr>
            </w:pPr>
            <w:r>
              <w:rPr>
                <w:rFonts w:hint="eastAsia" w:ascii="仿宋" w:hAnsi="仿宋" w:eastAsia="仿宋" w:cs="Arial Unicode MS"/>
                <w:color w:val="auto"/>
                <w:sz w:val="24"/>
                <w:szCs w:val="24"/>
              </w:rPr>
              <w:t>投标报价（总价，元）</w:t>
            </w:r>
          </w:p>
          <w:p w14:paraId="57C0BDE8">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184215C7">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071F6D75">
      <w:pPr>
        <w:snapToGrid w:val="0"/>
        <w:spacing w:line="360" w:lineRule="auto"/>
        <w:ind w:firstLine="482" w:firstLineChars="200"/>
        <w:rPr>
          <w:rFonts w:hint="eastAsia" w:ascii="仿宋" w:hAnsi="仿宋" w:eastAsia="仿宋" w:cs="仿宋"/>
          <w:b/>
          <w:color w:val="auto"/>
          <w:kern w:val="0"/>
          <w:sz w:val="24"/>
          <w:highlight w:val="none"/>
          <w:lang w:val="zh-CN"/>
        </w:rPr>
      </w:pPr>
    </w:p>
    <w:p w14:paraId="75163283">
      <w:pPr>
        <w:snapToGrid w:val="0"/>
        <w:spacing w:line="360" w:lineRule="auto"/>
        <w:ind w:firstLine="482" w:firstLineChars="200"/>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4DC05EE9">
      <w:pPr>
        <w:snapToGrid w:val="0"/>
        <w:spacing w:line="360" w:lineRule="auto"/>
        <w:ind w:firstLine="482" w:firstLineChars="200"/>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4B806D5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F6D94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2E595B3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45886EA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001DE7">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0B3468AF">
      <w:pPr>
        <w:autoSpaceDE w:val="0"/>
        <w:autoSpaceDN w:val="0"/>
        <w:jc w:val="center"/>
        <w:rPr>
          <w:rFonts w:hint="eastAsia" w:ascii="仿宋" w:hAnsi="仿宋" w:eastAsia="仿宋" w:cs="仿宋"/>
          <w:b/>
          <w:spacing w:val="6"/>
          <w:sz w:val="32"/>
          <w:szCs w:val="32"/>
        </w:rPr>
      </w:pPr>
    </w:p>
    <w:p w14:paraId="162392E6">
      <w:pPr>
        <w:autoSpaceDE w:val="0"/>
        <w:autoSpaceDN w:val="0"/>
        <w:jc w:val="center"/>
        <w:rPr>
          <w:rFonts w:hint="eastAsia" w:ascii="仿宋" w:hAnsi="仿宋" w:eastAsia="仿宋" w:cs="仿宋"/>
          <w:b/>
          <w:spacing w:val="6"/>
          <w:sz w:val="32"/>
          <w:szCs w:val="32"/>
        </w:rPr>
      </w:pPr>
    </w:p>
    <w:p w14:paraId="6B685FDC">
      <w:pPr>
        <w:autoSpaceDE w:val="0"/>
        <w:autoSpaceDN w:val="0"/>
        <w:jc w:val="center"/>
        <w:rPr>
          <w:rFonts w:hint="eastAsia" w:ascii="仿宋" w:hAnsi="仿宋" w:eastAsia="仿宋" w:cs="仿宋"/>
          <w:b/>
          <w:spacing w:val="6"/>
          <w:sz w:val="32"/>
          <w:szCs w:val="32"/>
        </w:rPr>
      </w:pPr>
    </w:p>
    <w:p w14:paraId="231EC748">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6BA9E5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680B775D">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u w:val="single"/>
        </w:rPr>
        <w:t xml:space="preserve"> </w:t>
      </w:r>
      <w:r>
        <w:rPr>
          <w:rFonts w:hint="eastAsia" w:ascii="仿宋_GB2312" w:hAnsi="宋体" w:eastAsia="仿宋_GB2312"/>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116EEA64">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w:t>
      </w:r>
      <w:r>
        <w:rPr>
          <w:rFonts w:hint="eastAsia" w:ascii="仿宋_GB2312" w:hAnsi="宋体" w:eastAsia="仿宋_GB2312"/>
          <w:sz w:val="24"/>
          <w:u w:val="single"/>
          <w:lang w:val="en-US" w:eastAsia="zh-CN"/>
        </w:rPr>
        <w:t>项</w:t>
      </w:r>
      <w:r>
        <w:rPr>
          <w:rFonts w:hint="eastAsia" w:ascii="仿宋_GB2312" w:hAnsi="宋体" w:eastAsia="仿宋_GB2312"/>
          <w:sz w:val="24"/>
          <w:u w:val="single"/>
        </w:rPr>
        <w:t>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1AD5EB56">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w:t>
      </w:r>
      <w:r>
        <w:rPr>
          <w:rFonts w:hint="eastAsia" w:ascii="仿宋_GB2312" w:hAnsi="宋体" w:eastAsia="仿宋_GB2312"/>
          <w:sz w:val="24"/>
          <w:u w:val="single"/>
          <w:lang w:val="en-US" w:eastAsia="zh-CN"/>
        </w:rPr>
        <w:t>项</w:t>
      </w:r>
      <w:r>
        <w:rPr>
          <w:rFonts w:hint="eastAsia" w:ascii="仿宋_GB2312" w:hAnsi="宋体" w:eastAsia="仿宋_GB2312"/>
          <w:sz w:val="24"/>
          <w:u w:val="single"/>
        </w:rPr>
        <w:t>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18976B27">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0D73743D">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3F22EE7">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5A03BB8">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C699BF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E069744">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从业人员、营业收入、资产总额填报上一年度数据，无上一年度数据的新成立企业可不填报。</w:t>
      </w:r>
    </w:p>
    <w:p w14:paraId="07403AA1">
      <w:pPr>
        <w:spacing w:line="360" w:lineRule="auto"/>
        <w:ind w:right="420" w:firstLine="482" w:firstLineChars="200"/>
        <w:rPr>
          <w:rFonts w:hint="eastAsia" w:ascii="仿宋" w:hAnsi="仿宋" w:eastAsia="仿宋" w:cs="仿宋"/>
          <w:b/>
          <w:bCs/>
          <w:sz w:val="24"/>
        </w:rPr>
      </w:pPr>
      <w:r>
        <w:rPr>
          <w:rFonts w:hint="eastAsia" w:ascii="仿宋" w:hAnsi="仿宋" w:eastAsia="仿宋" w:cs="仿宋"/>
          <w:b/>
          <w:bCs/>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57FB1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A2CF38E"/>
    <w:multiLevelType w:val="singleLevel"/>
    <w:tmpl w:val="0A2CF38E"/>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C710C72"/>
    <w:multiLevelType w:val="singleLevel"/>
    <w:tmpl w:val="3C710C72"/>
    <w:lvl w:ilvl="0" w:tentative="0">
      <w:start w:val="1"/>
      <w:numFmt w:val="decimal"/>
      <w:lvlText w:val="%1."/>
      <w:lvlJc w:val="left"/>
      <w:pPr>
        <w:tabs>
          <w:tab w:val="left" w:pos="312"/>
        </w:tabs>
      </w:p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9FC7D01"/>
    <w:multiLevelType w:val="singleLevel"/>
    <w:tmpl w:val="59FC7D01"/>
    <w:lvl w:ilvl="0" w:tentative="0">
      <w:start w:val="2"/>
      <w:numFmt w:val="decimal"/>
      <w:lvlText w:val="%1."/>
      <w:lvlJc w:val="left"/>
      <w:pPr>
        <w:tabs>
          <w:tab w:val="left" w:pos="312"/>
        </w:tabs>
      </w:pPr>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5974C0"/>
    <w:rsid w:val="017B2F92"/>
    <w:rsid w:val="019E4ED3"/>
    <w:rsid w:val="019F7441"/>
    <w:rsid w:val="01B37585"/>
    <w:rsid w:val="01C40D93"/>
    <w:rsid w:val="01D55165"/>
    <w:rsid w:val="01DF6BF8"/>
    <w:rsid w:val="01E64C5E"/>
    <w:rsid w:val="01EC2C57"/>
    <w:rsid w:val="01F9035B"/>
    <w:rsid w:val="0203486B"/>
    <w:rsid w:val="0236335D"/>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CB5FDF"/>
    <w:rsid w:val="04D07A99"/>
    <w:rsid w:val="04E62470"/>
    <w:rsid w:val="04E62E18"/>
    <w:rsid w:val="04F66F48"/>
    <w:rsid w:val="05251E14"/>
    <w:rsid w:val="055661F0"/>
    <w:rsid w:val="05663030"/>
    <w:rsid w:val="05846DC8"/>
    <w:rsid w:val="058645FB"/>
    <w:rsid w:val="05A16594"/>
    <w:rsid w:val="05A7762D"/>
    <w:rsid w:val="05B2719F"/>
    <w:rsid w:val="05C3315A"/>
    <w:rsid w:val="05D00EC1"/>
    <w:rsid w:val="05EE467B"/>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E6544"/>
    <w:rsid w:val="09C13146"/>
    <w:rsid w:val="09E04166"/>
    <w:rsid w:val="09EF276F"/>
    <w:rsid w:val="0A1C0718"/>
    <w:rsid w:val="0A3C7719"/>
    <w:rsid w:val="0A3E7710"/>
    <w:rsid w:val="0A440D5A"/>
    <w:rsid w:val="0A5922DF"/>
    <w:rsid w:val="0A5B7E63"/>
    <w:rsid w:val="0A60541B"/>
    <w:rsid w:val="0A776340"/>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832DB"/>
    <w:rsid w:val="0F993509"/>
    <w:rsid w:val="0FB6788B"/>
    <w:rsid w:val="0FBF3FD2"/>
    <w:rsid w:val="0FBF7FF3"/>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2431D2"/>
    <w:rsid w:val="12255233"/>
    <w:rsid w:val="12385FA8"/>
    <w:rsid w:val="12474790"/>
    <w:rsid w:val="12530213"/>
    <w:rsid w:val="127723A9"/>
    <w:rsid w:val="12862074"/>
    <w:rsid w:val="12883966"/>
    <w:rsid w:val="129B6365"/>
    <w:rsid w:val="129E45B4"/>
    <w:rsid w:val="12A0243C"/>
    <w:rsid w:val="12D81596"/>
    <w:rsid w:val="12FB4B4E"/>
    <w:rsid w:val="13072A44"/>
    <w:rsid w:val="130C4392"/>
    <w:rsid w:val="13225964"/>
    <w:rsid w:val="132F62D2"/>
    <w:rsid w:val="135F4BE2"/>
    <w:rsid w:val="13637D2A"/>
    <w:rsid w:val="13953C4B"/>
    <w:rsid w:val="139B1A0A"/>
    <w:rsid w:val="139D25C7"/>
    <w:rsid w:val="13BF3CE4"/>
    <w:rsid w:val="13E744B7"/>
    <w:rsid w:val="13F05A62"/>
    <w:rsid w:val="13FB1099"/>
    <w:rsid w:val="141008D8"/>
    <w:rsid w:val="14125FE6"/>
    <w:rsid w:val="144162BD"/>
    <w:rsid w:val="145A6363"/>
    <w:rsid w:val="146D271E"/>
    <w:rsid w:val="14740251"/>
    <w:rsid w:val="147A532B"/>
    <w:rsid w:val="147C10A3"/>
    <w:rsid w:val="14982588"/>
    <w:rsid w:val="149A5AD9"/>
    <w:rsid w:val="14A524FA"/>
    <w:rsid w:val="14A7619D"/>
    <w:rsid w:val="14AC342D"/>
    <w:rsid w:val="14AD2260"/>
    <w:rsid w:val="150536C3"/>
    <w:rsid w:val="150B2427"/>
    <w:rsid w:val="150C1963"/>
    <w:rsid w:val="151447A0"/>
    <w:rsid w:val="1545718F"/>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70A7"/>
    <w:rsid w:val="16C15493"/>
    <w:rsid w:val="16C6339E"/>
    <w:rsid w:val="16CC2D0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30729E"/>
    <w:rsid w:val="183659F3"/>
    <w:rsid w:val="1870062C"/>
    <w:rsid w:val="18817102"/>
    <w:rsid w:val="18820C52"/>
    <w:rsid w:val="18830A15"/>
    <w:rsid w:val="18852B28"/>
    <w:rsid w:val="188B5321"/>
    <w:rsid w:val="18982224"/>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B8220E"/>
    <w:rsid w:val="1AE4166C"/>
    <w:rsid w:val="1AF06CFB"/>
    <w:rsid w:val="1AF11B8D"/>
    <w:rsid w:val="1AFB2CC4"/>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9A4AD4"/>
    <w:rsid w:val="1FB65DB1"/>
    <w:rsid w:val="1FBB7ACC"/>
    <w:rsid w:val="1FBC0EEE"/>
    <w:rsid w:val="1FC66391"/>
    <w:rsid w:val="1FE868A9"/>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A34EAB"/>
    <w:rsid w:val="22BD7457"/>
    <w:rsid w:val="22BE6801"/>
    <w:rsid w:val="22D56B19"/>
    <w:rsid w:val="22F57858"/>
    <w:rsid w:val="22FD253B"/>
    <w:rsid w:val="231B5F2B"/>
    <w:rsid w:val="233500BF"/>
    <w:rsid w:val="23377FF7"/>
    <w:rsid w:val="2338088B"/>
    <w:rsid w:val="236B425F"/>
    <w:rsid w:val="23836192"/>
    <w:rsid w:val="23901F29"/>
    <w:rsid w:val="239C0061"/>
    <w:rsid w:val="23A7731B"/>
    <w:rsid w:val="23B908A4"/>
    <w:rsid w:val="23C42D4B"/>
    <w:rsid w:val="23CD5478"/>
    <w:rsid w:val="23CF23CE"/>
    <w:rsid w:val="23E95BEF"/>
    <w:rsid w:val="23FD0064"/>
    <w:rsid w:val="23FE7D27"/>
    <w:rsid w:val="24092228"/>
    <w:rsid w:val="24311EAA"/>
    <w:rsid w:val="24443260"/>
    <w:rsid w:val="244F40DF"/>
    <w:rsid w:val="245375B0"/>
    <w:rsid w:val="245E2574"/>
    <w:rsid w:val="2460583A"/>
    <w:rsid w:val="24642C0A"/>
    <w:rsid w:val="24642D73"/>
    <w:rsid w:val="247733A3"/>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97A1A"/>
    <w:rsid w:val="2670658E"/>
    <w:rsid w:val="26907DFD"/>
    <w:rsid w:val="26A53EF9"/>
    <w:rsid w:val="26A94201"/>
    <w:rsid w:val="26AC274F"/>
    <w:rsid w:val="26AF70B6"/>
    <w:rsid w:val="26B446CD"/>
    <w:rsid w:val="26B507EF"/>
    <w:rsid w:val="26BC5D74"/>
    <w:rsid w:val="26C4369F"/>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A5400"/>
    <w:rsid w:val="28855745"/>
    <w:rsid w:val="289724F8"/>
    <w:rsid w:val="289F7086"/>
    <w:rsid w:val="28A04D7F"/>
    <w:rsid w:val="28B47E46"/>
    <w:rsid w:val="28B60528"/>
    <w:rsid w:val="28C32028"/>
    <w:rsid w:val="28CC490F"/>
    <w:rsid w:val="28DE40AA"/>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807EE"/>
    <w:rsid w:val="2BBD2276"/>
    <w:rsid w:val="2BBF00EC"/>
    <w:rsid w:val="2BC37CFD"/>
    <w:rsid w:val="2BC74EA2"/>
    <w:rsid w:val="2BD5237F"/>
    <w:rsid w:val="2BE536CE"/>
    <w:rsid w:val="2BE758D9"/>
    <w:rsid w:val="2C056B5B"/>
    <w:rsid w:val="2C09049E"/>
    <w:rsid w:val="2C0A653C"/>
    <w:rsid w:val="2C191F85"/>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9708A4"/>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A6B38"/>
    <w:rsid w:val="2F351FF4"/>
    <w:rsid w:val="2F370591"/>
    <w:rsid w:val="2F4A3E20"/>
    <w:rsid w:val="2F7C0857"/>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E4633A"/>
    <w:rsid w:val="32F72511"/>
    <w:rsid w:val="32FB6478"/>
    <w:rsid w:val="33263B3F"/>
    <w:rsid w:val="3330157F"/>
    <w:rsid w:val="33365E13"/>
    <w:rsid w:val="33403BE0"/>
    <w:rsid w:val="33490893"/>
    <w:rsid w:val="334B63B9"/>
    <w:rsid w:val="336963EB"/>
    <w:rsid w:val="33816EEB"/>
    <w:rsid w:val="33837901"/>
    <w:rsid w:val="339A10EE"/>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1C0C"/>
    <w:rsid w:val="34626D28"/>
    <w:rsid w:val="346C7513"/>
    <w:rsid w:val="347100A1"/>
    <w:rsid w:val="34853B4C"/>
    <w:rsid w:val="34950E68"/>
    <w:rsid w:val="34986E94"/>
    <w:rsid w:val="34AF62C9"/>
    <w:rsid w:val="34CB4388"/>
    <w:rsid w:val="34CE72A2"/>
    <w:rsid w:val="34FA6E12"/>
    <w:rsid w:val="35103416"/>
    <w:rsid w:val="353C405C"/>
    <w:rsid w:val="354B444E"/>
    <w:rsid w:val="35523A2F"/>
    <w:rsid w:val="35741CF1"/>
    <w:rsid w:val="357A4D3C"/>
    <w:rsid w:val="357F1603"/>
    <w:rsid w:val="35843E04"/>
    <w:rsid w:val="358D5588"/>
    <w:rsid w:val="35FF1FBC"/>
    <w:rsid w:val="36142918"/>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2B3996"/>
    <w:rsid w:val="37312327"/>
    <w:rsid w:val="373F410B"/>
    <w:rsid w:val="37427AD3"/>
    <w:rsid w:val="375C6DE7"/>
    <w:rsid w:val="37696240"/>
    <w:rsid w:val="376D734B"/>
    <w:rsid w:val="37751C56"/>
    <w:rsid w:val="37893954"/>
    <w:rsid w:val="3795353A"/>
    <w:rsid w:val="37A82C68"/>
    <w:rsid w:val="37AB1B1C"/>
    <w:rsid w:val="37BD53AB"/>
    <w:rsid w:val="37EE7094"/>
    <w:rsid w:val="38296C89"/>
    <w:rsid w:val="383002EB"/>
    <w:rsid w:val="38586797"/>
    <w:rsid w:val="3894435E"/>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C3713E"/>
    <w:rsid w:val="39C944DB"/>
    <w:rsid w:val="39D37108"/>
    <w:rsid w:val="39F03816"/>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C70A1B"/>
    <w:rsid w:val="3ADB79F5"/>
    <w:rsid w:val="3AE35129"/>
    <w:rsid w:val="3B2349B7"/>
    <w:rsid w:val="3B3B6D13"/>
    <w:rsid w:val="3B5705F9"/>
    <w:rsid w:val="3B616CFF"/>
    <w:rsid w:val="3B6259F6"/>
    <w:rsid w:val="3B682566"/>
    <w:rsid w:val="3B7A4DF2"/>
    <w:rsid w:val="3B976654"/>
    <w:rsid w:val="3BC01EFC"/>
    <w:rsid w:val="3BCA786A"/>
    <w:rsid w:val="3BD31E2F"/>
    <w:rsid w:val="3BD86C58"/>
    <w:rsid w:val="3BF15831"/>
    <w:rsid w:val="3BF204AB"/>
    <w:rsid w:val="3C0E61D6"/>
    <w:rsid w:val="3C105946"/>
    <w:rsid w:val="3C2854E9"/>
    <w:rsid w:val="3C471448"/>
    <w:rsid w:val="3C576930"/>
    <w:rsid w:val="3C5F759A"/>
    <w:rsid w:val="3C6C525A"/>
    <w:rsid w:val="3C7D458E"/>
    <w:rsid w:val="3C9137E0"/>
    <w:rsid w:val="3C925059"/>
    <w:rsid w:val="3C9F32D2"/>
    <w:rsid w:val="3CC26E9F"/>
    <w:rsid w:val="3CCE23CB"/>
    <w:rsid w:val="3CD17D17"/>
    <w:rsid w:val="3D2959BD"/>
    <w:rsid w:val="3D3C7F39"/>
    <w:rsid w:val="3D440F09"/>
    <w:rsid w:val="3D4504A0"/>
    <w:rsid w:val="3D8734BB"/>
    <w:rsid w:val="3D9A11D4"/>
    <w:rsid w:val="3DA16D89"/>
    <w:rsid w:val="3DA364BE"/>
    <w:rsid w:val="3DAC116D"/>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674A9"/>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AC718B"/>
    <w:rsid w:val="45C63B94"/>
    <w:rsid w:val="45F428E0"/>
    <w:rsid w:val="460074D7"/>
    <w:rsid w:val="460217CB"/>
    <w:rsid w:val="460E7DA5"/>
    <w:rsid w:val="462705C0"/>
    <w:rsid w:val="46422483"/>
    <w:rsid w:val="4659254A"/>
    <w:rsid w:val="465B0637"/>
    <w:rsid w:val="465E3F0D"/>
    <w:rsid w:val="466A16E6"/>
    <w:rsid w:val="466C2476"/>
    <w:rsid w:val="46893F2B"/>
    <w:rsid w:val="46C25320"/>
    <w:rsid w:val="46C4686E"/>
    <w:rsid w:val="46CA1CB5"/>
    <w:rsid w:val="46E93AC7"/>
    <w:rsid w:val="470B6133"/>
    <w:rsid w:val="471B77B2"/>
    <w:rsid w:val="472B7749"/>
    <w:rsid w:val="474927B8"/>
    <w:rsid w:val="476B0980"/>
    <w:rsid w:val="477B778F"/>
    <w:rsid w:val="478203EC"/>
    <w:rsid w:val="478D4D9A"/>
    <w:rsid w:val="47946129"/>
    <w:rsid w:val="479E0D55"/>
    <w:rsid w:val="47B025FA"/>
    <w:rsid w:val="47CA1EC8"/>
    <w:rsid w:val="47E30E5E"/>
    <w:rsid w:val="4809698F"/>
    <w:rsid w:val="4811697D"/>
    <w:rsid w:val="481E59F2"/>
    <w:rsid w:val="483B65A4"/>
    <w:rsid w:val="485347ED"/>
    <w:rsid w:val="48645AFB"/>
    <w:rsid w:val="486A50D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6585B"/>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A480C"/>
    <w:rsid w:val="4DFF0631"/>
    <w:rsid w:val="4DFF0D96"/>
    <w:rsid w:val="4E4168DE"/>
    <w:rsid w:val="4E587A02"/>
    <w:rsid w:val="4E656129"/>
    <w:rsid w:val="4E713266"/>
    <w:rsid w:val="4E793892"/>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11EEE"/>
    <w:rsid w:val="50CD3058"/>
    <w:rsid w:val="50DB6B76"/>
    <w:rsid w:val="50E97CFC"/>
    <w:rsid w:val="50FA4028"/>
    <w:rsid w:val="510D65B7"/>
    <w:rsid w:val="511157AB"/>
    <w:rsid w:val="512027DB"/>
    <w:rsid w:val="5142540C"/>
    <w:rsid w:val="517B2107"/>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35719D"/>
    <w:rsid w:val="54487265"/>
    <w:rsid w:val="54491F75"/>
    <w:rsid w:val="544D6070"/>
    <w:rsid w:val="54605E1E"/>
    <w:rsid w:val="548F392D"/>
    <w:rsid w:val="549459EB"/>
    <w:rsid w:val="54A15EF3"/>
    <w:rsid w:val="54AD25D8"/>
    <w:rsid w:val="54B3506A"/>
    <w:rsid w:val="54B51D52"/>
    <w:rsid w:val="54CA0D16"/>
    <w:rsid w:val="54DD4057"/>
    <w:rsid w:val="54E7490F"/>
    <w:rsid w:val="55006BAB"/>
    <w:rsid w:val="550764A4"/>
    <w:rsid w:val="550B2BF6"/>
    <w:rsid w:val="551B318C"/>
    <w:rsid w:val="551E5284"/>
    <w:rsid w:val="55214EB5"/>
    <w:rsid w:val="552D196B"/>
    <w:rsid w:val="55364EFD"/>
    <w:rsid w:val="5540169E"/>
    <w:rsid w:val="555D4828"/>
    <w:rsid w:val="557A4C8B"/>
    <w:rsid w:val="55851EE3"/>
    <w:rsid w:val="558931E1"/>
    <w:rsid w:val="55916191"/>
    <w:rsid w:val="55923347"/>
    <w:rsid w:val="55925180"/>
    <w:rsid w:val="55982511"/>
    <w:rsid w:val="55983B1B"/>
    <w:rsid w:val="559F6FA1"/>
    <w:rsid w:val="55A8376B"/>
    <w:rsid w:val="55A86101"/>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56D78"/>
    <w:rsid w:val="583A2674"/>
    <w:rsid w:val="585B5577"/>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61785"/>
    <w:rsid w:val="5E4A7017"/>
    <w:rsid w:val="5E552BBA"/>
    <w:rsid w:val="5E611C10"/>
    <w:rsid w:val="5E6C7060"/>
    <w:rsid w:val="5E9465B6"/>
    <w:rsid w:val="5EAE4B05"/>
    <w:rsid w:val="5EC0115A"/>
    <w:rsid w:val="5ED510A9"/>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45400C"/>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227C4"/>
    <w:rsid w:val="615D5386"/>
    <w:rsid w:val="61654E3F"/>
    <w:rsid w:val="6182292A"/>
    <w:rsid w:val="619F7F92"/>
    <w:rsid w:val="61B72CE8"/>
    <w:rsid w:val="61F94C26"/>
    <w:rsid w:val="62000E56"/>
    <w:rsid w:val="621A6DD3"/>
    <w:rsid w:val="624F1172"/>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711FED"/>
    <w:rsid w:val="637136BF"/>
    <w:rsid w:val="63880DDC"/>
    <w:rsid w:val="638D750D"/>
    <w:rsid w:val="63AC6CC0"/>
    <w:rsid w:val="63AE44A8"/>
    <w:rsid w:val="63D77B95"/>
    <w:rsid w:val="64055776"/>
    <w:rsid w:val="64065861"/>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A7A43"/>
    <w:rsid w:val="663E784C"/>
    <w:rsid w:val="665E1984"/>
    <w:rsid w:val="66664917"/>
    <w:rsid w:val="666E1009"/>
    <w:rsid w:val="668B6A45"/>
    <w:rsid w:val="66AE6B74"/>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D90273"/>
    <w:rsid w:val="67DE5875"/>
    <w:rsid w:val="67E55852"/>
    <w:rsid w:val="67EB1AB4"/>
    <w:rsid w:val="67FA1285"/>
    <w:rsid w:val="680058F8"/>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356D5"/>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2BC4"/>
    <w:rsid w:val="6FA67EF8"/>
    <w:rsid w:val="6FAE1A09"/>
    <w:rsid w:val="6FC62348"/>
    <w:rsid w:val="6FD75BF8"/>
    <w:rsid w:val="7007308C"/>
    <w:rsid w:val="702552C0"/>
    <w:rsid w:val="70340294"/>
    <w:rsid w:val="70383246"/>
    <w:rsid w:val="705C33D8"/>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BB13EB"/>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7F71C38"/>
    <w:rsid w:val="7838116A"/>
    <w:rsid w:val="786077DD"/>
    <w:rsid w:val="7866291A"/>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43E85"/>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F0768EB"/>
    <w:rsid w:val="7F0A2251"/>
    <w:rsid w:val="7F143BEC"/>
    <w:rsid w:val="7F410946"/>
    <w:rsid w:val="7F5E7DB7"/>
    <w:rsid w:val="7F6531DB"/>
    <w:rsid w:val="7F6D458E"/>
    <w:rsid w:val="7F715AF2"/>
    <w:rsid w:val="7F886E69"/>
    <w:rsid w:val="7F8C0EB8"/>
    <w:rsid w:val="7F8F36EF"/>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next w:val="1"/>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74</Pages>
  <Words>18594</Words>
  <Characters>20920</Characters>
  <Lines>0</Lines>
  <Paragraphs>0</Paragraphs>
  <TotalTime>40</TotalTime>
  <ScaleCrop>false</ScaleCrop>
  <LinksUpToDate>false</LinksUpToDate>
  <CharactersWithSpaces>23099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2025-07-11T12:01:58Z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eyJoZGlkIjoiZjRhN2RjN2EzYmM1YmNhNTI5NmE0OTNlN2U4NzdhNGUiLCJ1c2VySWQiOiI2MDQ4MzI1MTgifQ==</vt:lpwstr>
  </property>
</Properties>
</file>