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诸暨市大唐街道2025-2027土地综合整治--高标准农田建设检测服务采购项目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诸正开2025-07-02</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人）：诸暨市人民政府大唐街道办事处</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诸暨市大唐街道2025-2027土地综合整治--高标准农田建设检测服务采购项目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诸正开2025-07-02</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诸暨市大唐街道2025-2027土地综合整治--高标准农田建设检测服务采购项目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500000.00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500000</w:t>
      </w:r>
      <w:r>
        <w:rPr>
          <w:rFonts w:hint="eastAsia" w:ascii="仿宋" w:hAnsi="仿宋" w:eastAsia="仿宋" w:cs="仿宋"/>
          <w:b w:val="0"/>
          <w:bCs/>
          <w:sz w:val="24"/>
          <w:lang w:val="en-US" w:eastAsia="zh-CN"/>
        </w:rPr>
        <w:t>.00</w:t>
      </w:r>
    </w:p>
    <w:p w14:paraId="42D8D1A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sz w:val="24"/>
          <w:lang w:val="en-US" w:eastAsia="zh-CN"/>
        </w:rPr>
        <w:t>采购需求：</w:t>
      </w:r>
      <w:r>
        <w:rPr>
          <w:rFonts w:hint="eastAsia" w:ascii="仿宋" w:hAnsi="仿宋" w:eastAsia="仿宋" w:cs="仿宋"/>
          <w:sz w:val="24"/>
          <w:lang w:eastAsia="zh-CN"/>
        </w:rPr>
        <w:t>诸暨市大唐街道2025-2027土地综合整治--高标准农田建设检测服务采购项目</w:t>
      </w:r>
      <w:r>
        <w:rPr>
          <w:rFonts w:hint="eastAsia" w:ascii="仿宋" w:hAnsi="仿宋" w:eastAsia="仿宋" w:cs="仿宋"/>
          <w:sz w:val="24"/>
        </w:rPr>
        <w:t>，采购预算</w:t>
      </w:r>
      <w:r>
        <w:rPr>
          <w:rFonts w:hint="eastAsia" w:ascii="仿宋" w:hAnsi="仿宋" w:eastAsia="仿宋" w:cs="仿宋"/>
          <w:sz w:val="24"/>
          <w:lang w:val="en-US" w:eastAsia="zh-CN"/>
        </w:rPr>
        <w:t>金额为50万元，按折扣报价 ，</w:t>
      </w:r>
      <w:r>
        <w:rPr>
          <w:rFonts w:hint="eastAsia" w:ascii="仿宋" w:hAnsi="仿宋" w:eastAsia="仿宋" w:cs="仿宋"/>
          <w:sz w:val="24"/>
        </w:rPr>
        <w:t>数量按实结算；服务期限内，</w:t>
      </w:r>
      <w:r>
        <w:rPr>
          <w:rFonts w:hint="eastAsia" w:ascii="仿宋" w:hAnsi="仿宋" w:eastAsia="仿宋" w:cs="仿宋"/>
          <w:sz w:val="24"/>
          <w:lang w:val="en-US" w:eastAsia="zh-CN"/>
        </w:rPr>
        <w:t>结算</w:t>
      </w:r>
      <w:r>
        <w:rPr>
          <w:rFonts w:hint="eastAsia" w:ascii="仿宋" w:hAnsi="仿宋" w:eastAsia="仿宋" w:cs="仿宋"/>
          <w:sz w:val="24"/>
        </w:rPr>
        <w:t>费</w:t>
      </w:r>
      <w:r>
        <w:rPr>
          <w:rFonts w:hint="eastAsia" w:ascii="仿宋" w:hAnsi="仿宋" w:eastAsia="仿宋" w:cs="仿宋"/>
          <w:sz w:val="24"/>
          <w:lang w:val="en-US" w:eastAsia="zh-CN"/>
        </w:rPr>
        <w:t>用</w:t>
      </w:r>
      <w:r>
        <w:rPr>
          <w:rFonts w:hint="eastAsia" w:ascii="仿宋" w:hAnsi="仿宋" w:eastAsia="仿宋" w:cs="仿宋"/>
          <w:sz w:val="24"/>
        </w:rPr>
        <w:t>累计结算金额最高不超过采购预算金额。具体内容详见采购需求。</w:t>
      </w:r>
    </w:p>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16333C64">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1、符合政府采购法第二十二条之供应商资格规定；</w:t>
      </w:r>
    </w:p>
    <w:p w14:paraId="6FADD903">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未被“信用中国”（www.creditchina.gov.cn）、中国政府采购网（www.ccgp.gov.cn）列入失信被执行人、重大税收违法失信主体、政府采购严重违法失信行为记录名单；</w:t>
      </w:r>
    </w:p>
    <w:p w14:paraId="1DF98F5E">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3、落实政府采购政策需满足的资格要求：</w:t>
      </w:r>
      <w:r>
        <w:rPr>
          <w:rFonts w:hint="eastAsia" w:ascii="仿宋" w:hAnsi="仿宋" w:eastAsia="仿宋" w:cs="仿宋"/>
          <w:color w:val="auto"/>
          <w:sz w:val="24"/>
        </w:rPr>
        <w:t>专门面向中小企业，服务全部由符合政策要求的中小企业承接，提供中小企业声明函；</w:t>
      </w:r>
    </w:p>
    <w:p w14:paraId="1BDAD1B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4、落实政府采购政策需满足的资格要求：无；</w:t>
      </w:r>
    </w:p>
    <w:p w14:paraId="4302149F">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5、本项目不接受联合体投标。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月24</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诸暨市人民政府大唐街道办事处</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址：诸暨市大唐街道开元东路75号</w:t>
      </w:r>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w:t>
      </w:r>
      <w:r>
        <w:rPr>
          <w:rFonts w:hint="eastAsia" w:ascii="仿宋" w:hAnsi="仿宋" w:eastAsia="仿宋" w:cs="仿宋"/>
          <w:sz w:val="24"/>
          <w:lang w:val="en-US" w:eastAsia="zh-CN"/>
        </w:rPr>
        <w:t>张主任</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项目联系人工作电话（询问）：13735213152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质疑联系人：张</w:t>
      </w:r>
      <w:r>
        <w:rPr>
          <w:rFonts w:hint="eastAsia" w:ascii="仿宋" w:hAnsi="仿宋" w:eastAsia="仿宋" w:cs="仿宋"/>
          <w:sz w:val="24"/>
          <w:szCs w:val="24"/>
          <w:highlight w:val="none"/>
          <w:lang w:val="en-US" w:eastAsia="zh-CN"/>
        </w:rPr>
        <w:t>主任</w:t>
      </w:r>
      <w:r>
        <w:rPr>
          <w:rFonts w:hint="eastAsia" w:ascii="仿宋" w:hAnsi="仿宋" w:eastAsia="仿宋" w:cs="仿宋"/>
          <w:color w:val="auto"/>
          <w:sz w:val="24"/>
          <w:highlight w:val="none"/>
          <w:lang w:val="en-US" w:eastAsia="zh-CN"/>
        </w:rPr>
        <w:t xml:space="preserve">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质疑联系人工作电话：13735213152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CA337A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bCs/>
                <w:kern w:val="0"/>
                <w:lang w:val="en-US" w:eastAsia="zh-CN"/>
              </w:rPr>
              <w:t>提供中小企业声明函</w:t>
            </w:r>
            <w:r>
              <w:rPr>
                <w:rFonts w:hint="eastAsia" w:ascii="仿宋" w:hAnsi="仿宋" w:eastAsia="仿宋" w:cs="仿宋"/>
                <w:bCs/>
                <w:kern w:val="0"/>
                <w:lang w:val="zh-CN"/>
              </w:rPr>
              <w:t>（格式见第六</w:t>
            </w:r>
            <w:r>
              <w:rPr>
                <w:rFonts w:hint="eastAsia" w:ascii="仿宋" w:hAnsi="仿宋" w:eastAsia="仿宋" w:cs="仿宋"/>
                <w:bCs/>
                <w:kern w:val="0"/>
                <w:lang w:val="en-US" w:eastAsia="zh-CN"/>
              </w:rPr>
              <w:t>部分</w:t>
            </w:r>
            <w:bookmarkStart w:id="394" w:name="_GoBack"/>
            <w:bookmarkEnd w:id="394"/>
            <w:r>
              <w:rPr>
                <w:rFonts w:hint="eastAsia" w:ascii="仿宋" w:hAnsi="仿宋" w:eastAsia="仿宋" w:cs="仿宋"/>
                <w:bCs/>
                <w:kern w:val="0"/>
                <w:lang w:val="zh-CN"/>
              </w:rPr>
              <w:t>）</w:t>
            </w:r>
            <w:r>
              <w:rPr>
                <w:rFonts w:hint="eastAsia" w:ascii="仿宋" w:hAnsi="仿宋" w:eastAsia="仿宋" w:cs="仿宋"/>
                <w:bCs/>
                <w:kern w:val="0"/>
                <w:lang w:val="en-US" w:eastAsia="zh-CN"/>
              </w:rPr>
              <w:t>；</w:t>
            </w:r>
          </w:p>
          <w:p w14:paraId="29D70C8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zh-CN" w:eastAsia="zh-CN"/>
              </w:rPr>
              <w:t>④本项目的特定资格要求：</w:t>
            </w:r>
            <w:r>
              <w:rPr>
                <w:rFonts w:hint="eastAsia" w:ascii="仿宋" w:hAnsi="仿宋" w:eastAsia="仿宋" w:cs="仿宋"/>
                <w:sz w:val="24"/>
                <w:highlight w:val="none"/>
                <w:lang w:val="en-US" w:eastAsia="zh-CN"/>
              </w:rPr>
              <w:t>无。</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5DB97BE">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0C6A731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val="0"/>
                <w:bCs w:val="0"/>
                <w:kern w:val="0"/>
                <w:sz w:val="24"/>
                <w:u w:val="none"/>
                <w:lang w:val="en-US" w:eastAsia="zh-CN"/>
              </w:rPr>
            </w:pPr>
            <w:r>
              <w:rPr>
                <w:rFonts w:hint="eastAsia" w:ascii="仿宋" w:hAnsi="仿宋" w:eastAsia="仿宋" w:cs="仿宋"/>
                <w:b w:val="0"/>
                <w:bCs/>
                <w:sz w:val="24"/>
                <w:u w:val="none"/>
                <w:lang w:val="en-US" w:eastAsia="zh-CN"/>
              </w:rPr>
              <w:t>标项：</w:t>
            </w:r>
            <w:r>
              <w:rPr>
                <w:rFonts w:hint="eastAsia" w:ascii="仿宋" w:hAnsi="仿宋" w:eastAsia="仿宋" w:cs="仿宋"/>
                <w:b w:val="0"/>
                <w:bCs/>
                <w:sz w:val="24"/>
                <w:u w:val="single"/>
                <w:lang w:eastAsia="zh-CN"/>
              </w:rPr>
              <w:t>诸暨市大唐街道2025-2027土地综合整治--高标准农田建设检测服务采购项目</w:t>
            </w:r>
            <w:r>
              <w:rPr>
                <w:rFonts w:hint="eastAsia" w:ascii="仿宋" w:hAnsi="仿宋" w:eastAsia="仿宋" w:cs="仿宋"/>
                <w:b/>
                <w:bCs/>
                <w:kern w:val="0"/>
                <w:sz w:val="24"/>
                <w:u w:val="single"/>
                <w:lang w:val="en-US" w:eastAsia="zh-CN"/>
              </w:rPr>
              <w:t>，</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kern w:val="0"/>
                <w:sz w:val="24"/>
                <w:u w:val="single"/>
                <w:lang w:val="en-US" w:eastAsia="zh-CN"/>
              </w:rPr>
              <w:t>其他未列明</w:t>
            </w:r>
            <w:r>
              <w:rPr>
                <w:rFonts w:hint="eastAsia" w:ascii="仿宋" w:hAnsi="仿宋" w:eastAsia="仿宋" w:cs="仿宋"/>
                <w:b w:val="0"/>
                <w:bCs w:val="0"/>
                <w:kern w:val="0"/>
                <w:sz w:val="24"/>
                <w:u w:val="single"/>
                <w:lang w:val="en-US" w:eastAsia="zh-CN"/>
              </w:rPr>
              <w:t xml:space="preserve">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b w:val="0"/>
                <w:bCs w:val="0"/>
                <w:kern w:val="0"/>
                <w:sz w:val="24"/>
                <w:u w:val="none"/>
                <w:lang w:val="en-US" w:eastAsia="zh-CN"/>
              </w:rPr>
              <w:t xml:space="preserve"> </w:t>
            </w: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b w:val="0"/>
                <w:bCs w:val="0"/>
                <w:kern w:val="0"/>
                <w:sz w:val="24"/>
                <w:u w:val="single"/>
                <w:lang w:val="en-US" w:eastAsia="zh-CN"/>
              </w:rPr>
              <w:t>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4D8EB1C5">
      <w:pPr>
        <w:pStyle w:val="23"/>
        <w:rPr>
          <w:rFonts w:hint="eastAsia" w:ascii="仿宋" w:hAnsi="仿宋" w:eastAsia="仿宋" w:cs="仿宋"/>
          <w:b/>
          <w:sz w:val="32"/>
          <w:szCs w:val="20"/>
        </w:rPr>
      </w:pPr>
    </w:p>
    <w:p w14:paraId="78E4ACF0">
      <w:pPr>
        <w:rPr>
          <w:rFonts w:hint="eastAsia" w:ascii="仿宋" w:hAnsi="仿宋" w:eastAsia="仿宋" w:cs="仿宋"/>
          <w:b/>
          <w:sz w:val="32"/>
          <w:szCs w:val="20"/>
        </w:rPr>
      </w:pPr>
    </w:p>
    <w:p w14:paraId="015CB435">
      <w:pPr>
        <w:pStyle w:val="3"/>
        <w:rPr>
          <w:rFonts w:hint="eastAsia" w:ascii="仿宋" w:hAnsi="仿宋" w:eastAsia="仿宋" w:cs="仿宋"/>
          <w:b/>
          <w:sz w:val="32"/>
          <w:szCs w:val="20"/>
        </w:rPr>
      </w:pPr>
    </w:p>
    <w:p w14:paraId="357E5F6B">
      <w:pPr>
        <w:rPr>
          <w:rFonts w:hint="eastAsia" w:ascii="仿宋" w:hAnsi="仿宋" w:eastAsia="仿宋" w:cs="仿宋"/>
          <w:b/>
          <w:sz w:val="32"/>
          <w:szCs w:val="20"/>
        </w:rPr>
      </w:pPr>
    </w:p>
    <w:p w14:paraId="5B0010C5">
      <w:pPr>
        <w:pStyle w:val="3"/>
        <w:rPr>
          <w:rFonts w:hint="eastAsia" w:ascii="仿宋" w:hAnsi="仿宋" w:eastAsia="仿宋" w:cs="仿宋"/>
          <w:b/>
          <w:sz w:val="32"/>
          <w:szCs w:val="20"/>
        </w:rPr>
      </w:pPr>
    </w:p>
    <w:p w14:paraId="3FE6078C">
      <w:pPr>
        <w:rPr>
          <w:rFonts w:hint="eastAsia"/>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69B1DB8E">
      <w:pPr>
        <w:pStyle w:val="51"/>
        <w:rPr>
          <w:rFonts w:hint="eastAsia" w:ascii="仿宋" w:hAnsi="仿宋" w:eastAsia="仿宋" w:cs="仿宋"/>
          <w:b/>
          <w:sz w:val="32"/>
          <w:szCs w:val="20"/>
        </w:rPr>
      </w:pPr>
    </w:p>
    <w:p w14:paraId="031CBF65">
      <w:pPr>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68057669"/>
      <w:bookmarkEnd w:id="12"/>
      <w:bookmarkStart w:id="13" w:name="_Hlt74730295"/>
      <w:bookmarkEnd w:id="13"/>
      <w:bookmarkStart w:id="14" w:name="_Hlt74729768"/>
      <w:bookmarkEnd w:id="14"/>
      <w:bookmarkStart w:id="15" w:name="_Hlt74714665"/>
      <w:bookmarkEnd w:id="15"/>
      <w:bookmarkStart w:id="16" w:name="_Hlt68072990"/>
      <w:bookmarkEnd w:id="16"/>
      <w:bookmarkStart w:id="17" w:name="_Hlt75236011"/>
      <w:bookmarkEnd w:id="17"/>
      <w:bookmarkStart w:id="18" w:name="_Hlt75236290"/>
      <w:bookmarkEnd w:id="18"/>
      <w:bookmarkStart w:id="19" w:name="_Hlt74707468"/>
      <w:bookmarkEnd w:id="19"/>
      <w:bookmarkStart w:id="20" w:name="_Hlt68073093"/>
      <w:bookmarkEnd w:id="20"/>
      <w:bookmarkStart w:id="21" w:name="_Hlt75236101"/>
      <w:bookmarkEnd w:id="21"/>
      <w:bookmarkStart w:id="22" w:name="_Hlt68072998"/>
      <w:bookmarkEnd w:id="22"/>
      <w:bookmarkStart w:id="23" w:name="_Hlt68403820"/>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67C01ACC">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一、项目概况</w:t>
      </w:r>
    </w:p>
    <w:p w14:paraId="360C6833">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根据诸暨市土地综合整治工作方案(2025-2027 年)(诸农发[2025]24号)文件精神，结合大唐街道“非高标”永农潜力现状，我街道总规划建设高标准农田项目面积约11837亩，其中新建高标约4735亩，改造提升约7102亩</w:t>
      </w:r>
      <w:r>
        <w:rPr>
          <w:rFonts w:hint="eastAsia" w:ascii="仿宋" w:hAnsi="仿宋" w:eastAsia="仿宋" w:cs="仿宋"/>
          <w:sz w:val="24"/>
          <w:szCs w:val="24"/>
          <w:highlight w:val="none"/>
          <w:lang w:eastAsia="zh-CN"/>
        </w:rPr>
        <w:t>。具体服务的内容及数量以采购人服务期限内实际</w:t>
      </w:r>
      <w:r>
        <w:rPr>
          <w:rFonts w:hint="eastAsia" w:ascii="仿宋" w:hAnsi="仿宋" w:eastAsia="仿宋" w:cs="仿宋"/>
          <w:sz w:val="24"/>
          <w:szCs w:val="24"/>
          <w:highlight w:val="none"/>
          <w:lang w:val="en-US" w:eastAsia="zh-CN"/>
        </w:rPr>
        <w:t>需求</w:t>
      </w:r>
      <w:r>
        <w:rPr>
          <w:rFonts w:hint="eastAsia" w:ascii="仿宋" w:hAnsi="仿宋" w:eastAsia="仿宋" w:cs="仿宋"/>
          <w:sz w:val="24"/>
          <w:szCs w:val="24"/>
          <w:highlight w:val="none"/>
          <w:lang w:eastAsia="zh-CN"/>
        </w:rPr>
        <w:t>为准。</w:t>
      </w:r>
      <w:r>
        <w:rPr>
          <w:rFonts w:hint="eastAsia" w:ascii="仿宋" w:hAnsi="仿宋" w:eastAsia="仿宋" w:cs="仿宋"/>
          <w:sz w:val="24"/>
          <w:szCs w:val="24"/>
          <w:highlight w:val="none"/>
          <w:lang w:val="en-US" w:eastAsia="zh-CN"/>
        </w:rPr>
        <w:t>在服务期内中标单位应派驻专人保障日常技术服务工作。</w:t>
      </w:r>
    </w:p>
    <w:p w14:paraId="490D59C6">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2、服务期限：自合同签订后至工程结束止。</w:t>
      </w:r>
    </w:p>
    <w:p w14:paraId="7D4C10BE">
      <w:pPr>
        <w:spacing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 xml:space="preserve">二、 检测依据和标准 </w:t>
      </w:r>
    </w:p>
    <w:p w14:paraId="221066A9">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承包人检测应符合国家和行业颁布的技术标准和规程规范规定的技术要求(不限于以下标准)，保证检测质量。 </w:t>
      </w:r>
    </w:p>
    <w:p w14:paraId="02CC112D">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《通用硅酸盐水泥》GB/T 175- 2023 </w:t>
      </w:r>
    </w:p>
    <w:p w14:paraId="1E9459A7">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《水工混凝土施工规范》SL 677-2014 </w:t>
      </w:r>
    </w:p>
    <w:p w14:paraId="5198B44E">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《水利水电工程岩石试验规程》SL/T 264-2020 </w:t>
      </w:r>
    </w:p>
    <w:p w14:paraId="26456F2C">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《水工混凝土试验规程》SL/T 352-2020 </w:t>
      </w:r>
    </w:p>
    <w:p w14:paraId="36045C52">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《回弹法检测混凝土抗压强度技术规程》JGJ/T23-2011 </w:t>
      </w:r>
    </w:p>
    <w:p w14:paraId="5EEB7258">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本合同条款中引用的标准和规程规范若有修订，应执行其最新版本。</w:t>
      </w:r>
    </w:p>
    <w:p w14:paraId="7C95DBDD">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 xml:space="preserve">三、 检测质量要求 </w:t>
      </w:r>
    </w:p>
    <w:p w14:paraId="1870BD49">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检测过程、精度、结论等符合国家、行业等现行规范标准，检测报告符合水利工程质量监督部门的要求，能满足工程完工验收、质量监督机构备案使用，检测中发现的施工问题及时通知、通告发包人（代建人），并协助发包人（代建人）督促施工单位、供货单位、监理单位等工程相关方落实整改。 如发现质量检查单位服务质量不符合国家标准或相关规定及甲方的合理要求，委托人有权更换质量检测单位并拒绝支付检测费，由此产生的一切经济损失和责任全部由检测单位负责。</w:t>
      </w:r>
    </w:p>
    <w:p w14:paraId="7F82FFE5">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四、检测设备仪器</w:t>
      </w:r>
    </w:p>
    <w:p w14:paraId="5CE10ACA">
      <w:pPr>
        <w:pageBreakBefore w:val="0"/>
        <w:kinsoku/>
        <w:wordWrap/>
        <w:overflowPunct/>
        <w:topLinePunct w:val="0"/>
        <w:autoSpaceDE w:val="0"/>
        <w:autoSpaceDN w:val="0"/>
        <w:bidi w:val="0"/>
        <w:adjustRightInd w:val="0"/>
        <w:spacing w:line="400" w:lineRule="exact"/>
        <w:ind w:firstLine="480" w:firstLineChars="200"/>
        <w:rPr>
          <w:rFonts w:hint="eastAsia" w:ascii="仿宋" w:hAnsi="仿宋" w:eastAsia="仿宋" w:cs="仿宋"/>
          <w:szCs w:val="21"/>
          <w:highlight w:val="none"/>
        </w:rPr>
      </w:pPr>
      <w:r>
        <w:rPr>
          <w:rFonts w:hint="eastAsia" w:ascii="仿宋" w:hAnsi="仿宋" w:eastAsia="仿宋" w:cs="仿宋"/>
          <w:bCs/>
          <w:sz w:val="24"/>
          <w:szCs w:val="24"/>
          <w:highlight w:val="none"/>
          <w:lang w:val="en-US" w:eastAsia="zh-CN"/>
        </w:rPr>
        <w:t>依据工程建设具体内容确定相应检测设备，其数量与性能应满足国家及行业规范等相关要求。</w:t>
      </w:r>
    </w:p>
    <w:p w14:paraId="4F67260C">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五、取样方式</w:t>
      </w:r>
    </w:p>
    <w:p w14:paraId="24FE9C25">
      <w:pPr>
        <w:pageBreakBefore w:val="0"/>
        <w:kinsoku/>
        <w:wordWrap/>
        <w:overflowPunct/>
        <w:topLinePunct w:val="0"/>
        <w:autoSpaceDE w:val="0"/>
        <w:autoSpaceDN w:val="0"/>
        <w:bidi w:val="0"/>
        <w:adjustRightInd w:val="0"/>
        <w:spacing w:line="400" w:lineRule="exact"/>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按照《浙江省水利工程质量检测实施办法》及国家和行业有关规定，在工程现场随机抽取。</w:t>
      </w:r>
    </w:p>
    <w:p w14:paraId="37248C7E">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 xml:space="preserve"> 六、服务要求：</w:t>
      </w:r>
    </w:p>
    <w:p w14:paraId="224C4870">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检测单位应当建立健全质量保证体系，采用先进、实用的检测设备和工艺，完善检测手段，提高检测人员的技术水平，确保质量检测工作的科学、准确和公正。</w:t>
      </w:r>
    </w:p>
    <w:p w14:paraId="3365114A">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检测单位不得转包质量检测业务；未经委托方同意，不得分包质量检测业务。</w:t>
      </w:r>
    </w:p>
    <w:p w14:paraId="0C44819C">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检测单位应当按照国家和行业标准开展质量检测活动；没有国家和行业标准的，由检测单位提出方案，经委托方确认后实施。</w:t>
      </w:r>
    </w:p>
    <w:p w14:paraId="5805C266">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质量检测试样的取样应当严格执行国家和行业标准以及有关规定。提供质量检测试样的单位和个人，应当对试样的真实性负责。</w:t>
      </w:r>
    </w:p>
    <w:p w14:paraId="46E944B4">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检测单位应当按照合同和有关标准及时、准确地向委托方提交质量检测报告并对质量检测报告负责。任何单位和个人不得明示或者暗示检测单位出具虚假质量检测报告，不得篡改或者伪造质量检测报告。</w:t>
      </w:r>
    </w:p>
    <w:p w14:paraId="412CAE4F">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检测单位应当建立档案管理制度。检测合同、委托单、原始记录、质量检测报告应当统一编号，编号应当连续，不得随意抽撤、涂改。检测单位应当单独建立检测结果不合格项目台账。</w:t>
      </w:r>
    </w:p>
    <w:p w14:paraId="1FD7658A">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检测人员应当按照法律、法规和标准开展质量检测工作，并对质量检测结果负责。</w:t>
      </w:r>
    </w:p>
    <w:p w14:paraId="3CB188A1">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七、投标报价要求</w:t>
      </w:r>
    </w:p>
    <w:p w14:paraId="4867E478">
      <w:pPr>
        <w:spacing w:line="360" w:lineRule="auto"/>
        <w:ind w:firstLine="480" w:firstLineChars="200"/>
        <w:rPr>
          <w:rFonts w:hint="eastAsia" w:ascii="仿宋" w:hAnsi="仿宋" w:eastAsia="仿宋" w:cs="仿宋"/>
          <w:b/>
          <w:sz w:val="24"/>
          <w:lang w:val="en-US" w:eastAsia="zh-CN"/>
        </w:rPr>
      </w:pPr>
      <w:r>
        <w:rPr>
          <w:rFonts w:hint="eastAsia" w:ascii="仿宋" w:hAnsi="仿宋" w:eastAsia="仿宋" w:cs="仿宋"/>
          <w:color w:val="000000"/>
          <w:sz w:val="24"/>
          <w:szCs w:val="24"/>
          <w:highlight w:val="none"/>
        </w:rPr>
        <w:t>编制投标报价前投标人应到工地踏勘以充分了解工地位置、情况、道路、二次搬运及任何其他足以影响承包价的情况，任何因忽视或误解工地情况而导致的索赔或服务期延长申请将不被批准；一旦确认某一投标人中标，除合同规定的可调整内容外，中标人不得要求追加任何费用。</w:t>
      </w:r>
    </w:p>
    <w:p w14:paraId="5E9D44BB">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八、履约保证金及付款方式</w:t>
      </w:r>
    </w:p>
    <w:p w14:paraId="4C6349CA">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1、履约保证金：</w:t>
      </w:r>
      <w:r>
        <w:rPr>
          <w:rFonts w:hint="eastAsia" w:ascii="仿宋" w:hAnsi="仿宋" w:eastAsia="仿宋" w:cs="仿宋"/>
          <w:sz w:val="24"/>
          <w:szCs w:val="24"/>
          <w:lang w:val="en-US" w:eastAsia="zh-CN"/>
        </w:rPr>
        <w:t>项目实施前</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须向采购人缴纳本项目采购预算金额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w:t>
      </w:r>
      <w:r>
        <w:rPr>
          <w:rFonts w:hint="eastAsia" w:ascii="仿宋" w:hAnsi="仿宋" w:eastAsia="仿宋" w:cs="仿宋"/>
          <w:bCs/>
          <w:sz w:val="24"/>
          <w:szCs w:val="24"/>
        </w:rPr>
        <w:t>履约保证金在合同到期后且无违约情况下7个工作日内无息退还。</w:t>
      </w:r>
    </w:p>
    <w:p w14:paraId="25F323A4">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仿宋" w:hAnsi="仿宋" w:eastAsia="仿宋" w:cs="仿宋"/>
          <w:color w:val="auto"/>
          <w:kern w:val="0"/>
          <w:sz w:val="24"/>
          <w:szCs w:val="21"/>
          <w:lang w:val="en-US" w:eastAsia="zh-CN" w:bidi="ar"/>
        </w:rPr>
      </w:pPr>
      <w:r>
        <w:rPr>
          <w:rFonts w:hint="eastAsia" w:ascii="仿宋" w:hAnsi="仿宋" w:eastAsia="仿宋" w:cs="仿宋"/>
          <w:color w:val="auto"/>
          <w:kern w:val="0"/>
          <w:sz w:val="24"/>
          <w:szCs w:val="21"/>
          <w:lang w:val="en-US" w:eastAsia="zh-CN" w:bidi="ar"/>
        </w:rPr>
        <w:t>2、付款方式：采购单位将按照实际出具的数量进行结算，结算资料递交并审查合格后一次性付清。付款前中标单位须开具等额增值税发票。</w:t>
      </w:r>
    </w:p>
    <w:p w14:paraId="735BC467">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九、最高限价</w:t>
      </w:r>
    </w:p>
    <w:p w14:paraId="4D3BE260">
      <w:pPr>
        <w:pStyle w:val="59"/>
        <w:keepNext w:val="0"/>
        <w:keepLines w:val="0"/>
        <w:pageBreakBefore w:val="0"/>
        <w:widowControl w:val="0"/>
        <w:kinsoku/>
        <w:wordWrap/>
        <w:overflowPunct/>
        <w:topLinePunct w:val="0"/>
        <w:bidi w:val="0"/>
        <w:spacing w:before="0" w:beforeAutospacing="0" w:after="0" w:afterAutospacing="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本次采购</w:t>
      </w:r>
      <w:r>
        <w:rPr>
          <w:rFonts w:hint="eastAsia" w:ascii="仿宋" w:hAnsi="仿宋" w:eastAsia="仿宋" w:cs="仿宋"/>
          <w:b/>
          <w:bCs/>
          <w:sz w:val="24"/>
          <w:szCs w:val="24"/>
          <w:lang w:val="en-US" w:eastAsia="zh-CN"/>
        </w:rPr>
        <w:t>按折扣报价</w:t>
      </w:r>
      <w:r>
        <w:rPr>
          <w:rFonts w:hint="eastAsia" w:ascii="仿宋" w:hAnsi="仿宋" w:eastAsia="仿宋" w:cs="仿宋"/>
          <w:b/>
          <w:bCs/>
          <w:sz w:val="24"/>
          <w:szCs w:val="24"/>
        </w:rPr>
        <w:t>，数量按实结算。</w:t>
      </w:r>
      <w:r>
        <w:rPr>
          <w:rFonts w:hint="eastAsia" w:ascii="仿宋" w:hAnsi="仿宋" w:eastAsia="仿宋" w:cs="仿宋"/>
          <w:b/>
          <w:bCs/>
          <w:sz w:val="24"/>
          <w:szCs w:val="24"/>
          <w:lang w:val="en-US" w:eastAsia="zh-CN"/>
        </w:rPr>
        <w:t>任何高于75%的报价将被认定为无效报价，最高结算金额</w:t>
      </w:r>
      <w:r>
        <w:rPr>
          <w:rFonts w:hint="eastAsia" w:ascii="仿宋" w:hAnsi="仿宋" w:eastAsia="仿宋" w:cs="仿宋"/>
          <w:b/>
          <w:bCs/>
          <w:sz w:val="24"/>
          <w:szCs w:val="24"/>
        </w:rPr>
        <w:t>最高不超过人民</w:t>
      </w:r>
      <w:r>
        <w:rPr>
          <w:rFonts w:hint="eastAsia" w:ascii="仿宋" w:hAnsi="仿宋" w:eastAsia="仿宋" w:cs="仿宋"/>
          <w:b/>
          <w:bCs/>
          <w:sz w:val="24"/>
          <w:szCs w:val="24"/>
          <w:lang w:val="en-US" w:eastAsia="zh-CN"/>
        </w:rPr>
        <w:t>币伍拾万元整（￥500000.00元）。</w:t>
      </w:r>
    </w:p>
    <w:p w14:paraId="30FA3335">
      <w:pPr>
        <w:rPr>
          <w:rFonts w:hint="eastAsia" w:ascii="仿宋" w:hAnsi="仿宋" w:eastAsia="仿宋" w:cs="仿宋"/>
        </w:rPr>
      </w:pPr>
    </w:p>
    <w:p w14:paraId="36882227">
      <w:pPr>
        <w:pStyle w:val="3"/>
        <w:rPr>
          <w:rFonts w:hint="eastAsia" w:ascii="仿宋" w:hAnsi="仿宋" w:eastAsia="仿宋" w:cs="仿宋"/>
        </w:rPr>
      </w:pPr>
    </w:p>
    <w:p w14:paraId="46C60736">
      <w:pPr>
        <w:rPr>
          <w:rFonts w:hint="eastAsia" w:ascii="仿宋" w:hAnsi="仿宋" w:eastAsia="仿宋" w:cs="仿宋"/>
        </w:rPr>
      </w:pPr>
    </w:p>
    <w:p w14:paraId="6345903A">
      <w:pPr>
        <w:pStyle w:val="3"/>
        <w:rPr>
          <w:rFonts w:hint="eastAsia" w:ascii="仿宋" w:hAnsi="仿宋" w:eastAsia="仿宋" w:cs="仿宋"/>
        </w:rPr>
      </w:pPr>
    </w:p>
    <w:p w14:paraId="22BD81A4">
      <w:pPr>
        <w:rPr>
          <w:rFonts w:hint="eastAsia" w:ascii="仿宋" w:hAnsi="仿宋" w:eastAsia="仿宋" w:cs="仿宋"/>
        </w:rPr>
      </w:pPr>
    </w:p>
    <w:p w14:paraId="2F527092">
      <w:pPr>
        <w:pStyle w:val="3"/>
        <w:rPr>
          <w:rFonts w:hint="eastAsia" w:ascii="仿宋" w:hAnsi="仿宋" w:eastAsia="仿宋" w:cs="仿宋"/>
        </w:rPr>
      </w:pPr>
    </w:p>
    <w:p w14:paraId="1EED0534">
      <w:pPr>
        <w:rPr>
          <w:rFonts w:hint="eastAsia" w:ascii="仿宋" w:hAnsi="仿宋" w:eastAsia="仿宋" w:cs="仿宋"/>
        </w:rPr>
      </w:pPr>
    </w:p>
    <w:p w14:paraId="6A55F015">
      <w:pPr>
        <w:pStyle w:val="3"/>
        <w:rPr>
          <w:rFonts w:hint="eastAsia" w:ascii="仿宋" w:hAnsi="仿宋" w:eastAsia="仿宋" w:cs="仿宋"/>
        </w:rPr>
      </w:pPr>
    </w:p>
    <w:p w14:paraId="299A8070">
      <w:pPr>
        <w:rPr>
          <w:rFonts w:hint="eastAsia" w:ascii="仿宋" w:hAnsi="仿宋" w:eastAsia="仿宋" w:cs="仿宋"/>
        </w:rPr>
      </w:pPr>
    </w:p>
    <w:p w14:paraId="47F402D2">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08046"/>
      <w:bookmarkEnd w:id="25"/>
      <w:bookmarkStart w:id="26" w:name="_Toc184312110"/>
      <w:bookmarkEnd w:id="26"/>
      <w:bookmarkStart w:id="27" w:name="_Toc184312078"/>
      <w:bookmarkEnd w:id="27"/>
      <w:bookmarkStart w:id="28" w:name="_Toc184314455"/>
      <w:bookmarkEnd w:id="28"/>
      <w:bookmarkStart w:id="29" w:name="_Toc184310311"/>
      <w:bookmarkEnd w:id="29"/>
      <w:bookmarkStart w:id="30" w:name="_Toc184310310"/>
      <w:bookmarkEnd w:id="30"/>
      <w:bookmarkStart w:id="31" w:name="_Toc184314461"/>
      <w:bookmarkEnd w:id="31"/>
      <w:bookmarkStart w:id="32" w:name="_Toc184310300"/>
      <w:bookmarkEnd w:id="32"/>
      <w:bookmarkStart w:id="33" w:name="_Toc184313252"/>
      <w:bookmarkEnd w:id="33"/>
      <w:bookmarkStart w:id="34" w:name="_Toc184312126"/>
      <w:bookmarkEnd w:id="34"/>
      <w:bookmarkStart w:id="35" w:name="_Toc184313297"/>
      <w:bookmarkEnd w:id="35"/>
      <w:bookmarkStart w:id="36" w:name="_Toc184313310"/>
      <w:bookmarkEnd w:id="36"/>
      <w:bookmarkStart w:id="37" w:name="_Toc184308067"/>
      <w:bookmarkEnd w:id="37"/>
      <w:bookmarkStart w:id="38" w:name="_Toc184308071"/>
      <w:bookmarkEnd w:id="38"/>
      <w:bookmarkStart w:id="39" w:name="_Toc184308062"/>
      <w:bookmarkEnd w:id="39"/>
      <w:bookmarkStart w:id="40" w:name="_Toc184314425"/>
      <w:bookmarkEnd w:id="40"/>
      <w:bookmarkStart w:id="41" w:name="_Toc184313294"/>
      <w:bookmarkEnd w:id="41"/>
      <w:bookmarkStart w:id="42" w:name="_Toc184312074"/>
      <w:bookmarkEnd w:id="42"/>
      <w:bookmarkStart w:id="43" w:name="_Toc184313254"/>
      <w:bookmarkEnd w:id="43"/>
      <w:bookmarkStart w:id="44" w:name="_Toc184310315"/>
      <w:bookmarkEnd w:id="44"/>
      <w:bookmarkStart w:id="45" w:name="_Toc184310318"/>
      <w:bookmarkEnd w:id="45"/>
      <w:bookmarkStart w:id="46" w:name="_Toc184313248"/>
      <w:bookmarkEnd w:id="46"/>
      <w:bookmarkStart w:id="47" w:name="_Toc184313283"/>
      <w:bookmarkEnd w:id="47"/>
      <w:bookmarkStart w:id="48" w:name="_Toc184308102"/>
      <w:bookmarkEnd w:id="48"/>
      <w:bookmarkStart w:id="49" w:name="_Toc184313250"/>
      <w:bookmarkEnd w:id="49"/>
      <w:bookmarkStart w:id="50" w:name="_Toc184308042"/>
      <w:bookmarkEnd w:id="50"/>
      <w:bookmarkStart w:id="51" w:name="_Toc184313290"/>
      <w:bookmarkEnd w:id="51"/>
      <w:bookmarkStart w:id="52" w:name="_Toc184310320"/>
      <w:bookmarkEnd w:id="52"/>
      <w:bookmarkStart w:id="53" w:name="_Toc184312109"/>
      <w:bookmarkEnd w:id="53"/>
      <w:bookmarkStart w:id="54" w:name="_Toc184310293"/>
      <w:bookmarkEnd w:id="54"/>
      <w:bookmarkStart w:id="55" w:name="_Toc184314453"/>
      <w:bookmarkEnd w:id="55"/>
      <w:bookmarkStart w:id="56" w:name="_Toc184313282"/>
      <w:bookmarkEnd w:id="56"/>
      <w:bookmarkStart w:id="57" w:name="_Toc184314473"/>
      <w:bookmarkEnd w:id="57"/>
      <w:bookmarkStart w:id="58" w:name="_Toc184308096"/>
      <w:bookmarkEnd w:id="58"/>
      <w:bookmarkStart w:id="59" w:name="_Toc184310336"/>
      <w:bookmarkEnd w:id="59"/>
      <w:bookmarkStart w:id="60" w:name="_Toc184308091"/>
      <w:bookmarkEnd w:id="60"/>
      <w:bookmarkStart w:id="61" w:name="_Toc184312117"/>
      <w:bookmarkEnd w:id="61"/>
      <w:bookmarkStart w:id="62" w:name="_Toc184314466"/>
      <w:bookmarkEnd w:id="62"/>
      <w:bookmarkStart w:id="63" w:name="_Toc184310287"/>
      <w:bookmarkEnd w:id="63"/>
      <w:bookmarkStart w:id="64" w:name="_Toc184312080"/>
      <w:bookmarkEnd w:id="64"/>
      <w:bookmarkStart w:id="65" w:name="_Toc184314415"/>
      <w:bookmarkEnd w:id="65"/>
      <w:bookmarkStart w:id="66" w:name="_Toc184314427"/>
      <w:bookmarkEnd w:id="66"/>
      <w:bookmarkStart w:id="67" w:name="_Toc184313309"/>
      <w:bookmarkEnd w:id="67"/>
      <w:bookmarkStart w:id="68" w:name="_Toc184310304"/>
      <w:bookmarkEnd w:id="68"/>
      <w:bookmarkStart w:id="69" w:name="_Toc184314467"/>
      <w:bookmarkEnd w:id="69"/>
      <w:bookmarkStart w:id="70" w:name="_Toc184314475"/>
      <w:bookmarkEnd w:id="70"/>
      <w:bookmarkStart w:id="71" w:name="_Toc184310337"/>
      <w:bookmarkEnd w:id="71"/>
      <w:bookmarkStart w:id="72" w:name="_Toc184313278"/>
      <w:bookmarkEnd w:id="72"/>
      <w:bookmarkStart w:id="73" w:name="_Toc184312120"/>
      <w:bookmarkEnd w:id="73"/>
      <w:bookmarkStart w:id="74" w:name="_Toc184310292"/>
      <w:bookmarkEnd w:id="74"/>
      <w:bookmarkStart w:id="75" w:name="_Toc184313238"/>
      <w:bookmarkEnd w:id="75"/>
      <w:bookmarkStart w:id="76" w:name="_Toc184310275"/>
      <w:bookmarkEnd w:id="76"/>
      <w:bookmarkStart w:id="77" w:name="_Toc184314445"/>
      <w:bookmarkEnd w:id="77"/>
      <w:bookmarkStart w:id="78" w:name="_Toc184308095"/>
      <w:bookmarkEnd w:id="78"/>
      <w:bookmarkStart w:id="79" w:name="_Toc184310284"/>
      <w:bookmarkEnd w:id="79"/>
      <w:bookmarkStart w:id="80" w:name="_Toc184313304"/>
      <w:bookmarkEnd w:id="80"/>
      <w:bookmarkStart w:id="81" w:name="_Toc184308063"/>
      <w:bookmarkEnd w:id="81"/>
      <w:bookmarkStart w:id="82" w:name="_Toc184312122"/>
      <w:bookmarkEnd w:id="82"/>
      <w:bookmarkStart w:id="83" w:name="_Toc184310302"/>
      <w:bookmarkEnd w:id="83"/>
      <w:bookmarkStart w:id="84" w:name="_Toc184314434"/>
      <w:bookmarkEnd w:id="84"/>
      <w:bookmarkStart w:id="85" w:name="_Toc184312089"/>
      <w:bookmarkEnd w:id="85"/>
      <w:bookmarkStart w:id="86" w:name="_Toc184310335"/>
      <w:bookmarkEnd w:id="86"/>
      <w:bookmarkStart w:id="87" w:name="_Toc184310306"/>
      <w:bookmarkEnd w:id="87"/>
      <w:bookmarkStart w:id="88" w:name="_Toc184308053"/>
      <w:bookmarkEnd w:id="88"/>
      <w:bookmarkStart w:id="89" w:name="_Toc184313269"/>
      <w:bookmarkEnd w:id="89"/>
      <w:bookmarkStart w:id="90" w:name="_Toc184312093"/>
      <w:bookmarkEnd w:id="90"/>
      <w:bookmarkStart w:id="91" w:name="_Toc184313241"/>
      <w:bookmarkEnd w:id="91"/>
      <w:bookmarkStart w:id="92" w:name="_Toc184308057"/>
      <w:bookmarkEnd w:id="92"/>
      <w:bookmarkStart w:id="93" w:name="_Toc184313260"/>
      <w:bookmarkEnd w:id="93"/>
      <w:bookmarkStart w:id="94" w:name="_Toc184313279"/>
      <w:bookmarkEnd w:id="94"/>
      <w:bookmarkStart w:id="95" w:name="_Toc184314459"/>
      <w:bookmarkEnd w:id="95"/>
      <w:bookmarkStart w:id="96" w:name="_Toc184308066"/>
      <w:bookmarkEnd w:id="96"/>
      <w:bookmarkStart w:id="97" w:name="_Toc184310322"/>
      <w:bookmarkEnd w:id="97"/>
      <w:bookmarkStart w:id="98" w:name="_Toc184314478"/>
      <w:bookmarkEnd w:id="98"/>
      <w:bookmarkStart w:id="99" w:name="_Toc184310329"/>
      <w:bookmarkEnd w:id="99"/>
      <w:bookmarkStart w:id="100" w:name="_Toc184314460"/>
      <w:bookmarkEnd w:id="100"/>
      <w:bookmarkStart w:id="101" w:name="_Toc184314439"/>
      <w:bookmarkEnd w:id="101"/>
      <w:bookmarkStart w:id="102" w:name="_Toc184310283"/>
      <w:bookmarkEnd w:id="102"/>
      <w:bookmarkStart w:id="103" w:name="_Toc184313274"/>
      <w:bookmarkEnd w:id="103"/>
      <w:bookmarkStart w:id="104" w:name="_Toc184308047"/>
      <w:bookmarkEnd w:id="104"/>
      <w:bookmarkStart w:id="105" w:name="_Toc184313262"/>
      <w:bookmarkEnd w:id="105"/>
      <w:bookmarkStart w:id="106" w:name="_Toc184313289"/>
      <w:bookmarkEnd w:id="106"/>
      <w:bookmarkStart w:id="107" w:name="_Toc184313270"/>
      <w:bookmarkEnd w:id="107"/>
      <w:bookmarkStart w:id="108" w:name="_Toc184312134"/>
      <w:bookmarkEnd w:id="108"/>
      <w:bookmarkStart w:id="109" w:name="_Toc184310289"/>
      <w:bookmarkEnd w:id="109"/>
      <w:bookmarkStart w:id="110" w:name="_Toc184308097"/>
      <w:bookmarkEnd w:id="110"/>
      <w:bookmarkStart w:id="111" w:name="_Toc184312069"/>
      <w:bookmarkEnd w:id="111"/>
      <w:bookmarkStart w:id="112" w:name="_Toc184308086"/>
      <w:bookmarkEnd w:id="112"/>
      <w:bookmarkStart w:id="113" w:name="_Toc184312083"/>
      <w:bookmarkEnd w:id="113"/>
      <w:bookmarkStart w:id="114" w:name="_Toc184312102"/>
      <w:bookmarkEnd w:id="114"/>
      <w:bookmarkStart w:id="115" w:name="_Toc184313266"/>
      <w:bookmarkEnd w:id="115"/>
      <w:bookmarkStart w:id="116" w:name="_Toc184314441"/>
      <w:bookmarkEnd w:id="116"/>
      <w:bookmarkStart w:id="117" w:name="_Toc184310296"/>
      <w:bookmarkEnd w:id="117"/>
      <w:bookmarkStart w:id="118" w:name="_Toc184310308"/>
      <w:bookmarkEnd w:id="118"/>
      <w:bookmarkStart w:id="119" w:name="_Toc184308039"/>
      <w:bookmarkEnd w:id="119"/>
      <w:bookmarkStart w:id="120" w:name="_Toc184312107"/>
      <w:bookmarkEnd w:id="120"/>
      <w:bookmarkStart w:id="121" w:name="_Toc184310328"/>
      <w:bookmarkEnd w:id="121"/>
      <w:bookmarkStart w:id="122" w:name="_Toc184314447"/>
      <w:bookmarkEnd w:id="122"/>
      <w:bookmarkStart w:id="123" w:name="_Toc184310272"/>
      <w:bookmarkEnd w:id="123"/>
      <w:bookmarkStart w:id="124" w:name="_Toc184308092"/>
      <w:bookmarkEnd w:id="124"/>
      <w:bookmarkStart w:id="125" w:name="_Toc184308044"/>
      <w:bookmarkEnd w:id="125"/>
      <w:bookmarkStart w:id="126" w:name="_Toc184314446"/>
      <w:bookmarkEnd w:id="126"/>
      <w:bookmarkStart w:id="127" w:name="_Toc184313256"/>
      <w:bookmarkEnd w:id="127"/>
      <w:bookmarkStart w:id="128" w:name="_Toc184308048"/>
      <w:bookmarkEnd w:id="128"/>
      <w:bookmarkStart w:id="129" w:name="_Toc184310316"/>
      <w:bookmarkEnd w:id="129"/>
      <w:bookmarkStart w:id="130" w:name="_Toc184314428"/>
      <w:bookmarkEnd w:id="130"/>
      <w:bookmarkStart w:id="131" w:name="_Toc184313259"/>
      <w:bookmarkEnd w:id="131"/>
      <w:bookmarkStart w:id="132" w:name="_Toc184314431"/>
      <w:bookmarkEnd w:id="132"/>
      <w:bookmarkStart w:id="133" w:name="_Toc184313298"/>
      <w:bookmarkEnd w:id="133"/>
      <w:bookmarkStart w:id="134" w:name="_Toc184312121"/>
      <w:bookmarkEnd w:id="134"/>
      <w:bookmarkStart w:id="135" w:name="_Toc184310323"/>
      <w:bookmarkEnd w:id="135"/>
      <w:bookmarkStart w:id="136" w:name="_Toc184310278"/>
      <w:bookmarkEnd w:id="136"/>
      <w:bookmarkStart w:id="137" w:name="_Toc184310325"/>
      <w:bookmarkEnd w:id="137"/>
      <w:bookmarkStart w:id="138" w:name="_Toc184313293"/>
      <w:bookmarkEnd w:id="138"/>
      <w:bookmarkStart w:id="139" w:name="_Toc184308040"/>
      <w:bookmarkEnd w:id="139"/>
      <w:bookmarkStart w:id="140" w:name="_Toc184313246"/>
      <w:bookmarkEnd w:id="140"/>
      <w:bookmarkStart w:id="141" w:name="_Toc184310290"/>
      <w:bookmarkEnd w:id="141"/>
      <w:bookmarkStart w:id="142" w:name="_Toc184308052"/>
      <w:bookmarkEnd w:id="142"/>
      <w:bookmarkStart w:id="143" w:name="_Toc184314463"/>
      <w:bookmarkEnd w:id="143"/>
      <w:bookmarkStart w:id="144" w:name="_Toc184313296"/>
      <w:bookmarkEnd w:id="144"/>
      <w:bookmarkStart w:id="145" w:name="_Toc184314476"/>
      <w:bookmarkEnd w:id="145"/>
      <w:bookmarkStart w:id="146" w:name="_Toc184313284"/>
      <w:bookmarkEnd w:id="146"/>
      <w:bookmarkStart w:id="147" w:name="_Toc184314470"/>
      <w:bookmarkEnd w:id="147"/>
      <w:bookmarkStart w:id="148" w:name="_Toc184314437"/>
      <w:bookmarkEnd w:id="148"/>
      <w:bookmarkStart w:id="149" w:name="_Toc184314417"/>
      <w:bookmarkEnd w:id="149"/>
      <w:bookmarkStart w:id="150" w:name="_Toc184314449"/>
      <w:bookmarkEnd w:id="150"/>
      <w:bookmarkStart w:id="151" w:name="_Toc184312067"/>
      <w:bookmarkEnd w:id="151"/>
      <w:bookmarkStart w:id="152" w:name="_Toc184308068"/>
      <w:bookmarkEnd w:id="152"/>
      <w:bookmarkStart w:id="153" w:name="_Toc184312129"/>
      <w:bookmarkEnd w:id="153"/>
      <w:bookmarkStart w:id="154" w:name="_Toc184312094"/>
      <w:bookmarkEnd w:id="154"/>
      <w:bookmarkStart w:id="155" w:name="_Toc184312070"/>
      <w:bookmarkEnd w:id="155"/>
      <w:bookmarkStart w:id="156" w:name="_Toc184313265"/>
      <w:bookmarkEnd w:id="156"/>
      <w:bookmarkStart w:id="157" w:name="_Toc184314426"/>
      <w:bookmarkEnd w:id="157"/>
      <w:bookmarkStart w:id="158" w:name="_Toc184308085"/>
      <w:bookmarkEnd w:id="158"/>
      <w:bookmarkStart w:id="159" w:name="_Toc184312081"/>
      <w:bookmarkEnd w:id="159"/>
      <w:bookmarkStart w:id="160" w:name="_Toc184310342"/>
      <w:bookmarkEnd w:id="160"/>
      <w:bookmarkStart w:id="161" w:name="_Toc184313263"/>
      <w:bookmarkEnd w:id="161"/>
      <w:bookmarkStart w:id="162" w:name="_Toc184314422"/>
      <w:bookmarkEnd w:id="162"/>
      <w:bookmarkStart w:id="163" w:name="_Toc184312118"/>
      <w:bookmarkEnd w:id="163"/>
      <w:bookmarkStart w:id="164" w:name="_Toc184310330"/>
      <w:bookmarkEnd w:id="164"/>
      <w:bookmarkStart w:id="165" w:name="_Toc184314419"/>
      <w:bookmarkEnd w:id="165"/>
      <w:bookmarkStart w:id="166" w:name="_Toc184314450"/>
      <w:bookmarkEnd w:id="166"/>
      <w:bookmarkStart w:id="167" w:name="_Toc184312103"/>
      <w:bookmarkEnd w:id="167"/>
      <w:bookmarkStart w:id="168" w:name="_Toc184314481"/>
      <w:bookmarkEnd w:id="168"/>
      <w:bookmarkStart w:id="169" w:name="_Toc184310343"/>
      <w:bookmarkEnd w:id="169"/>
      <w:bookmarkStart w:id="170" w:name="_Toc184312139"/>
      <w:bookmarkEnd w:id="170"/>
      <w:bookmarkStart w:id="171" w:name="_Toc184308061"/>
      <w:bookmarkEnd w:id="171"/>
      <w:bookmarkStart w:id="172" w:name="_Toc184312123"/>
      <w:bookmarkEnd w:id="172"/>
      <w:bookmarkStart w:id="173" w:name="_Toc184312108"/>
      <w:bookmarkEnd w:id="173"/>
      <w:bookmarkStart w:id="174" w:name="_Toc184308083"/>
      <w:bookmarkEnd w:id="174"/>
      <w:bookmarkStart w:id="175" w:name="_Toc184310312"/>
      <w:bookmarkEnd w:id="175"/>
      <w:bookmarkStart w:id="176" w:name="_Toc184314474"/>
      <w:bookmarkEnd w:id="176"/>
      <w:bookmarkStart w:id="177" w:name="_Toc184312132"/>
      <w:bookmarkEnd w:id="177"/>
      <w:bookmarkStart w:id="178" w:name="_Toc184314477"/>
      <w:bookmarkEnd w:id="178"/>
      <w:bookmarkStart w:id="179" w:name="_Toc184308045"/>
      <w:bookmarkEnd w:id="179"/>
      <w:bookmarkStart w:id="180" w:name="_Toc184312136"/>
      <w:bookmarkEnd w:id="180"/>
      <w:bookmarkStart w:id="181" w:name="_Toc184314420"/>
      <w:bookmarkEnd w:id="181"/>
      <w:bookmarkStart w:id="182" w:name="_Toc184308093"/>
      <w:bookmarkEnd w:id="182"/>
      <w:bookmarkStart w:id="183" w:name="_Toc184313267"/>
      <w:bookmarkEnd w:id="183"/>
      <w:bookmarkStart w:id="184" w:name="_Toc184312091"/>
      <w:bookmarkEnd w:id="184"/>
      <w:bookmarkStart w:id="185" w:name="_Toc184308104"/>
      <w:bookmarkEnd w:id="185"/>
      <w:bookmarkStart w:id="186" w:name="_Toc184313271"/>
      <w:bookmarkEnd w:id="186"/>
      <w:bookmarkStart w:id="187" w:name="_Toc184312133"/>
      <w:bookmarkEnd w:id="187"/>
      <w:bookmarkStart w:id="188" w:name="_Toc184308038"/>
      <w:bookmarkEnd w:id="188"/>
      <w:bookmarkStart w:id="189" w:name="_Toc184313247"/>
      <w:bookmarkEnd w:id="189"/>
      <w:bookmarkStart w:id="190" w:name="_Toc184308055"/>
      <w:bookmarkEnd w:id="190"/>
      <w:bookmarkStart w:id="191" w:name="_Toc184312116"/>
      <w:bookmarkEnd w:id="191"/>
      <w:bookmarkStart w:id="192" w:name="_Toc184308090"/>
      <w:bookmarkEnd w:id="192"/>
      <w:bookmarkStart w:id="193" w:name="_Toc184313276"/>
      <w:bookmarkEnd w:id="193"/>
      <w:bookmarkStart w:id="194" w:name="_Toc184312104"/>
      <w:bookmarkEnd w:id="194"/>
      <w:bookmarkStart w:id="195" w:name="_Toc184312135"/>
      <w:bookmarkEnd w:id="195"/>
      <w:bookmarkStart w:id="196" w:name="_Toc184314469"/>
      <w:bookmarkEnd w:id="196"/>
      <w:bookmarkStart w:id="197" w:name="_Toc184308087"/>
      <w:bookmarkEnd w:id="197"/>
      <w:bookmarkStart w:id="198" w:name="_Toc184310313"/>
      <w:bookmarkEnd w:id="198"/>
      <w:bookmarkStart w:id="199" w:name="_Toc184314440"/>
      <w:bookmarkEnd w:id="199"/>
      <w:bookmarkStart w:id="200" w:name="_Toc184308076"/>
      <w:bookmarkEnd w:id="200"/>
      <w:bookmarkStart w:id="201" w:name="_Toc184312114"/>
      <w:bookmarkEnd w:id="201"/>
      <w:bookmarkStart w:id="202" w:name="_Toc184308050"/>
      <w:bookmarkEnd w:id="202"/>
      <w:bookmarkStart w:id="203" w:name="_Toc184310277"/>
      <w:bookmarkEnd w:id="203"/>
      <w:bookmarkStart w:id="204" w:name="_Toc184308100"/>
      <w:bookmarkEnd w:id="204"/>
      <w:bookmarkStart w:id="205" w:name="_Toc184312138"/>
      <w:bookmarkEnd w:id="205"/>
      <w:bookmarkStart w:id="206" w:name="_Toc184310344"/>
      <w:bookmarkEnd w:id="206"/>
      <w:bookmarkStart w:id="207" w:name="_Toc184312079"/>
      <w:bookmarkEnd w:id="207"/>
      <w:bookmarkStart w:id="208" w:name="_Toc184310339"/>
      <w:bookmarkEnd w:id="208"/>
      <w:bookmarkStart w:id="209" w:name="_Toc184314479"/>
      <w:bookmarkEnd w:id="209"/>
      <w:bookmarkStart w:id="210" w:name="_Toc184310279"/>
      <w:bookmarkEnd w:id="210"/>
      <w:bookmarkStart w:id="211" w:name="_Toc184308077"/>
      <w:bookmarkEnd w:id="211"/>
      <w:bookmarkStart w:id="212" w:name="_Toc184314452"/>
      <w:bookmarkEnd w:id="212"/>
      <w:bookmarkStart w:id="213" w:name="_Toc184312131"/>
      <w:bookmarkEnd w:id="213"/>
      <w:bookmarkStart w:id="214" w:name="_Toc184314418"/>
      <w:bookmarkEnd w:id="214"/>
      <w:bookmarkStart w:id="215" w:name="_Toc184312113"/>
      <w:bookmarkEnd w:id="215"/>
      <w:bookmarkStart w:id="216" w:name="_Toc184310295"/>
      <w:bookmarkEnd w:id="216"/>
      <w:bookmarkStart w:id="217" w:name="_Toc184313291"/>
      <w:bookmarkEnd w:id="217"/>
      <w:bookmarkStart w:id="218" w:name="_Toc184313245"/>
      <w:bookmarkEnd w:id="218"/>
      <w:bookmarkStart w:id="219" w:name="_Toc184313280"/>
      <w:bookmarkEnd w:id="219"/>
      <w:bookmarkStart w:id="220" w:name="_Toc184314448"/>
      <w:bookmarkEnd w:id="220"/>
      <w:bookmarkStart w:id="221" w:name="_Toc184313275"/>
      <w:bookmarkEnd w:id="221"/>
      <w:bookmarkStart w:id="222" w:name="_Toc184308105"/>
      <w:bookmarkEnd w:id="222"/>
      <w:bookmarkStart w:id="223" w:name="_Toc184308056"/>
      <w:bookmarkEnd w:id="223"/>
      <w:bookmarkStart w:id="224" w:name="_Toc184312096"/>
      <w:bookmarkEnd w:id="224"/>
      <w:bookmarkStart w:id="225" w:name="_Toc184313302"/>
      <w:bookmarkEnd w:id="225"/>
      <w:bookmarkStart w:id="226" w:name="_Toc184313264"/>
      <w:bookmarkEnd w:id="226"/>
      <w:bookmarkStart w:id="227" w:name="_Toc184308084"/>
      <w:bookmarkEnd w:id="227"/>
      <w:bookmarkStart w:id="228" w:name="_Toc184312077"/>
      <w:bookmarkEnd w:id="228"/>
      <w:bookmarkStart w:id="229" w:name="_Toc184312098"/>
      <w:bookmarkEnd w:id="229"/>
      <w:bookmarkStart w:id="230" w:name="_Toc184314451"/>
      <w:bookmarkEnd w:id="230"/>
      <w:bookmarkStart w:id="231" w:name="_Toc184310321"/>
      <w:bookmarkEnd w:id="231"/>
      <w:bookmarkStart w:id="232" w:name="_Toc184310297"/>
      <w:bookmarkEnd w:id="232"/>
      <w:bookmarkStart w:id="233" w:name="_Toc184314471"/>
      <w:bookmarkEnd w:id="233"/>
      <w:bookmarkStart w:id="234" w:name="_Toc184312090"/>
      <w:bookmarkEnd w:id="234"/>
      <w:bookmarkStart w:id="235" w:name="_Toc184314443"/>
      <w:bookmarkEnd w:id="235"/>
      <w:bookmarkStart w:id="236" w:name="_Toc184312095"/>
      <w:bookmarkEnd w:id="236"/>
      <w:bookmarkStart w:id="237" w:name="_Toc184314444"/>
      <w:bookmarkEnd w:id="237"/>
      <w:bookmarkStart w:id="238" w:name="_Toc184312084"/>
      <w:bookmarkEnd w:id="238"/>
      <w:bookmarkStart w:id="239" w:name="_Toc184308036"/>
      <w:bookmarkEnd w:id="239"/>
      <w:bookmarkStart w:id="240" w:name="_Toc184310281"/>
      <w:bookmarkEnd w:id="240"/>
      <w:bookmarkStart w:id="241" w:name="_Toc184308078"/>
      <w:bookmarkEnd w:id="241"/>
      <w:bookmarkStart w:id="242" w:name="_Toc184310327"/>
      <w:bookmarkEnd w:id="242"/>
      <w:bookmarkStart w:id="243" w:name="_Toc184314429"/>
      <w:bookmarkEnd w:id="243"/>
      <w:bookmarkStart w:id="244" w:name="_Toc184310303"/>
      <w:bookmarkEnd w:id="244"/>
      <w:bookmarkStart w:id="245" w:name="_Toc184308064"/>
      <w:bookmarkEnd w:id="245"/>
      <w:bookmarkStart w:id="246" w:name="_Toc184310319"/>
      <w:bookmarkEnd w:id="246"/>
      <w:bookmarkStart w:id="247" w:name="_Toc184313306"/>
      <w:bookmarkEnd w:id="247"/>
      <w:bookmarkStart w:id="248" w:name="_Toc184313292"/>
      <w:bookmarkEnd w:id="248"/>
      <w:bookmarkStart w:id="249" w:name="_Toc184308070"/>
      <w:bookmarkEnd w:id="249"/>
      <w:bookmarkStart w:id="250" w:name="_Toc184312092"/>
      <w:bookmarkEnd w:id="250"/>
      <w:bookmarkStart w:id="251" w:name="_Toc184313286"/>
      <w:bookmarkEnd w:id="251"/>
      <w:bookmarkStart w:id="252" w:name="_Toc184312068"/>
      <w:bookmarkEnd w:id="252"/>
      <w:bookmarkStart w:id="253" w:name="_Toc184312105"/>
      <w:bookmarkEnd w:id="253"/>
      <w:bookmarkStart w:id="254" w:name="_Toc184313308"/>
      <w:bookmarkEnd w:id="254"/>
      <w:bookmarkStart w:id="255" w:name="_Toc184313257"/>
      <w:bookmarkEnd w:id="255"/>
      <w:bookmarkStart w:id="256" w:name="_Toc184312076"/>
      <w:bookmarkEnd w:id="256"/>
      <w:bookmarkStart w:id="257" w:name="_Toc184308051"/>
      <w:bookmarkEnd w:id="257"/>
      <w:bookmarkStart w:id="258" w:name="_Toc184312119"/>
      <w:bookmarkEnd w:id="258"/>
      <w:bookmarkStart w:id="259" w:name="_Toc184314424"/>
      <w:bookmarkEnd w:id="259"/>
      <w:bookmarkStart w:id="260" w:name="_Toc184312127"/>
      <w:bookmarkEnd w:id="260"/>
      <w:bookmarkStart w:id="261" w:name="_Toc184310331"/>
      <w:bookmarkEnd w:id="261"/>
      <w:bookmarkStart w:id="262" w:name="_Toc184312075"/>
      <w:bookmarkEnd w:id="262"/>
      <w:bookmarkStart w:id="263" w:name="_Toc184313277"/>
      <w:bookmarkEnd w:id="263"/>
      <w:bookmarkStart w:id="264" w:name="_Toc184312072"/>
      <w:bookmarkEnd w:id="264"/>
      <w:bookmarkStart w:id="265" w:name="_Toc184310280"/>
      <w:bookmarkEnd w:id="265"/>
      <w:bookmarkStart w:id="266" w:name="_Toc184310332"/>
      <w:bookmarkEnd w:id="266"/>
      <w:bookmarkStart w:id="267" w:name="_Toc184314432"/>
      <w:bookmarkEnd w:id="267"/>
      <w:bookmarkStart w:id="268" w:name="_Toc184314430"/>
      <w:bookmarkEnd w:id="268"/>
      <w:bookmarkStart w:id="269" w:name="_Toc184312137"/>
      <w:bookmarkEnd w:id="269"/>
      <w:bookmarkStart w:id="270" w:name="_Toc184308065"/>
      <w:bookmarkEnd w:id="270"/>
      <w:bookmarkStart w:id="271" w:name="_Toc184310314"/>
      <w:bookmarkEnd w:id="271"/>
      <w:bookmarkStart w:id="272" w:name="_Toc184314411"/>
      <w:bookmarkEnd w:id="272"/>
      <w:bookmarkStart w:id="273" w:name="_Toc184313253"/>
      <w:bookmarkEnd w:id="273"/>
      <w:bookmarkStart w:id="274" w:name="_Toc184312125"/>
      <w:bookmarkEnd w:id="274"/>
      <w:bookmarkStart w:id="275" w:name="_Toc184312097"/>
      <w:bookmarkEnd w:id="275"/>
      <w:bookmarkStart w:id="276" w:name="_Toc184310286"/>
      <w:bookmarkEnd w:id="276"/>
      <w:bookmarkStart w:id="277" w:name="_Toc184314482"/>
      <w:bookmarkEnd w:id="277"/>
      <w:bookmarkStart w:id="278" w:name="_Toc184314412"/>
      <w:bookmarkEnd w:id="278"/>
      <w:bookmarkStart w:id="279" w:name="_Toc184313301"/>
      <w:bookmarkEnd w:id="279"/>
      <w:bookmarkStart w:id="280" w:name="_Toc184314438"/>
      <w:bookmarkEnd w:id="280"/>
      <w:bookmarkStart w:id="281" w:name="_Toc184312073"/>
      <w:bookmarkEnd w:id="281"/>
      <w:bookmarkStart w:id="282" w:name="_Toc184312085"/>
      <w:bookmarkEnd w:id="282"/>
      <w:bookmarkStart w:id="283" w:name="_Toc184313243"/>
      <w:bookmarkEnd w:id="283"/>
      <w:bookmarkStart w:id="284" w:name="_Toc184313268"/>
      <w:bookmarkEnd w:id="284"/>
      <w:bookmarkStart w:id="285" w:name="_Toc184310294"/>
      <w:bookmarkEnd w:id="285"/>
      <w:bookmarkStart w:id="286" w:name="_Toc184308082"/>
      <w:bookmarkEnd w:id="286"/>
      <w:bookmarkStart w:id="287" w:name="_Toc184310333"/>
      <w:bookmarkEnd w:id="287"/>
      <w:bookmarkStart w:id="288" w:name="_Toc184308080"/>
      <w:bookmarkEnd w:id="288"/>
      <w:bookmarkStart w:id="289" w:name="_Toc184313288"/>
      <w:bookmarkEnd w:id="289"/>
      <w:bookmarkStart w:id="290" w:name="_Toc184310340"/>
      <w:bookmarkEnd w:id="290"/>
      <w:bookmarkStart w:id="291" w:name="_Toc184314480"/>
      <w:bookmarkEnd w:id="291"/>
      <w:bookmarkStart w:id="292" w:name="_Toc184308101"/>
      <w:bookmarkEnd w:id="292"/>
      <w:bookmarkStart w:id="293" w:name="_Toc184310299"/>
      <w:bookmarkEnd w:id="293"/>
      <w:bookmarkStart w:id="294" w:name="_Toc184308059"/>
      <w:bookmarkEnd w:id="294"/>
      <w:bookmarkStart w:id="295" w:name="_Toc184310341"/>
      <w:bookmarkEnd w:id="295"/>
      <w:bookmarkStart w:id="296" w:name="_Toc184310326"/>
      <w:bookmarkEnd w:id="296"/>
      <w:bookmarkStart w:id="297" w:name="_Toc184308098"/>
      <w:bookmarkEnd w:id="297"/>
      <w:bookmarkStart w:id="298" w:name="_Toc184308094"/>
      <w:bookmarkEnd w:id="298"/>
      <w:bookmarkStart w:id="299" w:name="_Toc184314458"/>
      <w:bookmarkEnd w:id="299"/>
      <w:bookmarkStart w:id="300" w:name="_Toc184308060"/>
      <w:bookmarkEnd w:id="300"/>
      <w:bookmarkStart w:id="301" w:name="_Toc184310282"/>
      <w:bookmarkEnd w:id="301"/>
      <w:bookmarkStart w:id="302" w:name="_Toc184308079"/>
      <w:bookmarkEnd w:id="302"/>
      <w:bookmarkStart w:id="303" w:name="_Toc184312115"/>
      <w:bookmarkEnd w:id="303"/>
      <w:bookmarkStart w:id="304" w:name="_Toc184308049"/>
      <w:bookmarkEnd w:id="304"/>
      <w:bookmarkStart w:id="305" w:name="_Toc184313261"/>
      <w:bookmarkEnd w:id="305"/>
      <w:bookmarkStart w:id="306" w:name="_Toc184312111"/>
      <w:bookmarkEnd w:id="306"/>
      <w:bookmarkStart w:id="307" w:name="_Toc184310317"/>
      <w:bookmarkEnd w:id="307"/>
      <w:bookmarkStart w:id="308" w:name="_Toc184313272"/>
      <w:bookmarkEnd w:id="308"/>
      <w:bookmarkStart w:id="309" w:name="_Toc184308108"/>
      <w:bookmarkEnd w:id="309"/>
      <w:bookmarkStart w:id="310" w:name="_Toc184308106"/>
      <w:bookmarkEnd w:id="310"/>
      <w:bookmarkStart w:id="311" w:name="_Toc184310298"/>
      <w:bookmarkEnd w:id="311"/>
      <w:bookmarkStart w:id="312" w:name="_Toc184312099"/>
      <w:bookmarkEnd w:id="312"/>
      <w:bookmarkStart w:id="313" w:name="_Toc184314421"/>
      <w:bookmarkEnd w:id="313"/>
      <w:bookmarkStart w:id="314" w:name="_Toc184310274"/>
      <w:bookmarkEnd w:id="314"/>
      <w:bookmarkStart w:id="315" w:name="_Toc184310334"/>
      <w:bookmarkEnd w:id="315"/>
      <w:bookmarkStart w:id="316" w:name="_Toc184312082"/>
      <w:bookmarkEnd w:id="316"/>
      <w:bookmarkStart w:id="317" w:name="_Toc184308074"/>
      <w:bookmarkEnd w:id="317"/>
      <w:bookmarkStart w:id="318" w:name="_Toc184313285"/>
      <w:bookmarkEnd w:id="318"/>
      <w:bookmarkStart w:id="319" w:name="_Toc184313249"/>
      <w:bookmarkEnd w:id="319"/>
      <w:bookmarkStart w:id="320" w:name="_Toc184314423"/>
      <w:bookmarkEnd w:id="320"/>
      <w:bookmarkStart w:id="321" w:name="_Toc184313239"/>
      <w:bookmarkEnd w:id="321"/>
      <w:bookmarkStart w:id="322" w:name="_Toc184308103"/>
      <w:bookmarkEnd w:id="322"/>
      <w:bookmarkStart w:id="323" w:name="_Toc184310301"/>
      <w:bookmarkEnd w:id="323"/>
      <w:bookmarkStart w:id="324" w:name="_Toc184310288"/>
      <w:bookmarkEnd w:id="324"/>
      <w:bookmarkStart w:id="325" w:name="_Toc184308054"/>
      <w:bookmarkEnd w:id="325"/>
      <w:bookmarkStart w:id="326" w:name="_Toc184312087"/>
      <w:bookmarkEnd w:id="326"/>
      <w:bookmarkStart w:id="327" w:name="_Toc184314436"/>
      <w:bookmarkEnd w:id="327"/>
      <w:bookmarkStart w:id="328" w:name="_Toc184314410"/>
      <w:bookmarkEnd w:id="328"/>
      <w:bookmarkStart w:id="329" w:name="_Toc184312124"/>
      <w:bookmarkEnd w:id="329"/>
      <w:bookmarkStart w:id="330" w:name="_Toc184313273"/>
      <w:bookmarkEnd w:id="330"/>
      <w:bookmarkStart w:id="331" w:name="_Toc184308075"/>
      <w:bookmarkEnd w:id="331"/>
      <w:bookmarkStart w:id="332" w:name="_Toc184314468"/>
      <w:bookmarkEnd w:id="332"/>
      <w:bookmarkStart w:id="333" w:name="_Toc184313307"/>
      <w:bookmarkEnd w:id="333"/>
      <w:bookmarkStart w:id="334" w:name="_Toc184308099"/>
      <w:bookmarkEnd w:id="334"/>
      <w:bookmarkStart w:id="335" w:name="_Toc184313240"/>
      <w:bookmarkEnd w:id="335"/>
      <w:bookmarkStart w:id="336" w:name="_Toc184310338"/>
      <w:bookmarkEnd w:id="336"/>
      <w:bookmarkStart w:id="337" w:name="_Toc184308073"/>
      <w:bookmarkEnd w:id="337"/>
      <w:bookmarkStart w:id="338" w:name="_Toc184313258"/>
      <w:bookmarkEnd w:id="338"/>
      <w:bookmarkStart w:id="339" w:name="_Toc184308089"/>
      <w:bookmarkEnd w:id="339"/>
      <w:bookmarkStart w:id="340" w:name="_Toc184313305"/>
      <w:bookmarkEnd w:id="340"/>
      <w:bookmarkStart w:id="341" w:name="_Toc184310276"/>
      <w:bookmarkEnd w:id="341"/>
      <w:bookmarkStart w:id="342" w:name="_Toc184308043"/>
      <w:bookmarkEnd w:id="342"/>
      <w:bookmarkStart w:id="343" w:name="_Toc184308072"/>
      <w:bookmarkEnd w:id="343"/>
      <w:bookmarkStart w:id="344" w:name="_Toc184314416"/>
      <w:bookmarkEnd w:id="344"/>
      <w:bookmarkStart w:id="345" w:name="_Toc184314454"/>
      <w:bookmarkEnd w:id="345"/>
      <w:bookmarkStart w:id="346" w:name="_Toc184308081"/>
      <w:bookmarkEnd w:id="346"/>
      <w:bookmarkStart w:id="347" w:name="_Toc184312086"/>
      <w:bookmarkEnd w:id="347"/>
      <w:bookmarkStart w:id="348" w:name="_Toc184313299"/>
      <w:bookmarkEnd w:id="348"/>
      <w:bookmarkStart w:id="349" w:name="_Toc184314414"/>
      <w:bookmarkEnd w:id="349"/>
      <w:bookmarkStart w:id="350" w:name="_Toc184312101"/>
      <w:bookmarkEnd w:id="350"/>
      <w:bookmarkStart w:id="351" w:name="_Toc184310309"/>
      <w:bookmarkEnd w:id="351"/>
      <w:bookmarkStart w:id="352" w:name="_Toc184314413"/>
      <w:bookmarkEnd w:id="352"/>
      <w:bookmarkStart w:id="353" w:name="_Toc184313295"/>
      <w:bookmarkEnd w:id="353"/>
      <w:bookmarkStart w:id="354" w:name="_Toc184310305"/>
      <w:bookmarkEnd w:id="354"/>
      <w:bookmarkStart w:id="355" w:name="_Toc184314435"/>
      <w:bookmarkEnd w:id="355"/>
      <w:bookmarkStart w:id="356" w:name="_Toc184310324"/>
      <w:bookmarkEnd w:id="356"/>
      <w:bookmarkStart w:id="357" w:name="_Toc184308041"/>
      <w:bookmarkEnd w:id="357"/>
      <w:bookmarkStart w:id="358" w:name="_Toc184308088"/>
      <w:bookmarkEnd w:id="358"/>
      <w:bookmarkStart w:id="359" w:name="_Toc184308058"/>
      <w:bookmarkEnd w:id="359"/>
      <w:bookmarkStart w:id="360" w:name="_Toc184314433"/>
      <w:bookmarkEnd w:id="360"/>
      <w:bookmarkStart w:id="361" w:name="_Toc184314442"/>
      <w:bookmarkEnd w:id="361"/>
      <w:bookmarkStart w:id="362" w:name="_Toc184312106"/>
      <w:bookmarkEnd w:id="362"/>
      <w:bookmarkStart w:id="363" w:name="_Toc184310291"/>
      <w:bookmarkEnd w:id="363"/>
      <w:bookmarkStart w:id="364" w:name="_Toc184312112"/>
      <w:bookmarkEnd w:id="364"/>
      <w:bookmarkStart w:id="365" w:name="_Toc184310285"/>
      <w:bookmarkEnd w:id="365"/>
      <w:bookmarkStart w:id="366" w:name="_Toc184313287"/>
      <w:bookmarkEnd w:id="366"/>
      <w:bookmarkStart w:id="367" w:name="_Toc184313255"/>
      <w:bookmarkEnd w:id="367"/>
      <w:bookmarkStart w:id="368" w:name="_Toc184313281"/>
      <w:bookmarkEnd w:id="368"/>
      <w:bookmarkStart w:id="369" w:name="_Toc184308069"/>
      <w:bookmarkEnd w:id="369"/>
      <w:bookmarkStart w:id="370" w:name="_Toc184313244"/>
      <w:bookmarkEnd w:id="370"/>
      <w:bookmarkStart w:id="371" w:name="_Toc184313242"/>
      <w:bookmarkEnd w:id="371"/>
      <w:bookmarkStart w:id="372" w:name="_Toc184314472"/>
      <w:bookmarkEnd w:id="372"/>
      <w:bookmarkStart w:id="373" w:name="_Toc184314456"/>
      <w:bookmarkEnd w:id="373"/>
      <w:bookmarkStart w:id="374" w:name="_Toc184312128"/>
      <w:bookmarkEnd w:id="374"/>
      <w:bookmarkStart w:id="375" w:name="_Toc184314462"/>
      <w:bookmarkEnd w:id="375"/>
      <w:bookmarkStart w:id="376" w:name="_Toc184310273"/>
      <w:bookmarkEnd w:id="376"/>
      <w:bookmarkStart w:id="377" w:name="_Toc184313300"/>
      <w:bookmarkEnd w:id="377"/>
      <w:bookmarkStart w:id="378" w:name="_Toc184310307"/>
      <w:bookmarkEnd w:id="378"/>
      <w:bookmarkStart w:id="379" w:name="_Toc184314457"/>
      <w:bookmarkEnd w:id="379"/>
      <w:bookmarkStart w:id="380" w:name="_Toc184313251"/>
      <w:bookmarkEnd w:id="380"/>
      <w:bookmarkStart w:id="381" w:name="_Toc184314464"/>
      <w:bookmarkEnd w:id="381"/>
      <w:bookmarkStart w:id="382" w:name="_Toc184313303"/>
      <w:bookmarkEnd w:id="382"/>
      <w:bookmarkStart w:id="383" w:name="_Toc184308107"/>
      <w:bookmarkEnd w:id="383"/>
      <w:bookmarkStart w:id="384" w:name="_Toc184312088"/>
      <w:bookmarkEnd w:id="384"/>
      <w:bookmarkStart w:id="385" w:name="_Toc184312130"/>
      <w:bookmarkEnd w:id="385"/>
      <w:bookmarkStart w:id="386" w:name="_Toc184308037"/>
      <w:bookmarkEnd w:id="386"/>
      <w:bookmarkStart w:id="387" w:name="_Toc184312071"/>
      <w:bookmarkEnd w:id="387"/>
      <w:bookmarkStart w:id="388" w:name="_Toc184314465"/>
      <w:bookmarkEnd w:id="388"/>
      <w:bookmarkStart w:id="389" w:name="_Toc184312100"/>
      <w:bookmarkEnd w:id="389"/>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65"/>
        <w:tblW w:w="1015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7"/>
        <w:gridCol w:w="7364"/>
        <w:gridCol w:w="780"/>
      </w:tblGrid>
      <w:tr w14:paraId="6C39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51C861D7">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序号</w:t>
            </w:r>
          </w:p>
        </w:tc>
        <w:tc>
          <w:tcPr>
            <w:tcW w:w="1307" w:type="dxa"/>
            <w:noWrap w:val="0"/>
            <w:vAlign w:val="center"/>
          </w:tcPr>
          <w:p w14:paraId="35E14096">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评审项目</w:t>
            </w:r>
          </w:p>
        </w:tc>
        <w:tc>
          <w:tcPr>
            <w:tcW w:w="7364" w:type="dxa"/>
            <w:noWrap w:val="0"/>
            <w:vAlign w:val="center"/>
          </w:tcPr>
          <w:p w14:paraId="000E661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780" w:type="dxa"/>
            <w:noWrap w:val="0"/>
            <w:vAlign w:val="center"/>
          </w:tcPr>
          <w:p w14:paraId="482AF48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r>
      <w:tr w14:paraId="31E3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75C40163">
            <w:pPr>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w:t>
            </w:r>
          </w:p>
        </w:tc>
        <w:tc>
          <w:tcPr>
            <w:tcW w:w="1307" w:type="dxa"/>
            <w:noWrap w:val="0"/>
            <w:vAlign w:val="center"/>
          </w:tcPr>
          <w:p w14:paraId="6C0A7BF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投标人资信</w:t>
            </w:r>
          </w:p>
        </w:tc>
        <w:tc>
          <w:tcPr>
            <w:tcW w:w="7364" w:type="dxa"/>
            <w:noWrap w:val="0"/>
            <w:vAlign w:val="center"/>
          </w:tcPr>
          <w:p w14:paraId="0DC49543">
            <w:pPr>
              <w:keepNext w:val="0"/>
              <w:keepLines w:val="0"/>
              <w:widowControl/>
              <w:suppressLineNumbers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投标人具有水利工程质量检测单位资质（必须同时具备岩土工程类、混凝土工程类2个类别乙级及以上资质）的得3分，每增加1个专业加1分，本项最高得5分。</w:t>
            </w:r>
            <w:r>
              <w:rPr>
                <w:rFonts w:hint="eastAsia" w:ascii="仿宋" w:hAnsi="仿宋" w:eastAsia="仿宋" w:cs="仿宋"/>
                <w:b/>
                <w:bCs/>
                <w:color w:val="auto"/>
                <w:sz w:val="24"/>
                <w:szCs w:val="24"/>
                <w:highlight w:val="none"/>
                <w:lang w:val="en-US" w:eastAsia="zh-CN"/>
              </w:rPr>
              <w:t>（提供有效相关证书复印件并加盖投标人CA签章，不提供不得分。）</w:t>
            </w:r>
          </w:p>
        </w:tc>
        <w:tc>
          <w:tcPr>
            <w:tcW w:w="780" w:type="dxa"/>
            <w:noWrap w:val="0"/>
            <w:vAlign w:val="center"/>
          </w:tcPr>
          <w:p w14:paraId="28FAFB6B">
            <w:pPr>
              <w:adjustRightInd w:val="0"/>
              <w:snapToGrid w:val="0"/>
              <w:spacing w:line="360" w:lineRule="auto"/>
              <w:jc w:val="center"/>
              <w:textAlignment w:val="baseline"/>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5分</w:t>
            </w:r>
          </w:p>
        </w:tc>
      </w:tr>
      <w:tr w14:paraId="513C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4C76B32C">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w:t>
            </w:r>
          </w:p>
        </w:tc>
        <w:tc>
          <w:tcPr>
            <w:tcW w:w="1307" w:type="dxa"/>
            <w:noWrap w:val="0"/>
            <w:vAlign w:val="center"/>
          </w:tcPr>
          <w:p w14:paraId="33D7C840">
            <w:pPr>
              <w:spacing w:line="36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企业业绩</w:t>
            </w:r>
          </w:p>
        </w:tc>
        <w:tc>
          <w:tcPr>
            <w:tcW w:w="7364" w:type="dxa"/>
            <w:noWrap w:val="0"/>
            <w:vAlign w:val="center"/>
          </w:tcPr>
          <w:p w14:paraId="5A4293FF">
            <w:pPr>
              <w:keepNext w:val="0"/>
              <w:keepLines w:val="0"/>
              <w:widowControl/>
              <w:suppressLineNumbers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投标人近三年以来（2022年1月1日起至今，以签订合同之日为准）承担过类似检测业绩的 ，1个得2分，最高得2分。</w:t>
            </w:r>
            <w:r>
              <w:rPr>
                <w:rFonts w:hint="eastAsia" w:ascii="仿宋" w:hAnsi="仿宋" w:eastAsia="仿宋" w:cs="仿宋"/>
                <w:b/>
                <w:bCs/>
                <w:color w:val="auto"/>
                <w:sz w:val="24"/>
                <w:szCs w:val="24"/>
                <w:highlight w:val="none"/>
                <w:lang w:val="en-US" w:eastAsia="zh-CN"/>
              </w:rPr>
              <w:t>（提供合同复印件并加盖投标人CA签章，不提供不得分。）</w:t>
            </w:r>
          </w:p>
        </w:tc>
        <w:tc>
          <w:tcPr>
            <w:tcW w:w="780" w:type="dxa"/>
            <w:noWrap w:val="0"/>
            <w:vAlign w:val="center"/>
          </w:tcPr>
          <w:p w14:paraId="37672820">
            <w:pPr>
              <w:adjustRightInd w:val="0"/>
              <w:snapToGrid w:val="0"/>
              <w:spacing w:line="360" w:lineRule="auto"/>
              <w:jc w:val="center"/>
              <w:textAlignment w:val="baseline"/>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2</w:t>
            </w:r>
            <w:r>
              <w:rPr>
                <w:rFonts w:hint="eastAsia" w:ascii="仿宋" w:hAnsi="仿宋" w:eastAsia="仿宋" w:cs="仿宋"/>
                <w:b/>
                <w:bCs w:val="0"/>
                <w:sz w:val="24"/>
                <w:szCs w:val="24"/>
                <w:highlight w:val="none"/>
              </w:rPr>
              <w:t>分</w:t>
            </w:r>
          </w:p>
        </w:tc>
      </w:tr>
      <w:tr w14:paraId="2F21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12EC6B99">
            <w:pPr>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307" w:type="dxa"/>
            <w:noWrap w:val="0"/>
            <w:vAlign w:val="center"/>
          </w:tcPr>
          <w:p w14:paraId="7215B94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w:t>
            </w:r>
            <w:r>
              <w:rPr>
                <w:rFonts w:hint="eastAsia" w:ascii="仿宋" w:hAnsi="仿宋" w:eastAsia="仿宋" w:cs="仿宋"/>
                <w:b/>
                <w:bCs/>
                <w:sz w:val="24"/>
                <w:szCs w:val="24"/>
                <w:highlight w:val="none"/>
                <w:lang w:val="en-US" w:eastAsia="zh-CN"/>
              </w:rPr>
              <w:t>人员配置</w:t>
            </w:r>
          </w:p>
        </w:tc>
        <w:tc>
          <w:tcPr>
            <w:tcW w:w="7364" w:type="dxa"/>
            <w:noWrap w:val="0"/>
            <w:vAlign w:val="center"/>
          </w:tcPr>
          <w:p w14:paraId="664C6F42">
            <w:pPr>
              <w:pStyle w:val="821"/>
              <w:keepNext w:val="0"/>
              <w:keepLines w:val="0"/>
              <w:pageBreakBefore w:val="0"/>
              <w:widowControl w:val="0"/>
              <w:numPr>
                <w:ilvl w:val="0"/>
                <w:numId w:val="4"/>
              </w:numPr>
              <w:kinsoku/>
              <w:wordWrap/>
              <w:overflowPunct/>
              <w:topLinePunct w:val="0"/>
              <w:autoSpaceDE/>
              <w:autoSpaceDN/>
              <w:bidi w:val="0"/>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项目负责人同时具有水利工程质量检测员资格证书（不限专业）</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水利相关专业中级</w:t>
            </w:r>
            <w:r>
              <w:rPr>
                <w:rFonts w:hint="eastAsia" w:ascii="仿宋" w:hAnsi="仿宋" w:eastAsia="仿宋" w:cs="仿宋"/>
                <w:color w:val="000000"/>
                <w:sz w:val="24"/>
                <w:szCs w:val="24"/>
                <w:highlight w:val="none"/>
                <w:lang w:val="en-US" w:eastAsia="zh-CN"/>
              </w:rPr>
              <w:t>及以上</w:t>
            </w:r>
            <w:r>
              <w:rPr>
                <w:rFonts w:hint="eastAsia" w:ascii="仿宋" w:hAnsi="仿宋" w:eastAsia="仿宋" w:cs="仿宋"/>
                <w:color w:val="000000"/>
                <w:sz w:val="24"/>
                <w:szCs w:val="24"/>
                <w:highlight w:val="none"/>
              </w:rPr>
              <w:t>工程师职称的得3分；如水利工程质量检测员资格证书中同时具有混凝土工程、岩土工程2个专业类别的再加</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p w14:paraId="2F1233DD">
            <w:pPr>
              <w:pStyle w:val="821"/>
              <w:keepNext w:val="0"/>
              <w:keepLines w:val="0"/>
              <w:pageBreakBefore w:val="0"/>
              <w:widowControl w:val="0"/>
              <w:numPr>
                <w:ilvl w:val="0"/>
                <w:numId w:val="4"/>
              </w:numPr>
              <w:kinsoku/>
              <w:wordWrap/>
              <w:overflowPunct/>
              <w:topLinePunct w:val="0"/>
              <w:autoSpaceDE/>
              <w:autoSpaceDN/>
              <w:bidi w:val="0"/>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项目技术负责人</w:t>
            </w:r>
            <w:r>
              <w:rPr>
                <w:rFonts w:hint="eastAsia" w:ascii="仿宋" w:hAnsi="仿宋" w:eastAsia="仿宋" w:cs="仿宋"/>
                <w:color w:val="000000"/>
                <w:sz w:val="24"/>
                <w:szCs w:val="24"/>
                <w:highlight w:val="none"/>
              </w:rPr>
              <w:t>同时具有水利工程质量检测员资格证书（不限专业）</w:t>
            </w:r>
            <w:r>
              <w:rPr>
                <w:rFonts w:hint="eastAsia" w:ascii="仿宋" w:hAnsi="仿宋" w:eastAsia="仿宋" w:cs="仿宋"/>
                <w:color w:val="000000"/>
                <w:sz w:val="24"/>
                <w:szCs w:val="24"/>
                <w:highlight w:val="none"/>
                <w:lang w:val="en-US" w:eastAsia="zh-CN"/>
              </w:rPr>
              <w:t>和中</w:t>
            </w:r>
            <w:r>
              <w:rPr>
                <w:rFonts w:hint="eastAsia" w:ascii="仿宋" w:hAnsi="仿宋" w:eastAsia="仿宋" w:cs="仿宋"/>
                <w:color w:val="000000"/>
                <w:sz w:val="24"/>
                <w:szCs w:val="24"/>
                <w:highlight w:val="none"/>
              </w:rPr>
              <w:t>级</w:t>
            </w:r>
            <w:r>
              <w:rPr>
                <w:rFonts w:hint="eastAsia" w:ascii="仿宋" w:hAnsi="仿宋" w:eastAsia="仿宋" w:cs="仿宋"/>
                <w:color w:val="000000"/>
                <w:sz w:val="24"/>
                <w:szCs w:val="24"/>
                <w:highlight w:val="none"/>
                <w:lang w:val="en-US" w:eastAsia="zh-CN"/>
              </w:rPr>
              <w:t>及以上</w:t>
            </w:r>
            <w:r>
              <w:rPr>
                <w:rFonts w:hint="eastAsia" w:ascii="仿宋" w:hAnsi="仿宋" w:eastAsia="仿宋" w:cs="仿宋"/>
                <w:color w:val="000000"/>
                <w:sz w:val="24"/>
                <w:szCs w:val="24"/>
                <w:highlight w:val="none"/>
              </w:rPr>
              <w:t>工程师</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职称（</w:t>
            </w:r>
            <w:r>
              <w:rPr>
                <w:rFonts w:hint="eastAsia" w:ascii="仿宋" w:hAnsi="仿宋" w:eastAsia="仿宋" w:cs="仿宋"/>
                <w:color w:val="000000"/>
                <w:sz w:val="24"/>
                <w:szCs w:val="24"/>
                <w:highlight w:val="none"/>
                <w:lang w:val="en-US" w:eastAsia="zh-CN"/>
              </w:rPr>
              <w:t>专业名称：</w:t>
            </w:r>
            <w:r>
              <w:rPr>
                <w:rFonts w:hint="eastAsia" w:ascii="仿宋" w:hAnsi="仿宋" w:eastAsia="仿宋" w:cs="仿宋"/>
                <w:color w:val="000000"/>
                <w:sz w:val="24"/>
                <w:szCs w:val="24"/>
                <w:highlight w:val="none"/>
                <w:lang w:eastAsia="zh-CN"/>
              </w:rPr>
              <w:t>工程检测与试验类</w:t>
            </w:r>
            <w:r>
              <w:rPr>
                <w:rFonts w:hint="eastAsia" w:ascii="仿宋" w:hAnsi="仿宋" w:eastAsia="仿宋" w:cs="仿宋"/>
                <w:color w:val="000000"/>
                <w:sz w:val="24"/>
                <w:szCs w:val="24"/>
                <w:highlight w:val="none"/>
              </w:rPr>
              <w:t>）的得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最高得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p>
          <w:p w14:paraId="7387BFEC">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firstLine="0" w:firstLineChars="0"/>
              <w:jc w:val="left"/>
              <w:textAlignment w:val="baseline"/>
              <w:rPr>
                <w:rFonts w:hint="eastAsia" w:ascii="仿宋" w:hAnsi="仿宋" w:eastAsia="仿宋" w:cs="仿宋"/>
                <w:bCs/>
                <w:sz w:val="24"/>
                <w:szCs w:val="24"/>
                <w:highlight w:val="none"/>
              </w:rPr>
            </w:pPr>
            <w:r>
              <w:rPr>
                <w:rFonts w:hint="eastAsia" w:ascii="仿宋" w:hAnsi="仿宋" w:eastAsia="仿宋" w:cs="仿宋"/>
                <w:color w:val="000000"/>
                <w:sz w:val="24"/>
                <w:szCs w:val="24"/>
                <w:highlight w:val="none"/>
              </w:rPr>
              <w:t>项目组成员中（不含项目负责人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技术负责人</w:t>
            </w:r>
            <w:r>
              <w:rPr>
                <w:rFonts w:hint="eastAsia" w:ascii="仿宋" w:hAnsi="仿宋" w:eastAsia="仿宋" w:cs="仿宋"/>
                <w:color w:val="000000"/>
                <w:sz w:val="24"/>
                <w:szCs w:val="24"/>
                <w:highlight w:val="none"/>
              </w:rPr>
              <w:t>），具有水利相关专业中级及以上工程师职称的每有一人得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p>
          <w:p w14:paraId="172BD383">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eastAsia" w:ascii="仿宋" w:hAnsi="仿宋" w:eastAsia="仿宋" w:cs="仿宋"/>
                <w:bCs/>
                <w:sz w:val="24"/>
                <w:szCs w:val="24"/>
                <w:highlight w:val="none"/>
              </w:rPr>
            </w:pPr>
            <w:r>
              <w:rPr>
                <w:rFonts w:hint="eastAsia" w:ascii="仿宋" w:hAnsi="仿宋" w:eastAsia="仿宋" w:cs="仿宋"/>
                <w:b/>
                <w:bCs/>
                <w:color w:val="000000"/>
                <w:sz w:val="24"/>
                <w:szCs w:val="24"/>
                <w:highlight w:val="none"/>
              </w:rPr>
              <w:t>须提供以下证明资料：质量检测员从业人员复印件须能反映质量检测员资格（岗位）证书编号、有效期、从业单位（从业单位须同投标人一致）、水利工程质量检测员资格证书、职称证（无法体现水利相关专业的可附加提供毕业证书）以及投标人为其缴纳的近</w:t>
            </w: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个月</w:t>
            </w:r>
            <w:r>
              <w:rPr>
                <w:rFonts w:hint="eastAsia" w:ascii="仿宋" w:hAnsi="仿宋" w:eastAsia="仿宋" w:cs="仿宋"/>
                <w:b/>
                <w:bCs/>
                <w:w w:val="90"/>
                <w:sz w:val="24"/>
                <w:highlight w:val="none"/>
                <w:lang w:val="en-US" w:eastAsia="zh-CN"/>
              </w:rPr>
              <w:t>任意一个月</w:t>
            </w:r>
            <w:r>
              <w:rPr>
                <w:rFonts w:hint="eastAsia" w:ascii="仿宋" w:hAnsi="仿宋" w:eastAsia="仿宋" w:cs="仿宋"/>
                <w:b/>
                <w:bCs/>
                <w:color w:val="000000"/>
                <w:sz w:val="24"/>
                <w:szCs w:val="24"/>
                <w:highlight w:val="none"/>
              </w:rPr>
              <w:t>社保证明并加盖投标人</w:t>
            </w:r>
            <w:r>
              <w:rPr>
                <w:rFonts w:hint="eastAsia" w:ascii="仿宋" w:hAnsi="仿宋" w:eastAsia="仿宋" w:cs="仿宋"/>
                <w:b/>
                <w:bCs w:val="0"/>
                <w:sz w:val="24"/>
                <w:szCs w:val="24"/>
                <w:highlight w:val="none"/>
                <w:lang w:val="en-US" w:eastAsia="zh-CN"/>
              </w:rPr>
              <w:t>CA签章</w:t>
            </w:r>
            <w:r>
              <w:rPr>
                <w:rFonts w:hint="eastAsia" w:ascii="仿宋" w:hAnsi="仿宋" w:eastAsia="仿宋" w:cs="仿宋"/>
                <w:b/>
                <w:bCs/>
                <w:color w:val="000000"/>
                <w:sz w:val="24"/>
                <w:szCs w:val="24"/>
                <w:highlight w:val="none"/>
              </w:rPr>
              <w:t>，不提供或提供不全不得分。</w:t>
            </w:r>
          </w:p>
        </w:tc>
        <w:tc>
          <w:tcPr>
            <w:tcW w:w="780" w:type="dxa"/>
            <w:noWrap w:val="0"/>
            <w:vAlign w:val="center"/>
          </w:tcPr>
          <w:p w14:paraId="573B4A90">
            <w:pPr>
              <w:adjustRightInd w:val="0"/>
              <w:snapToGrid w:val="0"/>
              <w:spacing w:line="360" w:lineRule="auto"/>
              <w:jc w:val="center"/>
              <w:textAlignment w:val="baseline"/>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16分</w:t>
            </w:r>
          </w:p>
        </w:tc>
      </w:tr>
      <w:tr w14:paraId="5959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noWrap w:val="0"/>
            <w:vAlign w:val="center"/>
          </w:tcPr>
          <w:p w14:paraId="6D687658">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07" w:type="dxa"/>
            <w:vMerge w:val="restart"/>
            <w:noWrap w:val="0"/>
            <w:vAlign w:val="center"/>
          </w:tcPr>
          <w:p w14:paraId="4AEAD371">
            <w:pPr>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技术方案</w:t>
            </w:r>
          </w:p>
        </w:tc>
        <w:tc>
          <w:tcPr>
            <w:tcW w:w="7364" w:type="dxa"/>
            <w:noWrap w:val="0"/>
            <w:vAlign w:val="center"/>
          </w:tcPr>
          <w:p w14:paraId="3D8CC9EA">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根据投标人针对本项目拟定的具体的工作流程是否科学合理、切实可行等</w:t>
            </w:r>
            <w:r>
              <w:rPr>
                <w:rFonts w:hint="eastAsia" w:ascii="仿宋" w:hAnsi="仿宋" w:eastAsia="仿宋" w:cs="仿宋"/>
                <w:sz w:val="24"/>
                <w:szCs w:val="24"/>
                <w:highlight w:val="none"/>
                <w:lang w:val="en-US" w:eastAsia="zh-CN"/>
              </w:rPr>
              <w:t>由评审进行综合打分。（评分范围：5、4、3、2、1、0）</w:t>
            </w:r>
          </w:p>
        </w:tc>
        <w:tc>
          <w:tcPr>
            <w:tcW w:w="780" w:type="dxa"/>
            <w:noWrap w:val="0"/>
            <w:vAlign w:val="center"/>
          </w:tcPr>
          <w:p w14:paraId="1BEB8A3A">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5分</w:t>
            </w:r>
          </w:p>
        </w:tc>
      </w:tr>
      <w:tr w14:paraId="464B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5A0FD74E">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683EE798">
            <w:pPr>
              <w:spacing w:line="360" w:lineRule="auto"/>
              <w:jc w:val="center"/>
              <w:rPr>
                <w:rFonts w:hint="eastAsia" w:ascii="仿宋" w:hAnsi="仿宋" w:eastAsia="仿宋" w:cs="仿宋"/>
                <w:b/>
                <w:bCs/>
                <w:sz w:val="24"/>
                <w:szCs w:val="24"/>
                <w:highlight w:val="none"/>
              </w:rPr>
            </w:pPr>
          </w:p>
        </w:tc>
        <w:tc>
          <w:tcPr>
            <w:tcW w:w="7364" w:type="dxa"/>
            <w:noWrap w:val="0"/>
            <w:vAlign w:val="center"/>
          </w:tcPr>
          <w:p w14:paraId="4A27B7F8">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根据投标人针对本项目拟定的检查（检测）方法是否科学合理、</w:t>
            </w:r>
            <w:r>
              <w:rPr>
                <w:rFonts w:hint="eastAsia" w:ascii="仿宋" w:hAnsi="仿宋" w:eastAsia="仿宋" w:cs="仿宋"/>
                <w:color w:val="auto"/>
                <w:sz w:val="24"/>
                <w:szCs w:val="24"/>
                <w:highlight w:val="none"/>
                <w:lang w:val="en-US" w:eastAsia="zh-CN"/>
              </w:rPr>
              <w:t>先进且</w:t>
            </w:r>
            <w:r>
              <w:rPr>
                <w:rFonts w:hint="eastAsia" w:ascii="仿宋" w:hAnsi="仿宋" w:eastAsia="仿宋" w:cs="仿宋"/>
                <w:color w:val="auto"/>
                <w:sz w:val="24"/>
                <w:szCs w:val="24"/>
                <w:highlight w:val="none"/>
              </w:rPr>
              <w:t>切实可行等</w:t>
            </w:r>
            <w:r>
              <w:rPr>
                <w:rFonts w:hint="eastAsia" w:ascii="仿宋" w:hAnsi="仿宋" w:eastAsia="仿宋" w:cs="仿宋"/>
                <w:sz w:val="24"/>
                <w:szCs w:val="24"/>
                <w:highlight w:val="none"/>
                <w:lang w:val="en-US" w:eastAsia="zh-CN"/>
              </w:rPr>
              <w:t>由评审进行综合打分。（评分范围：5、4、3、2、1、0）</w:t>
            </w:r>
          </w:p>
        </w:tc>
        <w:tc>
          <w:tcPr>
            <w:tcW w:w="780" w:type="dxa"/>
            <w:noWrap w:val="0"/>
            <w:vAlign w:val="center"/>
          </w:tcPr>
          <w:p w14:paraId="38263048">
            <w:pPr>
              <w:spacing w:line="24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color w:val="auto"/>
                <w:sz w:val="24"/>
                <w:szCs w:val="24"/>
                <w:highlight w:val="none"/>
                <w:vertAlign w:val="baseline"/>
                <w:lang w:val="en-US" w:eastAsia="zh-CN"/>
              </w:rPr>
              <w:t>5分</w:t>
            </w:r>
          </w:p>
        </w:tc>
      </w:tr>
      <w:tr w14:paraId="2B1E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5618AAC8">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5629AAF3">
            <w:pPr>
              <w:spacing w:line="360" w:lineRule="auto"/>
              <w:jc w:val="center"/>
              <w:rPr>
                <w:rFonts w:hint="eastAsia" w:ascii="仿宋" w:hAnsi="仿宋" w:eastAsia="仿宋" w:cs="仿宋"/>
                <w:b/>
                <w:bCs/>
                <w:sz w:val="24"/>
                <w:szCs w:val="24"/>
                <w:highlight w:val="none"/>
              </w:rPr>
            </w:pPr>
          </w:p>
        </w:tc>
        <w:tc>
          <w:tcPr>
            <w:tcW w:w="7364" w:type="dxa"/>
            <w:noWrap w:val="0"/>
            <w:vAlign w:val="center"/>
          </w:tcPr>
          <w:p w14:paraId="0EE50DB1">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根</w:t>
            </w:r>
            <w:r>
              <w:rPr>
                <w:rFonts w:hint="eastAsia" w:ascii="仿宋" w:hAnsi="仿宋" w:eastAsia="仿宋" w:cs="仿宋"/>
                <w:color w:val="auto"/>
                <w:sz w:val="24"/>
                <w:szCs w:val="24"/>
                <w:highlight w:val="none"/>
              </w:rPr>
              <w:t>据投标人针对本项目制定的</w:t>
            </w:r>
            <w:r>
              <w:rPr>
                <w:rFonts w:hint="eastAsia" w:ascii="仿宋" w:hAnsi="仿宋" w:eastAsia="仿宋" w:cs="仿宋"/>
                <w:color w:val="auto"/>
                <w:sz w:val="24"/>
                <w:szCs w:val="24"/>
                <w:highlight w:val="none"/>
                <w:lang w:val="en-US" w:eastAsia="zh-CN"/>
              </w:rPr>
              <w:t>工作及时性承诺及</w:t>
            </w:r>
            <w:r>
              <w:rPr>
                <w:rFonts w:hint="eastAsia" w:ascii="仿宋" w:hAnsi="仿宋" w:eastAsia="仿宋" w:cs="仿宋"/>
                <w:color w:val="auto"/>
                <w:sz w:val="24"/>
                <w:szCs w:val="24"/>
                <w:highlight w:val="none"/>
              </w:rPr>
              <w:t>保障措施是否科学合理、切实可行等</w:t>
            </w:r>
            <w:r>
              <w:rPr>
                <w:rFonts w:hint="eastAsia" w:ascii="仿宋" w:hAnsi="仿宋" w:eastAsia="仿宋" w:cs="仿宋"/>
                <w:sz w:val="24"/>
                <w:szCs w:val="24"/>
                <w:highlight w:val="none"/>
                <w:lang w:val="en-US" w:eastAsia="zh-CN"/>
              </w:rPr>
              <w:t>由评审进行综合打分。（评分范围：5、4、3、2、1、0）</w:t>
            </w:r>
          </w:p>
        </w:tc>
        <w:tc>
          <w:tcPr>
            <w:tcW w:w="780" w:type="dxa"/>
            <w:noWrap w:val="0"/>
            <w:vAlign w:val="center"/>
          </w:tcPr>
          <w:p w14:paraId="1EE19061">
            <w:pPr>
              <w:spacing w:line="24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color w:val="auto"/>
                <w:sz w:val="24"/>
                <w:szCs w:val="24"/>
                <w:highlight w:val="none"/>
                <w:vertAlign w:val="baseline"/>
                <w:lang w:val="en-US" w:eastAsia="zh-CN"/>
              </w:rPr>
              <w:t>5分</w:t>
            </w:r>
          </w:p>
        </w:tc>
      </w:tr>
      <w:tr w14:paraId="4E5F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2EFC186B">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52E04F4F">
            <w:pPr>
              <w:spacing w:line="360" w:lineRule="auto"/>
              <w:jc w:val="center"/>
              <w:rPr>
                <w:rFonts w:hint="eastAsia" w:ascii="仿宋" w:hAnsi="仿宋" w:eastAsia="仿宋" w:cs="仿宋"/>
                <w:b/>
                <w:bCs/>
                <w:sz w:val="24"/>
                <w:szCs w:val="24"/>
                <w:highlight w:val="none"/>
              </w:rPr>
            </w:pPr>
          </w:p>
        </w:tc>
        <w:tc>
          <w:tcPr>
            <w:tcW w:w="7364" w:type="dxa"/>
            <w:noWrap w:val="0"/>
            <w:vAlign w:val="center"/>
          </w:tcPr>
          <w:p w14:paraId="68458A17">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根</w:t>
            </w:r>
            <w:r>
              <w:rPr>
                <w:rFonts w:hint="eastAsia" w:ascii="仿宋" w:hAnsi="仿宋" w:eastAsia="仿宋" w:cs="仿宋"/>
                <w:color w:val="auto"/>
                <w:sz w:val="24"/>
                <w:szCs w:val="24"/>
                <w:highlight w:val="none"/>
              </w:rPr>
              <w:t>据投标人针对本项目制定的成果文件质量保障措施、不合格报告上报制度等是否科学合理、切实可行等</w:t>
            </w:r>
            <w:r>
              <w:rPr>
                <w:rFonts w:hint="eastAsia" w:ascii="仿宋" w:hAnsi="仿宋" w:eastAsia="仿宋" w:cs="仿宋"/>
                <w:sz w:val="24"/>
                <w:szCs w:val="24"/>
                <w:highlight w:val="none"/>
                <w:lang w:val="en-US" w:eastAsia="zh-CN"/>
              </w:rPr>
              <w:t>由评审进行综合打分。（评分范围：5、4、3、2、1、0）</w:t>
            </w:r>
          </w:p>
        </w:tc>
        <w:tc>
          <w:tcPr>
            <w:tcW w:w="780" w:type="dxa"/>
            <w:noWrap w:val="0"/>
            <w:vAlign w:val="center"/>
          </w:tcPr>
          <w:p w14:paraId="4C5EEA24">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5分</w:t>
            </w:r>
          </w:p>
        </w:tc>
      </w:tr>
      <w:tr w14:paraId="3CA7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4358464A">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4C949DAB">
            <w:pPr>
              <w:spacing w:line="240" w:lineRule="auto"/>
              <w:jc w:val="center"/>
              <w:rPr>
                <w:rFonts w:hint="eastAsia" w:ascii="仿宋" w:hAnsi="仿宋" w:eastAsia="仿宋" w:cs="仿宋"/>
                <w:b/>
                <w:bCs/>
                <w:sz w:val="24"/>
                <w:szCs w:val="24"/>
                <w:highlight w:val="none"/>
              </w:rPr>
            </w:pPr>
          </w:p>
        </w:tc>
        <w:tc>
          <w:tcPr>
            <w:tcW w:w="7364" w:type="dxa"/>
            <w:noWrap w:val="0"/>
            <w:vAlign w:val="center"/>
          </w:tcPr>
          <w:p w14:paraId="0FCA7FD7">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w:t>
            </w:r>
            <w:r>
              <w:rPr>
                <w:rFonts w:hint="eastAsia" w:ascii="仿宋" w:hAnsi="仿宋" w:eastAsia="仿宋" w:cs="仿宋"/>
                <w:color w:val="auto"/>
                <w:kern w:val="0"/>
                <w:sz w:val="24"/>
                <w:szCs w:val="24"/>
                <w:highlight w:val="none"/>
                <w:lang w:val="en-US" w:eastAsia="zh-CN" w:bidi="ar-SA"/>
              </w:rPr>
              <w:t>工作重点、难点分析阐述说明</w:t>
            </w:r>
            <w:r>
              <w:rPr>
                <w:rFonts w:hint="eastAsia" w:ascii="仿宋" w:hAnsi="仿宋" w:eastAsia="仿宋" w:cs="仿宋"/>
                <w:color w:val="auto"/>
                <w:sz w:val="24"/>
                <w:szCs w:val="24"/>
                <w:highlight w:val="none"/>
              </w:rPr>
              <w:t>是否全面合理、有针对性</w:t>
            </w:r>
            <w:r>
              <w:rPr>
                <w:rFonts w:hint="eastAsia" w:ascii="仿宋" w:hAnsi="仿宋" w:eastAsia="仿宋" w:cs="仿宋"/>
                <w:color w:val="auto"/>
                <w:kern w:val="0"/>
                <w:sz w:val="24"/>
                <w:szCs w:val="24"/>
                <w:highlight w:val="none"/>
                <w:lang w:val="en-US" w:eastAsia="zh-CN" w:bidi="ar-SA"/>
              </w:rPr>
              <w:t>、可操作性</w:t>
            </w:r>
            <w:r>
              <w:rPr>
                <w:rFonts w:hint="eastAsia" w:ascii="仿宋" w:hAnsi="仿宋" w:eastAsia="仿宋" w:cs="仿宋"/>
                <w:color w:val="auto"/>
                <w:sz w:val="24"/>
                <w:szCs w:val="24"/>
                <w:highlight w:val="none"/>
              </w:rPr>
              <w:t>且切实可行等</w:t>
            </w:r>
            <w:r>
              <w:rPr>
                <w:rFonts w:hint="eastAsia" w:ascii="仿宋" w:hAnsi="仿宋" w:eastAsia="仿宋" w:cs="仿宋"/>
                <w:sz w:val="24"/>
                <w:szCs w:val="24"/>
                <w:highlight w:val="none"/>
                <w:lang w:val="en-US" w:eastAsia="zh-CN"/>
              </w:rPr>
              <w:t>由评审进行综合打分。（评分范围：6、5、4、3、2、1、0）</w:t>
            </w:r>
          </w:p>
        </w:tc>
        <w:tc>
          <w:tcPr>
            <w:tcW w:w="780" w:type="dxa"/>
            <w:noWrap w:val="0"/>
            <w:vAlign w:val="center"/>
          </w:tcPr>
          <w:p w14:paraId="4F47C984">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696C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57FC6C87">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32D27508">
            <w:pPr>
              <w:spacing w:line="240" w:lineRule="auto"/>
              <w:jc w:val="center"/>
              <w:rPr>
                <w:rFonts w:hint="eastAsia" w:ascii="仿宋" w:hAnsi="仿宋" w:eastAsia="仿宋" w:cs="仿宋"/>
                <w:b/>
                <w:bCs/>
                <w:sz w:val="24"/>
                <w:szCs w:val="24"/>
                <w:highlight w:val="none"/>
              </w:rPr>
            </w:pPr>
          </w:p>
        </w:tc>
        <w:tc>
          <w:tcPr>
            <w:tcW w:w="7364" w:type="dxa"/>
            <w:noWrap w:val="0"/>
            <w:vAlign w:val="center"/>
          </w:tcPr>
          <w:p w14:paraId="1258BEBE">
            <w:pPr>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w:t>
            </w:r>
            <w:r>
              <w:rPr>
                <w:rFonts w:hint="eastAsia" w:ascii="仿宋" w:hAnsi="仿宋" w:eastAsia="仿宋" w:cs="仿宋"/>
                <w:color w:val="auto"/>
                <w:sz w:val="24"/>
                <w:highlight w:val="none"/>
                <w:lang w:eastAsia="zh-CN"/>
              </w:rPr>
              <w:t>安全保证措施</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szCs w:val="24"/>
                <w:highlight w:val="none"/>
              </w:rPr>
              <w:t>是否全面合理、切实可行</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评审进行综合打分。（评分范围：5、4、3、2、1、0）</w:t>
            </w:r>
          </w:p>
        </w:tc>
        <w:tc>
          <w:tcPr>
            <w:tcW w:w="780" w:type="dxa"/>
            <w:noWrap w:val="0"/>
            <w:vAlign w:val="center"/>
          </w:tcPr>
          <w:p w14:paraId="3A0BDE9C">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5分</w:t>
            </w:r>
          </w:p>
        </w:tc>
      </w:tr>
      <w:tr w14:paraId="0C18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22523467">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047B96FC">
            <w:pPr>
              <w:spacing w:line="240" w:lineRule="auto"/>
              <w:jc w:val="center"/>
              <w:rPr>
                <w:rFonts w:hint="eastAsia" w:ascii="仿宋" w:hAnsi="仿宋" w:eastAsia="仿宋" w:cs="仿宋"/>
                <w:b/>
                <w:bCs/>
                <w:sz w:val="24"/>
                <w:szCs w:val="24"/>
                <w:highlight w:val="none"/>
                <w:lang w:val="en-US" w:eastAsia="zh-CN"/>
              </w:rPr>
            </w:pPr>
          </w:p>
        </w:tc>
        <w:tc>
          <w:tcPr>
            <w:tcW w:w="7364" w:type="dxa"/>
            <w:noWrap w:val="0"/>
            <w:vAlign w:val="center"/>
          </w:tcPr>
          <w:p w14:paraId="75DE3410">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根据投标人针对本项目实施过程有可能出现的突发事件应急预案是否全面合理、切实可行</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评审进行综合打分。（评分范围：5、4、3、2、1、0）</w:t>
            </w:r>
          </w:p>
        </w:tc>
        <w:tc>
          <w:tcPr>
            <w:tcW w:w="780" w:type="dxa"/>
            <w:noWrap w:val="0"/>
            <w:vAlign w:val="center"/>
          </w:tcPr>
          <w:p w14:paraId="5187A40C">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5分</w:t>
            </w:r>
          </w:p>
        </w:tc>
      </w:tr>
      <w:tr w14:paraId="7FF8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675D49A6">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7AC8C6A6">
            <w:pPr>
              <w:spacing w:line="240" w:lineRule="auto"/>
              <w:jc w:val="center"/>
              <w:rPr>
                <w:rFonts w:hint="eastAsia" w:ascii="仿宋" w:hAnsi="仿宋" w:eastAsia="仿宋" w:cs="仿宋"/>
                <w:b/>
                <w:bCs/>
                <w:sz w:val="24"/>
                <w:szCs w:val="24"/>
                <w:highlight w:val="none"/>
              </w:rPr>
            </w:pPr>
          </w:p>
        </w:tc>
        <w:tc>
          <w:tcPr>
            <w:tcW w:w="7364" w:type="dxa"/>
            <w:noWrap w:val="0"/>
            <w:vAlign w:val="center"/>
          </w:tcPr>
          <w:p w14:paraId="021F26E0">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根据投标人针对本项目拟定的具体的工作流程是否科学合理、切实可行等</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评审进行综合打分。（评分范围：5、4、3、2、1、0）</w:t>
            </w:r>
          </w:p>
        </w:tc>
        <w:tc>
          <w:tcPr>
            <w:tcW w:w="780" w:type="dxa"/>
            <w:noWrap w:val="0"/>
            <w:vAlign w:val="center"/>
          </w:tcPr>
          <w:p w14:paraId="180CC159">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5分</w:t>
            </w:r>
          </w:p>
        </w:tc>
      </w:tr>
      <w:tr w14:paraId="54F7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32D8F558">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07" w:type="dxa"/>
            <w:noWrap w:val="0"/>
            <w:vAlign w:val="center"/>
          </w:tcPr>
          <w:p w14:paraId="00F615B4">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val="en-US" w:eastAsia="zh-CN"/>
              </w:rPr>
              <w:t>拟投入仪器设备</w:t>
            </w:r>
          </w:p>
        </w:tc>
        <w:tc>
          <w:tcPr>
            <w:tcW w:w="7364" w:type="dxa"/>
            <w:noWrap w:val="0"/>
            <w:vAlign w:val="center"/>
          </w:tcPr>
          <w:p w14:paraId="73A30170">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根据投标人拟投入本招标项目的检测仪器设备配置是否满足本项目实际需求以及所配置设备的齐全性、先进性等</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评审进行综合打分。（评分范围：6、5、4、3、2、1、0）</w:t>
            </w:r>
          </w:p>
        </w:tc>
        <w:tc>
          <w:tcPr>
            <w:tcW w:w="780" w:type="dxa"/>
            <w:noWrap w:val="0"/>
            <w:vAlign w:val="center"/>
          </w:tcPr>
          <w:p w14:paraId="06165A98">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3C1B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2A75B351">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307" w:type="dxa"/>
            <w:noWrap w:val="0"/>
            <w:vAlign w:val="center"/>
          </w:tcPr>
          <w:p w14:paraId="59D04123">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val="en-US" w:eastAsia="zh-CN"/>
              </w:rPr>
              <w:t>项目档案管理</w:t>
            </w:r>
          </w:p>
        </w:tc>
        <w:tc>
          <w:tcPr>
            <w:tcW w:w="7364" w:type="dxa"/>
            <w:noWrap w:val="0"/>
            <w:vAlign w:val="center"/>
          </w:tcPr>
          <w:p w14:paraId="0A5B2025">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检测项目档案资料管理制度</w:t>
            </w:r>
            <w:r>
              <w:rPr>
                <w:rFonts w:hint="eastAsia" w:ascii="仿宋" w:hAnsi="仿宋" w:eastAsia="仿宋" w:cs="仿宋"/>
                <w:color w:val="auto"/>
                <w:sz w:val="24"/>
                <w:szCs w:val="24"/>
                <w:highlight w:val="none"/>
                <w:lang w:eastAsia="zh-CN"/>
              </w:rPr>
              <w:t>规范性和合理性</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评审进行综合打分。（评分范围：5、4、3、2、1、0）</w:t>
            </w:r>
          </w:p>
        </w:tc>
        <w:tc>
          <w:tcPr>
            <w:tcW w:w="780" w:type="dxa"/>
            <w:noWrap w:val="0"/>
            <w:vAlign w:val="center"/>
          </w:tcPr>
          <w:p w14:paraId="41EB2E43">
            <w:pPr>
              <w:spacing w:line="24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color w:val="auto"/>
                <w:sz w:val="24"/>
                <w:szCs w:val="24"/>
                <w:highlight w:val="none"/>
                <w:vertAlign w:val="baseline"/>
                <w:lang w:val="en-US" w:eastAsia="zh-CN"/>
              </w:rPr>
              <w:t>5分</w:t>
            </w:r>
          </w:p>
        </w:tc>
      </w:tr>
      <w:tr w14:paraId="6400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195D2EB1">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307" w:type="dxa"/>
            <w:noWrap w:val="0"/>
            <w:vAlign w:val="center"/>
          </w:tcPr>
          <w:p w14:paraId="51F09097">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服务响应</w:t>
            </w:r>
          </w:p>
        </w:tc>
        <w:tc>
          <w:tcPr>
            <w:tcW w:w="7364" w:type="dxa"/>
            <w:noWrap w:val="0"/>
            <w:vAlign w:val="top"/>
          </w:tcPr>
          <w:p w14:paraId="162DC544">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根据投标人服务人员的到位率、服务的响应时间承诺、承诺服务响应时间保障方案等的科学性、全面性、合理性由评审进行综合打分。（评分范围：5、4、3、2、1、0）</w:t>
            </w:r>
          </w:p>
        </w:tc>
        <w:tc>
          <w:tcPr>
            <w:tcW w:w="780" w:type="dxa"/>
            <w:noWrap w:val="0"/>
            <w:vAlign w:val="center"/>
          </w:tcPr>
          <w:p w14:paraId="4421187A">
            <w:pPr>
              <w:spacing w:line="36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5</w:t>
            </w:r>
            <w:r>
              <w:rPr>
                <w:rFonts w:hint="eastAsia" w:ascii="仿宋" w:hAnsi="仿宋" w:eastAsia="仿宋" w:cs="仿宋"/>
                <w:b/>
                <w:bCs w:val="0"/>
                <w:sz w:val="24"/>
                <w:szCs w:val="24"/>
                <w:highlight w:val="none"/>
              </w:rPr>
              <w:t>分</w:t>
            </w:r>
          </w:p>
        </w:tc>
      </w:tr>
      <w:tr w14:paraId="0EA8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5" w:type="dxa"/>
            <w:gridSpan w:val="4"/>
            <w:noWrap w:val="0"/>
            <w:vAlign w:val="center"/>
          </w:tcPr>
          <w:p w14:paraId="39F57F77">
            <w:pPr>
              <w:tabs>
                <w:tab w:val="left" w:pos="4375"/>
              </w:tabs>
              <w:spacing w:line="240" w:lineRule="auto"/>
              <w:jc w:val="left"/>
              <w:rPr>
                <w:rFonts w:hint="eastAsia" w:ascii="仿宋" w:hAnsi="仿宋" w:eastAsia="仿宋" w:cs="仿宋"/>
                <w:b/>
                <w:bCs w:val="0"/>
                <w:sz w:val="24"/>
                <w:szCs w:val="24"/>
                <w:highlight w:val="none"/>
                <w:lang w:eastAsia="zh-CN"/>
              </w:rPr>
            </w:pPr>
            <w:r>
              <w:rPr>
                <w:rFonts w:hint="eastAsia" w:ascii="仿宋" w:hAnsi="仿宋" w:eastAsia="仿宋" w:cs="仿宋"/>
                <w:bCs/>
                <w:sz w:val="24"/>
                <w:szCs w:val="24"/>
                <w:highlight w:val="none"/>
              </w:rPr>
              <w:t>注：以上涉及相关资质、证书、业绩等评分内容需提供相关资质、证书、业绩等证明材料复印件加盖投标人CA</w:t>
            </w:r>
            <w:r>
              <w:rPr>
                <w:rFonts w:hint="eastAsia" w:ascii="仿宋" w:hAnsi="仿宋" w:eastAsia="仿宋" w:cs="仿宋"/>
                <w:bCs/>
                <w:sz w:val="24"/>
                <w:szCs w:val="24"/>
                <w:highlight w:val="none"/>
                <w:lang w:val="en-US" w:eastAsia="zh-CN"/>
              </w:rPr>
              <w:t>签</w:t>
            </w:r>
            <w:r>
              <w:rPr>
                <w:rFonts w:hint="eastAsia" w:ascii="仿宋" w:hAnsi="仿宋" w:eastAsia="仿宋" w:cs="仿宋"/>
                <w:bCs/>
                <w:sz w:val="24"/>
                <w:szCs w:val="24"/>
                <w:highlight w:val="none"/>
              </w:rPr>
              <w:t>章，未提供不得分。</w:t>
            </w:r>
          </w:p>
        </w:tc>
      </w:tr>
    </w:tbl>
    <w:p w14:paraId="6010904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55312DA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F4CB3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DE0B1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956FC9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26E692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787066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10A077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43E3B6E0">
      <w:pPr>
        <w:pStyle w:val="62"/>
        <w:rPr>
          <w:rFonts w:hint="eastAsia" w:ascii="仿宋" w:hAnsi="仿宋" w:eastAsia="仿宋" w:cs="仿宋"/>
          <w:sz w:val="21"/>
          <w:szCs w:val="21"/>
          <w:u w:val="single"/>
        </w:rPr>
      </w:pPr>
    </w:p>
    <w:p w14:paraId="2064A42A">
      <w:pPr>
        <w:pStyle w:val="62"/>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CDB9715">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w:t>
      </w:r>
      <w:r>
        <w:rPr>
          <w:rFonts w:hint="eastAsia" w:ascii="仿宋" w:hAnsi="仿宋" w:eastAsia="仿宋" w:cs="仿宋"/>
          <w:sz w:val="21"/>
          <w:szCs w:val="21"/>
          <w:highlight w:val="none"/>
        </w:rPr>
        <w:t>金。违约金按合同</w:t>
      </w:r>
      <w:r>
        <w:rPr>
          <w:rFonts w:hint="eastAsia" w:ascii="仿宋" w:hAnsi="仿宋" w:eastAsia="仿宋" w:cs="仿宋"/>
          <w:sz w:val="21"/>
          <w:szCs w:val="21"/>
          <w:highlight w:val="none"/>
          <w:lang w:val="en-US" w:eastAsia="zh-CN"/>
        </w:rPr>
        <w:t>价</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w:t>
      </w:r>
      <w:r>
        <w:rPr>
          <w:rFonts w:hint="eastAsia" w:ascii="仿宋" w:hAnsi="仿宋" w:eastAsia="仿宋" w:cs="仿宋"/>
          <w:sz w:val="21"/>
          <w:szCs w:val="21"/>
        </w:rPr>
        <w:t>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3</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3548159">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1</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66ADC0">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rPr>
        <w:t xml:space="preserve">  如甲方未按约定支付款项的，应向乙方支付逾期利息，利率为合同订立时1年期贷款市场报价利率。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政府采购项目的采购合同内容的确定应以招标文件和投标文件为基础，不得违背其实质性内容。</w:t>
      </w:r>
    </w:p>
    <w:p w14:paraId="4CEB9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2、本合同自签字盖章之日起生效。若并非乙方法定代表人签字的，建议要求委托代理人提供法定代表人签字盖章的授权委托书，经办人需妥善保管。</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2"/>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0"/>
      <w:r>
        <w:rPr>
          <w:rFonts w:hint="eastAsia" w:ascii="华文中宋" w:hAnsi="华文中宋" w:eastAsia="华文中宋" w:cs="Times New Roman"/>
          <w:b/>
          <w:color w:val="auto"/>
          <w:kern w:val="44"/>
          <w:sz w:val="36"/>
          <w:szCs w:val="36"/>
          <w:lang w:val="en-US" w:eastAsia="zh-CN" w:bidi="ar-SA"/>
        </w:rPr>
        <w:t xml:space="preserve"> </w:t>
      </w:r>
      <w:bookmarkEnd w:id="391"/>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3"/>
        <w:rPr>
          <w:rFonts w:hint="eastAsia" w:ascii="仿宋" w:hAnsi="仿宋" w:eastAsia="仿宋" w:cs="仿宋"/>
          <w:lang w:val="en-US"/>
        </w:rPr>
      </w:pPr>
    </w:p>
    <w:p w14:paraId="2FF3788B">
      <w:pPr>
        <w:rPr>
          <w:rFonts w:hint="eastAsia" w:ascii="仿宋" w:hAnsi="仿宋" w:eastAsia="仿宋" w:cs="仿宋"/>
        </w:rPr>
      </w:pPr>
    </w:p>
    <w:p w14:paraId="5BCFCE03">
      <w:pPr>
        <w:pStyle w:val="3"/>
        <w:rPr>
          <w:rFonts w:hint="eastAsia" w:ascii="仿宋" w:hAnsi="仿宋" w:eastAsia="仿宋" w:cs="仿宋"/>
          <w:lang w:val="en-US"/>
        </w:rPr>
      </w:pPr>
    </w:p>
    <w:p w14:paraId="669429A0">
      <w:pPr>
        <w:rPr>
          <w:rFonts w:hint="eastAsia" w:ascii="仿宋" w:hAnsi="仿宋" w:eastAsia="仿宋" w:cs="仿宋"/>
        </w:rPr>
      </w:pPr>
    </w:p>
    <w:p w14:paraId="182088A4">
      <w:pPr>
        <w:pStyle w:val="3"/>
        <w:rPr>
          <w:rFonts w:hint="eastAsia" w:ascii="仿宋" w:hAnsi="仿宋" w:eastAsia="仿宋" w:cs="仿宋"/>
          <w:lang w:val="en-US"/>
        </w:rPr>
      </w:pPr>
    </w:p>
    <w:p w14:paraId="214C8E38">
      <w:pPr>
        <w:rPr>
          <w:rFonts w:hint="eastAsia" w:ascii="仿宋" w:hAnsi="仿宋" w:eastAsia="仿宋" w:cs="仿宋"/>
        </w:rPr>
      </w:pPr>
    </w:p>
    <w:p w14:paraId="05F8D958">
      <w:pPr>
        <w:pStyle w:val="3"/>
        <w:rPr>
          <w:rFonts w:hint="eastAsia" w:ascii="仿宋" w:hAnsi="仿宋" w:eastAsia="仿宋" w:cs="仿宋"/>
          <w:lang w:val="en-US"/>
        </w:rPr>
      </w:pPr>
    </w:p>
    <w:p w14:paraId="5579CA10">
      <w:pPr>
        <w:rPr>
          <w:rFonts w:hint="eastAsia" w:ascii="仿宋" w:hAnsi="仿宋" w:eastAsia="仿宋" w:cs="仿宋"/>
        </w:rPr>
      </w:pPr>
    </w:p>
    <w:p w14:paraId="45BD8AB1">
      <w:pPr>
        <w:pStyle w:val="3"/>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6"/>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诸暨市大唐街道2025-2027土地综合整治--高标准农田建设检测服务采购项目</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诸正开2025-07-02</w:t>
      </w:r>
    </w:p>
    <w:tbl>
      <w:tblPr>
        <w:tblStyle w:val="65"/>
        <w:tblpPr w:leftFromText="180" w:rightFromText="180" w:vertAnchor="page" w:horzAnchor="page" w:tblpX="1480" w:tblpY="3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099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18AAA316">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7BC7F352">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折扣报价（%）</w:t>
            </w:r>
          </w:p>
        </w:tc>
      </w:tr>
      <w:tr w14:paraId="061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3852" w:type="dxa"/>
            <w:vMerge w:val="continue"/>
            <w:noWrap w:val="0"/>
            <w:vAlign w:val="center"/>
          </w:tcPr>
          <w:p w14:paraId="5EB2F1C2">
            <w:pPr>
              <w:jc w:val="center"/>
              <w:rPr>
                <w:rFonts w:hint="eastAsia" w:ascii="仿宋" w:hAnsi="仿宋" w:eastAsia="仿宋" w:cs="仿宋"/>
                <w:b/>
                <w:sz w:val="28"/>
                <w:szCs w:val="28"/>
              </w:rPr>
            </w:pPr>
          </w:p>
        </w:tc>
        <w:tc>
          <w:tcPr>
            <w:tcW w:w="2057" w:type="dxa"/>
            <w:noWrap w:val="0"/>
            <w:vAlign w:val="center"/>
          </w:tcPr>
          <w:p w14:paraId="6BD4328C">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5A357661">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01E1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119D3958">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055434BF">
            <w:pPr>
              <w:spacing w:line="400" w:lineRule="exact"/>
              <w:jc w:val="center"/>
              <w:rPr>
                <w:rFonts w:hint="eastAsia" w:ascii="仿宋" w:hAnsi="仿宋" w:eastAsia="仿宋" w:cs="仿宋"/>
                <w:bCs/>
                <w:sz w:val="24"/>
                <w:szCs w:val="24"/>
              </w:rPr>
            </w:pPr>
          </w:p>
        </w:tc>
        <w:tc>
          <w:tcPr>
            <w:tcW w:w="2057" w:type="dxa"/>
            <w:noWrap w:val="0"/>
            <w:vAlign w:val="center"/>
          </w:tcPr>
          <w:p w14:paraId="118B0538">
            <w:pPr>
              <w:spacing w:line="7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3088" w:type="dxa"/>
            <w:noWrap w:val="0"/>
            <w:vAlign w:val="center"/>
          </w:tcPr>
          <w:p w14:paraId="07F5B7D6">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14:paraId="406690CD">
      <w:pPr>
        <w:snapToGrid w:val="0"/>
        <w:spacing w:line="360" w:lineRule="auto"/>
        <w:ind w:firstLine="482" w:firstLineChars="200"/>
        <w:rPr>
          <w:rFonts w:hint="eastAsia" w:ascii="仿宋" w:hAnsi="仿宋" w:eastAsia="仿宋" w:cs="仿宋"/>
          <w:b/>
          <w:color w:val="auto"/>
          <w:kern w:val="0"/>
          <w:sz w:val="24"/>
          <w:highlight w:val="none"/>
          <w:lang w:val="zh-CN"/>
        </w:rPr>
      </w:pPr>
    </w:p>
    <w:p w14:paraId="4DDFEAF8">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74E30EA3">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354FA458">
      <w:pPr>
        <w:pStyle w:val="88"/>
        <w:rPr>
          <w:rFonts w:hint="eastAsia" w:ascii="仿宋" w:hAnsi="仿宋" w:eastAsia="仿宋" w:cs="仿宋"/>
          <w:b/>
          <w:color w:val="auto"/>
          <w:kern w:val="0"/>
          <w:sz w:val="24"/>
          <w:highlight w:val="none"/>
          <w:lang w:val="zh-CN"/>
        </w:rPr>
      </w:pPr>
    </w:p>
    <w:p w14:paraId="6ED282D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E36737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105C4D5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5B0318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AB5D3B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7366AD62">
      <w:pPr>
        <w:snapToGrid w:val="0"/>
        <w:spacing w:line="360" w:lineRule="auto"/>
        <w:ind w:firstLine="482" w:firstLineChars="200"/>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7DBA08AD">
      <w:pPr>
        <w:autoSpaceDE w:val="0"/>
        <w:autoSpaceDN w:val="0"/>
        <w:jc w:val="center"/>
        <w:rPr>
          <w:rFonts w:hint="eastAsia" w:ascii="仿宋" w:hAnsi="仿宋" w:eastAsia="仿宋" w:cs="仿宋"/>
          <w:b/>
          <w:spacing w:val="6"/>
          <w:sz w:val="32"/>
          <w:szCs w:val="32"/>
        </w:rPr>
      </w:pPr>
    </w:p>
    <w:p w14:paraId="27282340">
      <w:pPr>
        <w:autoSpaceDE w:val="0"/>
        <w:autoSpaceDN w:val="0"/>
        <w:jc w:val="center"/>
        <w:rPr>
          <w:rFonts w:hint="eastAsia" w:ascii="仿宋" w:hAnsi="仿宋" w:eastAsia="仿宋" w:cs="仿宋"/>
          <w:b/>
          <w:spacing w:val="6"/>
          <w:sz w:val="32"/>
          <w:szCs w:val="32"/>
        </w:rPr>
      </w:pPr>
    </w:p>
    <w:p w14:paraId="59F9D786">
      <w:pPr>
        <w:autoSpaceDE w:val="0"/>
        <w:autoSpaceDN w:val="0"/>
        <w:jc w:val="center"/>
        <w:rPr>
          <w:rFonts w:hint="eastAsia" w:ascii="仿宋" w:hAnsi="仿宋" w:eastAsia="仿宋" w:cs="仿宋"/>
          <w:b/>
          <w:spacing w:val="6"/>
          <w:sz w:val="32"/>
          <w:szCs w:val="32"/>
        </w:rPr>
      </w:pPr>
    </w:p>
    <w:p w14:paraId="2CB53A89">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CB208F5">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C9487E2">
      <w:pPr>
        <w:spacing w:line="340" w:lineRule="exact"/>
        <w:jc w:val="left"/>
        <w:rPr>
          <w:rFonts w:hint="eastAsia" w:ascii="仿宋" w:hAnsi="仿宋" w:eastAsia="仿宋" w:cs="仿宋"/>
          <w:color w:val="auto"/>
          <w:sz w:val="24"/>
          <w:highlight w:val="none"/>
        </w:rPr>
      </w:pPr>
    </w:p>
    <w:p w14:paraId="25FE101A">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p w14:paraId="6326C950">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92A423">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C20B28A">
      <w:pPr>
        <w:spacing w:line="360" w:lineRule="auto"/>
        <w:ind w:right="1760"/>
        <w:jc w:val="right"/>
        <w:rPr>
          <w:rFonts w:hint="eastAsia" w:ascii="仿宋" w:hAnsi="仿宋" w:eastAsia="仿宋" w:cs="仿宋"/>
          <w:color w:val="auto"/>
          <w:sz w:val="24"/>
          <w:highlight w:val="none"/>
        </w:rPr>
      </w:pPr>
    </w:p>
    <w:p w14:paraId="4AEE48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306B78">
      <w:pPr>
        <w:spacing w:line="360" w:lineRule="auto"/>
        <w:ind w:right="1120" w:firstLine="3840" w:firstLineChars="16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43CF10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A0818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5A0B05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4134A31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3359B2B"/>
    <w:multiLevelType w:val="singleLevel"/>
    <w:tmpl w:val="13359B2B"/>
    <w:lvl w:ilvl="0" w:tentative="0">
      <w:start w:val="1"/>
      <w:numFmt w:val="decimal"/>
      <w:suff w:val="nothing"/>
      <w:lvlText w:val="%1、"/>
      <w:lvlJc w:val="left"/>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7B2F92"/>
    <w:rsid w:val="019E4ED3"/>
    <w:rsid w:val="019F7441"/>
    <w:rsid w:val="01B37585"/>
    <w:rsid w:val="01C40D93"/>
    <w:rsid w:val="01D55165"/>
    <w:rsid w:val="01DF6BF8"/>
    <w:rsid w:val="01E64C5E"/>
    <w:rsid w:val="01EC2C57"/>
    <w:rsid w:val="01F9035B"/>
    <w:rsid w:val="0203486B"/>
    <w:rsid w:val="0236335D"/>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22419"/>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D07A99"/>
    <w:rsid w:val="04E62470"/>
    <w:rsid w:val="04E62E18"/>
    <w:rsid w:val="04F66F48"/>
    <w:rsid w:val="05251E14"/>
    <w:rsid w:val="055661F0"/>
    <w:rsid w:val="05663030"/>
    <w:rsid w:val="05846DC8"/>
    <w:rsid w:val="058645FB"/>
    <w:rsid w:val="05A16594"/>
    <w:rsid w:val="05A7762D"/>
    <w:rsid w:val="05B2719F"/>
    <w:rsid w:val="05C3315A"/>
    <w:rsid w:val="05D00EC1"/>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23C11"/>
    <w:rsid w:val="09BE6544"/>
    <w:rsid w:val="09C13146"/>
    <w:rsid w:val="09E04166"/>
    <w:rsid w:val="09EF276F"/>
    <w:rsid w:val="0A1C0718"/>
    <w:rsid w:val="0A3C7719"/>
    <w:rsid w:val="0A3E7710"/>
    <w:rsid w:val="0A440D5A"/>
    <w:rsid w:val="0A5922DF"/>
    <w:rsid w:val="0A5B7E63"/>
    <w:rsid w:val="0A60541B"/>
    <w:rsid w:val="0A776340"/>
    <w:rsid w:val="0A784D07"/>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55E7E"/>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06933"/>
    <w:rsid w:val="0F9832DB"/>
    <w:rsid w:val="0F993509"/>
    <w:rsid w:val="0FB6788B"/>
    <w:rsid w:val="0FBF3FD2"/>
    <w:rsid w:val="0FBF7FF3"/>
    <w:rsid w:val="0FC1070A"/>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137246"/>
    <w:rsid w:val="122431D2"/>
    <w:rsid w:val="12255233"/>
    <w:rsid w:val="12385FA8"/>
    <w:rsid w:val="12474790"/>
    <w:rsid w:val="12530213"/>
    <w:rsid w:val="127723A9"/>
    <w:rsid w:val="12862074"/>
    <w:rsid w:val="12883966"/>
    <w:rsid w:val="129B6365"/>
    <w:rsid w:val="129E45B4"/>
    <w:rsid w:val="12A0243C"/>
    <w:rsid w:val="12D81596"/>
    <w:rsid w:val="12FB4B4E"/>
    <w:rsid w:val="13072A44"/>
    <w:rsid w:val="130C4392"/>
    <w:rsid w:val="13225964"/>
    <w:rsid w:val="132F62D2"/>
    <w:rsid w:val="135F4BE2"/>
    <w:rsid w:val="13637D2A"/>
    <w:rsid w:val="136545E5"/>
    <w:rsid w:val="13953C4B"/>
    <w:rsid w:val="139B1A0A"/>
    <w:rsid w:val="139D25C7"/>
    <w:rsid w:val="13BF3CE4"/>
    <w:rsid w:val="13E744B7"/>
    <w:rsid w:val="13F05A62"/>
    <w:rsid w:val="13FB1099"/>
    <w:rsid w:val="141008D8"/>
    <w:rsid w:val="14125FE6"/>
    <w:rsid w:val="144162BD"/>
    <w:rsid w:val="145A6363"/>
    <w:rsid w:val="145F4995"/>
    <w:rsid w:val="146D271E"/>
    <w:rsid w:val="14740251"/>
    <w:rsid w:val="147A532B"/>
    <w:rsid w:val="147C10A3"/>
    <w:rsid w:val="14982588"/>
    <w:rsid w:val="149A5AD9"/>
    <w:rsid w:val="14A524FA"/>
    <w:rsid w:val="14A7619D"/>
    <w:rsid w:val="14AD2260"/>
    <w:rsid w:val="150536C3"/>
    <w:rsid w:val="150B2427"/>
    <w:rsid w:val="150C1963"/>
    <w:rsid w:val="151447A0"/>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1C2B"/>
    <w:rsid w:val="16BC70A7"/>
    <w:rsid w:val="16C15493"/>
    <w:rsid w:val="16C6339E"/>
    <w:rsid w:val="16CC2D0D"/>
    <w:rsid w:val="16D6491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1F6915"/>
    <w:rsid w:val="1830729E"/>
    <w:rsid w:val="183659F3"/>
    <w:rsid w:val="1870062C"/>
    <w:rsid w:val="18817102"/>
    <w:rsid w:val="18820C52"/>
    <w:rsid w:val="18830A15"/>
    <w:rsid w:val="18852B28"/>
    <w:rsid w:val="188B5321"/>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9D6217"/>
    <w:rsid w:val="1AB8220E"/>
    <w:rsid w:val="1AE4166C"/>
    <w:rsid w:val="1AF06CFB"/>
    <w:rsid w:val="1AF11B8D"/>
    <w:rsid w:val="1B0845C1"/>
    <w:rsid w:val="1B0E7A21"/>
    <w:rsid w:val="1B11359C"/>
    <w:rsid w:val="1B2A271F"/>
    <w:rsid w:val="1B481CDF"/>
    <w:rsid w:val="1B530544"/>
    <w:rsid w:val="1B713184"/>
    <w:rsid w:val="1B763515"/>
    <w:rsid w:val="1B8D1DE8"/>
    <w:rsid w:val="1B945CBD"/>
    <w:rsid w:val="1BA209CF"/>
    <w:rsid w:val="1BB4777D"/>
    <w:rsid w:val="1BCC2910"/>
    <w:rsid w:val="1BD75AB8"/>
    <w:rsid w:val="1C0459C2"/>
    <w:rsid w:val="1C1B3B4A"/>
    <w:rsid w:val="1C1F5136"/>
    <w:rsid w:val="1C24149D"/>
    <w:rsid w:val="1C88086E"/>
    <w:rsid w:val="1CA23671"/>
    <w:rsid w:val="1CB55D60"/>
    <w:rsid w:val="1CDB6935"/>
    <w:rsid w:val="1CE1063D"/>
    <w:rsid w:val="1CF163A7"/>
    <w:rsid w:val="1CFF6449"/>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F52B6D"/>
    <w:rsid w:val="1F0A0FF3"/>
    <w:rsid w:val="1F0B4696"/>
    <w:rsid w:val="1F26058A"/>
    <w:rsid w:val="1F5771FF"/>
    <w:rsid w:val="1F6C4942"/>
    <w:rsid w:val="1F9A4AD4"/>
    <w:rsid w:val="1FB65DB1"/>
    <w:rsid w:val="1FBB7ACC"/>
    <w:rsid w:val="1FBC0EEE"/>
    <w:rsid w:val="1FC66391"/>
    <w:rsid w:val="1FE868A9"/>
    <w:rsid w:val="1FF42000"/>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BE6801"/>
    <w:rsid w:val="22D56B19"/>
    <w:rsid w:val="22F57858"/>
    <w:rsid w:val="22FD253B"/>
    <w:rsid w:val="231B5F2B"/>
    <w:rsid w:val="233500BF"/>
    <w:rsid w:val="23377FF7"/>
    <w:rsid w:val="236B425F"/>
    <w:rsid w:val="23836192"/>
    <w:rsid w:val="238E0DF3"/>
    <w:rsid w:val="23901F29"/>
    <w:rsid w:val="239C0061"/>
    <w:rsid w:val="23A7731B"/>
    <w:rsid w:val="23B908A4"/>
    <w:rsid w:val="23C42D4B"/>
    <w:rsid w:val="23CD5478"/>
    <w:rsid w:val="23CF23CE"/>
    <w:rsid w:val="23E95BEF"/>
    <w:rsid w:val="23F76998"/>
    <w:rsid w:val="23FB7503"/>
    <w:rsid w:val="23FD0064"/>
    <w:rsid w:val="23FE7D27"/>
    <w:rsid w:val="24092228"/>
    <w:rsid w:val="24311EAA"/>
    <w:rsid w:val="24443260"/>
    <w:rsid w:val="244F40DF"/>
    <w:rsid w:val="245375B0"/>
    <w:rsid w:val="245E2574"/>
    <w:rsid w:val="2460583A"/>
    <w:rsid w:val="24642C0A"/>
    <w:rsid w:val="24642D73"/>
    <w:rsid w:val="247733A3"/>
    <w:rsid w:val="247B1377"/>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55E3B"/>
    <w:rsid w:val="26697A1A"/>
    <w:rsid w:val="26907DFD"/>
    <w:rsid w:val="26A53EF9"/>
    <w:rsid w:val="26A94201"/>
    <w:rsid w:val="26AC274F"/>
    <w:rsid w:val="26AF70B6"/>
    <w:rsid w:val="26B446CD"/>
    <w:rsid w:val="26B507EF"/>
    <w:rsid w:val="26C4369F"/>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93E20"/>
    <w:rsid w:val="287A5400"/>
    <w:rsid w:val="28855745"/>
    <w:rsid w:val="289724F8"/>
    <w:rsid w:val="289F7086"/>
    <w:rsid w:val="28A04D7F"/>
    <w:rsid w:val="28B47E46"/>
    <w:rsid w:val="28B60528"/>
    <w:rsid w:val="28C32028"/>
    <w:rsid w:val="28CC490F"/>
    <w:rsid w:val="28DE40AA"/>
    <w:rsid w:val="28E76FDC"/>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62899"/>
    <w:rsid w:val="2B7807EE"/>
    <w:rsid w:val="2BBD2276"/>
    <w:rsid w:val="2BBF00EC"/>
    <w:rsid w:val="2BC37CFD"/>
    <w:rsid w:val="2BC74EA2"/>
    <w:rsid w:val="2BD5237F"/>
    <w:rsid w:val="2BE536CE"/>
    <w:rsid w:val="2BE758D9"/>
    <w:rsid w:val="2C056B5B"/>
    <w:rsid w:val="2C09049E"/>
    <w:rsid w:val="2C0A653C"/>
    <w:rsid w:val="2C191F85"/>
    <w:rsid w:val="2C1D2D14"/>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02E22"/>
    <w:rsid w:val="2F0A6B38"/>
    <w:rsid w:val="2F351FF4"/>
    <w:rsid w:val="2F370591"/>
    <w:rsid w:val="2F4A3E20"/>
    <w:rsid w:val="2F7C0857"/>
    <w:rsid w:val="2F7D2448"/>
    <w:rsid w:val="2F946CCB"/>
    <w:rsid w:val="2FA17659"/>
    <w:rsid w:val="2FAA48BF"/>
    <w:rsid w:val="2FC11C09"/>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DA195F"/>
    <w:rsid w:val="32E4633A"/>
    <w:rsid w:val="32F72511"/>
    <w:rsid w:val="32FB6478"/>
    <w:rsid w:val="33263B3F"/>
    <w:rsid w:val="3330157F"/>
    <w:rsid w:val="33365E13"/>
    <w:rsid w:val="33403BE0"/>
    <w:rsid w:val="33490893"/>
    <w:rsid w:val="334B63B9"/>
    <w:rsid w:val="336963EB"/>
    <w:rsid w:val="33816EEB"/>
    <w:rsid w:val="33837901"/>
    <w:rsid w:val="339A10EE"/>
    <w:rsid w:val="33AB50AB"/>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6D28"/>
    <w:rsid w:val="346C7513"/>
    <w:rsid w:val="347100A1"/>
    <w:rsid w:val="34853B4C"/>
    <w:rsid w:val="34950E68"/>
    <w:rsid w:val="34986E94"/>
    <w:rsid w:val="34AF62C9"/>
    <w:rsid w:val="34CB4388"/>
    <w:rsid w:val="34CE72A2"/>
    <w:rsid w:val="34FA6E12"/>
    <w:rsid w:val="353C405C"/>
    <w:rsid w:val="354B444E"/>
    <w:rsid w:val="35523A2F"/>
    <w:rsid w:val="35741CF1"/>
    <w:rsid w:val="357A4D3C"/>
    <w:rsid w:val="357F1603"/>
    <w:rsid w:val="35843E04"/>
    <w:rsid w:val="358D5588"/>
    <w:rsid w:val="35D703D8"/>
    <w:rsid w:val="35FF1FBC"/>
    <w:rsid w:val="36142918"/>
    <w:rsid w:val="362829E1"/>
    <w:rsid w:val="363A3B40"/>
    <w:rsid w:val="363E2205"/>
    <w:rsid w:val="365302AE"/>
    <w:rsid w:val="365C268B"/>
    <w:rsid w:val="365E28A7"/>
    <w:rsid w:val="36607A0A"/>
    <w:rsid w:val="366B28CE"/>
    <w:rsid w:val="366E227C"/>
    <w:rsid w:val="366F2E0D"/>
    <w:rsid w:val="367B6A5C"/>
    <w:rsid w:val="36987B67"/>
    <w:rsid w:val="36A74ADA"/>
    <w:rsid w:val="36AD60D5"/>
    <w:rsid w:val="36B224F9"/>
    <w:rsid w:val="36C559EF"/>
    <w:rsid w:val="36D41080"/>
    <w:rsid w:val="36EC0CC9"/>
    <w:rsid w:val="36FA437E"/>
    <w:rsid w:val="36FF5100"/>
    <w:rsid w:val="3700570C"/>
    <w:rsid w:val="371D4F45"/>
    <w:rsid w:val="371F5B92"/>
    <w:rsid w:val="372B3996"/>
    <w:rsid w:val="37312327"/>
    <w:rsid w:val="373F410B"/>
    <w:rsid w:val="37427AD3"/>
    <w:rsid w:val="375B6142"/>
    <w:rsid w:val="375C6DE7"/>
    <w:rsid w:val="37696240"/>
    <w:rsid w:val="376D734B"/>
    <w:rsid w:val="37751C56"/>
    <w:rsid w:val="3795353A"/>
    <w:rsid w:val="37A82C68"/>
    <w:rsid w:val="37AB1B1C"/>
    <w:rsid w:val="37BD53AB"/>
    <w:rsid w:val="37EE7094"/>
    <w:rsid w:val="38140FC9"/>
    <w:rsid w:val="38296C89"/>
    <w:rsid w:val="383002EB"/>
    <w:rsid w:val="38586797"/>
    <w:rsid w:val="3894435E"/>
    <w:rsid w:val="38A26A7B"/>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BC3B6C"/>
    <w:rsid w:val="39C3713E"/>
    <w:rsid w:val="39C944DB"/>
    <w:rsid w:val="39D37108"/>
    <w:rsid w:val="39F03816"/>
    <w:rsid w:val="39F23A32"/>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DB79F5"/>
    <w:rsid w:val="3AE35129"/>
    <w:rsid w:val="3B2349B7"/>
    <w:rsid w:val="3B3B6D13"/>
    <w:rsid w:val="3B5705F9"/>
    <w:rsid w:val="3B616CFF"/>
    <w:rsid w:val="3B6259F6"/>
    <w:rsid w:val="3B682566"/>
    <w:rsid w:val="3B976654"/>
    <w:rsid w:val="3BC01EFC"/>
    <w:rsid w:val="3BCA786A"/>
    <w:rsid w:val="3BD31E2F"/>
    <w:rsid w:val="3BD86C58"/>
    <w:rsid w:val="3BF15831"/>
    <w:rsid w:val="3BF204AB"/>
    <w:rsid w:val="3C0E61D6"/>
    <w:rsid w:val="3C105946"/>
    <w:rsid w:val="3C2854E9"/>
    <w:rsid w:val="3C471448"/>
    <w:rsid w:val="3C487939"/>
    <w:rsid w:val="3C576930"/>
    <w:rsid w:val="3C5F759A"/>
    <w:rsid w:val="3C6C525A"/>
    <w:rsid w:val="3C7D458E"/>
    <w:rsid w:val="3C9137E0"/>
    <w:rsid w:val="3C925059"/>
    <w:rsid w:val="3C9F32D2"/>
    <w:rsid w:val="3CC26E9F"/>
    <w:rsid w:val="3CC316B6"/>
    <w:rsid w:val="3CCE23CB"/>
    <w:rsid w:val="3CD17D17"/>
    <w:rsid w:val="3D2959BD"/>
    <w:rsid w:val="3D3C7F39"/>
    <w:rsid w:val="3D440F09"/>
    <w:rsid w:val="3D4504A0"/>
    <w:rsid w:val="3D8734BB"/>
    <w:rsid w:val="3D9A11D4"/>
    <w:rsid w:val="3DA16D89"/>
    <w:rsid w:val="3DA364BE"/>
    <w:rsid w:val="3DAC116D"/>
    <w:rsid w:val="3DB334D8"/>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E87445"/>
    <w:rsid w:val="3EF36716"/>
    <w:rsid w:val="3F060E16"/>
    <w:rsid w:val="3F1D1096"/>
    <w:rsid w:val="3F2F0234"/>
    <w:rsid w:val="3F361456"/>
    <w:rsid w:val="3F6363FE"/>
    <w:rsid w:val="3F756B8F"/>
    <w:rsid w:val="3F8A2017"/>
    <w:rsid w:val="3F95482B"/>
    <w:rsid w:val="3FA255B3"/>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E09EE"/>
    <w:rsid w:val="43FD4220"/>
    <w:rsid w:val="44002FAD"/>
    <w:rsid w:val="440E4ADD"/>
    <w:rsid w:val="443B7D84"/>
    <w:rsid w:val="44501A81"/>
    <w:rsid w:val="445175A7"/>
    <w:rsid w:val="44615A3C"/>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C63B94"/>
    <w:rsid w:val="45F428E0"/>
    <w:rsid w:val="45FF5EF8"/>
    <w:rsid w:val="460074D7"/>
    <w:rsid w:val="460217CB"/>
    <w:rsid w:val="460E7DA5"/>
    <w:rsid w:val="462705C0"/>
    <w:rsid w:val="46422483"/>
    <w:rsid w:val="4659254A"/>
    <w:rsid w:val="465B0637"/>
    <w:rsid w:val="465E3F0D"/>
    <w:rsid w:val="466A16E6"/>
    <w:rsid w:val="466C2476"/>
    <w:rsid w:val="46893F2B"/>
    <w:rsid w:val="46C4686E"/>
    <w:rsid w:val="46CA1CB5"/>
    <w:rsid w:val="46E93AC7"/>
    <w:rsid w:val="470B6133"/>
    <w:rsid w:val="471B77B2"/>
    <w:rsid w:val="472B7749"/>
    <w:rsid w:val="474927B8"/>
    <w:rsid w:val="476B0980"/>
    <w:rsid w:val="477B778F"/>
    <w:rsid w:val="478203EC"/>
    <w:rsid w:val="478D4D9A"/>
    <w:rsid w:val="47946129"/>
    <w:rsid w:val="479E0D55"/>
    <w:rsid w:val="47B025FA"/>
    <w:rsid w:val="47B500EF"/>
    <w:rsid w:val="47CA1EC8"/>
    <w:rsid w:val="47E30E5E"/>
    <w:rsid w:val="4809698F"/>
    <w:rsid w:val="4811697D"/>
    <w:rsid w:val="481B05F8"/>
    <w:rsid w:val="481E59F2"/>
    <w:rsid w:val="483B65A4"/>
    <w:rsid w:val="485347ED"/>
    <w:rsid w:val="48645AF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566E2"/>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F0631"/>
    <w:rsid w:val="4DFF0D96"/>
    <w:rsid w:val="4E4168DE"/>
    <w:rsid w:val="4E587A02"/>
    <w:rsid w:val="4E656129"/>
    <w:rsid w:val="4E713266"/>
    <w:rsid w:val="4E793892"/>
    <w:rsid w:val="4E7B3B9E"/>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355BA"/>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A42E38"/>
    <w:rsid w:val="50A4577F"/>
    <w:rsid w:val="50B73D1F"/>
    <w:rsid w:val="50BD5BC9"/>
    <w:rsid w:val="50C01D3C"/>
    <w:rsid w:val="50C11EEE"/>
    <w:rsid w:val="50CD3058"/>
    <w:rsid w:val="50DB6B76"/>
    <w:rsid w:val="50E97CFC"/>
    <w:rsid w:val="50FA4028"/>
    <w:rsid w:val="510D65B7"/>
    <w:rsid w:val="511157AB"/>
    <w:rsid w:val="512027DB"/>
    <w:rsid w:val="5142540C"/>
    <w:rsid w:val="517B2107"/>
    <w:rsid w:val="517E43B0"/>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4F15CA"/>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487265"/>
    <w:rsid w:val="54491F75"/>
    <w:rsid w:val="544D6070"/>
    <w:rsid w:val="54605E1E"/>
    <w:rsid w:val="549459EB"/>
    <w:rsid w:val="54A15EF3"/>
    <w:rsid w:val="54AD25D8"/>
    <w:rsid w:val="54B3506A"/>
    <w:rsid w:val="54B51D52"/>
    <w:rsid w:val="54CA0D16"/>
    <w:rsid w:val="54DD4057"/>
    <w:rsid w:val="54E7490F"/>
    <w:rsid w:val="55006BAB"/>
    <w:rsid w:val="550764A4"/>
    <w:rsid w:val="550B2BF6"/>
    <w:rsid w:val="551B318C"/>
    <w:rsid w:val="551E5284"/>
    <w:rsid w:val="55214EB5"/>
    <w:rsid w:val="55364EFD"/>
    <w:rsid w:val="5540169E"/>
    <w:rsid w:val="55570796"/>
    <w:rsid w:val="555D4828"/>
    <w:rsid w:val="557A4C8B"/>
    <w:rsid w:val="55851EE3"/>
    <w:rsid w:val="558931E1"/>
    <w:rsid w:val="55923347"/>
    <w:rsid w:val="55925180"/>
    <w:rsid w:val="55982511"/>
    <w:rsid w:val="55983B1B"/>
    <w:rsid w:val="559F6FA1"/>
    <w:rsid w:val="55A8376B"/>
    <w:rsid w:val="55A86101"/>
    <w:rsid w:val="55D652EC"/>
    <w:rsid w:val="55DC29B6"/>
    <w:rsid w:val="55DD4241"/>
    <w:rsid w:val="55E71B19"/>
    <w:rsid w:val="56114DE8"/>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A2674"/>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63A24"/>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CF07506"/>
    <w:rsid w:val="5D0908B6"/>
    <w:rsid w:val="5D0C4701"/>
    <w:rsid w:val="5D0F0395"/>
    <w:rsid w:val="5D221076"/>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0206C"/>
    <w:rsid w:val="5E261785"/>
    <w:rsid w:val="5E4A7017"/>
    <w:rsid w:val="5E552BBA"/>
    <w:rsid w:val="5E611C10"/>
    <w:rsid w:val="5E6C7060"/>
    <w:rsid w:val="5E9465B6"/>
    <w:rsid w:val="5EAE4B05"/>
    <w:rsid w:val="5EC0115A"/>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16B08"/>
    <w:rsid w:val="615227C4"/>
    <w:rsid w:val="615D5386"/>
    <w:rsid w:val="61654E3F"/>
    <w:rsid w:val="61691F7C"/>
    <w:rsid w:val="6182292A"/>
    <w:rsid w:val="619F7F92"/>
    <w:rsid w:val="61F94C26"/>
    <w:rsid w:val="62000E56"/>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B1DB5"/>
    <w:rsid w:val="636E387A"/>
    <w:rsid w:val="63711FED"/>
    <w:rsid w:val="637136BF"/>
    <w:rsid w:val="63880DDC"/>
    <w:rsid w:val="638D750D"/>
    <w:rsid w:val="63AC6CC0"/>
    <w:rsid w:val="63AE44A8"/>
    <w:rsid w:val="63D77B95"/>
    <w:rsid w:val="64055776"/>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102E3B"/>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E784C"/>
    <w:rsid w:val="665E1984"/>
    <w:rsid w:val="66664917"/>
    <w:rsid w:val="666E1009"/>
    <w:rsid w:val="668B6A45"/>
    <w:rsid w:val="66AE6B74"/>
    <w:rsid w:val="66D93700"/>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C467C7"/>
    <w:rsid w:val="67D90273"/>
    <w:rsid w:val="67DE5875"/>
    <w:rsid w:val="67E55852"/>
    <w:rsid w:val="67EB1AB4"/>
    <w:rsid w:val="67FA1285"/>
    <w:rsid w:val="680058F8"/>
    <w:rsid w:val="68142C42"/>
    <w:rsid w:val="6821710D"/>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FC1D3A"/>
    <w:rsid w:val="6F103A37"/>
    <w:rsid w:val="6F1424A7"/>
    <w:rsid w:val="6F2A7D94"/>
    <w:rsid w:val="6F310678"/>
    <w:rsid w:val="6F8331F1"/>
    <w:rsid w:val="6FA67EF8"/>
    <w:rsid w:val="6FAE1A09"/>
    <w:rsid w:val="6FC62348"/>
    <w:rsid w:val="6FD75BF8"/>
    <w:rsid w:val="6FE0530C"/>
    <w:rsid w:val="7007308C"/>
    <w:rsid w:val="702552C0"/>
    <w:rsid w:val="70340294"/>
    <w:rsid w:val="70383246"/>
    <w:rsid w:val="705C33D8"/>
    <w:rsid w:val="705D0EFE"/>
    <w:rsid w:val="70671D7D"/>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C1D15"/>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838116A"/>
    <w:rsid w:val="786077DD"/>
    <w:rsid w:val="7866291A"/>
    <w:rsid w:val="787119EB"/>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E27788"/>
    <w:rsid w:val="7D0C32F1"/>
    <w:rsid w:val="7D0F408D"/>
    <w:rsid w:val="7D1920E4"/>
    <w:rsid w:val="7D3134F6"/>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EF944E8"/>
    <w:rsid w:val="7F0768EB"/>
    <w:rsid w:val="7F0A2251"/>
    <w:rsid w:val="7F143BEC"/>
    <w:rsid w:val="7F410946"/>
    <w:rsid w:val="7F5E7DB7"/>
    <w:rsid w:val="7F631961"/>
    <w:rsid w:val="7F6531DB"/>
    <w:rsid w:val="7F6D458E"/>
    <w:rsid w:val="7F715AF2"/>
    <w:rsid w:val="7F886E69"/>
    <w:rsid w:val="7F8C0EB8"/>
    <w:rsid w:val="7F8F36EF"/>
    <w:rsid w:val="7F9966B8"/>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56</Pages>
  <Words>25484</Words>
  <Characters>27099</Characters>
  <Lines>0</Lines>
  <Paragraphs>0</Paragraphs>
  <TotalTime>2</TotalTime>
  <ScaleCrop>false</ScaleCrop>
  <LinksUpToDate>false</LinksUpToDate>
  <CharactersWithSpaces>29314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2025-07-04T07:11:46Z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eyJoZGlkIjoiY2JmY2M2NWJhNWY3ODRmMmQzOGYzNmQwNGZiMGEzZGIiLCJ1c2VySWQiOiI2MDQ4MzI1MTgifQ==</vt:lpwstr>
  </property>
</Properties>
</file>