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枫桥镇“红枫研学”项目——枫桥老街越剧名家馆一体化展陈采购</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诸正开2025-05-17</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人）：诸暨市枫桥镇人民政府</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枫桥镇“红枫研学”项目——枫桥老街越剧名家馆一体化展陈采购</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诸正开2025-05-17</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枫桥镇“红枫研学”项目——枫桥老街越剧名家馆一体化展陈采购</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1400000.00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1400000.00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bCs/>
          <w:sz w:val="24"/>
          <w:lang w:val="en-US" w:eastAsia="zh-CN"/>
        </w:rPr>
        <w:t>本项目为</w:t>
      </w:r>
      <w:r>
        <w:rPr>
          <w:rFonts w:hint="eastAsia" w:ascii="仿宋" w:hAnsi="仿宋" w:eastAsia="仿宋" w:cs="仿宋"/>
          <w:bCs/>
          <w:sz w:val="24"/>
          <w:lang w:eastAsia="zh-CN"/>
        </w:rPr>
        <w:t>枫桥镇“红枫研学”项目——枫桥老街越剧名家馆一体化展陈采购</w:t>
      </w:r>
      <w:r>
        <w:rPr>
          <w:rFonts w:hint="eastAsia" w:ascii="仿宋" w:hAnsi="仿宋" w:eastAsia="仿宋" w:cs="仿宋"/>
          <w:sz w:val="24"/>
        </w:rPr>
        <w:t>，采购预算金额为</w:t>
      </w:r>
      <w:r>
        <w:rPr>
          <w:rFonts w:hint="eastAsia" w:ascii="仿宋" w:hAnsi="仿宋" w:eastAsia="仿宋" w:cs="仿宋"/>
          <w:sz w:val="24"/>
          <w:lang w:val="en-US" w:eastAsia="zh-CN"/>
        </w:rPr>
        <w:t>140</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lang w:val="en-US" w:eastAsia="zh-CN"/>
        </w:rPr>
        <w:t>具体内容详见采购需求</w:t>
      </w:r>
      <w:r>
        <w:rPr>
          <w:rFonts w:hint="eastAsia" w:ascii="仿宋" w:hAnsi="仿宋" w:eastAsia="仿宋" w:cs="仿宋"/>
          <w:sz w:val="24"/>
        </w:rPr>
        <w:t>。</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0C1F02E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1、符合《中华人民共和国政府采购法》第二十二条之供应商资格规定；</w:t>
      </w:r>
    </w:p>
    <w:p w14:paraId="55A0FB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2、未被“信用中国”（www.creditchina.gov.cn）、中国政府采购网（www.ccgp.gov.cn）列入失信被执行人、重大税收违法失信主体、政府采购严重违法失信行为记录名单；</w:t>
      </w:r>
    </w:p>
    <w:p w14:paraId="404BFD3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本项目属于专门面向中小企业采购的项目，要求服务全部由符合政策要求的中小企业承接，提供中小企业声明函；</w:t>
      </w:r>
    </w:p>
    <w:p w14:paraId="05728D8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本项目的特定资格要求：</w:t>
      </w:r>
      <w:r>
        <w:rPr>
          <w:rFonts w:hint="eastAsia" w:ascii="仿宋" w:hAnsi="仿宋" w:eastAsia="仿宋" w:cs="仿宋"/>
          <w:sz w:val="24"/>
          <w:lang w:val="en-US" w:eastAsia="zh-CN"/>
        </w:rPr>
        <w:t xml:space="preserve"> 无</w:t>
      </w:r>
      <w:r>
        <w:rPr>
          <w:rFonts w:hint="eastAsia" w:ascii="仿宋" w:hAnsi="仿宋" w:eastAsia="仿宋" w:cs="仿宋"/>
          <w:sz w:val="24"/>
        </w:rPr>
        <w:t>。</w:t>
      </w:r>
    </w:p>
    <w:p w14:paraId="52FB419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、本项目</w:t>
      </w:r>
      <w:r>
        <w:rPr>
          <w:rFonts w:hint="eastAsia" w:ascii="仿宋" w:hAnsi="仿宋" w:eastAsia="仿宋" w:cs="仿宋"/>
          <w:sz w:val="24"/>
          <w:lang w:val="en-US" w:eastAsia="zh-CN"/>
        </w:rPr>
        <w:t>不</w:t>
      </w:r>
      <w:r>
        <w:rPr>
          <w:rFonts w:hint="eastAsia" w:ascii="仿宋" w:hAnsi="仿宋" w:eastAsia="仿宋" w:cs="仿宋"/>
          <w:sz w:val="24"/>
        </w:rPr>
        <w:t>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月16</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16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诸暨市枫桥镇人民政府</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址：诸暨市枫桥镇中兴路1号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lang w:val="en-US" w:eastAsia="zh-CN"/>
        </w:rPr>
        <w:t>杨东凌</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项目联系人工作电话（询问）：</w:t>
      </w:r>
      <w:r>
        <w:rPr>
          <w:rFonts w:hint="eastAsia" w:ascii="仿宋" w:hAnsi="仿宋" w:eastAsia="仿宋" w:cs="仿宋"/>
          <w:sz w:val="24"/>
          <w:lang w:val="en-US" w:eastAsia="zh-CN"/>
        </w:rPr>
        <w:t>13575587286</w:t>
      </w:r>
      <w:r>
        <w:rPr>
          <w:rFonts w:hint="eastAsia" w:ascii="仿宋" w:hAnsi="仿宋" w:eastAsia="仿宋" w:cs="仿宋"/>
          <w:color w:val="auto"/>
          <w:sz w:val="24"/>
          <w:highlight w:val="none"/>
          <w:lang w:val="en-US" w:eastAsia="zh-CN"/>
        </w:rPr>
        <w:t xml:space="preserve">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质疑联系人：杨</w:t>
      </w:r>
      <w:r>
        <w:rPr>
          <w:rFonts w:hint="eastAsia" w:ascii="仿宋" w:hAnsi="仿宋" w:eastAsia="仿宋" w:cs="仿宋"/>
          <w:sz w:val="24"/>
          <w:szCs w:val="24"/>
          <w:highlight w:val="none"/>
          <w:lang w:val="en-US" w:eastAsia="zh-CN"/>
        </w:rPr>
        <w:t>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质疑联系人工作电话：</w:t>
      </w:r>
      <w:r>
        <w:rPr>
          <w:rFonts w:hint="eastAsia" w:ascii="仿宋" w:hAnsi="仿宋" w:eastAsia="仿宋" w:cs="仿宋"/>
          <w:sz w:val="24"/>
          <w:lang w:val="en-US" w:eastAsia="zh-CN"/>
        </w:rPr>
        <w:t>13575587286</w:t>
      </w:r>
      <w:r>
        <w:rPr>
          <w:rFonts w:hint="eastAsia" w:ascii="仿宋" w:hAnsi="仿宋" w:eastAsia="仿宋" w:cs="仿宋"/>
          <w:color w:val="auto"/>
          <w:sz w:val="24"/>
          <w:highlight w:val="none"/>
          <w:lang w:val="en-US" w:eastAsia="zh-CN"/>
        </w:rPr>
        <w:t xml:space="preserve">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CA337A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w:t>
            </w:r>
          </w:p>
          <w:p w14:paraId="2ED228DC">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default" w:ascii="仿宋" w:hAnsi="仿宋" w:eastAsia="仿宋" w:cs="仿宋"/>
                <w:lang w:val="en-US"/>
              </w:rPr>
            </w:pPr>
            <w:r>
              <w:rPr>
                <w:rFonts w:hint="eastAsia" w:ascii="仿宋" w:hAnsi="仿宋" w:eastAsia="仿宋" w:cs="仿宋"/>
                <w:lang w:val="zh-CN"/>
              </w:rPr>
              <w:t>④本项目的特定资格要求</w:t>
            </w:r>
            <w:r>
              <w:rPr>
                <w:rFonts w:hint="eastAsia" w:ascii="仿宋" w:hAnsi="仿宋" w:eastAsia="仿宋" w:cs="仿宋"/>
                <w:lang w:val="zh-CN" w:eastAsia="zh-CN"/>
              </w:rPr>
              <w:t>：</w:t>
            </w:r>
            <w:r>
              <w:rPr>
                <w:rFonts w:hint="eastAsia" w:ascii="仿宋" w:hAnsi="仿宋" w:eastAsia="仿宋" w:cs="仿宋"/>
                <w:sz w:val="24"/>
                <w:lang w:val="en-US" w:eastAsia="zh-CN"/>
              </w:rPr>
              <w:t xml:space="preserve"> 无</w:t>
            </w:r>
            <w:r>
              <w:rPr>
                <w:rFonts w:hint="eastAsia" w:ascii="仿宋" w:hAnsi="仿宋" w:eastAsia="仿宋" w:cs="仿宋"/>
                <w:lang w:val="en-US" w:eastAsia="zh-CN"/>
              </w:rPr>
              <w:t>。</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8DACEF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67343B1F">
            <w:pPr>
              <w:pStyle w:val="59"/>
              <w:spacing w:before="0" w:beforeAutospacing="0" w:after="0" w:afterAutospacing="0"/>
              <w:ind w:firstLine="482" w:firstLineChars="200"/>
              <w:rPr>
                <w:rFonts w:hint="eastAsia" w:ascii="仿宋" w:hAnsi="仿宋" w:eastAsia="仿宋" w:cs="仿宋"/>
                <w:b/>
                <w:bCs/>
                <w:color w:val="FF0000"/>
                <w:kern w:val="0"/>
                <w:sz w:val="24"/>
              </w:rPr>
            </w:pPr>
            <w:r>
              <w:rPr>
                <w:rFonts w:hint="eastAsia" w:ascii="仿宋" w:hAnsi="仿宋" w:eastAsia="仿宋" w:cs="仿宋"/>
                <w:b/>
                <w:bCs/>
                <w:color w:val="FF0000"/>
                <w:kern w:val="0"/>
                <w:sz w:val="24"/>
              </w:rPr>
              <w:t>本项目方案讲解演示采用U盘演示。每个投标人演示时间不超过1</w:t>
            </w:r>
            <w:r>
              <w:rPr>
                <w:rFonts w:hint="eastAsia" w:ascii="仿宋" w:hAnsi="仿宋" w:eastAsia="仿宋" w:cs="仿宋"/>
                <w:b/>
                <w:bCs/>
                <w:color w:val="FF0000"/>
                <w:kern w:val="0"/>
                <w:sz w:val="24"/>
                <w:lang w:val="en-US" w:eastAsia="zh-CN"/>
              </w:rPr>
              <w:t>0</w:t>
            </w:r>
            <w:r>
              <w:rPr>
                <w:rFonts w:hint="eastAsia" w:ascii="仿宋" w:hAnsi="仿宋" w:eastAsia="仿宋" w:cs="仿宋"/>
                <w:b/>
                <w:bCs/>
                <w:color w:val="FF0000"/>
                <w:kern w:val="0"/>
                <w:sz w:val="24"/>
              </w:rPr>
              <w:t>分钟。</w:t>
            </w:r>
          </w:p>
          <w:p w14:paraId="41F9E14F">
            <w:pPr>
              <w:pStyle w:val="59"/>
              <w:spacing w:before="0" w:beforeAutospacing="0" w:after="0" w:afterAutospacing="0"/>
              <w:ind w:firstLine="482" w:firstLineChars="200"/>
              <w:rPr>
                <w:rFonts w:hint="eastAsia" w:ascii="仿宋" w:hAnsi="仿宋" w:eastAsia="仿宋" w:cs="仿宋"/>
                <w:b/>
                <w:bCs/>
                <w:color w:val="FF0000"/>
                <w:kern w:val="0"/>
                <w:sz w:val="24"/>
              </w:rPr>
            </w:pPr>
            <w:r>
              <w:rPr>
                <w:rFonts w:hint="eastAsia" w:ascii="仿宋" w:hAnsi="仿宋" w:eastAsia="仿宋" w:cs="仿宋"/>
                <w:b/>
                <w:bCs/>
                <w:color w:val="FF0000"/>
                <w:kern w:val="0"/>
                <w:sz w:val="24"/>
              </w:rPr>
              <w:t>演示视频须存储在U盘中并密封包装，包装上注明项目名称、项目编号和</w:t>
            </w:r>
            <w:r>
              <w:rPr>
                <w:rFonts w:hint="eastAsia" w:ascii="仿宋" w:hAnsi="仿宋" w:eastAsia="仿宋" w:cs="仿宋"/>
                <w:b/>
                <w:bCs/>
                <w:color w:val="FF0000"/>
                <w:kern w:val="0"/>
                <w:sz w:val="24"/>
                <w:lang w:val="en-US" w:eastAsia="zh-CN"/>
              </w:rPr>
              <w:t>联系人、</w:t>
            </w:r>
            <w:r>
              <w:rPr>
                <w:rFonts w:hint="eastAsia" w:ascii="仿宋" w:hAnsi="仿宋" w:eastAsia="仿宋" w:cs="仿宋"/>
                <w:b/>
                <w:bCs/>
                <w:color w:val="FF0000"/>
                <w:kern w:val="0"/>
                <w:sz w:val="24"/>
              </w:rPr>
              <w:t>联系方式，在开标截止时间前现场递交或邮寄至指定地点。</w:t>
            </w:r>
            <w:r>
              <w:rPr>
                <w:rFonts w:hint="eastAsia" w:ascii="仿宋" w:hAnsi="仿宋" w:eastAsia="仿宋" w:cs="仿宋"/>
                <w:b/>
                <w:bCs/>
                <w:color w:val="FF0000"/>
                <w:kern w:val="0"/>
                <w:sz w:val="24"/>
                <w:lang w:eastAsia="zh-CN"/>
              </w:rPr>
              <w:t>（</w:t>
            </w:r>
            <w:r>
              <w:rPr>
                <w:rFonts w:hint="eastAsia" w:ascii="仿宋" w:hAnsi="仿宋" w:eastAsia="仿宋" w:cs="仿宋"/>
                <w:b/>
                <w:bCs/>
                <w:color w:val="FF0000"/>
                <w:kern w:val="0"/>
                <w:sz w:val="24"/>
                <w:lang w:val="en-US" w:eastAsia="zh-CN"/>
              </w:rPr>
              <w:t>诸暨市东一路88号朗臻大厦19楼1902号，方月山收，电话18248604053）</w:t>
            </w:r>
          </w:p>
          <w:p w14:paraId="55DB97B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b/>
                <w:bCs/>
                <w:color w:val="FF0000"/>
                <w:kern w:val="0"/>
                <w:sz w:val="24"/>
              </w:rPr>
              <w:t>注：投标人应当确保密封包装在邮寄过程保持完好，因邮寄造成密封包装破损导致不符合接收条件的、因邮寄导致延误的责任或者视频损坏不能播放的风险由投标人自行负担。投标人在邮寄后应及时与联系人确认。</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枫桥镇“红枫研学”项目——枫桥老街越剧名家馆一体化展陈采购</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第三部分"/>
      <w:bookmarkStart w:id="10" w:name="_Toc164416483"/>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69B1DB8E">
      <w:pPr>
        <w:pStyle w:val="51"/>
        <w:rPr>
          <w:rFonts w:hint="eastAsia" w:ascii="仿宋" w:hAnsi="仿宋" w:eastAsia="仿宋" w:cs="仿宋"/>
          <w:b/>
          <w:sz w:val="32"/>
          <w:szCs w:val="20"/>
        </w:rPr>
      </w:pPr>
    </w:p>
    <w:p w14:paraId="031CBF65">
      <w:pPr>
        <w:rPr>
          <w:rFonts w:hint="eastAsia" w:ascii="仿宋" w:hAnsi="仿宋" w:eastAsia="仿宋" w:cs="仿宋"/>
          <w:b/>
          <w:sz w:val="32"/>
          <w:szCs w:val="20"/>
        </w:rPr>
      </w:pPr>
    </w:p>
    <w:p w14:paraId="46D63D7C">
      <w:pPr>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30295"/>
      <w:bookmarkEnd w:id="12"/>
      <w:bookmarkStart w:id="13" w:name="_Hlt68072998"/>
      <w:bookmarkEnd w:id="13"/>
      <w:bookmarkStart w:id="14" w:name="_Hlt74707468"/>
      <w:bookmarkEnd w:id="14"/>
      <w:bookmarkStart w:id="15" w:name="_Hlt75236290"/>
      <w:bookmarkEnd w:id="15"/>
      <w:bookmarkStart w:id="16" w:name="_Hlt74729768"/>
      <w:bookmarkEnd w:id="16"/>
      <w:bookmarkStart w:id="17" w:name="_Hlt68403820"/>
      <w:bookmarkEnd w:id="17"/>
      <w:bookmarkStart w:id="18" w:name="_Hlt68057669"/>
      <w:bookmarkEnd w:id="18"/>
      <w:bookmarkStart w:id="19" w:name="_Hlt74714665"/>
      <w:bookmarkEnd w:id="19"/>
      <w:bookmarkStart w:id="20" w:name="_Hlt75236101"/>
      <w:bookmarkEnd w:id="20"/>
      <w:bookmarkStart w:id="21" w:name="_Hlt68072990"/>
      <w:bookmarkEnd w:id="21"/>
      <w:bookmarkStart w:id="22" w:name="_Hlt75236011"/>
      <w:bookmarkEnd w:id="22"/>
      <w:bookmarkStart w:id="23" w:name="_Hlt68073093"/>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2C64338E">
      <w:pPr>
        <w:autoSpaceDE w:val="0"/>
        <w:adjustRightInd w:val="0"/>
        <w:snapToGrid w:val="0"/>
        <w:spacing w:line="420" w:lineRule="exact"/>
        <w:ind w:firstLine="723" w:firstLineChars="300"/>
        <w:rPr>
          <w:rFonts w:hint="eastAsia" w:ascii="仿宋" w:hAnsi="仿宋" w:eastAsia="仿宋" w:cs="仿宋"/>
          <w:b/>
          <w:sz w:val="24"/>
        </w:rPr>
      </w:pPr>
      <w:r>
        <w:rPr>
          <w:rFonts w:hint="eastAsia" w:ascii="仿宋" w:hAnsi="仿宋" w:eastAsia="仿宋" w:cs="仿宋"/>
          <w:b/>
          <w:sz w:val="24"/>
          <w:lang w:bidi="ar"/>
        </w:rPr>
        <w:t>（一）采购项目概况</w:t>
      </w:r>
    </w:p>
    <w:p w14:paraId="0131A233">
      <w:pPr>
        <w:spacing w:line="400" w:lineRule="exact"/>
        <w:ind w:firstLine="482" w:firstLineChars="200"/>
        <w:rPr>
          <w:rFonts w:hint="eastAsia" w:ascii="仿宋" w:hAnsi="仿宋" w:eastAsia="仿宋" w:cs="仿宋"/>
          <w:sz w:val="24"/>
        </w:rPr>
      </w:pPr>
      <w:r>
        <w:rPr>
          <w:rFonts w:hint="eastAsia" w:ascii="仿宋" w:hAnsi="仿宋" w:eastAsia="仿宋" w:cs="仿宋"/>
          <w:b/>
          <w:kern w:val="0"/>
          <w:sz w:val="24"/>
          <w:shd w:val="clear" w:color="auto" w:fill="FFFFFF"/>
          <w:lang w:bidi="ar"/>
        </w:rPr>
        <w:t>1.项目概况：</w:t>
      </w:r>
      <w:r>
        <w:rPr>
          <w:rFonts w:hint="eastAsia" w:ascii="仿宋" w:hAnsi="仿宋" w:eastAsia="仿宋" w:cs="仿宋"/>
          <w:sz w:val="24"/>
        </w:rPr>
        <w:t>枫桥镇位于浙江省绍兴市诸暨市的东部地区，是一个典型的江南水乡古镇。从地理位置上来看，枫桥镇靠近绍兴市区，距离市中心大约 30 公里，与杭州、宁波等大城市也仅有一至两小时车程，具有极佳的地理优势。</w:t>
      </w:r>
    </w:p>
    <w:p w14:paraId="795637A0">
      <w:pPr>
        <w:spacing w:line="400" w:lineRule="exact"/>
        <w:ind w:firstLine="480" w:firstLineChars="200"/>
        <w:rPr>
          <w:rFonts w:hint="eastAsia" w:ascii="仿宋" w:hAnsi="仿宋" w:eastAsia="仿宋" w:cs="仿宋"/>
          <w:sz w:val="24"/>
        </w:rPr>
      </w:pPr>
      <w:r>
        <w:rPr>
          <w:rFonts w:hint="eastAsia" w:ascii="仿宋" w:hAnsi="仿宋" w:eastAsia="仿宋" w:cs="仿宋"/>
          <w:sz w:val="24"/>
        </w:rPr>
        <w:t>通过枫桥当地的地域文化特色进行元素提炼的</w:t>
      </w:r>
      <w:r>
        <w:rPr>
          <w:rFonts w:hint="eastAsia" w:ascii="仿宋" w:hAnsi="仿宋" w:eastAsia="仿宋" w:cs="仿宋"/>
          <w:sz w:val="24"/>
          <w:lang w:eastAsia="zh-Hans"/>
        </w:rPr>
        <w:t>设计，用</w:t>
      </w:r>
      <w:r>
        <w:rPr>
          <w:rFonts w:hint="eastAsia" w:ascii="仿宋" w:hAnsi="仿宋" w:eastAsia="仿宋" w:cs="仿宋"/>
          <w:sz w:val="24"/>
        </w:rPr>
        <w:t>较为新颖的</w:t>
      </w:r>
      <w:r>
        <w:rPr>
          <w:rFonts w:hint="eastAsia" w:ascii="仿宋" w:hAnsi="仿宋" w:eastAsia="仿宋" w:cs="仿宋"/>
          <w:sz w:val="24"/>
          <w:lang w:eastAsia="zh-Hans"/>
        </w:rPr>
        <w:t>的</w:t>
      </w:r>
      <w:r>
        <w:rPr>
          <w:rFonts w:hint="eastAsia" w:ascii="仿宋" w:hAnsi="仿宋" w:eastAsia="仿宋" w:cs="仿宋"/>
          <w:sz w:val="24"/>
        </w:rPr>
        <w:t>设计手法对原有的展厅的结构、展陈</w:t>
      </w:r>
      <w:r>
        <w:rPr>
          <w:rFonts w:hint="eastAsia" w:ascii="仿宋" w:hAnsi="仿宋" w:eastAsia="仿宋" w:cs="仿宋"/>
          <w:sz w:val="24"/>
          <w:lang w:eastAsia="zh-Hans"/>
        </w:rPr>
        <w:t>方式</w:t>
      </w:r>
      <w:r>
        <w:rPr>
          <w:rFonts w:hint="eastAsia" w:ascii="仿宋" w:hAnsi="仿宋" w:eastAsia="仿宋" w:cs="仿宋"/>
          <w:sz w:val="24"/>
        </w:rPr>
        <w:t>进行提升设计即施工改造</w:t>
      </w:r>
      <w:r>
        <w:rPr>
          <w:rFonts w:hint="eastAsia" w:ascii="仿宋" w:hAnsi="仿宋" w:eastAsia="仿宋" w:cs="仿宋"/>
          <w:sz w:val="24"/>
          <w:lang w:eastAsia="zh-Hans"/>
        </w:rPr>
        <w:t>，</w:t>
      </w:r>
      <w:r>
        <w:rPr>
          <w:rFonts w:hint="eastAsia" w:ascii="仿宋" w:hAnsi="仿宋" w:eastAsia="仿宋" w:cs="仿宋"/>
          <w:sz w:val="24"/>
        </w:rPr>
        <w:t>从设计上形成</w:t>
      </w:r>
      <w:r>
        <w:rPr>
          <w:rFonts w:hint="eastAsia" w:ascii="仿宋" w:hAnsi="仿宋" w:eastAsia="仿宋" w:cs="仿宋"/>
          <w:sz w:val="24"/>
          <w:lang w:eastAsia="zh-Hans"/>
        </w:rPr>
        <w:t>“</w:t>
      </w:r>
      <w:r>
        <w:rPr>
          <w:rFonts w:hint="eastAsia" w:ascii="仿宋" w:hAnsi="仿宋" w:eastAsia="仿宋" w:cs="仿宋"/>
          <w:sz w:val="24"/>
        </w:rPr>
        <w:t>文化</w:t>
      </w:r>
      <w:r>
        <w:rPr>
          <w:rFonts w:hint="eastAsia" w:ascii="仿宋" w:hAnsi="仿宋" w:eastAsia="仿宋" w:cs="仿宋"/>
          <w:sz w:val="24"/>
          <w:lang w:eastAsia="zh-Hans"/>
        </w:rPr>
        <w:t>+”体验产品，</w:t>
      </w:r>
      <w:r>
        <w:rPr>
          <w:rFonts w:hint="eastAsia" w:ascii="仿宋" w:hAnsi="仿宋" w:eastAsia="仿宋" w:cs="仿宋"/>
          <w:sz w:val="24"/>
        </w:rPr>
        <w:t>对枫桥的风土人文、越剧渊源、名人风采作深入研究和呈现，需要展现出枫桥的风韵文化、地域特色、产业融合和越剧名家对于该地区文化的影响和取得的丰硕成果；展馆具有越剧名人展示、剧场+、互动研学、办公功能。拉动越剧产业的关注度和增加越剧观赏的可能性，增强枫桥当地的文化吸引力和影响力。</w:t>
      </w:r>
    </w:p>
    <w:p w14:paraId="46448518">
      <w:pPr>
        <w:spacing w:line="400" w:lineRule="exact"/>
        <w:ind w:firstLine="482" w:firstLineChars="200"/>
        <w:rPr>
          <w:rFonts w:hint="eastAsia" w:ascii="仿宋" w:hAnsi="仿宋" w:eastAsia="仿宋" w:cs="仿宋"/>
          <w:sz w:val="24"/>
        </w:rPr>
      </w:pPr>
      <w:r>
        <w:rPr>
          <w:rFonts w:hint="eastAsia" w:ascii="仿宋" w:hAnsi="仿宋" w:eastAsia="仿宋" w:cs="仿宋"/>
          <w:b/>
          <w:sz w:val="24"/>
          <w:lang w:bidi="ar"/>
        </w:rPr>
        <w:t>2.项目内容：</w:t>
      </w:r>
      <w:r>
        <w:rPr>
          <w:rFonts w:hint="eastAsia" w:ascii="仿宋" w:hAnsi="仿宋" w:eastAsia="仿宋" w:cs="仿宋"/>
          <w:sz w:val="24"/>
        </w:rPr>
        <w:t>枫桥越剧名人馆项目采购范围包括：展馆面积约300平方米、基于场馆现有的平面布局、基础设施、楼层整体路线，对原有场馆进行完整的项目设计提升及落地施工。要求对在地文化进行分析提取，确定各区域的展陈主题及具体展陈内容。对前厅（1-2层）、转换中庭、剧场（1-2层）提出并依照设计方案及采购需求提供配套设备，列举配套清单、数量、价格。</w:t>
      </w:r>
    </w:p>
    <w:p w14:paraId="75BD71C4">
      <w:pPr>
        <w:spacing w:line="400" w:lineRule="exact"/>
        <w:ind w:firstLine="480" w:firstLineChars="200"/>
        <w:rPr>
          <w:rFonts w:hint="eastAsia" w:ascii="仿宋" w:hAnsi="仿宋" w:eastAsia="仿宋" w:cs="仿宋"/>
          <w:sz w:val="24"/>
        </w:rPr>
      </w:pPr>
      <w:r>
        <w:rPr>
          <w:rFonts w:hint="eastAsia" w:ascii="仿宋" w:hAnsi="仿宋" w:eastAsia="仿宋" w:cs="仿宋"/>
          <w:sz w:val="24"/>
        </w:rPr>
        <w:t>主要包括以下几块内容：</w:t>
      </w:r>
    </w:p>
    <w:p w14:paraId="53F94A47">
      <w:pPr>
        <w:spacing w:line="400" w:lineRule="exact"/>
        <w:ind w:firstLine="480" w:firstLineChars="200"/>
        <w:rPr>
          <w:rFonts w:hint="eastAsia" w:ascii="仿宋" w:hAnsi="仿宋" w:eastAsia="仿宋" w:cs="仿宋"/>
          <w:sz w:val="24"/>
        </w:rPr>
      </w:pPr>
      <w:r>
        <w:rPr>
          <w:rFonts w:hint="eastAsia" w:ascii="仿宋" w:hAnsi="仿宋" w:eastAsia="仿宋" w:cs="仿宋"/>
          <w:sz w:val="24"/>
        </w:rPr>
        <w:t>整体设计策划：包括前厅（1-2层）、转换中庭、剧场（1-2层）的内容策划、结构设计、展厅展陈设计、剧场设计、休息区域及办公区设计方案等；</w:t>
      </w:r>
    </w:p>
    <w:p w14:paraId="27C87B5E">
      <w:pPr>
        <w:spacing w:line="400" w:lineRule="exact"/>
        <w:ind w:firstLine="480" w:firstLineChars="200"/>
        <w:rPr>
          <w:rFonts w:hint="eastAsia" w:ascii="仿宋" w:hAnsi="仿宋" w:eastAsia="仿宋" w:cs="仿宋"/>
          <w:sz w:val="24"/>
        </w:rPr>
      </w:pPr>
      <w:r>
        <w:rPr>
          <w:rFonts w:hint="eastAsia" w:ascii="仿宋" w:hAnsi="仿宋" w:eastAsia="仿宋" w:cs="仿宋"/>
          <w:sz w:val="24"/>
        </w:rPr>
        <w:t>空间设计规划：包括空间区块规划、游线设计、空间视觉设计等；要求提供不少于五张效果图，包括整体空间俯瞰图，各区块具体效果图等；</w:t>
      </w:r>
    </w:p>
    <w:p w14:paraId="68682340">
      <w:pPr>
        <w:spacing w:line="400" w:lineRule="exact"/>
        <w:ind w:firstLine="480" w:firstLineChars="200"/>
        <w:rPr>
          <w:rFonts w:hint="eastAsia" w:ascii="仿宋" w:hAnsi="仿宋" w:eastAsia="仿宋" w:cs="仿宋"/>
          <w:sz w:val="24"/>
        </w:rPr>
      </w:pPr>
      <w:r>
        <w:rPr>
          <w:rFonts w:hint="eastAsia" w:ascii="仿宋" w:hAnsi="仿宋" w:eastAsia="仿宋" w:cs="仿宋"/>
          <w:sz w:val="24"/>
        </w:rPr>
        <w:t>展陈内容策划：包括展览区块主题规划、具体展陈内容大纲提取；展陈内容的具体表现形式等；</w:t>
      </w:r>
    </w:p>
    <w:p w14:paraId="3EF27DF5">
      <w:pPr>
        <w:spacing w:line="400" w:lineRule="exact"/>
        <w:ind w:firstLine="480" w:firstLineChars="200"/>
        <w:rPr>
          <w:rFonts w:hint="eastAsia" w:ascii="仿宋" w:hAnsi="仿宋" w:eastAsia="仿宋" w:cs="仿宋"/>
          <w:sz w:val="24"/>
        </w:rPr>
      </w:pPr>
      <w:r>
        <w:rPr>
          <w:rFonts w:hint="eastAsia" w:ascii="仿宋" w:hAnsi="仿宋" w:eastAsia="仿宋" w:cs="仿宋"/>
          <w:sz w:val="24"/>
        </w:rPr>
        <w:t>项目服务：要求所提供设计理念切实符合项目特点、效果图、实施图、实施方案、售后服务等内容。包括依照设计方案及采购需求提供的配套设备方案、设备清单、技术参数、设备数量、价格、实施计划、后期配套服务等；</w:t>
      </w:r>
    </w:p>
    <w:p w14:paraId="14E19105">
      <w:pPr>
        <w:spacing w:line="400" w:lineRule="exact"/>
        <w:ind w:firstLine="480" w:firstLineChars="200"/>
        <w:rPr>
          <w:rFonts w:hint="eastAsia" w:ascii="仿宋" w:hAnsi="仿宋" w:eastAsia="仿宋" w:cs="仿宋"/>
          <w:sz w:val="24"/>
        </w:rPr>
      </w:pPr>
      <w:r>
        <w:rPr>
          <w:rFonts w:hint="eastAsia" w:ascii="仿宋" w:hAnsi="仿宋" w:eastAsia="仿宋" w:cs="仿宋"/>
          <w:sz w:val="24"/>
        </w:rPr>
        <w:t>项目施工：对本项目进行完整的落地施工。</w:t>
      </w:r>
    </w:p>
    <w:p w14:paraId="4F72BEF2">
      <w:pPr>
        <w:spacing w:line="400" w:lineRule="exact"/>
        <w:ind w:firstLine="480" w:firstLineChars="200"/>
        <w:rPr>
          <w:rFonts w:hint="eastAsia" w:ascii="仿宋" w:hAnsi="仿宋" w:eastAsia="仿宋" w:cs="仿宋"/>
          <w:sz w:val="24"/>
        </w:rPr>
      </w:pPr>
      <w:r>
        <w:rPr>
          <w:rFonts w:hint="eastAsia" w:ascii="仿宋" w:hAnsi="仿宋" w:eastAsia="仿宋" w:cs="仿宋"/>
          <w:sz w:val="24"/>
        </w:rPr>
        <w:t>设备基本要求：必须包含以下设备：</w:t>
      </w:r>
    </w:p>
    <w:p w14:paraId="191F552D">
      <w:pPr>
        <w:spacing w:line="400" w:lineRule="exact"/>
        <w:ind w:firstLine="480" w:firstLineChars="200"/>
        <w:rPr>
          <w:rFonts w:hint="eastAsia" w:ascii="仿宋" w:hAnsi="仿宋" w:eastAsia="仿宋" w:cs="仿宋"/>
          <w:sz w:val="24"/>
        </w:rPr>
      </w:pPr>
      <w:r>
        <w:rPr>
          <w:rFonts w:hint="eastAsia" w:ascii="仿宋" w:hAnsi="仿宋" w:eastAsia="仿宋" w:cs="仿宋"/>
          <w:sz w:val="24"/>
        </w:rPr>
        <w:t>1、投影仪器2台；</w:t>
      </w:r>
    </w:p>
    <w:p w14:paraId="0225C22B">
      <w:pPr>
        <w:spacing w:line="400" w:lineRule="exact"/>
        <w:ind w:firstLine="480" w:firstLineChars="200"/>
        <w:rPr>
          <w:rFonts w:hint="eastAsia" w:ascii="仿宋" w:hAnsi="仿宋" w:eastAsia="仿宋" w:cs="仿宋"/>
          <w:sz w:val="24"/>
        </w:rPr>
      </w:pPr>
      <w:r>
        <w:rPr>
          <w:rFonts w:hint="eastAsia" w:ascii="仿宋" w:hAnsi="仿宋" w:eastAsia="仿宋" w:cs="仿宋"/>
          <w:sz w:val="24"/>
        </w:rPr>
        <w:t>2、投影幕布一套；</w:t>
      </w:r>
    </w:p>
    <w:p w14:paraId="3C7542DC">
      <w:pPr>
        <w:spacing w:line="400" w:lineRule="exact"/>
        <w:ind w:firstLine="480" w:firstLineChars="200"/>
        <w:rPr>
          <w:rFonts w:hint="eastAsia" w:ascii="仿宋" w:hAnsi="仿宋" w:eastAsia="仿宋" w:cs="仿宋"/>
          <w:sz w:val="24"/>
        </w:rPr>
      </w:pPr>
      <w:r>
        <w:rPr>
          <w:rFonts w:hint="eastAsia" w:ascii="仿宋" w:hAnsi="仿宋" w:eastAsia="仿宋" w:cs="仿宋"/>
          <w:sz w:val="24"/>
        </w:rPr>
        <w:t>3、舞台灯光系统一套；</w:t>
      </w:r>
    </w:p>
    <w:p w14:paraId="57C2CC76">
      <w:pPr>
        <w:spacing w:line="400" w:lineRule="exact"/>
        <w:ind w:firstLine="480" w:firstLineChars="200"/>
        <w:rPr>
          <w:rFonts w:hint="eastAsia" w:ascii="仿宋" w:hAnsi="仿宋" w:eastAsia="仿宋" w:cs="仿宋"/>
          <w:sz w:val="24"/>
        </w:rPr>
      </w:pPr>
      <w:r>
        <w:rPr>
          <w:rFonts w:hint="eastAsia" w:ascii="仿宋" w:hAnsi="仿宋" w:eastAsia="仿宋" w:cs="仿宋"/>
          <w:sz w:val="24"/>
        </w:rPr>
        <w:t>4、舞台音响系统一套。</w:t>
      </w:r>
    </w:p>
    <w:p w14:paraId="53C598F7">
      <w:pPr>
        <w:spacing w:line="400" w:lineRule="exact"/>
        <w:ind w:firstLine="480" w:firstLineChars="200"/>
        <w:rPr>
          <w:rFonts w:hint="eastAsia" w:ascii="仿宋" w:hAnsi="仿宋" w:eastAsia="仿宋" w:cs="仿宋"/>
          <w:sz w:val="24"/>
        </w:rPr>
      </w:pPr>
      <w:r>
        <w:rPr>
          <w:rFonts w:hint="eastAsia" w:ascii="仿宋" w:hAnsi="仿宋" w:eastAsia="仿宋" w:cs="仿宋"/>
          <w:sz w:val="24"/>
        </w:rPr>
        <w:t>5、设计、策划要求提供完整的策划方案、设计理念、平面设计图、效果图、施工图纸、</w:t>
      </w:r>
      <w:r>
        <w:rPr>
          <w:rFonts w:hint="eastAsia" w:ascii="仿宋" w:hAnsi="仿宋" w:eastAsia="仿宋" w:cs="仿宋"/>
          <w:sz w:val="24"/>
          <w:lang w:eastAsia="zh-Hans"/>
        </w:rPr>
        <w:t>技术</w:t>
      </w:r>
      <w:r>
        <w:rPr>
          <w:rFonts w:hint="eastAsia" w:ascii="仿宋" w:hAnsi="仿宋" w:eastAsia="仿宋" w:cs="仿宋"/>
          <w:sz w:val="24"/>
        </w:rPr>
        <w:t>参数等内容。</w:t>
      </w:r>
    </w:p>
    <w:p w14:paraId="32457B1A">
      <w:pPr>
        <w:autoSpaceDE w:val="0"/>
        <w:spacing w:line="420" w:lineRule="exact"/>
        <w:ind w:firstLine="466" w:firstLineChars="200"/>
        <w:rPr>
          <w:rFonts w:hint="eastAsia" w:ascii="仿宋" w:hAnsi="仿宋" w:eastAsia="仿宋" w:cs="仿宋"/>
          <w:b/>
          <w:bCs/>
          <w:spacing w:val="-4"/>
          <w:sz w:val="24"/>
        </w:rPr>
      </w:pPr>
      <w:r>
        <w:rPr>
          <w:rFonts w:hint="eastAsia" w:ascii="仿宋" w:hAnsi="仿宋" w:eastAsia="仿宋" w:cs="仿宋"/>
          <w:b/>
          <w:bCs/>
          <w:spacing w:val="-4"/>
          <w:sz w:val="24"/>
          <w:lang w:bidi="ar"/>
        </w:rPr>
        <w:t>3.设计要求：</w:t>
      </w:r>
    </w:p>
    <w:p w14:paraId="1A8CC859">
      <w:pPr>
        <w:autoSpaceDE w:val="0"/>
        <w:spacing w:line="420" w:lineRule="exact"/>
        <w:rPr>
          <w:rFonts w:hint="eastAsia" w:ascii="仿宋" w:hAnsi="仿宋" w:eastAsia="仿宋" w:cs="仿宋"/>
          <w:spacing w:val="-4"/>
          <w:sz w:val="24"/>
        </w:rPr>
      </w:pPr>
      <w:r>
        <w:rPr>
          <w:rFonts w:hint="eastAsia" w:ascii="仿宋" w:hAnsi="仿宋" w:eastAsia="仿宋" w:cs="仿宋"/>
          <w:spacing w:val="-4"/>
          <w:sz w:val="24"/>
          <w:lang w:bidi="ar"/>
        </w:rPr>
        <w:t>(1)项目设计结合当地特色相关元素，追求文化性的统一，营造主题突出、特色鲜明的文创展示中心。</w:t>
      </w:r>
    </w:p>
    <w:p w14:paraId="73C7D867">
      <w:pPr>
        <w:autoSpaceDE w:val="0"/>
        <w:spacing w:line="420" w:lineRule="exact"/>
        <w:rPr>
          <w:rFonts w:hint="eastAsia" w:ascii="仿宋" w:hAnsi="仿宋" w:eastAsia="仿宋" w:cs="仿宋"/>
          <w:spacing w:val="-4"/>
          <w:sz w:val="24"/>
          <w:lang w:bidi="ar"/>
        </w:rPr>
      </w:pPr>
      <w:r>
        <w:rPr>
          <w:rFonts w:hint="eastAsia" w:ascii="仿宋" w:hAnsi="仿宋" w:eastAsia="仿宋" w:cs="仿宋"/>
          <w:spacing w:val="-4"/>
          <w:sz w:val="24"/>
          <w:lang w:bidi="ar"/>
        </w:rPr>
        <w:t>(2)合理布局节点小品，功能齐全、分区明显，注重实用性和服务性。</w:t>
      </w:r>
    </w:p>
    <w:p w14:paraId="64940D4C">
      <w:pPr>
        <w:autoSpaceDE w:val="0"/>
        <w:spacing w:line="420" w:lineRule="exact"/>
        <w:rPr>
          <w:rFonts w:hint="eastAsia" w:ascii="仿宋" w:hAnsi="仿宋" w:eastAsia="仿宋" w:cs="仿宋"/>
          <w:color w:val="C55911"/>
          <w:kern w:val="0"/>
          <w:sz w:val="24"/>
        </w:rPr>
      </w:pPr>
      <w:r>
        <w:rPr>
          <w:rFonts w:hint="eastAsia" w:ascii="仿宋" w:hAnsi="仿宋" w:eastAsia="仿宋" w:cs="仿宋"/>
          <w:spacing w:val="-4"/>
          <w:sz w:val="24"/>
        </w:rPr>
        <w:t>(3)项目设计风格为现代风，应特色鲜明、简洁大气。</w:t>
      </w:r>
    </w:p>
    <w:p w14:paraId="5EBEF03F">
      <w:pPr>
        <w:autoSpaceDE w:val="0"/>
        <w:spacing w:line="420" w:lineRule="exact"/>
        <w:ind w:firstLine="466" w:firstLineChars="200"/>
        <w:rPr>
          <w:rFonts w:hint="eastAsia" w:ascii="仿宋" w:hAnsi="仿宋" w:eastAsia="仿宋" w:cs="仿宋"/>
          <w:spacing w:val="-4"/>
          <w:sz w:val="24"/>
          <w:lang w:bidi="ar"/>
        </w:rPr>
      </w:pPr>
      <w:r>
        <w:rPr>
          <w:rFonts w:hint="eastAsia" w:ascii="仿宋" w:hAnsi="仿宋" w:eastAsia="仿宋" w:cs="仿宋"/>
          <w:b/>
          <w:bCs/>
          <w:spacing w:val="-4"/>
          <w:sz w:val="24"/>
          <w:lang w:bidi="ar"/>
        </w:rPr>
        <w:t>4.功能布局：</w:t>
      </w:r>
      <w:r>
        <w:rPr>
          <w:rFonts w:hint="eastAsia" w:ascii="仿宋" w:hAnsi="仿宋" w:eastAsia="仿宋" w:cs="仿宋"/>
          <w:spacing w:val="-4"/>
          <w:sz w:val="24"/>
          <w:lang w:bidi="ar"/>
        </w:rPr>
        <w:t>能够完整表达设计内容体系在当地环境中的合理布局，须满足相关辅助性服务，对区域进行合理规划。</w:t>
      </w:r>
    </w:p>
    <w:p w14:paraId="04CDE715">
      <w:pPr>
        <w:autoSpaceDE w:val="0"/>
        <w:spacing w:line="420" w:lineRule="exact"/>
        <w:ind w:firstLine="466" w:firstLineChars="200"/>
        <w:rPr>
          <w:rFonts w:hint="eastAsia" w:ascii="仿宋" w:hAnsi="仿宋" w:eastAsia="仿宋" w:cs="仿宋"/>
          <w:b/>
          <w:bCs/>
          <w:spacing w:val="-4"/>
          <w:sz w:val="24"/>
          <w:lang w:bidi="ar"/>
        </w:rPr>
      </w:pPr>
      <w:r>
        <w:rPr>
          <w:rFonts w:hint="eastAsia" w:ascii="仿宋" w:hAnsi="仿宋" w:eastAsia="仿宋" w:cs="仿宋"/>
          <w:b/>
          <w:bCs/>
          <w:spacing w:val="-4"/>
          <w:sz w:val="24"/>
          <w:lang w:bidi="ar"/>
        </w:rPr>
        <w:t>5.项目采购需求清单</w:t>
      </w:r>
    </w:p>
    <w:tbl>
      <w:tblPr>
        <w:tblStyle w:val="65"/>
        <w:tblW w:w="9327" w:type="dxa"/>
        <w:jc w:val="center"/>
        <w:tblLayout w:type="fixed"/>
        <w:tblCellMar>
          <w:top w:w="0" w:type="dxa"/>
          <w:left w:w="108" w:type="dxa"/>
          <w:bottom w:w="0" w:type="dxa"/>
          <w:right w:w="108" w:type="dxa"/>
        </w:tblCellMar>
      </w:tblPr>
      <w:tblGrid>
        <w:gridCol w:w="683"/>
        <w:gridCol w:w="2932"/>
        <w:gridCol w:w="2195"/>
        <w:gridCol w:w="1526"/>
        <w:gridCol w:w="968"/>
        <w:gridCol w:w="1023"/>
      </w:tblGrid>
      <w:tr w14:paraId="7240EF86">
        <w:tblPrEx>
          <w:tblCellMar>
            <w:top w:w="0" w:type="dxa"/>
            <w:left w:w="108" w:type="dxa"/>
            <w:bottom w:w="0" w:type="dxa"/>
            <w:right w:w="108" w:type="dxa"/>
          </w:tblCellMar>
        </w:tblPrEx>
        <w:trPr>
          <w:trHeight w:val="40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005E9">
            <w:pPr>
              <w:widowControl/>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DD34">
            <w:pPr>
              <w:widowControl/>
              <w:ind w:firstLine="1265" w:firstLineChars="600"/>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项目</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A492">
            <w:pPr>
              <w:widowControl/>
              <w:ind w:firstLine="843" w:firstLineChars="400"/>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材料</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CDF0">
            <w:pPr>
              <w:widowControl/>
              <w:ind w:firstLine="422" w:firstLineChars="200"/>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尺寸</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9E80">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单位</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C3E40">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数量</w:t>
            </w:r>
          </w:p>
        </w:tc>
      </w:tr>
      <w:tr w14:paraId="46ACCE82">
        <w:tblPrEx>
          <w:tblCellMar>
            <w:top w:w="0" w:type="dxa"/>
            <w:left w:w="108" w:type="dxa"/>
            <w:bottom w:w="0" w:type="dxa"/>
            <w:right w:w="108" w:type="dxa"/>
          </w:tblCellMar>
        </w:tblPrEx>
        <w:trPr>
          <w:trHeight w:val="4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0211CA99">
            <w:pPr>
              <w:widowControl/>
              <w:jc w:val="center"/>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前厅一层展区</w:t>
            </w:r>
          </w:p>
        </w:tc>
      </w:tr>
      <w:tr w14:paraId="23BCA349">
        <w:tblPrEx>
          <w:tblCellMar>
            <w:top w:w="0" w:type="dxa"/>
            <w:left w:w="108" w:type="dxa"/>
            <w:bottom w:w="0" w:type="dxa"/>
            <w:right w:w="108" w:type="dxa"/>
          </w:tblCellMar>
        </w:tblPrEx>
        <w:trPr>
          <w:trHeight w:val="45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C038">
            <w:pPr>
              <w:widowControl/>
              <w:textAlignment w:val="center"/>
              <w:rPr>
                <w:rFonts w:hint="eastAsia" w:ascii="仿宋" w:hAnsi="仿宋" w:eastAsia="仿宋" w:cs="仿宋"/>
                <w:color w:val="auto"/>
                <w:sz w:val="21"/>
                <w:szCs w:val="21"/>
              </w:rPr>
            </w:pPr>
            <w:bookmarkStart w:id="25" w:name="_Hlk198371512"/>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145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中式木制门入口</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BA8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15D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3*双开门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6D7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2F6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r>
      <w:bookmarkEnd w:id="25"/>
      <w:tr w14:paraId="2F00792E">
        <w:tblPrEx>
          <w:tblCellMar>
            <w:top w:w="0" w:type="dxa"/>
            <w:left w:w="108" w:type="dxa"/>
            <w:bottom w:w="0" w:type="dxa"/>
            <w:right w:w="108" w:type="dxa"/>
          </w:tblCellMar>
        </w:tblPrEx>
        <w:trPr>
          <w:trHeight w:val="47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E99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795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顶面基层处理+油漆</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A7F0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棕木色木器环保漆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89BB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展厅顶面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42C9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51A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50ED88F">
        <w:tblPrEx>
          <w:tblCellMar>
            <w:top w:w="0" w:type="dxa"/>
            <w:left w:w="108" w:type="dxa"/>
            <w:bottom w:w="0" w:type="dxa"/>
            <w:right w:w="108" w:type="dxa"/>
          </w:tblCellMar>
        </w:tblPrEx>
        <w:trPr>
          <w:trHeight w:val="45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6572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5165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展区墙面基层</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AD4D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腻子</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5C7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123平米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10B6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7FD7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32A0E74">
        <w:tblPrEx>
          <w:tblCellMar>
            <w:top w:w="0" w:type="dxa"/>
            <w:left w:w="108" w:type="dxa"/>
            <w:bottom w:w="0" w:type="dxa"/>
            <w:right w:w="108" w:type="dxa"/>
          </w:tblCellMar>
        </w:tblPrEx>
        <w:trPr>
          <w:trHeight w:val="4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9B3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07D9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展区墙面</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F0C8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轻钢+阻燃板</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C88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123平米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F299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EF3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DD2BF30">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8D39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7A95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中式木制门室内</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0E2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071A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2开门</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1446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3CC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r>
      <w:tr w14:paraId="28A1DE69">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15B1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E53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卷轴制作</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27BC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9022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C97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56E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9E8B4C1">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65F3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30B8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玻璃展柜</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D28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E96C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684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8C60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r>
      <w:tr w14:paraId="026D0991">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4588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361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玻璃展柜</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3C8F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12D2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1.2*0.6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4F00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F2D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r>
      <w:tr w14:paraId="79E91876">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2F7B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41E5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墙体底面广告</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99AE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宣绒布定制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9D0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123平米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1C9A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F047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57AB57E">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8674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DBD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墙面软装</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07F6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亚克力+PVC</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73B0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385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57F6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8F8670D">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199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EF0E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墙面展板造型</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479D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阻燃板、石膏板</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E4FB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20平方</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CFE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272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E486CF0">
        <w:tblPrEx>
          <w:tblCellMar>
            <w:top w:w="0" w:type="dxa"/>
            <w:left w:w="108" w:type="dxa"/>
            <w:bottom w:w="0" w:type="dxa"/>
            <w:right w:w="108" w:type="dxa"/>
          </w:tblCellMar>
        </w:tblPrEx>
        <w:trPr>
          <w:trHeight w:val="48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18C0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57DD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地砖</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B762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浅灰色地砖、美缝</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5238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1层展区地面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E62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B0B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DBF2636">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2D8D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5FB3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木饰面展台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1C8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木饰面</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49D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172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D276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1DD66A4">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A343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2632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原柱子处理（含外墙窗户）</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5153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棕木色木器环保漆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4618">
            <w:pPr>
              <w:widowControl/>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柱、窗油漆面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D5EB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EAF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95B74EF">
        <w:tblPrEx>
          <w:tblCellMar>
            <w:top w:w="0" w:type="dxa"/>
            <w:left w:w="108" w:type="dxa"/>
            <w:bottom w:w="0" w:type="dxa"/>
            <w:right w:w="108" w:type="dxa"/>
          </w:tblCellMar>
        </w:tblPrEx>
        <w:trPr>
          <w:trHeight w:val="50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D525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7D4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拆除工程及成品保护</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501A">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1F13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3918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07DC">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0EBD19D">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E7D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950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原结构处理加固</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BD0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202D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696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B223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B40BA0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F76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7D2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不锈钢踢脚线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36E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1.2mm拉丝不锈钢</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45A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36米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F4FA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66B8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D14B7E6">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6E22097D">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前厅二层区域（复合型区）</w:t>
            </w:r>
          </w:p>
        </w:tc>
      </w:tr>
      <w:tr w14:paraId="4B54642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64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16E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墙面艺术漆</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EBD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艺术漆</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B49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90平米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B5C">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F0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8F8E6E9">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F1A5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04D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木制品漆面翻新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61E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318B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DF2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9454">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272CAA4">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2004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9C2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仿古门窗造型</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6E2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E672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38CD4">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FD7B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4953831">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29F5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4105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定制家具</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812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63A1">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2543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691C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879AEE6">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8050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E944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地面复合地板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FD4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2F6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36平方</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914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2023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77DABD5">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1E6E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DBC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实木门定制</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911D">
            <w:pP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632C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单开门</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FD2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7BC9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0FCAE68">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15D2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D45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不锈钢踢脚线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05BC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1.2mm拉丝不锈钢</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CCF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24米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B58D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m</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E98A4">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2851AC5">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3F634038">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前厅二层区域（VIP等候区）</w:t>
            </w:r>
          </w:p>
        </w:tc>
      </w:tr>
      <w:tr w14:paraId="19906B3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2CB8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983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墙面艺术漆</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A4D9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艺术漆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8ECF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09B06">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DB3A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149FCF8">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B75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E222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木制品漆面翻新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EC69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EE55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C050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D222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589D18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126C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0EB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定制中式家具</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99DC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7C16">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75E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04C1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4B7DC3F">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9CCC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CFEA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地面复合地板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C83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AC60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36平方</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7ABB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E755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B9B95ED">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5185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B40A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不锈钢踢脚线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34A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1.2mm拉丝不锈钢</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06EE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BBE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m</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CC61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5D14A57">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4EED39D9">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转换中庭</w:t>
            </w:r>
          </w:p>
        </w:tc>
      </w:tr>
      <w:tr w14:paraId="524F2E57">
        <w:tblPrEx>
          <w:tblCellMar>
            <w:top w:w="0" w:type="dxa"/>
            <w:left w:w="108" w:type="dxa"/>
            <w:bottom w:w="0" w:type="dxa"/>
            <w:right w:w="108" w:type="dxa"/>
          </w:tblCellMar>
        </w:tblPrEx>
        <w:trPr>
          <w:trHeight w:val="5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9D08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2B7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墙面基层</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2B75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防水腻子</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CDC6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中庭内墙面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D318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7CE2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B8F721A">
        <w:tblPrEx>
          <w:tblCellMar>
            <w:top w:w="0" w:type="dxa"/>
            <w:left w:w="108" w:type="dxa"/>
            <w:bottom w:w="0" w:type="dxa"/>
            <w:right w:w="108" w:type="dxa"/>
          </w:tblCellMar>
        </w:tblPrEx>
        <w:trPr>
          <w:trHeight w:val="59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1EE2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71BB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墙面外墙防水艺术漆</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2231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艺术漆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3CE7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中庭内墙面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8C3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A42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8F37214">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9F8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9E0E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墙面艺术漆喷绘</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DE84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5479D">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AFA5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67F3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9E0E9B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0958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04DE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石刻桌凳</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6369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3D5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2C4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9D5A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C5587A7">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BFE7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EDF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防滑地砖</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9E0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浅灰色地砖、勾缝</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9E64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中庭地面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735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4D6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D734FC0">
        <w:tblPrEx>
          <w:tblCellMar>
            <w:top w:w="0" w:type="dxa"/>
            <w:left w:w="108" w:type="dxa"/>
            <w:bottom w:w="0" w:type="dxa"/>
            <w:right w:w="108" w:type="dxa"/>
          </w:tblCellMar>
        </w:tblPrEx>
        <w:trPr>
          <w:trHeight w:val="53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2AA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E28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强电配电（含电线、线管、暗盒）</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A1894">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AC46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C5EF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3692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15B7E9E">
        <w:tblPrEx>
          <w:tblCellMar>
            <w:top w:w="0" w:type="dxa"/>
            <w:left w:w="108" w:type="dxa"/>
            <w:bottom w:w="0" w:type="dxa"/>
            <w:right w:w="108" w:type="dxa"/>
          </w:tblCellMar>
        </w:tblPrEx>
        <w:trPr>
          <w:trHeight w:val="57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0CD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4FE8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拆除工程及成品保护</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31454">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4EA2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E8B5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2A2C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0300AB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2CF8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EBD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中式实木门</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2736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0C48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单开门</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9057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54DD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r>
      <w:tr w14:paraId="333982C3">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0C2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CA8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不锈钢踢脚线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96F0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7201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21A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30C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39FA843">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02AB12A2">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剧场一层区域</w:t>
            </w:r>
          </w:p>
        </w:tc>
      </w:tr>
      <w:tr w14:paraId="4A48D877">
        <w:tblPrEx>
          <w:tblCellMar>
            <w:top w:w="0" w:type="dxa"/>
            <w:left w:w="108" w:type="dxa"/>
            <w:bottom w:w="0" w:type="dxa"/>
            <w:right w:w="108" w:type="dxa"/>
          </w:tblCellMar>
        </w:tblPrEx>
        <w:trPr>
          <w:trHeight w:val="70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AC7D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05E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舞台制作</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93B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方管、角钢、阻燃板、木饰面等</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367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9CA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024C">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2D1BDA8">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A812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0DA1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顶面造型</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5D3F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异型</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8AD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1CF0">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3604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ECB6C27">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CB44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31B2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硅胶灯带</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7C69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软硅胶灯带</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9428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F325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68E6">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E7EF71D">
        <w:tblPrEx>
          <w:tblCellMar>
            <w:top w:w="0" w:type="dxa"/>
            <w:left w:w="108" w:type="dxa"/>
            <w:bottom w:w="0" w:type="dxa"/>
            <w:right w:w="108" w:type="dxa"/>
          </w:tblCellMar>
        </w:tblPrEx>
        <w:trPr>
          <w:trHeight w:val="58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D6C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155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顶面基层处理+油漆</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D896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棕木色木器环保漆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7758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CF86D">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83A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CDDB4B4">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D9C6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6146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霓虹灯</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3E15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PVC霓虹灯</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E650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11平米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16DF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D736">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5C7F86C">
        <w:tblPrEx>
          <w:tblCellMar>
            <w:top w:w="0" w:type="dxa"/>
            <w:left w:w="108" w:type="dxa"/>
            <w:bottom w:w="0" w:type="dxa"/>
            <w:right w:w="108" w:type="dxa"/>
          </w:tblCellMar>
        </w:tblPrEx>
        <w:trPr>
          <w:trHeight w:val="54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A6C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765B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墙面仿古门窗造型</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E2A5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FDC4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38平米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CB53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6F2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43B4191">
        <w:tblPrEx>
          <w:tblCellMar>
            <w:top w:w="0" w:type="dxa"/>
            <w:left w:w="108" w:type="dxa"/>
            <w:bottom w:w="0" w:type="dxa"/>
            <w:right w:w="108" w:type="dxa"/>
          </w:tblCellMar>
        </w:tblPrEx>
        <w:trPr>
          <w:trHeight w:val="48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621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0D7D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中式木结构造型墙</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F2C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FE6E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1AE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BCB8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D769E37">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7ABC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A52A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广告展板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F7E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宣绒布定制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07D5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DC04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235D6">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590F910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3DEB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1199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墙面无机涂料</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7BB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腻子乳胶漆等</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542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7D4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DAC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0FA0694">
        <w:tblPrEx>
          <w:tblCellMar>
            <w:top w:w="0" w:type="dxa"/>
            <w:left w:w="108" w:type="dxa"/>
            <w:bottom w:w="0" w:type="dxa"/>
            <w:right w:w="108" w:type="dxa"/>
          </w:tblCellMar>
        </w:tblPrEx>
        <w:trPr>
          <w:trHeight w:val="48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248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9F7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原门窗及柱子修补</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CDE6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棕木色木器环保漆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2CC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D0C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8FF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3DAEFB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A16C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71D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不锈钢踢脚线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7FF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1.2mm拉丝不锈钢</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2D80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26米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AF5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m</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58E6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4C546217">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71F8DCDC">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剧场二层区域</w:t>
            </w:r>
          </w:p>
        </w:tc>
      </w:tr>
      <w:tr w14:paraId="6C9372A8">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47A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FD04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木质方格屏风</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885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873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2FD1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CE743">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r>
      <w:tr w14:paraId="6FD82EF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E366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D971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钢化玻璃围挡</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717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88B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25平米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36A7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F55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1B704963">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57A7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E99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围挡基台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2BF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实木制作不锈钢包边</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F282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25米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058F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F5D4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19241E9">
        <w:tblPrEx>
          <w:tblCellMar>
            <w:top w:w="0" w:type="dxa"/>
            <w:left w:w="108" w:type="dxa"/>
            <w:bottom w:w="0" w:type="dxa"/>
            <w:right w:w="108" w:type="dxa"/>
          </w:tblCellMar>
        </w:tblPrEx>
        <w:trPr>
          <w:trHeight w:val="50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84C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35E8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造型玻璃橱柜</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B0C2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1D19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2.4*0.6*1.6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6CB76">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43B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r>
      <w:tr w14:paraId="72370317">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EA0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C6E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墙面艺术漆</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DC3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艺术漆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AD2B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105平米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2327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06B6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91F2FFD">
        <w:tblPrEx>
          <w:tblCellMar>
            <w:top w:w="0" w:type="dxa"/>
            <w:left w:w="108" w:type="dxa"/>
            <w:bottom w:w="0" w:type="dxa"/>
            <w:right w:w="108" w:type="dxa"/>
          </w:tblCellMar>
        </w:tblPrEx>
        <w:trPr>
          <w:trHeight w:val="48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8077">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7E3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造型灯箱吊围装饰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5CC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EA3E9">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56B6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A220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86106FB">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E21E4">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1E43B">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木制品漆面翻新</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E0D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环保漆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23F4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E478">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DB2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22F8C8AF">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831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519E5">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地面复合地板</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F14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9DB50">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82平方</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92E9">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4C5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11CA2EC">
        <w:tblPrEx>
          <w:tblCellMar>
            <w:top w:w="0" w:type="dxa"/>
            <w:left w:w="108" w:type="dxa"/>
            <w:bottom w:w="0" w:type="dxa"/>
            <w:right w:w="108" w:type="dxa"/>
          </w:tblCellMar>
        </w:tblPrEx>
        <w:trPr>
          <w:trHeight w:val="511" w:hRule="atLeast"/>
          <w:jc w:val="center"/>
        </w:trPr>
        <w:tc>
          <w:tcPr>
            <w:tcW w:w="9327"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14:paraId="7833E484">
            <w:pPr>
              <w:widowControl/>
              <w:jc w:val="center"/>
              <w:textAlignment w:val="center"/>
              <w:rPr>
                <w:rFonts w:hint="eastAsia" w:ascii="仿宋" w:hAnsi="仿宋" w:eastAsia="仿宋" w:cs="仿宋"/>
                <w:b/>
                <w:bCs/>
                <w:color w:val="auto"/>
                <w:kern w:val="0"/>
                <w:sz w:val="21"/>
                <w:szCs w:val="21"/>
                <w:lang w:bidi="ar"/>
              </w:rPr>
            </w:pPr>
            <w:r>
              <w:rPr>
                <w:rFonts w:hint="eastAsia" w:ascii="仿宋" w:hAnsi="仿宋" w:eastAsia="仿宋" w:cs="仿宋"/>
                <w:b/>
                <w:bCs/>
                <w:color w:val="auto"/>
                <w:kern w:val="0"/>
                <w:sz w:val="21"/>
                <w:szCs w:val="21"/>
                <w:lang w:bidi="ar"/>
              </w:rPr>
              <w:t>电气及其他配套</w:t>
            </w:r>
          </w:p>
        </w:tc>
      </w:tr>
      <w:tr w14:paraId="2592E4AA">
        <w:tblPrEx>
          <w:tblCellMar>
            <w:top w:w="0" w:type="dxa"/>
            <w:left w:w="108" w:type="dxa"/>
            <w:bottom w:w="0" w:type="dxa"/>
            <w:right w:w="108" w:type="dxa"/>
          </w:tblCellMar>
        </w:tblPrEx>
        <w:trPr>
          <w:trHeight w:val="5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0F1E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225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照明类灯具</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B95E">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282D">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0229C">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0445">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0438224">
        <w:tblPrEx>
          <w:tblCellMar>
            <w:top w:w="0" w:type="dxa"/>
            <w:left w:w="108" w:type="dxa"/>
            <w:bottom w:w="0" w:type="dxa"/>
            <w:right w:w="108" w:type="dxa"/>
          </w:tblCellMar>
        </w:tblPrEx>
        <w:trPr>
          <w:trHeight w:val="54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4728">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0CF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强电配电（含电线、线管、暗盒）</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36436">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ABD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1F1C">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52B0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D25BFF7">
        <w:tblPrEx>
          <w:tblCellMar>
            <w:top w:w="0" w:type="dxa"/>
            <w:left w:w="108" w:type="dxa"/>
            <w:bottom w:w="0" w:type="dxa"/>
            <w:right w:w="108" w:type="dxa"/>
          </w:tblCellMar>
        </w:tblPrEx>
        <w:trPr>
          <w:trHeight w:val="51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7E36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526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弱电（含电线、线管、暗盒）</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A86E6">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3EE9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51EEB">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609E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3C61A3A5">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3D8D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FDD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舞台灯光</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1073">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B6831">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BD0E">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78B5F">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16E84E1">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E5E3">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167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舞台音响</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3293">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2D252">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定制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688D1">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C422">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14592EC">
        <w:tblPrEx>
          <w:tblCellMar>
            <w:top w:w="0" w:type="dxa"/>
            <w:left w:w="108" w:type="dxa"/>
            <w:bottom w:w="0" w:type="dxa"/>
            <w:right w:w="108" w:type="dxa"/>
          </w:tblCellMar>
        </w:tblPrEx>
        <w:trPr>
          <w:trHeight w:val="61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4AAA">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65E6">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舞台多媒体+内容</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8FD6D">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F155B">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BD897">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AAC7A">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7951575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4DDB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D94C">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空调</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2FF5">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22D1F">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79FCA">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8035">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r>
      <w:tr w14:paraId="40D40D19">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A127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CEE1">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凳子1</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590A7">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136E6">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1ECCD">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9362">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48</w:t>
            </w:r>
          </w:p>
        </w:tc>
      </w:tr>
      <w:tr w14:paraId="159DF66C">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6ECFF">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890CA">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凳子2</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674E5">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211FE">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B074">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B4DC">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6CD80FD4">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4913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45BF">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消防设计</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E5D9F">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807E">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E8B71">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7017">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4FECF39">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27E9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11</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39CD">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消防施工</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18DF">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032B">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06DB">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B0B39">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ECCC3C6">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B895C">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14E2C">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防水工程</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2E0B5">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6BE5">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A2EFD">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67FB">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r w14:paraId="00C78129">
        <w:tblPrEx>
          <w:tblCellMar>
            <w:top w:w="0" w:type="dxa"/>
            <w:left w:w="108" w:type="dxa"/>
            <w:bottom w:w="0" w:type="dxa"/>
            <w:right w:w="108" w:type="dxa"/>
          </w:tblCellMar>
        </w:tblPrEx>
        <w:trPr>
          <w:trHeight w:val="51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7F98E">
            <w:pPr>
              <w:widowControl/>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13</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5097A">
            <w:pPr>
              <w:widowControl/>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运输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BD676">
            <w:pPr>
              <w:rPr>
                <w:rFonts w:hint="eastAsia" w:ascii="仿宋" w:hAnsi="仿宋" w:eastAsia="仿宋" w:cs="仿宋"/>
                <w:color w:val="auto"/>
                <w:sz w:val="21"/>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F8D1">
            <w:pPr>
              <w:rPr>
                <w:rFonts w:hint="eastAsia" w:ascii="仿宋" w:hAnsi="仿宋" w:eastAsia="仿宋" w:cs="仿宋"/>
                <w:color w:val="auto"/>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B019">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37170">
            <w:pPr>
              <w:widowControl/>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r>
    </w:tbl>
    <w:p w14:paraId="7BFDF661">
      <w:pPr>
        <w:rPr>
          <w:rFonts w:hint="eastAsia" w:ascii="仿宋" w:hAnsi="仿宋" w:eastAsia="仿宋" w:cs="仿宋"/>
          <w:color w:val="auto"/>
        </w:rPr>
      </w:pPr>
    </w:p>
    <w:p w14:paraId="16A3798F">
      <w:pPr>
        <w:autoSpaceDE w:val="0"/>
        <w:spacing w:line="420" w:lineRule="exact"/>
        <w:ind w:firstLine="466" w:firstLineChars="200"/>
        <w:rPr>
          <w:rFonts w:hint="eastAsia" w:ascii="仿宋" w:hAnsi="仿宋" w:eastAsia="仿宋" w:cs="仿宋"/>
          <w:b/>
          <w:bCs/>
          <w:color w:val="auto"/>
          <w:spacing w:val="-4"/>
          <w:sz w:val="24"/>
          <w:lang w:bidi="ar"/>
        </w:rPr>
      </w:pPr>
      <w:r>
        <w:rPr>
          <w:rFonts w:hint="eastAsia" w:ascii="仿宋" w:hAnsi="仿宋" w:eastAsia="仿宋" w:cs="仿宋"/>
          <w:b/>
          <w:bCs/>
          <w:color w:val="auto"/>
          <w:spacing w:val="-4"/>
          <w:sz w:val="24"/>
          <w:lang w:bidi="ar"/>
        </w:rPr>
        <w:t>6.越剧名家馆赋能内容</w:t>
      </w:r>
    </w:p>
    <w:p w14:paraId="01336FCC">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邀请越剧名家在越剧名家馆开展戏曲唱腔、身段、折子戏的培训，并全程直播引流。</w:t>
      </w:r>
    </w:p>
    <w:p w14:paraId="0D1A6AD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邀请越剧艺术家、编导音美演等专业人士在越剧名家馆开展公益讲座等活动。在七一、国庆等节点开展红色题材戏曲节目的公益性小型演出，并全程直播引流。</w:t>
      </w:r>
    </w:p>
    <w:p w14:paraId="79B4F2A0">
      <w:pPr>
        <w:autoSpaceDE w:val="0"/>
        <w:spacing w:line="42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lang w:bidi="ar"/>
        </w:rPr>
        <w:t>（二）采购项目的技术要求</w:t>
      </w:r>
    </w:p>
    <w:p w14:paraId="402BE12E">
      <w:pPr>
        <w:autoSpaceDE w:val="0"/>
        <w:spacing w:line="42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lang w:bidi="ar"/>
        </w:rPr>
        <w:t>1．质量要求</w:t>
      </w:r>
    </w:p>
    <w:p w14:paraId="37DE0C94">
      <w:pPr>
        <w:spacing w:line="360" w:lineRule="auto"/>
        <w:ind w:firstLine="480" w:firstLineChars="200"/>
        <w:rPr>
          <w:rFonts w:hint="eastAsia" w:ascii="仿宋" w:hAnsi="仿宋" w:eastAsia="仿宋" w:cs="仿宋"/>
          <w:color w:val="auto"/>
          <w:sz w:val="24"/>
        </w:rPr>
      </w:pPr>
      <w:bookmarkStart w:id="26" w:name="_Toc155781956"/>
      <w:bookmarkEnd w:id="26"/>
      <w:r>
        <w:rPr>
          <w:rFonts w:hint="eastAsia" w:ascii="仿宋" w:hAnsi="仿宋" w:eastAsia="仿宋" w:cs="仿宋"/>
          <w:color w:val="auto"/>
          <w:sz w:val="24"/>
          <w:lang w:bidi="ar"/>
        </w:rPr>
        <w:t>1、本项目质量目标为一次性通过验收合格，投标人应详细编制施工方案，详细叙述关键部位的质量保证措施，并在投标文件中对质量目标进行承诺。</w:t>
      </w:r>
    </w:p>
    <w:p w14:paraId="5431CD8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2、中标人须无条件接受质量监督管理部门、招标人以及相关部门质量检查和管理，共同把好质量关。</w:t>
      </w:r>
    </w:p>
    <w:p w14:paraId="5AFFCC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★3、中标人须无条件配合业主根据专家、领导提出的意见对设计方案及施工图进行修改完善和优化，直至通过后方可进入下一步的制作施工，其间发生的费用由中标人承担。</w:t>
      </w:r>
    </w:p>
    <w:p w14:paraId="4AEB16F3">
      <w:pPr>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lang w:bidi="ar"/>
        </w:rPr>
        <w:t>★4、中标人所供材料，需经业主认可后，方可施工。所用材料需绿色、环保，并提供相应检验合格证书。</w:t>
      </w:r>
    </w:p>
    <w:p w14:paraId="1E0F36AC">
      <w:pPr>
        <w:adjustRightInd w:val="0"/>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lang w:bidi="ar"/>
        </w:rPr>
        <w:t>5、 隐蔽工程经招标人验收合格后方可进入下道工序施工（制作）。</w:t>
      </w:r>
    </w:p>
    <w:p w14:paraId="7657BF3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6、未尽的技术条件及要求均按国家标准和行业标准执行。</w:t>
      </w:r>
    </w:p>
    <w:p w14:paraId="3E08FF37">
      <w:pPr>
        <w:autoSpaceDE w:val="0"/>
        <w:spacing w:line="42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lang w:bidi="ar"/>
        </w:rPr>
        <w:t>2．工期要求</w:t>
      </w:r>
    </w:p>
    <w:p w14:paraId="097F0AC1">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（1）本项目在合同签订后60天内竣工。</w:t>
      </w:r>
    </w:p>
    <w:p w14:paraId="10865D10">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 xml:space="preserve">（2）中标单位须如期完工，不得拖延，除非因不可抗力或招标人原因工期推迟，否则招标人将处以一定比例的违约金。投标人必须在投标文件中对整个进度作出合理安排并做出承诺，制定设计、施工网络进度计划。  </w:t>
      </w:r>
    </w:p>
    <w:p w14:paraId="03439B03">
      <w:pPr>
        <w:autoSpaceDE w:val="0"/>
        <w:spacing w:line="420" w:lineRule="exact"/>
        <w:ind w:firstLine="482" w:firstLineChars="200"/>
        <w:rPr>
          <w:rFonts w:hint="eastAsia" w:ascii="仿宋" w:hAnsi="仿宋" w:eastAsia="仿宋" w:cs="仿宋"/>
          <w:b/>
          <w:color w:val="auto"/>
          <w:sz w:val="24"/>
        </w:rPr>
      </w:pPr>
      <w:bookmarkStart w:id="27" w:name="_Toc155781957"/>
      <w:bookmarkEnd w:id="27"/>
      <w:bookmarkStart w:id="28" w:name="_Toc69109552"/>
      <w:r>
        <w:rPr>
          <w:rFonts w:hint="eastAsia" w:ascii="仿宋" w:hAnsi="仿宋" w:eastAsia="仿宋" w:cs="仿宋"/>
          <w:b/>
          <w:color w:val="auto"/>
          <w:sz w:val="24"/>
          <w:lang w:bidi="ar"/>
        </w:rPr>
        <w:t>3．设计要求</w:t>
      </w:r>
      <w:bookmarkEnd w:id="28"/>
    </w:p>
    <w:p w14:paraId="349C0E01">
      <w:pPr>
        <w:autoSpaceDE w:val="0"/>
        <w:spacing w:line="420" w:lineRule="exact"/>
        <w:ind w:firstLine="480" w:firstLineChars="200"/>
        <w:rPr>
          <w:rFonts w:hint="eastAsia" w:ascii="仿宋" w:hAnsi="仿宋" w:eastAsia="仿宋" w:cs="仿宋"/>
          <w:color w:val="auto"/>
          <w:sz w:val="24"/>
        </w:rPr>
      </w:pPr>
      <w:bookmarkStart w:id="29" w:name="_Toc155781962"/>
      <w:bookmarkEnd w:id="29"/>
      <w:r>
        <w:rPr>
          <w:rFonts w:hint="eastAsia" w:ascii="仿宋" w:hAnsi="仿宋" w:eastAsia="仿宋" w:cs="仿宋"/>
          <w:color w:val="auto"/>
          <w:sz w:val="24"/>
          <w:lang w:bidi="ar"/>
        </w:rPr>
        <w:t>（1）设计基本要求</w:t>
      </w:r>
    </w:p>
    <w:p w14:paraId="65B83FE8">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投标人应对招标人的理念和构思有充分的理解；</w:t>
      </w:r>
    </w:p>
    <w:p w14:paraId="33378498">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投标人在设计过程中，要严格按照招标文件的约定，围绕相关现场勘测资料，并结合招标人的意见，进行设计工作；</w:t>
      </w:r>
    </w:p>
    <w:p w14:paraId="4B4E4C84">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中标人在施工过程中，接受相关的监督指导，不断完善、细化设计；</w:t>
      </w:r>
    </w:p>
    <w:p w14:paraId="54E5ED9D">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 xml:space="preserve">满足设计方案与施工要求； </w:t>
      </w:r>
    </w:p>
    <w:p w14:paraId="20C6CE0A">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 xml:space="preserve">设计必须保证房屋的整体性、抗震性、消防要求和结构本身的安全性，要内外协调； </w:t>
      </w:r>
    </w:p>
    <w:p w14:paraId="0F42002A">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设计方案应符合招标文件要求及国家有关规范规定；</w:t>
      </w:r>
    </w:p>
    <w:p w14:paraId="2040103E">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设计上要整体与原有风格保持统一，品位高雅，充分体现</w:t>
      </w:r>
      <w:r>
        <w:rPr>
          <w:rFonts w:hint="eastAsia" w:ascii="仿宋" w:hAnsi="仿宋" w:eastAsia="仿宋" w:cs="仿宋"/>
          <w:color w:val="auto"/>
          <w:spacing w:val="-4"/>
          <w:sz w:val="24"/>
          <w:lang w:bidi="ar"/>
        </w:rPr>
        <w:t>当地</w:t>
      </w:r>
      <w:r>
        <w:rPr>
          <w:rFonts w:hint="eastAsia" w:ascii="仿宋" w:hAnsi="仿宋" w:eastAsia="仿宋" w:cs="仿宋"/>
          <w:color w:val="auto"/>
          <w:sz w:val="24"/>
          <w:lang w:bidi="ar"/>
        </w:rPr>
        <w:t>的特色；</w:t>
      </w:r>
    </w:p>
    <w:p w14:paraId="05C1D0BB">
      <w:pPr>
        <w:autoSpaceDE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bidi="ar"/>
        </w:rPr>
        <w:t>材料选择得当，色彩选配考究，线条处理协调，并且符合国家规范要求，主要部件及配件选用同类产品中的优质品牌；</w:t>
      </w:r>
    </w:p>
    <w:p w14:paraId="6AF5298B">
      <w:pPr>
        <w:autoSpaceDE w:val="0"/>
        <w:spacing w:line="420" w:lineRule="exact"/>
        <w:ind w:firstLine="480" w:firstLineChars="200"/>
        <w:rPr>
          <w:rFonts w:hint="eastAsia" w:ascii="仿宋" w:hAnsi="仿宋" w:eastAsia="仿宋" w:cs="仿宋"/>
          <w:sz w:val="24"/>
        </w:rPr>
      </w:pPr>
      <w:r>
        <w:rPr>
          <w:rFonts w:hint="eastAsia" w:ascii="仿宋" w:hAnsi="仿宋" w:eastAsia="仿宋" w:cs="仿宋"/>
          <w:color w:val="auto"/>
          <w:sz w:val="24"/>
          <w:lang w:bidi="ar"/>
        </w:rPr>
        <w:t>体现“以人为本”的设计原则，充分满足</w:t>
      </w:r>
      <w:r>
        <w:rPr>
          <w:rFonts w:hint="eastAsia" w:ascii="仿宋" w:hAnsi="仿宋" w:eastAsia="仿宋" w:cs="仿宋"/>
          <w:sz w:val="24"/>
          <w:lang w:bidi="ar"/>
        </w:rPr>
        <w:t>人的需求，充分考虑不同层次群体的要求；</w:t>
      </w:r>
    </w:p>
    <w:p w14:paraId="11EE68CC">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充分考虑安全性，符合公共场所安全、消防规范；</w:t>
      </w:r>
    </w:p>
    <w:p w14:paraId="6EE79F36">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3、标准及规范必须达到以下现行版的中华人民共和国有关法规的要求，如下列标准及规范要求与标书要求有出入则以较严格者为准。</w:t>
      </w:r>
    </w:p>
    <w:p w14:paraId="348F8453">
      <w:pPr>
        <w:autoSpaceDE w:val="0"/>
        <w:spacing w:line="420" w:lineRule="exact"/>
        <w:rPr>
          <w:rFonts w:hint="eastAsia" w:ascii="仿宋" w:hAnsi="仿宋" w:eastAsia="仿宋" w:cs="仿宋"/>
          <w:sz w:val="24"/>
        </w:rPr>
      </w:pPr>
      <w:r>
        <w:rPr>
          <w:rFonts w:hint="eastAsia" w:ascii="仿宋" w:hAnsi="仿宋" w:eastAsia="仿宋" w:cs="仿宋"/>
          <w:sz w:val="24"/>
          <w:lang w:bidi="ar"/>
        </w:rPr>
        <w:t>《中华人民共和国工程建设标准强制性条文（房屋建筑部分）》</w:t>
      </w:r>
    </w:p>
    <w:p w14:paraId="67E08D0B">
      <w:pPr>
        <w:autoSpaceDE w:val="0"/>
        <w:spacing w:line="420" w:lineRule="exact"/>
        <w:rPr>
          <w:rFonts w:hint="eastAsia" w:ascii="仿宋" w:hAnsi="仿宋" w:eastAsia="仿宋" w:cs="仿宋"/>
          <w:sz w:val="24"/>
        </w:rPr>
      </w:pPr>
      <w:r>
        <w:rPr>
          <w:rFonts w:hint="eastAsia" w:ascii="仿宋" w:hAnsi="仿宋" w:eastAsia="仿宋" w:cs="仿宋"/>
          <w:sz w:val="24"/>
          <w:lang w:bidi="ar"/>
        </w:rPr>
        <w:t>《建筑工程设计文件编制深度规定》</w:t>
      </w:r>
    </w:p>
    <w:p w14:paraId="6B937F3D">
      <w:pPr>
        <w:autoSpaceDE w:val="0"/>
        <w:spacing w:line="420" w:lineRule="exact"/>
        <w:rPr>
          <w:rFonts w:hint="eastAsia" w:ascii="仿宋" w:hAnsi="仿宋" w:eastAsia="仿宋" w:cs="仿宋"/>
          <w:sz w:val="24"/>
        </w:rPr>
      </w:pPr>
      <w:r>
        <w:rPr>
          <w:rFonts w:hint="eastAsia" w:ascii="仿宋" w:hAnsi="仿宋" w:eastAsia="仿宋" w:cs="仿宋"/>
          <w:sz w:val="24"/>
          <w:lang w:bidi="ar"/>
        </w:rPr>
        <w:t>《建筑内部装修设计防火规范》（GB50222）</w:t>
      </w:r>
    </w:p>
    <w:p w14:paraId="19FEB6A0">
      <w:pPr>
        <w:autoSpaceDE w:val="0"/>
        <w:spacing w:line="420" w:lineRule="exact"/>
        <w:rPr>
          <w:rFonts w:hint="eastAsia" w:ascii="仿宋" w:hAnsi="仿宋" w:eastAsia="仿宋" w:cs="仿宋"/>
          <w:sz w:val="24"/>
        </w:rPr>
      </w:pPr>
      <w:r>
        <w:rPr>
          <w:rFonts w:hint="eastAsia" w:ascii="仿宋" w:hAnsi="仿宋" w:eastAsia="仿宋" w:cs="仿宋"/>
          <w:sz w:val="24"/>
          <w:lang w:bidi="ar"/>
        </w:rPr>
        <w:t>《建筑装修工程质量验收规范》（GB50210）</w:t>
      </w:r>
    </w:p>
    <w:p w14:paraId="0BBC1F5B">
      <w:pPr>
        <w:autoSpaceDE w:val="0"/>
        <w:spacing w:line="420" w:lineRule="exact"/>
        <w:rPr>
          <w:rFonts w:hint="eastAsia" w:ascii="仿宋" w:hAnsi="仿宋" w:eastAsia="仿宋" w:cs="仿宋"/>
          <w:sz w:val="24"/>
        </w:rPr>
      </w:pPr>
      <w:r>
        <w:rPr>
          <w:rFonts w:hint="eastAsia" w:ascii="仿宋" w:hAnsi="仿宋" w:eastAsia="仿宋" w:cs="仿宋"/>
          <w:sz w:val="24"/>
          <w:lang w:bidi="ar"/>
        </w:rPr>
        <w:t>国家、地方、行业及其它有关规定。</w:t>
      </w:r>
    </w:p>
    <w:p w14:paraId="128AFD3D">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若设计人使用的标准在本标书的规定外，则应明确说明用于替代的标准或使用规范，并提供所使用的标准，该标准必须是国际公认的同等或更高级的标准。</w:t>
      </w:r>
    </w:p>
    <w:p w14:paraId="2CCC30BA">
      <w:pPr>
        <w:autoSpaceDE w:val="0"/>
        <w:spacing w:line="420" w:lineRule="exact"/>
        <w:ind w:firstLine="480" w:firstLineChars="200"/>
        <w:rPr>
          <w:rFonts w:hint="eastAsia" w:ascii="仿宋" w:hAnsi="仿宋" w:eastAsia="仿宋" w:cs="仿宋"/>
          <w:sz w:val="24"/>
        </w:rPr>
      </w:pPr>
      <w:bookmarkStart w:id="30" w:name="_Toc155781958"/>
      <w:bookmarkEnd w:id="30"/>
      <w:r>
        <w:rPr>
          <w:rFonts w:hint="eastAsia" w:ascii="仿宋" w:hAnsi="仿宋" w:eastAsia="仿宋" w:cs="仿宋"/>
          <w:sz w:val="24"/>
          <w:lang w:bidi="ar"/>
        </w:rPr>
        <w:t>（2）设计深度</w:t>
      </w:r>
    </w:p>
    <w:p w14:paraId="612DABC5">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设计的深度应满足策划方案要求并能按图进行施工（制作），包括（但不限于以下内容）：</w:t>
      </w:r>
    </w:p>
    <w:p w14:paraId="59AC2A89">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 xml:space="preserve">设计应包含所有专业的施工（制作）设计图及展项制作与现场施工设计图，其中包括设计说明、技术经济指标、必须的设备、材料表； </w:t>
      </w:r>
    </w:p>
    <w:p w14:paraId="27ED6C26">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设计文件应提供项目的平面、立面、</w:t>
      </w:r>
      <w:r>
        <w:rPr>
          <w:rFonts w:hint="eastAsia" w:ascii="仿宋" w:hAnsi="仿宋" w:eastAsia="仿宋" w:cs="仿宋"/>
          <w:sz w:val="24"/>
          <w:shd w:val="clear" w:color="auto" w:fill="FFFFFF"/>
          <w:lang w:bidi="ar"/>
        </w:rPr>
        <w:t>剖面、大样、主要节点图纸、</w:t>
      </w:r>
      <w:r>
        <w:rPr>
          <w:rFonts w:hint="eastAsia" w:ascii="仿宋" w:hAnsi="仿宋" w:eastAsia="仿宋" w:cs="仿宋"/>
          <w:sz w:val="24"/>
          <w:lang w:bidi="ar"/>
        </w:rPr>
        <w:t>分解图、用料及规格、性能、技术标准、制作程序、详细的材料及其报价分析表以及其它要求的各项技术参数；</w:t>
      </w:r>
    </w:p>
    <w:p w14:paraId="6076B99A">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设计应包含项目的尺寸、形状、结构、材质、模型、技术、字体、排版、颜色、布局、印刷方式、工艺、功能等；</w:t>
      </w:r>
    </w:p>
    <w:p w14:paraId="0C2461FE">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做出设计预算书；</w:t>
      </w:r>
    </w:p>
    <w:p w14:paraId="02856A8A">
      <w:pPr>
        <w:autoSpaceDE w:val="0"/>
        <w:spacing w:line="420" w:lineRule="exact"/>
        <w:ind w:firstLine="480" w:firstLineChars="200"/>
        <w:rPr>
          <w:rFonts w:hint="eastAsia" w:ascii="仿宋" w:hAnsi="仿宋" w:eastAsia="仿宋" w:cs="仿宋"/>
          <w:b/>
          <w:bCs/>
          <w:sz w:val="24"/>
        </w:rPr>
      </w:pPr>
      <w:r>
        <w:rPr>
          <w:rFonts w:hint="eastAsia" w:ascii="仿宋" w:hAnsi="仿宋" w:eastAsia="仿宋" w:cs="仿宋"/>
          <w:sz w:val="24"/>
          <w:lang w:bidi="ar"/>
        </w:rPr>
        <w:t>设计单位应用文字的形式详细叙述将如何以展示策划文本为基础推进深化设计，包括深化（施工图）设计的顺序、方法、具体的工程制作顺序以及在制作阶段（短期内）从制作到设置安装的实施办法；</w:t>
      </w:r>
    </w:p>
    <w:p w14:paraId="7C2F73F3">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本次设计必须满足安防监控要求、防火规范、消防设施设计规范及有关规定。</w:t>
      </w:r>
    </w:p>
    <w:p w14:paraId="7B2E475B">
      <w:pPr>
        <w:autoSpaceDE w:val="0"/>
        <w:spacing w:line="420" w:lineRule="exact"/>
        <w:ind w:firstLine="480" w:firstLineChars="200"/>
        <w:rPr>
          <w:rFonts w:hint="eastAsia" w:ascii="仿宋" w:hAnsi="仿宋" w:eastAsia="仿宋" w:cs="仿宋"/>
          <w:sz w:val="24"/>
        </w:rPr>
      </w:pPr>
      <w:bookmarkStart w:id="31" w:name="_Toc155781961"/>
      <w:bookmarkEnd w:id="31"/>
      <w:bookmarkStart w:id="32" w:name="_Toc69109555"/>
      <w:r>
        <w:rPr>
          <w:rFonts w:hint="eastAsia" w:ascii="仿宋" w:hAnsi="仿宋" w:eastAsia="仿宋" w:cs="仿宋"/>
          <w:sz w:val="24"/>
          <w:lang w:bidi="ar"/>
        </w:rPr>
        <w:t>（3）项目管理的要求</w:t>
      </w:r>
      <w:bookmarkEnd w:id="32"/>
    </w:p>
    <w:p w14:paraId="0A39FE75">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★本项目发包范围内的设计项目，未经招标人同意，不得分包。一经发现立即取消中标资格，作违约处理，并承担由此引起的一切经济损失。</w:t>
      </w:r>
    </w:p>
    <w:p w14:paraId="7070B924">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中标人应严格按设计图纸和已确认的施工技术方案组织施工，并无条件地接受招标人对施工质量的监督和管理。</w:t>
      </w:r>
    </w:p>
    <w:p w14:paraId="64E9BCC8">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投标人在投标文件中承诺的设计负责人、设计班子主要成员、项目经理及相应资质的专业技术、管理人员未经招标人书面同意，不得调换和撤离，并按工程进度及时到位。招标人有权要求中标人撤换工作不负责任、管理不力、贻误工期和造成严重的安全事故和工程质量事故、违法乱纪的专业技术、管理人员直至项目经理，直至招标人满意为止。如项目经理及相应资质的专业技术人员未按要求到位，视作违约，招标人有权单方面终止合同。</w:t>
      </w:r>
    </w:p>
    <w:p w14:paraId="6BD77C5E">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由于施工场地和项目的特殊性，要求中标人在开工之前和施工期间做好安全文明标化管理，要求在投标文件中阐述有关施工方案和管理措施，并作出相应承诺，确保场内外道路清洁畅通，确保来往车辆、人员、施工安全。</w:t>
      </w:r>
    </w:p>
    <w:p w14:paraId="315418B7">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（4）保修的要求</w:t>
      </w:r>
    </w:p>
    <w:p w14:paraId="18F60298">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中标人应提供不少于1年的免费保修期（自最终验收合格之日起计），对此投标人必须在投标文件中作出明确承诺。</w:t>
      </w:r>
    </w:p>
    <w:p w14:paraId="293546BF">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保修期内，中标人应在接到招标人通知二十四小时内到场保修；否则，招标人将另派人员修理，修理费从质量保证金中按实扣支。</w:t>
      </w:r>
    </w:p>
    <w:p w14:paraId="2188E44E">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保修期结束后，中标人仍应对工程保证及时、良好的维护服务。</w:t>
      </w:r>
    </w:p>
    <w:p w14:paraId="434648F2">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（5）投标报价</w:t>
      </w:r>
    </w:p>
    <w:p w14:paraId="357A8807">
      <w:pPr>
        <w:autoSpaceDE w:val="0"/>
        <w:spacing w:line="420" w:lineRule="exact"/>
        <w:ind w:firstLine="480" w:firstLineChars="200"/>
        <w:rPr>
          <w:rFonts w:hint="eastAsia" w:ascii="仿宋" w:hAnsi="仿宋" w:eastAsia="仿宋" w:cs="仿宋"/>
          <w:bCs/>
          <w:sz w:val="24"/>
        </w:rPr>
      </w:pPr>
      <w:r>
        <w:rPr>
          <w:rFonts w:hint="eastAsia" w:ascii="仿宋" w:hAnsi="仿宋" w:eastAsia="仿宋" w:cs="仿宋"/>
          <w:bCs/>
          <w:sz w:val="24"/>
          <w:lang w:bidi="ar"/>
        </w:rPr>
        <w:t xml:space="preserve">①本次招标由投标人进行报价。在进行报价时，投标单位须充分考虑本项目的特殊性和不可预见性在内的所有为完成本项目的深化（施工图）设计及由此引起的费用等所需的各项应有费用。招标范围包含的所有内容的价格一次性包干。 </w:t>
      </w:r>
    </w:p>
    <w:p w14:paraId="2B8A6B24">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②工</w:t>
      </w:r>
      <w:r>
        <w:rPr>
          <w:rFonts w:hint="eastAsia" w:ascii="仿宋" w:hAnsi="仿宋" w:eastAsia="仿宋" w:cs="仿宋"/>
          <w:bCs/>
          <w:sz w:val="24"/>
          <w:lang w:bidi="ar"/>
        </w:rPr>
        <w:t>程施工图设计与投标报价是招标文件所确定的招标范围内全部工作内容的价格表现，包括施工设备、劳务、管理、材料、安装、调试、维护、深化及施工（制作）图设计、设</w:t>
      </w:r>
      <w:r>
        <w:rPr>
          <w:rFonts w:hint="eastAsia" w:ascii="仿宋" w:hAnsi="仿宋" w:eastAsia="仿宋" w:cs="仿宋"/>
          <w:sz w:val="24"/>
          <w:lang w:bidi="ar"/>
        </w:rPr>
        <w:t>计的修改和确认、设计交流、图纸会审、施工、制作、垃圾清扫和搬运、建筑物修复</w:t>
      </w:r>
      <w:r>
        <w:rPr>
          <w:rFonts w:hint="eastAsia" w:ascii="仿宋" w:hAnsi="仿宋" w:eastAsia="仿宋" w:cs="仿宋"/>
          <w:bCs/>
          <w:sz w:val="24"/>
          <w:lang w:bidi="ar"/>
        </w:rPr>
        <w:t>、提前进场配合费、有关</w:t>
      </w:r>
      <w:r>
        <w:rPr>
          <w:rFonts w:hint="eastAsia" w:ascii="仿宋" w:hAnsi="仿宋" w:eastAsia="仿宋" w:cs="仿宋"/>
          <w:sz w:val="24"/>
          <w:lang w:bidi="ar"/>
        </w:rPr>
        <w:t>部门的检测、检验、整改、验收、审计、保险、利润、税金、政策性文件规定及本项目包含的所有风险、责任等各项应有费用，所有的失误与遗漏均不得调整。</w:t>
      </w:r>
    </w:p>
    <w:p w14:paraId="4648249C">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③投标人须认真阅读、充分理解原场地设计、布展一体化采购的整体规划方案，对方案理解不清、产生歧义等由此产生的费用，视作已含在投标总价中。</w:t>
      </w:r>
    </w:p>
    <w:p w14:paraId="3B565AA9">
      <w:pPr>
        <w:autoSpaceDE w:val="0"/>
        <w:spacing w:line="420" w:lineRule="exact"/>
        <w:ind w:firstLine="480" w:firstLineChars="200"/>
        <w:rPr>
          <w:rFonts w:hint="eastAsia" w:ascii="仿宋" w:hAnsi="仿宋" w:eastAsia="仿宋" w:cs="仿宋"/>
          <w:sz w:val="24"/>
        </w:rPr>
      </w:pPr>
      <w:r>
        <w:rPr>
          <w:rFonts w:hint="eastAsia" w:ascii="仿宋" w:hAnsi="仿宋" w:eastAsia="仿宋" w:cs="仿宋"/>
          <w:sz w:val="24"/>
          <w:lang w:bidi="ar"/>
        </w:rPr>
        <w:t>④投标人应对投标内容所涉及的一切知识产权承担责任，并负责保护招标人的利益不受损害，一切由于侵权引起的法律、诉讼、裁决和所发生的费用均与招标人无关。</w:t>
      </w:r>
    </w:p>
    <w:p w14:paraId="09BBA81D">
      <w:pPr>
        <w:widowControl/>
        <w:autoSpaceDE w:val="0"/>
        <w:snapToGrid w:val="0"/>
        <w:spacing w:line="420" w:lineRule="exact"/>
        <w:jc w:val="left"/>
        <w:rPr>
          <w:rFonts w:hint="eastAsia" w:ascii="仿宋" w:hAnsi="仿宋" w:eastAsia="仿宋" w:cs="仿宋"/>
          <w:b/>
          <w:sz w:val="24"/>
        </w:rPr>
      </w:pPr>
      <w:r>
        <w:rPr>
          <w:rFonts w:hint="eastAsia" w:ascii="仿宋" w:hAnsi="仿宋" w:eastAsia="仿宋" w:cs="仿宋"/>
          <w:b/>
          <w:sz w:val="24"/>
          <w:lang w:bidi="ar"/>
        </w:rPr>
        <w:t>（三）其他要求</w:t>
      </w:r>
    </w:p>
    <w:p w14:paraId="28497D44">
      <w:pPr>
        <w:autoSpaceDE w:val="0"/>
        <w:spacing w:line="420" w:lineRule="exact"/>
        <w:ind w:firstLine="482" w:firstLineChars="200"/>
        <w:rPr>
          <w:rFonts w:hint="eastAsia" w:ascii="仿宋" w:hAnsi="仿宋" w:eastAsia="仿宋" w:cs="仿宋"/>
          <w:sz w:val="24"/>
        </w:rPr>
      </w:pPr>
      <w:r>
        <w:rPr>
          <w:rFonts w:hint="eastAsia" w:ascii="仿宋" w:hAnsi="仿宋" w:eastAsia="仿宋" w:cs="仿宋"/>
          <w:b/>
          <w:sz w:val="24"/>
          <w:lang w:bidi="ar"/>
        </w:rPr>
        <w:t>★</w:t>
      </w:r>
      <w:r>
        <w:rPr>
          <w:rFonts w:hint="eastAsia" w:ascii="仿宋" w:hAnsi="仿宋" w:eastAsia="仿宋" w:cs="仿宋"/>
          <w:sz w:val="24"/>
          <w:lang w:bidi="ar"/>
        </w:rPr>
        <w:t>1.项目服务期间发生的所有安全责任事故，由中标单位负全部责任。</w:t>
      </w:r>
    </w:p>
    <w:p w14:paraId="7B4082CC">
      <w:pPr>
        <w:autoSpaceDE w:val="0"/>
        <w:spacing w:line="420" w:lineRule="exact"/>
        <w:ind w:firstLine="720" w:firstLineChars="300"/>
        <w:rPr>
          <w:rFonts w:hint="eastAsia" w:ascii="仿宋" w:hAnsi="仿宋" w:eastAsia="仿宋" w:cs="仿宋"/>
          <w:sz w:val="24"/>
        </w:rPr>
      </w:pPr>
      <w:r>
        <w:rPr>
          <w:rFonts w:hint="eastAsia" w:ascii="仿宋" w:hAnsi="仿宋" w:eastAsia="仿宋" w:cs="仿宋"/>
          <w:sz w:val="24"/>
          <w:lang w:bidi="ar"/>
        </w:rPr>
        <w:t>2.本项目发包范围内的设计项目，不得分包和转包。一经发现立即取消中标资格，作违约处理，并承担由此引起的一切经济损失。</w:t>
      </w:r>
    </w:p>
    <w:p w14:paraId="1E498254">
      <w:pPr>
        <w:autoSpaceDE w:val="0"/>
        <w:spacing w:line="420" w:lineRule="exact"/>
        <w:jc w:val="left"/>
        <w:rPr>
          <w:rFonts w:hint="eastAsia" w:ascii="仿宋" w:hAnsi="仿宋" w:eastAsia="仿宋" w:cs="仿宋"/>
          <w:b/>
          <w:sz w:val="24"/>
        </w:rPr>
      </w:pPr>
      <w:r>
        <w:rPr>
          <w:rFonts w:hint="eastAsia" w:ascii="仿宋" w:hAnsi="仿宋" w:eastAsia="仿宋" w:cs="仿宋"/>
          <w:b/>
          <w:sz w:val="24"/>
          <w:lang w:bidi="ar"/>
        </w:rPr>
        <w:t>(四)付款方式：</w:t>
      </w:r>
    </w:p>
    <w:p w14:paraId="0C031E27">
      <w:pPr>
        <w:autoSpaceDE w:val="0"/>
        <w:spacing w:line="420" w:lineRule="exact"/>
        <w:ind w:firstLine="720" w:firstLineChars="300"/>
        <w:rPr>
          <w:rFonts w:hint="eastAsia" w:ascii="仿宋" w:hAnsi="仿宋" w:eastAsia="仿宋" w:cs="仿宋"/>
          <w:sz w:val="24"/>
          <w:lang w:bidi="ar"/>
        </w:rPr>
      </w:pPr>
      <w:r>
        <w:rPr>
          <w:rFonts w:hint="eastAsia" w:ascii="仿宋" w:hAnsi="仿宋" w:eastAsia="仿宋" w:cs="仿宋"/>
          <w:sz w:val="24"/>
          <w:lang w:val="zh-TW" w:eastAsia="zh-TW" w:bidi="ar"/>
        </w:rPr>
        <w:t>工程完工</w:t>
      </w:r>
      <w:r>
        <w:rPr>
          <w:rFonts w:hint="eastAsia" w:ascii="仿宋" w:hAnsi="仿宋" w:eastAsia="仿宋" w:cs="仿宋"/>
          <w:sz w:val="24"/>
          <w:lang w:bidi="ar"/>
        </w:rPr>
        <w:t>后</w:t>
      </w:r>
      <w:r>
        <w:rPr>
          <w:rFonts w:hint="eastAsia" w:ascii="仿宋" w:hAnsi="仿宋" w:eastAsia="仿宋" w:cs="仿宋"/>
          <w:sz w:val="24"/>
          <w:lang w:val="zh-TW" w:eastAsia="zh-TW" w:bidi="ar"/>
        </w:rPr>
        <w:t>支付至合同总价的</w:t>
      </w:r>
      <w:r>
        <w:rPr>
          <w:rFonts w:hint="eastAsia" w:ascii="仿宋" w:hAnsi="仿宋" w:eastAsia="仿宋" w:cs="仿宋"/>
          <w:sz w:val="24"/>
          <w:lang w:bidi="ar"/>
        </w:rPr>
        <w:t>70</w:t>
      </w:r>
      <w:r>
        <w:rPr>
          <w:rFonts w:hint="eastAsia" w:ascii="仿宋" w:hAnsi="仿宋" w:eastAsia="仿宋" w:cs="仿宋"/>
          <w:sz w:val="24"/>
          <w:lang w:val="zh-TW" w:eastAsia="zh-TW" w:bidi="ar"/>
        </w:rPr>
        <w:t>%，待工程经采购人（或委托第三方</w:t>
      </w:r>
      <w:r>
        <w:rPr>
          <w:rFonts w:hint="eastAsia" w:ascii="仿宋" w:hAnsi="仿宋" w:eastAsia="仿宋" w:cs="仿宋"/>
          <w:sz w:val="24"/>
          <w:lang w:val="zh-TW" w:bidi="ar"/>
        </w:rPr>
        <w:t>机构</w:t>
      </w:r>
      <w:r>
        <w:rPr>
          <w:rFonts w:hint="eastAsia" w:ascii="仿宋" w:hAnsi="仿宋" w:eastAsia="仿宋" w:cs="仿宋"/>
          <w:sz w:val="24"/>
          <w:lang w:val="zh-TW" w:eastAsia="zh-TW" w:bidi="ar"/>
        </w:rPr>
        <w:t>）验收合格</w:t>
      </w:r>
      <w:r>
        <w:rPr>
          <w:rFonts w:hint="eastAsia" w:ascii="仿宋" w:hAnsi="仿宋" w:eastAsia="仿宋" w:cs="仿宋"/>
          <w:sz w:val="24"/>
          <w:lang w:val="zh-TW" w:bidi="ar"/>
        </w:rPr>
        <w:t>及第三方机构审计</w:t>
      </w:r>
      <w:r>
        <w:rPr>
          <w:rFonts w:hint="eastAsia" w:ascii="仿宋" w:hAnsi="仿宋" w:eastAsia="仿宋" w:cs="仿宋"/>
          <w:sz w:val="24"/>
          <w:lang w:val="zh-TW" w:eastAsia="zh-TW" w:bidi="ar"/>
        </w:rPr>
        <w:t>后支付</w:t>
      </w:r>
      <w:r>
        <w:rPr>
          <w:rFonts w:hint="eastAsia" w:ascii="仿宋" w:hAnsi="仿宋" w:eastAsia="仿宋" w:cs="仿宋"/>
          <w:sz w:val="24"/>
          <w:lang w:bidi="ar"/>
        </w:rPr>
        <w:t>至合同总价</w:t>
      </w:r>
      <w:r>
        <w:rPr>
          <w:rFonts w:hint="eastAsia" w:ascii="仿宋" w:hAnsi="仿宋" w:eastAsia="仿宋" w:cs="仿宋"/>
          <w:sz w:val="24"/>
          <w:lang w:val="zh-TW" w:eastAsia="zh-TW" w:bidi="ar"/>
        </w:rPr>
        <w:t>的</w:t>
      </w:r>
      <w:r>
        <w:rPr>
          <w:rFonts w:hint="eastAsia" w:ascii="仿宋" w:hAnsi="仿宋" w:eastAsia="仿宋" w:cs="仿宋"/>
          <w:sz w:val="24"/>
          <w:lang w:bidi="ar"/>
        </w:rPr>
        <w:t>100</w:t>
      </w:r>
      <w:r>
        <w:rPr>
          <w:rFonts w:hint="eastAsia" w:ascii="仿宋" w:hAnsi="仿宋" w:eastAsia="仿宋" w:cs="仿宋"/>
          <w:sz w:val="24"/>
          <w:lang w:val="zh-TW" w:eastAsia="zh-TW" w:bidi="ar"/>
        </w:rPr>
        <w:t>%</w:t>
      </w:r>
      <w:r>
        <w:rPr>
          <w:rFonts w:hint="eastAsia" w:ascii="仿宋" w:hAnsi="仿宋" w:eastAsia="仿宋" w:cs="仿宋"/>
          <w:sz w:val="24"/>
          <w:lang w:val="zh-TW" w:bidi="ar"/>
        </w:rPr>
        <w:t>。</w:t>
      </w:r>
      <w:r>
        <w:rPr>
          <w:rFonts w:hint="eastAsia" w:ascii="仿宋" w:hAnsi="仿宋" w:eastAsia="仿宋" w:cs="仿宋"/>
          <w:sz w:val="24"/>
          <w:lang w:bidi="ar"/>
        </w:rPr>
        <w:t>以上付款依据原则上以采购人委托的第三方结算审计机构出具的审计报告作为付款依据，项目付款资金待上级拨款到位后依次支付。</w:t>
      </w:r>
    </w:p>
    <w:p w14:paraId="56D64FD2">
      <w:pPr>
        <w:autoSpaceDE w:val="0"/>
        <w:spacing w:line="420" w:lineRule="exact"/>
        <w:rPr>
          <w:rFonts w:hint="eastAsia" w:ascii="仿宋" w:hAnsi="仿宋" w:eastAsia="仿宋" w:cs="仿宋"/>
          <w:b/>
          <w:bCs/>
          <w:sz w:val="24"/>
        </w:rPr>
      </w:pPr>
      <w:r>
        <w:rPr>
          <w:rFonts w:hint="eastAsia" w:ascii="仿宋" w:hAnsi="仿宋" w:eastAsia="仿宋" w:cs="仿宋"/>
          <w:b/>
          <w:bCs/>
          <w:sz w:val="24"/>
          <w:lang w:bidi="ar"/>
        </w:rPr>
        <w:t>（五）最高限价：</w:t>
      </w:r>
    </w:p>
    <w:p w14:paraId="625AA887">
      <w:pPr>
        <w:autoSpaceDE w:val="0"/>
        <w:spacing w:line="42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本次采购最高限价为人民币壹佰肆拾万元（￥1400000.00）整 。任何超过最高限价的报价将被认定为无效报价。</w:t>
      </w:r>
    </w:p>
    <w:p w14:paraId="2139EC54">
      <w:pPr>
        <w:autoSpaceDE w:val="0"/>
        <w:spacing w:line="420" w:lineRule="exact"/>
        <w:ind w:firstLine="482" w:firstLineChars="200"/>
        <w:rPr>
          <w:rFonts w:hint="eastAsia" w:ascii="仿宋" w:hAnsi="仿宋" w:eastAsia="仿宋" w:cs="仿宋"/>
          <w:b/>
          <w:bCs/>
          <w:sz w:val="24"/>
          <w:shd w:val="clear" w:color="auto" w:fill="FFFFFF"/>
        </w:rPr>
      </w:pPr>
      <w:r>
        <w:rPr>
          <w:rFonts w:hint="eastAsia" w:ascii="仿宋" w:hAnsi="仿宋" w:eastAsia="仿宋" w:cs="仿宋"/>
          <w:b/>
          <w:bCs/>
          <w:sz w:val="24"/>
          <w:shd w:val="clear" w:color="auto" w:fill="FFFFFF"/>
        </w:rPr>
        <w:t>特别说明</w:t>
      </w:r>
    </w:p>
    <w:p w14:paraId="0B5AE254">
      <w:pPr>
        <w:autoSpaceDE w:val="0"/>
        <w:spacing w:line="420" w:lineRule="exact"/>
        <w:ind w:firstLine="482" w:firstLineChars="200"/>
        <w:rPr>
          <w:rFonts w:hint="eastAsia" w:ascii="仿宋" w:hAnsi="仿宋" w:eastAsia="仿宋" w:cs="仿宋"/>
          <w:b/>
          <w:bCs/>
          <w:sz w:val="24"/>
          <w:lang w:bidi="ar"/>
        </w:rPr>
      </w:pPr>
      <w:r>
        <w:rPr>
          <w:rFonts w:hint="eastAsia" w:ascii="仿宋" w:hAnsi="仿宋" w:eastAsia="仿宋" w:cs="仿宋"/>
          <w:b/>
          <w:bCs/>
          <w:sz w:val="24"/>
          <w:shd w:val="clear" w:color="auto" w:fill="FFFFFF"/>
          <w:lang w:val="zh-TW"/>
        </w:rPr>
        <w:t>注:以上“★”项为实质性响应条款，不满足或不</w:t>
      </w:r>
      <w:r>
        <w:rPr>
          <w:rFonts w:hint="eastAsia" w:ascii="仿宋" w:hAnsi="仿宋" w:eastAsia="仿宋" w:cs="仿宋"/>
          <w:b/>
          <w:bCs/>
          <w:sz w:val="24"/>
          <w:shd w:val="clear" w:color="auto" w:fill="FFFFFF"/>
        </w:rPr>
        <w:t>响</w:t>
      </w:r>
      <w:r>
        <w:rPr>
          <w:rFonts w:hint="eastAsia" w:ascii="仿宋" w:hAnsi="仿宋" w:eastAsia="仿宋" w:cs="仿宋"/>
          <w:b/>
          <w:bCs/>
          <w:sz w:val="24"/>
          <w:shd w:val="clear" w:color="auto" w:fill="FFFFFF"/>
          <w:lang w:val="zh-TW"/>
        </w:rPr>
        <w:t>应则作无效投标处理。</w:t>
      </w:r>
    </w:p>
    <w:p w14:paraId="3771FB41">
      <w:pPr>
        <w:rPr>
          <w:rFonts w:hint="eastAsia" w:ascii="仿宋" w:hAnsi="仿宋" w:eastAsia="仿宋" w:cs="仿宋"/>
        </w:rPr>
      </w:pPr>
    </w:p>
    <w:p w14:paraId="0D16F103">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3" w:name="_Toc184312076"/>
      <w:bookmarkEnd w:id="33"/>
      <w:bookmarkStart w:id="34" w:name="_Toc184314438"/>
      <w:bookmarkEnd w:id="34"/>
      <w:bookmarkStart w:id="35" w:name="_Toc184313286"/>
      <w:bookmarkEnd w:id="35"/>
      <w:bookmarkStart w:id="36" w:name="_Toc184313257"/>
      <w:bookmarkEnd w:id="36"/>
      <w:bookmarkStart w:id="37" w:name="_Toc184313292"/>
      <w:bookmarkEnd w:id="37"/>
      <w:bookmarkStart w:id="38" w:name="_Toc184312127"/>
      <w:bookmarkEnd w:id="38"/>
      <w:bookmarkStart w:id="39" w:name="_Toc184312105"/>
      <w:bookmarkEnd w:id="39"/>
      <w:bookmarkStart w:id="40" w:name="_Toc184313308"/>
      <w:bookmarkEnd w:id="40"/>
      <w:bookmarkStart w:id="41" w:name="_Toc184312092"/>
      <w:bookmarkEnd w:id="41"/>
      <w:bookmarkStart w:id="42" w:name="_Toc184312075"/>
      <w:bookmarkEnd w:id="42"/>
      <w:bookmarkStart w:id="43" w:name="_Toc184314432"/>
      <w:bookmarkEnd w:id="43"/>
      <w:bookmarkStart w:id="44" w:name="_Toc184312119"/>
      <w:bookmarkEnd w:id="44"/>
      <w:bookmarkStart w:id="45" w:name="_Toc184314430"/>
      <w:bookmarkEnd w:id="45"/>
      <w:bookmarkStart w:id="46" w:name="_Toc184312072"/>
      <w:bookmarkEnd w:id="46"/>
      <w:bookmarkStart w:id="47" w:name="_Toc184310331"/>
      <w:bookmarkEnd w:id="47"/>
      <w:bookmarkStart w:id="48" w:name="_Toc184310286"/>
      <w:bookmarkEnd w:id="48"/>
      <w:bookmarkStart w:id="49" w:name="_Toc184313277"/>
      <w:bookmarkEnd w:id="49"/>
      <w:bookmarkStart w:id="50" w:name="_Toc184310314"/>
      <w:bookmarkEnd w:id="50"/>
      <w:bookmarkStart w:id="51" w:name="_Toc184314412"/>
      <w:bookmarkEnd w:id="51"/>
      <w:bookmarkStart w:id="52" w:name="_Toc184314424"/>
      <w:bookmarkEnd w:id="52"/>
      <w:bookmarkStart w:id="53" w:name="_Toc184312125"/>
      <w:bookmarkEnd w:id="53"/>
      <w:bookmarkStart w:id="54" w:name="_Toc184310340"/>
      <w:bookmarkEnd w:id="54"/>
      <w:bookmarkStart w:id="55" w:name="_Toc184308051"/>
      <w:bookmarkEnd w:id="55"/>
      <w:bookmarkStart w:id="56" w:name="_Toc184310332"/>
      <w:bookmarkEnd w:id="56"/>
      <w:bookmarkStart w:id="57" w:name="_Toc184312137"/>
      <w:bookmarkEnd w:id="57"/>
      <w:bookmarkStart w:id="58" w:name="_Toc184313253"/>
      <w:bookmarkEnd w:id="58"/>
      <w:bookmarkStart w:id="59" w:name="_Toc184310280"/>
      <w:bookmarkEnd w:id="59"/>
      <w:bookmarkStart w:id="60" w:name="_Toc184314482"/>
      <w:bookmarkEnd w:id="60"/>
      <w:bookmarkStart w:id="61" w:name="_Toc184312097"/>
      <w:bookmarkEnd w:id="61"/>
      <w:bookmarkStart w:id="62" w:name="_Toc184312073"/>
      <w:bookmarkEnd w:id="62"/>
      <w:bookmarkStart w:id="63" w:name="_Toc184314411"/>
      <w:bookmarkEnd w:id="63"/>
      <w:bookmarkStart w:id="64" w:name="_Toc184308098"/>
      <w:bookmarkEnd w:id="64"/>
      <w:bookmarkStart w:id="65" w:name="_Toc184313288"/>
      <w:bookmarkEnd w:id="65"/>
      <w:bookmarkStart w:id="66" w:name="_Toc184308080"/>
      <w:bookmarkEnd w:id="66"/>
      <w:bookmarkStart w:id="67" w:name="_Toc184313243"/>
      <w:bookmarkEnd w:id="67"/>
      <w:bookmarkStart w:id="68" w:name="_Toc184310341"/>
      <w:bookmarkEnd w:id="68"/>
      <w:bookmarkStart w:id="69" w:name="_Toc184314480"/>
      <w:bookmarkEnd w:id="69"/>
      <w:bookmarkStart w:id="70" w:name="_Toc184313301"/>
      <w:bookmarkEnd w:id="70"/>
      <w:bookmarkStart w:id="71" w:name="_Toc184313268"/>
      <w:bookmarkEnd w:id="71"/>
      <w:bookmarkStart w:id="72" w:name="_Toc184314458"/>
      <w:bookmarkEnd w:id="72"/>
      <w:bookmarkStart w:id="73" w:name="_Toc184312085"/>
      <w:bookmarkEnd w:id="73"/>
      <w:bookmarkStart w:id="74" w:name="_Toc184308094"/>
      <w:bookmarkEnd w:id="74"/>
      <w:bookmarkStart w:id="75" w:name="_Toc184308060"/>
      <w:bookmarkEnd w:id="75"/>
      <w:bookmarkStart w:id="76" w:name="_Toc184308082"/>
      <w:bookmarkEnd w:id="76"/>
      <w:bookmarkStart w:id="77" w:name="_Toc184308065"/>
      <w:bookmarkEnd w:id="77"/>
      <w:bookmarkStart w:id="78" w:name="_Toc184310299"/>
      <w:bookmarkEnd w:id="78"/>
      <w:bookmarkStart w:id="79" w:name="_Toc184310294"/>
      <w:bookmarkEnd w:id="79"/>
      <w:bookmarkStart w:id="80" w:name="_Toc184312111"/>
      <w:bookmarkEnd w:id="80"/>
      <w:bookmarkStart w:id="81" w:name="_Toc184312099"/>
      <w:bookmarkEnd w:id="81"/>
      <w:bookmarkStart w:id="82" w:name="_Toc184310282"/>
      <w:bookmarkEnd w:id="82"/>
      <w:bookmarkStart w:id="83" w:name="_Toc184310317"/>
      <w:bookmarkEnd w:id="83"/>
      <w:bookmarkStart w:id="84" w:name="_Toc184308059"/>
      <w:bookmarkEnd w:id="84"/>
      <w:bookmarkStart w:id="85" w:name="_Toc184308074"/>
      <w:bookmarkEnd w:id="85"/>
      <w:bookmarkStart w:id="86" w:name="_Toc184310298"/>
      <w:bookmarkEnd w:id="86"/>
      <w:bookmarkStart w:id="87" w:name="_Toc184308049"/>
      <w:bookmarkEnd w:id="87"/>
      <w:bookmarkStart w:id="88" w:name="_Toc184310326"/>
      <w:bookmarkEnd w:id="88"/>
      <w:bookmarkStart w:id="89" w:name="_Toc184310334"/>
      <w:bookmarkEnd w:id="89"/>
      <w:bookmarkStart w:id="90" w:name="_Toc184310333"/>
      <w:bookmarkEnd w:id="90"/>
      <w:bookmarkStart w:id="91" w:name="_Toc184312115"/>
      <w:bookmarkEnd w:id="91"/>
      <w:bookmarkStart w:id="92" w:name="_Toc184313261"/>
      <w:bookmarkEnd w:id="92"/>
      <w:bookmarkStart w:id="93" w:name="_Toc184308108"/>
      <w:bookmarkEnd w:id="93"/>
      <w:bookmarkStart w:id="94" w:name="_Toc184312124"/>
      <w:bookmarkEnd w:id="94"/>
      <w:bookmarkStart w:id="95" w:name="_Toc184308101"/>
      <w:bookmarkEnd w:id="95"/>
      <w:bookmarkStart w:id="96" w:name="_Toc184312082"/>
      <w:bookmarkEnd w:id="96"/>
      <w:bookmarkStart w:id="97" w:name="_Toc184313249"/>
      <w:bookmarkEnd w:id="97"/>
      <w:bookmarkStart w:id="98" w:name="_Toc184308079"/>
      <w:bookmarkEnd w:id="98"/>
      <w:bookmarkStart w:id="99" w:name="_Toc184313272"/>
      <w:bookmarkEnd w:id="99"/>
      <w:bookmarkStart w:id="100" w:name="_Toc184314421"/>
      <w:bookmarkEnd w:id="100"/>
      <w:bookmarkStart w:id="101" w:name="_Toc184310288"/>
      <w:bookmarkEnd w:id="101"/>
      <w:bookmarkStart w:id="102" w:name="_Toc184314468"/>
      <w:bookmarkEnd w:id="102"/>
      <w:bookmarkStart w:id="103" w:name="_Toc184313273"/>
      <w:bookmarkEnd w:id="103"/>
      <w:bookmarkStart w:id="104" w:name="_Toc184313239"/>
      <w:bookmarkEnd w:id="104"/>
      <w:bookmarkStart w:id="105" w:name="_Toc184314423"/>
      <w:bookmarkEnd w:id="105"/>
      <w:bookmarkStart w:id="106" w:name="_Toc184312087"/>
      <w:bookmarkEnd w:id="106"/>
      <w:bookmarkStart w:id="107" w:name="_Toc184314454"/>
      <w:bookmarkEnd w:id="107"/>
      <w:bookmarkStart w:id="108" w:name="_Toc184308103"/>
      <w:bookmarkEnd w:id="108"/>
      <w:bookmarkStart w:id="109" w:name="_Toc184308106"/>
      <w:bookmarkEnd w:id="109"/>
      <w:bookmarkStart w:id="110" w:name="_Toc184314436"/>
      <w:bookmarkEnd w:id="110"/>
      <w:bookmarkStart w:id="111" w:name="_Toc184310301"/>
      <w:bookmarkEnd w:id="111"/>
      <w:bookmarkStart w:id="112" w:name="_Toc184313299"/>
      <w:bookmarkEnd w:id="112"/>
      <w:bookmarkStart w:id="113" w:name="_Toc184310305"/>
      <w:bookmarkEnd w:id="113"/>
      <w:bookmarkStart w:id="114" w:name="_Toc184308081"/>
      <w:bookmarkEnd w:id="114"/>
      <w:bookmarkStart w:id="115" w:name="_Toc184313307"/>
      <w:bookmarkEnd w:id="115"/>
      <w:bookmarkStart w:id="116" w:name="_Toc184308075"/>
      <w:bookmarkEnd w:id="116"/>
      <w:bookmarkStart w:id="117" w:name="_Toc184313240"/>
      <w:bookmarkEnd w:id="117"/>
      <w:bookmarkStart w:id="118" w:name="_Toc184313305"/>
      <w:bookmarkEnd w:id="118"/>
      <w:bookmarkStart w:id="119" w:name="_Toc184313285"/>
      <w:bookmarkEnd w:id="119"/>
      <w:bookmarkStart w:id="120" w:name="_Toc184310274"/>
      <w:bookmarkEnd w:id="120"/>
      <w:bookmarkStart w:id="121" w:name="_Toc184313258"/>
      <w:bookmarkEnd w:id="121"/>
      <w:bookmarkStart w:id="122" w:name="_Toc184308054"/>
      <w:bookmarkEnd w:id="122"/>
      <w:bookmarkStart w:id="123" w:name="_Toc184308099"/>
      <w:bookmarkEnd w:id="123"/>
      <w:bookmarkStart w:id="124" w:name="_Toc184308089"/>
      <w:bookmarkEnd w:id="124"/>
      <w:bookmarkStart w:id="125" w:name="_Toc184314410"/>
      <w:bookmarkEnd w:id="125"/>
      <w:bookmarkStart w:id="126" w:name="_Toc184308072"/>
      <w:bookmarkEnd w:id="126"/>
      <w:bookmarkStart w:id="127" w:name="_Toc184310338"/>
      <w:bookmarkEnd w:id="127"/>
      <w:bookmarkStart w:id="128" w:name="_Toc184308073"/>
      <w:bookmarkEnd w:id="128"/>
      <w:bookmarkStart w:id="129" w:name="_Toc184314414"/>
      <w:bookmarkEnd w:id="129"/>
      <w:bookmarkStart w:id="130" w:name="_Toc184310276"/>
      <w:bookmarkEnd w:id="130"/>
      <w:bookmarkStart w:id="131" w:name="_Toc184313295"/>
      <w:bookmarkEnd w:id="131"/>
      <w:bookmarkStart w:id="132" w:name="_Toc184310285"/>
      <w:bookmarkEnd w:id="132"/>
      <w:bookmarkStart w:id="133" w:name="_Toc184314413"/>
      <w:bookmarkEnd w:id="133"/>
      <w:bookmarkStart w:id="134" w:name="_Toc184314442"/>
      <w:bookmarkEnd w:id="134"/>
      <w:bookmarkStart w:id="135" w:name="_Toc184308041"/>
      <w:bookmarkEnd w:id="135"/>
      <w:bookmarkStart w:id="136" w:name="_Toc184312106"/>
      <w:bookmarkEnd w:id="136"/>
      <w:bookmarkStart w:id="137" w:name="_Toc184308043"/>
      <w:bookmarkEnd w:id="137"/>
      <w:bookmarkStart w:id="138" w:name="_Toc184314416"/>
      <w:bookmarkEnd w:id="138"/>
      <w:bookmarkStart w:id="139" w:name="_Toc184312086"/>
      <w:bookmarkEnd w:id="139"/>
      <w:bookmarkStart w:id="140" w:name="_Toc184314435"/>
      <w:bookmarkEnd w:id="140"/>
      <w:bookmarkStart w:id="141" w:name="_Toc184312101"/>
      <w:bookmarkEnd w:id="141"/>
      <w:bookmarkStart w:id="142" w:name="_Toc184314433"/>
      <w:bookmarkEnd w:id="142"/>
      <w:bookmarkStart w:id="143" w:name="_Toc184310324"/>
      <w:bookmarkEnd w:id="143"/>
      <w:bookmarkStart w:id="144" w:name="_Toc184313281"/>
      <w:bookmarkEnd w:id="144"/>
      <w:bookmarkStart w:id="145" w:name="_Toc184310307"/>
      <w:bookmarkEnd w:id="145"/>
      <w:bookmarkStart w:id="146" w:name="_Toc184312128"/>
      <w:bookmarkEnd w:id="146"/>
      <w:bookmarkStart w:id="147" w:name="_Toc184313242"/>
      <w:bookmarkEnd w:id="147"/>
      <w:bookmarkStart w:id="148" w:name="_Toc184313251"/>
      <w:bookmarkEnd w:id="148"/>
      <w:bookmarkStart w:id="149" w:name="_Toc184310309"/>
      <w:bookmarkEnd w:id="149"/>
      <w:bookmarkStart w:id="150" w:name="_Toc184308058"/>
      <w:bookmarkEnd w:id="150"/>
      <w:bookmarkStart w:id="151" w:name="_Toc184313255"/>
      <w:bookmarkEnd w:id="151"/>
      <w:bookmarkStart w:id="152" w:name="_Toc184308088"/>
      <w:bookmarkEnd w:id="152"/>
      <w:bookmarkStart w:id="153" w:name="_Toc184314462"/>
      <w:bookmarkEnd w:id="153"/>
      <w:bookmarkStart w:id="154" w:name="_Toc184308069"/>
      <w:bookmarkEnd w:id="154"/>
      <w:bookmarkStart w:id="155" w:name="_Toc184314456"/>
      <w:bookmarkEnd w:id="155"/>
      <w:bookmarkStart w:id="156" w:name="_Toc184310291"/>
      <w:bookmarkEnd w:id="156"/>
      <w:bookmarkStart w:id="157" w:name="_Toc184314478"/>
      <w:bookmarkEnd w:id="157"/>
      <w:bookmarkStart w:id="158" w:name="_Toc184313287"/>
      <w:bookmarkEnd w:id="158"/>
      <w:bookmarkStart w:id="159" w:name="_Toc184314460"/>
      <w:bookmarkEnd w:id="159"/>
      <w:bookmarkStart w:id="160" w:name="_Toc184314439"/>
      <w:bookmarkEnd w:id="160"/>
      <w:bookmarkStart w:id="161" w:name="_Toc184310329"/>
      <w:bookmarkEnd w:id="161"/>
      <w:bookmarkStart w:id="162" w:name="_Toc184310283"/>
      <w:bookmarkEnd w:id="162"/>
      <w:bookmarkStart w:id="163" w:name="_Toc184310308"/>
      <w:bookmarkEnd w:id="163"/>
      <w:bookmarkStart w:id="164" w:name="_Toc184313244"/>
      <w:bookmarkEnd w:id="164"/>
      <w:bookmarkStart w:id="165" w:name="_Toc184313303"/>
      <w:bookmarkEnd w:id="165"/>
      <w:bookmarkStart w:id="166" w:name="_Toc184312088"/>
      <w:bookmarkEnd w:id="166"/>
      <w:bookmarkStart w:id="167" w:name="_Toc184313300"/>
      <w:bookmarkEnd w:id="167"/>
      <w:bookmarkStart w:id="168" w:name="_Toc184314457"/>
      <w:bookmarkEnd w:id="168"/>
      <w:bookmarkStart w:id="169" w:name="_Toc184314465"/>
      <w:bookmarkEnd w:id="169"/>
      <w:bookmarkStart w:id="170" w:name="_Toc184314464"/>
      <w:bookmarkEnd w:id="170"/>
      <w:bookmarkStart w:id="171" w:name="_Toc184312112"/>
      <w:bookmarkEnd w:id="171"/>
      <w:bookmarkStart w:id="172" w:name="_Toc184312134"/>
      <w:bookmarkEnd w:id="172"/>
      <w:bookmarkStart w:id="173" w:name="_Toc184312071"/>
      <w:bookmarkEnd w:id="173"/>
      <w:bookmarkStart w:id="174" w:name="_Toc184314472"/>
      <w:bookmarkEnd w:id="174"/>
      <w:bookmarkStart w:id="175" w:name="_Toc184308037"/>
      <w:bookmarkEnd w:id="175"/>
      <w:bookmarkStart w:id="176" w:name="_Toc184310289"/>
      <w:bookmarkEnd w:id="176"/>
      <w:bookmarkStart w:id="177" w:name="_Toc184312069"/>
      <w:bookmarkEnd w:id="177"/>
      <w:bookmarkStart w:id="178" w:name="_Toc184308107"/>
      <w:bookmarkEnd w:id="178"/>
      <w:bookmarkStart w:id="179" w:name="_Toc184310273"/>
      <w:bookmarkEnd w:id="179"/>
      <w:bookmarkStart w:id="180" w:name="_Toc184312100"/>
      <w:bookmarkEnd w:id="180"/>
      <w:bookmarkStart w:id="181" w:name="_Toc184313270"/>
      <w:bookmarkEnd w:id="181"/>
      <w:bookmarkStart w:id="182" w:name="_Toc184308047"/>
      <w:bookmarkEnd w:id="182"/>
      <w:bookmarkStart w:id="183" w:name="_Toc184314441"/>
      <w:bookmarkEnd w:id="183"/>
      <w:bookmarkStart w:id="184" w:name="_Toc184308097"/>
      <w:bookmarkEnd w:id="184"/>
      <w:bookmarkStart w:id="185" w:name="_Toc184313262"/>
      <w:bookmarkEnd w:id="185"/>
      <w:bookmarkStart w:id="186" w:name="_Toc184312130"/>
      <w:bookmarkEnd w:id="186"/>
      <w:bookmarkStart w:id="187" w:name="_Toc184313274"/>
      <w:bookmarkEnd w:id="187"/>
      <w:bookmarkStart w:id="188" w:name="_Toc184313266"/>
      <w:bookmarkEnd w:id="188"/>
      <w:bookmarkStart w:id="189" w:name="_Toc184314447"/>
      <w:bookmarkEnd w:id="189"/>
      <w:bookmarkStart w:id="190" w:name="_Toc184308039"/>
      <w:bookmarkEnd w:id="190"/>
      <w:bookmarkStart w:id="191" w:name="_Toc184312083"/>
      <w:bookmarkEnd w:id="191"/>
      <w:bookmarkStart w:id="192" w:name="_Toc184313289"/>
      <w:bookmarkEnd w:id="192"/>
      <w:bookmarkStart w:id="193" w:name="_Toc184310278"/>
      <w:bookmarkEnd w:id="193"/>
      <w:bookmarkStart w:id="194" w:name="_Toc184310272"/>
      <w:bookmarkEnd w:id="194"/>
      <w:bookmarkStart w:id="195" w:name="_Toc184308048"/>
      <w:bookmarkEnd w:id="195"/>
      <w:bookmarkStart w:id="196" w:name="_Toc184312121"/>
      <w:bookmarkEnd w:id="196"/>
      <w:bookmarkStart w:id="197" w:name="_Toc184308086"/>
      <w:bookmarkEnd w:id="197"/>
      <w:bookmarkStart w:id="198" w:name="_Toc184310296"/>
      <w:bookmarkEnd w:id="198"/>
      <w:bookmarkStart w:id="199" w:name="_Toc184312102"/>
      <w:bookmarkEnd w:id="199"/>
      <w:bookmarkStart w:id="200" w:name="_Toc184310328"/>
      <w:bookmarkEnd w:id="200"/>
      <w:bookmarkStart w:id="201" w:name="_Toc184314446"/>
      <w:bookmarkEnd w:id="201"/>
      <w:bookmarkStart w:id="202" w:name="_Toc184313256"/>
      <w:bookmarkEnd w:id="202"/>
      <w:bookmarkStart w:id="203" w:name="_Toc184308092"/>
      <w:bookmarkEnd w:id="203"/>
      <w:bookmarkStart w:id="204" w:name="_Toc184310316"/>
      <w:bookmarkEnd w:id="204"/>
      <w:bookmarkStart w:id="205" w:name="_Toc184313246"/>
      <w:bookmarkEnd w:id="205"/>
      <w:bookmarkStart w:id="206" w:name="_Toc184313259"/>
      <w:bookmarkEnd w:id="206"/>
      <w:bookmarkStart w:id="207" w:name="_Toc184314428"/>
      <w:bookmarkEnd w:id="207"/>
      <w:bookmarkStart w:id="208" w:name="_Toc184314470"/>
      <w:bookmarkEnd w:id="208"/>
      <w:bookmarkStart w:id="209" w:name="_Toc184312107"/>
      <w:bookmarkEnd w:id="209"/>
      <w:bookmarkStart w:id="210" w:name="_Toc184314449"/>
      <w:bookmarkEnd w:id="210"/>
      <w:bookmarkStart w:id="211" w:name="_Toc184313298"/>
      <w:bookmarkEnd w:id="211"/>
      <w:bookmarkStart w:id="212" w:name="_Toc184308052"/>
      <w:bookmarkEnd w:id="212"/>
      <w:bookmarkStart w:id="213" w:name="_Toc184314476"/>
      <w:bookmarkEnd w:id="213"/>
      <w:bookmarkStart w:id="214" w:name="_Toc184312094"/>
      <w:bookmarkEnd w:id="214"/>
      <w:bookmarkStart w:id="215" w:name="_Toc184310290"/>
      <w:bookmarkEnd w:id="215"/>
      <w:bookmarkStart w:id="216" w:name="_Toc184308044"/>
      <w:bookmarkEnd w:id="216"/>
      <w:bookmarkStart w:id="217" w:name="_Toc184313284"/>
      <w:bookmarkEnd w:id="217"/>
      <w:bookmarkStart w:id="218" w:name="_Toc184314431"/>
      <w:bookmarkEnd w:id="218"/>
      <w:bookmarkStart w:id="219" w:name="_Toc184308068"/>
      <w:bookmarkEnd w:id="219"/>
      <w:bookmarkStart w:id="220" w:name="_Toc184310325"/>
      <w:bookmarkEnd w:id="220"/>
      <w:bookmarkStart w:id="221" w:name="_Toc184308040"/>
      <w:bookmarkEnd w:id="221"/>
      <w:bookmarkStart w:id="222" w:name="_Toc184313293"/>
      <w:bookmarkEnd w:id="222"/>
      <w:bookmarkStart w:id="223" w:name="_Toc184310330"/>
      <w:bookmarkEnd w:id="223"/>
      <w:bookmarkStart w:id="224" w:name="_Toc184314463"/>
      <w:bookmarkEnd w:id="224"/>
      <w:bookmarkStart w:id="225" w:name="_Toc184308085"/>
      <w:bookmarkEnd w:id="225"/>
      <w:bookmarkStart w:id="226" w:name="_Toc184312081"/>
      <w:bookmarkEnd w:id="226"/>
      <w:bookmarkStart w:id="227" w:name="_Toc184314437"/>
      <w:bookmarkEnd w:id="227"/>
      <w:bookmarkStart w:id="228" w:name="_Toc184314426"/>
      <w:bookmarkEnd w:id="228"/>
      <w:bookmarkStart w:id="229" w:name="_Toc184313296"/>
      <w:bookmarkEnd w:id="229"/>
      <w:bookmarkStart w:id="230" w:name="_Toc184310323"/>
      <w:bookmarkEnd w:id="230"/>
      <w:bookmarkStart w:id="231" w:name="_Toc184310343"/>
      <w:bookmarkEnd w:id="231"/>
      <w:bookmarkStart w:id="232" w:name="_Toc184313263"/>
      <w:bookmarkEnd w:id="232"/>
      <w:bookmarkStart w:id="233" w:name="_Toc184312070"/>
      <w:bookmarkEnd w:id="233"/>
      <w:bookmarkStart w:id="234" w:name="_Toc184313265"/>
      <w:bookmarkEnd w:id="234"/>
      <w:bookmarkStart w:id="235" w:name="_Toc184312118"/>
      <w:bookmarkEnd w:id="235"/>
      <w:bookmarkStart w:id="236" w:name="_Toc184314417"/>
      <w:bookmarkEnd w:id="236"/>
      <w:bookmarkStart w:id="237" w:name="_Toc184310342"/>
      <w:bookmarkEnd w:id="237"/>
      <w:bookmarkStart w:id="238" w:name="_Toc184314422"/>
      <w:bookmarkEnd w:id="238"/>
      <w:bookmarkStart w:id="239" w:name="_Toc184314450"/>
      <w:bookmarkEnd w:id="239"/>
      <w:bookmarkStart w:id="240" w:name="_Toc184312091"/>
      <w:bookmarkEnd w:id="240"/>
      <w:bookmarkStart w:id="241" w:name="_Toc184312135"/>
      <w:bookmarkEnd w:id="241"/>
      <w:bookmarkStart w:id="242" w:name="_Toc184313276"/>
      <w:bookmarkEnd w:id="242"/>
      <w:bookmarkStart w:id="243" w:name="_Toc184308055"/>
      <w:bookmarkEnd w:id="243"/>
      <w:bookmarkStart w:id="244" w:name="_Toc184312116"/>
      <w:bookmarkEnd w:id="244"/>
      <w:bookmarkStart w:id="245" w:name="_Toc184314420"/>
      <w:bookmarkEnd w:id="245"/>
      <w:bookmarkStart w:id="246" w:name="_Toc184310312"/>
      <w:bookmarkEnd w:id="246"/>
      <w:bookmarkStart w:id="247" w:name="_Toc184310313"/>
      <w:bookmarkEnd w:id="247"/>
      <w:bookmarkStart w:id="248" w:name="_Toc184308090"/>
      <w:bookmarkEnd w:id="248"/>
      <w:bookmarkStart w:id="249" w:name="_Toc184313267"/>
      <w:bookmarkEnd w:id="249"/>
      <w:bookmarkStart w:id="250" w:name="_Toc184308076"/>
      <w:bookmarkEnd w:id="250"/>
      <w:bookmarkStart w:id="251" w:name="_Toc184314469"/>
      <w:bookmarkEnd w:id="251"/>
      <w:bookmarkStart w:id="252" w:name="_Toc184308104"/>
      <w:bookmarkEnd w:id="252"/>
      <w:bookmarkStart w:id="253" w:name="_Toc184314474"/>
      <w:bookmarkEnd w:id="253"/>
      <w:bookmarkStart w:id="254" w:name="_Toc184313247"/>
      <w:bookmarkEnd w:id="254"/>
      <w:bookmarkStart w:id="255" w:name="_Toc184312114"/>
      <w:bookmarkEnd w:id="255"/>
      <w:bookmarkStart w:id="256" w:name="_Toc184310277"/>
      <w:bookmarkEnd w:id="256"/>
      <w:bookmarkStart w:id="257" w:name="_Toc184313271"/>
      <w:bookmarkEnd w:id="257"/>
      <w:bookmarkStart w:id="258" w:name="_Toc184313245"/>
      <w:bookmarkEnd w:id="258"/>
      <w:bookmarkStart w:id="259" w:name="_Toc184312113"/>
      <w:bookmarkEnd w:id="259"/>
      <w:bookmarkStart w:id="260" w:name="_Toc184308100"/>
      <w:bookmarkEnd w:id="260"/>
      <w:bookmarkStart w:id="261" w:name="_Toc184310279"/>
      <w:bookmarkEnd w:id="261"/>
      <w:bookmarkStart w:id="262" w:name="_Toc184312131"/>
      <w:bookmarkEnd w:id="262"/>
      <w:bookmarkStart w:id="263" w:name="_Toc184312104"/>
      <w:bookmarkEnd w:id="263"/>
      <w:bookmarkStart w:id="264" w:name="_Toc184314479"/>
      <w:bookmarkEnd w:id="264"/>
      <w:bookmarkStart w:id="265" w:name="_Toc184310344"/>
      <w:bookmarkEnd w:id="265"/>
      <w:bookmarkStart w:id="266" w:name="_Toc184312138"/>
      <w:bookmarkEnd w:id="266"/>
      <w:bookmarkStart w:id="267" w:name="_Toc184314440"/>
      <w:bookmarkEnd w:id="267"/>
      <w:bookmarkStart w:id="268" w:name="_Toc184312079"/>
      <w:bookmarkEnd w:id="268"/>
      <w:bookmarkStart w:id="269" w:name="_Toc184314448"/>
      <w:bookmarkEnd w:id="269"/>
      <w:bookmarkStart w:id="270" w:name="_Toc184308050"/>
      <w:bookmarkEnd w:id="270"/>
      <w:bookmarkStart w:id="271" w:name="_Toc184308087"/>
      <w:bookmarkEnd w:id="271"/>
      <w:bookmarkStart w:id="272" w:name="_Toc184313264"/>
      <w:bookmarkEnd w:id="272"/>
      <w:bookmarkStart w:id="273" w:name="_Toc184308105"/>
      <w:bookmarkEnd w:id="273"/>
      <w:bookmarkStart w:id="274" w:name="_Toc184310295"/>
      <w:bookmarkEnd w:id="274"/>
      <w:bookmarkStart w:id="275" w:name="_Toc184310339"/>
      <w:bookmarkEnd w:id="275"/>
      <w:bookmarkStart w:id="276" w:name="_Toc184313275"/>
      <w:bookmarkEnd w:id="276"/>
      <w:bookmarkStart w:id="277" w:name="_Toc184310321"/>
      <w:bookmarkEnd w:id="277"/>
      <w:bookmarkStart w:id="278" w:name="_Toc184312090"/>
      <w:bookmarkEnd w:id="278"/>
      <w:bookmarkStart w:id="279" w:name="_Toc184312098"/>
      <w:bookmarkEnd w:id="279"/>
      <w:bookmarkStart w:id="280" w:name="_Toc184314471"/>
      <w:bookmarkEnd w:id="280"/>
      <w:bookmarkStart w:id="281" w:name="_Toc184313291"/>
      <w:bookmarkEnd w:id="281"/>
      <w:bookmarkStart w:id="282" w:name="_Toc184314452"/>
      <w:bookmarkEnd w:id="282"/>
      <w:bookmarkStart w:id="283" w:name="_Toc184308077"/>
      <w:bookmarkEnd w:id="283"/>
      <w:bookmarkStart w:id="284" w:name="_Toc184314418"/>
      <w:bookmarkEnd w:id="284"/>
      <w:bookmarkStart w:id="285" w:name="_Toc184313280"/>
      <w:bookmarkEnd w:id="285"/>
      <w:bookmarkStart w:id="286" w:name="_Toc184312077"/>
      <w:bookmarkEnd w:id="286"/>
      <w:bookmarkStart w:id="287" w:name="_Toc184308084"/>
      <w:bookmarkEnd w:id="287"/>
      <w:bookmarkStart w:id="288" w:name="_Toc184310319"/>
      <w:bookmarkEnd w:id="288"/>
      <w:bookmarkStart w:id="289" w:name="_Toc184313306"/>
      <w:bookmarkEnd w:id="289"/>
      <w:bookmarkStart w:id="290" w:name="_Toc184314444"/>
      <w:bookmarkEnd w:id="290"/>
      <w:bookmarkStart w:id="291" w:name="_Toc184308078"/>
      <w:bookmarkEnd w:id="291"/>
      <w:bookmarkStart w:id="292" w:name="_Toc184312095"/>
      <w:bookmarkEnd w:id="292"/>
      <w:bookmarkStart w:id="293" w:name="_Toc184310327"/>
      <w:bookmarkEnd w:id="293"/>
      <w:bookmarkStart w:id="294" w:name="_Toc184310297"/>
      <w:bookmarkEnd w:id="294"/>
      <w:bookmarkStart w:id="295" w:name="_Toc184312096"/>
      <w:bookmarkEnd w:id="295"/>
      <w:bookmarkStart w:id="296" w:name="_Toc184308036"/>
      <w:bookmarkEnd w:id="296"/>
      <w:bookmarkStart w:id="297" w:name="_Toc184314451"/>
      <w:bookmarkEnd w:id="297"/>
      <w:bookmarkStart w:id="298" w:name="_Toc184313302"/>
      <w:bookmarkEnd w:id="298"/>
      <w:bookmarkStart w:id="299" w:name="_Toc184312068"/>
      <w:bookmarkEnd w:id="299"/>
      <w:bookmarkStart w:id="300" w:name="_Toc184314429"/>
      <w:bookmarkEnd w:id="300"/>
      <w:bookmarkStart w:id="301" w:name="_Toc184310281"/>
      <w:bookmarkEnd w:id="301"/>
      <w:bookmarkStart w:id="302" w:name="_Toc184308064"/>
      <w:bookmarkEnd w:id="302"/>
      <w:bookmarkStart w:id="303" w:name="_Toc184314443"/>
      <w:bookmarkEnd w:id="303"/>
      <w:bookmarkStart w:id="304" w:name="_Toc184312133"/>
      <w:bookmarkEnd w:id="304"/>
      <w:bookmarkStart w:id="305" w:name="_Toc184314477"/>
      <w:bookmarkEnd w:id="305"/>
      <w:bookmarkStart w:id="306" w:name="_Toc184308070"/>
      <w:bookmarkEnd w:id="306"/>
      <w:bookmarkStart w:id="307" w:name="_Toc184312129"/>
      <w:bookmarkEnd w:id="307"/>
      <w:bookmarkStart w:id="308" w:name="_Toc184310303"/>
      <w:bookmarkEnd w:id="308"/>
      <w:bookmarkStart w:id="309" w:name="_Toc184308045"/>
      <w:bookmarkEnd w:id="309"/>
      <w:bookmarkStart w:id="310" w:name="_Toc184312084"/>
      <w:bookmarkEnd w:id="310"/>
      <w:bookmarkStart w:id="311" w:name="_Toc184308038"/>
      <w:bookmarkEnd w:id="311"/>
      <w:bookmarkStart w:id="312" w:name="_Toc184308093"/>
      <w:bookmarkEnd w:id="312"/>
      <w:bookmarkStart w:id="313" w:name="_Toc184312103"/>
      <w:bookmarkEnd w:id="313"/>
      <w:bookmarkStart w:id="314" w:name="_Toc184310293"/>
      <w:bookmarkEnd w:id="314"/>
      <w:bookmarkStart w:id="315" w:name="_Toc184308056"/>
      <w:bookmarkEnd w:id="315"/>
      <w:bookmarkStart w:id="316" w:name="_Toc184312136"/>
      <w:bookmarkEnd w:id="316"/>
      <w:bookmarkStart w:id="317" w:name="_Toc184313290"/>
      <w:bookmarkEnd w:id="317"/>
      <w:bookmarkStart w:id="318" w:name="_Toc184312108"/>
      <w:bookmarkEnd w:id="318"/>
      <w:bookmarkStart w:id="319" w:name="_Toc184312132"/>
      <w:bookmarkEnd w:id="319"/>
      <w:bookmarkStart w:id="320" w:name="_Toc184312123"/>
      <w:bookmarkEnd w:id="320"/>
      <w:bookmarkStart w:id="321" w:name="_Toc184310322"/>
      <w:bookmarkEnd w:id="321"/>
      <w:bookmarkStart w:id="322" w:name="_Toc184308091"/>
      <w:bookmarkEnd w:id="322"/>
      <w:bookmarkStart w:id="323" w:name="_Toc184308083"/>
      <w:bookmarkEnd w:id="323"/>
      <w:bookmarkStart w:id="324" w:name="_Toc184314481"/>
      <w:bookmarkEnd w:id="324"/>
      <w:bookmarkStart w:id="325" w:name="_Toc184308061"/>
      <w:bookmarkEnd w:id="325"/>
      <w:bookmarkStart w:id="326" w:name="_Toc184310320"/>
      <w:bookmarkEnd w:id="326"/>
      <w:bookmarkStart w:id="327" w:name="_Toc184312109"/>
      <w:bookmarkEnd w:id="327"/>
      <w:bookmarkStart w:id="328" w:name="_Toc184314473"/>
      <w:bookmarkEnd w:id="328"/>
      <w:bookmarkStart w:id="329" w:name="_Toc184313250"/>
      <w:bookmarkEnd w:id="329"/>
      <w:bookmarkStart w:id="330" w:name="_Toc184312067"/>
      <w:bookmarkEnd w:id="330"/>
      <w:bookmarkStart w:id="331" w:name="_Toc184313283"/>
      <w:bookmarkEnd w:id="331"/>
      <w:bookmarkStart w:id="332" w:name="_Toc184312139"/>
      <w:bookmarkEnd w:id="332"/>
      <w:bookmarkStart w:id="333" w:name="_Toc184308042"/>
      <w:bookmarkEnd w:id="333"/>
      <w:bookmarkStart w:id="334" w:name="_Toc184314453"/>
      <w:bookmarkEnd w:id="334"/>
      <w:bookmarkStart w:id="335" w:name="_Toc184314419"/>
      <w:bookmarkEnd w:id="335"/>
      <w:bookmarkStart w:id="336" w:name="_Toc184313282"/>
      <w:bookmarkEnd w:id="336"/>
      <w:bookmarkStart w:id="337" w:name="_Toc184313241"/>
      <w:bookmarkEnd w:id="337"/>
      <w:bookmarkStart w:id="338" w:name="_Toc184310336"/>
      <w:bookmarkEnd w:id="338"/>
      <w:bookmarkStart w:id="339" w:name="_Toc184310335"/>
      <w:bookmarkEnd w:id="339"/>
      <w:bookmarkStart w:id="340" w:name="_Toc184313310"/>
      <w:bookmarkEnd w:id="340"/>
      <w:bookmarkStart w:id="341" w:name="_Toc184308067"/>
      <w:bookmarkEnd w:id="341"/>
      <w:bookmarkStart w:id="342" w:name="_Toc184314466"/>
      <w:bookmarkEnd w:id="342"/>
      <w:bookmarkStart w:id="343" w:name="_Toc184308057"/>
      <w:bookmarkEnd w:id="343"/>
      <w:bookmarkStart w:id="344" w:name="_Toc184312117"/>
      <w:bookmarkEnd w:id="344"/>
      <w:bookmarkStart w:id="345" w:name="_Toc184310287"/>
      <w:bookmarkEnd w:id="345"/>
      <w:bookmarkStart w:id="346" w:name="_Toc184308102"/>
      <w:bookmarkEnd w:id="346"/>
      <w:bookmarkStart w:id="347" w:name="_Toc184312093"/>
      <w:bookmarkEnd w:id="347"/>
      <w:bookmarkStart w:id="348" w:name="_Toc184308096"/>
      <w:bookmarkEnd w:id="348"/>
      <w:bookmarkStart w:id="349" w:name="_Toc184312080"/>
      <w:bookmarkEnd w:id="349"/>
      <w:bookmarkStart w:id="350" w:name="_Toc184310306"/>
      <w:bookmarkEnd w:id="350"/>
      <w:bookmarkStart w:id="351" w:name="_Toc184314415"/>
      <w:bookmarkEnd w:id="351"/>
      <w:bookmarkStart w:id="352" w:name="_Toc184313309"/>
      <w:bookmarkEnd w:id="352"/>
      <w:bookmarkStart w:id="353" w:name="_Toc184313269"/>
      <w:bookmarkEnd w:id="353"/>
      <w:bookmarkStart w:id="354" w:name="_Toc184310318"/>
      <w:bookmarkEnd w:id="354"/>
      <w:bookmarkStart w:id="355" w:name="_Toc184314459"/>
      <w:bookmarkEnd w:id="355"/>
      <w:bookmarkStart w:id="356" w:name="_Toc184313260"/>
      <w:bookmarkEnd w:id="356"/>
      <w:bookmarkStart w:id="357" w:name="_Toc184310302"/>
      <w:bookmarkEnd w:id="357"/>
      <w:bookmarkStart w:id="358" w:name="_Toc184313248"/>
      <w:bookmarkEnd w:id="358"/>
      <w:bookmarkStart w:id="359" w:name="_Toc184313279"/>
      <w:bookmarkEnd w:id="359"/>
      <w:bookmarkStart w:id="360" w:name="_Toc184313294"/>
      <w:bookmarkEnd w:id="360"/>
      <w:bookmarkStart w:id="361" w:name="_Toc184308071"/>
      <w:bookmarkEnd w:id="361"/>
      <w:bookmarkStart w:id="362" w:name="_Toc184308066"/>
      <w:bookmarkEnd w:id="362"/>
      <w:bookmarkStart w:id="363" w:name="_Toc184308062"/>
      <w:bookmarkEnd w:id="363"/>
      <w:bookmarkStart w:id="364" w:name="_Toc184308053"/>
      <w:bookmarkEnd w:id="364"/>
      <w:bookmarkStart w:id="365" w:name="_Toc184314425"/>
      <w:bookmarkEnd w:id="365"/>
      <w:bookmarkStart w:id="366" w:name="_Toc184314475"/>
      <w:bookmarkEnd w:id="366"/>
      <w:bookmarkStart w:id="367" w:name="_Toc184312074"/>
      <w:bookmarkEnd w:id="367"/>
      <w:bookmarkStart w:id="368" w:name="_Toc184312120"/>
      <w:bookmarkEnd w:id="368"/>
      <w:bookmarkStart w:id="369" w:name="_Toc184313254"/>
      <w:bookmarkEnd w:id="369"/>
      <w:bookmarkStart w:id="370" w:name="_Toc184310304"/>
      <w:bookmarkEnd w:id="370"/>
      <w:bookmarkStart w:id="371" w:name="_Toc184310292"/>
      <w:bookmarkEnd w:id="371"/>
      <w:bookmarkStart w:id="372" w:name="_Toc184314461"/>
      <w:bookmarkEnd w:id="372"/>
      <w:bookmarkStart w:id="373" w:name="_Toc184310284"/>
      <w:bookmarkEnd w:id="373"/>
      <w:bookmarkStart w:id="374" w:name="_Toc184310337"/>
      <w:bookmarkEnd w:id="374"/>
      <w:bookmarkStart w:id="375" w:name="_Toc184312122"/>
      <w:bookmarkEnd w:id="375"/>
      <w:bookmarkStart w:id="376" w:name="_Toc184313238"/>
      <w:bookmarkEnd w:id="376"/>
      <w:bookmarkStart w:id="377" w:name="_Toc184314427"/>
      <w:bookmarkEnd w:id="377"/>
      <w:bookmarkStart w:id="378" w:name="_Toc184313278"/>
      <w:bookmarkEnd w:id="378"/>
      <w:bookmarkStart w:id="379" w:name="_Toc184310315"/>
      <w:bookmarkEnd w:id="379"/>
      <w:bookmarkStart w:id="380" w:name="_Toc184312078"/>
      <w:bookmarkEnd w:id="380"/>
      <w:bookmarkStart w:id="381" w:name="_Toc184310311"/>
      <w:bookmarkEnd w:id="381"/>
      <w:bookmarkStart w:id="382" w:name="_Toc184312126"/>
      <w:bookmarkEnd w:id="382"/>
      <w:bookmarkStart w:id="383" w:name="_Toc184314467"/>
      <w:bookmarkEnd w:id="383"/>
      <w:bookmarkStart w:id="384" w:name="_Toc184312089"/>
      <w:bookmarkEnd w:id="384"/>
      <w:bookmarkStart w:id="385" w:name="_Toc184310310"/>
      <w:bookmarkEnd w:id="385"/>
      <w:bookmarkStart w:id="386" w:name="_Toc184310300"/>
      <w:bookmarkEnd w:id="386"/>
      <w:bookmarkStart w:id="387" w:name="_Toc184313304"/>
      <w:bookmarkEnd w:id="387"/>
      <w:bookmarkStart w:id="388" w:name="_Toc184308046"/>
      <w:bookmarkEnd w:id="388"/>
      <w:bookmarkStart w:id="389" w:name="_Toc184308095"/>
      <w:bookmarkEnd w:id="389"/>
      <w:bookmarkStart w:id="390" w:name="_Toc184314445"/>
      <w:bookmarkEnd w:id="390"/>
      <w:bookmarkStart w:id="391" w:name="_Toc184313252"/>
      <w:bookmarkEnd w:id="391"/>
      <w:bookmarkStart w:id="392" w:name="_Toc184314434"/>
      <w:bookmarkEnd w:id="392"/>
      <w:bookmarkStart w:id="393" w:name="_Toc184308063"/>
      <w:bookmarkEnd w:id="393"/>
      <w:bookmarkStart w:id="394" w:name="_Toc184312110"/>
      <w:bookmarkEnd w:id="394"/>
      <w:bookmarkStart w:id="395" w:name="_Toc184314455"/>
      <w:bookmarkEnd w:id="395"/>
      <w:bookmarkStart w:id="396" w:name="_Toc184310275"/>
      <w:bookmarkEnd w:id="396"/>
      <w:bookmarkStart w:id="397" w:name="_Toc184313297"/>
      <w:bookmarkEnd w:id="397"/>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53"/>
        <w:gridCol w:w="7864"/>
        <w:gridCol w:w="715"/>
      </w:tblGrid>
      <w:tr w14:paraId="4FA4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14:paraId="3605D1B6">
            <w:pPr>
              <w:pStyle w:val="992"/>
              <w:widowControl/>
              <w:spacing w:beforeAutospacing="1"/>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53" w:type="dxa"/>
            <w:tcBorders>
              <w:top w:val="single" w:color="auto" w:sz="4" w:space="0"/>
              <w:left w:val="single" w:color="auto" w:sz="4" w:space="0"/>
              <w:bottom w:val="single" w:color="auto" w:sz="4" w:space="0"/>
              <w:right w:val="single" w:color="auto" w:sz="4" w:space="0"/>
            </w:tcBorders>
            <w:shd w:val="clear" w:color="auto" w:fill="auto"/>
          </w:tcPr>
          <w:p w14:paraId="18238AB0">
            <w:pPr>
              <w:pStyle w:val="992"/>
              <w:widowControl/>
              <w:spacing w:beforeAutospacing="1"/>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864" w:type="dxa"/>
            <w:tcBorders>
              <w:top w:val="single" w:color="auto" w:sz="4" w:space="0"/>
              <w:left w:val="single" w:color="auto" w:sz="4" w:space="0"/>
              <w:bottom w:val="single" w:color="auto" w:sz="4" w:space="0"/>
              <w:right w:val="single" w:color="auto" w:sz="4" w:space="0"/>
            </w:tcBorders>
            <w:shd w:val="clear" w:color="auto" w:fill="auto"/>
          </w:tcPr>
          <w:p w14:paraId="53CED834">
            <w:pPr>
              <w:pStyle w:val="992"/>
              <w:widowControl/>
              <w:spacing w:beforeAutospacing="1"/>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715" w:type="dxa"/>
            <w:tcBorders>
              <w:top w:val="single" w:color="auto" w:sz="4" w:space="0"/>
              <w:left w:val="single" w:color="auto" w:sz="4" w:space="0"/>
              <w:bottom w:val="single" w:color="auto" w:sz="4" w:space="0"/>
              <w:right w:val="single" w:color="auto" w:sz="4" w:space="0"/>
            </w:tcBorders>
            <w:shd w:val="clear" w:color="auto" w:fill="auto"/>
          </w:tcPr>
          <w:p w14:paraId="0670272D">
            <w:pPr>
              <w:pStyle w:val="992"/>
              <w:widowControl/>
              <w:spacing w:beforeAutospacing="1"/>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102E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14:paraId="47107C36">
            <w:pPr>
              <w:widowControl/>
              <w:ind w:right="-176" w:rightChars="-84"/>
              <w:jc w:val="center"/>
              <w:rPr>
                <w:rFonts w:hint="eastAsia" w:ascii="仿宋" w:hAnsi="仿宋" w:eastAsia="仿宋" w:cs="仿宋"/>
                <w:b/>
                <w:bCs/>
                <w:sz w:val="24"/>
                <w:lang w:bidi="ar"/>
              </w:rPr>
            </w:pPr>
            <w:r>
              <w:rPr>
                <w:rFonts w:hint="eastAsia" w:ascii="仿宋" w:hAnsi="仿宋" w:eastAsia="仿宋" w:cs="仿宋"/>
                <w:b/>
                <w:bCs/>
                <w:sz w:val="24"/>
              </w:rPr>
              <w:t>1</w:t>
            </w:r>
          </w:p>
        </w:tc>
        <w:tc>
          <w:tcPr>
            <w:tcW w:w="853" w:type="dxa"/>
            <w:tcBorders>
              <w:top w:val="nil"/>
              <w:left w:val="single" w:color="auto" w:sz="4" w:space="0"/>
              <w:bottom w:val="single" w:color="auto" w:sz="4" w:space="0"/>
              <w:right w:val="single" w:color="auto" w:sz="4" w:space="0"/>
            </w:tcBorders>
            <w:shd w:val="clear" w:color="auto" w:fill="auto"/>
            <w:vAlign w:val="center"/>
          </w:tcPr>
          <w:p w14:paraId="00232B83">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项目了解</w:t>
            </w:r>
          </w:p>
        </w:tc>
        <w:tc>
          <w:tcPr>
            <w:tcW w:w="7864" w:type="dxa"/>
            <w:tcBorders>
              <w:top w:val="single" w:color="auto" w:sz="4" w:space="0"/>
              <w:left w:val="single" w:color="auto" w:sz="4" w:space="0"/>
              <w:right w:val="single" w:color="auto" w:sz="4" w:space="0"/>
            </w:tcBorders>
            <w:shd w:val="clear" w:color="auto" w:fill="auto"/>
            <w:vAlign w:val="center"/>
          </w:tcPr>
          <w:p w14:paraId="214912E1">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根据投标人对本项目布置现场的熟悉情况、收集到的有关设计布展要求的资料编制情况（包括但不限于现场勘察图片、调研报告以及深入挖掘资料等）进行打分：</w:t>
            </w:r>
          </w:p>
          <w:p w14:paraId="39C49EC9">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①项目了解详实、资料收集完整、合理可行的得6分；</w:t>
            </w:r>
          </w:p>
          <w:p w14:paraId="3E6EA294">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②项目了解较一般、资料收集较详细的得4分；</w:t>
            </w:r>
          </w:p>
          <w:p w14:paraId="30A4EA34">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③项目了解较粗浅、资料收集较片面的得2分；</w:t>
            </w:r>
          </w:p>
          <w:p w14:paraId="000085AE">
            <w:pPr>
              <w:pStyle w:val="85"/>
              <w:snapToGrid w:val="0"/>
              <w:spacing w:line="264" w:lineRule="auto"/>
              <w:rPr>
                <w:rFonts w:hint="eastAsia" w:ascii="仿宋" w:hAnsi="仿宋" w:eastAsia="仿宋" w:cs="仿宋"/>
                <w:b/>
                <w:bCs/>
                <w:color w:val="auto"/>
                <w:sz w:val="24"/>
              </w:rPr>
            </w:pPr>
            <w:r>
              <w:rPr>
                <w:rFonts w:hint="eastAsia" w:ascii="仿宋" w:hAnsi="仿宋" w:eastAsia="仿宋" w:cs="仿宋"/>
                <w:b/>
                <w:color w:val="auto"/>
                <w:sz w:val="24"/>
              </w:rPr>
              <w:t>④未提供相关内容不得分</w:t>
            </w:r>
            <w:r>
              <w:rPr>
                <w:rFonts w:hint="eastAsia" w:ascii="仿宋" w:hAnsi="仿宋" w:eastAsia="仿宋" w:cs="仿宋"/>
                <w:bCs/>
                <w:color w:val="auto"/>
                <w:sz w:val="24"/>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7BAA447">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6分</w:t>
            </w:r>
          </w:p>
        </w:tc>
      </w:tr>
      <w:tr w14:paraId="3102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14:paraId="142589CA">
            <w:pPr>
              <w:widowControl/>
              <w:ind w:right="-176" w:rightChars="-84"/>
              <w:jc w:val="center"/>
              <w:rPr>
                <w:rFonts w:hint="eastAsia" w:ascii="仿宋" w:hAnsi="仿宋" w:eastAsia="仿宋" w:cs="仿宋"/>
                <w:b/>
                <w:bCs/>
                <w:sz w:val="24"/>
              </w:rPr>
            </w:pPr>
            <w:r>
              <w:rPr>
                <w:rFonts w:hint="eastAsia" w:ascii="仿宋" w:hAnsi="仿宋" w:eastAsia="仿宋" w:cs="仿宋"/>
                <w:b/>
                <w:bCs/>
                <w:sz w:val="24"/>
                <w:lang w:bidi="ar"/>
              </w:rPr>
              <w:t>2</w:t>
            </w:r>
          </w:p>
        </w:tc>
        <w:tc>
          <w:tcPr>
            <w:tcW w:w="853" w:type="dxa"/>
            <w:tcBorders>
              <w:top w:val="nil"/>
              <w:left w:val="single" w:color="auto" w:sz="4" w:space="0"/>
              <w:bottom w:val="single" w:color="auto" w:sz="4" w:space="0"/>
              <w:right w:val="single" w:color="auto" w:sz="4" w:space="0"/>
            </w:tcBorders>
            <w:shd w:val="clear" w:color="auto" w:fill="auto"/>
            <w:vAlign w:val="center"/>
          </w:tcPr>
          <w:p w14:paraId="38DB75AC">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人员保障</w:t>
            </w:r>
          </w:p>
        </w:tc>
        <w:tc>
          <w:tcPr>
            <w:tcW w:w="7864" w:type="dxa"/>
            <w:tcBorders>
              <w:top w:val="single" w:color="auto" w:sz="4" w:space="0"/>
              <w:left w:val="single" w:color="auto" w:sz="4" w:space="0"/>
              <w:right w:val="single" w:color="auto" w:sz="4" w:space="0"/>
            </w:tcBorders>
            <w:shd w:val="clear" w:color="auto" w:fill="auto"/>
            <w:vAlign w:val="center"/>
          </w:tcPr>
          <w:p w14:paraId="07A5DF53">
            <w:pPr>
              <w:pStyle w:val="85"/>
              <w:snapToGrid w:val="0"/>
              <w:spacing w:line="264" w:lineRule="auto"/>
              <w:rPr>
                <w:rFonts w:hint="eastAsia" w:ascii="仿宋" w:hAnsi="仿宋" w:eastAsia="仿宋" w:cs="仿宋"/>
                <w:color w:val="auto"/>
                <w:sz w:val="24"/>
              </w:rPr>
            </w:pPr>
            <w:r>
              <w:rPr>
                <w:rFonts w:hint="eastAsia" w:ascii="仿宋" w:hAnsi="仿宋" w:eastAsia="仿宋" w:cs="仿宋"/>
                <w:color w:val="auto"/>
                <w:sz w:val="24"/>
              </w:rPr>
              <w:t>1.项目负责人：投标人拟派项目负责人具有</w:t>
            </w:r>
            <w:r>
              <w:rPr>
                <w:rFonts w:hint="eastAsia" w:ascii="仿宋" w:hAnsi="仿宋" w:eastAsia="仿宋" w:cs="仿宋"/>
                <w:color w:val="auto"/>
                <w:sz w:val="24"/>
                <w:lang w:val="en-US" w:eastAsia="zh-CN"/>
              </w:rPr>
              <w:t>二</w:t>
            </w:r>
            <w:r>
              <w:rPr>
                <w:rFonts w:hint="eastAsia" w:ascii="仿宋" w:hAnsi="仿宋" w:eastAsia="仿宋" w:cs="仿宋"/>
                <w:color w:val="auto"/>
                <w:sz w:val="24"/>
              </w:rPr>
              <w:t>级注册建造师证书的得2分；（提供相关证书复印件加盖CA签章，不提供不得分）。</w:t>
            </w:r>
          </w:p>
          <w:p w14:paraId="72E4C20C">
            <w:pPr>
              <w:pStyle w:val="85"/>
              <w:snapToGrid w:val="0"/>
              <w:spacing w:line="264" w:lineRule="auto"/>
              <w:rPr>
                <w:rFonts w:hint="eastAsia" w:ascii="仿宋" w:hAnsi="仿宋" w:eastAsia="仿宋" w:cs="仿宋"/>
                <w:color w:val="auto"/>
                <w:sz w:val="24"/>
              </w:rPr>
            </w:pPr>
            <w:r>
              <w:rPr>
                <w:rFonts w:hint="eastAsia" w:ascii="仿宋" w:hAnsi="仿宋" w:eastAsia="仿宋" w:cs="仿宋"/>
                <w:color w:val="auto"/>
                <w:sz w:val="24"/>
              </w:rPr>
              <w:t>2.投标人拟派本项目专职服务人员，每提供一人得1分，最高得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p w14:paraId="28674F9D">
            <w:pPr>
              <w:pStyle w:val="23"/>
              <w:snapToGrid w:val="0"/>
              <w:spacing w:after="0" w:line="264"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w:t>注：商务技术文件中提供相关人员名单、身份证复印件及投标人为其缴纳的开标截止日前近三个月内任意一个月的社保证明（以社保机构出具的社保证明为准），不提供不得分。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085FC1">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6分</w:t>
            </w:r>
          </w:p>
        </w:tc>
      </w:tr>
      <w:tr w14:paraId="4EA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14:paraId="47A90FC7">
            <w:pPr>
              <w:widowControl/>
              <w:ind w:right="-176" w:rightChars="-84"/>
              <w:jc w:val="center"/>
              <w:rPr>
                <w:rFonts w:hint="eastAsia" w:ascii="仿宋" w:hAnsi="仿宋" w:eastAsia="仿宋" w:cs="仿宋"/>
                <w:b/>
                <w:bCs/>
                <w:sz w:val="24"/>
                <w:lang w:bidi="ar"/>
              </w:rPr>
            </w:pPr>
            <w:r>
              <w:rPr>
                <w:rFonts w:hint="eastAsia" w:ascii="仿宋" w:hAnsi="仿宋" w:eastAsia="仿宋" w:cs="仿宋"/>
                <w:b/>
                <w:bCs/>
                <w:sz w:val="24"/>
                <w:lang w:bidi="ar"/>
              </w:rPr>
              <w:t>3</w:t>
            </w:r>
          </w:p>
        </w:tc>
        <w:tc>
          <w:tcPr>
            <w:tcW w:w="853" w:type="dxa"/>
            <w:tcBorders>
              <w:top w:val="nil"/>
              <w:left w:val="single" w:color="auto" w:sz="4" w:space="0"/>
              <w:bottom w:val="single" w:color="auto" w:sz="4" w:space="0"/>
              <w:right w:val="single" w:color="auto" w:sz="4" w:space="0"/>
            </w:tcBorders>
            <w:shd w:val="clear" w:color="auto" w:fill="auto"/>
            <w:vAlign w:val="center"/>
          </w:tcPr>
          <w:p w14:paraId="72164DD5">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展示策略</w:t>
            </w:r>
          </w:p>
        </w:tc>
        <w:tc>
          <w:tcPr>
            <w:tcW w:w="7864" w:type="dxa"/>
            <w:tcBorders>
              <w:top w:val="single" w:color="auto" w:sz="4" w:space="0"/>
              <w:left w:val="single" w:color="auto" w:sz="4" w:space="0"/>
              <w:right w:val="single" w:color="auto" w:sz="4" w:space="0"/>
            </w:tcBorders>
            <w:shd w:val="clear" w:color="auto" w:fill="auto"/>
            <w:vAlign w:val="center"/>
          </w:tcPr>
          <w:p w14:paraId="4B47AC4E">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展陈内容结合诸暨市枫桥镇的在地文化及越剧文化进行梳理。根据内容逻辑清晰度、内容覆盖面深度、思想高度、完整性等对于展陈内容合理性打分。</w:t>
            </w:r>
          </w:p>
          <w:p w14:paraId="17315E9C">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①内容完整全面、科学合理、可行性强的得7分；</w:t>
            </w:r>
          </w:p>
          <w:p w14:paraId="743AA5D2">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②内容相对详细，具有一定可行性的得5分；</w:t>
            </w:r>
          </w:p>
          <w:p w14:paraId="522E4424">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③内容较简略、存在欠缺、可行性较差的得3分；</w:t>
            </w:r>
          </w:p>
          <w:p w14:paraId="65F5B1C1">
            <w:pPr>
              <w:pStyle w:val="85"/>
              <w:snapToGrid w:val="0"/>
              <w:spacing w:line="264" w:lineRule="auto"/>
              <w:rPr>
                <w:rFonts w:hint="eastAsia" w:ascii="仿宋" w:hAnsi="仿宋" w:eastAsia="仿宋" w:cs="仿宋"/>
                <w:b/>
                <w:bCs/>
                <w:color w:val="auto"/>
                <w:sz w:val="24"/>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33B3127">
            <w:pPr>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7分</w:t>
            </w:r>
          </w:p>
        </w:tc>
      </w:tr>
      <w:tr w14:paraId="64E0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14:paraId="52A0E24D">
            <w:pPr>
              <w:widowControl/>
              <w:ind w:right="-176" w:rightChars="-84"/>
              <w:jc w:val="center"/>
              <w:rPr>
                <w:rFonts w:hint="eastAsia" w:ascii="仿宋" w:hAnsi="仿宋" w:eastAsia="仿宋" w:cs="仿宋"/>
                <w:b/>
                <w:bCs/>
                <w:sz w:val="24"/>
                <w:lang w:bidi="ar"/>
              </w:rPr>
            </w:pPr>
            <w:r>
              <w:rPr>
                <w:rFonts w:hint="eastAsia" w:ascii="仿宋" w:hAnsi="仿宋" w:eastAsia="仿宋" w:cs="仿宋"/>
                <w:b/>
                <w:bCs/>
                <w:sz w:val="24"/>
                <w:lang w:bidi="ar"/>
              </w:rPr>
              <w:t>4</w:t>
            </w:r>
          </w:p>
        </w:tc>
        <w:tc>
          <w:tcPr>
            <w:tcW w:w="853" w:type="dxa"/>
            <w:tcBorders>
              <w:top w:val="nil"/>
              <w:left w:val="single" w:color="auto" w:sz="4" w:space="0"/>
              <w:bottom w:val="single" w:color="auto" w:sz="4" w:space="0"/>
              <w:right w:val="single" w:color="auto" w:sz="4" w:space="0"/>
            </w:tcBorders>
            <w:shd w:val="clear" w:color="auto" w:fill="auto"/>
            <w:vAlign w:val="center"/>
          </w:tcPr>
          <w:p w14:paraId="370BFAB7">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设计理念</w:t>
            </w:r>
          </w:p>
        </w:tc>
        <w:tc>
          <w:tcPr>
            <w:tcW w:w="7864" w:type="dxa"/>
            <w:tcBorders>
              <w:top w:val="single" w:color="auto" w:sz="4" w:space="0"/>
              <w:left w:val="single" w:color="auto" w:sz="4" w:space="0"/>
              <w:right w:val="single" w:color="auto" w:sz="4" w:space="0"/>
            </w:tcBorders>
            <w:shd w:val="clear" w:color="auto" w:fill="auto"/>
            <w:vAlign w:val="center"/>
          </w:tcPr>
          <w:p w14:paraId="1343357E">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根据投标人整体创作方案的创意、展示形式、技术手段、设计的美观性、项目的可行完整性、布局合理性、创意性、合理性进行打分。</w:t>
            </w:r>
          </w:p>
          <w:p w14:paraId="33CC6269">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①方案完整全面、科学合理、可行性强的得7分；</w:t>
            </w:r>
          </w:p>
          <w:p w14:paraId="1AD2343C">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②方案相对详细，具有一定可行性的得5分；</w:t>
            </w:r>
          </w:p>
          <w:p w14:paraId="4F69548E">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③方案较简略、存在欠缺、可行性较差的得3分；</w:t>
            </w:r>
          </w:p>
          <w:p w14:paraId="0A1F7AEA">
            <w:pPr>
              <w:pStyle w:val="85"/>
              <w:snapToGrid w:val="0"/>
              <w:spacing w:line="264" w:lineRule="auto"/>
              <w:rPr>
                <w:rFonts w:hint="eastAsia" w:ascii="仿宋" w:hAnsi="仿宋" w:eastAsia="仿宋" w:cs="仿宋"/>
                <w:bCs/>
                <w:color w:val="auto"/>
                <w:sz w:val="24"/>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4404C31">
            <w:pPr>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7分</w:t>
            </w:r>
          </w:p>
        </w:tc>
      </w:tr>
      <w:tr w14:paraId="268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tcBorders>
              <w:top w:val="nil"/>
              <w:left w:val="single" w:color="auto" w:sz="4" w:space="0"/>
              <w:right w:val="single" w:color="auto" w:sz="4" w:space="0"/>
            </w:tcBorders>
            <w:shd w:val="clear" w:color="auto" w:fill="auto"/>
          </w:tcPr>
          <w:p w14:paraId="54D9D8C0">
            <w:pPr>
              <w:pStyle w:val="32"/>
              <w:widowControl/>
              <w:jc w:val="center"/>
              <w:rPr>
                <w:rFonts w:hint="eastAsia" w:ascii="仿宋" w:hAnsi="仿宋" w:eastAsia="仿宋" w:cs="仿宋"/>
                <w:b/>
                <w:bCs/>
                <w:kern w:val="0"/>
              </w:rPr>
            </w:pPr>
            <w:r>
              <w:rPr>
                <w:rFonts w:hint="eastAsia" w:ascii="仿宋" w:hAnsi="仿宋" w:eastAsia="仿宋" w:cs="仿宋"/>
                <w:b/>
                <w:bCs/>
                <w:kern w:val="0"/>
              </w:rPr>
              <w:br w:type="textWrapping"/>
            </w:r>
            <w:r>
              <w:rPr>
                <w:rFonts w:hint="eastAsia" w:ascii="仿宋" w:hAnsi="仿宋" w:eastAsia="仿宋" w:cs="仿宋"/>
                <w:b/>
                <w:bCs/>
                <w:kern w:val="0"/>
              </w:rPr>
              <w:br w:type="textWrapping"/>
            </w:r>
            <w:r>
              <w:rPr>
                <w:rFonts w:hint="eastAsia" w:ascii="仿宋" w:hAnsi="仿宋" w:eastAsia="仿宋" w:cs="仿宋"/>
                <w:b/>
                <w:bCs/>
                <w:kern w:val="0"/>
              </w:rPr>
              <w:br w:type="textWrapping"/>
            </w:r>
            <w:r>
              <w:rPr>
                <w:rFonts w:hint="eastAsia" w:ascii="仿宋" w:hAnsi="仿宋" w:eastAsia="仿宋" w:cs="仿宋"/>
                <w:b/>
                <w:bCs/>
                <w:kern w:val="0"/>
              </w:rPr>
              <w:br w:type="textWrapping"/>
            </w:r>
          </w:p>
          <w:p w14:paraId="672152CC">
            <w:pPr>
              <w:pStyle w:val="32"/>
              <w:widowControl/>
              <w:jc w:val="center"/>
              <w:rPr>
                <w:rFonts w:hint="eastAsia" w:ascii="仿宋" w:hAnsi="仿宋" w:eastAsia="仿宋" w:cs="仿宋"/>
                <w:b/>
                <w:bCs/>
                <w:kern w:val="0"/>
              </w:rPr>
            </w:pPr>
          </w:p>
          <w:p w14:paraId="08BB371A">
            <w:pPr>
              <w:pStyle w:val="32"/>
              <w:widowControl/>
              <w:jc w:val="center"/>
              <w:rPr>
                <w:rFonts w:hint="eastAsia" w:ascii="仿宋" w:hAnsi="仿宋" w:eastAsia="仿宋" w:cs="仿宋"/>
                <w:b/>
                <w:bCs/>
                <w:kern w:val="0"/>
              </w:rPr>
            </w:pPr>
          </w:p>
          <w:p w14:paraId="43B22A74">
            <w:pPr>
              <w:pStyle w:val="32"/>
              <w:widowControl/>
              <w:jc w:val="center"/>
              <w:rPr>
                <w:rFonts w:hint="eastAsia" w:ascii="仿宋" w:hAnsi="仿宋" w:eastAsia="仿宋" w:cs="仿宋"/>
                <w:b/>
                <w:bCs/>
                <w:kern w:val="0"/>
              </w:rPr>
            </w:pPr>
          </w:p>
          <w:p w14:paraId="7518B9DB">
            <w:pPr>
              <w:pStyle w:val="32"/>
              <w:widowControl/>
              <w:jc w:val="center"/>
              <w:rPr>
                <w:rFonts w:hint="eastAsia" w:ascii="仿宋" w:hAnsi="仿宋" w:eastAsia="仿宋" w:cs="仿宋"/>
                <w:b/>
                <w:bCs/>
                <w:kern w:val="0"/>
              </w:rPr>
            </w:pPr>
          </w:p>
          <w:p w14:paraId="4FB4948B">
            <w:pPr>
              <w:pStyle w:val="32"/>
              <w:widowControl/>
              <w:jc w:val="center"/>
              <w:rPr>
                <w:rFonts w:hint="eastAsia" w:ascii="仿宋" w:hAnsi="仿宋" w:eastAsia="仿宋" w:cs="仿宋"/>
                <w:b/>
                <w:bCs/>
                <w:kern w:val="0"/>
              </w:rPr>
            </w:pPr>
            <w:r>
              <w:rPr>
                <w:rFonts w:hint="eastAsia" w:ascii="仿宋" w:hAnsi="仿宋" w:eastAsia="仿宋" w:cs="仿宋"/>
                <w:b/>
                <w:bCs/>
                <w:kern w:val="0"/>
              </w:rPr>
              <w:t>5</w:t>
            </w:r>
          </w:p>
          <w:p w14:paraId="6BEAC64C">
            <w:pPr>
              <w:pStyle w:val="32"/>
              <w:widowControl/>
              <w:jc w:val="center"/>
              <w:rPr>
                <w:rFonts w:hint="eastAsia" w:ascii="仿宋" w:hAnsi="仿宋" w:eastAsia="仿宋" w:cs="仿宋"/>
                <w:b/>
                <w:bCs/>
              </w:rPr>
            </w:pPr>
          </w:p>
        </w:tc>
        <w:tc>
          <w:tcPr>
            <w:tcW w:w="853" w:type="dxa"/>
            <w:vMerge w:val="restart"/>
            <w:tcBorders>
              <w:top w:val="nil"/>
              <w:left w:val="single" w:color="auto" w:sz="4" w:space="0"/>
              <w:right w:val="single" w:color="auto" w:sz="4" w:space="0"/>
            </w:tcBorders>
            <w:shd w:val="clear" w:color="auto" w:fill="auto"/>
            <w:vAlign w:val="center"/>
          </w:tcPr>
          <w:p w14:paraId="2E83087A">
            <w:pPr>
              <w:pStyle w:val="32"/>
              <w:widowControl/>
              <w:jc w:val="center"/>
              <w:rPr>
                <w:rFonts w:hint="eastAsia" w:ascii="仿宋" w:hAnsi="仿宋" w:eastAsia="仿宋" w:cs="仿宋"/>
                <w:b/>
                <w:bCs/>
              </w:rPr>
            </w:pPr>
          </w:p>
          <w:p w14:paraId="687D6AA8">
            <w:pPr>
              <w:pStyle w:val="32"/>
              <w:widowControl/>
              <w:jc w:val="center"/>
              <w:rPr>
                <w:rFonts w:hint="eastAsia" w:ascii="仿宋" w:hAnsi="仿宋" w:eastAsia="仿宋" w:cs="仿宋"/>
                <w:b/>
                <w:bCs/>
              </w:rPr>
            </w:pPr>
          </w:p>
          <w:p w14:paraId="19B8A5E2">
            <w:pPr>
              <w:pStyle w:val="32"/>
              <w:widowControl/>
              <w:jc w:val="center"/>
              <w:rPr>
                <w:rFonts w:hint="eastAsia" w:ascii="仿宋" w:hAnsi="仿宋" w:eastAsia="仿宋" w:cs="仿宋"/>
                <w:b/>
                <w:bCs/>
              </w:rPr>
            </w:pPr>
          </w:p>
          <w:p w14:paraId="60F432CD">
            <w:pPr>
              <w:pStyle w:val="32"/>
              <w:widowControl/>
              <w:jc w:val="center"/>
              <w:rPr>
                <w:rFonts w:hint="eastAsia" w:ascii="仿宋" w:hAnsi="仿宋" w:eastAsia="仿宋" w:cs="仿宋"/>
                <w:b/>
                <w:bCs/>
              </w:rPr>
            </w:pPr>
            <w:r>
              <w:rPr>
                <w:rFonts w:hint="eastAsia" w:ascii="仿宋" w:hAnsi="仿宋" w:eastAsia="仿宋" w:cs="仿宋"/>
                <w:b/>
                <w:bCs/>
              </w:rPr>
              <w:t>设计</w:t>
            </w:r>
          </w:p>
          <w:p w14:paraId="780149AE">
            <w:pPr>
              <w:pStyle w:val="32"/>
              <w:widowControl/>
              <w:jc w:val="center"/>
              <w:rPr>
                <w:rFonts w:hint="eastAsia" w:ascii="仿宋" w:hAnsi="仿宋" w:eastAsia="仿宋" w:cs="仿宋"/>
                <w:b/>
                <w:bCs/>
              </w:rPr>
            </w:pPr>
            <w:r>
              <w:rPr>
                <w:rFonts w:hint="eastAsia" w:ascii="仿宋" w:hAnsi="仿宋" w:eastAsia="仿宋" w:cs="仿宋"/>
                <w:b/>
                <w:bCs/>
              </w:rPr>
              <w:t>方案</w:t>
            </w:r>
          </w:p>
          <w:p w14:paraId="7D8C5017">
            <w:pPr>
              <w:pStyle w:val="32"/>
              <w:widowControl/>
              <w:jc w:val="center"/>
              <w:rPr>
                <w:rFonts w:hint="eastAsia" w:ascii="仿宋" w:hAnsi="仿宋" w:eastAsia="仿宋" w:cs="仿宋"/>
                <w:b/>
                <w:bCs/>
              </w:rPr>
            </w:pPr>
          </w:p>
          <w:p w14:paraId="3172C8D6">
            <w:pPr>
              <w:pStyle w:val="32"/>
              <w:widowControl/>
              <w:jc w:val="center"/>
              <w:rPr>
                <w:rFonts w:hint="eastAsia" w:ascii="仿宋" w:hAnsi="仿宋" w:eastAsia="仿宋" w:cs="仿宋"/>
                <w:b/>
                <w:bCs/>
              </w:rPr>
            </w:pPr>
          </w:p>
          <w:p w14:paraId="574E2C0D">
            <w:pPr>
              <w:pStyle w:val="32"/>
              <w:widowControl/>
              <w:jc w:val="center"/>
              <w:rPr>
                <w:rFonts w:hint="eastAsia" w:ascii="仿宋" w:hAnsi="仿宋" w:eastAsia="仿宋" w:cs="仿宋"/>
                <w:b/>
                <w:bCs/>
              </w:rPr>
            </w:pPr>
          </w:p>
          <w:p w14:paraId="5D71B7DF">
            <w:pPr>
              <w:pStyle w:val="32"/>
              <w:widowControl/>
              <w:jc w:val="center"/>
              <w:rPr>
                <w:rFonts w:hint="eastAsia" w:ascii="仿宋" w:hAnsi="仿宋" w:eastAsia="仿宋" w:cs="仿宋"/>
                <w:b/>
                <w:bCs/>
              </w:rPr>
            </w:pPr>
          </w:p>
          <w:p w14:paraId="1A0D10A7">
            <w:pPr>
              <w:widowControl/>
              <w:jc w:val="center"/>
              <w:rPr>
                <w:rFonts w:hint="eastAsia" w:ascii="仿宋" w:hAnsi="仿宋" w:eastAsia="仿宋" w:cs="仿宋"/>
                <w:b/>
                <w:bCs/>
                <w:sz w:val="24"/>
              </w:rPr>
            </w:pPr>
          </w:p>
        </w:tc>
        <w:tc>
          <w:tcPr>
            <w:tcW w:w="7864" w:type="dxa"/>
            <w:tcBorders>
              <w:top w:val="nil"/>
              <w:left w:val="single" w:color="auto" w:sz="4" w:space="0"/>
              <w:bottom w:val="single" w:color="auto" w:sz="4" w:space="0"/>
              <w:right w:val="single" w:color="auto" w:sz="4" w:space="0"/>
            </w:tcBorders>
            <w:shd w:val="clear" w:color="auto" w:fill="auto"/>
            <w:vAlign w:val="center"/>
          </w:tcPr>
          <w:p w14:paraId="30BA7D34">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投标人出具效果图，根据设计规划布局的完整性、合理性、可操作性，与本项目要求主题实际切合程度等情况进行打分：</w:t>
            </w:r>
          </w:p>
          <w:p w14:paraId="289974E3">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①效果图完整全面、规划布局合理、切合项目主题、可操作性强的得7分；</w:t>
            </w:r>
          </w:p>
          <w:p w14:paraId="57B041E3">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②效果图较一般、具有一定可操作性的得5分；</w:t>
            </w:r>
          </w:p>
          <w:p w14:paraId="313878E7">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③效果图较简略、层次不够清晰、操作性较差的得3分；</w:t>
            </w:r>
          </w:p>
          <w:p w14:paraId="7D67F4AA">
            <w:pPr>
              <w:pStyle w:val="85"/>
              <w:snapToGrid w:val="0"/>
              <w:spacing w:line="264" w:lineRule="auto"/>
              <w:rPr>
                <w:rFonts w:hint="eastAsia" w:ascii="仿宋" w:hAnsi="仿宋" w:eastAsia="仿宋" w:cs="仿宋"/>
                <w:sz w:val="24"/>
              </w:rPr>
            </w:pPr>
            <w:r>
              <w:rPr>
                <w:rFonts w:hint="eastAsia" w:ascii="仿宋" w:hAnsi="仿宋" w:eastAsia="仿宋" w:cs="仿宋"/>
                <w:b/>
                <w:color w:val="auto"/>
                <w:sz w:val="24"/>
              </w:rPr>
              <w:t>④未提供相关效果图的不得分。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F54363E">
            <w:pPr>
              <w:widowControl/>
              <w:snapToGrid w:val="0"/>
              <w:spacing w:line="264" w:lineRule="auto"/>
              <w:jc w:val="center"/>
              <w:rPr>
                <w:rFonts w:hint="eastAsia" w:ascii="仿宋" w:hAnsi="仿宋" w:eastAsia="仿宋" w:cs="仿宋"/>
                <w:b/>
                <w:bCs/>
                <w:kern w:val="0"/>
                <w:sz w:val="24"/>
              </w:rPr>
            </w:pPr>
            <w:r>
              <w:rPr>
                <w:rFonts w:hint="eastAsia" w:ascii="仿宋" w:hAnsi="仿宋" w:eastAsia="仿宋" w:cs="仿宋"/>
                <w:b/>
                <w:bCs/>
                <w:kern w:val="0"/>
                <w:sz w:val="24"/>
              </w:rPr>
              <w:t>7分</w:t>
            </w:r>
          </w:p>
        </w:tc>
      </w:tr>
      <w:tr w14:paraId="02B0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vMerge w:val="continue"/>
            <w:tcBorders>
              <w:left w:val="single" w:color="auto" w:sz="4" w:space="0"/>
              <w:right w:val="single" w:color="auto" w:sz="4" w:space="0"/>
            </w:tcBorders>
            <w:shd w:val="clear" w:color="auto" w:fill="auto"/>
          </w:tcPr>
          <w:p w14:paraId="700015C3">
            <w:pPr>
              <w:rPr>
                <w:rFonts w:hint="eastAsia" w:ascii="仿宋" w:hAnsi="仿宋" w:eastAsia="仿宋" w:cs="仿宋"/>
                <w:b/>
                <w:bCs/>
                <w:sz w:val="20"/>
                <w:szCs w:val="20"/>
              </w:rPr>
            </w:pPr>
          </w:p>
        </w:tc>
        <w:tc>
          <w:tcPr>
            <w:tcW w:w="853" w:type="dxa"/>
            <w:vMerge w:val="continue"/>
            <w:tcBorders>
              <w:left w:val="single" w:color="auto" w:sz="4" w:space="0"/>
              <w:right w:val="single" w:color="auto" w:sz="4" w:space="0"/>
            </w:tcBorders>
            <w:shd w:val="clear" w:color="auto" w:fill="auto"/>
            <w:vAlign w:val="center"/>
          </w:tcPr>
          <w:p w14:paraId="2028BE0D">
            <w:pPr>
              <w:widowControl/>
              <w:jc w:val="center"/>
              <w:rPr>
                <w:rFonts w:hint="eastAsia" w:ascii="仿宋" w:hAnsi="仿宋" w:eastAsia="仿宋" w:cs="仿宋"/>
                <w:b/>
                <w:bCs/>
                <w:sz w:val="24"/>
              </w:rPr>
            </w:pPr>
          </w:p>
        </w:tc>
        <w:tc>
          <w:tcPr>
            <w:tcW w:w="7864" w:type="dxa"/>
            <w:tcBorders>
              <w:top w:val="nil"/>
              <w:left w:val="single" w:color="auto" w:sz="4" w:space="0"/>
              <w:bottom w:val="single" w:color="auto" w:sz="4" w:space="0"/>
              <w:right w:val="single" w:color="auto" w:sz="4" w:space="0"/>
            </w:tcBorders>
            <w:shd w:val="clear" w:color="auto" w:fill="auto"/>
            <w:vAlign w:val="center"/>
          </w:tcPr>
          <w:p w14:paraId="16881EA9">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根据功能设置、分区布置、满足功能需求等方案进行打分（提供平面图、立面图、设备安装位置图）</w:t>
            </w:r>
          </w:p>
          <w:p w14:paraId="59317093">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①功能分区完整，内容合理明确，可行性强的得7分；</w:t>
            </w:r>
          </w:p>
          <w:p w14:paraId="24E5DA81">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②功能分区较详细，内容存在欠缺，基本合理可行的得5分；</w:t>
            </w:r>
          </w:p>
          <w:p w14:paraId="3B663FB0">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③功能分区较一般，内容过于简略，可行性较差的得3分；</w:t>
            </w:r>
          </w:p>
          <w:p w14:paraId="2164898D">
            <w:pPr>
              <w:pStyle w:val="85"/>
              <w:snapToGrid w:val="0"/>
              <w:spacing w:line="264" w:lineRule="auto"/>
              <w:rPr>
                <w:rFonts w:hint="eastAsia" w:ascii="仿宋" w:hAnsi="仿宋" w:eastAsia="仿宋" w:cs="仿宋"/>
                <w:sz w:val="24"/>
              </w:rPr>
            </w:pPr>
            <w:r>
              <w:rPr>
                <w:rFonts w:hint="eastAsia" w:ascii="仿宋" w:hAnsi="仿宋" w:eastAsia="仿宋" w:cs="仿宋"/>
                <w:b/>
                <w:color w:val="auto"/>
                <w:sz w:val="24"/>
              </w:rPr>
              <w:t>④未提供平面图、立面图、设备安装位置图不得分。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D2C99DC">
            <w:pPr>
              <w:widowControl/>
              <w:snapToGrid w:val="0"/>
              <w:spacing w:line="264" w:lineRule="auto"/>
              <w:jc w:val="center"/>
              <w:rPr>
                <w:rFonts w:hint="eastAsia" w:ascii="仿宋" w:hAnsi="仿宋" w:eastAsia="仿宋" w:cs="仿宋"/>
                <w:b/>
                <w:bCs/>
                <w:sz w:val="24"/>
              </w:rPr>
            </w:pPr>
            <w:r>
              <w:rPr>
                <w:rFonts w:hint="eastAsia" w:ascii="仿宋" w:hAnsi="仿宋" w:eastAsia="仿宋" w:cs="仿宋"/>
                <w:b/>
                <w:bCs/>
                <w:sz w:val="24"/>
              </w:rPr>
              <w:t>7分</w:t>
            </w:r>
          </w:p>
        </w:tc>
      </w:tr>
      <w:tr w14:paraId="4430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34" w:type="dxa"/>
            <w:vMerge w:val="continue"/>
            <w:tcBorders>
              <w:left w:val="single" w:color="auto" w:sz="4" w:space="0"/>
              <w:right w:val="single" w:color="auto" w:sz="4" w:space="0"/>
            </w:tcBorders>
            <w:shd w:val="clear" w:color="auto" w:fill="auto"/>
          </w:tcPr>
          <w:p w14:paraId="6568D1FF">
            <w:pPr>
              <w:snapToGrid w:val="0"/>
              <w:spacing w:line="264" w:lineRule="auto"/>
              <w:jc w:val="center"/>
              <w:rPr>
                <w:rFonts w:hint="eastAsia" w:ascii="仿宋" w:hAnsi="仿宋" w:eastAsia="仿宋" w:cs="仿宋"/>
                <w:b/>
                <w:bCs/>
              </w:rPr>
            </w:pPr>
          </w:p>
        </w:tc>
        <w:tc>
          <w:tcPr>
            <w:tcW w:w="853" w:type="dxa"/>
            <w:vMerge w:val="continue"/>
            <w:tcBorders>
              <w:left w:val="single" w:color="auto" w:sz="4" w:space="0"/>
              <w:right w:val="single" w:color="auto" w:sz="4" w:space="0"/>
            </w:tcBorders>
            <w:shd w:val="clear" w:color="auto" w:fill="auto"/>
            <w:vAlign w:val="center"/>
          </w:tcPr>
          <w:p w14:paraId="2150C8EF">
            <w:pPr>
              <w:snapToGrid w:val="0"/>
              <w:spacing w:line="264" w:lineRule="auto"/>
              <w:jc w:val="center"/>
              <w:rPr>
                <w:rFonts w:hint="eastAsia" w:ascii="仿宋" w:hAnsi="仿宋" w:eastAsia="仿宋" w:cs="仿宋"/>
                <w:b/>
                <w:bCs/>
              </w:rPr>
            </w:pPr>
          </w:p>
        </w:tc>
        <w:tc>
          <w:tcPr>
            <w:tcW w:w="7864" w:type="dxa"/>
            <w:tcBorders>
              <w:top w:val="nil"/>
              <w:left w:val="single" w:color="auto" w:sz="4" w:space="0"/>
              <w:right w:val="single" w:color="auto" w:sz="4" w:space="0"/>
            </w:tcBorders>
            <w:shd w:val="clear" w:color="auto" w:fill="auto"/>
            <w:vAlign w:val="center"/>
          </w:tcPr>
          <w:p w14:paraId="1AE251A5">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多媒体展项设计：根据项目实施方案的全面性、严密性、与实际的符合性及针对性、展示技术的可靠性和空间实施的可行性等进行综合评分,</w:t>
            </w:r>
          </w:p>
          <w:p w14:paraId="0CC6C16F">
            <w:pPr>
              <w:pStyle w:val="85"/>
              <w:snapToGrid w:val="0"/>
              <w:spacing w:line="264" w:lineRule="auto"/>
              <w:rPr>
                <w:rFonts w:hint="eastAsia" w:ascii="仿宋" w:hAnsi="仿宋" w:eastAsia="仿宋" w:cs="仿宋"/>
                <w:b/>
                <w:color w:val="auto"/>
                <w:sz w:val="24"/>
              </w:rPr>
            </w:pPr>
            <w:r>
              <w:rPr>
                <w:rFonts w:hint="eastAsia" w:ascii="仿宋" w:hAnsi="仿宋" w:eastAsia="仿宋" w:cs="仿宋"/>
                <w:bCs/>
                <w:color w:val="auto"/>
                <w:sz w:val="24"/>
              </w:rPr>
              <w:t>①</w:t>
            </w:r>
            <w:r>
              <w:rPr>
                <w:rFonts w:hint="eastAsia" w:ascii="仿宋" w:hAnsi="仿宋" w:eastAsia="仿宋" w:cs="仿宋"/>
                <w:b/>
                <w:color w:val="auto"/>
                <w:sz w:val="24"/>
              </w:rPr>
              <w:t>方案完整全面、科学合理、可行性强的得7分；</w:t>
            </w:r>
          </w:p>
          <w:p w14:paraId="368D7BFA">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②方案相对详细，具有一定可行性的得5分；</w:t>
            </w:r>
          </w:p>
          <w:p w14:paraId="44F501BC">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③方案较简略、存在欠缺、可行性较差的得3分；</w:t>
            </w:r>
          </w:p>
          <w:p w14:paraId="3B7ADB2A">
            <w:pPr>
              <w:pStyle w:val="85"/>
              <w:snapToGrid w:val="0"/>
              <w:spacing w:line="264" w:lineRule="auto"/>
              <w:rPr>
                <w:rFonts w:hint="eastAsia" w:ascii="仿宋" w:hAnsi="仿宋" w:eastAsia="仿宋" w:cs="仿宋"/>
                <w:bCs/>
                <w:color w:val="auto"/>
                <w:sz w:val="24"/>
              </w:rPr>
            </w:pPr>
            <w:r>
              <w:rPr>
                <w:rFonts w:hint="eastAsia" w:ascii="仿宋" w:hAnsi="仿宋" w:eastAsia="仿宋" w:cs="仿宋"/>
                <w:b/>
                <w:color w:val="auto"/>
                <w:sz w:val="24"/>
              </w:rPr>
              <w:t>④未提供相关内容不得分。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2AE1817">
            <w:pPr>
              <w:snapToGrid w:val="0"/>
              <w:spacing w:line="264" w:lineRule="auto"/>
              <w:jc w:val="center"/>
              <w:rPr>
                <w:rFonts w:hint="eastAsia" w:ascii="仿宋" w:hAnsi="仿宋" w:eastAsia="仿宋" w:cs="仿宋"/>
                <w:b/>
                <w:bCs/>
                <w:sz w:val="24"/>
              </w:rPr>
            </w:pPr>
            <w:r>
              <w:rPr>
                <w:rFonts w:hint="eastAsia" w:ascii="仿宋" w:hAnsi="仿宋" w:eastAsia="仿宋" w:cs="仿宋"/>
                <w:b/>
                <w:bCs/>
                <w:kern w:val="0"/>
                <w:sz w:val="24"/>
              </w:rPr>
              <w:t>7分</w:t>
            </w:r>
          </w:p>
        </w:tc>
      </w:tr>
      <w:tr w14:paraId="54A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734" w:type="dxa"/>
            <w:vMerge w:val="continue"/>
            <w:tcBorders>
              <w:left w:val="single" w:color="auto" w:sz="4" w:space="0"/>
              <w:bottom w:val="single" w:color="auto" w:sz="4" w:space="0"/>
              <w:right w:val="single" w:color="auto" w:sz="4" w:space="0"/>
            </w:tcBorders>
            <w:shd w:val="clear" w:color="auto" w:fill="auto"/>
          </w:tcPr>
          <w:p w14:paraId="2EFFE286">
            <w:pPr>
              <w:rPr>
                <w:rFonts w:hint="eastAsia" w:ascii="仿宋" w:hAnsi="仿宋" w:eastAsia="仿宋" w:cs="仿宋"/>
                <w:b/>
                <w:bCs/>
                <w:sz w:val="20"/>
                <w:szCs w:val="20"/>
              </w:rPr>
            </w:pPr>
          </w:p>
        </w:tc>
        <w:tc>
          <w:tcPr>
            <w:tcW w:w="853" w:type="dxa"/>
            <w:vMerge w:val="continue"/>
            <w:tcBorders>
              <w:left w:val="single" w:color="auto" w:sz="4" w:space="0"/>
              <w:bottom w:val="single" w:color="auto" w:sz="4" w:space="0"/>
              <w:right w:val="single" w:color="auto" w:sz="4" w:space="0"/>
            </w:tcBorders>
            <w:shd w:val="clear" w:color="auto" w:fill="auto"/>
            <w:vAlign w:val="center"/>
          </w:tcPr>
          <w:p w14:paraId="6A8F9083">
            <w:pPr>
              <w:widowControl/>
              <w:jc w:val="center"/>
              <w:rPr>
                <w:rFonts w:hint="eastAsia" w:ascii="仿宋" w:hAnsi="仿宋" w:eastAsia="仿宋" w:cs="仿宋"/>
                <w:b/>
                <w:bCs/>
                <w:sz w:val="24"/>
              </w:rPr>
            </w:pPr>
          </w:p>
        </w:tc>
        <w:tc>
          <w:tcPr>
            <w:tcW w:w="7864" w:type="dxa"/>
            <w:tcBorders>
              <w:top w:val="single" w:color="auto" w:sz="4" w:space="0"/>
              <w:left w:val="single" w:color="auto" w:sz="4" w:space="0"/>
              <w:right w:val="single" w:color="auto" w:sz="4" w:space="0"/>
            </w:tcBorders>
            <w:shd w:val="clear" w:color="auto" w:fill="auto"/>
            <w:vAlign w:val="center"/>
          </w:tcPr>
          <w:p w14:paraId="30F974AB">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注：演示视频应稳定、清晰，时长控制在10分钟内，以U盘为媒介单独密封并在开标截止时间前送至诸暨正开工程咨询有限公司（诸暨市东一路88号朗臻大厦19楼1902号），以签收时间为准，逾期送达不予接收，投标人应当确保U盘能够打开运行并正式使用，未提供或无法打开，该项得0分。</w:t>
            </w:r>
          </w:p>
          <w:p w14:paraId="3EFD7565">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lang w:val="zh-TW"/>
              </w:rPr>
              <w:t>针对方案深化的要求，定位清晰，布局合理，重点明确；按设计思路及理念，设计出亮点、专业品质、专业效果好</w:t>
            </w:r>
            <w:r>
              <w:rPr>
                <w:rFonts w:hint="eastAsia" w:ascii="仿宋" w:hAnsi="仿宋" w:eastAsia="仿宋" w:cs="仿宋"/>
                <w:bCs/>
                <w:color w:val="auto"/>
                <w:sz w:val="24"/>
              </w:rPr>
              <w:t>等进行打分：</w:t>
            </w:r>
          </w:p>
          <w:p w14:paraId="02F81576">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①设计新颖美观、契合实际、可行性强的得7分；</w:t>
            </w:r>
          </w:p>
          <w:p w14:paraId="58FCA348">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②设计较一般、基本可行的得5分；</w:t>
            </w:r>
          </w:p>
          <w:p w14:paraId="399D7BB2">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③设计粗略、层次不够清晰、可行性较差的得3分；</w:t>
            </w:r>
          </w:p>
          <w:p w14:paraId="66B03E0D">
            <w:pPr>
              <w:pStyle w:val="85"/>
              <w:snapToGrid w:val="0"/>
              <w:spacing w:line="264" w:lineRule="auto"/>
              <w:rPr>
                <w:rFonts w:hint="eastAsia" w:ascii="仿宋" w:hAnsi="仿宋" w:eastAsia="仿宋" w:cs="仿宋"/>
                <w:kern w:val="2"/>
                <w:sz w:val="24"/>
              </w:rPr>
            </w:pPr>
            <w:r>
              <w:rPr>
                <w:rFonts w:hint="eastAsia" w:ascii="仿宋" w:hAnsi="仿宋" w:eastAsia="仿宋" w:cs="仿宋"/>
                <w:b/>
                <w:color w:val="auto"/>
                <w:sz w:val="24"/>
              </w:rPr>
              <w:t>④不提供不得分。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C589910">
            <w:pPr>
              <w:widowControl/>
              <w:snapToGrid w:val="0"/>
              <w:spacing w:line="264" w:lineRule="auto"/>
              <w:jc w:val="center"/>
              <w:rPr>
                <w:rFonts w:hint="eastAsia" w:ascii="仿宋" w:hAnsi="仿宋" w:eastAsia="仿宋" w:cs="仿宋"/>
                <w:b/>
                <w:bCs/>
                <w:kern w:val="0"/>
                <w:sz w:val="24"/>
              </w:rPr>
            </w:pPr>
            <w:r>
              <w:rPr>
                <w:rFonts w:hint="eastAsia" w:ascii="仿宋" w:hAnsi="仿宋" w:eastAsia="仿宋" w:cs="仿宋"/>
                <w:b/>
                <w:bCs/>
                <w:sz w:val="24"/>
              </w:rPr>
              <w:t>7分</w:t>
            </w:r>
          </w:p>
        </w:tc>
      </w:tr>
      <w:tr w14:paraId="60DD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4" w:type="dxa"/>
            <w:vMerge w:val="restart"/>
            <w:tcBorders>
              <w:top w:val="single" w:color="auto" w:sz="4" w:space="0"/>
              <w:left w:val="single" w:color="auto" w:sz="4" w:space="0"/>
              <w:right w:val="single" w:color="auto" w:sz="4" w:space="0"/>
            </w:tcBorders>
            <w:shd w:val="clear" w:color="auto" w:fill="auto"/>
            <w:vAlign w:val="center"/>
          </w:tcPr>
          <w:p w14:paraId="599C5DFC">
            <w:pPr>
              <w:pStyle w:val="992"/>
              <w:widowControl/>
              <w:spacing w:beforeAutospacing="1"/>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6</w:t>
            </w:r>
          </w:p>
        </w:tc>
        <w:tc>
          <w:tcPr>
            <w:tcW w:w="853" w:type="dxa"/>
            <w:vMerge w:val="restart"/>
            <w:tcBorders>
              <w:top w:val="single" w:color="auto" w:sz="4" w:space="0"/>
              <w:left w:val="single" w:color="auto" w:sz="4" w:space="0"/>
              <w:right w:val="single" w:color="auto" w:sz="4" w:space="0"/>
            </w:tcBorders>
            <w:shd w:val="clear" w:color="auto" w:fill="auto"/>
            <w:vAlign w:val="center"/>
          </w:tcPr>
          <w:p w14:paraId="40B3C152">
            <w:pPr>
              <w:widowControl/>
              <w:jc w:val="center"/>
              <w:rPr>
                <w:rFonts w:hint="eastAsia" w:ascii="仿宋" w:hAnsi="仿宋" w:eastAsia="仿宋" w:cs="仿宋"/>
                <w:b/>
                <w:bCs/>
                <w:sz w:val="24"/>
              </w:rPr>
            </w:pPr>
            <w:r>
              <w:rPr>
                <w:rFonts w:hint="eastAsia" w:ascii="仿宋" w:hAnsi="仿宋" w:eastAsia="仿宋" w:cs="仿宋"/>
                <w:b/>
                <w:bCs/>
                <w:sz w:val="24"/>
              </w:rPr>
              <w:t>施工方案</w:t>
            </w:r>
          </w:p>
        </w:tc>
        <w:tc>
          <w:tcPr>
            <w:tcW w:w="7864" w:type="dxa"/>
            <w:tcBorders>
              <w:top w:val="single" w:color="auto" w:sz="4" w:space="0"/>
              <w:left w:val="single" w:color="auto" w:sz="4" w:space="0"/>
              <w:bottom w:val="single" w:color="auto" w:sz="4" w:space="0"/>
              <w:right w:val="single" w:color="auto" w:sz="4" w:space="0"/>
            </w:tcBorders>
            <w:shd w:val="clear" w:color="auto" w:fill="auto"/>
            <w:vAlign w:val="center"/>
          </w:tcPr>
          <w:p w14:paraId="7E7826F5">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根据投标人提供的针对本项目的总体施工技术方案（包括施工方案的各项技术、工艺是否符合现行施工规范、经济适用、安全可靠，对重难点是否有合理、可行的建议）的阐述情况进行综合打分。</w:t>
            </w:r>
          </w:p>
          <w:p w14:paraId="5A771ED8">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①总体阐述完善、具体明确，切合项目需求，可行性强的得6分；</w:t>
            </w:r>
          </w:p>
          <w:p w14:paraId="3F852D92">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②总体阐述较完善，基本切合项目需求，有一定可行性的得4分；</w:t>
            </w:r>
          </w:p>
          <w:p w14:paraId="7A7C9845">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③总体阐述较为粗略，可行性或对项目需求的切合度较差的得2分；</w:t>
            </w:r>
          </w:p>
          <w:p w14:paraId="58BB966F">
            <w:pPr>
              <w:pStyle w:val="85"/>
              <w:snapToGrid w:val="0"/>
              <w:spacing w:line="264" w:lineRule="auto"/>
              <w:rPr>
                <w:rFonts w:hint="eastAsia" w:ascii="仿宋" w:hAnsi="仿宋" w:eastAsia="仿宋" w:cs="仿宋"/>
                <w:sz w:val="24"/>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8B2CB97">
            <w:pPr>
              <w:spacing w:line="300" w:lineRule="auto"/>
              <w:jc w:val="center"/>
              <w:rPr>
                <w:rFonts w:hint="eastAsia" w:ascii="仿宋" w:hAnsi="仿宋" w:eastAsia="仿宋" w:cs="仿宋"/>
                <w:b/>
                <w:bCs/>
                <w:kern w:val="0"/>
                <w:sz w:val="24"/>
              </w:rPr>
            </w:pPr>
            <w:r>
              <w:rPr>
                <w:rFonts w:hint="eastAsia" w:ascii="仿宋" w:hAnsi="仿宋" w:eastAsia="仿宋" w:cs="仿宋"/>
                <w:b/>
                <w:bCs/>
                <w:kern w:val="0"/>
                <w:sz w:val="24"/>
              </w:rPr>
              <w:t>6分</w:t>
            </w:r>
          </w:p>
        </w:tc>
      </w:tr>
      <w:tr w14:paraId="7C7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4" w:type="dxa"/>
            <w:vMerge w:val="continue"/>
            <w:tcBorders>
              <w:left w:val="single" w:color="auto" w:sz="4" w:space="0"/>
              <w:right w:val="single" w:color="auto" w:sz="4" w:space="0"/>
            </w:tcBorders>
            <w:shd w:val="clear" w:color="auto" w:fill="auto"/>
            <w:vAlign w:val="center"/>
          </w:tcPr>
          <w:p w14:paraId="23242A09">
            <w:pPr>
              <w:pStyle w:val="992"/>
              <w:widowControl/>
              <w:spacing w:beforeAutospacing="1"/>
              <w:ind w:firstLine="0" w:firstLineChars="0"/>
              <w:jc w:val="center"/>
              <w:rPr>
                <w:rFonts w:hint="eastAsia" w:ascii="仿宋" w:hAnsi="仿宋" w:eastAsia="仿宋" w:cs="仿宋"/>
                <w:b/>
                <w:bCs/>
              </w:rPr>
            </w:pPr>
          </w:p>
        </w:tc>
        <w:tc>
          <w:tcPr>
            <w:tcW w:w="853" w:type="dxa"/>
            <w:vMerge w:val="continue"/>
            <w:tcBorders>
              <w:left w:val="single" w:color="auto" w:sz="4" w:space="0"/>
              <w:right w:val="single" w:color="auto" w:sz="4" w:space="0"/>
            </w:tcBorders>
            <w:shd w:val="clear" w:color="auto" w:fill="auto"/>
            <w:vAlign w:val="center"/>
          </w:tcPr>
          <w:p w14:paraId="30EF34F7">
            <w:pPr>
              <w:widowControl/>
              <w:jc w:val="center"/>
              <w:rPr>
                <w:rFonts w:hint="eastAsia" w:ascii="仿宋" w:hAnsi="仿宋" w:eastAsia="仿宋" w:cs="仿宋"/>
                <w:b/>
                <w:bCs/>
                <w:sz w:val="24"/>
              </w:rPr>
            </w:pPr>
          </w:p>
        </w:tc>
        <w:tc>
          <w:tcPr>
            <w:tcW w:w="7864" w:type="dxa"/>
            <w:tcBorders>
              <w:top w:val="single" w:color="auto" w:sz="4" w:space="0"/>
              <w:left w:val="single" w:color="auto" w:sz="4" w:space="0"/>
              <w:bottom w:val="single" w:color="auto" w:sz="4" w:space="0"/>
              <w:right w:val="single" w:color="auto" w:sz="4" w:space="0"/>
            </w:tcBorders>
            <w:shd w:val="clear" w:color="auto" w:fill="auto"/>
            <w:vAlign w:val="center"/>
          </w:tcPr>
          <w:p w14:paraId="432AB84C">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根据投标人提供的针对本项目的进度保障方案（包括项目进度安排及相应的进度保障措施）的合理性、可行性，由评委进行综合打分。</w:t>
            </w:r>
          </w:p>
          <w:p w14:paraId="60F720AE">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①进度安排分布合理，时间节点把控明确，措施可行性强的得6分；</w:t>
            </w:r>
          </w:p>
          <w:p w14:paraId="4D988FCD">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②进度安排分布较合理，时间节点把控较明确，措施具有一定可行性的得4分；</w:t>
            </w:r>
          </w:p>
          <w:p w14:paraId="78BD62F7">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③方案内容粗略，进度安排存在明显缺陷或措施可行性较弱的得2分；</w:t>
            </w:r>
          </w:p>
          <w:p w14:paraId="70407938">
            <w:pPr>
              <w:pStyle w:val="85"/>
              <w:snapToGrid w:val="0"/>
              <w:spacing w:line="264" w:lineRule="auto"/>
              <w:rPr>
                <w:rFonts w:hint="eastAsia" w:ascii="仿宋" w:hAnsi="仿宋" w:eastAsia="仿宋" w:cs="仿宋"/>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02F100A">
            <w:pPr>
              <w:spacing w:line="300" w:lineRule="auto"/>
              <w:jc w:val="center"/>
              <w:rPr>
                <w:rFonts w:hint="eastAsia" w:ascii="仿宋" w:hAnsi="仿宋" w:eastAsia="仿宋" w:cs="仿宋"/>
                <w:b/>
                <w:bCs/>
                <w:kern w:val="0"/>
                <w:sz w:val="24"/>
              </w:rPr>
            </w:pPr>
            <w:r>
              <w:rPr>
                <w:rFonts w:hint="eastAsia" w:ascii="仿宋" w:hAnsi="仿宋" w:eastAsia="仿宋" w:cs="仿宋"/>
                <w:b/>
                <w:bCs/>
                <w:kern w:val="0"/>
                <w:sz w:val="24"/>
              </w:rPr>
              <w:t>6分</w:t>
            </w:r>
          </w:p>
        </w:tc>
      </w:tr>
      <w:tr w14:paraId="7D34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4" w:type="dxa"/>
            <w:vMerge w:val="continue"/>
            <w:tcBorders>
              <w:left w:val="single" w:color="auto" w:sz="4" w:space="0"/>
              <w:bottom w:val="single" w:color="auto" w:sz="4" w:space="0"/>
              <w:right w:val="single" w:color="auto" w:sz="4" w:space="0"/>
            </w:tcBorders>
            <w:shd w:val="clear" w:color="auto" w:fill="auto"/>
            <w:vAlign w:val="center"/>
          </w:tcPr>
          <w:p w14:paraId="1CBE8DA8">
            <w:pPr>
              <w:pStyle w:val="992"/>
              <w:widowControl/>
              <w:spacing w:beforeAutospacing="1"/>
              <w:ind w:firstLine="0" w:firstLineChars="0"/>
              <w:jc w:val="center"/>
              <w:rPr>
                <w:rFonts w:hint="eastAsia" w:ascii="仿宋" w:hAnsi="仿宋" w:eastAsia="仿宋" w:cs="仿宋"/>
                <w:b/>
                <w:bCs/>
                <w:sz w:val="24"/>
                <w:szCs w:val="24"/>
              </w:rPr>
            </w:pPr>
          </w:p>
        </w:tc>
        <w:tc>
          <w:tcPr>
            <w:tcW w:w="853" w:type="dxa"/>
            <w:vMerge w:val="continue"/>
            <w:tcBorders>
              <w:left w:val="single" w:color="auto" w:sz="4" w:space="0"/>
              <w:bottom w:val="single" w:color="auto" w:sz="4" w:space="0"/>
              <w:right w:val="single" w:color="auto" w:sz="4" w:space="0"/>
            </w:tcBorders>
            <w:shd w:val="clear" w:color="auto" w:fill="auto"/>
            <w:vAlign w:val="center"/>
          </w:tcPr>
          <w:p w14:paraId="3D945C49">
            <w:pPr>
              <w:widowControl/>
              <w:jc w:val="center"/>
              <w:rPr>
                <w:rFonts w:hint="eastAsia" w:ascii="仿宋" w:hAnsi="仿宋" w:eastAsia="仿宋" w:cs="仿宋"/>
                <w:b/>
                <w:bCs/>
                <w:sz w:val="24"/>
              </w:rPr>
            </w:pPr>
          </w:p>
        </w:tc>
        <w:tc>
          <w:tcPr>
            <w:tcW w:w="7864" w:type="dxa"/>
            <w:tcBorders>
              <w:top w:val="single" w:color="auto" w:sz="4" w:space="0"/>
              <w:left w:val="single" w:color="auto" w:sz="4" w:space="0"/>
              <w:bottom w:val="single" w:color="auto" w:sz="4" w:space="0"/>
              <w:right w:val="single" w:color="auto" w:sz="4" w:space="0"/>
            </w:tcBorders>
            <w:shd w:val="clear" w:color="auto" w:fill="auto"/>
            <w:vAlign w:val="center"/>
          </w:tcPr>
          <w:p w14:paraId="039B2CD1">
            <w:pPr>
              <w:pStyle w:val="85"/>
              <w:snapToGrid w:val="0"/>
              <w:spacing w:line="264" w:lineRule="auto"/>
              <w:rPr>
                <w:rFonts w:hint="eastAsia" w:ascii="仿宋" w:hAnsi="仿宋" w:eastAsia="仿宋" w:cs="仿宋"/>
                <w:bCs/>
                <w:color w:val="auto"/>
                <w:sz w:val="24"/>
              </w:rPr>
            </w:pPr>
            <w:r>
              <w:rPr>
                <w:rFonts w:hint="eastAsia" w:ascii="仿宋" w:hAnsi="仿宋" w:eastAsia="仿宋" w:cs="仿宋"/>
                <w:bCs/>
                <w:color w:val="auto"/>
                <w:sz w:val="24"/>
              </w:rPr>
              <w:t>根据投标人提供的针对本项目的质量保障方案（包括质量目标、质量承诺及相应的质量保障措施）是否详细明确、合理可行，由评委进行综合打分。</w:t>
            </w:r>
          </w:p>
          <w:p w14:paraId="0B4A200F">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①方案内容详细明确，措施合理可行，总体能够充分保证项目质量的得6分；</w:t>
            </w:r>
          </w:p>
          <w:p w14:paraId="01A6CF7F">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②方案内容较为详细明确，措施较为合理可行，总体较能够保证项目质量的得4分；</w:t>
            </w:r>
          </w:p>
          <w:p w14:paraId="63532A13">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③方案内容较为粗略，措施合理性、可行性有欠缺，总体保证项目质量较弱的得2分；</w:t>
            </w:r>
          </w:p>
          <w:p w14:paraId="6C2AFFC9">
            <w:pPr>
              <w:pStyle w:val="85"/>
              <w:snapToGrid w:val="0"/>
              <w:spacing w:line="264" w:lineRule="auto"/>
              <w:rPr>
                <w:rFonts w:hint="eastAsia" w:ascii="仿宋" w:hAnsi="仿宋" w:eastAsia="仿宋" w:cs="仿宋"/>
                <w:sz w:val="24"/>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D8F92CD">
            <w:pPr>
              <w:spacing w:line="300" w:lineRule="auto"/>
              <w:jc w:val="center"/>
              <w:rPr>
                <w:rFonts w:hint="eastAsia" w:ascii="仿宋" w:hAnsi="仿宋" w:eastAsia="仿宋" w:cs="仿宋"/>
                <w:b/>
                <w:bCs/>
                <w:kern w:val="0"/>
                <w:sz w:val="24"/>
              </w:rPr>
            </w:pPr>
            <w:r>
              <w:rPr>
                <w:rFonts w:hint="eastAsia" w:ascii="仿宋" w:hAnsi="仿宋" w:eastAsia="仿宋" w:cs="仿宋"/>
                <w:b/>
                <w:bCs/>
                <w:kern w:val="0"/>
                <w:sz w:val="24"/>
              </w:rPr>
              <w:t>6分</w:t>
            </w:r>
          </w:p>
        </w:tc>
      </w:tr>
      <w:tr w14:paraId="182F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14:paraId="61FE45DB">
            <w:pPr>
              <w:pStyle w:val="32"/>
              <w:widowControl/>
              <w:jc w:val="center"/>
              <w:rPr>
                <w:rFonts w:hint="eastAsia" w:ascii="仿宋" w:hAnsi="仿宋" w:eastAsia="仿宋" w:cs="仿宋"/>
                <w:b/>
                <w:bCs/>
              </w:rPr>
            </w:pPr>
            <w:r>
              <w:rPr>
                <w:rFonts w:hint="eastAsia" w:ascii="仿宋" w:hAnsi="仿宋" w:eastAsia="仿宋" w:cs="仿宋"/>
                <w:b/>
                <w:bCs/>
              </w:rPr>
              <w:t>7</w:t>
            </w:r>
          </w:p>
        </w:tc>
        <w:tc>
          <w:tcPr>
            <w:tcW w:w="853" w:type="dxa"/>
            <w:tcBorders>
              <w:top w:val="nil"/>
              <w:left w:val="single" w:color="auto" w:sz="4" w:space="0"/>
              <w:bottom w:val="single" w:color="auto" w:sz="4" w:space="0"/>
              <w:right w:val="single" w:color="auto" w:sz="4" w:space="0"/>
            </w:tcBorders>
            <w:shd w:val="clear" w:color="auto" w:fill="auto"/>
            <w:vAlign w:val="center"/>
          </w:tcPr>
          <w:p w14:paraId="1D8EBA33">
            <w:pPr>
              <w:widowControl/>
              <w:jc w:val="center"/>
              <w:rPr>
                <w:rFonts w:hint="eastAsia" w:ascii="仿宋" w:hAnsi="仿宋" w:eastAsia="仿宋" w:cs="仿宋"/>
                <w:b/>
                <w:bCs/>
                <w:sz w:val="24"/>
              </w:rPr>
            </w:pPr>
            <w:r>
              <w:rPr>
                <w:rFonts w:hint="eastAsia" w:ascii="仿宋" w:hAnsi="仿宋" w:eastAsia="仿宋" w:cs="仿宋"/>
                <w:b/>
                <w:bCs/>
                <w:sz w:val="24"/>
              </w:rPr>
              <w:t>质保方案</w:t>
            </w:r>
          </w:p>
        </w:tc>
        <w:tc>
          <w:tcPr>
            <w:tcW w:w="7864" w:type="dxa"/>
            <w:tcBorders>
              <w:top w:val="single" w:color="auto" w:sz="4" w:space="0"/>
              <w:left w:val="single" w:color="auto" w:sz="4" w:space="0"/>
              <w:bottom w:val="single" w:color="auto" w:sz="4" w:space="0"/>
              <w:right w:val="single" w:color="auto" w:sz="4" w:space="0"/>
            </w:tcBorders>
            <w:shd w:val="clear" w:color="auto" w:fill="auto"/>
            <w:vAlign w:val="center"/>
          </w:tcPr>
          <w:p w14:paraId="643115C5">
            <w:pPr>
              <w:spacing w:line="276" w:lineRule="auto"/>
              <w:jc w:val="left"/>
              <w:rPr>
                <w:rFonts w:hint="eastAsia" w:ascii="仿宋" w:hAnsi="仿宋" w:eastAsia="仿宋" w:cs="仿宋"/>
                <w:b/>
                <w:bCs/>
                <w:sz w:val="24"/>
              </w:rPr>
            </w:pPr>
            <w:r>
              <w:rPr>
                <w:rFonts w:hint="eastAsia" w:ascii="仿宋" w:hAnsi="仿宋" w:eastAsia="仿宋" w:cs="仿宋"/>
                <w:bCs/>
                <w:kern w:val="0"/>
                <w:sz w:val="24"/>
              </w:rPr>
              <w:t>1、质量保修期在招标文件规定的承诺维护及保修期基础上，每额外延长半年的得1分，最高得2分。投标时提供相关承诺，</w:t>
            </w:r>
            <w:r>
              <w:rPr>
                <w:rFonts w:hint="eastAsia" w:ascii="仿宋" w:hAnsi="仿宋" w:eastAsia="仿宋" w:cs="仿宋"/>
                <w:b/>
                <w:bCs/>
                <w:sz w:val="24"/>
              </w:rPr>
              <w:t>未提供或提供的内容不符不得分。</w:t>
            </w:r>
          </w:p>
          <w:p w14:paraId="410F78EB">
            <w:pPr>
              <w:spacing w:line="276" w:lineRule="auto"/>
              <w:jc w:val="left"/>
              <w:rPr>
                <w:rFonts w:hint="eastAsia" w:ascii="仿宋" w:hAnsi="仿宋" w:eastAsia="仿宋" w:cs="仿宋"/>
                <w:bCs/>
                <w:kern w:val="0"/>
                <w:sz w:val="24"/>
              </w:rPr>
            </w:pPr>
            <w:r>
              <w:rPr>
                <w:rFonts w:hint="eastAsia" w:ascii="仿宋" w:hAnsi="仿宋" w:eastAsia="仿宋" w:cs="仿宋"/>
                <w:sz w:val="24"/>
              </w:rPr>
              <w:t>2</w:t>
            </w:r>
            <w:r>
              <w:rPr>
                <w:rFonts w:hint="eastAsia" w:ascii="仿宋" w:hAnsi="仿宋" w:eastAsia="仿宋" w:cs="仿宋"/>
                <w:bCs/>
                <w:kern w:val="0"/>
                <w:sz w:val="24"/>
              </w:rPr>
              <w:t>、根据投标人提供的质量保修期内服务方案，包括维修响应措施、技术力量配备、备品备件、回访等，由评审专家根据服务方案是否详细明确、合理可行进行综合评价。</w:t>
            </w:r>
          </w:p>
          <w:p w14:paraId="4B15C56A">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①方案阐述详细全面，有提供明确且合理可行的服务计划及措施，总体能够充分保障及时有效质保服务的得6分；</w:t>
            </w:r>
          </w:p>
          <w:p w14:paraId="10F2432C">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②方案阐述有欠缺但基本全面，有提供较为明确可行的服务计划及措施，总体能较好的提供质保服务的得4分；</w:t>
            </w:r>
          </w:p>
          <w:p w14:paraId="4807722C">
            <w:pPr>
              <w:pStyle w:val="85"/>
              <w:snapToGrid w:val="0"/>
              <w:spacing w:line="264" w:lineRule="auto"/>
              <w:rPr>
                <w:rFonts w:hint="eastAsia" w:ascii="仿宋" w:hAnsi="仿宋" w:eastAsia="仿宋" w:cs="仿宋"/>
                <w:b/>
                <w:color w:val="auto"/>
                <w:sz w:val="24"/>
              </w:rPr>
            </w:pPr>
            <w:r>
              <w:rPr>
                <w:rFonts w:hint="eastAsia" w:ascii="仿宋" w:hAnsi="仿宋" w:eastAsia="仿宋" w:cs="仿宋"/>
                <w:b/>
                <w:color w:val="auto"/>
                <w:sz w:val="24"/>
              </w:rPr>
              <w:t>③方案阐述粗略，提供的服务计划、措施等内容缺陷较多、合理可行性欠缺，总体质保服务响应保障较为一般的得2分；</w:t>
            </w:r>
          </w:p>
          <w:p w14:paraId="2E55A23D">
            <w:pPr>
              <w:pStyle w:val="85"/>
              <w:snapToGrid w:val="0"/>
              <w:spacing w:line="264" w:lineRule="auto"/>
              <w:rPr>
                <w:rFonts w:hint="eastAsia" w:ascii="仿宋" w:hAnsi="仿宋" w:eastAsia="仿宋" w:cs="仿宋"/>
                <w:sz w:val="24"/>
              </w:rPr>
            </w:pPr>
            <w:r>
              <w:rPr>
                <w:rFonts w:hint="eastAsia" w:ascii="仿宋" w:hAnsi="仿宋" w:eastAsia="仿宋" w:cs="仿宋"/>
                <w:b/>
                <w:color w:val="auto"/>
                <w:sz w:val="24"/>
              </w:rPr>
              <w:t>④未提供相关内容阐述或不符合项目的不得分。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44D63B4">
            <w:pPr>
              <w:spacing w:line="300" w:lineRule="auto"/>
              <w:jc w:val="center"/>
              <w:rPr>
                <w:rFonts w:hint="eastAsia" w:ascii="仿宋" w:hAnsi="仿宋" w:eastAsia="仿宋" w:cs="仿宋"/>
                <w:b/>
                <w:bCs/>
                <w:sz w:val="24"/>
              </w:rPr>
            </w:pPr>
            <w:r>
              <w:rPr>
                <w:rFonts w:hint="eastAsia" w:ascii="仿宋" w:hAnsi="仿宋" w:eastAsia="仿宋" w:cs="仿宋"/>
                <w:b/>
                <w:bCs/>
                <w:sz w:val="24"/>
              </w:rPr>
              <w:t>8分</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8" w:name="第五部分"/>
      <w:bookmarkStart w:id="399"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C027E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C0040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A8B6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DE0B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43E3B6E0">
      <w:pPr>
        <w:pStyle w:val="62"/>
        <w:rPr>
          <w:rFonts w:hint="eastAsia" w:ascii="仿宋" w:hAnsi="仿宋" w:eastAsia="仿宋" w:cs="仿宋"/>
          <w:sz w:val="21"/>
          <w:szCs w:val="21"/>
          <w:u w:val="single"/>
        </w:rPr>
      </w:pPr>
    </w:p>
    <w:p w14:paraId="2064A42A">
      <w:pPr>
        <w:pStyle w:val="62"/>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70FD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w:t>
      </w:r>
      <w:r>
        <w:rPr>
          <w:rFonts w:hint="eastAsia" w:ascii="仿宋" w:hAnsi="仿宋" w:eastAsia="仿宋" w:cs="仿宋"/>
          <w:sz w:val="21"/>
          <w:szCs w:val="21"/>
          <w:lang w:val="en-US" w:eastAsia="zh-CN"/>
        </w:rPr>
        <w:t>若非乙方法定代表人签字的，委托代理人需提供法定代表人签字盖章的授权委托书，经办人需妥善保管</w:t>
      </w:r>
      <w:r>
        <w:rPr>
          <w:rFonts w:hint="eastAsia" w:ascii="仿宋" w:hAnsi="仿宋" w:eastAsia="仿宋" w:cs="仿宋"/>
          <w:sz w:val="21"/>
          <w:szCs w:val="21"/>
        </w:rPr>
        <w:t>。</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8"/>
      <w:r>
        <w:rPr>
          <w:rFonts w:hint="eastAsia" w:ascii="华文中宋" w:hAnsi="华文中宋" w:eastAsia="华文中宋" w:cs="Times New Roman"/>
          <w:b/>
          <w:color w:val="auto"/>
          <w:kern w:val="44"/>
          <w:sz w:val="36"/>
          <w:szCs w:val="36"/>
          <w:lang w:val="en-US" w:eastAsia="zh-CN" w:bidi="ar-SA"/>
        </w:rPr>
        <w:t xml:space="preserve"> </w:t>
      </w:r>
      <w:bookmarkEnd w:id="399"/>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5"/>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枫桥镇“红枫研学”项目——枫桥老街越剧名家馆一体化展陈采购</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诸正开2025-05-17</w:t>
      </w:r>
    </w:p>
    <w:tbl>
      <w:tblPr>
        <w:tblStyle w:val="65"/>
        <w:tblpPr w:leftFromText="180" w:rightFromText="180" w:vertAnchor="text" w:horzAnchor="page" w:tblpX="1380" w:tblpY="201"/>
        <w:tblOverlap w:val="never"/>
        <w:tblW w:w="9218" w:type="dxa"/>
        <w:tblInd w:w="0" w:type="dxa"/>
        <w:tblLayout w:type="fixed"/>
        <w:tblCellMar>
          <w:top w:w="0" w:type="dxa"/>
          <w:left w:w="0" w:type="dxa"/>
          <w:bottom w:w="0" w:type="dxa"/>
          <w:right w:w="0" w:type="dxa"/>
        </w:tblCellMar>
      </w:tblPr>
      <w:tblGrid>
        <w:gridCol w:w="709"/>
        <w:gridCol w:w="996"/>
        <w:gridCol w:w="3256"/>
        <w:gridCol w:w="993"/>
        <w:gridCol w:w="992"/>
        <w:gridCol w:w="909"/>
        <w:gridCol w:w="1363"/>
      </w:tblGrid>
      <w:tr w14:paraId="5419E2D1">
        <w:tblPrEx>
          <w:tblCellMar>
            <w:top w:w="0" w:type="dxa"/>
            <w:left w:w="0" w:type="dxa"/>
            <w:bottom w:w="0" w:type="dxa"/>
            <w:right w:w="0"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vAlign w:val="center"/>
          </w:tcPr>
          <w:p w14:paraId="4057EC12">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1A05004F">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56" w:type="dxa"/>
            <w:tcBorders>
              <w:top w:val="single" w:color="auto" w:sz="4" w:space="0"/>
              <w:left w:val="single" w:color="auto" w:sz="4" w:space="0"/>
              <w:bottom w:val="single" w:color="auto" w:sz="4" w:space="0"/>
              <w:right w:val="single" w:color="auto" w:sz="4" w:space="0"/>
            </w:tcBorders>
            <w:vAlign w:val="center"/>
          </w:tcPr>
          <w:p w14:paraId="189D2BAB">
            <w:pPr>
              <w:pStyle w:val="991"/>
              <w:spacing w:line="240" w:lineRule="auto"/>
              <w:ind w:left="63" w:right="63"/>
              <w:rPr>
                <w:rFonts w:hint="default" w:ascii="仿宋" w:hAnsi="仿宋" w:eastAsia="仿宋"/>
                <w:sz w:val="24"/>
                <w:szCs w:val="24"/>
                <w:lang w:val="en-US" w:eastAsia="zh-CN"/>
              </w:rPr>
            </w:pPr>
            <w:r>
              <w:rPr>
                <w:rFonts w:hint="eastAsia" w:ascii="仿宋" w:hAnsi="仿宋" w:eastAsia="仿宋" w:cs="仿宋"/>
                <w:kern w:val="0"/>
                <w:sz w:val="24"/>
                <w:lang w:val="en-US" w:eastAsia="zh-CN"/>
              </w:rPr>
              <w:t xml:space="preserve">服务内容 </w:t>
            </w:r>
            <w:bookmarkStart w:id="402" w:name="_GoBack"/>
            <w:bookmarkEnd w:id="402"/>
          </w:p>
        </w:tc>
        <w:tc>
          <w:tcPr>
            <w:tcW w:w="993" w:type="dxa"/>
            <w:tcBorders>
              <w:top w:val="single" w:color="auto" w:sz="4" w:space="0"/>
              <w:left w:val="single" w:color="auto" w:sz="4" w:space="0"/>
              <w:bottom w:val="single" w:color="auto" w:sz="4" w:space="0"/>
              <w:right w:val="single" w:color="auto" w:sz="4" w:space="0"/>
            </w:tcBorders>
            <w:vAlign w:val="center"/>
          </w:tcPr>
          <w:p w14:paraId="4DCF7985">
            <w:pPr>
              <w:pStyle w:val="991"/>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AB409DE">
            <w:pPr>
              <w:pStyle w:val="991"/>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7C40E6E5">
            <w:pPr>
              <w:pStyle w:val="991"/>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909" w:type="dxa"/>
            <w:tcBorders>
              <w:top w:val="single" w:color="auto" w:sz="4" w:space="0"/>
              <w:left w:val="nil"/>
              <w:bottom w:val="single" w:color="auto" w:sz="4" w:space="0"/>
              <w:right w:val="single" w:color="auto" w:sz="4" w:space="0"/>
            </w:tcBorders>
            <w:vAlign w:val="center"/>
          </w:tcPr>
          <w:p w14:paraId="1F9B6761">
            <w:pPr>
              <w:pStyle w:val="991"/>
              <w:spacing w:after="0" w:line="240" w:lineRule="auto"/>
              <w:ind w:left="62" w:right="62"/>
              <w:rPr>
                <w:rFonts w:ascii="仿宋" w:hAnsi="仿宋" w:eastAsia="仿宋"/>
                <w:sz w:val="24"/>
                <w:szCs w:val="24"/>
              </w:rPr>
            </w:pPr>
            <w:r>
              <w:rPr>
                <w:rFonts w:ascii="仿宋" w:hAnsi="仿宋" w:eastAsia="仿宋"/>
                <w:sz w:val="24"/>
                <w:szCs w:val="24"/>
              </w:rPr>
              <w:t>合计</w:t>
            </w:r>
          </w:p>
          <w:p w14:paraId="49AB9C06">
            <w:pPr>
              <w:pStyle w:val="991"/>
              <w:spacing w:after="0" w:line="240" w:lineRule="auto"/>
              <w:ind w:left="62" w:right="62"/>
              <w:rPr>
                <w:rFonts w:ascii="仿宋" w:hAnsi="仿宋" w:eastAsia="仿宋"/>
                <w:sz w:val="24"/>
                <w:szCs w:val="24"/>
              </w:rPr>
            </w:pPr>
            <w:r>
              <w:rPr>
                <w:rFonts w:ascii="仿宋" w:hAnsi="仿宋" w:eastAsia="仿宋"/>
                <w:sz w:val="24"/>
                <w:szCs w:val="24"/>
              </w:rPr>
              <w:t>（元）</w:t>
            </w:r>
          </w:p>
        </w:tc>
        <w:tc>
          <w:tcPr>
            <w:tcW w:w="1363" w:type="dxa"/>
            <w:tcBorders>
              <w:top w:val="single" w:color="auto" w:sz="4" w:space="0"/>
              <w:left w:val="nil"/>
              <w:bottom w:val="single" w:color="auto" w:sz="4" w:space="0"/>
              <w:right w:val="single" w:color="auto" w:sz="4" w:space="0"/>
            </w:tcBorders>
            <w:vAlign w:val="center"/>
          </w:tcPr>
          <w:p w14:paraId="35E53A2D">
            <w:pPr>
              <w:pStyle w:val="991"/>
              <w:spacing w:line="240" w:lineRule="auto"/>
              <w:ind w:left="63" w:right="63"/>
              <w:rPr>
                <w:rFonts w:ascii="仿宋" w:hAnsi="仿宋" w:eastAsia="仿宋"/>
                <w:sz w:val="24"/>
                <w:szCs w:val="24"/>
              </w:rPr>
            </w:pPr>
            <w:r>
              <w:rPr>
                <w:rFonts w:ascii="仿宋" w:hAnsi="仿宋" w:eastAsia="仿宋"/>
                <w:sz w:val="24"/>
                <w:szCs w:val="24"/>
              </w:rPr>
              <w:t>服务期限</w:t>
            </w:r>
          </w:p>
        </w:tc>
      </w:tr>
      <w:tr w14:paraId="3D5E0AC7">
        <w:tblPrEx>
          <w:tblCellMar>
            <w:top w:w="0" w:type="dxa"/>
            <w:left w:w="0" w:type="dxa"/>
            <w:bottom w:w="0" w:type="dxa"/>
            <w:right w:w="0"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14:paraId="6F08F1A7">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996" w:type="dxa"/>
            <w:tcBorders>
              <w:top w:val="single" w:color="auto" w:sz="4" w:space="0"/>
              <w:left w:val="single" w:color="auto" w:sz="4" w:space="0"/>
              <w:bottom w:val="single" w:color="auto" w:sz="4" w:space="0"/>
              <w:right w:val="single" w:color="auto" w:sz="4" w:space="0"/>
            </w:tcBorders>
            <w:vAlign w:val="center"/>
          </w:tcPr>
          <w:p w14:paraId="74770DA4">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07B77C0B">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56D25A">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4A43A2">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60A3EC81">
            <w:pPr>
              <w:pStyle w:val="991"/>
              <w:spacing w:line="360" w:lineRule="auto"/>
              <w:ind w:left="63" w:right="63"/>
              <w:rPr>
                <w:rFonts w:ascii="仿宋" w:hAnsi="仿宋" w:eastAsia="仿宋"/>
                <w:sz w:val="24"/>
                <w:szCs w:val="24"/>
              </w:rPr>
            </w:pPr>
          </w:p>
        </w:tc>
        <w:tc>
          <w:tcPr>
            <w:tcW w:w="1363" w:type="dxa"/>
            <w:vMerge w:val="restart"/>
            <w:tcBorders>
              <w:top w:val="single" w:color="auto" w:sz="4" w:space="0"/>
              <w:left w:val="nil"/>
              <w:right w:val="single" w:color="auto" w:sz="4" w:space="0"/>
            </w:tcBorders>
            <w:vAlign w:val="center"/>
          </w:tcPr>
          <w:p w14:paraId="2B81EDC8">
            <w:pPr>
              <w:pStyle w:val="991"/>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7C9EC3CB">
        <w:tblPrEx>
          <w:tblCellMar>
            <w:top w:w="0" w:type="dxa"/>
            <w:left w:w="0" w:type="dxa"/>
            <w:bottom w:w="0" w:type="dxa"/>
            <w:right w:w="0" w:type="dxa"/>
          </w:tblCellMar>
        </w:tblPrEx>
        <w:trPr>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6930CA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996" w:type="dxa"/>
            <w:tcBorders>
              <w:top w:val="single" w:color="auto" w:sz="4" w:space="0"/>
              <w:left w:val="single" w:color="auto" w:sz="4" w:space="0"/>
              <w:bottom w:val="single" w:color="auto" w:sz="4" w:space="0"/>
              <w:right w:val="single" w:color="auto" w:sz="4" w:space="0"/>
            </w:tcBorders>
            <w:vAlign w:val="center"/>
          </w:tcPr>
          <w:p w14:paraId="1955F96E">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7F5E502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491341">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C1CDA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57E621D9">
            <w:pPr>
              <w:pStyle w:val="991"/>
              <w:spacing w:line="360" w:lineRule="auto"/>
              <w:ind w:left="63" w:right="63"/>
              <w:rPr>
                <w:rFonts w:ascii="仿宋" w:hAnsi="仿宋" w:eastAsia="仿宋"/>
                <w:sz w:val="24"/>
                <w:szCs w:val="24"/>
              </w:rPr>
            </w:pPr>
          </w:p>
        </w:tc>
        <w:tc>
          <w:tcPr>
            <w:tcW w:w="1363" w:type="dxa"/>
            <w:vMerge w:val="continue"/>
            <w:tcBorders>
              <w:left w:val="nil"/>
              <w:right w:val="single" w:color="auto" w:sz="4" w:space="0"/>
            </w:tcBorders>
          </w:tcPr>
          <w:p w14:paraId="18265607">
            <w:pPr>
              <w:pStyle w:val="991"/>
              <w:spacing w:line="360" w:lineRule="auto"/>
              <w:ind w:left="63" w:right="63"/>
              <w:rPr>
                <w:rFonts w:ascii="仿宋" w:hAnsi="仿宋" w:eastAsia="仿宋"/>
                <w:sz w:val="24"/>
                <w:szCs w:val="24"/>
              </w:rPr>
            </w:pPr>
          </w:p>
        </w:tc>
      </w:tr>
      <w:tr w14:paraId="199F5D4F">
        <w:tblPrEx>
          <w:tblCellMar>
            <w:top w:w="0" w:type="dxa"/>
            <w:left w:w="0" w:type="dxa"/>
            <w:bottom w:w="0" w:type="dxa"/>
            <w:right w:w="0" w:type="dxa"/>
          </w:tblCellMar>
        </w:tblPrEx>
        <w:trPr>
          <w:trHeight w:val="378" w:hRule="atLeast"/>
        </w:trPr>
        <w:tc>
          <w:tcPr>
            <w:tcW w:w="709" w:type="dxa"/>
            <w:tcBorders>
              <w:top w:val="single" w:color="auto" w:sz="4" w:space="0"/>
              <w:left w:val="single" w:color="auto" w:sz="4" w:space="0"/>
              <w:bottom w:val="single" w:color="auto" w:sz="4" w:space="0"/>
              <w:right w:val="single" w:color="auto" w:sz="4" w:space="0"/>
            </w:tcBorders>
            <w:vAlign w:val="center"/>
          </w:tcPr>
          <w:p w14:paraId="3DE6109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14:paraId="515434A9">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3E4DFD6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0F698F">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3C335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140A535E">
            <w:pPr>
              <w:pStyle w:val="991"/>
              <w:spacing w:line="360" w:lineRule="auto"/>
              <w:ind w:left="63" w:right="63"/>
              <w:rPr>
                <w:rFonts w:ascii="仿宋" w:hAnsi="仿宋" w:eastAsia="仿宋"/>
                <w:sz w:val="24"/>
                <w:szCs w:val="24"/>
              </w:rPr>
            </w:pPr>
          </w:p>
        </w:tc>
        <w:tc>
          <w:tcPr>
            <w:tcW w:w="1363" w:type="dxa"/>
            <w:vMerge w:val="continue"/>
            <w:tcBorders>
              <w:left w:val="nil"/>
              <w:bottom w:val="single" w:color="auto" w:sz="4" w:space="0"/>
              <w:right w:val="single" w:color="auto" w:sz="4" w:space="0"/>
            </w:tcBorders>
          </w:tcPr>
          <w:p w14:paraId="5CED3645">
            <w:pPr>
              <w:pStyle w:val="991"/>
              <w:spacing w:line="360" w:lineRule="auto"/>
              <w:ind w:left="63" w:right="63"/>
              <w:rPr>
                <w:rFonts w:ascii="仿宋" w:hAnsi="仿宋" w:eastAsia="仿宋"/>
                <w:sz w:val="24"/>
                <w:szCs w:val="24"/>
              </w:rPr>
            </w:pPr>
          </w:p>
        </w:tc>
      </w:tr>
      <w:tr w14:paraId="0EE765BB">
        <w:tblPrEx>
          <w:tblCellMar>
            <w:top w:w="0" w:type="dxa"/>
            <w:left w:w="0" w:type="dxa"/>
            <w:bottom w:w="0" w:type="dxa"/>
            <w:right w:w="0" w:type="dxa"/>
          </w:tblCellMar>
        </w:tblPrEx>
        <w:trPr>
          <w:trHeight w:val="1119" w:hRule="atLeast"/>
        </w:trPr>
        <w:tc>
          <w:tcPr>
            <w:tcW w:w="9218" w:type="dxa"/>
            <w:gridSpan w:val="7"/>
            <w:tcBorders>
              <w:top w:val="single" w:color="auto" w:sz="4" w:space="0"/>
              <w:left w:val="single" w:color="auto" w:sz="4" w:space="0"/>
              <w:bottom w:val="single" w:color="auto" w:sz="4" w:space="0"/>
              <w:right w:val="single" w:color="auto" w:sz="4" w:space="0"/>
            </w:tcBorders>
            <w:vAlign w:val="center"/>
          </w:tcPr>
          <w:p w14:paraId="1F732F15">
            <w:pPr>
              <w:spacing w:beforeLines="50" w:line="240" w:lineRule="auto"/>
              <w:ind w:firstLine="480" w:firstLineChars="200"/>
              <w:jc w:val="center"/>
              <w:rPr>
                <w:rFonts w:hint="eastAsia" w:ascii="仿宋" w:hAnsi="仿宋" w:eastAsia="仿宋" w:cs="Arial Unicode MS"/>
                <w:color w:val="auto"/>
                <w:sz w:val="24"/>
                <w:szCs w:val="24"/>
              </w:rPr>
            </w:pPr>
            <w:r>
              <w:rPr>
                <w:rFonts w:hint="eastAsia" w:ascii="仿宋" w:hAnsi="仿宋" w:eastAsia="仿宋" w:cs="Arial Unicode MS"/>
                <w:color w:val="auto"/>
                <w:sz w:val="24"/>
                <w:szCs w:val="24"/>
              </w:rPr>
              <w:t>投标报价（总价，元）</w:t>
            </w:r>
          </w:p>
          <w:p w14:paraId="57C0BDE8">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184215C7">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4DDFEAF8">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74E30EA3">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354FA458">
      <w:pPr>
        <w:pStyle w:val="88"/>
        <w:rPr>
          <w:rFonts w:hint="eastAsia" w:ascii="仿宋" w:hAnsi="仿宋" w:eastAsia="仿宋" w:cs="仿宋"/>
          <w:b/>
          <w:color w:val="auto"/>
          <w:kern w:val="0"/>
          <w:sz w:val="24"/>
          <w:highlight w:val="none"/>
          <w:lang w:val="zh-CN"/>
        </w:rPr>
      </w:pPr>
    </w:p>
    <w:p w14:paraId="6ED282D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6737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105C4D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366AD62">
      <w:pPr>
        <w:snapToGrid w:val="0"/>
        <w:spacing w:line="360" w:lineRule="auto"/>
        <w:ind w:firstLine="482" w:firstLineChars="200"/>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400" w:name="OLE_LINK14"/>
      <w:bookmarkStart w:id="401" w:name="OLE_LINK13"/>
      <w:r>
        <w:rPr>
          <w:rFonts w:hint="eastAsia" w:ascii="仿宋" w:hAnsi="仿宋" w:eastAsia="仿宋" w:cs="仿宋"/>
          <w:b/>
          <w:spacing w:val="6"/>
          <w:sz w:val="32"/>
          <w:szCs w:val="32"/>
        </w:rPr>
        <w:t>残疾人福利性单位声明函</w:t>
      </w:r>
    </w:p>
    <w:bookmarkEnd w:id="400"/>
    <w:bookmarkEnd w:id="401"/>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2EAE7E3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E6544"/>
    <w:rsid w:val="09C13146"/>
    <w:rsid w:val="09E04166"/>
    <w:rsid w:val="09EF276F"/>
    <w:rsid w:val="0A1C0718"/>
    <w:rsid w:val="0A3C7719"/>
    <w:rsid w:val="0A3E7710"/>
    <w:rsid w:val="0A440D5A"/>
    <w:rsid w:val="0A5922DF"/>
    <w:rsid w:val="0A5B7E63"/>
    <w:rsid w:val="0A60541B"/>
    <w:rsid w:val="0A776340"/>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6545E5"/>
    <w:rsid w:val="13953C4B"/>
    <w:rsid w:val="139B1A0A"/>
    <w:rsid w:val="139D25C7"/>
    <w:rsid w:val="13BF3CE4"/>
    <w:rsid w:val="13E744B7"/>
    <w:rsid w:val="13F05A62"/>
    <w:rsid w:val="13FB1099"/>
    <w:rsid w:val="141008D8"/>
    <w:rsid w:val="14125FE6"/>
    <w:rsid w:val="144162BD"/>
    <w:rsid w:val="145A6363"/>
    <w:rsid w:val="146D271E"/>
    <w:rsid w:val="14740251"/>
    <w:rsid w:val="147A532B"/>
    <w:rsid w:val="147C10A3"/>
    <w:rsid w:val="14982588"/>
    <w:rsid w:val="149A5AD9"/>
    <w:rsid w:val="14A524FA"/>
    <w:rsid w:val="14A7619D"/>
    <w:rsid w:val="14AD2260"/>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6491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B8220E"/>
    <w:rsid w:val="1AE4166C"/>
    <w:rsid w:val="1AF06CFB"/>
    <w:rsid w:val="1AF11B8D"/>
    <w:rsid w:val="1B0845C1"/>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901F29"/>
    <w:rsid w:val="239C0061"/>
    <w:rsid w:val="23A7731B"/>
    <w:rsid w:val="23B908A4"/>
    <w:rsid w:val="23C42D4B"/>
    <w:rsid w:val="23CD5478"/>
    <w:rsid w:val="23CF23CE"/>
    <w:rsid w:val="23E95BEF"/>
    <w:rsid w:val="23FB7503"/>
    <w:rsid w:val="23FD0064"/>
    <w:rsid w:val="23FE7D27"/>
    <w:rsid w:val="24092228"/>
    <w:rsid w:val="24311EAA"/>
    <w:rsid w:val="24443260"/>
    <w:rsid w:val="244F40DF"/>
    <w:rsid w:val="245375B0"/>
    <w:rsid w:val="245E2574"/>
    <w:rsid w:val="2460583A"/>
    <w:rsid w:val="24642C0A"/>
    <w:rsid w:val="24642D73"/>
    <w:rsid w:val="247733A3"/>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55E3B"/>
    <w:rsid w:val="26697A1A"/>
    <w:rsid w:val="26907DFD"/>
    <w:rsid w:val="26A53EF9"/>
    <w:rsid w:val="26A94201"/>
    <w:rsid w:val="26AC274F"/>
    <w:rsid w:val="26AF70B6"/>
    <w:rsid w:val="26B446CD"/>
    <w:rsid w:val="26B507EF"/>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A5400"/>
    <w:rsid w:val="28855745"/>
    <w:rsid w:val="289724F8"/>
    <w:rsid w:val="289F7086"/>
    <w:rsid w:val="28A04D7F"/>
    <w:rsid w:val="28B47E46"/>
    <w:rsid w:val="28B60528"/>
    <w:rsid w:val="28C32028"/>
    <w:rsid w:val="28CC490F"/>
    <w:rsid w:val="28DE40AA"/>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807EE"/>
    <w:rsid w:val="2BBD2276"/>
    <w:rsid w:val="2BBF00EC"/>
    <w:rsid w:val="2BC37CFD"/>
    <w:rsid w:val="2BC74EA2"/>
    <w:rsid w:val="2BD5237F"/>
    <w:rsid w:val="2BE536CE"/>
    <w:rsid w:val="2BE758D9"/>
    <w:rsid w:val="2C056B5B"/>
    <w:rsid w:val="2C09049E"/>
    <w:rsid w:val="2C0A653C"/>
    <w:rsid w:val="2C191F85"/>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A6B38"/>
    <w:rsid w:val="2F351FF4"/>
    <w:rsid w:val="2F370591"/>
    <w:rsid w:val="2F4A3E20"/>
    <w:rsid w:val="2F7C0857"/>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E4633A"/>
    <w:rsid w:val="32F72511"/>
    <w:rsid w:val="32FB6478"/>
    <w:rsid w:val="33263B3F"/>
    <w:rsid w:val="3330157F"/>
    <w:rsid w:val="33365E13"/>
    <w:rsid w:val="33403BE0"/>
    <w:rsid w:val="33490893"/>
    <w:rsid w:val="334B63B9"/>
    <w:rsid w:val="336963EB"/>
    <w:rsid w:val="33816EEB"/>
    <w:rsid w:val="33837901"/>
    <w:rsid w:val="339A10EE"/>
    <w:rsid w:val="33AB50AB"/>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FF1FBC"/>
    <w:rsid w:val="36142918"/>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1D4F45"/>
    <w:rsid w:val="371F5B92"/>
    <w:rsid w:val="372B3996"/>
    <w:rsid w:val="37312327"/>
    <w:rsid w:val="373F410B"/>
    <w:rsid w:val="37427AD3"/>
    <w:rsid w:val="375C6DE7"/>
    <w:rsid w:val="37696240"/>
    <w:rsid w:val="376D734B"/>
    <w:rsid w:val="37751C56"/>
    <w:rsid w:val="3795353A"/>
    <w:rsid w:val="37A82C68"/>
    <w:rsid w:val="37AB1B1C"/>
    <w:rsid w:val="37BD53AB"/>
    <w:rsid w:val="37EE7094"/>
    <w:rsid w:val="38296C89"/>
    <w:rsid w:val="383002EB"/>
    <w:rsid w:val="38586797"/>
    <w:rsid w:val="3894435E"/>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C3713E"/>
    <w:rsid w:val="39C944DB"/>
    <w:rsid w:val="39D37108"/>
    <w:rsid w:val="39F03816"/>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576930"/>
    <w:rsid w:val="3C5F759A"/>
    <w:rsid w:val="3C6C525A"/>
    <w:rsid w:val="3C7D458E"/>
    <w:rsid w:val="3C9137E0"/>
    <w:rsid w:val="3C925059"/>
    <w:rsid w:val="3C9F32D2"/>
    <w:rsid w:val="3CC26E9F"/>
    <w:rsid w:val="3CCE23CB"/>
    <w:rsid w:val="3CD17D17"/>
    <w:rsid w:val="3D2959BD"/>
    <w:rsid w:val="3D3C7F39"/>
    <w:rsid w:val="3D440F09"/>
    <w:rsid w:val="3D4504A0"/>
    <w:rsid w:val="3D8734BB"/>
    <w:rsid w:val="3D9A11D4"/>
    <w:rsid w:val="3DA16D89"/>
    <w:rsid w:val="3DA364BE"/>
    <w:rsid w:val="3DAC116D"/>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4927B8"/>
    <w:rsid w:val="476B0980"/>
    <w:rsid w:val="477B778F"/>
    <w:rsid w:val="478203EC"/>
    <w:rsid w:val="478D4D9A"/>
    <w:rsid w:val="47946129"/>
    <w:rsid w:val="479E0D55"/>
    <w:rsid w:val="47B025FA"/>
    <w:rsid w:val="47CA1EC8"/>
    <w:rsid w:val="47E30E5E"/>
    <w:rsid w:val="4809698F"/>
    <w:rsid w:val="4811697D"/>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4168DE"/>
    <w:rsid w:val="4E587A02"/>
    <w:rsid w:val="4E656129"/>
    <w:rsid w:val="4E713266"/>
    <w:rsid w:val="4E793892"/>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01D3C"/>
    <w:rsid w:val="50C11EEE"/>
    <w:rsid w:val="50CD3058"/>
    <w:rsid w:val="50DB6B76"/>
    <w:rsid w:val="50E97CFC"/>
    <w:rsid w:val="50FA4028"/>
    <w:rsid w:val="510D65B7"/>
    <w:rsid w:val="511157AB"/>
    <w:rsid w:val="512027DB"/>
    <w:rsid w:val="5142540C"/>
    <w:rsid w:val="517B2107"/>
    <w:rsid w:val="517E43B0"/>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364EFD"/>
    <w:rsid w:val="5540169E"/>
    <w:rsid w:val="555D4828"/>
    <w:rsid w:val="557A4C8B"/>
    <w:rsid w:val="55851EE3"/>
    <w:rsid w:val="558931E1"/>
    <w:rsid w:val="55923347"/>
    <w:rsid w:val="55925180"/>
    <w:rsid w:val="55982511"/>
    <w:rsid w:val="55983B1B"/>
    <w:rsid w:val="559F6FA1"/>
    <w:rsid w:val="55A8376B"/>
    <w:rsid w:val="55A86101"/>
    <w:rsid w:val="55D652EC"/>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0206C"/>
    <w:rsid w:val="5E261785"/>
    <w:rsid w:val="5E4A7017"/>
    <w:rsid w:val="5E552BBA"/>
    <w:rsid w:val="5E611C10"/>
    <w:rsid w:val="5E6C7060"/>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227C4"/>
    <w:rsid w:val="615D5386"/>
    <w:rsid w:val="61654E3F"/>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711FED"/>
    <w:rsid w:val="637136BF"/>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C467C7"/>
    <w:rsid w:val="67D90273"/>
    <w:rsid w:val="67DE5875"/>
    <w:rsid w:val="67E55852"/>
    <w:rsid w:val="67EB1AB4"/>
    <w:rsid w:val="67FA1285"/>
    <w:rsid w:val="680058F8"/>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F0768EB"/>
    <w:rsid w:val="7F0A2251"/>
    <w:rsid w:val="7F143BEC"/>
    <w:rsid w:val="7F410946"/>
    <w:rsid w:val="7F5E7DB7"/>
    <w:rsid w:val="7F631961"/>
    <w:rsid w:val="7F6531DB"/>
    <w:rsid w:val="7F6D458E"/>
    <w:rsid w:val="7F715AF2"/>
    <w:rsid w:val="7F886E69"/>
    <w:rsid w:val="7F8C0EB8"/>
    <w:rsid w:val="7F8F36EF"/>
    <w:rsid w:val="7F9966B8"/>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15454</Words>
  <Characters>16666</Characters>
  <Lines>0</Lines>
  <Paragraphs>0</Paragraphs>
  <TotalTime>1</TotalTime>
  <ScaleCrop>false</ScaleCrop>
  <LinksUpToDate>false</LinksUpToDate>
  <CharactersWithSpaces>17005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2025-06-26T07:39:29Z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