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EC9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52"/>
          <w:szCs w:val="52"/>
          <w:lang w:val="en-US" w:eastAsia="zh-CN"/>
        </w:rPr>
      </w:pPr>
    </w:p>
    <w:p w14:paraId="6E91B7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诸暨市次坞镇2025年统计指导服务采购项目</w:t>
      </w:r>
    </w:p>
    <w:p w14:paraId="5440C7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诸中地2025-06-17</w:t>
      </w:r>
      <w:r>
        <w:rPr>
          <w:rFonts w:hint="eastAsia" w:ascii="仿宋" w:hAnsi="仿宋" w:eastAsia="仿宋" w:cs="仿宋"/>
          <w:b/>
          <w:bCs/>
          <w:sz w:val="32"/>
          <w:szCs w:val="32"/>
        </w:rPr>
        <w:t>）</w:t>
      </w:r>
    </w:p>
    <w:p w14:paraId="7B8A51A8">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4D5589F1">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544C9269">
      <w:pPr>
        <w:pStyle w:val="21"/>
        <w:rPr>
          <w:rFonts w:hint="eastAsia" w:ascii="仿宋" w:hAnsi="仿宋" w:eastAsia="仿宋" w:cs="仿宋"/>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48D0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14:paraId="265C4B3F">
            <w:pPr>
              <w:pStyle w:val="10"/>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人）：诸暨市次坞镇人民政府</w:t>
            </w:r>
          </w:p>
        </w:tc>
      </w:tr>
      <w:tr w14:paraId="4C952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2A0EED19">
            <w:pPr>
              <w:pStyle w:val="10"/>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（采购代理机构）：诸暨中地项目管理有限公司</w:t>
            </w:r>
          </w:p>
        </w:tc>
      </w:tr>
    </w:tbl>
    <w:p w14:paraId="7ACE4663">
      <w:pPr>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月</w:t>
      </w:r>
    </w:p>
    <w:p w14:paraId="4ECA6D29">
      <w:pPr>
        <w:rPr>
          <w:rFonts w:hint="eastAsia" w:ascii="仿宋" w:hAnsi="仿宋" w:eastAsia="仿宋" w:cs="仿宋"/>
          <w:b/>
          <w:bCs/>
          <w:sz w:val="32"/>
          <w:szCs w:val="32"/>
        </w:rPr>
      </w:pPr>
    </w:p>
    <w:p w14:paraId="517A5238">
      <w:pPr>
        <w:pStyle w:val="2"/>
        <w:ind w:left="0" w:leftChars="0" w:firstLine="0" w:firstLineChars="0"/>
        <w:rPr>
          <w:rFonts w:hint="eastAsia"/>
        </w:rPr>
      </w:pPr>
    </w:p>
    <w:p w14:paraId="7F577828">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3528A7C8">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1807" w:firstLineChars="500"/>
        <w:jc w:val="left"/>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6552636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1807" w:firstLineChars="500"/>
        <w:jc w:val="left"/>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76E38A1E">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1807" w:firstLineChars="500"/>
        <w:jc w:val="left"/>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2BBBD583">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1807" w:firstLineChars="500"/>
        <w:jc w:val="left"/>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131C67F2">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1807" w:firstLineChars="500"/>
        <w:jc w:val="left"/>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36D8DA40">
      <w:pPr>
        <w:ind w:firstLine="1807" w:firstLineChars="500"/>
        <w:jc w:val="left"/>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605BBA87">
      <w:pPr>
        <w:spacing w:before="66" w:line="229" w:lineRule="auto"/>
        <w:ind w:left="907"/>
        <w:rPr>
          <w:rFonts w:ascii="仿宋" w:hAnsi="仿宋" w:eastAsia="仿宋" w:cs="仿宋"/>
          <w:b/>
          <w:bCs/>
          <w:spacing w:val="7"/>
          <w:sz w:val="20"/>
          <w:szCs w:val="20"/>
        </w:rPr>
      </w:pPr>
    </w:p>
    <w:p w14:paraId="2DE9AB7D">
      <w:pPr>
        <w:spacing w:before="66" w:line="229" w:lineRule="auto"/>
        <w:ind w:left="907"/>
        <w:jc w:val="center"/>
        <w:rPr>
          <w:rFonts w:hint="eastAsia" w:ascii="隶书" w:eastAsia="仿宋"/>
          <w:b/>
          <w:color w:val="auto"/>
          <w:sz w:val="44"/>
          <w:szCs w:val="44"/>
          <w:lang w:val="en-US" w:eastAsia="zh-CN"/>
        </w:rPr>
        <w:sectPr>
          <w:pgSz w:w="11906" w:h="16838"/>
          <w:pgMar w:top="1440" w:right="1800" w:bottom="1440" w:left="1800" w:header="851" w:footer="992" w:gutter="0"/>
          <w:cols w:space="425" w:num="1"/>
          <w:docGrid w:type="lines" w:linePitch="312" w:charSpace="0"/>
        </w:sectPr>
      </w:pPr>
      <w:r>
        <w:rPr>
          <w:rFonts w:ascii="仿宋" w:hAnsi="仿宋" w:eastAsia="仿宋" w:cs="仿宋"/>
          <w:b/>
          <w:bCs/>
          <w:spacing w:val="7"/>
          <w:sz w:val="20"/>
          <w:szCs w:val="20"/>
        </w:rPr>
        <w:t>本招标文件为2025年新制版本，请各位投标人详细阅读各项条</w:t>
      </w:r>
    </w:p>
    <w:p w14:paraId="55F0CB82">
      <w:pPr>
        <w:bidi w:val="0"/>
        <w:rPr>
          <w:rFonts w:hint="eastAsia"/>
        </w:rPr>
      </w:pPr>
    </w:p>
    <w:p w14:paraId="317B466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1996D1E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603D6D0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color w:val="auto"/>
          <w:sz w:val="24"/>
          <w:highlight w:val="none"/>
          <w:u w:val="single"/>
          <w:lang w:val="en-US" w:eastAsia="zh-CN"/>
        </w:rPr>
        <w:t>诸暨市次坞镇2025年统计指导服务采购项目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20"/>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1EEA164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07C0850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项目编号：</w:t>
      </w:r>
      <w:r>
        <w:rPr>
          <w:rFonts w:hint="eastAsia" w:ascii="仿宋" w:hAnsi="仿宋" w:eastAsia="仿宋" w:cs="仿宋"/>
          <w:b w:val="0"/>
          <w:bCs/>
          <w:sz w:val="24"/>
          <w:lang w:val="en-US" w:eastAsia="zh-CN"/>
        </w:rPr>
        <w:t>诸中地2025-06-17</w:t>
      </w:r>
      <w:bookmarkStart w:id="366" w:name="_GoBack"/>
      <w:bookmarkEnd w:id="366"/>
    </w:p>
    <w:p w14:paraId="1C5DCDA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Times New Roman" w:hAnsi="Times New Roman" w:eastAsia="仿宋" w:cs="Times New Roman"/>
          <w:sz w:val="24"/>
          <w:lang w:val="en-US" w:eastAsia="zh-CN"/>
        </w:rPr>
        <w:t>2025年统计指导服务</w:t>
      </w:r>
    </w:p>
    <w:p w14:paraId="515B0F0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预算金额（元）</w:t>
      </w:r>
      <w:r>
        <w:rPr>
          <w:rFonts w:hint="eastAsia" w:ascii="仿宋" w:hAnsi="仿宋" w:eastAsia="仿宋" w:cs="仿宋"/>
          <w:b/>
          <w:bCs w:val="0"/>
          <w:sz w:val="24"/>
          <w:lang w:eastAsia="zh-CN"/>
        </w:rPr>
        <w:t>：</w:t>
      </w:r>
      <w:r>
        <w:rPr>
          <w:rFonts w:hint="eastAsia" w:ascii="仿宋" w:hAnsi="仿宋" w:eastAsia="仿宋" w:cs="仿宋"/>
          <w:b w:val="0"/>
          <w:bCs/>
          <w:sz w:val="24"/>
          <w:lang w:val="en-US" w:eastAsia="zh-CN"/>
        </w:rPr>
        <w:t>480000</w:t>
      </w:r>
    </w:p>
    <w:p w14:paraId="5232A014">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最高限价（元）：</w:t>
      </w:r>
      <w:r>
        <w:rPr>
          <w:rFonts w:hint="eastAsia" w:ascii="仿宋" w:hAnsi="仿宋" w:eastAsia="仿宋" w:cs="仿宋"/>
          <w:b w:val="0"/>
          <w:bCs/>
          <w:sz w:val="24"/>
          <w:lang w:val="en-US" w:eastAsia="zh-CN"/>
        </w:rPr>
        <w:t>480000</w:t>
      </w:r>
    </w:p>
    <w:p w14:paraId="01BBEE7E">
      <w:pPr>
        <w:autoSpaceDE w:val="0"/>
        <w:autoSpaceDN w:val="0"/>
        <w:adjustRightInd w:val="0"/>
        <w:spacing w:line="420" w:lineRule="exact"/>
        <w:ind w:firstLine="482" w:firstLineChars="200"/>
        <w:rPr>
          <w:rFonts w:hint="eastAsia" w:eastAsia="仿宋"/>
          <w:sz w:val="24"/>
          <w:lang w:eastAsia="zh-CN"/>
        </w:rPr>
      </w:pPr>
      <w:r>
        <w:rPr>
          <w:rFonts w:hint="eastAsia" w:ascii="仿宋" w:hAnsi="仿宋" w:eastAsia="仿宋" w:cs="仿宋"/>
          <w:b/>
          <w:sz w:val="24"/>
        </w:rPr>
        <w:t>采购需求：</w:t>
      </w:r>
      <w:r>
        <w:rPr>
          <w:rFonts w:hint="eastAsia" w:ascii="Times New Roman" w:hAnsi="Times New Roman" w:eastAsia="仿宋" w:cs="Times New Roman"/>
          <w:sz w:val="24"/>
          <w:lang w:val="en-US" w:eastAsia="zh-CN"/>
        </w:rPr>
        <w:t>诸暨市次坞镇人民政府2025年统计指导服务采购项目</w:t>
      </w:r>
      <w:r>
        <w:rPr>
          <w:rFonts w:hint="eastAsia" w:ascii="仿宋" w:hAnsi="仿宋" w:eastAsia="仿宋" w:cs="仿宋"/>
          <w:bCs/>
          <w:sz w:val="24"/>
          <w:lang w:eastAsia="zh-CN"/>
        </w:rPr>
        <w:t>，采购预算总金额为人民币</w:t>
      </w:r>
      <w:r>
        <w:rPr>
          <w:rFonts w:hint="eastAsia" w:ascii="仿宋" w:hAnsi="仿宋" w:eastAsia="仿宋" w:cs="仿宋"/>
          <w:bCs/>
          <w:sz w:val="24"/>
          <w:lang w:val="en-US" w:eastAsia="zh-CN"/>
        </w:rPr>
        <w:t>肆拾捌万元</w:t>
      </w:r>
      <w:r>
        <w:rPr>
          <w:rFonts w:hint="eastAsia" w:ascii="仿宋" w:hAnsi="仿宋" w:eastAsia="仿宋" w:cs="仿宋"/>
          <w:bCs/>
          <w:sz w:val="24"/>
          <w:lang w:eastAsia="zh-CN"/>
        </w:rPr>
        <w:t>整（¥</w:t>
      </w:r>
      <w:r>
        <w:rPr>
          <w:rFonts w:hint="eastAsia" w:ascii="仿宋" w:hAnsi="仿宋" w:eastAsia="仿宋" w:cs="仿宋"/>
          <w:bCs/>
          <w:sz w:val="24"/>
          <w:lang w:val="en-US" w:eastAsia="zh-CN"/>
        </w:rPr>
        <w:t>480000</w:t>
      </w:r>
      <w:r>
        <w:rPr>
          <w:rFonts w:hint="eastAsia" w:ascii="仿宋" w:hAnsi="仿宋" w:eastAsia="仿宋" w:cs="仿宋"/>
          <w:bCs/>
          <w:sz w:val="24"/>
          <w:lang w:eastAsia="zh-CN"/>
        </w:rPr>
        <w:t>.00</w:t>
      </w:r>
      <w:r>
        <w:rPr>
          <w:rFonts w:hint="eastAsia" w:ascii="仿宋" w:hAnsi="仿宋" w:eastAsia="仿宋" w:cs="仿宋"/>
          <w:bCs/>
          <w:sz w:val="24"/>
          <w:lang w:val="en-US" w:eastAsia="zh-CN"/>
        </w:rPr>
        <w:t>),</w:t>
      </w:r>
      <w:r>
        <w:rPr>
          <w:rFonts w:hint="eastAsia" w:ascii="仿宋" w:hAnsi="仿宋" w:eastAsia="仿宋" w:cs="仿宋"/>
          <w:bCs/>
          <w:sz w:val="24"/>
          <w:lang w:eastAsia="zh-CN"/>
        </w:rPr>
        <w:t>具体内</w:t>
      </w:r>
      <w:r>
        <w:rPr>
          <w:rFonts w:hint="eastAsia" w:eastAsia="仿宋"/>
          <w:sz w:val="24"/>
          <w:lang w:eastAsia="zh-CN"/>
        </w:rPr>
        <w:t>容详见采购需求。</w:t>
      </w:r>
    </w:p>
    <w:p w14:paraId="1032F4E2">
      <w:pPr>
        <w:autoSpaceDE w:val="0"/>
        <w:autoSpaceDN w:val="0"/>
        <w:adjustRightInd w:val="0"/>
        <w:spacing w:line="420" w:lineRule="exact"/>
        <w:ind w:firstLine="482" w:firstLineChars="200"/>
        <w:rPr>
          <w:rFonts w:hint="eastAsia" w:ascii="仿宋" w:hAnsi="仿宋" w:eastAsia="仿宋" w:cs="仿宋"/>
          <w:b w:val="0"/>
          <w:bCs/>
          <w:sz w:val="24"/>
          <w:lang w:val="en-US" w:eastAsia="zh-CN"/>
        </w:rPr>
      </w:pPr>
      <w:r>
        <w:rPr>
          <w:rFonts w:hint="eastAsia" w:ascii="仿宋" w:hAnsi="仿宋" w:eastAsia="仿宋" w:cs="仿宋"/>
          <w:b/>
          <w:sz w:val="24"/>
        </w:rPr>
        <w:t>合同履约期限：</w:t>
      </w:r>
      <w:r>
        <w:rPr>
          <w:rFonts w:hint="eastAsia" w:eastAsia="仿宋"/>
          <w:sz w:val="24"/>
          <w:lang w:val="en-US" w:eastAsia="zh-CN"/>
        </w:rPr>
        <w:t>自合同签订之日起壹年</w:t>
      </w:r>
      <w:r>
        <w:rPr>
          <w:rFonts w:hint="eastAsia" w:ascii="仿宋" w:hAnsi="仿宋" w:eastAsia="仿宋" w:cs="仿宋"/>
          <w:b w:val="0"/>
          <w:bCs/>
          <w:sz w:val="24"/>
          <w:lang w:val="en-US" w:eastAsia="zh-CN"/>
        </w:rPr>
        <w:t>。</w:t>
      </w:r>
    </w:p>
    <w:p w14:paraId="650C8A47">
      <w:pPr>
        <w:pStyle w:val="4"/>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6359947B">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7D1E564A">
      <w:pPr>
        <w:autoSpaceDE w:val="0"/>
        <w:autoSpaceDN w:val="0"/>
        <w:adjustRightInd w:val="0"/>
        <w:spacing w:line="42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1、符合《中华人民共和国政府采购法》第二十二条之供应商资格规定；</w:t>
      </w:r>
    </w:p>
    <w:p w14:paraId="03A6B1CC">
      <w:pPr>
        <w:autoSpaceDE w:val="0"/>
        <w:autoSpaceDN w:val="0"/>
        <w:adjustRightInd w:val="0"/>
        <w:spacing w:line="42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2、未被“信用中国”（www.creditchina.gov.cn）、中国政府采购网（www.ccgp.gov.cn）列入失信被执行人、重大税收违法案件当事人名单、政府采购严重违法失信行为记录名单；</w:t>
      </w:r>
    </w:p>
    <w:p w14:paraId="1745D1E4">
      <w:pPr>
        <w:autoSpaceDE w:val="0"/>
        <w:autoSpaceDN w:val="0"/>
        <w:adjustRightInd w:val="0"/>
        <w:spacing w:line="42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3、落实政府采购政策需满足的资格要求：</w:t>
      </w:r>
      <w:r>
        <w:rPr>
          <w:rFonts w:hint="eastAsia" w:ascii="仿宋" w:hAnsi="仿宋" w:eastAsia="仿宋" w:cs="仿宋"/>
          <w:bCs/>
          <w:sz w:val="24"/>
          <w:lang w:eastAsia="zh-CN"/>
        </w:rPr>
        <w:sym w:font="Wingdings" w:char="F0FE"/>
      </w:r>
      <w:r>
        <w:rPr>
          <w:rFonts w:hint="eastAsia" w:ascii="仿宋" w:hAnsi="仿宋" w:eastAsia="仿宋" w:cs="仿宋"/>
          <w:bCs/>
          <w:sz w:val="24"/>
          <w:lang w:eastAsia="zh-CN"/>
        </w:rPr>
        <w:t>专门面向中小企业。</w:t>
      </w:r>
    </w:p>
    <w:p w14:paraId="30647B76">
      <w:pPr>
        <w:autoSpaceDE w:val="0"/>
        <w:autoSpaceDN w:val="0"/>
        <w:adjustRightInd w:val="0"/>
        <w:spacing w:line="42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4、本项目的特定资格要求：</w:t>
      </w:r>
      <w:r>
        <w:rPr>
          <w:rFonts w:hint="eastAsia" w:ascii="仿宋" w:hAnsi="仿宋" w:eastAsia="仿宋" w:cs="仿宋"/>
          <w:bCs/>
          <w:sz w:val="24"/>
          <w:lang w:val="en-US" w:eastAsia="zh-CN"/>
        </w:rPr>
        <w:t>无</w:t>
      </w:r>
    </w:p>
    <w:p w14:paraId="75B8CF0A">
      <w:pPr>
        <w:autoSpaceDE w:val="0"/>
        <w:autoSpaceDN w:val="0"/>
        <w:adjustRightInd w:val="0"/>
        <w:spacing w:line="42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5</w:t>
      </w:r>
      <w:r>
        <w:rPr>
          <w:rFonts w:hint="eastAsia" w:ascii="仿宋" w:hAnsi="仿宋" w:eastAsia="仿宋" w:cs="仿宋"/>
          <w:bCs/>
          <w:sz w:val="24"/>
          <w:lang w:eastAsia="zh-CN"/>
        </w:rPr>
        <w:t>、本项目不接受联合体投标。</w:t>
      </w:r>
    </w:p>
    <w:p w14:paraId="5C581B25">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77E003B9">
      <w:pPr>
        <w:pStyle w:val="10"/>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0B11602F">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1DC9C543">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1B4141E0">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4801B0E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30AC2C37">
      <w:pPr>
        <w:pStyle w:val="13"/>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338C5E5F">
      <w:pPr>
        <w:pStyle w:val="13"/>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005A8E78">
      <w:pPr>
        <w:pStyle w:val="13"/>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37F902F4">
      <w:pPr>
        <w:ind w:firstLine="480" w:firstLineChars="200"/>
        <w:rPr>
          <w:rFonts w:hint="eastAsia" w:ascii="仿宋" w:hAnsi="仿宋" w:eastAsia="仿宋"/>
          <w:sz w:val="24"/>
          <w:szCs w:val="24"/>
        </w:rPr>
      </w:pPr>
      <w:r>
        <w:rPr>
          <w:rFonts w:hint="eastAsia" w:ascii="仿宋" w:hAnsi="仿宋" w:eastAsia="仿宋" w:cs="仿宋"/>
          <w:kern w:val="0"/>
          <w:sz w:val="24"/>
          <w:szCs w:val="24"/>
          <w:highlight w:val="none"/>
          <w:lang w:val="en-US" w:eastAsia="zh-CN" w:bidi="ar-SA"/>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sz w:val="24"/>
          <w:szCs w:val="24"/>
        </w:rPr>
        <w:t>（https://www.zcygov.cn/）所有投标人均须准时在“政府采购云平台”在线参加。</w:t>
      </w:r>
    </w:p>
    <w:p w14:paraId="2FFF1438">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7F01D06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4A6BB216">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4D414D8E">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D131CC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2385E81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DFA3D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6FBCC61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0902F96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5B8A11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7A58E520">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6D95370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1307F48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1577479E">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253492C7">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1.采购人信息</w:t>
      </w:r>
    </w:p>
    <w:p w14:paraId="7F9E8A70">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名    称：</w:t>
      </w:r>
      <w:r>
        <w:rPr>
          <w:rFonts w:hint="eastAsia" w:ascii="仿宋" w:hAnsi="仿宋" w:eastAsia="仿宋" w:cs="仿宋"/>
          <w:sz w:val="24"/>
          <w:highlight w:val="none"/>
          <w:lang w:val="en-US" w:eastAsia="zh-CN"/>
        </w:rPr>
        <w:t>诸暨市次坞镇人民政府</w:t>
      </w:r>
    </w:p>
    <w:p w14:paraId="7F46958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地    址：诸暨市</w:t>
      </w:r>
      <w:r>
        <w:rPr>
          <w:rFonts w:hint="eastAsia" w:ascii="仿宋" w:hAnsi="仿宋" w:eastAsia="仿宋" w:cs="仿宋"/>
          <w:sz w:val="24"/>
          <w:highlight w:val="none"/>
          <w:lang w:val="en-US" w:eastAsia="zh-CN"/>
        </w:rPr>
        <w:t>育才路1-1号</w:t>
      </w:r>
    </w:p>
    <w:p w14:paraId="445DEE8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陈丹女</w:t>
      </w:r>
    </w:p>
    <w:p w14:paraId="740C5F8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项目联系人工作电话（询问）：0575-89091766</w:t>
      </w:r>
    </w:p>
    <w:p w14:paraId="0FBD397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质疑联系人：杨汪业 </w:t>
      </w:r>
    </w:p>
    <w:p w14:paraId="792AD53F">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default" w:ascii="仿宋" w:hAnsi="仿宋" w:eastAsia="仿宋" w:cs="仿宋"/>
          <w:sz w:val="24"/>
          <w:highlight w:val="red"/>
          <w:lang w:val="en-US" w:eastAsia="zh-CN"/>
        </w:rPr>
      </w:pPr>
      <w:r>
        <w:rPr>
          <w:rFonts w:hint="eastAsia" w:ascii="仿宋" w:hAnsi="仿宋" w:eastAsia="仿宋" w:cs="仿宋"/>
          <w:sz w:val="24"/>
          <w:highlight w:val="none"/>
          <w:lang w:val="en-US" w:eastAsia="zh-CN"/>
        </w:rPr>
        <w:t>质疑联系人工作电话：0575-87852797</w:t>
      </w:r>
    </w:p>
    <w:p w14:paraId="701C34B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2.采购代理机构信息            </w:t>
      </w:r>
    </w:p>
    <w:p w14:paraId="36C2F6F5">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诸暨中地项目管理有限公司</w:t>
      </w:r>
    </w:p>
    <w:p w14:paraId="323998E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sz w:val="24"/>
          <w:lang w:val="en-US" w:eastAsia="zh-CN"/>
        </w:rPr>
        <w:t>浙江省诸暨市暨阳街道安康路15-1号二楼</w:t>
      </w:r>
    </w:p>
    <w:p w14:paraId="477EC16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val="en-US" w:eastAsia="zh-CN"/>
        </w:rPr>
        <w:t>顾鸿敏</w:t>
      </w:r>
      <w:r>
        <w:rPr>
          <w:rFonts w:hint="eastAsia" w:ascii="仿宋" w:hAnsi="仿宋" w:eastAsia="仿宋" w:cs="仿宋"/>
          <w:sz w:val="24"/>
        </w:rPr>
        <w:t xml:space="preserve">   </w:t>
      </w:r>
    </w:p>
    <w:p w14:paraId="7F260F41">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项目联系</w:t>
      </w:r>
      <w:r>
        <w:rPr>
          <w:rFonts w:hint="eastAsia" w:ascii="仿宋" w:hAnsi="仿宋" w:eastAsia="仿宋" w:cs="仿宋"/>
          <w:sz w:val="24"/>
          <w:lang w:val="en-US" w:eastAsia="zh-CN"/>
        </w:rPr>
        <w:t>人工作电话</w:t>
      </w:r>
      <w:r>
        <w:rPr>
          <w:rFonts w:hint="eastAsia" w:ascii="仿宋" w:hAnsi="仿宋" w:eastAsia="仿宋" w:cs="仿宋"/>
          <w:sz w:val="24"/>
        </w:rPr>
        <w:t>（询问</w:t>
      </w:r>
      <w:r>
        <w:rPr>
          <w:rFonts w:hint="eastAsia" w:ascii="仿宋" w:hAnsi="仿宋" w:eastAsia="仿宋" w:cs="仿宋"/>
          <w:sz w:val="24"/>
          <w:lang w:eastAsia="zh-CN"/>
        </w:rPr>
        <w:t>）：</w:t>
      </w:r>
      <w:r>
        <w:rPr>
          <w:rFonts w:hint="eastAsia" w:ascii="仿宋" w:hAnsi="仿宋" w:eastAsia="仿宋" w:cs="仿宋"/>
          <w:sz w:val="24"/>
          <w:lang w:val="en-US" w:eastAsia="zh-CN"/>
        </w:rPr>
        <w:t>18258945131</w:t>
      </w:r>
    </w:p>
    <w:p w14:paraId="72B5A02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default"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方工</w:t>
      </w:r>
    </w:p>
    <w:p w14:paraId="07C241B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13757556929</w:t>
      </w:r>
    </w:p>
    <w:p w14:paraId="104A00C4">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1BB2240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506E253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3442EBF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传    真： 0575-87023633</w:t>
      </w:r>
    </w:p>
    <w:p w14:paraId="76E9119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 xml:space="preserve">人：吕雅玲    </w:t>
      </w:r>
    </w:p>
    <w:p w14:paraId="405D186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监督投诉电话： 0575-87113461</w:t>
      </w:r>
    </w:p>
    <w:p w14:paraId="7C00377A">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254F5EC8">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2A2CC135">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75164C80">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7FC8FAC6">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35FCD327">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12B581F1">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3F6BC334">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4AD8F7F9">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3EFE77E8">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4CDB56D4">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55AF0854">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369C93B4">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4461505A">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48333690">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3C749170">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071D1176">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72B876B4">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4D0DF17F">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52BBD0E5">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0F42A9D3">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7626CC83">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4790F8BB">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30DF9B30">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721" w:firstLineChars="200"/>
        <w:jc w:val="center"/>
        <w:textAlignment w:val="auto"/>
        <w:rPr>
          <w:rFonts w:hint="eastAsia" w:ascii="仿宋" w:hAnsi="仿宋" w:eastAsia="仿宋" w:cs="仿宋"/>
          <w:b/>
          <w:sz w:val="36"/>
          <w:szCs w:val="20"/>
        </w:rPr>
      </w:pPr>
      <w:r>
        <w:rPr>
          <w:rFonts w:hint="eastAsia" w:ascii="华文中宋" w:hAnsi="华文中宋" w:eastAsia="华文中宋" w:cs="Times New Roman"/>
          <w:b/>
          <w:color w:val="auto"/>
          <w:kern w:val="44"/>
          <w:sz w:val="36"/>
          <w:szCs w:val="36"/>
          <w:lang w:val="en-US" w:eastAsia="zh-CN" w:bidi="ar-SA"/>
        </w:rPr>
        <w:t>第二部分 投标人须知</w:t>
      </w:r>
    </w:p>
    <w:p w14:paraId="3216466A">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16"/>
        <w:tblW w:w="97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484"/>
        <w:gridCol w:w="7590"/>
      </w:tblGrid>
      <w:tr w14:paraId="18F1F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0CC00A7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484" w:type="dxa"/>
            <w:tcBorders>
              <w:top w:val="single" w:color="000000" w:sz="8" w:space="0"/>
              <w:left w:val="single" w:color="auto" w:sz="4" w:space="0"/>
              <w:bottom w:val="single" w:color="000000" w:sz="8" w:space="0"/>
              <w:right w:val="single" w:color="000000" w:sz="8" w:space="0"/>
            </w:tcBorders>
            <w:vAlign w:val="center"/>
          </w:tcPr>
          <w:p w14:paraId="4214ED8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590" w:type="dxa"/>
            <w:tcBorders>
              <w:top w:val="single" w:color="000000" w:sz="8" w:space="0"/>
              <w:left w:val="single" w:color="000000" w:sz="2" w:space="0"/>
              <w:bottom w:val="single" w:color="000000" w:sz="8" w:space="0"/>
              <w:right w:val="single" w:color="000000" w:sz="8" w:space="0"/>
            </w:tcBorders>
            <w:vAlign w:val="center"/>
          </w:tcPr>
          <w:p w14:paraId="4716D0E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38AC0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14:paraId="442D989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484" w:type="dxa"/>
            <w:tcBorders>
              <w:top w:val="single" w:color="000000" w:sz="8" w:space="0"/>
              <w:left w:val="single" w:color="auto" w:sz="4" w:space="0"/>
              <w:bottom w:val="single" w:color="000000" w:sz="8" w:space="0"/>
              <w:right w:val="single" w:color="000000" w:sz="8" w:space="0"/>
            </w:tcBorders>
            <w:vAlign w:val="center"/>
          </w:tcPr>
          <w:p w14:paraId="16E7DFD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590" w:type="dxa"/>
            <w:tcBorders>
              <w:top w:val="single" w:color="000000" w:sz="8" w:space="0"/>
              <w:left w:val="single" w:color="000000" w:sz="2" w:space="0"/>
              <w:bottom w:val="single" w:color="000000" w:sz="8" w:space="0"/>
              <w:right w:val="single" w:color="000000" w:sz="8" w:space="0"/>
            </w:tcBorders>
            <w:vAlign w:val="center"/>
          </w:tcPr>
          <w:p w14:paraId="4877BA95">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15E6E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13ED70E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484" w:type="dxa"/>
            <w:tcBorders>
              <w:top w:val="single" w:color="000000" w:sz="8" w:space="0"/>
              <w:left w:val="single" w:color="auto" w:sz="4" w:space="0"/>
              <w:bottom w:val="single" w:color="000000" w:sz="8" w:space="0"/>
              <w:right w:val="single" w:color="000000" w:sz="8" w:space="0"/>
            </w:tcBorders>
            <w:vAlign w:val="center"/>
          </w:tcPr>
          <w:p w14:paraId="3E0681D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590" w:type="dxa"/>
            <w:tcBorders>
              <w:top w:val="single" w:color="000000" w:sz="8" w:space="0"/>
              <w:left w:val="single" w:color="000000" w:sz="2" w:space="0"/>
              <w:bottom w:val="single" w:color="000000" w:sz="8" w:space="0"/>
              <w:right w:val="single" w:color="000000" w:sz="8" w:space="0"/>
            </w:tcBorders>
            <w:vAlign w:val="center"/>
          </w:tcPr>
          <w:p w14:paraId="002300CB">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7E46C4D2">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701D68D7">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301796B5">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5AA4AF3">
            <w:pPr>
              <w:pStyle w:val="23"/>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1D8E9EC6">
            <w:pPr>
              <w:pStyle w:val="23"/>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2DC5FEB5">
            <w:pPr>
              <w:pStyle w:val="23"/>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FA1065">
            <w:pPr>
              <w:pStyle w:val="23"/>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177A5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269A91B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484" w:type="dxa"/>
            <w:tcBorders>
              <w:top w:val="single" w:color="000000" w:sz="8" w:space="0"/>
              <w:left w:val="single" w:color="auto" w:sz="4" w:space="0"/>
              <w:bottom w:val="single" w:color="000000" w:sz="8" w:space="0"/>
              <w:right w:val="single" w:color="000000" w:sz="8" w:space="0"/>
            </w:tcBorders>
            <w:vAlign w:val="center"/>
          </w:tcPr>
          <w:p w14:paraId="43D75FF9">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590" w:type="dxa"/>
            <w:tcBorders>
              <w:top w:val="single" w:color="000000" w:sz="8" w:space="0"/>
              <w:left w:val="single" w:color="000000" w:sz="2" w:space="0"/>
              <w:bottom w:val="single" w:color="000000" w:sz="8" w:space="0"/>
              <w:right w:val="single" w:color="000000" w:sz="8" w:space="0"/>
            </w:tcBorders>
            <w:vAlign w:val="center"/>
          </w:tcPr>
          <w:p w14:paraId="72F7C604">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5B40E989">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3BF02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10B4A8E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484" w:type="dxa"/>
            <w:tcBorders>
              <w:top w:val="single" w:color="000000" w:sz="8" w:space="0"/>
              <w:left w:val="single" w:color="auto" w:sz="4" w:space="0"/>
              <w:right w:val="single" w:color="000000" w:sz="8" w:space="0"/>
            </w:tcBorders>
            <w:vAlign w:val="center"/>
          </w:tcPr>
          <w:p w14:paraId="6198470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590" w:type="dxa"/>
            <w:tcBorders>
              <w:top w:val="single" w:color="000000" w:sz="8" w:space="0"/>
              <w:left w:val="single" w:color="000000" w:sz="2" w:space="0"/>
              <w:right w:val="single" w:color="000000" w:sz="8" w:space="0"/>
            </w:tcBorders>
            <w:vAlign w:val="center"/>
          </w:tcPr>
          <w:p w14:paraId="13552B49">
            <w:pPr>
              <w:pStyle w:val="23"/>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63146FEB">
            <w:pPr>
              <w:pStyle w:val="23"/>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w:t>
            </w:r>
            <w:r>
              <w:rPr>
                <w:rFonts w:hint="eastAsia" w:ascii="仿宋" w:hAnsi="仿宋" w:eastAsia="仿宋" w:cs="仿宋"/>
                <w:lang w:eastAsia="zh-CN"/>
              </w:rPr>
              <w:t>；</w:t>
            </w:r>
          </w:p>
          <w:p w14:paraId="23EB29BB">
            <w:pPr>
              <w:pStyle w:val="23"/>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w:t>
            </w:r>
          </w:p>
          <w:p w14:paraId="7D0228E5">
            <w:pPr>
              <w:pStyle w:val="23"/>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14:paraId="3AEE1618">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72FE1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180506F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484" w:type="dxa"/>
            <w:tcBorders>
              <w:top w:val="single" w:color="000000" w:sz="8" w:space="0"/>
              <w:left w:val="single" w:color="auto" w:sz="4" w:space="0"/>
              <w:right w:val="single" w:color="000000" w:sz="8" w:space="0"/>
            </w:tcBorders>
            <w:vAlign w:val="center"/>
          </w:tcPr>
          <w:p w14:paraId="02E1E10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590" w:type="dxa"/>
            <w:tcBorders>
              <w:top w:val="single" w:color="000000" w:sz="8" w:space="0"/>
              <w:left w:val="single" w:color="000000" w:sz="2" w:space="0"/>
              <w:right w:val="single" w:color="000000" w:sz="8" w:space="0"/>
            </w:tcBorders>
            <w:vAlign w:val="center"/>
          </w:tcPr>
          <w:p w14:paraId="53104B16">
            <w:pPr>
              <w:pStyle w:val="23"/>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7769301B">
            <w:pPr>
              <w:pStyle w:val="23"/>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F3C631C">
            <w:pPr>
              <w:pStyle w:val="23"/>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45CBA60D">
            <w:pPr>
              <w:pStyle w:val="23"/>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654C7847">
            <w:pPr>
              <w:pStyle w:val="23"/>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1AB2D804">
            <w:pPr>
              <w:pStyle w:val="23"/>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479B173A">
            <w:pPr>
              <w:pStyle w:val="23"/>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0B1BBD9F">
            <w:pPr>
              <w:pStyle w:val="23"/>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50FF2B2D">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181D7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0BCB916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484" w:type="dxa"/>
            <w:tcBorders>
              <w:top w:val="single" w:color="000000" w:sz="8" w:space="0"/>
              <w:left w:val="single" w:color="auto" w:sz="4" w:space="0"/>
              <w:right w:val="single" w:color="000000" w:sz="8" w:space="0"/>
            </w:tcBorders>
            <w:vAlign w:val="center"/>
          </w:tcPr>
          <w:p w14:paraId="34C19EB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590" w:type="dxa"/>
            <w:tcBorders>
              <w:top w:val="single" w:color="000000" w:sz="8" w:space="0"/>
              <w:left w:val="single" w:color="000000" w:sz="2" w:space="0"/>
              <w:right w:val="single" w:color="000000" w:sz="8" w:space="0"/>
            </w:tcBorders>
            <w:vAlign w:val="center"/>
          </w:tcPr>
          <w:p w14:paraId="09AC29B4">
            <w:pPr>
              <w:pStyle w:val="23"/>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①开标一览表；</w:t>
            </w:r>
          </w:p>
          <w:p w14:paraId="10BC1B85">
            <w:pPr>
              <w:pStyle w:val="23"/>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7786AEF0">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2535A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4CAD89D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484" w:type="dxa"/>
            <w:tcBorders>
              <w:top w:val="single" w:color="000000" w:sz="8" w:space="0"/>
              <w:left w:val="single" w:color="auto" w:sz="4" w:space="0"/>
              <w:bottom w:val="single" w:color="000000" w:sz="8" w:space="0"/>
              <w:right w:val="single" w:color="000000" w:sz="8" w:space="0"/>
            </w:tcBorders>
            <w:vAlign w:val="center"/>
          </w:tcPr>
          <w:p w14:paraId="2F658DE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590" w:type="dxa"/>
            <w:tcBorders>
              <w:top w:val="single" w:color="000000" w:sz="8" w:space="0"/>
              <w:left w:val="single" w:color="000000" w:sz="2" w:space="0"/>
              <w:bottom w:val="single" w:color="000000" w:sz="8" w:space="0"/>
              <w:right w:val="single" w:color="000000" w:sz="8" w:space="0"/>
            </w:tcBorders>
            <w:vAlign w:val="center"/>
          </w:tcPr>
          <w:p w14:paraId="4A355106">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127ACA5F">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01ED8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shd w:val="clear" w:color="auto" w:fill="auto"/>
            <w:vAlign w:val="center"/>
          </w:tcPr>
          <w:p w14:paraId="5536840A">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rPr>
              <w:t>8</w:t>
            </w:r>
          </w:p>
        </w:tc>
        <w:tc>
          <w:tcPr>
            <w:tcW w:w="1484" w:type="dxa"/>
            <w:tcBorders>
              <w:top w:val="single" w:color="000000" w:sz="8" w:space="0"/>
              <w:left w:val="single" w:color="auto" w:sz="4" w:space="0"/>
              <w:bottom w:val="single" w:color="auto" w:sz="4" w:space="0"/>
              <w:right w:val="single" w:color="000000" w:sz="8" w:space="0"/>
            </w:tcBorders>
            <w:shd w:val="clear" w:color="auto" w:fill="auto"/>
            <w:vAlign w:val="center"/>
          </w:tcPr>
          <w:p w14:paraId="183FA0C2">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rPr>
              <w:t>样品提供</w:t>
            </w:r>
          </w:p>
        </w:tc>
        <w:tc>
          <w:tcPr>
            <w:tcW w:w="7590" w:type="dxa"/>
            <w:tcBorders>
              <w:top w:val="single" w:color="000000" w:sz="8" w:space="0"/>
              <w:left w:val="single" w:color="000000" w:sz="2" w:space="0"/>
              <w:bottom w:val="single" w:color="auto" w:sz="4" w:space="0"/>
              <w:right w:val="single" w:color="000000" w:sz="8" w:space="0"/>
            </w:tcBorders>
            <w:shd w:val="clear" w:color="auto" w:fill="auto"/>
            <w:vAlign w:val="center"/>
          </w:tcPr>
          <w:p w14:paraId="3B772CD7">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04CF5B43">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3D16826D">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72F9EACA">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368E723A">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5F8CA660">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4DDC7A14">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02F5CF3D">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E13F61C">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b/>
                <w:kern w:val="2"/>
                <w:sz w:val="24"/>
                <w:szCs w:val="24"/>
                <w:lang w:val="en-US" w:eastAsia="zh-CN" w:bidi="ar-SA"/>
              </w:rPr>
            </w:pPr>
            <w:r>
              <w:rPr>
                <w:rFonts w:hint="eastAsia" w:ascii="仿宋" w:hAnsi="仿宋" w:eastAsia="仿宋" w:cs="仿宋"/>
                <w:sz w:val="24"/>
              </w:rPr>
              <w:t>制作、运输、安装和保管样品所发生的一切费用由投标人自理。</w:t>
            </w:r>
          </w:p>
        </w:tc>
      </w:tr>
      <w:tr w14:paraId="5DEA7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0" w:type="auto"/>
            <w:tcBorders>
              <w:top w:val="single" w:color="auto" w:sz="4" w:space="0"/>
              <w:bottom w:val="single" w:color="auto" w:sz="4" w:space="0"/>
              <w:right w:val="single" w:color="auto" w:sz="4" w:space="0"/>
            </w:tcBorders>
            <w:shd w:val="clear" w:color="auto" w:fill="auto"/>
            <w:vAlign w:val="center"/>
          </w:tcPr>
          <w:p w14:paraId="5AF8C49C">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rPr>
              <w:t>9</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BC8D9EB">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
                <w:sz w:val="24"/>
              </w:rPr>
              <w:t>方案讲解演示</w:t>
            </w:r>
          </w:p>
        </w:tc>
        <w:tc>
          <w:tcPr>
            <w:tcW w:w="7590" w:type="dxa"/>
            <w:tcBorders>
              <w:top w:val="single" w:color="auto" w:sz="4" w:space="0"/>
              <w:left w:val="single" w:color="auto" w:sz="4" w:space="0"/>
              <w:bottom w:val="single" w:color="auto" w:sz="4" w:space="0"/>
            </w:tcBorders>
            <w:shd w:val="clear" w:color="auto" w:fill="auto"/>
            <w:vAlign w:val="center"/>
          </w:tcPr>
          <w:p w14:paraId="4FD8B5AC">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154E6515">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p w14:paraId="6AC73A49">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或光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20</w:t>
            </w:r>
            <w:r>
              <w:rPr>
                <w:rFonts w:hint="eastAsia" w:ascii="仿宋" w:hAnsi="仿宋" w:eastAsia="仿宋" w:cs="仿宋"/>
                <w:kern w:val="0"/>
                <w:sz w:val="24"/>
              </w:rPr>
              <w:t>分钟。</w:t>
            </w:r>
          </w:p>
          <w:p w14:paraId="1C3C24A6">
            <w:pPr>
              <w:keepNext w:val="0"/>
              <w:keepLines w:val="0"/>
              <w:pageBreakBefore w:val="0"/>
              <w:widowControl w:val="0"/>
              <w:kinsoku/>
              <w:wordWrap/>
              <w:overflowPunct/>
              <w:topLinePunct w:val="0"/>
              <w:autoSpaceDE/>
              <w:autoSpaceDN/>
              <w:bidi w:val="0"/>
              <w:adjustRightInd w:val="0"/>
              <w:snapToGrid w:val="0"/>
              <w:spacing w:line="300" w:lineRule="exact"/>
              <w:ind w:left="0" w:leftChars="0"/>
              <w:textAlignment w:val="auto"/>
              <w:rPr>
                <w:rFonts w:hint="eastAsia" w:ascii="仿宋" w:hAnsi="仿宋" w:eastAsia="仿宋" w:cs="仿宋"/>
                <w:kern w:val="0"/>
                <w:sz w:val="24"/>
                <w:szCs w:val="24"/>
                <w:lang w:val="zh-CN" w:eastAsia="zh-CN" w:bidi="ar-SA"/>
              </w:rPr>
            </w:pPr>
            <w:r>
              <w:rPr>
                <w:rFonts w:hint="eastAsia" w:ascii="仿宋" w:hAnsi="仿宋" w:eastAsia="仿宋" w:cs="仿宋"/>
                <w:kern w:val="0"/>
                <w:sz w:val="24"/>
              </w:rPr>
              <w:t>注：因投标人自身原因导致无法演示或者演示效果不理想的，责任自负。</w:t>
            </w:r>
          </w:p>
        </w:tc>
      </w:tr>
      <w:tr w14:paraId="7344C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0" w:type="auto"/>
            <w:tcBorders>
              <w:top w:val="single" w:color="auto" w:sz="4" w:space="0"/>
              <w:bottom w:val="single" w:color="auto" w:sz="4" w:space="0"/>
              <w:right w:val="single" w:color="auto" w:sz="4" w:space="0"/>
            </w:tcBorders>
            <w:shd w:val="clear" w:color="auto" w:fill="auto"/>
            <w:vAlign w:val="center"/>
          </w:tcPr>
          <w:p w14:paraId="385A1D9F">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color w:val="FF0000"/>
                <w:kern w:val="2"/>
                <w:sz w:val="24"/>
                <w:szCs w:val="24"/>
                <w:lang w:val="en-US" w:eastAsia="zh-CN" w:bidi="ar-SA"/>
              </w:rPr>
            </w:pPr>
            <w:r>
              <w:rPr>
                <w:rFonts w:hint="eastAsia" w:ascii="仿宋" w:hAnsi="仿宋" w:eastAsia="仿宋" w:cs="仿宋"/>
                <w:sz w:val="24"/>
              </w:rPr>
              <w:t>10</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B7E426D">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rPr>
              <w:t>保证金收取</w:t>
            </w:r>
          </w:p>
        </w:tc>
        <w:tc>
          <w:tcPr>
            <w:tcW w:w="7590" w:type="dxa"/>
            <w:tcBorders>
              <w:top w:val="single" w:color="auto" w:sz="4" w:space="0"/>
              <w:left w:val="single" w:color="auto" w:sz="4" w:space="0"/>
              <w:bottom w:val="single" w:color="auto" w:sz="4" w:space="0"/>
            </w:tcBorders>
            <w:shd w:val="clear" w:color="auto" w:fill="auto"/>
            <w:vAlign w:val="center"/>
          </w:tcPr>
          <w:p w14:paraId="33838ECA">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rPr>
              <w:t>本项目不收取投标保证金。</w:t>
            </w:r>
          </w:p>
        </w:tc>
      </w:tr>
      <w:tr w14:paraId="47E9B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0" w:type="auto"/>
            <w:tcBorders>
              <w:top w:val="single" w:color="auto" w:sz="4" w:space="0"/>
              <w:bottom w:val="single" w:color="auto" w:sz="4" w:space="0"/>
              <w:right w:val="single" w:color="auto" w:sz="4" w:space="0"/>
            </w:tcBorders>
            <w:shd w:val="clear" w:color="auto" w:fill="auto"/>
            <w:vAlign w:val="center"/>
          </w:tcPr>
          <w:p w14:paraId="5F9E973F">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rPr>
              <w:t>11</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E3BB1C0">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rPr>
              <w:t>采购进口产品</w:t>
            </w:r>
          </w:p>
        </w:tc>
        <w:tc>
          <w:tcPr>
            <w:tcW w:w="7590" w:type="dxa"/>
            <w:tcBorders>
              <w:top w:val="single" w:color="auto" w:sz="4" w:space="0"/>
              <w:left w:val="single" w:color="auto" w:sz="4" w:space="0"/>
              <w:bottom w:val="single" w:color="auto" w:sz="4" w:space="0"/>
            </w:tcBorders>
            <w:shd w:val="clear" w:color="auto" w:fill="auto"/>
            <w:vAlign w:val="center"/>
          </w:tcPr>
          <w:p w14:paraId="2AE5E183">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2"/>
                <w:sz w:val="21"/>
                <w:szCs w:val="24"/>
                <w:lang w:val="en-US" w:eastAsia="zh-CN" w:bidi="ar-SA"/>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E57B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0" w:type="auto"/>
            <w:tcBorders>
              <w:top w:val="single" w:color="auto" w:sz="4" w:space="0"/>
              <w:bottom w:val="single" w:color="auto" w:sz="4" w:space="0"/>
              <w:right w:val="single" w:color="auto" w:sz="4" w:space="0"/>
            </w:tcBorders>
            <w:shd w:val="clear" w:color="auto" w:fill="auto"/>
            <w:vAlign w:val="center"/>
          </w:tcPr>
          <w:p w14:paraId="2AB2B30F">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rPr>
              <w:t>12</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97BA311">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rPr>
              <w:t>项目属性与核心产品</w:t>
            </w:r>
          </w:p>
        </w:tc>
        <w:tc>
          <w:tcPr>
            <w:tcW w:w="7590" w:type="dxa"/>
            <w:tcBorders>
              <w:top w:val="single" w:color="auto" w:sz="4" w:space="0"/>
              <w:left w:val="single" w:color="auto" w:sz="4" w:space="0"/>
              <w:bottom w:val="single" w:color="auto" w:sz="4" w:space="0"/>
            </w:tcBorders>
            <w:shd w:val="clear" w:color="auto" w:fill="auto"/>
            <w:vAlign w:val="center"/>
          </w:tcPr>
          <w:p w14:paraId="64B5713B">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7FE32140">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u w:val="single"/>
              </w:rPr>
              <w:t xml:space="preserve"> </w:t>
            </w:r>
          </w:p>
        </w:tc>
      </w:tr>
      <w:tr w14:paraId="1D7A7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0" w:type="auto"/>
            <w:tcBorders>
              <w:top w:val="single" w:color="auto" w:sz="4" w:space="0"/>
              <w:bottom w:val="single" w:color="auto" w:sz="4" w:space="0"/>
              <w:right w:val="single" w:color="auto" w:sz="4" w:space="0"/>
            </w:tcBorders>
            <w:shd w:val="clear" w:color="auto" w:fill="auto"/>
            <w:vAlign w:val="center"/>
          </w:tcPr>
          <w:p w14:paraId="479B4889">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rPr>
              <w:t>13</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35A94F1">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rPr>
              <w:t>中小企业划分标准所属行业</w:t>
            </w:r>
          </w:p>
        </w:tc>
        <w:tc>
          <w:tcPr>
            <w:tcW w:w="7590" w:type="dxa"/>
            <w:tcBorders>
              <w:top w:val="single" w:color="auto" w:sz="4" w:space="0"/>
              <w:left w:val="single" w:color="auto" w:sz="4" w:space="0"/>
              <w:bottom w:val="single" w:color="auto" w:sz="4" w:space="0"/>
            </w:tcBorders>
            <w:shd w:val="clear" w:color="auto" w:fill="auto"/>
            <w:vAlign w:val="center"/>
          </w:tcPr>
          <w:p w14:paraId="26119AB9">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u w:val="none"/>
                <w:lang w:val="en-US" w:eastAsia="zh-CN"/>
              </w:rPr>
            </w:pPr>
            <w:r>
              <w:rPr>
                <w:rFonts w:hint="eastAsia" w:ascii="仿宋" w:hAnsi="仿宋" w:eastAsia="仿宋" w:cs="仿宋"/>
                <w:kern w:val="0"/>
                <w:sz w:val="24"/>
              </w:rPr>
              <w:t>标的</w:t>
            </w:r>
            <w:r>
              <w:rPr>
                <w:rFonts w:hint="eastAsia" w:ascii="仿宋" w:hAnsi="仿宋" w:eastAsia="仿宋" w:cs="仿宋"/>
                <w:kern w:val="0"/>
                <w:sz w:val="24"/>
                <w:lang w:val="en-US" w:eastAsia="zh-CN"/>
              </w:rPr>
              <w:t>:</w:t>
            </w:r>
            <w:r>
              <w:rPr>
                <w:rFonts w:hint="eastAsia" w:ascii="仿宋" w:hAnsi="仿宋" w:eastAsia="仿宋" w:cs="仿宋"/>
                <w:color w:val="auto"/>
                <w:sz w:val="24"/>
                <w:highlight w:val="none"/>
                <w:u w:val="single"/>
                <w:lang w:val="en-US" w:eastAsia="zh-CN"/>
              </w:rPr>
              <w:t>2025年统计指导服务</w:t>
            </w:r>
            <w:r>
              <w:rPr>
                <w:rFonts w:hint="eastAsia" w:ascii="仿宋" w:hAnsi="仿宋" w:eastAsia="仿宋" w:cs="仿宋"/>
                <w:sz w:val="24"/>
                <w:szCs w:val="24"/>
                <w:u w:val="none"/>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 xml:space="preserve">其他未列明 </w:t>
            </w:r>
            <w:r>
              <w:rPr>
                <w:rFonts w:hint="eastAsia" w:ascii="仿宋" w:hAnsi="仿宋" w:eastAsia="仿宋" w:cs="仿宋"/>
                <w:kern w:val="0"/>
                <w:sz w:val="24"/>
                <w:u w:val="none"/>
                <w:lang w:val="en-US" w:eastAsia="zh-CN"/>
              </w:rPr>
              <w:t>行业。</w:t>
            </w:r>
          </w:p>
          <w:p w14:paraId="1AD00F5C">
            <w:pPr>
              <w:keepNext w:val="0"/>
              <w:keepLines w:val="0"/>
              <w:pageBreakBefore w:val="0"/>
              <w:widowControl w:val="0"/>
              <w:kinsoku/>
              <w:wordWrap/>
              <w:overflowPunct/>
              <w:topLinePunct w:val="0"/>
              <w:autoSpaceDE/>
              <w:autoSpaceDN/>
              <w:bidi w:val="0"/>
              <w:adjustRightInd w:val="0"/>
              <w:snapToGrid w:val="0"/>
              <w:spacing w:line="300" w:lineRule="exact"/>
              <w:ind w:left="0" w:leftChars="0"/>
              <w:textAlignment w:val="auto"/>
              <w:rPr>
                <w:rFonts w:hint="eastAsia" w:ascii="仿宋" w:hAnsi="仿宋" w:eastAsia="仿宋" w:cs="仿宋"/>
                <w:kern w:val="2"/>
                <w:sz w:val="21"/>
                <w:szCs w:val="24"/>
                <w:lang w:val="en-US" w:eastAsia="zh-CN" w:bidi="ar-SA"/>
              </w:rPr>
            </w:pP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 xml:space="preserve">其他未列明  </w:t>
            </w:r>
            <w:r>
              <w:rPr>
                <w:rFonts w:hint="eastAsia" w:ascii="仿宋" w:hAnsi="仿宋" w:eastAsia="仿宋" w:cs="仿宋"/>
                <w:kern w:val="0"/>
                <w:sz w:val="24"/>
                <w:u w:val="none"/>
                <w:lang w:val="en-US" w:eastAsia="zh-CN"/>
              </w:rPr>
              <w:t>行业。</w:t>
            </w:r>
          </w:p>
        </w:tc>
      </w:tr>
      <w:tr w14:paraId="29032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0" w:type="auto"/>
            <w:tcBorders>
              <w:top w:val="single" w:color="auto" w:sz="4" w:space="0"/>
              <w:bottom w:val="single" w:color="auto" w:sz="4" w:space="0"/>
              <w:right w:val="single" w:color="auto" w:sz="4" w:space="0"/>
            </w:tcBorders>
            <w:shd w:val="clear" w:color="auto" w:fill="auto"/>
            <w:vAlign w:val="center"/>
          </w:tcPr>
          <w:p w14:paraId="5468B6EF">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rPr>
              <w:t>14</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45809D2">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rPr>
              <w:t>中小企业信用融资</w:t>
            </w:r>
          </w:p>
        </w:tc>
        <w:tc>
          <w:tcPr>
            <w:tcW w:w="7590" w:type="dxa"/>
            <w:tcBorders>
              <w:top w:val="single" w:color="auto" w:sz="4" w:space="0"/>
              <w:left w:val="single" w:color="auto" w:sz="4" w:space="0"/>
              <w:bottom w:val="single" w:color="auto" w:sz="4" w:space="0"/>
            </w:tcBorders>
            <w:shd w:val="clear" w:color="auto" w:fill="auto"/>
            <w:vAlign w:val="center"/>
          </w:tcPr>
          <w:p w14:paraId="2BFBA741">
            <w:pPr>
              <w:keepNext w:val="0"/>
              <w:keepLines w:val="0"/>
              <w:pageBreakBefore w:val="0"/>
              <w:widowControl w:val="0"/>
              <w:kinsoku/>
              <w:wordWrap/>
              <w:overflowPunct/>
              <w:topLinePunct w:val="0"/>
              <w:autoSpaceDE/>
              <w:autoSpaceDN/>
              <w:bidi w:val="0"/>
              <w:adjustRightInd w:val="0"/>
              <w:spacing w:line="300" w:lineRule="exact"/>
              <w:ind w:left="0" w:leftChars="0"/>
              <w:textAlignment w:val="auto"/>
              <w:rPr>
                <w:rFonts w:hint="eastAsia" w:ascii="仿宋" w:hAnsi="仿宋" w:eastAsia="仿宋" w:cs="仿宋"/>
                <w:kern w:val="2"/>
                <w:sz w:val="24"/>
                <w:szCs w:val="24"/>
                <w:lang w:val="en-US" w:eastAsia="zh-CN" w:bidi="ar-SA"/>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695E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0" w:type="auto"/>
            <w:tcBorders>
              <w:top w:val="single" w:color="auto" w:sz="4" w:space="0"/>
              <w:bottom w:val="single" w:color="auto" w:sz="4" w:space="0"/>
              <w:right w:val="single" w:color="auto" w:sz="4" w:space="0"/>
            </w:tcBorders>
            <w:shd w:val="clear" w:color="auto" w:fill="auto"/>
            <w:vAlign w:val="center"/>
          </w:tcPr>
          <w:p w14:paraId="2796F511">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rPr>
              <w:t>15</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02664A0">
            <w:pPr>
              <w:keepNext w:val="0"/>
              <w:keepLines w:val="0"/>
              <w:pageBreakBefore w:val="0"/>
              <w:widowControl w:val="0"/>
              <w:kinsoku/>
              <w:wordWrap/>
              <w:overflowPunct/>
              <w:topLinePunct w:val="0"/>
              <w:autoSpaceDE/>
              <w:autoSpaceDN/>
              <w:bidi w:val="0"/>
              <w:adjustRightInd w:val="0"/>
              <w:snapToGrid w:val="0"/>
              <w:spacing w:line="300" w:lineRule="exact"/>
              <w:ind w:left="0" w:leftChars="0"/>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rPr>
              <w:t xml:space="preserve">备份投标文件送达地点 </w:t>
            </w:r>
          </w:p>
        </w:tc>
        <w:tc>
          <w:tcPr>
            <w:tcW w:w="7590" w:type="dxa"/>
            <w:tcBorders>
              <w:top w:val="single" w:color="auto" w:sz="4" w:space="0"/>
              <w:left w:val="single" w:color="auto" w:sz="4" w:space="0"/>
              <w:bottom w:val="single" w:color="auto" w:sz="4" w:space="0"/>
            </w:tcBorders>
            <w:shd w:val="clear" w:color="auto" w:fill="auto"/>
            <w:vAlign w:val="center"/>
          </w:tcPr>
          <w:p w14:paraId="2D0BFEDB">
            <w:pPr>
              <w:pStyle w:val="10"/>
              <w:keepNext w:val="0"/>
              <w:keepLines w:val="0"/>
              <w:pageBreakBefore w:val="0"/>
              <w:widowControl w:val="0"/>
              <w:kinsoku/>
              <w:wordWrap/>
              <w:overflowPunct/>
              <w:topLinePunct w:val="0"/>
              <w:autoSpaceDE/>
              <w:autoSpaceDN/>
              <w:bidi w:val="0"/>
              <w:adjustRightInd w:val="0"/>
              <w:spacing w:line="300" w:lineRule="exact"/>
              <w:ind w:left="0" w:leftChars="0"/>
              <w:textAlignment w:val="auto"/>
              <w:rPr>
                <w:rFonts w:hint="eastAsia" w:ascii="仿宋" w:hAnsi="仿宋" w:eastAsia="仿宋" w:cs="仿宋"/>
                <w:kern w:val="28"/>
                <w:sz w:val="24"/>
                <w:szCs w:val="21"/>
                <w:lang w:val="en-US" w:eastAsia="zh-CN" w:bidi="ar-SA"/>
              </w:rPr>
            </w:pPr>
            <w:r>
              <w:rPr>
                <w:rFonts w:hint="eastAsia" w:ascii="仿宋" w:hAnsi="仿宋" w:eastAsia="仿宋" w:cs="仿宋"/>
                <w:b w:val="0"/>
                <w:bCs/>
                <w:sz w:val="24"/>
                <w:szCs w:val="24"/>
                <w:lang w:val="en-US" w:eastAsia="zh-CN"/>
              </w:rPr>
              <w:t>诸暨中地项目管理有限公司</w:t>
            </w:r>
            <w:r>
              <w:rPr>
                <w:rFonts w:hint="eastAsia" w:ascii="仿宋" w:hAnsi="仿宋" w:eastAsia="仿宋" w:cs="仿宋"/>
                <w:b w:val="0"/>
                <w:bCs/>
                <w:sz w:val="24"/>
                <w:szCs w:val="24"/>
              </w:rPr>
              <w:t>邮箱（</w:t>
            </w:r>
            <w:r>
              <w:rPr>
                <w:rFonts w:hint="eastAsia" w:ascii="仿宋" w:hAnsi="仿宋" w:eastAsia="仿宋" w:cs="仿宋"/>
                <w:b w:val="0"/>
                <w:bCs/>
                <w:sz w:val="24"/>
                <w:szCs w:val="24"/>
                <w:lang w:val="en-US" w:eastAsia="zh-CN"/>
              </w:rPr>
              <w:t>1049383452</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Style w:val="20"/>
                <w:rFonts w:hint="eastAsia" w:ascii="仿宋" w:hAnsi="仿宋" w:eastAsia="仿宋" w:cs="仿宋"/>
                <w:b w:val="0"/>
                <w:bCs/>
                <w:snapToGrid/>
                <w:kern w:val="2"/>
                <w:sz w:val="24"/>
                <w:szCs w:val="24"/>
                <w:lang w:val="en-US" w:eastAsia="zh-CN"/>
              </w:rPr>
              <w:t>@qq.com</w:t>
            </w:r>
            <w:r>
              <w:rPr>
                <w:rStyle w:val="20"/>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19D05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38" w:hRule="atLeast"/>
          <w:tblHeader/>
          <w:jc w:val="center"/>
        </w:trPr>
        <w:tc>
          <w:tcPr>
            <w:tcW w:w="0" w:type="auto"/>
            <w:tcBorders>
              <w:top w:val="single" w:color="auto" w:sz="4" w:space="0"/>
              <w:right w:val="single" w:color="auto" w:sz="4" w:space="0"/>
            </w:tcBorders>
            <w:shd w:val="clear" w:color="auto" w:fill="auto"/>
            <w:vAlign w:val="center"/>
          </w:tcPr>
          <w:p w14:paraId="2A4D8360">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lang w:val="en-US" w:eastAsia="zh-CN"/>
              </w:rPr>
              <w:t>16</w:t>
            </w:r>
          </w:p>
        </w:tc>
        <w:tc>
          <w:tcPr>
            <w:tcW w:w="1484" w:type="dxa"/>
            <w:tcBorders>
              <w:top w:val="single" w:color="auto" w:sz="4" w:space="0"/>
              <w:left w:val="single" w:color="auto" w:sz="4" w:space="0"/>
              <w:right w:val="single" w:color="auto" w:sz="4" w:space="0"/>
            </w:tcBorders>
            <w:shd w:val="clear" w:color="auto" w:fill="auto"/>
            <w:vAlign w:val="center"/>
          </w:tcPr>
          <w:p w14:paraId="3C2A31A0">
            <w:pPr>
              <w:pStyle w:val="10"/>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590" w:type="dxa"/>
            <w:tcBorders>
              <w:top w:val="single" w:color="auto" w:sz="4" w:space="0"/>
              <w:left w:val="single" w:color="auto" w:sz="4" w:space="0"/>
            </w:tcBorders>
            <w:shd w:val="clear" w:color="auto" w:fill="auto"/>
            <w:vAlign w:val="center"/>
          </w:tcPr>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0"/>
            </w:tblGrid>
            <w:tr w14:paraId="3EBB9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7" w:hRule="atLeast"/>
                <w:jc w:val="center"/>
              </w:trPr>
              <w:tc>
                <w:tcPr>
                  <w:tcW w:w="7740" w:type="dxa"/>
                  <w:tcBorders>
                    <w:top w:val="single" w:color="auto" w:sz="4" w:space="0"/>
                    <w:left w:val="single" w:color="auto" w:sz="4" w:space="0"/>
                    <w:bottom w:val="single" w:color="auto" w:sz="4" w:space="0"/>
                    <w:right w:val="single" w:color="auto" w:sz="4" w:space="0"/>
                  </w:tcBorders>
                  <w:noWrap w:val="0"/>
                  <w:vAlign w:val="center"/>
                </w:tcPr>
                <w:p w14:paraId="54BCDEB8">
                  <w:pPr>
                    <w:snapToGrid w:val="0"/>
                    <w:spacing w:line="24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特别提醒：</w:t>
                  </w:r>
                </w:p>
                <w:p w14:paraId="5874B02C">
                  <w:pPr>
                    <w:spacing w:line="240" w:lineRule="auto"/>
                    <w:rPr>
                      <w:rFonts w:hint="eastAsia" w:ascii="仿宋" w:hAnsi="仿宋" w:eastAsia="仿宋" w:cs="仿宋"/>
                      <w:b/>
                      <w:color w:val="auto"/>
                      <w:sz w:val="24"/>
                      <w:szCs w:val="24"/>
                      <w:lang w:val="en-US" w:eastAsia="zh-CN" w:bidi="ar-SA"/>
                    </w:rPr>
                  </w:pPr>
                  <w:r>
                    <w:rPr>
                      <w:rFonts w:hint="eastAsia" w:ascii="仿宋" w:hAnsi="仿宋" w:eastAsia="仿宋" w:cs="仿宋"/>
                      <w:b/>
                      <w:color w:val="auto"/>
                      <w:sz w:val="24"/>
                      <w:szCs w:val="24"/>
                      <w:lang w:val="en-US" w:eastAsia="zh-CN"/>
                    </w:rPr>
                    <w:t>招标代理服务费由中标人支付，具体收费标准按国家发改委【2011】534号文件和国家计委【2002】1980号文件执行，收费基数为合同总金额。招标代理服务费=（100万*1.5%）+（超出100万部分*0.8%），</w:t>
                  </w:r>
                  <w:r>
                    <w:rPr>
                      <w:rFonts w:hint="eastAsia" w:ascii="仿宋" w:hAnsi="仿宋" w:eastAsia="仿宋" w:cs="仿宋"/>
                      <w:b/>
                      <w:color w:val="auto"/>
                      <w:sz w:val="24"/>
                      <w:szCs w:val="24"/>
                    </w:rPr>
                    <w:t>不足</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000按</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000计算。</w:t>
                  </w:r>
                </w:p>
                <w:tbl>
                  <w:tblPr>
                    <w:tblStyle w:val="16"/>
                    <w:tblW w:w="4713" w:type="pct"/>
                    <w:tblCellSpacing w:w="0" w:type="dxa"/>
                    <w:tblInd w:w="12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234"/>
                    <w:gridCol w:w="1176"/>
                    <w:gridCol w:w="1341"/>
                    <w:gridCol w:w="1313"/>
                  </w:tblGrid>
                  <w:tr w14:paraId="2BFB11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3241" w:type="dxa"/>
                        <w:noWrap w:val="0"/>
                        <w:vAlign w:val="center"/>
                      </w:tcPr>
                      <w:p w14:paraId="6DF05D64">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中标金额（万元）</w:t>
                        </w:r>
                      </w:p>
                    </w:tc>
                    <w:tc>
                      <w:tcPr>
                        <w:tcW w:w="1178" w:type="dxa"/>
                        <w:noWrap w:val="0"/>
                        <w:vAlign w:val="center"/>
                      </w:tcPr>
                      <w:p w14:paraId="629900B9">
                        <w:pPr>
                          <w:pStyle w:val="13"/>
                          <w:keepNext w:val="0"/>
                          <w:keepLines w:val="0"/>
                          <w:widowControl/>
                          <w:suppressLineNumbers w:val="0"/>
                          <w:jc w:val="center"/>
                          <w:rPr>
                            <w:rFonts w:hint="eastAsia" w:ascii="仿宋" w:hAnsi="仿宋" w:eastAsia="仿宋" w:cs="仿宋"/>
                          </w:rPr>
                        </w:pPr>
                        <w:r>
                          <w:rPr>
                            <w:rFonts w:hint="eastAsia" w:ascii="仿宋" w:hAnsi="仿宋" w:eastAsia="仿宋" w:cs="仿宋"/>
                          </w:rPr>
                          <w:t>货物招标</w:t>
                        </w:r>
                      </w:p>
                    </w:tc>
                    <w:tc>
                      <w:tcPr>
                        <w:tcW w:w="1344" w:type="dxa"/>
                        <w:noWrap w:val="0"/>
                        <w:vAlign w:val="center"/>
                      </w:tcPr>
                      <w:p w14:paraId="22DAE94B">
                        <w:pPr>
                          <w:keepNext w:val="0"/>
                          <w:keepLines w:val="0"/>
                          <w:widowControl/>
                          <w:suppressLineNumbers w:val="0"/>
                          <w:ind w:left="0" w:firstLine="0"/>
                          <w:jc w:val="center"/>
                          <w:rPr>
                            <w:rFonts w:hint="eastAsia" w:ascii="仿宋" w:hAnsi="仿宋" w:eastAsia="仿宋" w:cs="仿宋"/>
                            <w:sz w:val="24"/>
                            <w:szCs w:val="24"/>
                          </w:rPr>
                        </w:pPr>
                        <w:r>
                          <w:rPr>
                            <w:rFonts w:hint="eastAsia" w:ascii="仿宋" w:hAnsi="仿宋" w:eastAsia="仿宋" w:cs="仿宋"/>
                            <w:sz w:val="24"/>
                            <w:szCs w:val="24"/>
                            <w:lang w:val="en-US" w:eastAsia="zh-CN"/>
                          </w:rPr>
                          <w:t>服务招标</w:t>
                        </w:r>
                      </w:p>
                    </w:tc>
                    <w:tc>
                      <w:tcPr>
                        <w:tcW w:w="1316" w:type="dxa"/>
                        <w:noWrap w:val="0"/>
                        <w:vAlign w:val="center"/>
                      </w:tcPr>
                      <w:p w14:paraId="450817D3">
                        <w:pPr>
                          <w:keepNext w:val="0"/>
                          <w:keepLines w:val="0"/>
                          <w:widowControl/>
                          <w:suppressLineNumbers w:val="0"/>
                          <w:ind w:left="0" w:firstLine="0"/>
                          <w:jc w:val="center"/>
                          <w:rPr>
                            <w:rFonts w:hint="eastAsia" w:ascii="仿宋" w:hAnsi="仿宋" w:eastAsia="仿宋" w:cs="仿宋"/>
                            <w:sz w:val="24"/>
                            <w:szCs w:val="24"/>
                          </w:rPr>
                        </w:pPr>
                        <w:r>
                          <w:rPr>
                            <w:rFonts w:hint="eastAsia" w:ascii="仿宋" w:hAnsi="仿宋" w:eastAsia="仿宋" w:cs="仿宋"/>
                            <w:sz w:val="24"/>
                            <w:szCs w:val="24"/>
                            <w:lang w:val="en-US" w:eastAsia="zh-CN"/>
                          </w:rPr>
                          <w:t>工程招标</w:t>
                        </w:r>
                      </w:p>
                    </w:tc>
                  </w:tr>
                  <w:tr w14:paraId="3B7D74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3AD37A3A">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100以下</w:t>
                        </w:r>
                      </w:p>
                    </w:tc>
                    <w:tc>
                      <w:tcPr>
                        <w:tcW w:w="1178" w:type="dxa"/>
                        <w:noWrap w:val="0"/>
                        <w:vAlign w:val="center"/>
                      </w:tcPr>
                      <w:p w14:paraId="40ADB2D7">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1.5％</w:t>
                        </w:r>
                      </w:p>
                    </w:tc>
                    <w:tc>
                      <w:tcPr>
                        <w:tcW w:w="1344" w:type="dxa"/>
                        <w:noWrap w:val="0"/>
                        <w:vAlign w:val="center"/>
                      </w:tcPr>
                      <w:p w14:paraId="02B3AC4E">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1.5％</w:t>
                        </w:r>
                      </w:p>
                    </w:tc>
                    <w:tc>
                      <w:tcPr>
                        <w:tcW w:w="1316" w:type="dxa"/>
                        <w:noWrap w:val="0"/>
                        <w:vAlign w:val="center"/>
                      </w:tcPr>
                      <w:p w14:paraId="618F6170">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1.0％</w:t>
                        </w:r>
                      </w:p>
                    </w:tc>
                  </w:tr>
                  <w:tr w14:paraId="0136C0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63B4957F">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100—500</w:t>
                        </w:r>
                      </w:p>
                    </w:tc>
                    <w:tc>
                      <w:tcPr>
                        <w:tcW w:w="1178" w:type="dxa"/>
                        <w:noWrap w:val="0"/>
                        <w:vAlign w:val="center"/>
                      </w:tcPr>
                      <w:p w14:paraId="5BC22040">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1.1％</w:t>
                        </w:r>
                      </w:p>
                    </w:tc>
                    <w:tc>
                      <w:tcPr>
                        <w:tcW w:w="1344" w:type="dxa"/>
                        <w:noWrap w:val="0"/>
                        <w:vAlign w:val="center"/>
                      </w:tcPr>
                      <w:p w14:paraId="1CDE9E5C">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0.8％</w:t>
                        </w:r>
                      </w:p>
                    </w:tc>
                    <w:tc>
                      <w:tcPr>
                        <w:tcW w:w="1316" w:type="dxa"/>
                        <w:noWrap w:val="0"/>
                        <w:vAlign w:val="center"/>
                      </w:tcPr>
                      <w:p w14:paraId="5904FEB7">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0.7％</w:t>
                        </w:r>
                      </w:p>
                    </w:tc>
                  </w:tr>
                  <w:tr w14:paraId="678B54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269F5453">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500—1000</w:t>
                        </w:r>
                      </w:p>
                    </w:tc>
                    <w:tc>
                      <w:tcPr>
                        <w:tcW w:w="1178" w:type="dxa"/>
                        <w:noWrap w:val="0"/>
                        <w:vAlign w:val="center"/>
                      </w:tcPr>
                      <w:p w14:paraId="18B3A0D0">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0.8％</w:t>
                        </w:r>
                      </w:p>
                    </w:tc>
                    <w:tc>
                      <w:tcPr>
                        <w:tcW w:w="1344" w:type="dxa"/>
                        <w:noWrap w:val="0"/>
                        <w:vAlign w:val="center"/>
                      </w:tcPr>
                      <w:p w14:paraId="26DCE1C1">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0.45％</w:t>
                        </w:r>
                      </w:p>
                    </w:tc>
                    <w:tc>
                      <w:tcPr>
                        <w:tcW w:w="1316" w:type="dxa"/>
                        <w:noWrap w:val="0"/>
                        <w:vAlign w:val="center"/>
                      </w:tcPr>
                      <w:p w14:paraId="2BA638C9">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0.55％</w:t>
                        </w:r>
                      </w:p>
                    </w:tc>
                  </w:tr>
                  <w:tr w14:paraId="7A9D0D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79267E06">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1000—5000</w:t>
                        </w:r>
                      </w:p>
                    </w:tc>
                    <w:tc>
                      <w:tcPr>
                        <w:tcW w:w="1178" w:type="dxa"/>
                        <w:noWrap w:val="0"/>
                        <w:vAlign w:val="center"/>
                      </w:tcPr>
                      <w:p w14:paraId="67FA8EC0">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0.5％</w:t>
                        </w:r>
                      </w:p>
                    </w:tc>
                    <w:tc>
                      <w:tcPr>
                        <w:tcW w:w="1344" w:type="dxa"/>
                        <w:noWrap w:val="0"/>
                        <w:vAlign w:val="center"/>
                      </w:tcPr>
                      <w:p w14:paraId="3BA97D0F">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0.25％</w:t>
                        </w:r>
                      </w:p>
                    </w:tc>
                    <w:tc>
                      <w:tcPr>
                        <w:tcW w:w="1316" w:type="dxa"/>
                        <w:noWrap w:val="0"/>
                        <w:vAlign w:val="center"/>
                      </w:tcPr>
                      <w:p w14:paraId="21D958F7">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0.35％</w:t>
                        </w:r>
                      </w:p>
                    </w:tc>
                  </w:tr>
                  <w:tr w14:paraId="58B5F9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034C09AC">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5000—10000</w:t>
                        </w:r>
                      </w:p>
                    </w:tc>
                    <w:tc>
                      <w:tcPr>
                        <w:tcW w:w="1178" w:type="dxa"/>
                        <w:noWrap w:val="0"/>
                        <w:vAlign w:val="center"/>
                      </w:tcPr>
                      <w:p w14:paraId="1200B8AB">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0.25％</w:t>
                        </w:r>
                      </w:p>
                    </w:tc>
                    <w:tc>
                      <w:tcPr>
                        <w:tcW w:w="1344" w:type="dxa"/>
                        <w:noWrap w:val="0"/>
                        <w:vAlign w:val="center"/>
                      </w:tcPr>
                      <w:p w14:paraId="2BE1A36F">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0.1％</w:t>
                        </w:r>
                      </w:p>
                    </w:tc>
                    <w:tc>
                      <w:tcPr>
                        <w:tcW w:w="1316" w:type="dxa"/>
                        <w:noWrap w:val="0"/>
                        <w:vAlign w:val="center"/>
                      </w:tcPr>
                      <w:p w14:paraId="5B9D14A0">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0.2％</w:t>
                        </w:r>
                      </w:p>
                    </w:tc>
                  </w:tr>
                  <w:tr w14:paraId="3EE7A7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631AB874">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10000——100000</w:t>
                        </w:r>
                      </w:p>
                    </w:tc>
                    <w:tc>
                      <w:tcPr>
                        <w:tcW w:w="1178" w:type="dxa"/>
                        <w:noWrap w:val="0"/>
                        <w:vAlign w:val="center"/>
                      </w:tcPr>
                      <w:p w14:paraId="2DB50AB7">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0.05％</w:t>
                        </w:r>
                      </w:p>
                    </w:tc>
                    <w:tc>
                      <w:tcPr>
                        <w:tcW w:w="1344" w:type="dxa"/>
                        <w:noWrap w:val="0"/>
                        <w:vAlign w:val="center"/>
                      </w:tcPr>
                      <w:p w14:paraId="5BCD8B16">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0.05％</w:t>
                        </w:r>
                      </w:p>
                    </w:tc>
                    <w:tc>
                      <w:tcPr>
                        <w:tcW w:w="1316" w:type="dxa"/>
                        <w:noWrap w:val="0"/>
                        <w:vAlign w:val="center"/>
                      </w:tcPr>
                      <w:p w14:paraId="01ED1753">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0.05％</w:t>
                        </w:r>
                      </w:p>
                    </w:tc>
                  </w:tr>
                  <w:tr w14:paraId="462F8A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49992C12">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1000000以上</w:t>
                        </w:r>
                      </w:p>
                    </w:tc>
                    <w:tc>
                      <w:tcPr>
                        <w:tcW w:w="1178" w:type="dxa"/>
                        <w:noWrap w:val="0"/>
                        <w:vAlign w:val="center"/>
                      </w:tcPr>
                      <w:p w14:paraId="1CB2F108">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0.01％</w:t>
                        </w:r>
                      </w:p>
                    </w:tc>
                    <w:tc>
                      <w:tcPr>
                        <w:tcW w:w="1344" w:type="dxa"/>
                        <w:noWrap w:val="0"/>
                        <w:vAlign w:val="center"/>
                      </w:tcPr>
                      <w:p w14:paraId="0E677E42">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0.01％</w:t>
                        </w:r>
                      </w:p>
                    </w:tc>
                    <w:tc>
                      <w:tcPr>
                        <w:tcW w:w="1316" w:type="dxa"/>
                        <w:noWrap w:val="0"/>
                        <w:vAlign w:val="center"/>
                      </w:tcPr>
                      <w:p w14:paraId="4AD327AF">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0.01％</w:t>
                        </w:r>
                      </w:p>
                    </w:tc>
                  </w:tr>
                </w:tbl>
                <w:p w14:paraId="70CA74C6">
                  <w:pPr>
                    <w:spacing w:line="24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、以上费用由</w:t>
                  </w:r>
                  <w:r>
                    <w:rPr>
                      <w:rFonts w:hint="eastAsia" w:ascii="仿宋" w:hAnsi="仿宋" w:eastAsia="仿宋" w:cs="仿宋"/>
                      <w:b/>
                      <w:color w:val="auto"/>
                      <w:sz w:val="24"/>
                      <w:szCs w:val="24"/>
                      <w:lang w:val="en-US" w:eastAsia="zh-CN"/>
                    </w:rPr>
                    <w:t>谈判响应人</w:t>
                  </w:r>
                  <w:r>
                    <w:rPr>
                      <w:rFonts w:hint="eastAsia" w:ascii="仿宋" w:hAnsi="仿宋" w:eastAsia="仿宋" w:cs="仿宋"/>
                      <w:b/>
                      <w:color w:val="auto"/>
                      <w:sz w:val="24"/>
                      <w:szCs w:val="24"/>
                    </w:rPr>
                    <w:t>在报价中一并考虑，在领取中标通知书前付清。</w:t>
                  </w:r>
                </w:p>
              </w:tc>
            </w:tr>
          </w:tbl>
          <w:p w14:paraId="1415538B">
            <w:pPr>
              <w:keepNext w:val="0"/>
              <w:keepLines w:val="0"/>
              <w:pageBreakBefore w:val="0"/>
              <w:widowControl w:val="0"/>
              <w:kinsoku/>
              <w:wordWrap/>
              <w:overflowPunct/>
              <w:topLinePunct w:val="0"/>
              <w:autoSpaceDE/>
              <w:autoSpaceDN/>
              <w:bidi w:val="0"/>
              <w:adjustRightInd w:val="0"/>
              <w:spacing w:line="360" w:lineRule="exact"/>
              <w:ind w:left="0" w:leftChars="0"/>
              <w:textAlignment w:val="auto"/>
              <w:rPr>
                <w:rFonts w:hint="default" w:ascii="仿宋" w:hAnsi="仿宋" w:eastAsia="仿宋" w:cs="仿宋"/>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3、收款账户信息：诸暨中地项目管理有限公司，开户行：中国工商银行绍兴市分行，账号：1211057209000079281</w:t>
            </w:r>
          </w:p>
        </w:tc>
      </w:tr>
    </w:tbl>
    <w:p w14:paraId="721E9306">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4D7C9EE4">
      <w:pPr>
        <w:pStyle w:val="6"/>
      </w:pPr>
    </w:p>
    <w:p w14:paraId="0C318DB5">
      <w:pPr>
        <w:pStyle w:val="7"/>
      </w:pPr>
    </w:p>
    <w:p w14:paraId="12BA28C2"/>
    <w:p w14:paraId="58BDCF7E"/>
    <w:p w14:paraId="3B7CB9A9"/>
    <w:p w14:paraId="0B2D86DC"/>
    <w:p w14:paraId="147C4D87"/>
    <w:p w14:paraId="021EE9E5"/>
    <w:p w14:paraId="177D69B8"/>
    <w:p w14:paraId="2FE984EC"/>
    <w:p w14:paraId="4A55B428"/>
    <w:p w14:paraId="4865FBE0"/>
    <w:p w14:paraId="2F184D43"/>
    <w:p w14:paraId="61FACF8B"/>
    <w:p w14:paraId="07671A19"/>
    <w:p w14:paraId="0825AA6E"/>
    <w:p w14:paraId="7FF93085"/>
    <w:p w14:paraId="7654A01B"/>
    <w:p w14:paraId="6C7CEA11"/>
    <w:p w14:paraId="4A9CD765"/>
    <w:p w14:paraId="7AD82751"/>
    <w:p w14:paraId="71096D5B"/>
    <w:p w14:paraId="0BD1F522"/>
    <w:p w14:paraId="3545D02A"/>
    <w:p w14:paraId="6EFBB32F"/>
    <w:p w14:paraId="42B38F47"/>
    <w:p w14:paraId="6C01DA4F"/>
    <w:p w14:paraId="72175A7D"/>
    <w:p w14:paraId="4D31DCDD"/>
    <w:p w14:paraId="5C4570CB"/>
    <w:p w14:paraId="5B4C261E"/>
    <w:p w14:paraId="32347F85"/>
    <w:p w14:paraId="7859DB7A"/>
    <w:p w14:paraId="50835309"/>
    <w:p w14:paraId="17ACC8FE"/>
    <w:p w14:paraId="0DE7436D"/>
    <w:p w14:paraId="4A7D8B1D"/>
    <w:p w14:paraId="76B7630A"/>
    <w:p w14:paraId="03E199DD">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2B5433A3">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0F76FBCC">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364C9F4">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60293AF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6E8CDEB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7A77C8E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79B616C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41FB00D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6EDB37D4">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4DD5F16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w:t>
      </w:r>
      <w:r>
        <w:rPr>
          <w:rFonts w:hint="eastAsia" w:ascii="仿宋" w:hAnsi="仿宋" w:eastAsia="仿宋"/>
          <w:color w:val="auto"/>
          <w:sz w:val="24"/>
        </w:rPr>
        <w:t>★</w:t>
      </w:r>
      <w:r>
        <w:rPr>
          <w:rFonts w:hint="eastAsia" w:ascii="仿宋" w:hAnsi="仿宋" w:eastAsia="仿宋" w:cs="仿宋"/>
          <w:sz w:val="24"/>
        </w:rPr>
        <w:t>”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2E5464DB">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1B1A1DE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AEDB71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03CCA64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4E2688D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13CEAF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8E6A4B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3131A27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FC225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5FDF18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01176E9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36587DD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3AC6147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15944B2C">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3D3E59EE">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6D3C9EC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6F8275D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77C1DD1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12DE44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495D3A8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7224B74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32802CA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0055BA1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39D81D6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460496A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9A9BBB4">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35CBAEF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01212D5A">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484C3F">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7B82EF8E">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AEC9792">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4D53DF15">
      <w:pPr>
        <w:pStyle w:val="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6AC32556">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4E006DE1">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2D8CC53F">
      <w:pPr>
        <w:pStyle w:val="10"/>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2C59C82E">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549FFF9A">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1F695004">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6F828E39">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424AAE66">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0AD6B062">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64ADDD4E">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4F9D99DE">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418DC946">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73454EA">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078AC83D">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3AB76BCA">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054FF61F">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55CF3C9E">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5DFA3A67">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23233775">
      <w:pPr>
        <w:pStyle w:val="10"/>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BD16F3">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2672BD6A">
      <w:pPr>
        <w:pStyle w:val="10"/>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2A3F2689">
      <w:pPr>
        <w:pStyle w:val="10"/>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560B8B8B">
      <w:pPr>
        <w:pStyle w:val="10"/>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3E21F3CA">
      <w:pPr>
        <w:pStyle w:val="10"/>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66769FF9">
      <w:pPr>
        <w:pStyle w:val="10"/>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2BE83FB3">
      <w:pPr>
        <w:pStyle w:val="10"/>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7698F60D">
      <w:pPr>
        <w:pStyle w:val="10"/>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2DE9D5B5">
      <w:pPr>
        <w:pStyle w:val="10"/>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04723B86">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69AF5E6C">
      <w:pPr>
        <w:pStyle w:val="10"/>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1FE3FDAB">
      <w:pPr>
        <w:pStyle w:val="2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26E33987">
      <w:pPr>
        <w:pStyle w:val="2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2AF94AD3">
      <w:pPr>
        <w:pStyle w:val="2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B9C7E4D">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6EB6B84B">
      <w:pPr>
        <w:pStyle w:val="10"/>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2153415A">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B165D59">
      <w:pPr>
        <w:pStyle w:val="10"/>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6FDAD360">
      <w:pPr>
        <w:pStyle w:val="10"/>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0CD11797">
      <w:pPr>
        <w:pStyle w:val="10"/>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26DCC12C">
      <w:pPr>
        <w:pStyle w:val="4"/>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026E7528">
      <w:pPr>
        <w:pStyle w:val="10"/>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03F7F44E">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0A3A8980">
      <w:pPr>
        <w:pStyle w:val="10"/>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71E21049">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3E7DC0B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5DA1232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23BC66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24694E63">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21FA56C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5552636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DA7E80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6663B92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7722536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3C57F1E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1A2693E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0F61F80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DA80E1E">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3399A6D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5A2397C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2A76FF09">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6020CE64">
      <w:pPr>
        <w:pStyle w:val="26"/>
        <w:keepNext w:val="0"/>
        <w:keepLines w:val="0"/>
        <w:pageBreakBefore w:val="0"/>
        <w:kinsoku/>
        <w:wordWrap/>
        <w:overflowPunct/>
        <w:topLinePunct w:val="0"/>
        <w:bidi w:val="0"/>
        <w:adjustRightInd w:val="0"/>
        <w:snapToGrid w:val="0"/>
        <w:spacing w:before="0" w:line="420" w:lineRule="exact"/>
        <w:ind w:left="0" w:leftChars="0" w:firstLine="482" w:firstLineChars="20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1C498930">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F67F4F7">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F6CBE09">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B5AC91E">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7343B74E">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6F39337A">
      <w:pPr>
        <w:pStyle w:val="2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w:t>
      </w:r>
      <w:r>
        <w:rPr>
          <w:rFonts w:hint="eastAsia" w:ascii="仿宋" w:hAnsi="仿宋" w:eastAsia="仿宋" w:cs="仿宋"/>
          <w:b/>
          <w:bCs/>
          <w:kern w:val="0"/>
          <w:sz w:val="24"/>
          <w:szCs w:val="24"/>
          <w:lang w:val="en-US" w:eastAsia="zh-CN"/>
        </w:rPr>
        <w:t>投标文件中含有商务报价内容的，都将被视作无效标处理。</w:t>
      </w:r>
      <w:r>
        <w:rPr>
          <w:rFonts w:hint="eastAsia" w:ascii="仿宋" w:hAnsi="仿宋" w:eastAsia="仿宋" w:cs="仿宋"/>
          <w:b/>
        </w:rPr>
        <w:t>其投标无效</w:t>
      </w:r>
      <w:r>
        <w:rPr>
          <w:rFonts w:hint="eastAsia" w:ascii="仿宋" w:hAnsi="仿宋" w:eastAsia="仿宋" w:cs="仿宋"/>
          <w:szCs w:val="24"/>
        </w:rPr>
        <w:t>。</w:t>
      </w:r>
    </w:p>
    <w:p w14:paraId="2055930E">
      <w:pPr>
        <w:pStyle w:val="2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F73B94C">
      <w:pPr>
        <w:pStyle w:val="2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E778CFC">
      <w:pPr>
        <w:pStyle w:val="2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0D02F616">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BA8ABB">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1C4EC83">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3C530827">
      <w:pPr>
        <w:pStyle w:val="10"/>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733BDA5A">
      <w:pPr>
        <w:pStyle w:val="10"/>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highlight w:val="none"/>
          <w:lang w:val="en-US" w:eastAsia="zh-CN"/>
        </w:rPr>
        <w:t>诸暨中地项目管理有限公司</w:t>
      </w:r>
      <w:r>
        <w:rPr>
          <w:rFonts w:hint="eastAsia" w:ascii="仿宋" w:hAnsi="仿宋" w:eastAsia="仿宋" w:cs="仿宋"/>
          <w:bCs/>
          <w:sz w:val="24"/>
          <w:szCs w:val="24"/>
          <w:highlight w:val="none"/>
        </w:rPr>
        <w:t>邮箱（</w:t>
      </w:r>
      <w:r>
        <w:rPr>
          <w:rFonts w:hint="eastAsia" w:ascii="仿宋" w:hAnsi="仿宋" w:eastAsia="仿宋" w:cs="仿宋"/>
          <w:bCs/>
          <w:sz w:val="24"/>
          <w:szCs w:val="24"/>
          <w:highlight w:val="none"/>
          <w:lang w:val="en-US" w:eastAsia="zh-CN"/>
        </w:rPr>
        <w:t>1049383452</w:t>
      </w:r>
      <w:r>
        <w:rPr>
          <w:rFonts w:hint="eastAsia" w:ascii="仿宋" w:hAnsi="仿宋" w:eastAsia="仿宋" w:cs="仿宋"/>
          <w:sz w:val="24"/>
          <w:szCs w:val="24"/>
          <w:highlight w:val="none"/>
          <w:lang w:val="en-US" w:eastAsia="zh-CN"/>
        </w:rPr>
        <w:t>@qq.com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73B96566">
      <w:pPr>
        <w:pStyle w:val="10"/>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15.2备份投标文件须在“政采云投标客户端”制作生成。</w:t>
      </w:r>
    </w:p>
    <w:p w14:paraId="6D58C552">
      <w:pPr>
        <w:pStyle w:val="10"/>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1175CDD7">
      <w:pPr>
        <w:pStyle w:val="10"/>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122A0285">
      <w:pPr>
        <w:pStyle w:val="10"/>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3DB1EB3B">
      <w:pPr>
        <w:pStyle w:val="2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2FE82708">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16.1.</w:t>
      </w:r>
      <w:r>
        <w:rPr>
          <w:rFonts w:hint="eastAsia" w:ascii="仿宋" w:hAnsi="仿宋" w:eastAsia="仿宋" w:cs="仿宋"/>
        </w:rPr>
        <w:t>报价文件未按要求签署、盖章；</w:t>
      </w:r>
    </w:p>
    <w:p w14:paraId="23566495">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16.2.</w:t>
      </w:r>
      <w:r>
        <w:rPr>
          <w:rFonts w:hint="eastAsia" w:ascii="仿宋" w:hAnsi="仿宋" w:eastAsia="仿宋" w:cs="仿宋"/>
        </w:rPr>
        <w:t>报价内容有缺漏项，或者与招标文件要求不一致；</w:t>
      </w:r>
    </w:p>
    <w:p w14:paraId="68428A36">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16.3.</w:t>
      </w:r>
      <w:r>
        <w:rPr>
          <w:rFonts w:hint="eastAsia" w:ascii="仿宋" w:hAnsi="仿宋" w:eastAsia="仿宋" w:cs="仿宋"/>
        </w:rPr>
        <w:t>报价超过招标文件中规定的预算金额或者最高限价；</w:t>
      </w:r>
    </w:p>
    <w:p w14:paraId="57E8A6F4">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16.4.</w:t>
      </w:r>
      <w:r>
        <w:rPr>
          <w:rFonts w:hint="eastAsia" w:ascii="仿宋" w:hAnsi="仿宋" w:eastAsia="仿宋" w:cs="仿宋"/>
        </w:rPr>
        <w:t>未按照招标文件标明的币种报价；</w:t>
      </w:r>
    </w:p>
    <w:p w14:paraId="0F2A10DD">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16.5.</w:t>
      </w:r>
      <w:r>
        <w:rPr>
          <w:rFonts w:hint="eastAsia" w:ascii="仿宋" w:hAnsi="仿宋" w:eastAsia="仿宋" w:cs="仿宋"/>
        </w:rPr>
        <w:t>投标报价不明确，存在一个或一个以上备选（替代）投标方案，但招标文件要求提交备选的除外；</w:t>
      </w:r>
    </w:p>
    <w:p w14:paraId="000C6895">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16.6.</w:t>
      </w:r>
      <w:r>
        <w:rPr>
          <w:rFonts w:hint="eastAsia" w:ascii="仿宋" w:hAnsi="仿宋" w:eastAsia="仿宋" w:cs="仿宋"/>
        </w:rPr>
        <w:t>投标报价出现前后不一致，供应商不确认报价修正。供应商收到修正确认文件后，未在规定时间内做出回复的，视为不确认。</w:t>
      </w:r>
    </w:p>
    <w:p w14:paraId="635876A2">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宋体" w:hAnsi="宋体" w:eastAsia="宋体" w:cs="宋体"/>
          <w:color w:val="FF0000"/>
          <w:spacing w:val="-6"/>
          <w:sz w:val="21"/>
          <w:szCs w:val="21"/>
          <w:highlight w:val="none"/>
        </w:rPr>
      </w:pPr>
      <w:r>
        <w:rPr>
          <w:rFonts w:hint="eastAsia" w:ascii="仿宋" w:hAnsi="仿宋" w:eastAsia="仿宋" w:cs="仿宋"/>
          <w:lang w:val="en-US" w:eastAsia="zh-CN"/>
        </w:rPr>
        <w:t>16.7.</w:t>
      </w:r>
      <w:r>
        <w:rPr>
          <w:rFonts w:hint="eastAsia" w:ascii="仿宋" w:hAnsi="仿宋" w:eastAsia="仿宋" w:cs="仿宋"/>
        </w:rPr>
        <w:t>评标委员会认为供应商的报价明显低于其他通过符合性审查供应商的报价，有可能影响产品质量或者不能诚信履约，要求供应商在规定时间内提供书面说明、提交相关证明材料的，供应商不能证明其报价合理性，评标委员会应当将其作为无效投标处理。供应商收到</w:t>
      </w:r>
      <w:r>
        <w:rPr>
          <w:rFonts w:hint="eastAsia" w:ascii="仿宋" w:hAnsi="仿宋" w:eastAsia="仿宋" w:cs="仿宋"/>
          <w:lang w:val="en-US" w:eastAsia="zh-CN"/>
        </w:rPr>
        <w:t>要求书面说明的通知</w:t>
      </w:r>
      <w:r>
        <w:rPr>
          <w:rFonts w:hint="eastAsia" w:ascii="仿宋" w:hAnsi="仿宋" w:eastAsia="仿宋" w:cs="仿宋"/>
        </w:rPr>
        <w:t>后，未在规定时间内做出回复的，视为不能证明其报价合理性。</w:t>
      </w:r>
    </w:p>
    <w:p w14:paraId="118A8CE9">
      <w:pPr>
        <w:pStyle w:val="2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2D99B3D9">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2F233E5B">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1D63ABEE">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F075BDE">
      <w:pPr>
        <w:pStyle w:val="2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lang w:val="en-US" w:eastAsia="zh-CN"/>
        </w:rPr>
        <w:t>18.</w:t>
      </w:r>
      <w:r>
        <w:rPr>
          <w:rFonts w:hint="eastAsia" w:ascii="仿宋" w:hAnsi="仿宋" w:eastAsia="仿宋" w:cs="仿宋"/>
          <w:b/>
          <w:bCs/>
        </w:rPr>
        <w:t>其他</w:t>
      </w:r>
    </w:p>
    <w:p w14:paraId="13B5BDAB">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 xml:space="preserve">18.1 </w:t>
      </w:r>
      <w:r>
        <w:rPr>
          <w:rFonts w:hint="eastAsia" w:ascii="仿宋" w:hAnsi="仿宋" w:eastAsia="仿宋" w:cs="仿宋"/>
        </w:rPr>
        <w:t>供应商应当遵循公平竞争的原则，不得恶意串通，不得妨碍其他供应商的竞争行为，不得损害采购人或者其他供应商的合法权益。</w:t>
      </w:r>
    </w:p>
    <w:p w14:paraId="44E08F62">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 xml:space="preserve">18.2 </w:t>
      </w:r>
      <w:r>
        <w:rPr>
          <w:rFonts w:hint="eastAsia" w:ascii="仿宋" w:hAnsi="仿宋" w:eastAsia="仿宋" w:cs="仿宋"/>
        </w:rPr>
        <w:t>在政府采购活动中，采购人员及相关人员与供应商有下列利害关系之一的，应当回避：</w:t>
      </w:r>
    </w:p>
    <w:p w14:paraId="439D3FCC">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18.2.1</w:t>
      </w:r>
      <w:r>
        <w:rPr>
          <w:rFonts w:hint="eastAsia" w:ascii="仿宋" w:hAnsi="仿宋" w:eastAsia="仿宋" w:cs="仿宋"/>
        </w:rPr>
        <w:t>参加采购活动前3年内与供应商存在劳动关系；</w:t>
      </w:r>
    </w:p>
    <w:p w14:paraId="0700AD8B">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18.2.2</w:t>
      </w:r>
      <w:r>
        <w:rPr>
          <w:rFonts w:hint="eastAsia" w:ascii="仿宋" w:hAnsi="仿宋" w:eastAsia="仿宋" w:cs="仿宋"/>
        </w:rPr>
        <w:t>参加采购活动前3年内担任供应商的董事、监事；</w:t>
      </w:r>
    </w:p>
    <w:p w14:paraId="5586C3A1">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18.2.3</w:t>
      </w:r>
      <w:r>
        <w:rPr>
          <w:rFonts w:hint="eastAsia" w:ascii="仿宋" w:hAnsi="仿宋" w:eastAsia="仿宋" w:cs="仿宋"/>
        </w:rPr>
        <w:t>参加采购活动前3年内是供应商的控股股东或者实际控制人；</w:t>
      </w:r>
    </w:p>
    <w:p w14:paraId="47F158E5">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18.2.4</w:t>
      </w:r>
      <w:r>
        <w:rPr>
          <w:rFonts w:hint="eastAsia" w:ascii="仿宋" w:hAnsi="仿宋" w:eastAsia="仿宋" w:cs="仿宋"/>
        </w:rPr>
        <w:t>与供应商的法定代表人或者负责人有夫妻、直系血亲、三代以内旁系血亲或者近姻亲关系；</w:t>
      </w:r>
    </w:p>
    <w:p w14:paraId="3926C100">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18.2.5</w:t>
      </w:r>
      <w:r>
        <w:rPr>
          <w:rFonts w:hint="eastAsia" w:ascii="仿宋" w:hAnsi="仿宋" w:eastAsia="仿宋" w:cs="仿宋"/>
        </w:rPr>
        <w:t>与供应商有其他可能影响政府采购活动公平、公正进行的关系。</w:t>
      </w:r>
    </w:p>
    <w:p w14:paraId="59A4B0EB">
      <w:pPr>
        <w:pStyle w:val="2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18.3</w:t>
      </w:r>
      <w:r>
        <w:rPr>
          <w:rFonts w:hint="eastAsia" w:ascii="仿宋" w:hAnsi="仿宋" w:eastAsia="仿宋" w:cs="仿宋"/>
        </w:rPr>
        <w:t>供应商认为采购人员及相关人员与其他供应商有利害关系的，可以向</w:t>
      </w:r>
      <w:r>
        <w:rPr>
          <w:rFonts w:hint="eastAsia" w:ascii="仿宋" w:hAnsi="仿宋" w:eastAsia="仿宋" w:cs="仿宋"/>
          <w:lang w:eastAsia="zh-CN"/>
        </w:rPr>
        <w:t>采购组织机构</w:t>
      </w:r>
      <w:r>
        <w:rPr>
          <w:rFonts w:hint="eastAsia" w:ascii="仿宋" w:hAnsi="仿宋" w:eastAsia="仿宋" w:cs="仿宋"/>
        </w:rPr>
        <w:t>书面提出回避申请，并说明理由。</w:t>
      </w:r>
      <w:r>
        <w:rPr>
          <w:rFonts w:hint="eastAsia" w:ascii="仿宋" w:hAnsi="仿宋" w:eastAsia="仿宋" w:cs="仿宋"/>
          <w:lang w:eastAsia="zh-CN"/>
        </w:rPr>
        <w:t>采购组织机构</w:t>
      </w:r>
      <w:r>
        <w:rPr>
          <w:rFonts w:hint="eastAsia" w:ascii="仿宋" w:hAnsi="仿宋" w:eastAsia="仿宋" w:cs="仿宋"/>
        </w:rPr>
        <w:t>应当及时询问被申请回避人员，有利害关系的被申请回避人员应当回避。</w:t>
      </w:r>
    </w:p>
    <w:p w14:paraId="6F1F0BCE">
      <w:pPr>
        <w:pStyle w:val="26"/>
        <w:keepNext w:val="0"/>
        <w:keepLines w:val="0"/>
        <w:pageBreakBefore w:val="0"/>
        <w:kinsoku/>
        <w:wordWrap/>
        <w:overflowPunct/>
        <w:topLinePunct w:val="0"/>
        <w:bidi w:val="0"/>
        <w:adjustRightInd w:val="0"/>
        <w:spacing w:before="0" w:line="420" w:lineRule="exact"/>
        <w:textAlignment w:val="auto"/>
        <w:rPr>
          <w:rFonts w:hint="eastAsia" w:ascii="仿宋" w:hAnsi="仿宋" w:eastAsia="仿宋" w:cs="仿宋"/>
        </w:rPr>
      </w:pPr>
    </w:p>
    <w:p w14:paraId="4E96496C">
      <w:pPr>
        <w:pStyle w:val="26"/>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6FB7EB6A">
      <w:pPr>
        <w:pStyle w:val="2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lang w:val="en-US" w:eastAsia="zh-CN"/>
        </w:rPr>
        <w:t>19</w:t>
      </w:r>
      <w:r>
        <w:rPr>
          <w:rFonts w:hint="eastAsia" w:ascii="仿宋" w:hAnsi="仿宋" w:eastAsia="仿宋" w:cs="仿宋"/>
          <w:b/>
          <w:sz w:val="24"/>
          <w:szCs w:val="24"/>
        </w:rPr>
        <w:t>.开标</w:t>
      </w:r>
      <w:r>
        <w:rPr>
          <w:rFonts w:hint="eastAsia" w:ascii="仿宋" w:hAnsi="仿宋" w:eastAsia="仿宋" w:cs="仿宋"/>
          <w:sz w:val="24"/>
        </w:rPr>
        <w:t xml:space="preserve"> </w:t>
      </w:r>
    </w:p>
    <w:p w14:paraId="29C8AD74">
      <w:pPr>
        <w:pStyle w:val="2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.1采购代理机构按照招标文件规定的时间通过电子交易平台组织开标，所有投标人均应当准时在线参加。投标人不足3家的，不得开标。</w:t>
      </w:r>
    </w:p>
    <w:p w14:paraId="6C366B62">
      <w:pPr>
        <w:pStyle w:val="2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en-US" w:eastAsia="zh-CN"/>
        </w:rPr>
        <w:t>19</w:t>
      </w:r>
      <w:r>
        <w:rPr>
          <w:rFonts w:hint="eastAsia" w:ascii="仿宋" w:hAnsi="仿宋" w:eastAsia="仿宋" w:cs="仿宋"/>
          <w:sz w:val="24"/>
        </w:rPr>
        <w:t>.2开标时，电子交易平台按开标时间自动提取所有投标文件。采购代理机构依托电子交易平台发起开始解密指令，投标人按照平台提示在招标文件规定时间内完成在线解密。</w:t>
      </w:r>
    </w:p>
    <w:p w14:paraId="5417C0C0">
      <w:pPr>
        <w:pStyle w:val="2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w:t>
      </w:r>
      <w:r>
        <w:rPr>
          <w:rFonts w:hint="eastAsia" w:ascii="仿宋" w:hAnsi="仿宋" w:eastAsia="仿宋" w:cs="仿宋"/>
          <w:sz w:val="24"/>
          <w:lang w:val="en-US" w:eastAsia="zh-CN"/>
        </w:rPr>
        <w:t>9</w:t>
      </w:r>
      <w:r>
        <w:rPr>
          <w:rFonts w:hint="eastAsia" w:ascii="仿宋" w:hAnsi="仿宋" w:eastAsia="仿宋" w:cs="仿宋"/>
          <w:sz w:val="24"/>
        </w:rPr>
        <w:t>.3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5768654D">
      <w:pPr>
        <w:pStyle w:val="2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lang w:val="en-US" w:eastAsia="zh-CN"/>
        </w:rPr>
        <w:t>20</w:t>
      </w:r>
      <w:r>
        <w:rPr>
          <w:rFonts w:hint="eastAsia" w:ascii="仿宋" w:hAnsi="仿宋" w:eastAsia="仿宋" w:cs="仿宋"/>
          <w:b/>
          <w:sz w:val="24"/>
          <w:szCs w:val="24"/>
        </w:rPr>
        <w:t>.</w:t>
      </w:r>
      <w:r>
        <w:rPr>
          <w:rFonts w:hint="eastAsia" w:ascii="仿宋" w:hAnsi="仿宋" w:eastAsia="仿宋" w:cs="仿宋"/>
          <w:b/>
          <w:sz w:val="24"/>
        </w:rPr>
        <w:t>资格审查</w:t>
      </w:r>
    </w:p>
    <w:p w14:paraId="136861BA">
      <w:pPr>
        <w:pStyle w:val="2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20</w:t>
      </w:r>
      <w:r>
        <w:rPr>
          <w:rFonts w:hint="eastAsia" w:ascii="仿宋" w:hAnsi="仿宋" w:eastAsia="仿宋" w:cs="仿宋"/>
          <w:kern w:val="0"/>
          <w:szCs w:val="24"/>
        </w:rPr>
        <w:t>.1开标后，采购人或采购代理机构将依法对投标人的资格进行审查。</w:t>
      </w:r>
    </w:p>
    <w:p w14:paraId="4CACE99D">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szCs w:val="24"/>
          <w:lang w:val="en-US" w:eastAsia="zh-CN" w:bidi="ar-SA"/>
        </w:rPr>
        <w:t>20</w:t>
      </w:r>
      <w:r>
        <w:rPr>
          <w:rFonts w:hint="eastAsia" w:ascii="仿宋" w:hAnsi="仿宋" w:eastAsia="仿宋" w:cs="仿宋"/>
          <w:kern w:val="0"/>
          <w:sz w:val="24"/>
        </w:rPr>
        <w:t>.2</w:t>
      </w:r>
      <w:r>
        <w:rPr>
          <w:rFonts w:hint="eastAsia" w:ascii="仿宋" w:hAnsi="仿宋" w:eastAsia="仿宋" w:cs="仿宋"/>
          <w:sz w:val="24"/>
        </w:rPr>
        <w:t>采购人或采购代理机构依据法律法规和招标文件的规定，对投标人的基本资格条件、特定资格条件进行审查。</w:t>
      </w:r>
    </w:p>
    <w:p w14:paraId="517B09DD">
      <w:pPr>
        <w:pStyle w:val="2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20</w:t>
      </w:r>
      <w:r>
        <w:rPr>
          <w:rFonts w:hint="eastAsia" w:ascii="仿宋" w:hAnsi="仿宋" w:eastAsia="仿宋" w:cs="仿宋"/>
          <w:kern w:val="0"/>
          <w:szCs w:val="24"/>
        </w:rPr>
        <w:t>.3投标人未按照招标文件要求提供与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38FF04A6">
      <w:pPr>
        <w:pStyle w:val="2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20</w:t>
      </w:r>
      <w:r>
        <w:rPr>
          <w:rFonts w:hint="eastAsia" w:ascii="仿宋" w:hAnsi="仿宋" w:eastAsia="仿宋" w:cs="仿宋"/>
          <w:kern w:val="0"/>
          <w:szCs w:val="24"/>
        </w:rPr>
        <w:t>.4对未通过资格审查的投标人，采购人或采购代理机构告知其未通过的原因。</w:t>
      </w:r>
    </w:p>
    <w:p w14:paraId="60BE6DD7">
      <w:pPr>
        <w:pStyle w:val="2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lang w:val="en-US" w:eastAsia="zh-CN"/>
        </w:rPr>
        <w:t>20</w:t>
      </w:r>
      <w:r>
        <w:rPr>
          <w:rFonts w:hint="eastAsia" w:ascii="仿宋" w:hAnsi="仿宋" w:eastAsia="仿宋" w:cs="仿宋"/>
          <w:kern w:val="0"/>
          <w:szCs w:val="24"/>
        </w:rPr>
        <w:t>.</w:t>
      </w:r>
      <w:r>
        <w:rPr>
          <w:rFonts w:hint="eastAsia" w:ascii="仿宋" w:hAnsi="仿宋" w:eastAsia="仿宋" w:cs="仿宋"/>
        </w:rPr>
        <w:t>5合格投标人不足3家的，不再评标。</w:t>
      </w:r>
    </w:p>
    <w:p w14:paraId="28AB1655">
      <w:pPr>
        <w:pStyle w:val="2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w:t>
      </w:r>
      <w:r>
        <w:rPr>
          <w:rFonts w:hint="eastAsia" w:ascii="仿宋" w:hAnsi="仿宋" w:eastAsia="仿宋" w:cs="仿宋"/>
          <w:b/>
          <w:szCs w:val="24"/>
          <w:lang w:val="en-US" w:eastAsia="zh-CN"/>
        </w:rPr>
        <w:t>1</w:t>
      </w:r>
      <w:r>
        <w:rPr>
          <w:rFonts w:hint="eastAsia" w:ascii="仿宋" w:hAnsi="仿宋" w:eastAsia="仿宋" w:cs="仿宋"/>
          <w:b/>
          <w:szCs w:val="24"/>
        </w:rPr>
        <w:t>.信用信息查询</w:t>
      </w:r>
    </w:p>
    <w:p w14:paraId="2ABFEB61">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.1信用信息查询渠道及截止时间：采购代理机构将通过“信用中国”网站(www.creditchina.gov.cn)、中国政府采购网(www.ccgp.gov.cn)渠道查询投标人投标截止时间当天的信用记录。</w:t>
      </w:r>
    </w:p>
    <w:p w14:paraId="077C5DE3">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.2信用信息查询记录和证据留存的具体方式：现场查询的投标人的信用记录、查询结果经确认后将与采购文件一起存档。</w:t>
      </w:r>
    </w:p>
    <w:p w14:paraId="1F704708">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.3信用信息的使用规则：经查询列入失信被执行人名单、重大税收违法案件当事人名单、政府采购严重违法失信行为记录名单的投标人将被拒绝参与政府采购活动。</w:t>
      </w:r>
    </w:p>
    <w:p w14:paraId="2BAB79F6">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5BFC16A3">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22. 供应商资格有关解释</w:t>
      </w:r>
    </w:p>
    <w:p w14:paraId="259CECA7">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22.1</w:t>
      </w:r>
      <w:r>
        <w:rPr>
          <w:rFonts w:hint="eastAsia" w:ascii="仿宋" w:hAnsi="仿宋" w:eastAsia="仿宋" w:cs="仿宋"/>
          <w:kern w:val="0"/>
          <w:szCs w:val="24"/>
        </w:rPr>
        <w:t>《中华人民共和国政府采购法》第二十二条所称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w:t>
      </w:r>
      <w:r>
        <w:rPr>
          <w:rFonts w:hint="eastAsia" w:ascii="仿宋" w:hAnsi="仿宋" w:eastAsia="仿宋" w:cs="仿宋"/>
          <w:kern w:val="0"/>
          <w:szCs w:val="24"/>
          <w:lang w:eastAsia="zh-CN"/>
        </w:rPr>
        <w:t>，</w:t>
      </w:r>
      <w:r>
        <w:rPr>
          <w:rFonts w:hint="eastAsia" w:ascii="仿宋" w:hAnsi="仿宋" w:eastAsia="仿宋" w:cs="仿宋"/>
          <w:kern w:val="0"/>
          <w:szCs w:val="24"/>
        </w:rPr>
        <w:t>从其规定。</w:t>
      </w:r>
    </w:p>
    <w:p w14:paraId="759CE0A4">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22.2</w:t>
      </w:r>
      <w:r>
        <w:rPr>
          <w:rFonts w:hint="eastAsia" w:ascii="仿宋" w:hAnsi="仿宋" w:eastAsia="仿宋" w:cs="仿宋"/>
          <w:kern w:val="0"/>
          <w:szCs w:val="24"/>
        </w:rPr>
        <w:t>供应商在参加政府采购活动前3年内因违法经营被禁止在一定期限内参加政府采购活动，期限届满的，可以参加政府采购活动。</w:t>
      </w:r>
    </w:p>
    <w:p w14:paraId="606912A9">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22.3</w:t>
      </w:r>
      <w:r>
        <w:rPr>
          <w:rFonts w:hint="eastAsia" w:ascii="仿宋" w:hAnsi="仿宋" w:eastAsia="仿宋" w:cs="仿宋"/>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266CFFB">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22.4</w:t>
      </w:r>
      <w:r>
        <w:rPr>
          <w:rFonts w:hint="eastAsia" w:ascii="仿宋" w:hAnsi="仿宋" w:eastAsia="仿宋" w:cs="仿宋"/>
          <w:kern w:val="0"/>
          <w:szCs w:val="24"/>
        </w:rPr>
        <w:t>单位负责人为同一人或者存在直接控股、管理关系的不同供应商，不得参加同一合同项下的政府采购活动。</w:t>
      </w:r>
    </w:p>
    <w:p w14:paraId="27073264">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22.5</w:t>
      </w:r>
      <w:r>
        <w:rPr>
          <w:rFonts w:hint="eastAsia" w:ascii="仿宋" w:hAnsi="仿宋" w:eastAsia="仿宋" w:cs="仿宋"/>
          <w:kern w:val="0"/>
          <w:szCs w:val="24"/>
        </w:rPr>
        <w:t>为本项目提供整体设计、规范编制或者项目管理、监理、检测等服务的供应商，不得再参加本项目的其他采购活动。</w:t>
      </w:r>
    </w:p>
    <w:p w14:paraId="727A954D">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22.6</w:t>
      </w:r>
      <w:r>
        <w:rPr>
          <w:rFonts w:hint="eastAsia" w:ascii="仿宋" w:hAnsi="仿宋" w:eastAsia="仿宋" w:cs="仿宋"/>
          <w:kern w:val="0"/>
          <w:szCs w:val="24"/>
        </w:rPr>
        <w:t>公益一类事业单位、使用事业编制且由财政拨款保障的群团组织，不得作为政府购买服务的购买主体和承接主体。</w:t>
      </w:r>
    </w:p>
    <w:p w14:paraId="3401648E">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72300700">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23.评标委员会将根据招标文件和有关规定，履行评标工作职责，并按照评标方法及评分标准，全面衡量各投标人对招标文件的响应情况。对实质上响应招标文件的投标人，按照评审因素进行评审。详见招标文件第四部分评标办法。</w:t>
      </w:r>
    </w:p>
    <w:p w14:paraId="4BA81656">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24.采购组织机构采取必要措施，保证评标在严格保密的情况下进行。除采购人代表、评标现场组织人员外，采购人的其他工作人员以及与评标工作无关的人员不得进入评标现场。有关人员对评标情况以及在评标过程中获悉的国家秘密、商业秘密负有保密责任。</w:t>
      </w:r>
    </w:p>
    <w:p w14:paraId="687493B0">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25. 评标委员会</w:t>
      </w:r>
    </w:p>
    <w:p w14:paraId="5DB8D75F">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25.1评标委员会由采购人代表和评审专家组成，成员人数应当为5人以上单数，其中评审专家不得少于成员总数的三分之二。</w:t>
      </w:r>
    </w:p>
    <w:p w14:paraId="06805FD0">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25.2评审专家对本单位的采购项目只能作为采购人代表参与评标，采购人依法可以自行选定相应评审专家情形除外。采购代理机构工作人员不得参加由本机构代理的政府采购项目的评标。</w:t>
      </w:r>
    </w:p>
    <w:p w14:paraId="7EE8CE4E">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25.3评标委员会成员名单在评标结果公告前应当保密。</w:t>
      </w:r>
    </w:p>
    <w:p w14:paraId="47CA8B96">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25.4采购组织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w:t>
      </w:r>
    </w:p>
    <w:p w14:paraId="0C0183C9">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25.5评标委员会成员应当按照客观、公正、审慎的原则，根据招标文件规定的评标程序、评标方法和评标标准进行独立评审。</w:t>
      </w:r>
    </w:p>
    <w:p w14:paraId="79F7B31B">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25.6评标委员会负责具体评标事务，并独立履行下列职责：</w:t>
      </w:r>
    </w:p>
    <w:p w14:paraId="6E166FA1">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25.6.1审查、评价投标文件是否符合招标文件的商务、技术等实质性要求；</w:t>
      </w:r>
    </w:p>
    <w:p w14:paraId="7556EDCA">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25.6.2要求供应商对投标文件有关事项作出澄清或者说明；</w:t>
      </w:r>
    </w:p>
    <w:p w14:paraId="3E4B0956">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25.6.3对投标文件进行比较和评价；</w:t>
      </w:r>
    </w:p>
    <w:p w14:paraId="461BB6BF">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25.6.4确定中标候选供应商名单，以及根据采购人委托直接确定中标供应商；</w:t>
      </w:r>
    </w:p>
    <w:p w14:paraId="7A69D8D5">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25.6.5向采购组织机构或者有关部门报告评标中发现的违法行为。</w:t>
      </w:r>
    </w:p>
    <w:p w14:paraId="28E6E361">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25.7评标中因评标委员会成员缺席、回避或者健康等特殊原因导致评标委员会组成不符合本招标文件规定的，采购组织机构应当依法补足后继续评标。被更换的评标委员会成员所作出的评标意见无效。</w:t>
      </w:r>
    </w:p>
    <w:p w14:paraId="5FFA5768">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25.8无法及时补足评标委员会成员的，采购组织机构应当停止评标活动，封存所有投标文件和开标、评标资料，依法重新组建评标委员会进行评标。原评标委员会所作出的评标意见无效。</w:t>
      </w:r>
    </w:p>
    <w:p w14:paraId="3A474D14">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25.9采购组织机构应当将变更、重新组建评标委员会的情况予以记录，并随采购文件一并存档。</w:t>
      </w:r>
    </w:p>
    <w:p w14:paraId="0475A7AC">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25.10评标委员会及其成员不得有下列行为：</w:t>
      </w:r>
    </w:p>
    <w:p w14:paraId="1EEB9D33">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25.10.1确定参与评标至评标结束前私自接触供应商；</w:t>
      </w:r>
    </w:p>
    <w:p w14:paraId="6A74B2A8">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25.10.2接受供应商提出的与投标文件不一致的澄清或者说明，《政府采购货物和服务招标投标管理办法》第五十一条规定的情形除外；</w:t>
      </w:r>
    </w:p>
    <w:p w14:paraId="64E5C893">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25.10.3违反评标纪律发表倾向性意见或者征询采购人的倾向性意见；</w:t>
      </w:r>
    </w:p>
    <w:p w14:paraId="66B30B27">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25.10.4对需要专业判断的主观评审因素协商评分；</w:t>
      </w:r>
    </w:p>
    <w:p w14:paraId="0154C0A6">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25.10.5在评标过程中擅离职守，影响评标程序正常进行的；</w:t>
      </w:r>
    </w:p>
    <w:p w14:paraId="73E03909">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25.10.6记录、复制或者带走任何评标资料；</w:t>
      </w:r>
    </w:p>
    <w:p w14:paraId="17E87E47">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25.10.7其他不遵守评标纪律的行为。</w:t>
      </w:r>
    </w:p>
    <w:p w14:paraId="19FEE12F">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25.11评标委员会成员有前款第一至五项行为之一的，其评审意见无效，并不得获取评审劳务报酬和报销异地评审差旅费。</w:t>
      </w:r>
    </w:p>
    <w:p w14:paraId="41C163C6">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26. 符合性审查</w:t>
      </w:r>
    </w:p>
    <w:p w14:paraId="32500C02">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评标委员会应当对符合资格的供应商的投标文件进行符合性审查，以确定其是否满足招标文件的实质性要求。</w:t>
      </w:r>
    </w:p>
    <w:p w14:paraId="5C0C7A3A">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27. 比较与评价</w:t>
      </w:r>
    </w:p>
    <w:p w14:paraId="704BDBBE">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27.1评标委员会应当按照招标文件中规定的评标方法和标准，对符合性审查合格的投标文件进行商务和技术评估，综合比较与评价。招标文件中没有规定的评标标准不得作为评审的依据。</w:t>
      </w:r>
    </w:p>
    <w:p w14:paraId="43418ADE">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27.2对于投标文件中含义不明确、同类问题表述不一致或者有明显文字和计算错误的内容，评标委员会应当以书面形式要求供应商作出必要的澄清、说明或者补正。</w:t>
      </w:r>
    </w:p>
    <w:p w14:paraId="3350C300">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27.3澄清、说明或者补正应当要求供应商在评标现场合理的时间内（不少于30分钟）提供书面说明，必要时提交相关证明材料。</w:t>
      </w:r>
    </w:p>
    <w:p w14:paraId="45C991CB">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27.4供应商的澄清、说明或者补正应当采用书面形式，并加盖公章，或者由法定代表人或其授权的代表签字。供应商的澄清、说明或者补正不得超出投标文件的范围或者改变投标文件的实质性内容。</w:t>
      </w:r>
    </w:p>
    <w:p w14:paraId="7138BC8F">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27.5评标委员会成员个人主观打分偏离所有评标委员会成员主观打分平均值30%以上的，由评标委员会启动评分畸高、畸低行为认定程序。</w:t>
      </w:r>
    </w:p>
    <w:p w14:paraId="69C408A0">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28. 评标方法</w:t>
      </w:r>
    </w:p>
    <w:p w14:paraId="3ADE9248">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评标方法分为最低评标价法和综合评分法。本项目评标方法和评标标准详见【第四部分-评标办法】。</w:t>
      </w:r>
    </w:p>
    <w:p w14:paraId="1D91426C">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 最低评标价法</w:t>
      </w:r>
    </w:p>
    <w:p w14:paraId="0DFE90C7">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28.1.1最低评标价法，是指投标文件满足招标文件全部实质性要求，且投标报价最低的供应商为中标候选供应商的评标方法。</w:t>
      </w:r>
    </w:p>
    <w:p w14:paraId="7423C951">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28.1.2技术、服务等标准统一的货物服务项目，应当采用最低评标价法。</w:t>
      </w:r>
    </w:p>
    <w:p w14:paraId="4598C949">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28.1.3采用最低评标价法评标时，除了算术修正和落实政府采购政策需进行的价格扣除外，不能对供应商的投标价格进行任何调整。</w:t>
      </w:r>
    </w:p>
    <w:p w14:paraId="629DA4EB">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28.1.4采用最低评标价法的，评标结果按投标报价由低到高顺序排列。投标报价相同的并列。投标文件满足招标文件全部实质性要求且投标报价最低的供应商为排名第一的中标候选供应商。</w:t>
      </w:r>
    </w:p>
    <w:p w14:paraId="376ABA5D">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28.1.5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6B85BD8">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 综合评分法</w:t>
      </w:r>
    </w:p>
    <w:p w14:paraId="665476CB">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28.2.1综合评分法，是指投标文件满足招标文件全部实质性要求，且按照评审因素的量化指标评审得分最高的供应商为中标候选供应商的评标方法。</w:t>
      </w:r>
    </w:p>
    <w:p w14:paraId="525E522D">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28.2.2评标时，评标委员会各成员应当独立对每个供应商的投标文件进行评价，并汇总每个供应商的得分。</w:t>
      </w:r>
    </w:p>
    <w:p w14:paraId="24D02499">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28.2.3货物项目的价格分值占总分值的比重不得低于30%；服务项目的价格分值占总分值的比重不得低于10%。执行国家统一定价标准和采用固定价格采购的项目，其价格不列为评审因素。</w:t>
      </w:r>
    </w:p>
    <w:p w14:paraId="606A1C29">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28.2.4价格分应当采用低价优先法计算，即满足招标文件要求且投标价格最低的投标报价为评标基准价，其价格分为满分。其他供应商的价格分统一按照下列公式计算：</w:t>
      </w:r>
    </w:p>
    <w:p w14:paraId="42FA1284">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投标报价得分=(评标基准价／投标报价)×100</w:t>
      </w:r>
    </w:p>
    <w:p w14:paraId="54C436AA">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评标总得分＝F1×A1＋F2×A2＋……＋Fn×An</w:t>
      </w:r>
    </w:p>
    <w:p w14:paraId="5D75AF69">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F1、F2……Fn分别为各项评审因素的得分；</w:t>
      </w:r>
    </w:p>
    <w:p w14:paraId="0EFD2292">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A1、A2、……An 分别为各项评审因素所占的权重(A1＋A2＋……＋An＝1)。</w:t>
      </w:r>
    </w:p>
    <w:p w14:paraId="70CF2E03">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28.2.5评标过程中，不得去掉报价中的最高报价和最低报价。</w:t>
      </w:r>
    </w:p>
    <w:p w14:paraId="3549D398">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28.2.6因落实政府采购政策进行价格调整的，以调整后的价格计算评标基准价和投标报价。</w:t>
      </w:r>
    </w:p>
    <w:p w14:paraId="3C385C17">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28.2.7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标委员会按照招标文件规定的方式确定一个供应商获得中标供应商推荐资格，招标文件未规定的采取随机抽取方式确定，其他同品牌供应商不作为中标候选供应商。</w:t>
      </w:r>
    </w:p>
    <w:p w14:paraId="048F0C4C">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28.3非单一产品采购项目，采购人应当根据采购项目技术构成、产品价格比重等合理确定核心产品，并在招标文件中载明。多家供应商提供的核心产品品牌相同的，按前两款规定处理。</w:t>
      </w:r>
    </w:p>
    <w:p w14:paraId="5E9F051F">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29.报价评审</w:t>
      </w:r>
    </w:p>
    <w:p w14:paraId="1DD05E94">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 投标文件报价出现前后不一致的，除招标文件另有规定外，按照下列规定修正：</w:t>
      </w:r>
    </w:p>
    <w:p w14:paraId="027EB889">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29.1.1投标文件中开标一览表（报价表）内容与投标文件中相应内容不一致的，以开标一览表（报价表）为准；</w:t>
      </w:r>
    </w:p>
    <w:p w14:paraId="57476102">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29.1.2大写金额和小写金额不一致的，以大写金额为准；</w:t>
      </w:r>
    </w:p>
    <w:p w14:paraId="5ADD342E">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29.1.3单价金额小数点或者百分比有明显错位的，以开标一览表的总价为准，并修改单价；</w:t>
      </w:r>
    </w:p>
    <w:p w14:paraId="65C8868B">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29.1.4总价金额与按单价汇总金额不一致的，以单价金额计算结果为准。</w:t>
      </w:r>
    </w:p>
    <w:p w14:paraId="3790F778">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同时出现两种以上不一致的，按照前款规定的顺序修正。修正后的报价按照招标文件关于澄清的规定，经供应商确认后产生约束力，供应商不确认的，其投标无效。</w:t>
      </w:r>
    </w:p>
    <w:p w14:paraId="7D680A7C">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29.2评标委员会认为供应商的报价明显低于其他通过符合性审查供应商的报价，有可能影响产品质量或者不能诚信履约的，应当要求其在评标现场合理的时间内（不少于30分钟）提供书面说明，必要时提交相关证明材料；供应商不能证明其报价合理性的，评标委员会应当将其作为无效投标处理。</w:t>
      </w:r>
    </w:p>
    <w:p w14:paraId="255E84FE">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b/>
          <w:bCs/>
          <w:kern w:val="0"/>
          <w:szCs w:val="24"/>
          <w:lang w:val="en-US" w:eastAsia="zh-CN"/>
        </w:rPr>
      </w:pPr>
      <w:r>
        <w:rPr>
          <w:rFonts w:hint="eastAsia" w:ascii="仿宋" w:hAnsi="仿宋" w:eastAsia="仿宋" w:cs="仿宋"/>
          <w:kern w:val="0"/>
          <w:szCs w:val="24"/>
          <w:lang w:val="en-US" w:eastAsia="zh-CN"/>
        </w:rPr>
        <w:t>29.3</w:t>
      </w:r>
      <w:r>
        <w:rPr>
          <w:rFonts w:hint="eastAsia" w:ascii="仿宋" w:hAnsi="仿宋" w:eastAsia="仿宋" w:cs="仿宋"/>
          <w:b/>
          <w:bCs/>
          <w:kern w:val="0"/>
          <w:szCs w:val="24"/>
          <w:lang w:val="en-US" w:eastAsia="zh-CN"/>
        </w:rPr>
        <w:t>政府采购评审中出现下列情形之一的，评标委员会应当启动异常低价投标审查程序：</w:t>
      </w:r>
    </w:p>
    <w:p w14:paraId="023C8F0F">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29.3.1投标报价低于全部通过符合性审查供应商投标报价平均值50%的，即投标报价&lt;全部通过符合性审查供应商投标报价平均值×50%；</w:t>
      </w:r>
    </w:p>
    <w:p w14:paraId="292EAE52">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29.3.2投标报价低于通过符合性审查且报价次低供应商投标报价50%的，即投标报价&lt;通过符合性审查且报价次低供应商投标报价×50%；</w:t>
      </w:r>
    </w:p>
    <w:p w14:paraId="378FA181">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29.3.3投标报价低于采购项目最高限价45%的，即投标报价&lt;采购项目最高限价×45%；</w:t>
      </w:r>
    </w:p>
    <w:p w14:paraId="321AFB57">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29.3.4其他评标委员会认为供应商报价过低，有可能影响产品质量或者不能诚信履约的情形。</w:t>
      </w:r>
    </w:p>
    <w:p w14:paraId="2D52BB75">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29.5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1ACBCE2C">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29.6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4B4DD705">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30.评标结果</w:t>
      </w:r>
    </w:p>
    <w:p w14:paraId="62492DF4">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采用最低评标价法的，评标结果按投标报价由低到高顺序排列。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供应商。</w:t>
      </w:r>
    </w:p>
    <w:p w14:paraId="6C75D4B4">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30.1.1 评标委员会根据全体评标成员签字的原始评标记录和评标结果编写评标报告。</w:t>
      </w:r>
    </w:p>
    <w:p w14:paraId="6355B8C7">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30.1.2 评标委员会成员应当在评标报告上签字，对自己的评审意见承担法律责任。</w:t>
      </w:r>
    </w:p>
    <w:p w14:paraId="338DA69F">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30.1.3 评标委员会成员对需要共同认定的事项存在争议的，应当按照少数服从多数的原则作出结论。持不同意见的评标委员会成员应当在评标报告上签署不同意见及理由，否则视为同意评标报告。</w:t>
      </w:r>
    </w:p>
    <w:p w14:paraId="7B8DC185">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30.1.4 评标结果汇总完成后，除下列情形外，任何人不得修改评标结果：</w:t>
      </w:r>
    </w:p>
    <w:p w14:paraId="1DB20F30">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bookmarkStart w:id="0" w:name="_Hlk86073735"/>
      <w:r>
        <w:rPr>
          <w:rFonts w:hint="eastAsia" w:ascii="仿宋" w:hAnsi="仿宋" w:eastAsia="仿宋" w:cs="仿宋"/>
          <w:kern w:val="0"/>
          <w:szCs w:val="24"/>
          <w:lang w:val="en-US" w:eastAsia="zh-CN"/>
        </w:rPr>
        <w:t>30.1.4.1分值汇总计算错误的；</w:t>
      </w:r>
    </w:p>
    <w:p w14:paraId="48BD4BFD">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30.1.4.2分项评分超出评分标准范围的；</w:t>
      </w:r>
    </w:p>
    <w:p w14:paraId="05327F47">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30.1.4.3评标委员会成员对客观评审因素评分不一致的；</w:t>
      </w:r>
    </w:p>
    <w:p w14:paraId="24D76BE3">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30.1.4.4经评标委员会认定评分畸高、畸低的。</w:t>
      </w:r>
    </w:p>
    <w:bookmarkEnd w:id="0"/>
    <w:p w14:paraId="4003050F">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30.2评标报告签署前，经复核发现存在以上情形之一的，评标委员会应当当场修改评标结果，并在评标报告中记载；评标报告签署后，采购组织机构发现存在以上情形之一的，应当组织原评标委员会进行重新评审，重新评审改变评标结果的，书面报告本级财政部门。</w:t>
      </w:r>
    </w:p>
    <w:p w14:paraId="64CFDC48">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30.3供应商对本条（30.1.4.1）（30.1.4.2）（30.1.4.3）（30.1.4.4）情形提出质疑的，采购组织机构可以组织原评标委员会进行重新评审，重新评审改变评标结果的，应当书面报告本级财政部门。</w:t>
      </w:r>
    </w:p>
    <w:p w14:paraId="5253A226">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31.评标有关其他事项</w:t>
      </w:r>
    </w:p>
    <w:p w14:paraId="29A5C7E9">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31.1评标委员会发现招标文件存在歧义、重大缺陷导致评标工作无法进行，或者招标文件内容违反国家有关强制性规定的，应当停止评标工作，与采购组织机构沟通并作书面记录。采购组织机构确认后，应当修改招标文件，重新组织采购活动。</w:t>
      </w:r>
    </w:p>
    <w:p w14:paraId="6E757FC7">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31.2在招标采购中，出现下列情形之一的，应予废标：</w:t>
      </w:r>
    </w:p>
    <w:p w14:paraId="6B7B7AC0">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31.2.1符合专业条件的供应商或者对招标文件作实质响应的供应商不足三家的；</w:t>
      </w:r>
    </w:p>
    <w:p w14:paraId="011018D6">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31.2.2出现影响采购公正的违法、违规行为的；</w:t>
      </w:r>
    </w:p>
    <w:p w14:paraId="3B7A5872">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31.2.3供应商的报价均超过了采购预算，采购人不能支付的；</w:t>
      </w:r>
    </w:p>
    <w:p w14:paraId="616820E0">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31.2.4因重大变故，采购任务取消的。</w:t>
      </w:r>
    </w:p>
    <w:p w14:paraId="57F3635B">
      <w:pPr>
        <w:pStyle w:val="2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31.3废标后，采购人应当将废标理由通知所有供应商。</w:t>
      </w:r>
    </w:p>
    <w:p w14:paraId="36783F98">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2D52C830">
      <w:pPr>
        <w:pStyle w:val="9"/>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2. 确定中标供应商</w:t>
      </w:r>
    </w:p>
    <w:p w14:paraId="6FC5F6DC">
      <w:pPr>
        <w:pStyle w:val="2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360B359">
      <w:pPr>
        <w:pStyle w:val="2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lang w:val="en-US" w:eastAsia="zh-CN"/>
        </w:rPr>
        <w:t>3</w:t>
      </w:r>
      <w:r>
        <w:rPr>
          <w:rFonts w:hint="eastAsia" w:ascii="仿宋" w:hAnsi="仿宋" w:eastAsia="仿宋" w:cs="仿宋"/>
          <w:b/>
          <w:szCs w:val="24"/>
        </w:rPr>
        <w:t>3. 中标通知与中标结果公告</w:t>
      </w:r>
    </w:p>
    <w:p w14:paraId="21D82F3E">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3.1自中标人确定之日起2个工作日内，采购代理机构通过电子交易平台向中标人发出中标通知书，同时编制发布采购结果公告。</w:t>
      </w:r>
    </w:p>
    <w:p w14:paraId="03E91CC5">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3.2公告期限为1个工作日。</w:t>
      </w:r>
    </w:p>
    <w:p w14:paraId="2CD40E79">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41D8DF4F">
      <w:pPr>
        <w:pStyle w:val="9"/>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 xml:space="preserve">4. </w:t>
      </w:r>
      <w:r>
        <w:rPr>
          <w:rFonts w:hint="eastAsia" w:ascii="仿宋" w:hAnsi="仿宋" w:eastAsia="仿宋" w:cs="仿宋"/>
        </w:rPr>
        <w:t>合同主要条款详见第五部分拟签订的合同文本。</w:t>
      </w:r>
    </w:p>
    <w:p w14:paraId="520D809B">
      <w:pPr>
        <w:pStyle w:val="9"/>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5. 合同的签订</w:t>
      </w:r>
    </w:p>
    <w:p w14:paraId="5B6B7B18">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lang w:val="en-US" w:eastAsia="zh-CN"/>
        </w:rPr>
        <w:t>3</w:t>
      </w:r>
      <w:r>
        <w:rPr>
          <w:rFonts w:hint="eastAsia" w:ascii="仿宋" w:hAnsi="仿宋" w:eastAsia="仿宋" w:cs="仿宋"/>
          <w:sz w:val="24"/>
        </w:rPr>
        <w:t>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305A725B">
      <w:pPr>
        <w:pStyle w:val="2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en-US" w:eastAsia="zh-CN"/>
        </w:rPr>
        <w:t>3</w:t>
      </w:r>
      <w:r>
        <w:rPr>
          <w:rFonts w:hint="eastAsia" w:ascii="仿宋" w:hAnsi="仿宋" w:eastAsia="仿宋" w:cs="仿宋"/>
          <w:kern w:val="0"/>
          <w:lang w:val="zh-CN"/>
        </w:rPr>
        <w:t>5.2中标人按规定的日期、时间、地点，由法定代表人或其授权代表与采购人代表签订合同。如中标人为联合体的，由联合体成员各方法定代表人或其授权代表与采购人代表签订合同。</w:t>
      </w:r>
    </w:p>
    <w:p w14:paraId="40DA7B85">
      <w:pPr>
        <w:pStyle w:val="2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lang w:val="en-US" w:eastAsia="zh-CN"/>
        </w:rPr>
        <w:t>3</w:t>
      </w:r>
      <w:r>
        <w:rPr>
          <w:rFonts w:hint="eastAsia" w:ascii="仿宋" w:hAnsi="仿宋" w:eastAsia="仿宋" w:cs="仿宋"/>
        </w:rPr>
        <w:t>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6FE23A76">
      <w:pPr>
        <w:pStyle w:val="2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5.4如签订合同并生效后，供应商无故拒绝或延期，除按照合同条款处理外，将上报政府采购监管部门予以处理。</w:t>
      </w:r>
    </w:p>
    <w:p w14:paraId="60312E92">
      <w:pPr>
        <w:pStyle w:val="2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5.5中标供应商拒绝与采购人签订合同的，采购人应当重新开展政府采购活动。</w:t>
      </w:r>
    </w:p>
    <w:p w14:paraId="46739F79">
      <w:pPr>
        <w:pStyle w:val="9"/>
        <w:keepNext w:val="0"/>
        <w:keepLines w:val="0"/>
        <w:pageBreakBefore w:val="0"/>
        <w:widowControl w:val="0"/>
        <w:kinsoku/>
        <w:wordWrap/>
        <w:overflowPunct/>
        <w:topLinePunct w:val="0"/>
        <w:autoSpaceDE/>
        <w:autoSpaceDN/>
        <w:bidi w:val="0"/>
        <w:adjustRightInd w:val="0"/>
        <w:spacing w:line="420" w:lineRule="exact"/>
        <w:ind w:left="479" w:leftChars="228" w:firstLine="0" w:firstLineChars="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5.6采购合同由采购人与中标供应商根据招标文件、投标文件等内容签订并公告。</w:t>
      </w:r>
    </w:p>
    <w:p w14:paraId="132CB7FC">
      <w:pPr>
        <w:pStyle w:val="9"/>
        <w:keepNext w:val="0"/>
        <w:keepLines w:val="0"/>
        <w:pageBreakBefore w:val="0"/>
        <w:widowControl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6. 履约保证金</w:t>
      </w:r>
    </w:p>
    <w:p w14:paraId="61C7E50B">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lang w:val="en-US" w:eastAsia="zh-CN"/>
        </w:rPr>
        <w:t>36.1</w:t>
      </w: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651CEB65">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lang w:val="en-US" w:eastAsia="zh-CN"/>
        </w:rPr>
        <w:t>36.2</w:t>
      </w:r>
      <w:r>
        <w:rPr>
          <w:rFonts w:hint="eastAsia" w:ascii="仿宋" w:hAnsi="仿宋" w:eastAsia="仿宋" w:cs="仿宋"/>
          <w:kern w:val="0"/>
          <w:sz w:val="24"/>
        </w:rPr>
        <w:t>供应商可登录政府采购云平台-【金融服务】—【我的项目】—【已备案合同】以保函形式提供。政府采购云平台金融专线400-903-9583。</w:t>
      </w:r>
    </w:p>
    <w:p w14:paraId="639C9B63">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7E7D7423">
      <w:pPr>
        <w:pStyle w:val="2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lang w:val="en-US" w:eastAsia="zh-CN"/>
        </w:rPr>
        <w:t>3</w:t>
      </w:r>
      <w:r>
        <w:rPr>
          <w:rFonts w:hint="eastAsia" w:ascii="仿宋" w:hAnsi="仿宋" w:eastAsia="仿宋" w:cs="仿宋"/>
          <w:b/>
          <w:bCs/>
        </w:rPr>
        <w:t xml:space="preserve">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50FD104D">
      <w:pPr>
        <w:pStyle w:val="2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 xml:space="preserve">7.1电子交易平台发生故障而无法登录访问的； </w:t>
      </w:r>
    </w:p>
    <w:p w14:paraId="52DB8D72">
      <w:pPr>
        <w:pStyle w:val="2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7.2电子交易平台应用或数据库出现错误，不能进行正常操作的；</w:t>
      </w:r>
    </w:p>
    <w:p w14:paraId="47D90559">
      <w:pPr>
        <w:pStyle w:val="2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7.3电子交易平台发现严重安全漏洞，有潜在泄密危险的；</w:t>
      </w:r>
    </w:p>
    <w:p w14:paraId="4A793A95">
      <w:pPr>
        <w:pStyle w:val="2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 xml:space="preserve">7.4病毒发作导致不能进行正常操作的； </w:t>
      </w:r>
    </w:p>
    <w:p w14:paraId="53D5382A">
      <w:pPr>
        <w:pStyle w:val="2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7.5其他无法保证电子交易的公平、公正和安全的情况。</w:t>
      </w:r>
    </w:p>
    <w:p w14:paraId="3BDFEE79">
      <w:pPr>
        <w:pStyle w:val="2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lang w:val="en-US" w:eastAsia="zh-CN"/>
        </w:rPr>
        <w:t>3</w:t>
      </w:r>
      <w:r>
        <w:rPr>
          <w:rFonts w:hint="eastAsia" w:ascii="仿宋" w:hAnsi="仿宋" w:eastAsia="仿宋" w:cs="仿宋"/>
          <w:b/>
          <w:bCs/>
        </w:rPr>
        <w:t>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0020813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6304476C">
      <w:pPr>
        <w:pStyle w:val="9"/>
        <w:keepNext w:val="0"/>
        <w:keepLines w:val="0"/>
        <w:pageBreakBefore w:val="0"/>
        <w:widowControl w:val="0"/>
        <w:kinsoku/>
        <w:wordWrap/>
        <w:overflowPunct/>
        <w:topLinePunct w:val="0"/>
        <w:autoSpaceDE/>
        <w:autoSpaceDN/>
        <w:bidi w:val="0"/>
        <w:adjustRightInd w:val="0"/>
        <w:spacing w:line="420" w:lineRule="exact"/>
        <w:ind w:left="0" w:leftChars="0" w:firstLine="0" w:firstLineChars="0"/>
        <w:jc w:val="both"/>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9.验收</w:t>
      </w:r>
    </w:p>
    <w:p w14:paraId="09D2EA1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EA6FA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9.2采购人可以邀请参加本项目的其他投标人或者第三方机构参与验收。参与验收的投标人或者第三方机构的意见作为验收书的参考资料一并存档。</w:t>
      </w:r>
    </w:p>
    <w:p w14:paraId="49D70E93">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1FB2D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2DCD63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p>
    <w:p w14:paraId="0E3DFA82">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p>
    <w:p w14:paraId="0B53C909">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采购需求</w:t>
      </w:r>
    </w:p>
    <w:p w14:paraId="301A68EC">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（一）采购内容</w:t>
      </w:r>
    </w:p>
    <w:p w14:paraId="14E1548B">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为不断提升统计数据质量，加强基层统计基础建设，深入把握总体经济发展态势，采购人委托统计事务所对辖区内涉及统计的各类企业（包括“四上企业”、规下限下企业、固定资产投资项目企业等）开展统计咨询、培训和辅助服务等工作。</w:t>
      </w:r>
    </w:p>
    <w:p w14:paraId="55A3E64D">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（二）具体服务要求</w:t>
      </w:r>
    </w:p>
    <w:p w14:paraId="7D39C71B">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1.在合同正式签订生效后，中标单位须派遣统计服务专员与采购人共同对辖区内四上企业”、规下限下企业、固定资产投资项目企业等开展摸排和走访，全面了解、掌握企业的统计生态、生产经营状况等；</w:t>
      </w:r>
    </w:p>
    <w:p w14:paraId="3A1BBB74">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2.根据企业走访情况，汇总并分析相关信息，形成辖区分行业的统计生态报告；</w:t>
      </w:r>
    </w:p>
    <w:p w14:paraId="71D89B8D">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3.分行业、分专业对辖区内企业统计员开展台账业务培训，提升基层统计人员整体业务能力，实现辖区内统计台账培训全覆盖；</w:t>
      </w:r>
    </w:p>
    <w:p w14:paraId="039C38A3">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4.对存在问题的企业开展一对一指导服务，针对性地进行答疑解惑；</w:t>
      </w:r>
    </w:p>
    <w:p w14:paraId="50F7D7ED">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（三）人员投入及要求</w:t>
      </w:r>
    </w:p>
    <w:p w14:paraId="05AC7D6E">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1.合同生效后，投标人需设立统计服务小组协助采购人做好统计服务工作，小组成员要</w:t>
      </w:r>
    </w:p>
    <w:p w14:paraId="0E6CE54F">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求不少于3名，并且派遣一位常驻人员在次坞镇人民政府驻点；</w:t>
      </w:r>
    </w:p>
    <w:p w14:paraId="00D0F9C3">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2.投标人须在中标后30日内在诸暨市设立服务网点，确保服务响应的及时性。</w:t>
      </w:r>
    </w:p>
    <w:p w14:paraId="2D693828">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六、商务要求</w:t>
      </w:r>
    </w:p>
    <w:p w14:paraId="4FEA5DFC">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★1.服务期限：1年</w:t>
      </w:r>
    </w:p>
    <w:p w14:paraId="59307E59">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2.技术培训：</w:t>
      </w:r>
    </w:p>
    <w:p w14:paraId="16260C01">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中标人需负责对采购人的技术人员进行培训。投标人须在投标文件中提供详细的培训计划，包括培训内容、培训时间、培训费用等。技术培训费用应包含在投标总价。</w:t>
      </w:r>
    </w:p>
    <w:p w14:paraId="6A29BBE3">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3.数量调整：</w:t>
      </w:r>
    </w:p>
    <w:p w14:paraId="664F4909">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招标人保留在签约时微调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且不高于分散采购限额标准。</w:t>
      </w:r>
    </w:p>
    <w:p w14:paraId="1DFA7A29">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4.验收</w:t>
      </w:r>
    </w:p>
    <w:p w14:paraId="41E149F5">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验收按国家有关规范标准（国家无验收规范标准的按双方合同规定的要求）进行。</w:t>
      </w:r>
    </w:p>
    <w:p w14:paraId="604E685E">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采购人保留邀请参加本项目的其他投标人或者第三方机构或相关技术专家参与验收的权利。参与验收的投标人或者第三方机构的意见作为验收书的参考资料一并存档。</w:t>
      </w:r>
    </w:p>
    <w:p w14:paraId="0860BAF3">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★5.付款方式</w:t>
      </w:r>
    </w:p>
    <w:p w14:paraId="5CDED670">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（1）采购人应当在合同签订且具备实施条件（包括人员到岗）15天内支付合同价的40%；</w:t>
      </w:r>
    </w:p>
    <w:p w14:paraId="148177D8">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（2）采购人应当在合同生效日起的六个月之后进行年中结算，并在结算后30天内支付</w:t>
      </w:r>
    </w:p>
    <w:p w14:paraId="7AAF2167">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至合同价的70%；</w:t>
      </w:r>
    </w:p>
    <w:p w14:paraId="15CBFE77">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（3）采购人在供应商合同履约完成、档案资料归档完成并移交至采购人后的30天内进行项目结算，并支付剩余服务费；</w:t>
      </w:r>
    </w:p>
    <w:p w14:paraId="08B0F5CC">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（4）每次付款时，中标人须按要求提供规范的结算发票作为凭证。</w:t>
      </w:r>
    </w:p>
    <w:p w14:paraId="194AB150">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6.最高限价</w:t>
      </w:r>
    </w:p>
    <w:p w14:paraId="475B6DC2">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本次采购最高限价为人民币48万元（￥480000.00）整 ，任何超过最高限价的报价将被认定为无效报价。</w:t>
      </w:r>
    </w:p>
    <w:p w14:paraId="59812823">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kern w:val="2"/>
          <w:sz w:val="24"/>
          <w:szCs w:val="24"/>
          <w:u w:val="single"/>
          <w:lang w:val="en-US" w:eastAsia="zh-CN" w:bidi="ar-SA"/>
        </w:rPr>
        <w:t>注：★为实质性响应项，不满足则投标无效。“▲”是关键技术参数及要求。</w:t>
      </w:r>
    </w:p>
    <w:p w14:paraId="4D4EFA70">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p>
    <w:p w14:paraId="6EC4645C">
      <w:pPr>
        <w:pStyle w:val="2"/>
        <w:numPr>
          <w:ilvl w:val="0"/>
          <w:numId w:val="0"/>
        </w:numPr>
        <w:ind w:leftChars="0"/>
      </w:pPr>
    </w:p>
    <w:p w14:paraId="0200D091"/>
    <w:p w14:paraId="3BAA5A45"/>
    <w:p w14:paraId="4A84FEBF"/>
    <w:p w14:paraId="453A670A"/>
    <w:p w14:paraId="2B26C0D6"/>
    <w:p w14:paraId="6997A514"/>
    <w:p w14:paraId="7D4894F9"/>
    <w:p w14:paraId="47BC2CB0"/>
    <w:p w14:paraId="1B57A46C"/>
    <w:p w14:paraId="245D4A55"/>
    <w:p w14:paraId="0F14A977"/>
    <w:p w14:paraId="582B5422"/>
    <w:p w14:paraId="09AAC42B"/>
    <w:p w14:paraId="41FFACF9"/>
    <w:p w14:paraId="6A4F48EE"/>
    <w:p w14:paraId="0C22E46E"/>
    <w:p w14:paraId="0BE27B9B"/>
    <w:p w14:paraId="6231516D"/>
    <w:p w14:paraId="0059462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1" w:name="_Toc184314427"/>
      <w:bookmarkEnd w:id="1"/>
      <w:bookmarkStart w:id="2" w:name="_Toc184310335"/>
      <w:bookmarkEnd w:id="2"/>
      <w:bookmarkStart w:id="3" w:name="_Toc184308060"/>
      <w:bookmarkEnd w:id="3"/>
      <w:bookmarkStart w:id="4" w:name="_Toc184314438"/>
      <w:bookmarkEnd w:id="4"/>
      <w:bookmarkStart w:id="5" w:name="_Toc184308064"/>
      <w:bookmarkEnd w:id="5"/>
      <w:bookmarkStart w:id="6" w:name="_Toc184313272"/>
      <w:bookmarkEnd w:id="6"/>
      <w:bookmarkStart w:id="7" w:name="_Toc184308087"/>
      <w:bookmarkEnd w:id="7"/>
      <w:bookmarkStart w:id="8" w:name="_Toc184310319"/>
      <w:bookmarkEnd w:id="8"/>
      <w:bookmarkStart w:id="9" w:name="_Toc184313288"/>
      <w:bookmarkEnd w:id="9"/>
      <w:bookmarkStart w:id="10" w:name="_Toc184310313"/>
      <w:bookmarkEnd w:id="10"/>
      <w:bookmarkStart w:id="11" w:name="_Toc184308079"/>
      <w:bookmarkEnd w:id="11"/>
      <w:bookmarkStart w:id="12" w:name="_Toc184314450"/>
      <w:bookmarkEnd w:id="12"/>
      <w:bookmarkStart w:id="13" w:name="_Toc184314471"/>
      <w:bookmarkEnd w:id="13"/>
      <w:bookmarkStart w:id="14" w:name="_Toc184314418"/>
      <w:bookmarkEnd w:id="14"/>
      <w:bookmarkStart w:id="15" w:name="_Toc184310337"/>
      <w:bookmarkEnd w:id="15"/>
      <w:bookmarkStart w:id="16" w:name="_Toc184312116"/>
      <w:bookmarkEnd w:id="16"/>
      <w:bookmarkStart w:id="17" w:name="_Toc184313238"/>
      <w:bookmarkEnd w:id="17"/>
      <w:bookmarkStart w:id="18" w:name="_Toc184312127"/>
      <w:bookmarkEnd w:id="18"/>
      <w:bookmarkStart w:id="19" w:name="_Toc184310320"/>
      <w:bookmarkEnd w:id="19"/>
      <w:bookmarkStart w:id="20" w:name="_Toc184314421"/>
      <w:bookmarkEnd w:id="20"/>
      <w:bookmarkStart w:id="21" w:name="_Toc184314453"/>
      <w:bookmarkEnd w:id="21"/>
      <w:bookmarkStart w:id="22" w:name="_Toc184312088"/>
      <w:bookmarkEnd w:id="22"/>
      <w:bookmarkStart w:id="23" w:name="_Toc184313239"/>
      <w:bookmarkEnd w:id="23"/>
      <w:bookmarkStart w:id="24" w:name="_Toc184312104"/>
      <w:bookmarkEnd w:id="24"/>
      <w:bookmarkStart w:id="25" w:name="_Toc184308054"/>
      <w:bookmarkEnd w:id="25"/>
      <w:bookmarkStart w:id="26" w:name="_Toc184313300"/>
      <w:bookmarkEnd w:id="26"/>
      <w:bookmarkStart w:id="27" w:name="_Toc184314420"/>
      <w:bookmarkEnd w:id="27"/>
      <w:bookmarkStart w:id="28" w:name="_Toc184314440"/>
      <w:bookmarkEnd w:id="28"/>
      <w:bookmarkStart w:id="29" w:name="_Toc184314432"/>
      <w:bookmarkEnd w:id="29"/>
      <w:bookmarkStart w:id="30" w:name="_Toc184310288"/>
      <w:bookmarkEnd w:id="30"/>
      <w:bookmarkStart w:id="31" w:name="_Toc184310343"/>
      <w:bookmarkEnd w:id="31"/>
      <w:bookmarkStart w:id="32" w:name="_Toc184314434"/>
      <w:bookmarkEnd w:id="32"/>
      <w:bookmarkStart w:id="33" w:name="_Toc184313254"/>
      <w:bookmarkEnd w:id="33"/>
      <w:bookmarkStart w:id="34" w:name="_Toc184313264"/>
      <w:bookmarkEnd w:id="34"/>
      <w:bookmarkStart w:id="35" w:name="_Toc184313308"/>
      <w:bookmarkEnd w:id="35"/>
      <w:bookmarkStart w:id="36" w:name="_Toc184312103"/>
      <w:bookmarkEnd w:id="36"/>
      <w:bookmarkStart w:id="37" w:name="_Toc184313289"/>
      <w:bookmarkEnd w:id="37"/>
      <w:bookmarkStart w:id="38" w:name="_Toc184313282"/>
      <w:bookmarkEnd w:id="38"/>
      <w:bookmarkStart w:id="39" w:name="_Toc184310307"/>
      <w:bookmarkEnd w:id="39"/>
      <w:bookmarkStart w:id="40" w:name="_Toc184308080"/>
      <w:bookmarkEnd w:id="40"/>
      <w:bookmarkStart w:id="41" w:name="_Toc184312101"/>
      <w:bookmarkEnd w:id="41"/>
      <w:bookmarkStart w:id="42" w:name="_Toc184310292"/>
      <w:bookmarkEnd w:id="42"/>
      <w:bookmarkStart w:id="43" w:name="_Toc184308092"/>
      <w:bookmarkEnd w:id="43"/>
      <w:bookmarkStart w:id="44" w:name="_Toc184308041"/>
      <w:bookmarkEnd w:id="44"/>
      <w:bookmarkStart w:id="45" w:name="_Toc184314445"/>
      <w:bookmarkEnd w:id="45"/>
      <w:bookmarkStart w:id="46" w:name="_Toc184310322"/>
      <w:bookmarkEnd w:id="46"/>
      <w:bookmarkStart w:id="47" w:name="_Toc184312117"/>
      <w:bookmarkEnd w:id="47"/>
      <w:bookmarkStart w:id="48" w:name="_Toc184314461"/>
      <w:bookmarkEnd w:id="48"/>
      <w:bookmarkStart w:id="49" w:name="_Toc184314422"/>
      <w:bookmarkEnd w:id="49"/>
      <w:bookmarkStart w:id="50" w:name="_Toc184308062"/>
      <w:bookmarkEnd w:id="50"/>
      <w:bookmarkStart w:id="51" w:name="_Toc184308068"/>
      <w:bookmarkEnd w:id="51"/>
      <w:bookmarkStart w:id="52" w:name="_Toc184312077"/>
      <w:bookmarkEnd w:id="52"/>
      <w:bookmarkStart w:id="53" w:name="_Toc184313252"/>
      <w:bookmarkEnd w:id="53"/>
      <w:bookmarkStart w:id="54" w:name="_Toc184313294"/>
      <w:bookmarkEnd w:id="54"/>
      <w:bookmarkStart w:id="55" w:name="_Toc184310274"/>
      <w:bookmarkEnd w:id="55"/>
      <w:bookmarkStart w:id="56" w:name="_Toc184312130"/>
      <w:bookmarkEnd w:id="56"/>
      <w:bookmarkStart w:id="57" w:name="_Toc184308075"/>
      <w:bookmarkEnd w:id="57"/>
      <w:bookmarkStart w:id="58" w:name="_Toc184313283"/>
      <w:bookmarkEnd w:id="58"/>
      <w:bookmarkStart w:id="59" w:name="_Toc184312095"/>
      <w:bookmarkEnd w:id="59"/>
      <w:bookmarkStart w:id="60" w:name="_Toc184314452"/>
      <w:bookmarkEnd w:id="60"/>
      <w:bookmarkStart w:id="61" w:name="_Toc184310275"/>
      <w:bookmarkEnd w:id="61"/>
      <w:bookmarkStart w:id="62" w:name="_Toc184313256"/>
      <w:bookmarkEnd w:id="62"/>
      <w:bookmarkStart w:id="63" w:name="_Toc184310303"/>
      <w:bookmarkEnd w:id="63"/>
      <w:bookmarkStart w:id="64" w:name="_Toc184308085"/>
      <w:bookmarkEnd w:id="64"/>
      <w:bookmarkStart w:id="65" w:name="_Toc184314442"/>
      <w:bookmarkEnd w:id="65"/>
      <w:bookmarkStart w:id="66" w:name="_Toc184314425"/>
      <w:bookmarkEnd w:id="66"/>
      <w:bookmarkStart w:id="67" w:name="_Toc184308058"/>
      <w:bookmarkEnd w:id="67"/>
      <w:bookmarkStart w:id="68" w:name="_Toc184313251"/>
      <w:bookmarkEnd w:id="68"/>
      <w:bookmarkStart w:id="69" w:name="_Toc184313303"/>
      <w:bookmarkEnd w:id="69"/>
      <w:bookmarkStart w:id="70" w:name="_Toc184313291"/>
      <w:bookmarkEnd w:id="70"/>
      <w:bookmarkStart w:id="71" w:name="_Toc184310315"/>
      <w:bookmarkEnd w:id="71"/>
      <w:bookmarkStart w:id="72" w:name="_Toc184310277"/>
      <w:bookmarkEnd w:id="72"/>
      <w:bookmarkStart w:id="73" w:name="_Toc184314446"/>
      <w:bookmarkEnd w:id="73"/>
      <w:bookmarkStart w:id="74" w:name="_Toc184308077"/>
      <w:bookmarkEnd w:id="74"/>
      <w:bookmarkStart w:id="75" w:name="_Toc184312082"/>
      <w:bookmarkEnd w:id="75"/>
      <w:bookmarkStart w:id="76" w:name="_Toc184308059"/>
      <w:bookmarkEnd w:id="76"/>
      <w:bookmarkStart w:id="77" w:name="_Toc184313260"/>
      <w:bookmarkEnd w:id="77"/>
      <w:bookmarkStart w:id="78" w:name="_Toc184308106"/>
      <w:bookmarkEnd w:id="78"/>
      <w:bookmarkStart w:id="79" w:name="_Toc184308070"/>
      <w:bookmarkEnd w:id="79"/>
      <w:bookmarkStart w:id="80" w:name="_Toc184313309"/>
      <w:bookmarkEnd w:id="80"/>
      <w:bookmarkStart w:id="81" w:name="_Toc184312090"/>
      <w:bookmarkEnd w:id="81"/>
      <w:bookmarkStart w:id="82" w:name="_Toc184310308"/>
      <w:bookmarkEnd w:id="82"/>
      <w:bookmarkStart w:id="83" w:name="_Toc184312084"/>
      <w:bookmarkEnd w:id="83"/>
      <w:bookmarkStart w:id="84" w:name="_Toc184313245"/>
      <w:bookmarkEnd w:id="84"/>
      <w:bookmarkStart w:id="85" w:name="_Toc184314475"/>
      <w:bookmarkEnd w:id="85"/>
      <w:bookmarkStart w:id="86" w:name="_Toc184308107"/>
      <w:bookmarkEnd w:id="86"/>
      <w:bookmarkStart w:id="87" w:name="_Toc184313277"/>
      <w:bookmarkEnd w:id="87"/>
      <w:bookmarkStart w:id="88" w:name="_Toc184312110"/>
      <w:bookmarkEnd w:id="88"/>
      <w:bookmarkStart w:id="89" w:name="_Toc184308053"/>
      <w:bookmarkEnd w:id="89"/>
      <w:bookmarkStart w:id="90" w:name="_Toc184312138"/>
      <w:bookmarkEnd w:id="90"/>
      <w:bookmarkStart w:id="91" w:name="_Toc184312087"/>
      <w:bookmarkEnd w:id="91"/>
      <w:bookmarkStart w:id="92" w:name="_Toc184313250"/>
      <w:bookmarkEnd w:id="92"/>
      <w:bookmarkStart w:id="93" w:name="_Toc184314441"/>
      <w:bookmarkEnd w:id="93"/>
      <w:bookmarkStart w:id="94" w:name="_Toc184308090"/>
      <w:bookmarkEnd w:id="94"/>
      <w:bookmarkStart w:id="95" w:name="_Toc184312122"/>
      <w:bookmarkEnd w:id="95"/>
      <w:bookmarkStart w:id="96" w:name="_Toc184310291"/>
      <w:bookmarkEnd w:id="96"/>
      <w:bookmarkStart w:id="97" w:name="_Toc184308072"/>
      <w:bookmarkEnd w:id="97"/>
      <w:bookmarkStart w:id="98" w:name="_Toc184308081"/>
      <w:bookmarkEnd w:id="98"/>
      <w:bookmarkStart w:id="99" w:name="_Toc184314415"/>
      <w:bookmarkEnd w:id="99"/>
      <w:bookmarkStart w:id="100" w:name="_Toc184308045"/>
      <w:bookmarkEnd w:id="100"/>
      <w:bookmarkStart w:id="101" w:name="_Toc184312114"/>
      <w:bookmarkEnd w:id="101"/>
      <w:bookmarkStart w:id="102" w:name="_Toc184313240"/>
      <w:bookmarkEnd w:id="102"/>
      <w:bookmarkStart w:id="103" w:name="_Toc184310318"/>
      <w:bookmarkEnd w:id="103"/>
      <w:bookmarkStart w:id="104" w:name="_Toc184312073"/>
      <w:bookmarkEnd w:id="104"/>
      <w:bookmarkStart w:id="105" w:name="_Toc184310338"/>
      <w:bookmarkEnd w:id="105"/>
      <w:bookmarkStart w:id="106" w:name="_Toc184308055"/>
      <w:bookmarkEnd w:id="106"/>
      <w:bookmarkStart w:id="107" w:name="_Toc184310289"/>
      <w:bookmarkEnd w:id="107"/>
      <w:bookmarkStart w:id="108" w:name="_Toc184310280"/>
      <w:bookmarkEnd w:id="108"/>
      <w:bookmarkStart w:id="109" w:name="_Toc184308083"/>
      <w:bookmarkEnd w:id="109"/>
      <w:bookmarkStart w:id="110" w:name="_Toc184312112"/>
      <w:bookmarkEnd w:id="110"/>
      <w:bookmarkStart w:id="111" w:name="_Toc184313269"/>
      <w:bookmarkEnd w:id="111"/>
      <w:bookmarkStart w:id="112" w:name="_Toc184312092"/>
      <w:bookmarkEnd w:id="112"/>
      <w:bookmarkStart w:id="113" w:name="_Toc184314465"/>
      <w:bookmarkEnd w:id="113"/>
      <w:bookmarkStart w:id="114" w:name="_Toc184313287"/>
      <w:bookmarkEnd w:id="114"/>
      <w:bookmarkStart w:id="115" w:name="_Toc184314467"/>
      <w:bookmarkEnd w:id="115"/>
      <w:bookmarkStart w:id="116" w:name="_Toc184308091"/>
      <w:bookmarkEnd w:id="116"/>
      <w:bookmarkStart w:id="117" w:name="_Toc184312119"/>
      <w:bookmarkEnd w:id="117"/>
      <w:bookmarkStart w:id="118" w:name="_Toc184314433"/>
      <w:bookmarkEnd w:id="118"/>
      <w:bookmarkStart w:id="119" w:name="_Toc184313276"/>
      <w:bookmarkEnd w:id="119"/>
      <w:bookmarkStart w:id="120" w:name="_Toc184312137"/>
      <w:bookmarkEnd w:id="120"/>
      <w:bookmarkStart w:id="121" w:name="_Toc184314459"/>
      <w:bookmarkEnd w:id="121"/>
      <w:bookmarkStart w:id="122" w:name="_Toc184312108"/>
      <w:bookmarkEnd w:id="122"/>
      <w:bookmarkStart w:id="123" w:name="_Toc184312102"/>
      <w:bookmarkEnd w:id="123"/>
      <w:bookmarkStart w:id="124" w:name="_Toc184312099"/>
      <w:bookmarkEnd w:id="124"/>
      <w:bookmarkStart w:id="125" w:name="_Toc184312100"/>
      <w:bookmarkEnd w:id="125"/>
      <w:bookmarkStart w:id="126" w:name="_Toc184312126"/>
      <w:bookmarkEnd w:id="126"/>
      <w:bookmarkStart w:id="127" w:name="_Toc184308042"/>
      <w:bookmarkEnd w:id="127"/>
      <w:bookmarkStart w:id="128" w:name="_Toc184308061"/>
      <w:bookmarkEnd w:id="128"/>
      <w:bookmarkStart w:id="129" w:name="_Toc184313279"/>
      <w:bookmarkEnd w:id="129"/>
      <w:bookmarkStart w:id="130" w:name="_Toc184308078"/>
      <w:bookmarkEnd w:id="130"/>
      <w:bookmarkStart w:id="131" w:name="_Toc184313243"/>
      <w:bookmarkEnd w:id="131"/>
      <w:bookmarkStart w:id="132" w:name="_Toc184310297"/>
      <w:bookmarkEnd w:id="132"/>
      <w:bookmarkStart w:id="133" w:name="_Toc184314410"/>
      <w:bookmarkEnd w:id="133"/>
      <w:bookmarkStart w:id="134" w:name="_Toc184308095"/>
      <w:bookmarkEnd w:id="134"/>
      <w:bookmarkStart w:id="135" w:name="_Toc184310306"/>
      <w:bookmarkEnd w:id="135"/>
      <w:bookmarkStart w:id="136" w:name="_Toc184314423"/>
      <w:bookmarkEnd w:id="136"/>
      <w:bookmarkStart w:id="137" w:name="_Toc184312067"/>
      <w:bookmarkEnd w:id="137"/>
      <w:bookmarkStart w:id="138" w:name="_Toc184314436"/>
      <w:bookmarkEnd w:id="138"/>
      <w:bookmarkStart w:id="139" w:name="_Toc184312075"/>
      <w:bookmarkEnd w:id="139"/>
      <w:bookmarkStart w:id="140" w:name="_Toc184312071"/>
      <w:bookmarkEnd w:id="140"/>
      <w:bookmarkStart w:id="141" w:name="_Toc184310336"/>
      <w:bookmarkEnd w:id="141"/>
      <w:bookmarkStart w:id="142" w:name="_Toc184310300"/>
      <w:bookmarkEnd w:id="142"/>
      <w:bookmarkStart w:id="143" w:name="_Toc184312080"/>
      <w:bookmarkEnd w:id="143"/>
      <w:bookmarkStart w:id="144" w:name="_Toc184314419"/>
      <w:bookmarkEnd w:id="144"/>
      <w:bookmarkStart w:id="145" w:name="_Toc184312089"/>
      <w:bookmarkEnd w:id="145"/>
      <w:bookmarkStart w:id="146" w:name="_Toc184308040"/>
      <w:bookmarkEnd w:id="146"/>
      <w:bookmarkStart w:id="147" w:name="_Toc184312131"/>
      <w:bookmarkEnd w:id="147"/>
      <w:bookmarkStart w:id="148" w:name="_Toc184310328"/>
      <w:bookmarkEnd w:id="148"/>
      <w:bookmarkStart w:id="149" w:name="_Toc184310283"/>
      <w:bookmarkEnd w:id="149"/>
      <w:bookmarkStart w:id="150" w:name="_Toc184312072"/>
      <w:bookmarkEnd w:id="150"/>
      <w:bookmarkStart w:id="151" w:name="_Toc184313310"/>
      <w:bookmarkEnd w:id="151"/>
      <w:bookmarkStart w:id="152" w:name="_Toc184308036"/>
      <w:bookmarkEnd w:id="152"/>
      <w:bookmarkStart w:id="153" w:name="_Toc184310282"/>
      <w:bookmarkEnd w:id="153"/>
      <w:bookmarkStart w:id="154" w:name="_Toc184314447"/>
      <w:bookmarkEnd w:id="154"/>
      <w:bookmarkStart w:id="155" w:name="_Toc184308096"/>
      <w:bookmarkEnd w:id="155"/>
      <w:bookmarkStart w:id="156" w:name="_Toc184313280"/>
      <w:bookmarkEnd w:id="156"/>
      <w:bookmarkStart w:id="157" w:name="_Toc184314482"/>
      <w:bookmarkEnd w:id="157"/>
      <w:bookmarkStart w:id="158" w:name="_Toc184310273"/>
      <w:bookmarkEnd w:id="158"/>
      <w:bookmarkStart w:id="159" w:name="_Toc184312079"/>
      <w:bookmarkEnd w:id="159"/>
      <w:bookmarkStart w:id="160" w:name="_Toc184312134"/>
      <w:bookmarkEnd w:id="160"/>
      <w:bookmarkStart w:id="161" w:name="_Toc184313290"/>
      <w:bookmarkEnd w:id="161"/>
      <w:bookmarkStart w:id="162" w:name="_Toc184314411"/>
      <w:bookmarkEnd w:id="162"/>
      <w:bookmarkStart w:id="163" w:name="_Toc184314479"/>
      <w:bookmarkEnd w:id="163"/>
      <w:bookmarkStart w:id="164" w:name="_Toc184310294"/>
      <w:bookmarkEnd w:id="164"/>
      <w:bookmarkStart w:id="165" w:name="_Toc184308049"/>
      <w:bookmarkEnd w:id="165"/>
      <w:bookmarkStart w:id="166" w:name="_Toc184308101"/>
      <w:bookmarkEnd w:id="166"/>
      <w:bookmarkStart w:id="167" w:name="_Toc184310295"/>
      <w:bookmarkEnd w:id="167"/>
      <w:bookmarkStart w:id="168" w:name="_Toc184310314"/>
      <w:bookmarkEnd w:id="168"/>
      <w:bookmarkStart w:id="169" w:name="_Toc184314430"/>
      <w:bookmarkEnd w:id="169"/>
      <w:bookmarkStart w:id="170" w:name="_Toc184314437"/>
      <w:bookmarkEnd w:id="170"/>
      <w:bookmarkStart w:id="171" w:name="_Toc184313262"/>
      <w:bookmarkEnd w:id="171"/>
      <w:bookmarkStart w:id="172" w:name="_Toc184312081"/>
      <w:bookmarkEnd w:id="172"/>
      <w:bookmarkStart w:id="173" w:name="_Toc184308082"/>
      <w:bookmarkEnd w:id="173"/>
      <w:bookmarkStart w:id="174" w:name="_Toc184310272"/>
      <w:bookmarkEnd w:id="174"/>
      <w:bookmarkStart w:id="175" w:name="_Toc184312115"/>
      <w:bookmarkEnd w:id="175"/>
      <w:bookmarkStart w:id="176" w:name="_Toc184313281"/>
      <w:bookmarkEnd w:id="176"/>
      <w:bookmarkStart w:id="177" w:name="_Toc184313296"/>
      <w:bookmarkEnd w:id="177"/>
      <w:bookmarkStart w:id="178" w:name="_Toc184313242"/>
      <w:bookmarkEnd w:id="178"/>
      <w:bookmarkStart w:id="179" w:name="_Toc184310339"/>
      <w:bookmarkEnd w:id="179"/>
      <w:bookmarkStart w:id="180" w:name="_Toc184312113"/>
      <w:bookmarkEnd w:id="180"/>
      <w:bookmarkStart w:id="181" w:name="_Toc184308057"/>
      <w:bookmarkEnd w:id="181"/>
      <w:bookmarkStart w:id="182" w:name="_Toc184314412"/>
      <w:bookmarkEnd w:id="182"/>
      <w:bookmarkStart w:id="183" w:name="_Toc184312125"/>
      <w:bookmarkEnd w:id="183"/>
      <w:bookmarkStart w:id="184" w:name="_Toc184313298"/>
      <w:bookmarkEnd w:id="184"/>
      <w:bookmarkStart w:id="185" w:name="_Toc184308066"/>
      <w:bookmarkEnd w:id="185"/>
      <w:bookmarkStart w:id="186" w:name="_Toc184313286"/>
      <w:bookmarkEnd w:id="186"/>
      <w:bookmarkStart w:id="187" w:name="_Toc184310279"/>
      <w:bookmarkEnd w:id="187"/>
      <w:bookmarkStart w:id="188" w:name="_Toc184314464"/>
      <w:bookmarkEnd w:id="188"/>
      <w:bookmarkStart w:id="189" w:name="_Toc184313304"/>
      <w:bookmarkEnd w:id="189"/>
      <w:bookmarkStart w:id="190" w:name="_Toc184313263"/>
      <w:bookmarkEnd w:id="190"/>
      <w:bookmarkStart w:id="191" w:name="_Toc184313255"/>
      <w:bookmarkEnd w:id="191"/>
      <w:bookmarkStart w:id="192" w:name="_Toc184310321"/>
      <w:bookmarkEnd w:id="192"/>
      <w:bookmarkStart w:id="193" w:name="_Toc184312093"/>
      <w:bookmarkEnd w:id="193"/>
      <w:bookmarkStart w:id="194" w:name="_Toc184308050"/>
      <w:bookmarkEnd w:id="194"/>
      <w:bookmarkStart w:id="195" w:name="_Toc184308102"/>
      <w:bookmarkEnd w:id="195"/>
      <w:bookmarkStart w:id="196" w:name="_Toc184313257"/>
      <w:bookmarkEnd w:id="196"/>
      <w:bookmarkStart w:id="197" w:name="_Toc184308093"/>
      <w:bookmarkEnd w:id="197"/>
      <w:bookmarkStart w:id="198" w:name="_Toc184313278"/>
      <w:bookmarkEnd w:id="198"/>
      <w:bookmarkStart w:id="199" w:name="_Toc184313307"/>
      <w:bookmarkEnd w:id="199"/>
      <w:bookmarkStart w:id="200" w:name="_Toc184313266"/>
      <w:bookmarkEnd w:id="200"/>
      <w:bookmarkStart w:id="201" w:name="_Toc184314455"/>
      <w:bookmarkEnd w:id="201"/>
      <w:bookmarkStart w:id="202" w:name="_Toc184314474"/>
      <w:bookmarkEnd w:id="202"/>
      <w:bookmarkStart w:id="203" w:name="_Toc184310290"/>
      <w:bookmarkEnd w:id="203"/>
      <w:bookmarkStart w:id="204" w:name="_Toc184314470"/>
      <w:bookmarkEnd w:id="204"/>
      <w:bookmarkStart w:id="205" w:name="_Toc184314417"/>
      <w:bookmarkEnd w:id="205"/>
      <w:bookmarkStart w:id="206" w:name="_Toc184310340"/>
      <w:bookmarkEnd w:id="206"/>
      <w:bookmarkStart w:id="207" w:name="_Toc184308105"/>
      <w:bookmarkEnd w:id="207"/>
      <w:bookmarkStart w:id="208" w:name="_Toc184308051"/>
      <w:bookmarkEnd w:id="208"/>
      <w:bookmarkStart w:id="209" w:name="_Toc184308108"/>
      <w:bookmarkEnd w:id="209"/>
      <w:bookmarkStart w:id="210" w:name="_Toc184312139"/>
      <w:bookmarkEnd w:id="210"/>
      <w:bookmarkStart w:id="211" w:name="_Toc184313274"/>
      <w:bookmarkEnd w:id="211"/>
      <w:bookmarkStart w:id="212" w:name="_Toc184314478"/>
      <w:bookmarkEnd w:id="212"/>
      <w:bookmarkStart w:id="213" w:name="_Toc184308037"/>
      <w:bookmarkEnd w:id="213"/>
      <w:bookmarkStart w:id="214" w:name="_Toc184313253"/>
      <w:bookmarkEnd w:id="214"/>
      <w:bookmarkStart w:id="215" w:name="_Toc184314431"/>
      <w:bookmarkEnd w:id="215"/>
      <w:bookmarkStart w:id="216" w:name="_Toc184312118"/>
      <w:bookmarkEnd w:id="216"/>
      <w:bookmarkStart w:id="217" w:name="_Toc184312124"/>
      <w:bookmarkEnd w:id="217"/>
      <w:bookmarkStart w:id="218" w:name="_Toc184314454"/>
      <w:bookmarkEnd w:id="218"/>
      <w:bookmarkStart w:id="219" w:name="_Toc184308065"/>
      <w:bookmarkEnd w:id="219"/>
      <w:bookmarkStart w:id="220" w:name="_Toc184310310"/>
      <w:bookmarkEnd w:id="220"/>
      <w:bookmarkStart w:id="221" w:name="_Toc184312091"/>
      <w:bookmarkEnd w:id="221"/>
      <w:bookmarkStart w:id="222" w:name="_Toc184308056"/>
      <w:bookmarkEnd w:id="222"/>
      <w:bookmarkStart w:id="223" w:name="_Toc184313301"/>
      <w:bookmarkEnd w:id="223"/>
      <w:bookmarkStart w:id="224" w:name="_Toc184308097"/>
      <w:bookmarkEnd w:id="224"/>
      <w:bookmarkStart w:id="225" w:name="_Toc184314472"/>
      <w:bookmarkEnd w:id="225"/>
      <w:bookmarkStart w:id="226" w:name="_Toc184310293"/>
      <w:bookmarkEnd w:id="226"/>
      <w:bookmarkStart w:id="227" w:name="_Toc184314413"/>
      <w:bookmarkEnd w:id="227"/>
      <w:bookmarkStart w:id="228" w:name="_Toc184314443"/>
      <w:bookmarkEnd w:id="228"/>
      <w:bookmarkStart w:id="229" w:name="_Toc184313299"/>
      <w:bookmarkEnd w:id="229"/>
      <w:bookmarkStart w:id="230" w:name="_Toc184313265"/>
      <w:bookmarkEnd w:id="230"/>
      <w:bookmarkStart w:id="231" w:name="_Toc184308052"/>
      <w:bookmarkEnd w:id="231"/>
      <w:bookmarkStart w:id="232" w:name="_Toc184310285"/>
      <w:bookmarkEnd w:id="232"/>
      <w:bookmarkStart w:id="233" w:name="_Toc184314449"/>
      <w:bookmarkEnd w:id="233"/>
      <w:bookmarkStart w:id="234" w:name="_Toc184313284"/>
      <w:bookmarkEnd w:id="234"/>
      <w:bookmarkStart w:id="235" w:name="_Toc184313292"/>
      <w:bookmarkEnd w:id="235"/>
      <w:bookmarkStart w:id="236" w:name="_Toc184310302"/>
      <w:bookmarkEnd w:id="236"/>
      <w:bookmarkStart w:id="237" w:name="_Toc184308089"/>
      <w:bookmarkEnd w:id="237"/>
      <w:bookmarkStart w:id="238" w:name="_Toc184308084"/>
      <w:bookmarkEnd w:id="238"/>
      <w:bookmarkStart w:id="239" w:name="_Toc184312078"/>
      <w:bookmarkEnd w:id="239"/>
      <w:bookmarkStart w:id="240" w:name="_Toc184308063"/>
      <w:bookmarkEnd w:id="240"/>
      <w:bookmarkStart w:id="241" w:name="_Toc184313246"/>
      <w:bookmarkEnd w:id="241"/>
      <w:bookmarkStart w:id="242" w:name="_Toc184310296"/>
      <w:bookmarkEnd w:id="242"/>
      <w:bookmarkStart w:id="243" w:name="_Toc184314456"/>
      <w:bookmarkEnd w:id="243"/>
      <w:bookmarkStart w:id="244" w:name="_Toc184310299"/>
      <w:bookmarkEnd w:id="244"/>
      <w:bookmarkStart w:id="245" w:name="_Toc184312096"/>
      <w:bookmarkEnd w:id="245"/>
      <w:bookmarkStart w:id="246" w:name="_Toc184308071"/>
      <w:bookmarkEnd w:id="246"/>
      <w:bookmarkStart w:id="247" w:name="_Toc184310281"/>
      <w:bookmarkEnd w:id="247"/>
      <w:bookmarkStart w:id="248" w:name="_Toc184313305"/>
      <w:bookmarkEnd w:id="248"/>
      <w:bookmarkStart w:id="249" w:name="_Toc184314439"/>
      <w:bookmarkEnd w:id="249"/>
      <w:bookmarkStart w:id="250" w:name="_Toc184308088"/>
      <w:bookmarkEnd w:id="250"/>
      <w:bookmarkStart w:id="251" w:name="_Toc184312133"/>
      <w:bookmarkEnd w:id="251"/>
      <w:bookmarkStart w:id="252" w:name="_Toc184310344"/>
      <w:bookmarkEnd w:id="252"/>
      <w:bookmarkStart w:id="253" w:name="_Toc184313241"/>
      <w:bookmarkEnd w:id="253"/>
      <w:bookmarkStart w:id="254" w:name="_Toc184310311"/>
      <w:bookmarkEnd w:id="254"/>
      <w:bookmarkStart w:id="255" w:name="_Toc184313249"/>
      <w:bookmarkEnd w:id="255"/>
      <w:bookmarkStart w:id="256" w:name="_Toc184310326"/>
      <w:bookmarkEnd w:id="256"/>
      <w:bookmarkStart w:id="257" w:name="_Toc184310327"/>
      <w:bookmarkEnd w:id="257"/>
      <w:bookmarkStart w:id="258" w:name="_Toc184308074"/>
      <w:bookmarkEnd w:id="258"/>
      <w:bookmarkStart w:id="259" w:name="_Toc184312097"/>
      <w:bookmarkEnd w:id="259"/>
      <w:bookmarkStart w:id="260" w:name="_Toc184314463"/>
      <w:bookmarkEnd w:id="260"/>
      <w:bookmarkStart w:id="261" w:name="_Toc184308099"/>
      <w:bookmarkEnd w:id="261"/>
      <w:bookmarkStart w:id="262" w:name="_Toc184314444"/>
      <w:bookmarkEnd w:id="262"/>
      <w:bookmarkStart w:id="263" w:name="_Toc184313306"/>
      <w:bookmarkEnd w:id="263"/>
      <w:bookmarkStart w:id="264" w:name="_Toc184310334"/>
      <w:bookmarkEnd w:id="264"/>
      <w:bookmarkStart w:id="265" w:name="_Toc184312105"/>
      <w:bookmarkEnd w:id="265"/>
      <w:bookmarkStart w:id="266" w:name="_Toc184308069"/>
      <w:bookmarkEnd w:id="266"/>
      <w:bookmarkStart w:id="267" w:name="_Toc184312086"/>
      <w:bookmarkEnd w:id="267"/>
      <w:bookmarkStart w:id="268" w:name="_Toc184312120"/>
      <w:bookmarkEnd w:id="268"/>
      <w:bookmarkStart w:id="269" w:name="_Toc184312128"/>
      <w:bookmarkEnd w:id="269"/>
      <w:bookmarkStart w:id="270" w:name="_Toc184312083"/>
      <w:bookmarkEnd w:id="270"/>
      <w:bookmarkStart w:id="271" w:name="_Toc184313285"/>
      <w:bookmarkEnd w:id="271"/>
      <w:bookmarkStart w:id="272" w:name="_Toc184314451"/>
      <w:bookmarkEnd w:id="272"/>
      <w:bookmarkStart w:id="273" w:name="_Toc184310284"/>
      <w:bookmarkEnd w:id="273"/>
      <w:bookmarkStart w:id="274" w:name="_Toc184310324"/>
      <w:bookmarkEnd w:id="274"/>
      <w:bookmarkStart w:id="275" w:name="_Toc184313302"/>
      <w:bookmarkEnd w:id="275"/>
      <w:bookmarkStart w:id="276" w:name="_Toc184310298"/>
      <w:bookmarkEnd w:id="276"/>
      <w:bookmarkStart w:id="277" w:name="_Toc184312085"/>
      <w:bookmarkEnd w:id="277"/>
      <w:bookmarkStart w:id="278" w:name="_Toc184312076"/>
      <w:bookmarkEnd w:id="278"/>
      <w:bookmarkStart w:id="279" w:name="_Toc184312070"/>
      <w:bookmarkEnd w:id="279"/>
      <w:bookmarkStart w:id="280" w:name="_Toc184308076"/>
      <w:bookmarkEnd w:id="280"/>
      <w:bookmarkStart w:id="281" w:name="_Toc184314435"/>
      <w:bookmarkEnd w:id="281"/>
      <w:bookmarkStart w:id="282" w:name="_Toc184310304"/>
      <w:bookmarkEnd w:id="282"/>
      <w:bookmarkStart w:id="283" w:name="_Toc184310329"/>
      <w:bookmarkEnd w:id="283"/>
      <w:bookmarkStart w:id="284" w:name="_Toc184314473"/>
      <w:bookmarkEnd w:id="284"/>
      <w:bookmarkStart w:id="285" w:name="_Toc184314416"/>
      <w:bookmarkEnd w:id="285"/>
      <w:bookmarkStart w:id="286" w:name="_Toc184314458"/>
      <w:bookmarkEnd w:id="286"/>
      <w:bookmarkStart w:id="287" w:name="_Toc184310278"/>
      <w:bookmarkEnd w:id="287"/>
      <w:bookmarkStart w:id="288" w:name="_Toc184308047"/>
      <w:bookmarkEnd w:id="288"/>
      <w:bookmarkStart w:id="289" w:name="_Toc184314480"/>
      <w:bookmarkEnd w:id="289"/>
      <w:bookmarkStart w:id="290" w:name="_Toc184314457"/>
      <w:bookmarkEnd w:id="290"/>
      <w:bookmarkStart w:id="291" w:name="_Toc184313295"/>
      <w:bookmarkEnd w:id="291"/>
      <w:bookmarkStart w:id="292" w:name="_Toc184308038"/>
      <w:bookmarkEnd w:id="292"/>
      <w:bookmarkStart w:id="293" w:name="_Toc184312123"/>
      <w:bookmarkEnd w:id="293"/>
      <w:bookmarkStart w:id="294" w:name="_Toc184310333"/>
      <w:bookmarkEnd w:id="294"/>
      <w:bookmarkStart w:id="295" w:name="_Toc184310312"/>
      <w:bookmarkEnd w:id="295"/>
      <w:bookmarkStart w:id="296" w:name="_Toc184314448"/>
      <w:bookmarkEnd w:id="296"/>
      <w:bookmarkStart w:id="297" w:name="_Toc184314466"/>
      <w:bookmarkEnd w:id="297"/>
      <w:bookmarkStart w:id="298" w:name="_Toc184313271"/>
      <w:bookmarkEnd w:id="298"/>
      <w:bookmarkStart w:id="299" w:name="_Toc184314460"/>
      <w:bookmarkEnd w:id="299"/>
      <w:bookmarkStart w:id="300" w:name="_Toc184313248"/>
      <w:bookmarkEnd w:id="300"/>
      <w:bookmarkStart w:id="301" w:name="_Toc184310332"/>
      <w:bookmarkEnd w:id="301"/>
      <w:bookmarkStart w:id="302" w:name="_Toc184310309"/>
      <w:bookmarkEnd w:id="302"/>
      <w:bookmarkStart w:id="303" w:name="_Toc184310317"/>
      <w:bookmarkEnd w:id="303"/>
      <w:bookmarkStart w:id="304" w:name="_Toc184312094"/>
      <w:bookmarkEnd w:id="304"/>
      <w:bookmarkStart w:id="305" w:name="_Toc184314477"/>
      <w:bookmarkEnd w:id="305"/>
      <w:bookmarkStart w:id="306" w:name="_Toc184310316"/>
      <w:bookmarkEnd w:id="306"/>
      <w:bookmarkStart w:id="307" w:name="_Toc184313293"/>
      <w:bookmarkEnd w:id="307"/>
      <w:bookmarkStart w:id="308" w:name="_Toc184312109"/>
      <w:bookmarkEnd w:id="308"/>
      <w:bookmarkStart w:id="309" w:name="_Toc184308103"/>
      <w:bookmarkEnd w:id="309"/>
      <w:bookmarkStart w:id="310" w:name="_Toc184314468"/>
      <w:bookmarkEnd w:id="310"/>
      <w:bookmarkStart w:id="311" w:name="_Toc184308104"/>
      <w:bookmarkEnd w:id="311"/>
      <w:bookmarkStart w:id="312" w:name="_Toc184312121"/>
      <w:bookmarkEnd w:id="312"/>
      <w:bookmarkStart w:id="313" w:name="_Toc184308086"/>
      <w:bookmarkEnd w:id="313"/>
      <w:bookmarkStart w:id="314" w:name="_Toc184308039"/>
      <w:bookmarkEnd w:id="314"/>
      <w:bookmarkStart w:id="315" w:name="_Toc184310301"/>
      <w:bookmarkEnd w:id="315"/>
      <w:bookmarkStart w:id="316" w:name="_Toc184313258"/>
      <w:bookmarkEnd w:id="316"/>
      <w:bookmarkStart w:id="317" w:name="_Toc184312074"/>
      <w:bookmarkEnd w:id="317"/>
      <w:bookmarkStart w:id="318" w:name="_Toc184313297"/>
      <w:bookmarkEnd w:id="318"/>
      <w:bookmarkStart w:id="319" w:name="_Toc184308067"/>
      <w:bookmarkEnd w:id="319"/>
      <w:bookmarkStart w:id="320" w:name="_Toc184313270"/>
      <w:bookmarkEnd w:id="320"/>
      <w:bookmarkStart w:id="321" w:name="_Toc184310305"/>
      <w:bookmarkEnd w:id="321"/>
      <w:bookmarkStart w:id="322" w:name="_Toc184313273"/>
      <w:bookmarkEnd w:id="322"/>
      <w:bookmarkStart w:id="323" w:name="_Toc184310341"/>
      <w:bookmarkEnd w:id="323"/>
      <w:bookmarkStart w:id="324" w:name="_Toc184310276"/>
      <w:bookmarkEnd w:id="324"/>
      <w:bookmarkStart w:id="325" w:name="_Toc184312135"/>
      <w:bookmarkEnd w:id="325"/>
      <w:bookmarkStart w:id="326" w:name="_Toc184314426"/>
      <w:bookmarkEnd w:id="326"/>
      <w:bookmarkStart w:id="327" w:name="_Toc184310331"/>
      <w:bookmarkEnd w:id="327"/>
      <w:bookmarkStart w:id="328" w:name="_Toc184308048"/>
      <w:bookmarkEnd w:id="328"/>
      <w:bookmarkStart w:id="329" w:name="_Toc184308094"/>
      <w:bookmarkEnd w:id="329"/>
      <w:bookmarkStart w:id="330" w:name="_Toc184314428"/>
      <w:bookmarkEnd w:id="330"/>
      <w:bookmarkStart w:id="331" w:name="_Toc184314481"/>
      <w:bookmarkEnd w:id="331"/>
      <w:bookmarkStart w:id="332" w:name="_Toc184312111"/>
      <w:bookmarkEnd w:id="332"/>
      <w:bookmarkStart w:id="333" w:name="_Toc184313247"/>
      <w:bookmarkEnd w:id="333"/>
      <w:bookmarkStart w:id="334" w:name="_Toc184313261"/>
      <w:bookmarkEnd w:id="334"/>
      <w:bookmarkStart w:id="335" w:name="_Toc184314424"/>
      <w:bookmarkEnd w:id="335"/>
      <w:bookmarkStart w:id="336" w:name="_Toc184312098"/>
      <w:bookmarkEnd w:id="336"/>
      <w:bookmarkStart w:id="337" w:name="_Toc184308100"/>
      <w:bookmarkEnd w:id="337"/>
      <w:bookmarkStart w:id="338" w:name="_Toc184310330"/>
      <w:bookmarkEnd w:id="338"/>
      <w:bookmarkStart w:id="339" w:name="_Toc184310286"/>
      <w:bookmarkEnd w:id="339"/>
      <w:bookmarkStart w:id="340" w:name="_Toc184313268"/>
      <w:bookmarkEnd w:id="340"/>
      <w:bookmarkStart w:id="341" w:name="_Toc184313267"/>
      <w:bookmarkEnd w:id="341"/>
      <w:bookmarkStart w:id="342" w:name="_Toc184312069"/>
      <w:bookmarkEnd w:id="342"/>
      <w:bookmarkStart w:id="343" w:name="_Toc184312107"/>
      <w:bookmarkEnd w:id="343"/>
      <w:bookmarkStart w:id="344" w:name="_Toc184314469"/>
      <w:bookmarkEnd w:id="344"/>
      <w:bookmarkStart w:id="345" w:name="_Toc184312068"/>
      <w:bookmarkEnd w:id="345"/>
      <w:bookmarkStart w:id="346" w:name="_Toc184308046"/>
      <w:bookmarkEnd w:id="346"/>
      <w:bookmarkStart w:id="347" w:name="_Toc184308098"/>
      <w:bookmarkEnd w:id="347"/>
      <w:bookmarkStart w:id="348" w:name="_Toc184313244"/>
      <w:bookmarkEnd w:id="348"/>
      <w:bookmarkStart w:id="349" w:name="_Toc184313259"/>
      <w:bookmarkEnd w:id="349"/>
      <w:bookmarkStart w:id="350" w:name="_Toc184314476"/>
      <w:bookmarkEnd w:id="350"/>
      <w:bookmarkStart w:id="351" w:name="_Toc184308073"/>
      <w:bookmarkEnd w:id="351"/>
      <w:bookmarkStart w:id="352" w:name="_Toc184308043"/>
      <w:bookmarkEnd w:id="352"/>
      <w:bookmarkStart w:id="353" w:name="_Toc184312129"/>
      <w:bookmarkEnd w:id="353"/>
      <w:bookmarkStart w:id="354" w:name="_Toc184312136"/>
      <w:bookmarkEnd w:id="354"/>
      <w:bookmarkStart w:id="355" w:name="_Toc184310287"/>
      <w:bookmarkEnd w:id="355"/>
      <w:bookmarkStart w:id="356" w:name="_Toc184314429"/>
      <w:bookmarkEnd w:id="356"/>
      <w:bookmarkStart w:id="357" w:name="_Toc184313275"/>
      <w:bookmarkEnd w:id="357"/>
      <w:bookmarkStart w:id="358" w:name="_Toc184310323"/>
      <w:bookmarkEnd w:id="358"/>
      <w:bookmarkStart w:id="359" w:name="_Toc184312132"/>
      <w:bookmarkEnd w:id="359"/>
      <w:bookmarkStart w:id="360" w:name="_Toc184310325"/>
      <w:bookmarkEnd w:id="360"/>
      <w:bookmarkStart w:id="361" w:name="_Toc184314414"/>
      <w:bookmarkEnd w:id="361"/>
      <w:bookmarkStart w:id="362" w:name="_Toc184312106"/>
      <w:bookmarkEnd w:id="362"/>
      <w:bookmarkStart w:id="363" w:name="_Toc184310342"/>
      <w:bookmarkEnd w:id="363"/>
      <w:bookmarkStart w:id="364" w:name="_Toc184314462"/>
      <w:bookmarkEnd w:id="364"/>
      <w:bookmarkStart w:id="365" w:name="_Toc184308044"/>
      <w:bookmarkEnd w:id="365"/>
      <w:r>
        <w:rPr>
          <w:rFonts w:hint="eastAsia" w:ascii="华文中宋" w:hAnsi="华文中宋" w:eastAsia="华文中宋" w:cs="Times New Roman"/>
          <w:b/>
          <w:color w:val="auto"/>
          <w:kern w:val="44"/>
          <w:sz w:val="36"/>
          <w:szCs w:val="36"/>
          <w:lang w:val="en-US" w:eastAsia="zh-CN" w:bidi="ar-SA"/>
        </w:rPr>
        <w:t>评标办法</w:t>
      </w:r>
    </w:p>
    <w:p w14:paraId="69071130">
      <w:pPr>
        <w:pStyle w:val="6"/>
        <w:jc w:val="center"/>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4346B0F4">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（1）满分为100分。总得分=商务技术得分+报价得分。</w:t>
      </w:r>
    </w:p>
    <w:p w14:paraId="1E82CDA5">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（2）商务技术得分=商务技术评分，商务技术评分=各评委的有效评分的算术平均数。</w:t>
      </w:r>
    </w:p>
    <w:p w14:paraId="56E38E8E">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（3）报价得分=（评标基准价/投标报价）*价格权值*100，评标基准价=有效投标人的最低投标报价，价格权值=10%；</w:t>
      </w:r>
    </w:p>
    <w:p w14:paraId="38D515C7">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（4）商务技术评分细则（90分）</w:t>
      </w:r>
    </w:p>
    <w:tbl>
      <w:tblPr>
        <w:tblStyle w:val="16"/>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62"/>
        <w:gridCol w:w="6711"/>
        <w:gridCol w:w="718"/>
      </w:tblGrid>
      <w:tr w14:paraId="38EC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357BBA05">
            <w:pPr>
              <w:snapToGrid w:val="0"/>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序号</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1868A0C2">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评分项目</w:t>
            </w:r>
          </w:p>
        </w:tc>
        <w:tc>
          <w:tcPr>
            <w:tcW w:w="6711" w:type="dxa"/>
            <w:tcBorders>
              <w:top w:val="single" w:color="auto" w:sz="4" w:space="0"/>
              <w:left w:val="single" w:color="auto" w:sz="4" w:space="0"/>
              <w:bottom w:val="single" w:color="auto" w:sz="4" w:space="0"/>
              <w:right w:val="single" w:color="auto" w:sz="4" w:space="0"/>
            </w:tcBorders>
            <w:noWrap w:val="0"/>
            <w:vAlign w:val="center"/>
          </w:tcPr>
          <w:p w14:paraId="3BE2FB81">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评标要点及说明</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34CD945E">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r>
      <w:tr w14:paraId="209A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tcBorders>
              <w:left w:val="single" w:color="auto" w:sz="4" w:space="0"/>
              <w:right w:val="single" w:color="auto" w:sz="4" w:space="0"/>
            </w:tcBorders>
            <w:noWrap w:val="0"/>
            <w:vAlign w:val="center"/>
          </w:tcPr>
          <w:p w14:paraId="543DC54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462" w:type="dxa"/>
            <w:tcBorders>
              <w:left w:val="single" w:color="auto" w:sz="4" w:space="0"/>
              <w:right w:val="single" w:color="auto" w:sz="4" w:space="0"/>
            </w:tcBorders>
            <w:noWrap w:val="0"/>
            <w:vAlign w:val="center"/>
          </w:tcPr>
          <w:p w14:paraId="5FD8D7A0">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tc>
        <w:tc>
          <w:tcPr>
            <w:tcW w:w="6711" w:type="dxa"/>
            <w:tcBorders>
              <w:left w:val="single" w:color="auto" w:sz="4" w:space="0"/>
              <w:right w:val="single" w:color="auto" w:sz="4" w:space="0"/>
            </w:tcBorders>
            <w:noWrap w:val="0"/>
            <w:vAlign w:val="center"/>
          </w:tcPr>
          <w:p w14:paraId="67024394">
            <w:pPr>
              <w:adjustRightInd w:val="0"/>
              <w:snapToGrid w:val="0"/>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highlight w:val="none"/>
                <w:lang w:val="en-US" w:eastAsia="zh-CN"/>
              </w:rPr>
              <w:t>投标人自2021年1月1日以来（以合同签订时间为准），完成的类似项目的每个得0.5分，本项最高得1分。须同时提供完整合同及中标通知书扫描件并加盖公章，否则不得分。</w:t>
            </w:r>
          </w:p>
        </w:tc>
        <w:tc>
          <w:tcPr>
            <w:tcW w:w="718" w:type="dxa"/>
            <w:tcBorders>
              <w:top w:val="single" w:color="auto" w:sz="4" w:space="0"/>
              <w:left w:val="single" w:color="auto" w:sz="4" w:space="0"/>
              <w:right w:val="single" w:color="auto" w:sz="4" w:space="0"/>
            </w:tcBorders>
            <w:noWrap w:val="0"/>
            <w:vAlign w:val="center"/>
          </w:tcPr>
          <w:p w14:paraId="6844DEBF">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14:paraId="1E05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restart"/>
            <w:tcBorders>
              <w:left w:val="single" w:color="auto" w:sz="4" w:space="0"/>
              <w:right w:val="single" w:color="auto" w:sz="4" w:space="0"/>
            </w:tcBorders>
            <w:noWrap w:val="0"/>
            <w:vAlign w:val="center"/>
          </w:tcPr>
          <w:p w14:paraId="22CB91A5">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462" w:type="dxa"/>
            <w:vMerge w:val="restart"/>
            <w:tcBorders>
              <w:left w:val="single" w:color="auto" w:sz="4" w:space="0"/>
              <w:right w:val="single" w:color="auto" w:sz="4" w:space="0"/>
            </w:tcBorders>
            <w:noWrap w:val="0"/>
            <w:vAlign w:val="center"/>
          </w:tcPr>
          <w:p w14:paraId="628CAB86">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技术支撑</w:t>
            </w:r>
          </w:p>
        </w:tc>
        <w:tc>
          <w:tcPr>
            <w:tcW w:w="6711" w:type="dxa"/>
            <w:tcBorders>
              <w:left w:val="single" w:color="auto" w:sz="4" w:space="0"/>
              <w:right w:val="single" w:color="auto" w:sz="4" w:space="0"/>
            </w:tcBorders>
            <w:noWrap w:val="0"/>
            <w:vAlign w:val="center"/>
          </w:tcPr>
          <w:p w14:paraId="3EE688D6">
            <w:pPr>
              <w:spacing w:line="360" w:lineRule="auto"/>
              <w:rPr>
                <w:rStyle w:val="38"/>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投标人拟投入本项目的统计专家具有高级统计师职称的，每提供1人得2分，本项最高得4分。（须提供职称证书及本单位近6个月的社保证明（如为返聘人员，需提供与投标人签订的劳动合同或聘用证明）加盖公章，不提供不得分）</w:t>
            </w:r>
          </w:p>
        </w:tc>
        <w:tc>
          <w:tcPr>
            <w:tcW w:w="718" w:type="dxa"/>
            <w:tcBorders>
              <w:top w:val="single" w:color="auto" w:sz="4" w:space="0"/>
              <w:left w:val="single" w:color="auto" w:sz="4" w:space="0"/>
              <w:right w:val="single" w:color="auto" w:sz="4" w:space="0"/>
            </w:tcBorders>
            <w:noWrap w:val="0"/>
            <w:vAlign w:val="center"/>
          </w:tcPr>
          <w:p w14:paraId="6E7277E3">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7BA8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730" w:type="dxa"/>
            <w:vMerge w:val="continue"/>
            <w:tcBorders>
              <w:left w:val="single" w:color="auto" w:sz="4" w:space="0"/>
              <w:right w:val="single" w:color="auto" w:sz="4" w:space="0"/>
            </w:tcBorders>
            <w:noWrap w:val="0"/>
            <w:vAlign w:val="center"/>
          </w:tcPr>
          <w:p w14:paraId="53EBC332">
            <w:pPr>
              <w:spacing w:line="360" w:lineRule="auto"/>
              <w:jc w:val="center"/>
              <w:rPr>
                <w:rFonts w:hint="eastAsia" w:ascii="仿宋" w:hAnsi="仿宋" w:eastAsia="仿宋" w:cs="仿宋"/>
                <w:color w:val="auto"/>
                <w:sz w:val="24"/>
                <w:szCs w:val="24"/>
                <w:highlight w:val="none"/>
                <w:lang w:val="en-US" w:eastAsia="zh-CN"/>
              </w:rPr>
            </w:pPr>
          </w:p>
        </w:tc>
        <w:tc>
          <w:tcPr>
            <w:tcW w:w="1462" w:type="dxa"/>
            <w:vMerge w:val="continue"/>
            <w:tcBorders>
              <w:left w:val="single" w:color="auto" w:sz="4" w:space="0"/>
              <w:right w:val="single" w:color="auto" w:sz="4" w:space="0"/>
            </w:tcBorders>
            <w:noWrap w:val="0"/>
            <w:vAlign w:val="center"/>
          </w:tcPr>
          <w:p w14:paraId="47D2DBF5">
            <w:pPr>
              <w:spacing w:line="360" w:lineRule="auto"/>
              <w:jc w:val="center"/>
              <w:rPr>
                <w:rFonts w:hint="eastAsia" w:ascii="仿宋" w:hAnsi="仿宋" w:eastAsia="仿宋" w:cs="仿宋"/>
                <w:color w:val="auto"/>
                <w:sz w:val="24"/>
                <w:szCs w:val="24"/>
                <w:highlight w:val="none"/>
                <w:lang w:val="en-US" w:eastAsia="zh-CN"/>
              </w:rPr>
            </w:pPr>
          </w:p>
        </w:tc>
        <w:tc>
          <w:tcPr>
            <w:tcW w:w="6711" w:type="dxa"/>
            <w:tcBorders>
              <w:left w:val="single" w:color="auto" w:sz="4" w:space="0"/>
              <w:right w:val="single" w:color="auto" w:sz="4" w:space="0"/>
            </w:tcBorders>
            <w:noWrap w:val="0"/>
            <w:vAlign w:val="center"/>
          </w:tcPr>
          <w:p w14:paraId="276C1E86">
            <w:pPr>
              <w:spacing w:line="400" w:lineRule="exact"/>
              <w:rPr>
                <w:rStyle w:val="38"/>
                <w:rFonts w:hint="eastAsia" w:ascii="仿宋" w:hAnsi="仿宋" w:eastAsia="仿宋" w:cs="仿宋"/>
                <w:sz w:val="24"/>
                <w:szCs w:val="24"/>
                <w:highlight w:val="none"/>
                <w:lang w:val="en-US" w:eastAsia="zh-CN"/>
              </w:rPr>
            </w:pPr>
            <w:r>
              <w:rPr>
                <w:rStyle w:val="38"/>
                <w:rFonts w:hint="eastAsia" w:ascii="仿宋" w:hAnsi="仿宋" w:eastAsia="仿宋" w:cs="仿宋"/>
                <w:sz w:val="24"/>
                <w:szCs w:val="24"/>
                <w:highlight w:val="none"/>
                <w:lang w:val="en-US" w:eastAsia="zh-CN"/>
              </w:rPr>
              <w:t>投标人与高等院校签署合作协议，能够提供专家、学生资源，为项目后续提供技术支撑。有相关合作的，得4分，否则不得分。</w:t>
            </w:r>
          </w:p>
          <w:p w14:paraId="747B4CA4">
            <w:pPr>
              <w:spacing w:line="400" w:lineRule="exact"/>
              <w:rPr>
                <w:rStyle w:val="38"/>
                <w:rFonts w:hint="eastAsia" w:ascii="仿宋" w:hAnsi="仿宋" w:eastAsia="仿宋" w:cs="仿宋"/>
                <w:sz w:val="24"/>
                <w:szCs w:val="24"/>
              </w:rPr>
            </w:pPr>
            <w:r>
              <w:rPr>
                <w:rStyle w:val="38"/>
                <w:rFonts w:hint="eastAsia" w:ascii="仿宋" w:hAnsi="仿宋" w:eastAsia="仿宋" w:cs="仿宋"/>
                <w:sz w:val="24"/>
                <w:szCs w:val="24"/>
                <w:highlight w:val="none"/>
                <w:lang w:val="en-US" w:eastAsia="zh-CN"/>
              </w:rPr>
              <w:t>注：投标文件中需提供服务期范围内的合同证明文件，文件需加盖双方的公章。</w:t>
            </w:r>
          </w:p>
        </w:tc>
        <w:tc>
          <w:tcPr>
            <w:tcW w:w="718" w:type="dxa"/>
            <w:tcBorders>
              <w:top w:val="single" w:color="auto" w:sz="4" w:space="0"/>
              <w:left w:val="single" w:color="auto" w:sz="4" w:space="0"/>
              <w:right w:val="single" w:color="auto" w:sz="4" w:space="0"/>
            </w:tcBorders>
            <w:noWrap w:val="0"/>
            <w:vAlign w:val="center"/>
          </w:tcPr>
          <w:p w14:paraId="5BBD9B2B">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4</w:t>
            </w:r>
          </w:p>
        </w:tc>
      </w:tr>
      <w:tr w14:paraId="0A95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30" w:type="dxa"/>
            <w:tcBorders>
              <w:left w:val="single" w:color="auto" w:sz="4" w:space="0"/>
              <w:right w:val="single" w:color="auto" w:sz="4" w:space="0"/>
            </w:tcBorders>
            <w:noWrap w:val="0"/>
            <w:vAlign w:val="center"/>
          </w:tcPr>
          <w:p w14:paraId="04924F57">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62" w:type="dxa"/>
            <w:tcBorders>
              <w:left w:val="single" w:color="auto" w:sz="4" w:space="0"/>
              <w:right w:val="single" w:color="auto" w:sz="4" w:space="0"/>
            </w:tcBorders>
            <w:noWrap w:val="0"/>
            <w:vAlign w:val="center"/>
          </w:tcPr>
          <w:p w14:paraId="7F05FFF3">
            <w:pPr>
              <w:wordWrap w:val="0"/>
              <w:adjustRightInd w:val="0"/>
              <w:snapToGrid w:val="0"/>
              <w:spacing w:line="360" w:lineRule="auto"/>
              <w:jc w:val="center"/>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资信等级</w:t>
            </w:r>
          </w:p>
        </w:tc>
        <w:tc>
          <w:tcPr>
            <w:tcW w:w="6711" w:type="dxa"/>
            <w:tcBorders>
              <w:left w:val="single" w:color="auto" w:sz="4" w:space="0"/>
              <w:right w:val="single" w:color="auto" w:sz="4" w:space="0"/>
            </w:tcBorders>
            <w:noWrap w:val="0"/>
            <w:vAlign w:val="center"/>
          </w:tcPr>
          <w:p w14:paraId="1B136213">
            <w:pPr>
              <w:pStyle w:val="10"/>
              <w:spacing w:line="360" w:lineRule="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供应商具有信息安全管理体系认证证书得4分，未提供不得分。</w:t>
            </w:r>
          </w:p>
          <w:p w14:paraId="2A58A840">
            <w:pPr>
              <w:pStyle w:val="10"/>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注：投标文件中需提供《信息安全管理体系认证证书》等相关文件证明材料。</w:t>
            </w:r>
          </w:p>
        </w:tc>
        <w:tc>
          <w:tcPr>
            <w:tcW w:w="718" w:type="dxa"/>
            <w:tcBorders>
              <w:top w:val="single" w:color="auto" w:sz="4" w:space="0"/>
              <w:left w:val="single" w:color="auto" w:sz="4" w:space="0"/>
              <w:right w:val="single" w:color="auto" w:sz="4" w:space="0"/>
            </w:tcBorders>
            <w:noWrap w:val="0"/>
            <w:vAlign w:val="center"/>
          </w:tcPr>
          <w:p w14:paraId="4A93174E">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56FB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30" w:type="dxa"/>
            <w:tcBorders>
              <w:left w:val="single" w:color="auto" w:sz="4" w:space="0"/>
              <w:right w:val="single" w:color="auto" w:sz="4" w:space="0"/>
            </w:tcBorders>
            <w:noWrap w:val="0"/>
            <w:vAlign w:val="center"/>
          </w:tcPr>
          <w:p w14:paraId="1B8EDA0F">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462" w:type="dxa"/>
            <w:tcBorders>
              <w:left w:val="single" w:color="auto" w:sz="4" w:space="0"/>
              <w:right w:val="single" w:color="auto" w:sz="4" w:space="0"/>
            </w:tcBorders>
            <w:noWrap w:val="0"/>
            <w:vAlign w:val="center"/>
          </w:tcPr>
          <w:p w14:paraId="4F3CD2C1">
            <w:pPr>
              <w:wordWrap w:val="0"/>
              <w:adjustRightInd w:val="0"/>
              <w:snapToGrid w:val="0"/>
              <w:spacing w:line="360" w:lineRule="auto"/>
              <w:jc w:val="center"/>
              <w:textAlignment w:val="baseline"/>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企业荣誉</w:t>
            </w:r>
          </w:p>
        </w:tc>
        <w:tc>
          <w:tcPr>
            <w:tcW w:w="6711" w:type="dxa"/>
            <w:tcBorders>
              <w:left w:val="single" w:color="auto" w:sz="4" w:space="0"/>
              <w:right w:val="single" w:color="auto" w:sz="4" w:space="0"/>
            </w:tcBorders>
            <w:noWrap w:val="0"/>
            <w:vAlign w:val="center"/>
          </w:tcPr>
          <w:p w14:paraId="14D232AA">
            <w:pPr>
              <w:pStyle w:val="1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供应商有参与过省级以上课题研究的案例，得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分，否则不得分。</w:t>
            </w:r>
          </w:p>
          <w:p w14:paraId="454A97E1">
            <w:pPr>
              <w:pStyle w:val="10"/>
              <w:spacing w:line="360" w:lineRule="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color w:val="auto"/>
                <w:kern w:val="0"/>
                <w:sz w:val="24"/>
                <w:szCs w:val="24"/>
                <w:highlight w:val="none"/>
              </w:rPr>
              <w:t>注：投标文件中需提供相关证明文件、荣誉证书。</w:t>
            </w:r>
          </w:p>
        </w:tc>
        <w:tc>
          <w:tcPr>
            <w:tcW w:w="718" w:type="dxa"/>
            <w:tcBorders>
              <w:top w:val="single" w:color="auto" w:sz="4" w:space="0"/>
              <w:left w:val="single" w:color="auto" w:sz="4" w:space="0"/>
              <w:right w:val="single" w:color="auto" w:sz="4" w:space="0"/>
            </w:tcBorders>
            <w:noWrap w:val="0"/>
            <w:vAlign w:val="center"/>
          </w:tcPr>
          <w:p w14:paraId="15D39777">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788C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730" w:type="dxa"/>
            <w:tcBorders>
              <w:left w:val="single" w:color="auto" w:sz="4" w:space="0"/>
              <w:right w:val="single" w:color="auto" w:sz="4" w:space="0"/>
            </w:tcBorders>
            <w:noWrap w:val="0"/>
            <w:vAlign w:val="center"/>
          </w:tcPr>
          <w:p w14:paraId="04D48E5D">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62" w:type="dxa"/>
            <w:tcBorders>
              <w:left w:val="single" w:color="auto" w:sz="4" w:space="0"/>
              <w:right w:val="single" w:color="auto" w:sz="4" w:space="0"/>
            </w:tcBorders>
            <w:noWrap w:val="0"/>
            <w:vAlign w:val="center"/>
          </w:tcPr>
          <w:p w14:paraId="372F6954">
            <w:pPr>
              <w:wordWrap w:val="0"/>
              <w:adjustRightInd w:val="0"/>
              <w:snapToGrid w:val="0"/>
              <w:spacing w:line="360" w:lineRule="auto"/>
              <w:jc w:val="center"/>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项目组成员</w:t>
            </w:r>
          </w:p>
        </w:tc>
        <w:tc>
          <w:tcPr>
            <w:tcW w:w="6711" w:type="dxa"/>
            <w:tcBorders>
              <w:left w:val="single" w:color="auto" w:sz="4" w:space="0"/>
              <w:right w:val="single" w:color="auto" w:sz="4" w:space="0"/>
            </w:tcBorders>
            <w:noWrap w:val="0"/>
            <w:vAlign w:val="center"/>
          </w:tcPr>
          <w:p w14:paraId="2B3A3D72">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根据本项目服务需求，投标人须成立服务项目组，项目组成员配备不少于</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人。具有会计学、统计学、</w:t>
            </w:r>
            <w:r>
              <w:rPr>
                <w:rFonts w:hint="eastAsia" w:ascii="仿宋" w:hAnsi="仿宋" w:eastAsia="仿宋" w:cs="仿宋"/>
                <w:color w:val="auto"/>
                <w:sz w:val="24"/>
                <w:szCs w:val="24"/>
                <w:highlight w:val="none"/>
                <w:lang w:val="en-US" w:eastAsia="zh-CN"/>
              </w:rPr>
              <w:t>财务管理或</w:t>
            </w:r>
            <w:r>
              <w:rPr>
                <w:rFonts w:hint="eastAsia" w:ascii="仿宋" w:hAnsi="仿宋" w:eastAsia="仿宋" w:cs="仿宋"/>
                <w:color w:val="auto"/>
                <w:sz w:val="24"/>
                <w:szCs w:val="24"/>
                <w:highlight w:val="none"/>
              </w:rPr>
              <w:t>经济学</w:t>
            </w:r>
            <w:r>
              <w:rPr>
                <w:rFonts w:hint="eastAsia" w:ascii="仿宋" w:hAnsi="仿宋" w:eastAsia="仿宋" w:cs="仿宋"/>
                <w:color w:val="auto"/>
                <w:sz w:val="24"/>
                <w:szCs w:val="24"/>
                <w:highlight w:val="none"/>
                <w:lang w:val="en-US" w:eastAsia="zh-CN"/>
              </w:rPr>
              <w:t>专业</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val="en-US" w:eastAsia="zh-CN"/>
              </w:rPr>
              <w:t>科及</w:t>
            </w:r>
            <w:r>
              <w:rPr>
                <w:rFonts w:hint="eastAsia" w:ascii="仿宋" w:hAnsi="仿宋" w:eastAsia="仿宋" w:cs="仿宋"/>
                <w:color w:val="auto"/>
                <w:sz w:val="24"/>
                <w:szCs w:val="24"/>
                <w:highlight w:val="none"/>
              </w:rPr>
              <w:t>以上文化程度，</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拥有统计或会计证书，有1年以上统计工作经验的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每人得2分，最高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p w14:paraId="5B6EC11D">
            <w:pPr>
              <w:pStyle w:val="10"/>
              <w:spacing w:line="360" w:lineRule="auto"/>
              <w:ind w:firstLine="482" w:firstLineChars="200"/>
              <w:rPr>
                <w:rFonts w:hint="eastAsia" w:ascii="仿宋" w:hAnsi="仿宋" w:eastAsia="仿宋" w:cs="仿宋"/>
                <w:bCs/>
                <w:kern w:val="2"/>
                <w:sz w:val="24"/>
                <w:szCs w:val="24"/>
                <w:lang w:val="en-US" w:eastAsia="zh-CN" w:bidi="ar-SA"/>
              </w:rPr>
            </w:pPr>
            <w:r>
              <w:rPr>
                <w:rFonts w:hint="eastAsia" w:ascii="仿宋" w:hAnsi="仿宋" w:eastAsia="仿宋" w:cs="仿宋"/>
                <w:b/>
                <w:bCs/>
                <w:color w:val="auto"/>
                <w:sz w:val="24"/>
                <w:szCs w:val="24"/>
                <w:highlight w:val="none"/>
              </w:rPr>
              <w:t>注：投标文件中提供人员身份证复印件、学历证书复印件、工作经验</w:t>
            </w:r>
            <w:r>
              <w:rPr>
                <w:rFonts w:hint="eastAsia" w:ascii="仿宋" w:hAnsi="仿宋" w:eastAsia="仿宋" w:cs="仿宋"/>
                <w:b/>
                <w:bCs/>
                <w:color w:val="auto"/>
                <w:sz w:val="24"/>
                <w:szCs w:val="24"/>
                <w:highlight w:val="none"/>
                <w:lang w:val="en-US" w:eastAsia="zh-CN"/>
              </w:rPr>
              <w:t>或劳动合同证明（需体现人员名字信息）和相关</w:t>
            </w:r>
            <w:r>
              <w:rPr>
                <w:rFonts w:hint="eastAsia" w:ascii="仿宋" w:hAnsi="仿宋" w:eastAsia="仿宋" w:cs="仿宋"/>
                <w:b/>
                <w:bCs/>
                <w:color w:val="auto"/>
                <w:sz w:val="24"/>
                <w:szCs w:val="24"/>
                <w:highlight w:val="none"/>
              </w:rPr>
              <w:t>证书复印件证明材料，及本单位近</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个月的社保证明加盖公章，否则不得分。</w:t>
            </w:r>
          </w:p>
        </w:tc>
        <w:tc>
          <w:tcPr>
            <w:tcW w:w="718" w:type="dxa"/>
            <w:tcBorders>
              <w:top w:val="single" w:color="auto" w:sz="4" w:space="0"/>
              <w:left w:val="single" w:color="auto" w:sz="4" w:space="0"/>
              <w:right w:val="single" w:color="auto" w:sz="4" w:space="0"/>
            </w:tcBorders>
            <w:noWrap w:val="0"/>
            <w:vAlign w:val="center"/>
          </w:tcPr>
          <w:p w14:paraId="6CD28036">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tr w14:paraId="46B1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30" w:type="dxa"/>
            <w:tcBorders>
              <w:left w:val="single" w:color="auto" w:sz="4" w:space="0"/>
              <w:right w:val="single" w:color="auto" w:sz="4" w:space="0"/>
            </w:tcBorders>
            <w:noWrap w:val="0"/>
            <w:vAlign w:val="center"/>
          </w:tcPr>
          <w:p w14:paraId="5555E302">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462" w:type="dxa"/>
            <w:tcBorders>
              <w:left w:val="single" w:color="auto" w:sz="4" w:space="0"/>
              <w:right w:val="single" w:color="auto" w:sz="4" w:space="0"/>
            </w:tcBorders>
            <w:noWrap w:val="0"/>
            <w:vAlign w:val="center"/>
          </w:tcPr>
          <w:p w14:paraId="510DAC24">
            <w:pPr>
              <w:bidi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sz w:val="24"/>
                <w:szCs w:val="24"/>
              </w:rPr>
              <w:t>服务</w:t>
            </w:r>
            <w:r>
              <w:rPr>
                <w:rFonts w:hint="eastAsia" w:ascii="仿宋" w:hAnsi="仿宋" w:eastAsia="仿宋" w:cs="仿宋"/>
                <w:sz w:val="24"/>
                <w:szCs w:val="24"/>
                <w:lang w:val="en-US" w:eastAsia="zh-CN"/>
              </w:rPr>
              <w:t>方案</w:t>
            </w:r>
          </w:p>
        </w:tc>
        <w:tc>
          <w:tcPr>
            <w:tcW w:w="6711" w:type="dxa"/>
            <w:tcBorders>
              <w:left w:val="single" w:color="auto" w:sz="4" w:space="0"/>
              <w:right w:val="single" w:color="auto" w:sz="4" w:space="0"/>
            </w:tcBorders>
            <w:noWrap w:val="0"/>
            <w:vAlign w:val="center"/>
          </w:tcPr>
          <w:p w14:paraId="293E828C">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投标人根据本项目服务需求及服务标准，分行业分专业，详细阐述合理完整的服务方案。</w:t>
            </w:r>
          </w:p>
          <w:p w14:paraId="2AEBAC96">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①工业企业统计服务方案（0-3分）</w:t>
            </w:r>
          </w:p>
          <w:p w14:paraId="4114DF8B">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②固定资产投资统计服务方案（0-3分）</w:t>
            </w:r>
          </w:p>
          <w:p w14:paraId="04272305">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③商贸、服务业企业统计服务方案（0-3分）</w:t>
            </w:r>
          </w:p>
          <w:p w14:paraId="55644492">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④研发经费统计服务方案（0-3分）</w:t>
            </w:r>
          </w:p>
        </w:tc>
        <w:tc>
          <w:tcPr>
            <w:tcW w:w="718" w:type="dxa"/>
            <w:tcBorders>
              <w:top w:val="single" w:color="auto" w:sz="4" w:space="0"/>
              <w:left w:val="single" w:color="auto" w:sz="4" w:space="0"/>
              <w:right w:val="single" w:color="auto" w:sz="4" w:space="0"/>
            </w:tcBorders>
            <w:noWrap w:val="0"/>
            <w:vAlign w:val="center"/>
          </w:tcPr>
          <w:p w14:paraId="27193124">
            <w:pP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12</w:t>
            </w:r>
          </w:p>
        </w:tc>
      </w:tr>
      <w:tr w14:paraId="0DA9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730" w:type="dxa"/>
            <w:vMerge w:val="restart"/>
            <w:tcBorders>
              <w:left w:val="single" w:color="auto" w:sz="4" w:space="0"/>
              <w:right w:val="single" w:color="auto" w:sz="4" w:space="0"/>
            </w:tcBorders>
            <w:noWrap w:val="0"/>
            <w:vAlign w:val="center"/>
          </w:tcPr>
          <w:p w14:paraId="6027A62E">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462" w:type="dxa"/>
            <w:vMerge w:val="restart"/>
            <w:tcBorders>
              <w:left w:val="single" w:color="auto" w:sz="4" w:space="0"/>
              <w:right w:val="single" w:color="auto" w:sz="4" w:space="0"/>
            </w:tcBorders>
            <w:noWrap w:val="0"/>
            <w:vAlign w:val="center"/>
          </w:tcPr>
          <w:p w14:paraId="368FDBF6">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项目重点、难点及解决措施</w:t>
            </w:r>
          </w:p>
        </w:tc>
        <w:tc>
          <w:tcPr>
            <w:tcW w:w="6711" w:type="dxa"/>
            <w:tcBorders>
              <w:left w:val="single" w:color="auto" w:sz="4" w:space="0"/>
              <w:right w:val="single" w:color="auto" w:sz="4" w:space="0"/>
            </w:tcBorders>
            <w:noWrap w:val="0"/>
            <w:vAlign w:val="center"/>
          </w:tcPr>
          <w:p w14:paraId="3320D01D">
            <w:pPr>
              <w:spacing w:line="360" w:lineRule="auto"/>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CN"/>
              </w:rPr>
              <w:t>根据投标人对本次统计项目重难点分析的准确性、完整性进行打分</w:t>
            </w:r>
            <w:r>
              <w:rPr>
                <w:rFonts w:hint="eastAsia" w:ascii="仿宋" w:hAnsi="仿宋" w:eastAsia="仿宋" w:cs="仿宋"/>
                <w:color w:val="auto"/>
                <w:sz w:val="24"/>
                <w:szCs w:val="24"/>
                <w:highlight w:val="none"/>
                <w:lang w:val="en-US" w:eastAsia="zh-Hans"/>
              </w:rPr>
              <w:t>。</w:t>
            </w:r>
          </w:p>
          <w:p w14:paraId="75EE676D">
            <w:pPr>
              <w:spacing w:line="360" w:lineRule="auto"/>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Hans"/>
              </w:rPr>
              <w:t>投标人对重难点分析的准确、完整的，得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en-US" w:eastAsia="zh-Hans"/>
              </w:rPr>
              <w:t>分；</w:t>
            </w:r>
          </w:p>
          <w:p w14:paraId="0D073FE9">
            <w:pPr>
              <w:spacing w:line="360" w:lineRule="auto"/>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Hans"/>
              </w:rPr>
              <w:t>投标人对重难点分析的部分准确完整的，得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Hans"/>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分；</w:t>
            </w:r>
          </w:p>
          <w:p w14:paraId="69581246">
            <w:pPr>
              <w:spacing w:line="360" w:lineRule="auto"/>
              <w:jc w:val="left"/>
              <w:rPr>
                <w:rStyle w:val="38"/>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提供的资料欠缺，不能有效表达目的和意义的，得0-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Hans"/>
              </w:rPr>
              <w:t>分；</w:t>
            </w:r>
          </w:p>
        </w:tc>
        <w:tc>
          <w:tcPr>
            <w:tcW w:w="718" w:type="dxa"/>
            <w:tcBorders>
              <w:top w:val="single" w:color="auto" w:sz="4" w:space="0"/>
              <w:left w:val="single" w:color="auto" w:sz="4" w:space="0"/>
              <w:right w:val="single" w:color="auto" w:sz="4" w:space="0"/>
            </w:tcBorders>
            <w:noWrap w:val="0"/>
            <w:vAlign w:val="center"/>
          </w:tcPr>
          <w:p w14:paraId="574110AC">
            <w:pPr>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r>
      <w:tr w14:paraId="5008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730" w:type="dxa"/>
            <w:vMerge w:val="continue"/>
            <w:tcBorders>
              <w:left w:val="single" w:color="auto" w:sz="4" w:space="0"/>
              <w:right w:val="single" w:color="auto" w:sz="4" w:space="0"/>
            </w:tcBorders>
            <w:noWrap w:val="0"/>
            <w:vAlign w:val="center"/>
          </w:tcPr>
          <w:p w14:paraId="0CF4A9AD">
            <w:pPr>
              <w:bidi w:val="0"/>
              <w:spacing w:line="360" w:lineRule="auto"/>
              <w:jc w:val="center"/>
              <w:rPr>
                <w:rFonts w:hint="eastAsia" w:ascii="仿宋" w:hAnsi="仿宋" w:eastAsia="仿宋" w:cs="仿宋"/>
                <w:sz w:val="24"/>
                <w:szCs w:val="24"/>
                <w:lang w:val="en-US" w:eastAsia="zh-CN"/>
              </w:rPr>
            </w:pPr>
          </w:p>
        </w:tc>
        <w:tc>
          <w:tcPr>
            <w:tcW w:w="1462" w:type="dxa"/>
            <w:vMerge w:val="continue"/>
            <w:tcBorders>
              <w:left w:val="single" w:color="auto" w:sz="4" w:space="0"/>
              <w:right w:val="single" w:color="auto" w:sz="4" w:space="0"/>
            </w:tcBorders>
            <w:noWrap w:val="0"/>
            <w:vAlign w:val="center"/>
          </w:tcPr>
          <w:p w14:paraId="29FEB5D3">
            <w:pPr>
              <w:jc w:val="center"/>
              <w:rPr>
                <w:rFonts w:hint="eastAsia" w:ascii="仿宋" w:hAnsi="仿宋" w:eastAsia="仿宋" w:cs="仿宋"/>
                <w:sz w:val="24"/>
                <w:szCs w:val="24"/>
                <w:lang w:val="en-US" w:eastAsia="zh-CN"/>
              </w:rPr>
            </w:pPr>
          </w:p>
        </w:tc>
        <w:tc>
          <w:tcPr>
            <w:tcW w:w="6711" w:type="dxa"/>
            <w:tcBorders>
              <w:left w:val="single" w:color="auto" w:sz="4" w:space="0"/>
              <w:right w:val="single" w:color="auto" w:sz="4" w:space="0"/>
            </w:tcBorders>
            <w:noWrap w:val="0"/>
            <w:vAlign w:val="center"/>
          </w:tcPr>
          <w:p w14:paraId="3E880697">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根据投标人对本次统计项目提出的重难点解决措施的准确性、完整性进行打分。</w:t>
            </w:r>
          </w:p>
          <w:p w14:paraId="0E822E99">
            <w:pPr>
              <w:spacing w:line="360" w:lineRule="auto"/>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Hans"/>
              </w:rPr>
              <w:t>投标人</w:t>
            </w:r>
            <w:r>
              <w:rPr>
                <w:rFonts w:hint="eastAsia" w:ascii="仿宋" w:hAnsi="仿宋" w:eastAsia="仿宋" w:cs="仿宋"/>
                <w:color w:val="auto"/>
                <w:sz w:val="24"/>
                <w:szCs w:val="24"/>
                <w:highlight w:val="none"/>
                <w:lang w:val="en-US" w:eastAsia="zh-CN"/>
              </w:rPr>
              <w:t>有</w:t>
            </w:r>
            <w:r>
              <w:rPr>
                <w:rFonts w:hint="eastAsia" w:ascii="仿宋" w:hAnsi="仿宋" w:eastAsia="仿宋" w:cs="仿宋"/>
                <w:color w:val="auto"/>
                <w:sz w:val="24"/>
                <w:szCs w:val="24"/>
                <w:highlight w:val="none"/>
                <w:lang w:val="en-US" w:eastAsia="zh-Hans"/>
              </w:rPr>
              <w:t>有效的解决措施的，得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en-US" w:eastAsia="zh-Hans"/>
              </w:rPr>
              <w:t>分；</w:t>
            </w:r>
          </w:p>
          <w:p w14:paraId="059A3FF0">
            <w:pPr>
              <w:spacing w:line="360" w:lineRule="auto"/>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Hans"/>
              </w:rPr>
              <w:t>投标人有一定的解决措施的，得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Hans"/>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分；</w:t>
            </w:r>
          </w:p>
          <w:p w14:paraId="184E0F7F">
            <w:pPr>
              <w:spacing w:line="360" w:lineRule="auto"/>
              <w:jc w:val="left"/>
              <w:rPr>
                <w:rStyle w:val="38"/>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提供的资料欠缺，不能有效表达目的和意义的，得0-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Hans"/>
              </w:rPr>
              <w:t>分；</w:t>
            </w:r>
          </w:p>
        </w:tc>
        <w:tc>
          <w:tcPr>
            <w:tcW w:w="718" w:type="dxa"/>
            <w:tcBorders>
              <w:top w:val="single" w:color="auto" w:sz="4" w:space="0"/>
              <w:left w:val="single" w:color="auto" w:sz="4" w:space="0"/>
              <w:right w:val="single" w:color="auto" w:sz="4" w:space="0"/>
            </w:tcBorders>
            <w:noWrap w:val="0"/>
            <w:vAlign w:val="center"/>
          </w:tcPr>
          <w:p w14:paraId="333EB72A">
            <w:pPr>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r>
      <w:tr w14:paraId="4C01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730" w:type="dxa"/>
            <w:vMerge w:val="restart"/>
            <w:tcBorders>
              <w:left w:val="single" w:color="auto" w:sz="4" w:space="0"/>
              <w:right w:val="single" w:color="auto" w:sz="4" w:space="0"/>
            </w:tcBorders>
            <w:noWrap w:val="0"/>
            <w:vAlign w:val="center"/>
          </w:tcPr>
          <w:p w14:paraId="384B741E">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462" w:type="dxa"/>
            <w:vMerge w:val="restart"/>
            <w:tcBorders>
              <w:left w:val="single" w:color="auto" w:sz="4" w:space="0"/>
              <w:right w:val="single" w:color="auto" w:sz="4" w:space="0"/>
            </w:tcBorders>
            <w:noWrap w:val="0"/>
            <w:vAlign w:val="center"/>
          </w:tcPr>
          <w:p w14:paraId="7EBC5C06">
            <w:pPr>
              <w:bidi w:val="0"/>
              <w:spacing w:line="360" w:lineRule="auto"/>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z w:val="24"/>
                <w:szCs w:val="24"/>
                <w:lang w:val="en-US" w:eastAsia="zh-CN"/>
              </w:rPr>
              <w:t>组织机构管理</w:t>
            </w:r>
          </w:p>
        </w:tc>
        <w:tc>
          <w:tcPr>
            <w:tcW w:w="6711" w:type="dxa"/>
            <w:tcBorders>
              <w:left w:val="single" w:color="auto" w:sz="4" w:space="0"/>
              <w:right w:val="single" w:color="auto" w:sz="4" w:space="0"/>
            </w:tcBorders>
            <w:noWrap w:val="0"/>
            <w:vAlign w:val="center"/>
          </w:tcPr>
          <w:p w14:paraId="765571FA">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根据投标人的组织机构形式完善性、企业管理制度的合理性，各岗位职责、分工明确综合打分。</w:t>
            </w:r>
          </w:p>
          <w:p w14:paraId="419722FE">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内容完整、具体、明确得3.1-5分；</w:t>
            </w:r>
          </w:p>
          <w:p w14:paraId="49518E6E">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内容表述不详细，有部分缺项得1.1-3分；</w:t>
            </w:r>
          </w:p>
          <w:p w14:paraId="532CC274">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内容简单、表述粗略得0-1分，若未提供不得分。</w:t>
            </w:r>
          </w:p>
        </w:tc>
        <w:tc>
          <w:tcPr>
            <w:tcW w:w="718" w:type="dxa"/>
            <w:tcBorders>
              <w:top w:val="single" w:color="auto" w:sz="4" w:space="0"/>
              <w:left w:val="single" w:color="auto" w:sz="4" w:space="0"/>
              <w:right w:val="single" w:color="auto" w:sz="4" w:space="0"/>
            </w:tcBorders>
            <w:noWrap w:val="0"/>
            <w:vAlign w:val="center"/>
          </w:tcPr>
          <w:p w14:paraId="6F872E14">
            <w:pP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r>
      <w:tr w14:paraId="0566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tcBorders>
              <w:left w:val="single" w:color="auto" w:sz="4" w:space="0"/>
              <w:right w:val="single" w:color="auto" w:sz="4" w:space="0"/>
            </w:tcBorders>
            <w:noWrap w:val="0"/>
            <w:vAlign w:val="center"/>
          </w:tcPr>
          <w:p w14:paraId="1BFF8D64">
            <w:pPr>
              <w:bidi w:val="0"/>
              <w:spacing w:line="360" w:lineRule="auto"/>
              <w:jc w:val="center"/>
              <w:rPr>
                <w:rFonts w:hint="eastAsia" w:ascii="仿宋" w:hAnsi="仿宋" w:eastAsia="仿宋" w:cs="仿宋"/>
                <w:sz w:val="24"/>
                <w:szCs w:val="24"/>
                <w:lang w:val="en-US" w:eastAsia="zh-CN"/>
              </w:rPr>
            </w:pPr>
          </w:p>
        </w:tc>
        <w:tc>
          <w:tcPr>
            <w:tcW w:w="1462" w:type="dxa"/>
            <w:vMerge w:val="continue"/>
            <w:tcBorders>
              <w:left w:val="single" w:color="auto" w:sz="4" w:space="0"/>
              <w:right w:val="single" w:color="auto" w:sz="4" w:space="0"/>
            </w:tcBorders>
            <w:noWrap w:val="0"/>
            <w:vAlign w:val="center"/>
          </w:tcPr>
          <w:p w14:paraId="209AF226">
            <w:pPr>
              <w:bidi w:val="0"/>
              <w:spacing w:line="360" w:lineRule="auto"/>
              <w:jc w:val="center"/>
              <w:rPr>
                <w:rFonts w:hint="eastAsia" w:ascii="仿宋" w:hAnsi="仿宋" w:eastAsia="仿宋" w:cs="仿宋"/>
                <w:sz w:val="24"/>
                <w:szCs w:val="24"/>
                <w:lang w:val="en-US" w:eastAsia="zh-CN"/>
              </w:rPr>
            </w:pPr>
          </w:p>
        </w:tc>
        <w:tc>
          <w:tcPr>
            <w:tcW w:w="6711" w:type="dxa"/>
            <w:tcBorders>
              <w:left w:val="single" w:color="auto" w:sz="4" w:space="0"/>
              <w:right w:val="single" w:color="auto" w:sz="4" w:space="0"/>
            </w:tcBorders>
            <w:noWrap w:val="0"/>
            <w:vAlign w:val="center"/>
          </w:tcPr>
          <w:p w14:paraId="530870DA">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投标人须根据采购需求中人员投入及要求制定完善合理的人员安排，包含具体的岗位安排、驻点人员安排、服务分工及对应人员项目完成度考核标准等方面：</w:t>
            </w:r>
          </w:p>
          <w:p w14:paraId="59E83B11">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1.有完善合理的人员安排，且管理及考核制度详细的，得3.1-5分；</w:t>
            </w:r>
          </w:p>
          <w:p w14:paraId="05A1342C">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2.有一定的人员安排，管理及考核制度较明确，得1.1-3分；</w:t>
            </w:r>
          </w:p>
          <w:p w14:paraId="5AAC0F6A">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3.人员安排欠缺，管理及考核制度较欠缺，得0-1分；</w:t>
            </w:r>
          </w:p>
          <w:p w14:paraId="189A3C11">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不提供不得分。</w:t>
            </w:r>
          </w:p>
        </w:tc>
        <w:tc>
          <w:tcPr>
            <w:tcW w:w="718" w:type="dxa"/>
            <w:tcBorders>
              <w:top w:val="single" w:color="auto" w:sz="4" w:space="0"/>
              <w:left w:val="single" w:color="auto" w:sz="4" w:space="0"/>
              <w:right w:val="single" w:color="auto" w:sz="4" w:space="0"/>
            </w:tcBorders>
            <w:noWrap w:val="0"/>
            <w:vAlign w:val="center"/>
          </w:tcPr>
          <w:p w14:paraId="0DBA91F8">
            <w:pP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r>
      <w:tr w14:paraId="5C17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jc w:val="center"/>
        </w:trPr>
        <w:tc>
          <w:tcPr>
            <w:tcW w:w="730" w:type="dxa"/>
            <w:vMerge w:val="restart"/>
            <w:tcBorders>
              <w:left w:val="single" w:color="auto" w:sz="4" w:space="0"/>
              <w:right w:val="single" w:color="auto" w:sz="4" w:space="0"/>
            </w:tcBorders>
            <w:noWrap w:val="0"/>
            <w:vAlign w:val="center"/>
          </w:tcPr>
          <w:p w14:paraId="24EB1EB6">
            <w:pPr>
              <w:bidi w:val="0"/>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w:t>
            </w:r>
          </w:p>
        </w:tc>
        <w:tc>
          <w:tcPr>
            <w:tcW w:w="1462" w:type="dxa"/>
            <w:vMerge w:val="restart"/>
            <w:tcBorders>
              <w:left w:val="single" w:color="auto" w:sz="4" w:space="0"/>
              <w:right w:val="single" w:color="auto" w:sz="4" w:space="0"/>
            </w:tcBorders>
            <w:noWrap w:val="0"/>
            <w:vAlign w:val="center"/>
          </w:tcPr>
          <w:p w14:paraId="539DFCEE">
            <w:pPr>
              <w:spacing w:line="312"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z w:val="24"/>
                <w:szCs w:val="24"/>
                <w:highlight w:val="none"/>
                <w:lang w:eastAsia="zh-Hans"/>
              </w:rPr>
              <w:t>培训方案</w:t>
            </w:r>
          </w:p>
        </w:tc>
        <w:tc>
          <w:tcPr>
            <w:tcW w:w="6711" w:type="dxa"/>
            <w:tcBorders>
              <w:left w:val="single" w:color="auto" w:sz="4" w:space="0"/>
              <w:right w:val="single" w:color="auto" w:sz="4" w:space="0"/>
            </w:tcBorders>
            <w:noWrap w:val="0"/>
            <w:vAlign w:val="center"/>
          </w:tcPr>
          <w:p w14:paraId="72A4BBE8">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根据投标人对</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及下属企业统计相关负责人员进行统计相关业务培训，制定合理完善的培训方案，包括人员培训时间、地点、人员安排、培训内容等</w:t>
            </w:r>
            <w:r>
              <w:rPr>
                <w:rFonts w:hint="eastAsia" w:ascii="仿宋" w:hAnsi="仿宋" w:eastAsia="仿宋" w:cs="仿宋"/>
                <w:color w:val="auto"/>
                <w:sz w:val="24"/>
                <w:szCs w:val="24"/>
                <w:highlight w:val="none"/>
                <w:lang w:eastAsia="zh-CN"/>
              </w:rPr>
              <w:t>。</w:t>
            </w:r>
          </w:p>
          <w:p w14:paraId="4522DFBF">
            <w:pPr>
              <w:numPr>
                <w:ilvl w:val="0"/>
                <w:numId w:val="6"/>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方案完整、具体、明确得4.1-6分；</w:t>
            </w:r>
          </w:p>
          <w:p w14:paraId="7AE9F7F8">
            <w:pPr>
              <w:numPr>
                <w:ilvl w:val="0"/>
                <w:numId w:val="6"/>
              </w:numPr>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方案表述不详细，有部分缺项得2.1-4分；</w:t>
            </w:r>
          </w:p>
          <w:p w14:paraId="5F4DC48D">
            <w:pPr>
              <w:numPr>
                <w:ilvl w:val="0"/>
                <w:numId w:val="6"/>
              </w:numPr>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方案简单、表述粗略得0-2分</w:t>
            </w:r>
          </w:p>
          <w:p w14:paraId="69DB4D81">
            <w:pPr>
              <w:numPr>
                <w:ilvl w:val="0"/>
                <w:numId w:val="0"/>
              </w:numPr>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若未提供不得分</w:t>
            </w:r>
          </w:p>
        </w:tc>
        <w:tc>
          <w:tcPr>
            <w:tcW w:w="718" w:type="dxa"/>
            <w:tcBorders>
              <w:top w:val="single" w:color="auto" w:sz="4" w:space="0"/>
              <w:left w:val="single" w:color="auto" w:sz="4" w:space="0"/>
              <w:right w:val="single" w:color="auto" w:sz="4" w:space="0"/>
            </w:tcBorders>
            <w:noWrap w:val="0"/>
            <w:vAlign w:val="center"/>
          </w:tcPr>
          <w:p w14:paraId="6C0EB946">
            <w:pPr>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r>
      <w:tr w14:paraId="085E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30" w:type="dxa"/>
            <w:vMerge w:val="continue"/>
            <w:tcBorders>
              <w:left w:val="single" w:color="auto" w:sz="4" w:space="0"/>
              <w:right w:val="single" w:color="auto" w:sz="4" w:space="0"/>
            </w:tcBorders>
            <w:noWrap w:val="0"/>
            <w:vAlign w:val="center"/>
          </w:tcPr>
          <w:p w14:paraId="06156ABD">
            <w:pPr>
              <w:bidi w:val="0"/>
              <w:spacing w:line="360" w:lineRule="auto"/>
              <w:jc w:val="center"/>
              <w:rPr>
                <w:rFonts w:hint="eastAsia" w:ascii="仿宋" w:hAnsi="仿宋" w:eastAsia="仿宋" w:cs="仿宋"/>
                <w:b w:val="0"/>
                <w:bCs w:val="0"/>
                <w:color w:val="auto"/>
                <w:kern w:val="2"/>
                <w:sz w:val="24"/>
                <w:szCs w:val="24"/>
                <w:highlight w:val="none"/>
                <w:lang w:val="en-US" w:eastAsia="zh-CN" w:bidi="ar-SA"/>
              </w:rPr>
            </w:pPr>
          </w:p>
        </w:tc>
        <w:tc>
          <w:tcPr>
            <w:tcW w:w="1462" w:type="dxa"/>
            <w:vMerge w:val="continue"/>
            <w:tcBorders>
              <w:left w:val="single" w:color="auto" w:sz="4" w:space="0"/>
              <w:right w:val="single" w:color="auto" w:sz="4" w:space="0"/>
            </w:tcBorders>
            <w:noWrap w:val="0"/>
            <w:vAlign w:val="center"/>
          </w:tcPr>
          <w:p w14:paraId="58EBC0BD">
            <w:pPr>
              <w:spacing w:line="312"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p>
        </w:tc>
        <w:tc>
          <w:tcPr>
            <w:tcW w:w="6711" w:type="dxa"/>
            <w:tcBorders>
              <w:left w:val="single" w:color="auto" w:sz="4" w:space="0"/>
              <w:right w:val="single" w:color="auto" w:sz="4" w:space="0"/>
            </w:tcBorders>
            <w:noWrap w:val="0"/>
            <w:vAlign w:val="center"/>
          </w:tcPr>
          <w:p w14:paraId="28D7DB62">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kern w:val="0"/>
                <w:sz w:val="24"/>
                <w:szCs w:val="24"/>
              </w:rPr>
              <w:t>投标人有组织现场培训实践经验以及培训课件制作能力，提供</w:t>
            </w:r>
            <w:r>
              <w:rPr>
                <w:rFonts w:hint="eastAsia" w:ascii="仿宋" w:hAnsi="仿宋" w:eastAsia="仿宋" w:cs="仿宋"/>
                <w:kern w:val="0"/>
                <w:sz w:val="24"/>
                <w:szCs w:val="24"/>
                <w:lang w:val="en-US" w:eastAsia="zh-CN"/>
              </w:rPr>
              <w:t>至少10个</w:t>
            </w:r>
            <w:r>
              <w:rPr>
                <w:rFonts w:hint="eastAsia" w:ascii="仿宋" w:hAnsi="仿宋" w:eastAsia="仿宋" w:cs="仿宋"/>
                <w:kern w:val="0"/>
                <w:sz w:val="24"/>
                <w:szCs w:val="24"/>
              </w:rPr>
              <w:t>不同培训场次的现场照片（照片中需包含投标人信息证明）、培训签到表格以及课件制作案例（从工业、贸服、研发、投资选择一项作为培训案例</w:t>
            </w:r>
            <w:r>
              <w:rPr>
                <w:rFonts w:hint="eastAsia" w:ascii="仿宋" w:hAnsi="仿宋" w:eastAsia="仿宋" w:cs="仿宋"/>
                <w:kern w:val="0"/>
                <w:sz w:val="24"/>
                <w:szCs w:val="24"/>
                <w:lang w:val="en-US" w:eastAsia="zh-CN"/>
              </w:rPr>
              <w:t>展</w:t>
            </w:r>
            <w:r>
              <w:rPr>
                <w:rFonts w:hint="eastAsia" w:ascii="仿宋" w:hAnsi="仿宋" w:eastAsia="仿宋" w:cs="仿宋"/>
                <w:kern w:val="0"/>
                <w:sz w:val="24"/>
                <w:szCs w:val="24"/>
              </w:rPr>
              <w:t>示，以PPT图片形式放入投标文件中）。</w:t>
            </w:r>
          </w:p>
        </w:tc>
        <w:tc>
          <w:tcPr>
            <w:tcW w:w="718" w:type="dxa"/>
            <w:tcBorders>
              <w:top w:val="single" w:color="auto" w:sz="4" w:space="0"/>
              <w:left w:val="single" w:color="auto" w:sz="4" w:space="0"/>
              <w:right w:val="single" w:color="auto" w:sz="4" w:space="0"/>
            </w:tcBorders>
            <w:noWrap w:val="0"/>
            <w:vAlign w:val="center"/>
          </w:tcPr>
          <w:p w14:paraId="5948B987">
            <w:pPr>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r>
      <w:tr w14:paraId="3245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730" w:type="dxa"/>
            <w:tcBorders>
              <w:left w:val="single" w:color="auto" w:sz="4" w:space="0"/>
              <w:right w:val="single" w:color="auto" w:sz="4" w:space="0"/>
            </w:tcBorders>
            <w:noWrap w:val="0"/>
            <w:vAlign w:val="center"/>
          </w:tcPr>
          <w:p w14:paraId="7E6AA6E8">
            <w:pPr>
              <w:bidi w:val="0"/>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w:t>
            </w:r>
          </w:p>
        </w:tc>
        <w:tc>
          <w:tcPr>
            <w:tcW w:w="1462" w:type="dxa"/>
            <w:tcBorders>
              <w:left w:val="single" w:color="auto" w:sz="4" w:space="0"/>
              <w:right w:val="single" w:color="auto" w:sz="4" w:space="0"/>
            </w:tcBorders>
            <w:noWrap w:val="0"/>
            <w:vAlign w:val="center"/>
          </w:tcPr>
          <w:p w14:paraId="6B6954D8">
            <w:pPr>
              <w:bidi w:val="0"/>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风险应对措施</w:t>
            </w:r>
          </w:p>
        </w:tc>
        <w:tc>
          <w:tcPr>
            <w:tcW w:w="6711" w:type="dxa"/>
            <w:tcBorders>
              <w:left w:val="single" w:color="auto" w:sz="4" w:space="0"/>
              <w:right w:val="single" w:color="auto" w:sz="4" w:space="0"/>
            </w:tcBorders>
            <w:noWrap w:val="0"/>
            <w:vAlign w:val="center"/>
          </w:tcPr>
          <w:p w14:paraId="1039C63C">
            <w:pPr>
              <w:bidi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对于临时突发事件、临时紧急项目、人员变动及统计指导服务过程中可能存在的问题的解决方案等有合理规范的应急预案和紧急应对机制。</w:t>
            </w:r>
          </w:p>
          <w:p w14:paraId="51623C96">
            <w:pPr>
              <w:bidi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方案完整、具体、明确得</w:t>
            </w:r>
            <w:r>
              <w:rPr>
                <w:rFonts w:hint="eastAsia" w:ascii="仿宋" w:hAnsi="仿宋" w:eastAsia="仿宋" w:cs="仿宋"/>
                <w:color w:val="auto"/>
                <w:sz w:val="24"/>
                <w:szCs w:val="24"/>
                <w:highlight w:val="none"/>
                <w:lang w:val="en-US" w:eastAsia="zh-CN"/>
              </w:rPr>
              <w:t>3.1-6</w:t>
            </w:r>
            <w:r>
              <w:rPr>
                <w:rFonts w:hint="eastAsia" w:ascii="仿宋" w:hAnsi="仿宋" w:eastAsia="仿宋" w:cs="仿宋"/>
                <w:color w:val="auto"/>
                <w:sz w:val="24"/>
                <w:szCs w:val="24"/>
                <w:lang w:val="en-US" w:eastAsia="zh-CN"/>
              </w:rPr>
              <w:t>分；</w:t>
            </w:r>
          </w:p>
          <w:p w14:paraId="4014EB6C">
            <w:pPr>
              <w:bidi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方案表述不详细，有部分缺项得1.1-3分；</w:t>
            </w:r>
          </w:p>
          <w:p w14:paraId="148300C5">
            <w:pPr>
              <w:bidi w:val="0"/>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方案简单、表述粗略得0-1分，若未提供不得分</w:t>
            </w:r>
          </w:p>
        </w:tc>
        <w:tc>
          <w:tcPr>
            <w:tcW w:w="718" w:type="dxa"/>
            <w:tcBorders>
              <w:top w:val="single" w:color="auto" w:sz="4" w:space="0"/>
              <w:left w:val="single" w:color="auto" w:sz="4" w:space="0"/>
              <w:right w:val="single" w:color="auto" w:sz="4" w:space="0"/>
            </w:tcBorders>
            <w:noWrap w:val="0"/>
            <w:vAlign w:val="center"/>
          </w:tcPr>
          <w:p w14:paraId="6DB9C9C0">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w:t>
            </w:r>
          </w:p>
        </w:tc>
      </w:tr>
      <w:tr w14:paraId="6964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730" w:type="dxa"/>
            <w:tcBorders>
              <w:left w:val="single" w:color="auto" w:sz="4" w:space="0"/>
              <w:right w:val="single" w:color="auto" w:sz="4" w:space="0"/>
            </w:tcBorders>
            <w:noWrap w:val="0"/>
            <w:vAlign w:val="center"/>
          </w:tcPr>
          <w:p w14:paraId="03985CEB">
            <w:pPr>
              <w:bidi w:val="0"/>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w:t>
            </w:r>
          </w:p>
        </w:tc>
        <w:tc>
          <w:tcPr>
            <w:tcW w:w="1462" w:type="dxa"/>
            <w:tcBorders>
              <w:left w:val="single" w:color="auto" w:sz="4" w:space="0"/>
              <w:right w:val="single" w:color="auto" w:sz="4" w:space="0"/>
            </w:tcBorders>
            <w:noWrap w:val="0"/>
            <w:vAlign w:val="center"/>
          </w:tcPr>
          <w:p w14:paraId="07250019">
            <w:pPr>
              <w:bidi w:val="0"/>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保密制度</w:t>
            </w:r>
          </w:p>
        </w:tc>
        <w:tc>
          <w:tcPr>
            <w:tcW w:w="6711" w:type="dxa"/>
            <w:tcBorders>
              <w:left w:val="single" w:color="auto" w:sz="4" w:space="0"/>
              <w:right w:val="single" w:color="auto" w:sz="4" w:space="0"/>
            </w:tcBorders>
            <w:noWrap w:val="0"/>
            <w:vAlign w:val="center"/>
          </w:tcPr>
          <w:p w14:paraId="184F1600">
            <w:pPr>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根据投标人提供的保密制度和实施制度的完整性、可行性进行打分。</w:t>
            </w:r>
          </w:p>
          <w:p w14:paraId="110276AD">
            <w:pPr>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1.保密制度完整、具体、明确得</w:t>
            </w:r>
            <w:r>
              <w:rPr>
                <w:rFonts w:hint="eastAsia" w:ascii="仿宋" w:hAnsi="仿宋" w:eastAsia="仿宋" w:cs="仿宋"/>
                <w:sz w:val="24"/>
                <w:szCs w:val="24"/>
                <w:highlight w:val="none"/>
                <w:lang w:val="en-US" w:eastAsia="zh-CN"/>
              </w:rPr>
              <w:t>3.1-6</w:t>
            </w:r>
            <w:r>
              <w:rPr>
                <w:rFonts w:hint="eastAsia" w:ascii="仿宋" w:hAnsi="仿宋" w:eastAsia="仿宋" w:cs="仿宋"/>
                <w:sz w:val="24"/>
                <w:szCs w:val="24"/>
                <w:lang w:val="en-US" w:eastAsia="zh-CN"/>
              </w:rPr>
              <w:t>分；</w:t>
            </w:r>
          </w:p>
          <w:p w14:paraId="29D5E43D">
            <w:pPr>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2.服务承诺表述不详细，有部分缺项得1.1-3分；</w:t>
            </w:r>
          </w:p>
          <w:p w14:paraId="36773949">
            <w:pPr>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3.服务承诺简单、表述粗略得0-1分，若未提供不得分</w:t>
            </w:r>
          </w:p>
        </w:tc>
        <w:tc>
          <w:tcPr>
            <w:tcW w:w="718" w:type="dxa"/>
            <w:tcBorders>
              <w:top w:val="single" w:color="auto" w:sz="4" w:space="0"/>
              <w:left w:val="single" w:color="auto" w:sz="4" w:space="0"/>
              <w:right w:val="single" w:color="auto" w:sz="4" w:space="0"/>
            </w:tcBorders>
            <w:noWrap w:val="0"/>
            <w:vAlign w:val="center"/>
          </w:tcPr>
          <w:p w14:paraId="25628D09">
            <w:pPr>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w:t>
            </w:r>
          </w:p>
        </w:tc>
      </w:tr>
      <w:tr w14:paraId="4505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30" w:type="dxa"/>
            <w:tcBorders>
              <w:left w:val="single" w:color="auto" w:sz="4" w:space="0"/>
              <w:right w:val="single" w:color="auto" w:sz="4" w:space="0"/>
            </w:tcBorders>
            <w:noWrap w:val="0"/>
            <w:vAlign w:val="center"/>
          </w:tcPr>
          <w:p w14:paraId="54CB4E1E">
            <w:pPr>
              <w:bidi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w:t>
            </w:r>
          </w:p>
        </w:tc>
        <w:tc>
          <w:tcPr>
            <w:tcW w:w="1462" w:type="dxa"/>
            <w:tcBorders>
              <w:left w:val="single" w:color="auto" w:sz="4" w:space="0"/>
              <w:right w:val="single" w:color="auto" w:sz="4" w:space="0"/>
            </w:tcBorders>
            <w:noWrap w:val="0"/>
            <w:vAlign w:val="center"/>
          </w:tcPr>
          <w:p w14:paraId="594C28C7">
            <w:pPr>
              <w:bidi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服务响应能力</w:t>
            </w:r>
          </w:p>
        </w:tc>
        <w:tc>
          <w:tcPr>
            <w:tcW w:w="6711" w:type="dxa"/>
            <w:tcBorders>
              <w:left w:val="single" w:color="auto" w:sz="4" w:space="0"/>
              <w:right w:val="single" w:color="auto" w:sz="4" w:space="0"/>
            </w:tcBorders>
            <w:noWrap w:val="0"/>
            <w:vAlign w:val="center"/>
          </w:tcPr>
          <w:p w14:paraId="44D30CCD">
            <w:pPr>
              <w:bidi w:val="0"/>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评委根据投标人对本项目的服务响应能力进行打分，包括但不仅限于所在地的工作环境了解程度、与各企业的沟通能力、服务响应时效等。</w:t>
            </w:r>
          </w:p>
        </w:tc>
        <w:tc>
          <w:tcPr>
            <w:tcW w:w="718" w:type="dxa"/>
            <w:tcBorders>
              <w:top w:val="single" w:color="auto" w:sz="4" w:space="0"/>
              <w:left w:val="single" w:color="auto" w:sz="4" w:space="0"/>
              <w:right w:val="single" w:color="auto" w:sz="4" w:space="0"/>
            </w:tcBorders>
            <w:noWrap w:val="0"/>
            <w:vAlign w:val="center"/>
          </w:tcPr>
          <w:p w14:paraId="0B4693C6">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w:t>
            </w:r>
          </w:p>
        </w:tc>
      </w:tr>
    </w:tbl>
    <w:p w14:paraId="3BE41F1A">
      <w:pPr>
        <w:rPr>
          <w:rFonts w:hint="eastAsia" w:ascii="仿宋" w:hAnsi="仿宋" w:eastAsia="仿宋" w:cs="仿宋"/>
          <w:b w:val="0"/>
          <w:bCs/>
          <w:color w:val="auto"/>
          <w:sz w:val="24"/>
          <w:szCs w:val="24"/>
          <w:highlight w:val="none"/>
          <w:lang w:val="en-US" w:eastAsia="zh-CN"/>
        </w:rPr>
      </w:pPr>
    </w:p>
    <w:p w14:paraId="23DA0885">
      <w:pPr>
        <w:keepNext w:val="0"/>
        <w:keepLines w:val="0"/>
        <w:pageBreakBefore w:val="0"/>
        <w:widowControl w:val="0"/>
        <w:numPr>
          <w:ilvl w:val="0"/>
          <w:numId w:val="7"/>
        </w:numPr>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rPr>
        <w:t>本次评审通过资格审查和符合性评审的单位全部入围进行商务评审。</w:t>
      </w:r>
    </w:p>
    <w:p w14:paraId="1577D0E1">
      <w:pPr>
        <w:pStyle w:val="8"/>
        <w:ind w:left="0" w:leftChars="0" w:firstLine="0" w:firstLineChars="0"/>
        <w:rPr>
          <w:rFonts w:hint="eastAsia"/>
        </w:rPr>
      </w:pPr>
    </w:p>
    <w:p w14:paraId="2BBEDA10">
      <w:pPr>
        <w:rPr>
          <w:rFonts w:hint="eastAsia"/>
        </w:rPr>
      </w:pPr>
    </w:p>
    <w:p w14:paraId="77E07940">
      <w:pPr>
        <w:keepNext w:val="0"/>
        <w:keepLines w:val="0"/>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28CA7BEE">
      <w:pPr>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67997B04">
      <w:pPr>
        <w:keepNext w:val="0"/>
        <w:keepLines w:val="0"/>
        <w:pageBreakBefore w:val="0"/>
        <w:widowControl w:val="0"/>
        <w:kinsoku/>
        <w:wordWrap/>
        <w:overflowPunct/>
        <w:topLinePunct w:val="0"/>
        <w:autoSpaceDE/>
        <w:autoSpaceDN/>
        <w:bidi w:val="0"/>
        <w:adjustRightInd/>
        <w:spacing w:line="36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4D110E5C">
      <w:pPr>
        <w:keepNext w:val="0"/>
        <w:keepLines w:val="0"/>
        <w:pageBreakBefore w:val="0"/>
        <w:widowControl w:val="0"/>
        <w:kinsoku/>
        <w:wordWrap/>
        <w:overflowPunct/>
        <w:topLinePunct w:val="0"/>
        <w:autoSpaceDE/>
        <w:autoSpaceDN/>
        <w:bidi w:val="0"/>
        <w:spacing w:line="36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4A339A3E">
      <w:pPr>
        <w:keepNext w:val="0"/>
        <w:keepLines w:val="0"/>
        <w:pageBreakBefore w:val="0"/>
        <w:widowControl w:val="0"/>
        <w:kinsoku/>
        <w:wordWrap/>
        <w:overflowPunct/>
        <w:topLinePunct w:val="0"/>
        <w:autoSpaceDE/>
        <w:autoSpaceDN/>
        <w:bidi w:val="0"/>
        <w:spacing w:line="36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4DF94877">
      <w:pPr>
        <w:keepNext w:val="0"/>
        <w:keepLines w:val="0"/>
        <w:pageBreakBefore w:val="0"/>
        <w:widowControl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057E9A84">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27615E97">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7A97ACE4">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2576D37F">
      <w:pPr>
        <w:pStyle w:val="26"/>
        <w:keepNext w:val="0"/>
        <w:keepLines w:val="0"/>
        <w:pageBreakBefore w:val="0"/>
        <w:widowControl w:val="0"/>
        <w:kinsoku/>
        <w:wordWrap/>
        <w:overflowPunct/>
        <w:topLinePunct w:val="0"/>
        <w:autoSpaceDE/>
        <w:autoSpaceDN/>
        <w:bidi w:val="0"/>
        <w:adjustRightInd w:val="0"/>
        <w:snapToGrid/>
        <w:spacing w:before="0" w:line="36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4337BDF0">
      <w:pPr>
        <w:pStyle w:val="26"/>
        <w:keepNext w:val="0"/>
        <w:keepLines w:val="0"/>
        <w:pageBreakBefore w:val="0"/>
        <w:widowControl w:val="0"/>
        <w:kinsoku/>
        <w:wordWrap/>
        <w:overflowPunct/>
        <w:topLinePunct w:val="0"/>
        <w:autoSpaceDE/>
        <w:autoSpaceDN/>
        <w:bidi w:val="0"/>
        <w:adjustRightInd w:val="0"/>
        <w:snapToGrid/>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082CFA0B">
      <w:pPr>
        <w:pStyle w:val="26"/>
        <w:keepNext w:val="0"/>
        <w:keepLines w:val="0"/>
        <w:pageBreakBefore w:val="0"/>
        <w:widowControl w:val="0"/>
        <w:kinsoku/>
        <w:wordWrap/>
        <w:overflowPunct/>
        <w:topLinePunct w:val="0"/>
        <w:autoSpaceDE/>
        <w:autoSpaceDN/>
        <w:bidi w:val="0"/>
        <w:adjustRightInd w:val="0"/>
        <w:snapToGrid/>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08EBE6BF">
      <w:pPr>
        <w:pStyle w:val="26"/>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641AF8F0">
      <w:pPr>
        <w:pStyle w:val="26"/>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3071B86C">
      <w:pPr>
        <w:pStyle w:val="26"/>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0BA4683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6B97696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2B872FBE">
      <w:pPr>
        <w:pStyle w:val="26"/>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0E9516">
      <w:pPr>
        <w:pStyle w:val="26"/>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3.4.2政府采购评审中出现下列情形之一的，评标委员会应当启动异常低价投标审查程序：</w:t>
      </w:r>
    </w:p>
    <w:p w14:paraId="538A9C9D">
      <w:pPr>
        <w:pStyle w:val="26"/>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3.4.2.1投标报价低于全部通过符合性审查供应商投标报价平均值50%的，即投标报价&lt;全部通过符合性审查供应商投标报价平均值×50%；</w:t>
      </w:r>
    </w:p>
    <w:p w14:paraId="74AC0AD3">
      <w:pPr>
        <w:pStyle w:val="26"/>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3.4.2.2投标报价低于通过符合性审查且报价次低供应商投标报价50%的，即投标报价&lt;通过符合性审查且报价次低供应商投标报价×50%；</w:t>
      </w:r>
    </w:p>
    <w:p w14:paraId="7A3156C8">
      <w:pPr>
        <w:pStyle w:val="26"/>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3.4.2.3投标报价低于采购项目最高限价45%的，即投标报价&lt;采购项目最高限价×45%；</w:t>
      </w:r>
    </w:p>
    <w:p w14:paraId="45C06920">
      <w:pPr>
        <w:pStyle w:val="26"/>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3.4.2.4其他评标委员会认为供应商报价过低，有可能影响产品质量或者不能诚信履约的情形。</w:t>
      </w:r>
    </w:p>
    <w:p w14:paraId="7376BDD3">
      <w:pPr>
        <w:pStyle w:val="26"/>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6736F486">
      <w:pPr>
        <w:pStyle w:val="26"/>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483C41BF">
      <w:pPr>
        <w:keepNext w:val="0"/>
        <w:keepLines w:val="0"/>
        <w:pageBreakBefore w:val="0"/>
        <w:widowControl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w:t>
      </w:r>
      <w:r>
        <w:rPr>
          <w:rFonts w:hint="eastAsia" w:ascii="仿宋" w:hAnsi="仿宋" w:eastAsia="仿宋" w:cs="仿宋"/>
          <w:b/>
          <w:kern w:val="0"/>
          <w:sz w:val="24"/>
          <w:szCs w:val="24"/>
          <w:lang w:val="en-US" w:eastAsia="zh-CN"/>
        </w:rPr>
        <w:t>4</w:t>
      </w:r>
      <w:r>
        <w:rPr>
          <w:rFonts w:hint="eastAsia" w:ascii="仿宋" w:hAnsi="仿宋" w:eastAsia="仿宋" w:cs="仿宋"/>
          <w:b/>
          <w:kern w:val="0"/>
          <w:sz w:val="24"/>
          <w:szCs w:val="24"/>
        </w:rPr>
        <w:t>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50AC0600">
      <w:pPr>
        <w:keepNext w:val="0"/>
        <w:keepLines w:val="0"/>
        <w:pageBreakBefore w:val="0"/>
        <w:widowControl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DAA8F5">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w:t>
      </w:r>
      <w:r>
        <w:rPr>
          <w:rFonts w:hint="eastAsia" w:ascii="仿宋" w:hAnsi="仿宋" w:eastAsia="仿宋" w:cs="仿宋"/>
          <w:b/>
          <w:kern w:val="0"/>
          <w:sz w:val="24"/>
          <w:szCs w:val="24"/>
          <w:lang w:val="en-US" w:eastAsia="zh-CN"/>
        </w:rPr>
        <w:t>5</w:t>
      </w:r>
      <w:r>
        <w:rPr>
          <w:rFonts w:hint="eastAsia" w:ascii="仿宋" w:hAnsi="仿宋" w:eastAsia="仿宋" w:cs="仿宋"/>
          <w:b/>
          <w:kern w:val="0"/>
          <w:sz w:val="24"/>
          <w:szCs w:val="24"/>
        </w:rPr>
        <w:t>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946AB1A">
      <w:pPr>
        <w:keepNext w:val="0"/>
        <w:keepLines w:val="0"/>
        <w:pageBreakBefore w:val="0"/>
        <w:widowControl/>
        <w:shd w:val="clear"/>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7AC7E111">
      <w:pPr>
        <w:pStyle w:val="26"/>
        <w:keepNext w:val="0"/>
        <w:keepLines w:val="0"/>
        <w:pageBreakBefore w:val="0"/>
        <w:kinsoku/>
        <w:wordWrap/>
        <w:overflowPunct/>
        <w:topLinePunct w:val="0"/>
        <w:autoSpaceDE/>
        <w:autoSpaceDN/>
        <w:bidi w:val="0"/>
        <w:snapToGrid/>
        <w:spacing w:before="0"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CE35D8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4F2B28CF">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1C03ACCE">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1785DC1C">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56C73873">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437534D4">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07487F2A">
      <w:pPr>
        <w:pageBreakBefore w:val="0"/>
        <w:kinsoku/>
        <w:wordWrap/>
        <w:overflowPunct/>
        <w:topLinePunct w:val="0"/>
        <w:autoSpaceDE/>
        <w:autoSpaceDN/>
        <w:bidi w:val="0"/>
        <w:snapToGrid w:val="0"/>
        <w:spacing w:line="36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628E31AF">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0AB5011E">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4F04B38B">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1AB9BA9C">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110A4A70">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3ED218B0">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04E0645E">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6476F097">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1322519C">
      <w:pPr>
        <w:pStyle w:val="9"/>
        <w:pageBreakBefore w:val="0"/>
        <w:widowControl w:val="0"/>
        <w:kinsoku/>
        <w:wordWrap/>
        <w:overflowPunct/>
        <w:topLinePunct w:val="0"/>
        <w:autoSpaceDE/>
        <w:autoSpaceDN/>
        <w:bidi w:val="0"/>
        <w:snapToGrid w:val="0"/>
        <w:spacing w:line="36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78656960">
      <w:pPr>
        <w:pStyle w:val="9"/>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04EBE806">
      <w:pPr>
        <w:pStyle w:val="9"/>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133D9828">
      <w:pPr>
        <w:pStyle w:val="9"/>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1BD5F5D6">
      <w:pPr>
        <w:pStyle w:val="9"/>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4965488C">
      <w:pPr>
        <w:pStyle w:val="9"/>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2228FAC9">
      <w:pPr>
        <w:pStyle w:val="9"/>
        <w:pageBreakBefore w:val="0"/>
        <w:widowControl w:val="0"/>
        <w:kinsoku/>
        <w:wordWrap/>
        <w:overflowPunct/>
        <w:topLinePunct w:val="0"/>
        <w:autoSpaceDE/>
        <w:autoSpaceDN/>
        <w:bidi w:val="0"/>
        <w:snapToGrid w:val="0"/>
        <w:spacing w:line="36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9941D46">
      <w:pPr>
        <w:pStyle w:val="9"/>
        <w:pageBreakBefore w:val="0"/>
        <w:widowControl w:val="0"/>
        <w:kinsoku/>
        <w:wordWrap/>
        <w:overflowPunct/>
        <w:topLinePunct w:val="0"/>
        <w:autoSpaceDE/>
        <w:autoSpaceDN/>
        <w:bidi w:val="0"/>
        <w:snapToGrid w:val="0"/>
        <w:spacing w:line="36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209CDAFE">
      <w:pPr>
        <w:pStyle w:val="9"/>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30E55EDD">
      <w:pPr>
        <w:pStyle w:val="9"/>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4.5.2已确定中标或者中标人但尚未签订政府采购合同的，中标或者成交结果无效，从合格的中标或者成交候选人中另行确定中标或者中标人；没有合格的中标或者成交候选人的，重新开展政府采购活动。</w:t>
      </w:r>
    </w:p>
    <w:p w14:paraId="4BAFBA97">
      <w:pPr>
        <w:pStyle w:val="9"/>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4.5.3政府采购合同已签订但尚未履行的，撤销合同，从合格的中标或者成交候选人中另行确定中标或者中标人；没有合格的中标或者成交候选人的，重新开展政府采购活动。</w:t>
      </w:r>
    </w:p>
    <w:p w14:paraId="5FF08446">
      <w:pPr>
        <w:pStyle w:val="9"/>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4.5.4政府采购合同已经履行，给采购人、供应商造成损失的，由责任人承担赔偿责任。</w:t>
      </w:r>
    </w:p>
    <w:p w14:paraId="77E60808">
      <w:pPr>
        <w:pStyle w:val="7"/>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sz w:val="24"/>
          <w:szCs w:val="24"/>
          <w:lang w:val="en-US" w:eastAsia="zh-CN"/>
        </w:rPr>
        <w:t>4.5.1-4.5.4</w:t>
      </w:r>
      <w:r>
        <w:rPr>
          <w:rFonts w:hint="eastAsia" w:ascii="仿宋" w:hAnsi="仿宋" w:eastAsia="仿宋" w:cs="仿宋"/>
          <w:sz w:val="24"/>
          <w:szCs w:val="24"/>
        </w:rPr>
        <w:t>规定处理。</w:t>
      </w:r>
    </w:p>
    <w:p w14:paraId="7498C982">
      <w:pPr>
        <w:pStyle w:val="8"/>
        <w:rPr>
          <w:rFonts w:hint="eastAsia" w:ascii="仿宋" w:hAnsi="仿宋" w:eastAsia="仿宋" w:cs="仿宋"/>
          <w:sz w:val="24"/>
          <w:szCs w:val="24"/>
        </w:rPr>
      </w:pPr>
    </w:p>
    <w:p w14:paraId="72BF8604">
      <w:pPr>
        <w:rPr>
          <w:rFonts w:hint="eastAsia" w:ascii="仿宋" w:hAnsi="仿宋" w:eastAsia="仿宋" w:cs="仿宋"/>
          <w:sz w:val="24"/>
          <w:szCs w:val="24"/>
        </w:rPr>
      </w:pPr>
    </w:p>
    <w:p w14:paraId="16AB1781">
      <w:pPr>
        <w:rPr>
          <w:rFonts w:hint="eastAsia" w:ascii="仿宋" w:hAnsi="仿宋" w:eastAsia="仿宋" w:cs="仿宋"/>
          <w:sz w:val="24"/>
          <w:szCs w:val="24"/>
        </w:rPr>
      </w:pPr>
    </w:p>
    <w:p w14:paraId="1FE1EBB8">
      <w:pPr>
        <w:rPr>
          <w:rFonts w:hint="eastAsia" w:ascii="仿宋" w:hAnsi="仿宋" w:eastAsia="仿宋" w:cs="仿宋"/>
          <w:sz w:val="24"/>
          <w:szCs w:val="24"/>
        </w:rPr>
      </w:pPr>
    </w:p>
    <w:p w14:paraId="37BA8497">
      <w:pPr>
        <w:rPr>
          <w:rFonts w:hint="eastAsia" w:ascii="仿宋" w:hAnsi="仿宋" w:eastAsia="仿宋" w:cs="仿宋"/>
          <w:sz w:val="24"/>
          <w:szCs w:val="24"/>
        </w:rPr>
      </w:pPr>
    </w:p>
    <w:p w14:paraId="42E1245D">
      <w:pPr>
        <w:rPr>
          <w:rFonts w:hint="eastAsia" w:ascii="仿宋" w:hAnsi="仿宋" w:eastAsia="仿宋" w:cs="仿宋"/>
          <w:sz w:val="24"/>
          <w:szCs w:val="24"/>
        </w:rPr>
      </w:pPr>
    </w:p>
    <w:p w14:paraId="5CA16CEA">
      <w:pPr>
        <w:rPr>
          <w:rFonts w:hint="eastAsia" w:ascii="仿宋" w:hAnsi="仿宋" w:eastAsia="仿宋" w:cs="仿宋"/>
          <w:sz w:val="24"/>
          <w:szCs w:val="24"/>
        </w:rPr>
      </w:pPr>
    </w:p>
    <w:p w14:paraId="11E96998">
      <w:pPr>
        <w:rPr>
          <w:rFonts w:hint="eastAsia" w:ascii="仿宋" w:hAnsi="仿宋" w:eastAsia="仿宋" w:cs="仿宋"/>
          <w:sz w:val="24"/>
          <w:szCs w:val="24"/>
        </w:rPr>
      </w:pPr>
    </w:p>
    <w:p w14:paraId="62D80DCB">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602CE2B8">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61CD78E7">
      <w:pPr>
        <w:spacing w:line="480" w:lineRule="auto"/>
        <w:jc w:val="both"/>
        <w:rPr>
          <w:rFonts w:hint="eastAsia" w:ascii="仿宋" w:hAnsi="仿宋" w:eastAsia="仿宋" w:cs="仿宋"/>
          <w:b/>
          <w:sz w:val="36"/>
          <w:szCs w:val="36"/>
        </w:rPr>
      </w:pPr>
    </w:p>
    <w:p w14:paraId="25706718">
      <w:pPr>
        <w:pStyle w:val="6"/>
        <w:rPr>
          <w:rFonts w:hint="eastAsia" w:ascii="仿宋" w:hAnsi="仿宋" w:eastAsia="仿宋" w:cs="仿宋"/>
        </w:rPr>
      </w:pPr>
    </w:p>
    <w:p w14:paraId="0B7F9BA1">
      <w:pPr>
        <w:pStyle w:val="28"/>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1325C9D6">
      <w:pPr>
        <w:pStyle w:val="9"/>
        <w:ind w:left="0" w:leftChars="0" w:firstLine="0" w:firstLineChars="0"/>
        <w:rPr>
          <w:rFonts w:hint="eastAsia" w:ascii="仿宋" w:hAnsi="仿宋" w:eastAsia="仿宋" w:cs="仿宋"/>
        </w:rPr>
      </w:pPr>
    </w:p>
    <w:p w14:paraId="387ECEFF">
      <w:pPr>
        <w:spacing w:before="120" w:line="22" w:lineRule="atLeast"/>
        <w:rPr>
          <w:rFonts w:hint="eastAsia" w:ascii="仿宋" w:hAnsi="仿宋" w:eastAsia="仿宋" w:cs="仿宋"/>
          <w:sz w:val="24"/>
        </w:rPr>
      </w:pPr>
    </w:p>
    <w:p w14:paraId="168D3D20">
      <w:pPr>
        <w:spacing w:before="120" w:line="22" w:lineRule="atLeast"/>
        <w:ind w:left="960"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4A0BF0E0">
      <w:pPr>
        <w:pStyle w:val="29"/>
        <w:spacing w:before="120" w:line="22" w:lineRule="atLeast"/>
        <w:rPr>
          <w:rFonts w:hint="eastAsia" w:ascii="仿宋" w:hAnsi="仿宋" w:eastAsia="仿宋" w:cs="仿宋"/>
          <w:szCs w:val="24"/>
        </w:rPr>
      </w:pPr>
    </w:p>
    <w:p w14:paraId="7042AD92">
      <w:pPr>
        <w:pStyle w:val="29"/>
        <w:spacing w:before="120" w:line="22" w:lineRule="atLeast"/>
        <w:rPr>
          <w:rFonts w:hint="eastAsia" w:ascii="仿宋" w:hAnsi="仿宋" w:eastAsia="仿宋" w:cs="仿宋"/>
          <w:szCs w:val="24"/>
        </w:rPr>
      </w:pPr>
    </w:p>
    <w:p w14:paraId="1F3B9E63">
      <w:pPr>
        <w:rPr>
          <w:rFonts w:hint="eastAsia" w:ascii="仿宋" w:hAnsi="仿宋" w:eastAsia="仿宋" w:cs="仿宋"/>
          <w:sz w:val="24"/>
        </w:rPr>
      </w:pPr>
    </w:p>
    <w:p w14:paraId="065A6ACE">
      <w:pPr>
        <w:spacing w:before="120" w:line="22" w:lineRule="atLeast"/>
        <w:ind w:left="960" w:firstLine="240" w:firstLineChars="10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65C707F5">
      <w:pPr>
        <w:spacing w:before="120" w:line="22" w:lineRule="atLeast"/>
        <w:rPr>
          <w:rFonts w:hint="eastAsia" w:ascii="仿宋" w:hAnsi="仿宋" w:eastAsia="仿宋" w:cs="仿宋"/>
          <w:sz w:val="24"/>
        </w:rPr>
      </w:pPr>
    </w:p>
    <w:p w14:paraId="20559AF6">
      <w:pPr>
        <w:spacing w:before="120" w:line="22" w:lineRule="atLeast"/>
        <w:ind w:left="960" w:firstLine="240" w:firstLineChars="10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2231E37">
      <w:pPr>
        <w:spacing w:before="120" w:line="22" w:lineRule="atLeast"/>
        <w:rPr>
          <w:rFonts w:hint="eastAsia" w:ascii="仿宋" w:hAnsi="仿宋" w:eastAsia="仿宋" w:cs="仿宋"/>
          <w:sz w:val="24"/>
        </w:rPr>
      </w:pPr>
    </w:p>
    <w:p w14:paraId="47E64F26">
      <w:pPr>
        <w:spacing w:before="120" w:line="22" w:lineRule="atLeast"/>
        <w:ind w:firstLine="1200" w:firstLineChars="5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02A772A">
      <w:pPr>
        <w:spacing w:before="120" w:line="22" w:lineRule="atLeast"/>
        <w:rPr>
          <w:rFonts w:hint="eastAsia" w:ascii="仿宋" w:hAnsi="仿宋" w:eastAsia="仿宋" w:cs="仿宋"/>
          <w:sz w:val="24"/>
        </w:rPr>
      </w:pPr>
    </w:p>
    <w:p w14:paraId="7AE04027">
      <w:pPr>
        <w:spacing w:before="120" w:line="22" w:lineRule="atLeast"/>
        <w:ind w:firstLine="1200" w:firstLineChars="5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47D5506">
      <w:pPr>
        <w:widowControl/>
        <w:jc w:val="left"/>
        <w:rPr>
          <w:rFonts w:hint="eastAsia" w:ascii="仿宋" w:hAnsi="仿宋" w:eastAsia="仿宋" w:cs="仿宋"/>
          <w:kern w:val="0"/>
          <w:sz w:val="24"/>
        </w:rPr>
        <w:sectPr>
          <w:headerReference r:id="rId3" w:type="default"/>
          <w:footerReference r:id="rId4" w:type="default"/>
          <w:pgSz w:w="11907" w:h="16840"/>
          <w:pgMar w:top="907" w:right="1417" w:bottom="907" w:left="1417" w:header="851" w:footer="851" w:gutter="0"/>
          <w:pgBorders>
            <w:top w:val="none" w:sz="0" w:space="0"/>
            <w:left w:val="none" w:sz="0" w:space="0"/>
            <w:bottom w:val="none" w:sz="0" w:space="0"/>
            <w:right w:val="none" w:sz="0" w:space="0"/>
          </w:pgBorders>
          <w:cols w:space="720" w:num="1"/>
        </w:sectPr>
      </w:pPr>
    </w:p>
    <w:p w14:paraId="118CC0B5">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（甲方）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（项目名称）经</w:t>
      </w:r>
      <w:r>
        <w:rPr>
          <w:rFonts w:hint="eastAsia" w:ascii="仿宋" w:hAnsi="仿宋" w:eastAsia="仿宋" w:cs="仿宋"/>
          <w:color w:val="auto"/>
          <w:sz w:val="21"/>
          <w:szCs w:val="21"/>
          <w:highlight w:val="none"/>
          <w:lang w:val="en-US" w:eastAsia="zh-CN"/>
        </w:rPr>
        <w:t>诸暨中地项目管理有限公司</w:t>
      </w:r>
      <w:r>
        <w:rPr>
          <w:rFonts w:hint="eastAsia" w:ascii="仿宋" w:hAnsi="仿宋" w:eastAsia="仿宋" w:cs="仿宋"/>
          <w:color w:val="auto"/>
          <w:sz w:val="21"/>
          <w:szCs w:val="21"/>
          <w:highlight w:val="none"/>
        </w:rPr>
        <w:t>以招标文件（编号：</w:t>
      </w:r>
      <w:r>
        <w:rPr>
          <w:rFonts w:hint="eastAsia" w:ascii="仿宋" w:hAnsi="仿宋" w:eastAsia="仿宋" w:cs="仿宋"/>
          <w:color w:val="auto"/>
          <w:sz w:val="21"/>
          <w:szCs w:val="21"/>
          <w:highlight w:val="none"/>
          <w:lang w:val="en-US" w:eastAsia="zh-CN"/>
        </w:rPr>
        <w:t xml:space="preserve">诸中地**-**-**  </w:t>
      </w:r>
      <w:r>
        <w:rPr>
          <w:rFonts w:hint="eastAsia" w:ascii="仿宋" w:hAnsi="仿宋" w:eastAsia="仿宋" w:cs="仿宋"/>
          <w:color w:val="auto"/>
          <w:sz w:val="21"/>
          <w:szCs w:val="21"/>
          <w:highlight w:val="none"/>
        </w:rPr>
        <w:t>）进行公开招标。甲方确定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（乙方）为中标人。甲、乙双方依据《中华人民共和国政府采购法》、《中华人民共和国民法典》，在平等自愿的基础上，同意按照下面的条款和条件，签署本合同。</w:t>
      </w:r>
    </w:p>
    <w:p w14:paraId="1A2F153E">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rPr>
        <w:t>（一）项目采购依据</w:t>
      </w:r>
    </w:p>
    <w:p w14:paraId="747CB198">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政府采购预算执行确认书。 </w:t>
      </w:r>
    </w:p>
    <w:p w14:paraId="68A2B4F6">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（二）下列文件构成本合同的组成部分</w:t>
      </w:r>
    </w:p>
    <w:p w14:paraId="19DE079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以下文件为本合同的组成部分，应该认为是一个整体，彼此相互解释，相互补充。</w:t>
      </w:r>
    </w:p>
    <w:p w14:paraId="4021B6F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 本合同书</w:t>
      </w:r>
    </w:p>
    <w:p w14:paraId="284B6230">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 中标通知书</w:t>
      </w:r>
    </w:p>
    <w:p w14:paraId="0D7BBEA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 询标承诺</w:t>
      </w:r>
    </w:p>
    <w:p w14:paraId="058EE97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d. 投标文件</w:t>
      </w:r>
    </w:p>
    <w:p w14:paraId="57AB8CF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e. 招标文件</w:t>
      </w:r>
    </w:p>
    <w:p w14:paraId="3FD77925">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（三）合同标的物</w:t>
      </w:r>
    </w:p>
    <w:tbl>
      <w:tblPr>
        <w:tblStyle w:val="1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6E89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31E1E47C">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3960" w:type="dxa"/>
            <w:vAlign w:val="center"/>
          </w:tcPr>
          <w:p w14:paraId="0028C990">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规格、型号（或服务内容）</w:t>
            </w:r>
          </w:p>
        </w:tc>
        <w:tc>
          <w:tcPr>
            <w:tcW w:w="1080" w:type="dxa"/>
            <w:vAlign w:val="center"/>
          </w:tcPr>
          <w:p w14:paraId="54391A35">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260" w:type="dxa"/>
            <w:vAlign w:val="center"/>
          </w:tcPr>
          <w:p w14:paraId="1E5D5426">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单价（元）</w:t>
            </w:r>
          </w:p>
        </w:tc>
        <w:tc>
          <w:tcPr>
            <w:tcW w:w="1440" w:type="dxa"/>
            <w:vAlign w:val="center"/>
          </w:tcPr>
          <w:p w14:paraId="33F930E4">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合价（元）</w:t>
            </w:r>
          </w:p>
        </w:tc>
      </w:tr>
      <w:tr w14:paraId="729D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top"/>
          </w:tcPr>
          <w:p w14:paraId="34078493">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3960" w:type="dxa"/>
            <w:vAlign w:val="top"/>
          </w:tcPr>
          <w:p w14:paraId="7BFF2EB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080" w:type="dxa"/>
            <w:vAlign w:val="top"/>
          </w:tcPr>
          <w:p w14:paraId="1A4CEFFA">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260" w:type="dxa"/>
            <w:vAlign w:val="top"/>
          </w:tcPr>
          <w:p w14:paraId="2CFF49C1">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40" w:type="dxa"/>
            <w:vAlign w:val="top"/>
          </w:tcPr>
          <w:p w14:paraId="5F1B7CE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17C5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top"/>
          </w:tcPr>
          <w:p w14:paraId="61B391E3">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3960" w:type="dxa"/>
            <w:vAlign w:val="top"/>
          </w:tcPr>
          <w:p w14:paraId="2114CD6C">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080" w:type="dxa"/>
            <w:vAlign w:val="top"/>
          </w:tcPr>
          <w:p w14:paraId="48A75214">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260" w:type="dxa"/>
            <w:vAlign w:val="top"/>
          </w:tcPr>
          <w:p w14:paraId="6B659C2C">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40" w:type="dxa"/>
            <w:vAlign w:val="top"/>
          </w:tcPr>
          <w:p w14:paraId="1E77BF0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60EA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top"/>
          </w:tcPr>
          <w:p w14:paraId="4DF3DE9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3960" w:type="dxa"/>
            <w:vAlign w:val="top"/>
          </w:tcPr>
          <w:p w14:paraId="15B1366D">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080" w:type="dxa"/>
            <w:vAlign w:val="top"/>
          </w:tcPr>
          <w:p w14:paraId="3C0E1826">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260" w:type="dxa"/>
            <w:vAlign w:val="top"/>
          </w:tcPr>
          <w:p w14:paraId="2445199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40" w:type="dxa"/>
            <w:vAlign w:val="top"/>
          </w:tcPr>
          <w:p w14:paraId="084D9BD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bl>
    <w:p w14:paraId="46E68E3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（具体标的物或服务内容可根据实际修改）</w:t>
      </w:r>
    </w:p>
    <w:p w14:paraId="77F41E09">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（四）合同总价</w:t>
      </w:r>
    </w:p>
    <w:p w14:paraId="1296BD4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本合同总价为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元人民币，大写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37C5ED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（五）合同价款的支付</w:t>
      </w:r>
    </w:p>
    <w:p w14:paraId="57D37B3C">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1.本合同中甲乙双方之间所发生的一切费用以人民币进行结算。</w:t>
      </w:r>
    </w:p>
    <w:p w14:paraId="1E90ABDC">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2.支付方式：</w:t>
      </w:r>
    </w:p>
    <w:tbl>
      <w:tblPr>
        <w:tblStyle w:val="16"/>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1747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99C17B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付款次数</w:t>
            </w:r>
          </w:p>
        </w:tc>
        <w:tc>
          <w:tcPr>
            <w:tcW w:w="1985" w:type="dxa"/>
            <w:vAlign w:val="center"/>
          </w:tcPr>
          <w:p w14:paraId="0979C24E">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约定支付条件</w:t>
            </w:r>
          </w:p>
        </w:tc>
        <w:tc>
          <w:tcPr>
            <w:tcW w:w="4394" w:type="dxa"/>
            <w:vAlign w:val="center"/>
          </w:tcPr>
          <w:p w14:paraId="72CD826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付款条件</w:t>
            </w:r>
          </w:p>
        </w:tc>
        <w:tc>
          <w:tcPr>
            <w:tcW w:w="1413" w:type="dxa"/>
            <w:vAlign w:val="center"/>
          </w:tcPr>
          <w:p w14:paraId="18FF58C6">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金额（元）</w:t>
            </w:r>
          </w:p>
        </w:tc>
      </w:tr>
      <w:tr w14:paraId="4676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A43F37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985" w:type="dxa"/>
            <w:vAlign w:val="center"/>
          </w:tcPr>
          <w:p w14:paraId="7AFC26B0">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4394" w:type="dxa"/>
            <w:vAlign w:val="center"/>
          </w:tcPr>
          <w:p w14:paraId="49245428">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13" w:type="dxa"/>
            <w:vAlign w:val="center"/>
          </w:tcPr>
          <w:p w14:paraId="1562601E">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23F0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5D510C8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985" w:type="dxa"/>
            <w:vAlign w:val="center"/>
          </w:tcPr>
          <w:p w14:paraId="05C5281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4394" w:type="dxa"/>
            <w:vAlign w:val="center"/>
          </w:tcPr>
          <w:p w14:paraId="660E4718">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13" w:type="dxa"/>
            <w:vAlign w:val="center"/>
          </w:tcPr>
          <w:p w14:paraId="28DF3554">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1A49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7044DB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985" w:type="dxa"/>
            <w:vAlign w:val="center"/>
          </w:tcPr>
          <w:p w14:paraId="1DDD1571">
            <w:pPr>
              <w:pageBreakBefore w:val="0"/>
              <w:kinsoku/>
              <w:wordWrap/>
              <w:overflowPunct/>
              <w:topLinePunct w:val="0"/>
              <w:bidi w:val="0"/>
              <w:snapToGrid/>
              <w:spacing w:line="240" w:lineRule="auto"/>
              <w:textAlignment w:val="auto"/>
              <w:rPr>
                <w:rFonts w:hint="eastAsia" w:ascii="仿宋" w:hAnsi="仿宋" w:eastAsia="仿宋" w:cs="仿宋"/>
                <w:color w:val="auto"/>
                <w:sz w:val="21"/>
                <w:szCs w:val="21"/>
                <w:highlight w:val="none"/>
              </w:rPr>
            </w:pPr>
          </w:p>
        </w:tc>
        <w:tc>
          <w:tcPr>
            <w:tcW w:w="4394" w:type="dxa"/>
            <w:vAlign w:val="center"/>
          </w:tcPr>
          <w:p w14:paraId="7A1D900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13" w:type="dxa"/>
            <w:vAlign w:val="center"/>
          </w:tcPr>
          <w:p w14:paraId="68849628">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bl>
    <w:p w14:paraId="7B26978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3.甲方应付合同款至以下乙方指定的银行账户：</w:t>
      </w:r>
    </w:p>
    <w:p w14:paraId="710426F0">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开户名称：</w:t>
      </w:r>
    </w:p>
    <w:p w14:paraId="6738B0A7">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1033511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p w14:paraId="7B482A4F">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（六）履约保证金</w:t>
      </w:r>
    </w:p>
    <w:p w14:paraId="71EB1B36">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1.乙方应在合同签订后 5 个工作日内向甲方提交合同金额</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%的履约保证金。</w:t>
      </w:r>
    </w:p>
    <w:p w14:paraId="3A5089B0">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2.履约保证金用于补偿甲方因乙方不能履行其合同义务而蒙受的损失。</w:t>
      </w:r>
    </w:p>
    <w:p w14:paraId="206D46B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3.履约保证金有效期限：合同签订之日起至项目通过甲方验收后结束。</w:t>
      </w:r>
    </w:p>
    <w:p w14:paraId="698E364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4.履约保证金退还：有效期限满后，按合同约定扣除相关款项（如有）后无息退还。</w:t>
      </w:r>
    </w:p>
    <w:p w14:paraId="749E6F4B">
      <w:pPr>
        <w:pageBreakBefore w:val="0"/>
        <w:kinsoku/>
        <w:wordWrap/>
        <w:overflowPunct/>
        <w:topLinePunct w:val="0"/>
        <w:bidi w:val="0"/>
        <w:snapToGrid/>
        <w:spacing w:line="24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（七）服务要求</w:t>
      </w:r>
    </w:p>
    <w:p w14:paraId="63A4A77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服务期内，乙方应在充分了解甲方现有环境基础上，提供规范化、高质量的服务，具体服务内容与要求详见附件。</w:t>
      </w:r>
    </w:p>
    <w:p w14:paraId="7AAD0F75">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履行期限：</w:t>
      </w:r>
    </w:p>
    <w:p w14:paraId="321FEF3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履行地点：</w:t>
      </w:r>
    </w:p>
    <w:p w14:paraId="5669E17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（八）服务人员</w:t>
      </w:r>
    </w:p>
    <w:p w14:paraId="11DBA59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396A6D9D">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45729F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甲乙双方指定代表，作为履行本合同服务事宜的主要联系人。</w:t>
      </w:r>
    </w:p>
    <w:p w14:paraId="69FB13B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甲方代表：</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u w:val="single"/>
        </w:rPr>
        <w:t xml:space="preserve">                     </w:t>
      </w:r>
    </w:p>
    <w:p w14:paraId="40E8801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乙方代表：</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u w:val="single"/>
        </w:rPr>
        <w:t xml:space="preserve">                     </w:t>
      </w:r>
    </w:p>
    <w:p w14:paraId="56FB3610">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（九）服务考核</w:t>
      </w:r>
    </w:p>
    <w:p w14:paraId="216C152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甲方对乙方服务质量进行客观评估，具体考核办法（如有）作为合同附件。</w:t>
      </w:r>
    </w:p>
    <w:p w14:paraId="22AD055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项目完成后，乙方应及时向甲方发出书面履约完成通知，甲方在收到乙方履约完成通知后，按相关规定组织验收。验收小组完成验收后应出具验收书，验收书应包括每一项技术、服务、安全等标准的履约情况。</w:t>
      </w:r>
    </w:p>
    <w:p w14:paraId="7D40E3A9">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（十）违约责任</w:t>
      </w:r>
    </w:p>
    <w:p w14:paraId="7AB74913">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除合同规定的不可抗力外，如果乙方没有按照合同规定的时间提供服务，甲方可要求乙方支付违约金。违约金按每周合同款的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%计收。但违约金的最高限额为合同价的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%。一周按 7 天计算，不足 7 天按一周计算。如果达到最高限额，甲方有权解除合同。</w:t>
      </w:r>
    </w:p>
    <w:p w14:paraId="79C5F257">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项目结束时验收不合格，乙方应在收到甲方通知后</w:t>
      </w:r>
      <w:r>
        <w:rPr>
          <w:rFonts w:hint="eastAsia" w:ascii="仿宋" w:hAnsi="仿宋" w:eastAsia="仿宋" w:cs="仿宋"/>
          <w:color w:val="auto"/>
          <w:sz w:val="21"/>
          <w:szCs w:val="21"/>
          <w:highlight w:val="none"/>
          <w:u w:val="single"/>
        </w:rPr>
        <w:t xml:space="preserve"> 7 </w:t>
      </w:r>
      <w:r>
        <w:rPr>
          <w:rFonts w:hint="eastAsia" w:ascii="仿宋" w:hAnsi="仿宋" w:eastAsia="仿宋" w:cs="仿宋"/>
          <w:color w:val="auto"/>
          <w:sz w:val="21"/>
          <w:szCs w:val="21"/>
          <w:highlight w:val="none"/>
        </w:rPr>
        <w:t>日内退还甲方已支付的合同款，逾期退还合同款的，每日按未退还金额的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%支付违约金。</w:t>
      </w:r>
    </w:p>
    <w:p w14:paraId="61976C17">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其他违约条款双方协商确定：</w:t>
      </w:r>
      <w:r>
        <w:rPr>
          <w:rFonts w:hint="eastAsia" w:ascii="仿宋" w:hAnsi="仿宋" w:eastAsia="仿宋" w:cs="仿宋"/>
          <w:color w:val="auto"/>
          <w:sz w:val="21"/>
          <w:szCs w:val="21"/>
          <w:highlight w:val="none"/>
          <w:u w:val="single"/>
        </w:rPr>
        <w:t>如甲方未按约定支付款项的，应向乙方支付逾期利息，利率为合同订立时1年期贷款市场报价利率。</w:t>
      </w:r>
    </w:p>
    <w:p w14:paraId="26B6EC7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（十一）解决争议的方法</w:t>
      </w:r>
    </w:p>
    <w:p w14:paraId="568206F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color w:val="auto"/>
          <w:sz w:val="21"/>
          <w:szCs w:val="21"/>
          <w:highlight w:val="none"/>
          <w:u w:val="single"/>
        </w:rPr>
        <w:t xml:space="preserve">（1）向绍兴市仲裁委员会申请仲裁；（2）向  </w:t>
      </w:r>
      <w:r>
        <w:rPr>
          <w:rFonts w:hint="eastAsia" w:ascii="仿宋" w:hAnsi="仿宋" w:eastAsia="仿宋" w:cs="仿宋"/>
          <w:color w:val="auto"/>
          <w:sz w:val="21"/>
          <w:szCs w:val="21"/>
          <w:highlight w:val="none"/>
          <w:u w:val="single"/>
          <w:lang w:val="en-US" w:eastAsia="zh-CN"/>
        </w:rPr>
        <w:t>诸暨市</w:t>
      </w:r>
      <w:r>
        <w:rPr>
          <w:rFonts w:hint="eastAsia" w:ascii="仿宋" w:hAnsi="仿宋" w:eastAsia="仿宋" w:cs="仿宋"/>
          <w:color w:val="auto"/>
          <w:sz w:val="21"/>
          <w:szCs w:val="21"/>
          <w:highlight w:val="none"/>
          <w:u w:val="single"/>
        </w:rPr>
        <w:t xml:space="preserve"> 人民法院起诉</w:t>
      </w:r>
      <w:r>
        <w:rPr>
          <w:rFonts w:hint="eastAsia" w:ascii="仿宋" w:hAnsi="仿宋" w:eastAsia="仿宋" w:cs="仿宋"/>
          <w:color w:val="auto"/>
          <w:sz w:val="21"/>
          <w:szCs w:val="21"/>
          <w:highlight w:val="none"/>
        </w:rPr>
        <w:t>。诉讼费用除人民法院另有裁决外，应由败诉方负担。</w:t>
      </w:r>
    </w:p>
    <w:p w14:paraId="2A9ABF3B">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（十二）违约解除合同</w:t>
      </w:r>
    </w:p>
    <w:p w14:paraId="44DB5B5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1.在乙方违约的情况下，甲方可向乙方发出书面通知，部分或全部终止合同,同时保留向乙方追诉的权利：</w:t>
      </w:r>
    </w:p>
    <w:p w14:paraId="4105A6F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乙方未能在合同规定的限期或甲方同意延长的限期内，提供全部或部分标的物的；</w:t>
      </w:r>
    </w:p>
    <w:p w14:paraId="54816958">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乙方未能履行合同规定的其它主要义务的；</w:t>
      </w:r>
    </w:p>
    <w:p w14:paraId="3C973A1B">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甲方认为乙方在本合同履行过程中有腐败和欺诈等行为的。</w:t>
      </w:r>
    </w:p>
    <w:p w14:paraId="308FC27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2.甲方解除合同的，合同于甲方发出书面解除合同通知书送达乙方之日起解除。乙方应在合同解除后</w:t>
      </w:r>
      <w:r>
        <w:rPr>
          <w:rFonts w:hint="eastAsia" w:ascii="仿宋" w:hAnsi="仿宋" w:eastAsia="仿宋" w:cs="仿宋"/>
          <w:color w:val="auto"/>
          <w:sz w:val="21"/>
          <w:szCs w:val="21"/>
          <w:highlight w:val="none"/>
          <w:u w:val="single"/>
        </w:rPr>
        <w:t xml:space="preserve"> 7 </w:t>
      </w:r>
      <w:r>
        <w:rPr>
          <w:rFonts w:hint="eastAsia" w:ascii="仿宋" w:hAnsi="仿宋" w:eastAsia="仿宋" w:cs="仿宋"/>
          <w:color w:val="auto"/>
          <w:sz w:val="21"/>
          <w:szCs w:val="21"/>
          <w:highlight w:val="none"/>
        </w:rPr>
        <w:t>日内退还甲方已支付的合同款，逾期退还合同款的，每日按未退还金额的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%支付违约金。</w:t>
      </w:r>
    </w:p>
    <w:p w14:paraId="45F92D0E">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（十三）破产终止合同</w:t>
      </w:r>
    </w:p>
    <w:p w14:paraId="637A797D">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0773F234">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（十四）转让和分包</w:t>
      </w:r>
    </w:p>
    <w:p w14:paraId="5E74486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1.政府采购合同不能转让。</w:t>
      </w:r>
    </w:p>
    <w:p w14:paraId="0524E64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2.本项目内容</w:t>
      </w:r>
      <w:r>
        <w:rPr>
          <w:rFonts w:hint="eastAsia" w:ascii="仿宋" w:hAnsi="仿宋" w:eastAsia="仿宋" w:cs="仿宋"/>
          <w:color w:val="auto"/>
          <w:sz w:val="21"/>
          <w:szCs w:val="21"/>
          <w:highlight w:val="none"/>
          <w:u w:val="single"/>
        </w:rPr>
        <w:t>不</w:t>
      </w:r>
      <w:r>
        <w:rPr>
          <w:rFonts w:hint="eastAsia" w:ascii="仿宋" w:hAnsi="仿宋" w:eastAsia="仿宋" w:cs="仿宋"/>
          <w:color w:val="auto"/>
          <w:sz w:val="21"/>
          <w:szCs w:val="21"/>
          <w:highlight w:val="none"/>
        </w:rPr>
        <w:t>允许分包（按照招标文件要求）。</w:t>
      </w:r>
    </w:p>
    <w:p w14:paraId="7CE15264">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（十五）合同变更、解除</w:t>
      </w:r>
    </w:p>
    <w:p w14:paraId="09FF0FB3">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66EFDC05">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（十六）通知</w:t>
      </w:r>
    </w:p>
    <w:p w14:paraId="5FF1B51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本合同任何一方给另一方的通知，都应以书面形式发送，而另一方也应以书面形式确认并发送到对方明确的地址。</w:t>
      </w:r>
    </w:p>
    <w:p w14:paraId="254734F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（十七）计量单位</w:t>
      </w:r>
    </w:p>
    <w:p w14:paraId="6DD6EEC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除技术规范中另有规定外，计量单位均使用国家法定计量单位。</w:t>
      </w:r>
    </w:p>
    <w:p w14:paraId="1F159F76">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（十八）不可抗力</w:t>
      </w:r>
    </w:p>
    <w:p w14:paraId="2A7A0E75">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1.如果双方中任何一方遭遇法律规定的不可抗力，致使合同履行受阻时，履行合同的期限应予延长，延长的期限应相当于不可抗力所影响的时间。</w:t>
      </w:r>
    </w:p>
    <w:p w14:paraId="54C59D1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2.受事故影响的一方应在不可抗力的事故发生后尽快书面形式通知另一方，并在事故发生后合同规定时间内，将有关部门出具的证明文件送达另一方。</w:t>
      </w:r>
    </w:p>
    <w:p w14:paraId="79BACB8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3.不可抗力使合同的某些内容有变更必要的，双方应通过协商达成进一步履行合同的协议，因不可抗力致使合同不能履行的，合同终止。</w:t>
      </w:r>
    </w:p>
    <w:p w14:paraId="245B05A1">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（十九）合同解释</w:t>
      </w:r>
    </w:p>
    <w:p w14:paraId="5F64113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本合同应按照《中华人民共和国政府采购法》、《中华人民共和国民法典》、《浙江省政府采购合同暂行办法》等进行解释。</w:t>
      </w:r>
    </w:p>
    <w:p w14:paraId="4089244B">
      <w:pPr>
        <w:pageBreakBefore w:val="0"/>
        <w:kinsoku/>
        <w:wordWrap/>
        <w:overflowPunct/>
        <w:topLinePunct w:val="0"/>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（二十）合同的生效及其他</w:t>
      </w:r>
    </w:p>
    <w:p w14:paraId="652C691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政府采购项目的采购合同内容的确定应以招标文件和投标文件为基础，不得违背其实质性内容。</w:t>
      </w:r>
    </w:p>
    <w:p w14:paraId="7F398E1B">
      <w:pPr>
        <w:pageBreakBefore w:val="0"/>
        <w:kinsoku/>
        <w:wordWrap/>
        <w:overflowPunct/>
        <w:topLinePunct w:val="0"/>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合同将在双方签字盖章后开始生效。授权代表签署的应附法定代表人授权书。</w:t>
      </w:r>
    </w:p>
    <w:p w14:paraId="1B32D5E9">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（二十一）合同附件（如有）</w:t>
      </w:r>
    </w:p>
    <w:p w14:paraId="02C0FED2">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（二十二）合同份数</w:t>
      </w:r>
    </w:p>
    <w:p w14:paraId="15A9885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本合同一式</w:t>
      </w:r>
      <w:r>
        <w:rPr>
          <w:rFonts w:hint="eastAsia" w:ascii="仿宋" w:hAnsi="仿宋" w:eastAsia="仿宋" w:cs="仿宋"/>
          <w:color w:val="auto"/>
          <w:sz w:val="21"/>
          <w:szCs w:val="21"/>
          <w:highlight w:val="none"/>
          <w:u w:val="single"/>
        </w:rPr>
        <w:t>五</w:t>
      </w:r>
      <w:r>
        <w:rPr>
          <w:rFonts w:hint="eastAsia" w:ascii="仿宋" w:hAnsi="仿宋" w:eastAsia="仿宋" w:cs="仿宋"/>
          <w:color w:val="auto"/>
          <w:sz w:val="21"/>
          <w:szCs w:val="21"/>
          <w:highlight w:val="none"/>
        </w:rPr>
        <w:t>份，具同等法律效力。</w:t>
      </w:r>
    </w:p>
    <w:tbl>
      <w:tblPr>
        <w:tblStyle w:val="16"/>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3987"/>
      </w:tblGrid>
      <w:tr w14:paraId="4965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260" w:type="dxa"/>
            <w:vAlign w:val="center"/>
          </w:tcPr>
          <w:p w14:paraId="63532DBB">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w:t>
            </w:r>
          </w:p>
        </w:tc>
        <w:tc>
          <w:tcPr>
            <w:tcW w:w="3987" w:type="dxa"/>
            <w:vAlign w:val="center"/>
          </w:tcPr>
          <w:p w14:paraId="5558CF58">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w:t>
            </w:r>
          </w:p>
        </w:tc>
      </w:tr>
      <w:tr w14:paraId="7B4C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7" w:hRule="atLeast"/>
          <w:jc w:val="center"/>
        </w:trPr>
        <w:tc>
          <w:tcPr>
            <w:tcW w:w="4260" w:type="dxa"/>
            <w:vAlign w:val="top"/>
          </w:tcPr>
          <w:p w14:paraId="1C4B53A9">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单位名称（盖章）</w:t>
            </w:r>
          </w:p>
          <w:p w14:paraId="447A3C62">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p w14:paraId="34439147">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7A543FC9">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p w14:paraId="2886C5F2">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74893777">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传真号码：</w:t>
            </w:r>
          </w:p>
          <w:p w14:paraId="7B23E3C3">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p w14:paraId="591C10A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2B5B87F3">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p w14:paraId="7A8DC951">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税    号：</w:t>
            </w:r>
          </w:p>
          <w:p w14:paraId="3695FCB5">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签订时间：</w:t>
            </w:r>
          </w:p>
        </w:tc>
        <w:tc>
          <w:tcPr>
            <w:tcW w:w="3987" w:type="dxa"/>
            <w:vAlign w:val="top"/>
          </w:tcPr>
          <w:p w14:paraId="0BB400EE">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单位名称（盖章）</w:t>
            </w:r>
          </w:p>
          <w:p w14:paraId="1F956FC0">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p w14:paraId="570EB961">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1E75C7CF">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p w14:paraId="35A5C7E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15F0F219">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传真号码：</w:t>
            </w:r>
          </w:p>
          <w:p w14:paraId="678E6C91">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p w14:paraId="040A09DE">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319A8F02">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p w14:paraId="5031A390">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税    号：</w:t>
            </w:r>
          </w:p>
          <w:p w14:paraId="0B9419F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签订时间：</w:t>
            </w:r>
          </w:p>
        </w:tc>
      </w:tr>
    </w:tbl>
    <w:p w14:paraId="7EC68DC0">
      <w:pPr>
        <w:spacing w:before="156" w:beforeLines="50"/>
        <w:rPr>
          <w:rFonts w:hint="eastAsia" w:ascii="仿宋" w:hAnsi="仿宋" w:eastAsia="仿宋" w:cs="仿宋"/>
          <w:b/>
          <w:color w:val="auto"/>
        </w:rPr>
      </w:pPr>
      <w:r>
        <w:rPr>
          <w:rFonts w:hint="eastAsia" w:ascii="仿宋" w:hAnsi="仿宋" w:eastAsia="仿宋" w:cs="仿宋"/>
          <w:b/>
          <w:color w:val="auto"/>
        </w:rPr>
        <w:t>注：</w:t>
      </w:r>
    </w:p>
    <w:p w14:paraId="222B8CB0">
      <w:pPr>
        <w:rPr>
          <w:rFonts w:hint="eastAsia" w:ascii="仿宋" w:hAnsi="仿宋" w:eastAsia="仿宋" w:cs="仿宋"/>
          <w:b/>
          <w:color w:val="auto"/>
        </w:rPr>
      </w:pPr>
      <w:r>
        <w:rPr>
          <w:rFonts w:hint="eastAsia" w:ascii="仿宋" w:hAnsi="仿宋" w:eastAsia="仿宋" w:cs="仿宋"/>
          <w:b/>
          <w:color w:val="auto"/>
        </w:rPr>
        <w:t>1、如本合同条款与招标文件中实质性内容不相符，以招标文件规定为准，在签订前进行调整。</w:t>
      </w:r>
    </w:p>
    <w:p w14:paraId="0C8D702B">
      <w:pPr>
        <w:rPr>
          <w:rFonts w:hint="eastAsia" w:ascii="仿宋" w:hAnsi="仿宋" w:eastAsia="仿宋" w:cs="仿宋"/>
          <w:color w:val="auto"/>
          <w:sz w:val="24"/>
          <w:szCs w:val="24"/>
        </w:rPr>
      </w:pPr>
      <w:r>
        <w:rPr>
          <w:rFonts w:hint="eastAsia" w:ascii="仿宋" w:hAnsi="仿宋" w:eastAsia="仿宋" w:cs="仿宋"/>
          <w:b/>
          <w:color w:val="auto"/>
        </w:rPr>
        <w:t>2、在正式签订前，应根据招标文件要求、投标文件承诺及项目实际情况拟定更为详尽的合同书。</w:t>
      </w:r>
    </w:p>
    <w:p w14:paraId="305F24AD">
      <w:pPr>
        <w:rPr>
          <w:rFonts w:hint="eastAsia" w:ascii="仿宋" w:hAnsi="仿宋" w:eastAsia="仿宋" w:cs="仿宋"/>
          <w:color w:val="auto"/>
          <w:sz w:val="44"/>
          <w:szCs w:val="44"/>
        </w:rPr>
        <w:sectPr>
          <w:pgSz w:w="11906" w:h="16838"/>
          <w:pgMar w:top="1134" w:right="1247" w:bottom="1134" w:left="1134" w:header="284" w:footer="454" w:gutter="0"/>
          <w:pgBorders>
            <w:top w:val="none" w:sz="0" w:space="0"/>
            <w:left w:val="none" w:sz="0" w:space="0"/>
            <w:bottom w:val="none" w:sz="0" w:space="0"/>
            <w:right w:val="none" w:sz="0" w:space="0"/>
          </w:pgBorders>
          <w:pgNumType w:fmt="numberInDash"/>
          <w:cols w:space="720" w:num="1"/>
          <w:titlePg/>
          <w:docGrid w:type="lines" w:linePitch="312" w:charSpace="0"/>
        </w:sectPr>
      </w:pPr>
    </w:p>
    <w:p w14:paraId="161CEEAA">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 应提交的有关格式范例</w:t>
      </w:r>
    </w:p>
    <w:p w14:paraId="509BACE2">
      <w:pPr>
        <w:spacing w:line="360" w:lineRule="auto"/>
        <w:jc w:val="center"/>
        <w:outlineLvl w:val="0"/>
        <w:rPr>
          <w:rFonts w:hint="eastAsia" w:ascii="仿宋" w:hAnsi="仿宋" w:eastAsia="仿宋" w:cs="仿宋"/>
          <w:b/>
          <w:kern w:val="0"/>
          <w:sz w:val="36"/>
          <w:szCs w:val="36"/>
        </w:rPr>
      </w:pPr>
    </w:p>
    <w:p w14:paraId="4C14AF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666F2448">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F7CC94B">
      <w:pPr>
        <w:spacing w:line="360" w:lineRule="auto"/>
        <w:jc w:val="left"/>
        <w:outlineLvl w:val="0"/>
        <w:rPr>
          <w:rFonts w:hint="eastAsia" w:ascii="仿宋" w:hAnsi="仿宋" w:eastAsia="仿宋" w:cs="仿宋"/>
          <w:b/>
          <w:kern w:val="0"/>
          <w:sz w:val="36"/>
          <w:szCs w:val="36"/>
        </w:rPr>
      </w:pPr>
    </w:p>
    <w:p w14:paraId="32F15765">
      <w:pPr>
        <w:snapToGrid w:val="0"/>
        <w:spacing w:line="360" w:lineRule="auto"/>
        <w:ind w:firstLine="720" w:firstLineChars="300"/>
        <w:jc w:val="left"/>
        <w:rPr>
          <w:rFonts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1）符合参加政府采购活动应当具备的一般条件的承诺函……………（页码）</w:t>
      </w:r>
    </w:p>
    <w:p w14:paraId="688EE6EE">
      <w:pPr>
        <w:snapToGrid w:val="0"/>
        <w:spacing w:line="360" w:lineRule="auto"/>
        <w:ind w:firstLine="720" w:firstLineChars="300"/>
        <w:jc w:val="left"/>
        <w:rPr>
          <w:rFonts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（2）落实政府采购政策需满足的资格要求………………………………（页码）</w:t>
      </w:r>
    </w:p>
    <w:p w14:paraId="75B5EE43">
      <w:pPr>
        <w:snapToGrid w:val="0"/>
        <w:spacing w:line="360" w:lineRule="auto"/>
        <w:ind w:firstLine="720" w:firstLineChars="300"/>
        <w:jc w:val="left"/>
        <w:rPr>
          <w:rFonts w:hint="eastAsia" w:ascii="仿宋" w:hAnsi="仿宋" w:eastAsia="仿宋" w:cs="仿宋"/>
          <w:sz w:val="24"/>
        </w:rPr>
      </w:pPr>
      <w:r>
        <w:rPr>
          <w:rFonts w:hint="eastAsia" w:ascii="仿宋" w:hAnsi="仿宋" w:eastAsia="仿宋" w:cs="仿宋"/>
          <w:color w:val="auto"/>
          <w:sz w:val="24"/>
          <w:szCs w:val="24"/>
        </w:rPr>
        <w:t>（3）本项目的特定资格要求………………………………………………（页码）</w:t>
      </w:r>
    </w:p>
    <w:p w14:paraId="2410F706">
      <w:pPr>
        <w:spacing w:line="360" w:lineRule="auto"/>
        <w:ind w:firstLine="480" w:firstLineChars="200"/>
        <w:rPr>
          <w:rFonts w:hint="eastAsia" w:ascii="仿宋" w:hAnsi="仿宋" w:eastAsia="仿宋" w:cs="仿宋"/>
          <w:sz w:val="24"/>
        </w:rPr>
      </w:pPr>
    </w:p>
    <w:p w14:paraId="12C31D0B">
      <w:pPr>
        <w:snapToGrid w:val="0"/>
        <w:spacing w:line="360" w:lineRule="auto"/>
        <w:ind w:right="480"/>
        <w:jc w:val="center"/>
        <w:rPr>
          <w:rFonts w:hint="eastAsia" w:ascii="仿宋" w:hAnsi="仿宋" w:eastAsia="仿宋" w:cs="仿宋"/>
          <w:kern w:val="0"/>
          <w:sz w:val="24"/>
        </w:rPr>
        <w:sectPr>
          <w:pgSz w:w="11906" w:h="16838"/>
          <w:pgMar w:top="1247" w:right="1247" w:bottom="1247" w:left="1134" w:header="283" w:footer="454" w:gutter="0"/>
          <w:pgBorders>
            <w:top w:val="none" w:sz="0" w:space="0"/>
            <w:left w:val="none" w:sz="0" w:space="0"/>
            <w:bottom w:val="none" w:sz="0" w:space="0"/>
            <w:right w:val="none" w:sz="0" w:space="0"/>
          </w:pgBorders>
          <w:pgNumType w:fmt="numberInDash"/>
          <w:cols w:space="720" w:num="1"/>
          <w:titlePg/>
          <w:docGrid w:type="lines" w:linePitch="312" w:charSpace="0"/>
        </w:sectPr>
      </w:pPr>
    </w:p>
    <w:p w14:paraId="12B3160B">
      <w:pPr>
        <w:pStyle w:val="3"/>
        <w:tabs>
          <w:tab w:val="left" w:pos="432"/>
        </w:tabs>
        <w:spacing w:before="0" w:afterLines="100" w:line="360" w:lineRule="auto"/>
        <w:jc w:val="center"/>
        <w:rPr>
          <w:rFonts w:ascii="仿宋" w:hAnsi="仿宋" w:eastAsia="仿宋" w:cs="仿宋"/>
          <w:b w:val="0"/>
          <w:color w:val="auto"/>
          <w:sz w:val="24"/>
          <w:szCs w:val="24"/>
        </w:rPr>
      </w:pPr>
      <w:r>
        <w:rPr>
          <w:rFonts w:hint="eastAsia" w:ascii="仿宋" w:hAnsi="仿宋" w:eastAsia="仿宋" w:cs="仿宋"/>
          <w:color w:val="auto"/>
          <w:sz w:val="28"/>
          <w:szCs w:val="28"/>
        </w:rPr>
        <w:t>一、符合参加政府采购活动应当具备的一般条件的承诺函</w:t>
      </w:r>
    </w:p>
    <w:p w14:paraId="7F9BF6C4">
      <w:pPr>
        <w:spacing w:line="360" w:lineRule="auto"/>
        <w:rPr>
          <w:rFonts w:ascii="仿宋" w:hAnsi="仿宋" w:eastAsia="仿宋" w:cs="仿宋"/>
          <w:b/>
          <w:color w:val="auto"/>
          <w:sz w:val="24"/>
          <w:szCs w:val="24"/>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采购人</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采购代理</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rPr>
        <w:t>：</w:t>
      </w:r>
    </w:p>
    <w:p w14:paraId="6EFD1F5C">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我方参与（项目名称）【招标编号：（采购编号）】的政府采购活动，</w:t>
      </w:r>
      <w:r>
        <w:rPr>
          <w:rFonts w:hint="eastAsia" w:ascii="仿宋" w:hAnsi="仿宋" w:eastAsia="仿宋" w:cs="仿宋"/>
          <w:color w:val="auto"/>
          <w:sz w:val="24"/>
          <w:szCs w:val="24"/>
        </w:rPr>
        <w:t>郑重承诺</w:t>
      </w:r>
      <w:r>
        <w:rPr>
          <w:rFonts w:hint="eastAsia" w:ascii="仿宋" w:hAnsi="仿宋" w:eastAsia="仿宋" w:cs="仿宋"/>
          <w:color w:val="auto"/>
          <w:spacing w:val="8"/>
          <w:sz w:val="24"/>
          <w:szCs w:val="24"/>
        </w:rPr>
        <w:t>：</w:t>
      </w:r>
    </w:p>
    <w:p w14:paraId="1FC75662">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（一）具备《中华人民共和国政府采购法》第二十二条第一款规定的条件：</w:t>
      </w:r>
    </w:p>
    <w:p w14:paraId="4465B1A0">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1.具有独立承担民事责任的能力；</w:t>
      </w:r>
    </w:p>
    <w:p w14:paraId="40C3E7B3">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2.具有良好的商业信誉和健全的财务会计制度；</w:t>
      </w:r>
    </w:p>
    <w:p w14:paraId="03245607">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3.具有履行合同所必需的设备和专业技术能力；</w:t>
      </w:r>
    </w:p>
    <w:p w14:paraId="441F9A5A">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4.有依法缴纳税收和社会保障资金的良好记录；</w:t>
      </w:r>
    </w:p>
    <w:p w14:paraId="29289C24">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5.参加政府采购活动前三年内，在经营活动中没有重大违法记录；</w:t>
      </w:r>
    </w:p>
    <w:p w14:paraId="3688D6A3">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6.具有法律、行政法规规定的其他条件。</w:t>
      </w:r>
    </w:p>
    <w:p w14:paraId="5B671BCB">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（二）未被“信用中国”（www.creditchina.gov.cn)、中国政府采购网（www.ccgp.gov.cn）列入失信被执行人、重大税收违法案件当事人名单、政府采购严重违法失信行为记录名单。</w:t>
      </w:r>
    </w:p>
    <w:p w14:paraId="6A20B15E">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（三）不存在以下情况：</w:t>
      </w:r>
    </w:p>
    <w:p w14:paraId="46D23B9B">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1.单位负责人为同一人或者存在直接控股、管理关系的不同供应商参加同一合同项下的政府采购活动的；</w:t>
      </w:r>
    </w:p>
    <w:p w14:paraId="2544C85E">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2.为采购项目提供整体设计、规范编制或者项目管理、监理、检测等服务后再参加该采购项目的其他采购活动的。</w:t>
      </w:r>
    </w:p>
    <w:p w14:paraId="315605F0">
      <w:pPr>
        <w:spacing w:line="300" w:lineRule="auto"/>
        <w:ind w:firstLine="512" w:firstLineChars="200"/>
        <w:rPr>
          <w:rFonts w:ascii="仿宋" w:hAnsi="仿宋" w:eastAsia="仿宋" w:cs="仿宋"/>
          <w:color w:val="auto"/>
          <w:spacing w:val="8"/>
          <w:sz w:val="24"/>
          <w:szCs w:val="24"/>
        </w:rPr>
      </w:pPr>
    </w:p>
    <w:p w14:paraId="0C58C88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投标人名称（电子签名）：</w:t>
      </w:r>
      <w:r>
        <w:rPr>
          <w:rFonts w:hint="eastAsia" w:ascii="仿宋" w:hAnsi="仿宋" w:eastAsia="仿宋" w:cs="仿宋"/>
          <w:color w:val="auto"/>
          <w:sz w:val="24"/>
          <w:szCs w:val="24"/>
          <w:u w:val="single"/>
        </w:rPr>
        <w:t>______________________</w:t>
      </w:r>
    </w:p>
    <w:p w14:paraId="572D6480">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日期：_______年_______月_______日</w:t>
      </w:r>
    </w:p>
    <w:p w14:paraId="2F96FD5C">
      <w:pPr>
        <w:spacing w:beforeLines="100" w:line="480" w:lineRule="auto"/>
        <w:rPr>
          <w:rFonts w:ascii="仿宋" w:hAnsi="仿宋" w:eastAsia="仿宋" w:cs="仿宋"/>
          <w:i/>
          <w:color w:val="auto"/>
          <w:sz w:val="24"/>
          <w:szCs w:val="24"/>
          <w:u w:val="single"/>
        </w:rPr>
      </w:pPr>
      <w:r>
        <w:rPr>
          <w:rFonts w:hint="eastAsia" w:ascii="仿宋" w:hAnsi="仿宋" w:eastAsia="仿宋" w:cs="仿宋"/>
          <w:i/>
          <w:color w:val="auto"/>
          <w:sz w:val="24"/>
          <w:szCs w:val="24"/>
          <w:u w:val="single"/>
        </w:rPr>
        <w:t>注：按本格式要求提供</w:t>
      </w:r>
      <w:r>
        <w:rPr>
          <w:rFonts w:hint="eastAsia" w:ascii="仿宋" w:hAnsi="仿宋" w:eastAsia="仿宋" w:cs="仿宋"/>
          <w:i/>
          <w:color w:val="auto"/>
          <w:sz w:val="24"/>
          <w:szCs w:val="24"/>
        </w:rPr>
        <w:t>。</w:t>
      </w:r>
    </w:p>
    <w:p w14:paraId="1C0C42D0">
      <w:pPr>
        <w:spacing w:beforeLines="100" w:line="480" w:lineRule="auto"/>
        <w:rPr>
          <w:rFonts w:ascii="仿宋" w:hAnsi="仿宋" w:eastAsia="仿宋" w:cs="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458A5CE6">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 落实政府采购政策需满足的资格要求</w:t>
      </w:r>
    </w:p>
    <w:p w14:paraId="23B079A5">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0165DF8">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7C52C77E">
      <w:pPr>
        <w:pStyle w:val="30"/>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56DD5DD">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2A1D7FC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26D235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6704AA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22C730D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47F1979A">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3D3A8F3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E9A502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F1FB6C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638C21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19C841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FA305AE">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A2345D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22B634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C5B7FC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26D262A">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EEDA879">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4385C982">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AF58E48">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2B17142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DFE952D">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4B82CEE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B6FE47A">
      <w:pPr>
        <w:pStyle w:val="3"/>
        <w:pageBreakBefore w:val="0"/>
        <w:widowControl w:val="0"/>
        <w:tabs>
          <w:tab w:val="left" w:pos="432"/>
        </w:tabs>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2A24B1A5">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596B6EA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2F58051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56FDA8F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742D4425">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6F861D04">
      <w:pPr>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3B624A9E">
      <w:pPr>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602E1DB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2B400A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6CB64B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2D8BF6B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5FA2E318">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47C4EFC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B784AA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F5CB854">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64A2647">
      <w:pPr>
        <w:rPr>
          <w:rFonts w:hint="eastAsia" w:ascii="仿宋" w:hAnsi="仿宋" w:eastAsia="仿宋" w:cs="仿宋"/>
          <w:lang w:val="zh-CN"/>
        </w:rPr>
      </w:pPr>
      <w:r>
        <w:rPr>
          <w:rFonts w:hint="eastAsia" w:ascii="仿宋" w:hAnsi="仿宋" w:eastAsia="仿宋" w:cs="仿宋"/>
          <w:lang w:val="zh-CN"/>
        </w:rPr>
        <w:br w:type="page"/>
      </w:r>
    </w:p>
    <w:p w14:paraId="1D01B90E">
      <w:pPr>
        <w:jc w:val="center"/>
        <w:rPr>
          <w:rFonts w:hint="eastAsia" w:ascii="仿宋" w:hAnsi="仿宋" w:eastAsia="仿宋" w:cs="仿宋"/>
          <w:b/>
          <w:color w:val="auto"/>
          <w:sz w:val="32"/>
        </w:rPr>
      </w:pPr>
      <w:r>
        <w:rPr>
          <w:rFonts w:hint="eastAsia" w:ascii="仿宋" w:hAnsi="仿宋" w:eastAsia="仿宋" w:cs="仿宋"/>
          <w:b/>
          <w:color w:val="auto"/>
          <w:sz w:val="32"/>
        </w:rPr>
        <w:t>中小企业声明函（工程、服务）</w:t>
      </w:r>
    </w:p>
    <w:p w14:paraId="70CFF5DD">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（财库﹝202</w:t>
      </w:r>
      <w:r>
        <w:rPr>
          <w:rFonts w:hint="eastAsia" w:ascii="仿宋" w:hAnsi="仿宋" w:eastAsia="仿宋" w:cs="仿宋"/>
          <w:color w:val="auto"/>
          <w:sz w:val="24"/>
          <w:lang w:val="en-US" w:eastAsia="zh-CN"/>
        </w:rPr>
        <w:t>0</w:t>
      </w:r>
      <w:r>
        <w:rPr>
          <w:rFonts w:hint="eastAsia" w:ascii="仿宋" w:hAnsi="仿宋" w:eastAsia="仿宋" w:cs="仿宋"/>
          <w:color w:val="auto"/>
          <w:sz w:val="24"/>
        </w:rPr>
        <w:t>﹞46 号）的规定，本公司（或联合体）参加</w:t>
      </w:r>
      <w:r>
        <w:rPr>
          <w:rFonts w:hint="eastAsia" w:ascii="仿宋" w:hAnsi="仿宋" w:eastAsia="仿宋" w:cs="仿宋"/>
          <w:color w:val="auto"/>
          <w:sz w:val="24"/>
          <w:u w:val="single"/>
        </w:rPr>
        <w:t xml:space="preserve"> （采购单位）</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u w:val="single"/>
          <w:lang w:val="en-US" w:eastAsia="zh-CN"/>
        </w:rPr>
        <w:t>名称</w:t>
      </w:r>
      <w:r>
        <w:rPr>
          <w:rFonts w:hint="eastAsia" w:ascii="仿宋" w:hAnsi="仿宋" w:eastAsia="仿宋" w:cs="仿宋"/>
          <w:color w:val="auto"/>
          <w:sz w:val="24"/>
        </w:rPr>
        <w:t>采购活动，工程的施工单位全部为符合政策要求的中小企业（或者：服务全部由符合政策要求的中小企业承接） 。相关企业（含联合体中的中小企业、签订分包意向协议的中小企业）的具体情况如下：</w:t>
      </w:r>
    </w:p>
    <w:p w14:paraId="509F127A">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 xml:space="preserve"> ；</w:t>
      </w:r>
    </w:p>
    <w:p w14:paraId="6D62E452">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023641B6">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44018D5D">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193682FF">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5E7EA390">
      <w:pPr>
        <w:ind w:right="420" w:firstLine="5880" w:firstLineChars="2450"/>
        <w:jc w:val="left"/>
        <w:rPr>
          <w:rFonts w:hint="eastAsia" w:ascii="仿宋" w:hAnsi="仿宋" w:eastAsia="仿宋" w:cs="仿宋"/>
          <w:color w:val="auto"/>
          <w:sz w:val="24"/>
        </w:rPr>
      </w:pPr>
    </w:p>
    <w:p w14:paraId="4851E134">
      <w:pPr>
        <w:ind w:right="420" w:firstLine="5880" w:firstLineChars="2450"/>
        <w:rPr>
          <w:rFonts w:hint="eastAsia" w:ascii="仿宋" w:hAnsi="仿宋" w:eastAsia="仿宋" w:cs="仿宋"/>
          <w:color w:val="auto"/>
          <w:sz w:val="24"/>
        </w:rPr>
      </w:pPr>
      <w:r>
        <w:rPr>
          <w:rFonts w:hint="eastAsia" w:ascii="仿宋" w:hAnsi="仿宋" w:eastAsia="仿宋" w:cs="仿宋"/>
          <w:color w:val="auto"/>
          <w:sz w:val="24"/>
        </w:rPr>
        <w:t xml:space="preserve">企业名称（盖章）： </w:t>
      </w:r>
    </w:p>
    <w:p w14:paraId="34FA024F">
      <w:pPr>
        <w:ind w:right="420" w:firstLine="5520" w:firstLineChars="2300"/>
        <w:rPr>
          <w:rFonts w:hint="eastAsia" w:ascii="仿宋" w:hAnsi="仿宋" w:eastAsia="仿宋" w:cs="仿宋"/>
          <w:color w:val="auto"/>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14:paraId="0707FA93">
      <w:pPr>
        <w:rPr>
          <w:rFonts w:hint="eastAsia" w:ascii="仿宋" w:hAnsi="仿宋" w:eastAsia="仿宋" w:cs="仿宋"/>
          <w:color w:val="auto"/>
          <w:sz w:val="24"/>
        </w:rPr>
      </w:pPr>
    </w:p>
    <w:p w14:paraId="2DD8A839">
      <w:pPr>
        <w:rPr>
          <w:rFonts w:hint="eastAsia" w:ascii="仿宋" w:hAnsi="仿宋" w:eastAsia="仿宋" w:cs="仿宋"/>
          <w:color w:val="auto"/>
          <w:sz w:val="24"/>
        </w:rPr>
      </w:pPr>
      <w:r>
        <w:rPr>
          <w:rFonts w:hint="eastAsia" w:ascii="仿宋" w:hAnsi="仿宋" w:eastAsia="仿宋" w:cs="仿宋"/>
          <w:color w:val="auto"/>
          <w:sz w:val="24"/>
        </w:rPr>
        <w:t>注：</w:t>
      </w:r>
    </w:p>
    <w:p w14:paraId="23F34BB1">
      <w:pPr>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6C7DC179">
      <w:pPr>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2、根据《政府采购促进中小企业发展管理办法》的通知（财库〔202</w:t>
      </w:r>
      <w:r>
        <w:rPr>
          <w:rFonts w:hint="eastAsia" w:ascii="仿宋" w:hAnsi="仿宋" w:eastAsia="仿宋" w:cs="仿宋"/>
          <w:b/>
          <w:color w:val="auto"/>
          <w:sz w:val="24"/>
          <w:lang w:val="en-US" w:eastAsia="zh-CN"/>
        </w:rPr>
        <w:t>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3C69FD29">
      <w:pPr>
        <w:rPr>
          <w:rFonts w:hint="eastAsia" w:ascii="仿宋" w:hAnsi="仿宋" w:eastAsia="仿宋" w:cs="仿宋"/>
          <w:color w:val="auto"/>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2BE681E2">
      <w:pPr>
        <w:widowControl/>
        <w:spacing w:line="360" w:lineRule="auto"/>
        <w:ind w:left="150"/>
        <w:jc w:val="center"/>
        <w:rPr>
          <w:rFonts w:hint="eastAsia" w:ascii="仿宋" w:hAnsi="仿宋" w:eastAsia="仿宋" w:cs="仿宋"/>
          <w:b/>
          <w:kern w:val="0"/>
          <w:sz w:val="21"/>
          <w:szCs w:val="21"/>
        </w:rPr>
      </w:pPr>
    </w:p>
    <w:p w14:paraId="4F7CDBC3">
      <w:pPr>
        <w:pStyle w:val="31"/>
        <w:rPr>
          <w:rFonts w:hint="eastAsia" w:ascii="仿宋" w:hAnsi="仿宋" w:eastAsia="仿宋" w:cs="仿宋"/>
          <w:b/>
          <w:kern w:val="0"/>
          <w:sz w:val="21"/>
          <w:szCs w:val="21"/>
        </w:rPr>
      </w:pPr>
    </w:p>
    <w:p w14:paraId="1AC88048">
      <w:pPr>
        <w:pStyle w:val="31"/>
        <w:rPr>
          <w:rFonts w:hint="eastAsia" w:ascii="仿宋" w:hAnsi="仿宋" w:eastAsia="仿宋" w:cs="仿宋"/>
          <w:b/>
          <w:kern w:val="0"/>
          <w:sz w:val="21"/>
          <w:szCs w:val="21"/>
        </w:rPr>
      </w:pPr>
    </w:p>
    <w:p w14:paraId="7E3FD573">
      <w:pPr>
        <w:pStyle w:val="31"/>
        <w:rPr>
          <w:rFonts w:hint="eastAsia" w:ascii="仿宋" w:hAnsi="仿宋" w:eastAsia="仿宋" w:cs="仿宋"/>
          <w:b/>
          <w:kern w:val="0"/>
          <w:sz w:val="21"/>
          <w:szCs w:val="21"/>
        </w:rPr>
      </w:pPr>
    </w:p>
    <w:p w14:paraId="33952DD8">
      <w:pPr>
        <w:widowControl/>
        <w:spacing w:line="360" w:lineRule="auto"/>
        <w:ind w:left="150"/>
        <w:jc w:val="center"/>
        <w:rPr>
          <w:rFonts w:hint="eastAsia" w:ascii="仿宋" w:hAnsi="仿宋" w:eastAsia="仿宋" w:cs="仿宋"/>
          <w:b/>
          <w:kern w:val="0"/>
          <w:sz w:val="32"/>
          <w:szCs w:val="32"/>
        </w:rPr>
      </w:pPr>
    </w:p>
    <w:p w14:paraId="45A5FFB6">
      <w:pPr>
        <w:widowControl/>
        <w:spacing w:line="360" w:lineRule="auto"/>
        <w:ind w:left="150"/>
        <w:jc w:val="center"/>
        <w:rPr>
          <w:rFonts w:hint="eastAsia" w:ascii="仿宋" w:hAnsi="仿宋" w:eastAsia="仿宋" w:cs="仿宋"/>
          <w:b/>
          <w:kern w:val="0"/>
          <w:sz w:val="32"/>
          <w:szCs w:val="32"/>
        </w:rPr>
      </w:pPr>
    </w:p>
    <w:p w14:paraId="58AA11CF">
      <w:pPr>
        <w:widowControl/>
        <w:spacing w:line="360" w:lineRule="auto"/>
        <w:ind w:left="150"/>
        <w:jc w:val="center"/>
        <w:rPr>
          <w:rFonts w:hint="eastAsia" w:ascii="仿宋" w:hAnsi="仿宋" w:eastAsia="仿宋" w:cs="仿宋"/>
          <w:b/>
          <w:kern w:val="0"/>
          <w:sz w:val="32"/>
          <w:szCs w:val="32"/>
        </w:rPr>
      </w:pPr>
    </w:p>
    <w:p w14:paraId="2B652AAD">
      <w:pPr>
        <w:widowControl/>
        <w:spacing w:line="360" w:lineRule="auto"/>
        <w:ind w:left="150"/>
        <w:jc w:val="center"/>
        <w:rPr>
          <w:rFonts w:hint="eastAsia" w:ascii="仿宋" w:hAnsi="仿宋" w:eastAsia="仿宋" w:cs="仿宋"/>
          <w:b/>
          <w:kern w:val="0"/>
          <w:sz w:val="32"/>
          <w:szCs w:val="32"/>
        </w:rPr>
      </w:pPr>
    </w:p>
    <w:p w14:paraId="7937A267">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、本项目的特定资格要求</w:t>
      </w:r>
    </w:p>
    <w:p w14:paraId="3123BB2F">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9AE65AC">
      <w:pPr>
        <w:rPr>
          <w:rFonts w:hint="eastAsia" w:ascii="仿宋" w:hAnsi="仿宋" w:eastAsia="仿宋" w:cs="仿宋"/>
        </w:rPr>
      </w:pPr>
    </w:p>
    <w:p w14:paraId="132552BF">
      <w:pPr>
        <w:snapToGrid w:val="0"/>
        <w:spacing w:line="360" w:lineRule="auto"/>
        <w:ind w:right="480"/>
        <w:jc w:val="center"/>
        <w:rPr>
          <w:rFonts w:hint="eastAsia" w:ascii="仿宋" w:hAnsi="仿宋" w:eastAsia="仿宋" w:cs="仿宋"/>
          <w:b/>
          <w:kern w:val="0"/>
          <w:sz w:val="32"/>
          <w:szCs w:val="32"/>
        </w:rPr>
      </w:pPr>
    </w:p>
    <w:p w14:paraId="2D3997FC">
      <w:pPr>
        <w:snapToGrid w:val="0"/>
        <w:spacing w:line="360" w:lineRule="auto"/>
        <w:ind w:right="480"/>
        <w:jc w:val="center"/>
        <w:rPr>
          <w:rFonts w:hint="eastAsia" w:ascii="仿宋" w:hAnsi="仿宋" w:eastAsia="仿宋" w:cs="仿宋"/>
          <w:b/>
          <w:kern w:val="0"/>
          <w:sz w:val="32"/>
          <w:szCs w:val="32"/>
        </w:rPr>
      </w:pPr>
    </w:p>
    <w:p w14:paraId="6E08A89A">
      <w:pPr>
        <w:snapToGrid w:val="0"/>
        <w:spacing w:line="360" w:lineRule="auto"/>
        <w:ind w:right="480"/>
        <w:jc w:val="center"/>
        <w:rPr>
          <w:rFonts w:hint="eastAsia" w:ascii="仿宋" w:hAnsi="仿宋" w:eastAsia="仿宋" w:cs="仿宋"/>
          <w:b/>
          <w:kern w:val="0"/>
          <w:sz w:val="32"/>
          <w:szCs w:val="32"/>
        </w:rPr>
      </w:pPr>
    </w:p>
    <w:p w14:paraId="79E6F711">
      <w:pPr>
        <w:snapToGrid w:val="0"/>
        <w:spacing w:line="360" w:lineRule="auto"/>
        <w:ind w:right="480"/>
        <w:jc w:val="center"/>
        <w:rPr>
          <w:rFonts w:hint="eastAsia" w:ascii="仿宋" w:hAnsi="仿宋" w:eastAsia="仿宋" w:cs="仿宋"/>
          <w:b/>
          <w:kern w:val="0"/>
          <w:sz w:val="32"/>
          <w:szCs w:val="32"/>
        </w:rPr>
      </w:pPr>
    </w:p>
    <w:p w14:paraId="28F87F02">
      <w:pPr>
        <w:snapToGrid w:val="0"/>
        <w:spacing w:line="360" w:lineRule="auto"/>
        <w:ind w:right="480"/>
        <w:jc w:val="center"/>
        <w:rPr>
          <w:rFonts w:hint="eastAsia" w:ascii="仿宋" w:hAnsi="仿宋" w:eastAsia="仿宋" w:cs="仿宋"/>
          <w:b/>
          <w:kern w:val="0"/>
          <w:sz w:val="32"/>
          <w:szCs w:val="32"/>
        </w:rPr>
      </w:pPr>
    </w:p>
    <w:p w14:paraId="71D4F60D">
      <w:pPr>
        <w:snapToGrid w:val="0"/>
        <w:spacing w:line="360" w:lineRule="auto"/>
        <w:ind w:right="480"/>
        <w:jc w:val="center"/>
        <w:rPr>
          <w:rFonts w:hint="eastAsia" w:ascii="仿宋" w:hAnsi="仿宋" w:eastAsia="仿宋" w:cs="仿宋"/>
          <w:b/>
          <w:kern w:val="0"/>
          <w:sz w:val="32"/>
          <w:szCs w:val="32"/>
        </w:rPr>
      </w:pPr>
    </w:p>
    <w:p w14:paraId="06D62AD2">
      <w:pPr>
        <w:pStyle w:val="3"/>
        <w:tabs>
          <w:tab w:val="left" w:pos="432"/>
        </w:tabs>
        <w:rPr>
          <w:rFonts w:hint="eastAsia" w:ascii="仿宋" w:hAnsi="仿宋" w:eastAsia="仿宋" w:cs="仿宋"/>
          <w:lang w:val="en-US"/>
        </w:rPr>
      </w:pPr>
    </w:p>
    <w:p w14:paraId="63E90F2E">
      <w:pPr>
        <w:rPr>
          <w:rFonts w:hint="eastAsia" w:ascii="仿宋" w:hAnsi="仿宋" w:eastAsia="仿宋" w:cs="仿宋"/>
        </w:rPr>
      </w:pPr>
    </w:p>
    <w:p w14:paraId="29E09598">
      <w:pPr>
        <w:pStyle w:val="3"/>
        <w:tabs>
          <w:tab w:val="left" w:pos="432"/>
        </w:tabs>
        <w:rPr>
          <w:rFonts w:hint="eastAsia" w:ascii="仿宋" w:hAnsi="仿宋" w:eastAsia="仿宋" w:cs="仿宋"/>
          <w:lang w:val="en-US"/>
        </w:rPr>
      </w:pPr>
    </w:p>
    <w:p w14:paraId="78419A06">
      <w:pPr>
        <w:rPr>
          <w:rFonts w:hint="eastAsia" w:ascii="仿宋" w:hAnsi="仿宋" w:eastAsia="仿宋" w:cs="仿宋"/>
        </w:rPr>
      </w:pPr>
    </w:p>
    <w:p w14:paraId="423C07A9">
      <w:pPr>
        <w:pStyle w:val="3"/>
        <w:tabs>
          <w:tab w:val="left" w:pos="432"/>
        </w:tabs>
        <w:rPr>
          <w:rFonts w:hint="eastAsia" w:ascii="仿宋" w:hAnsi="仿宋" w:eastAsia="仿宋" w:cs="仿宋"/>
          <w:lang w:val="en-US"/>
        </w:rPr>
      </w:pPr>
    </w:p>
    <w:p w14:paraId="7A3078DB">
      <w:pPr>
        <w:rPr>
          <w:rFonts w:hint="eastAsia" w:ascii="仿宋" w:hAnsi="仿宋" w:eastAsia="仿宋" w:cs="仿宋"/>
        </w:rPr>
      </w:pPr>
    </w:p>
    <w:p w14:paraId="5784564B">
      <w:pPr>
        <w:pStyle w:val="3"/>
        <w:tabs>
          <w:tab w:val="left" w:pos="432"/>
        </w:tabs>
        <w:rPr>
          <w:rFonts w:hint="eastAsia" w:ascii="仿宋" w:hAnsi="仿宋" w:eastAsia="仿宋" w:cs="仿宋"/>
          <w:lang w:val="en-US"/>
        </w:rPr>
      </w:pPr>
    </w:p>
    <w:p w14:paraId="1CA46504">
      <w:pPr>
        <w:rPr>
          <w:rFonts w:hint="eastAsia" w:ascii="仿宋" w:hAnsi="仿宋" w:eastAsia="仿宋" w:cs="仿宋"/>
        </w:rPr>
      </w:pPr>
    </w:p>
    <w:p w14:paraId="1CEC67A7">
      <w:pPr>
        <w:pStyle w:val="3"/>
        <w:tabs>
          <w:tab w:val="left" w:pos="432"/>
        </w:tabs>
        <w:rPr>
          <w:rFonts w:hint="eastAsia" w:ascii="仿宋" w:hAnsi="仿宋" w:eastAsia="仿宋" w:cs="仿宋"/>
          <w:lang w:val="en-US"/>
        </w:rPr>
      </w:pPr>
    </w:p>
    <w:p w14:paraId="0AE6F61D">
      <w:pPr>
        <w:rPr>
          <w:rFonts w:hint="eastAsia" w:ascii="仿宋" w:hAnsi="仿宋" w:eastAsia="仿宋" w:cs="仿宋"/>
        </w:rPr>
      </w:pPr>
    </w:p>
    <w:p w14:paraId="23585035">
      <w:pPr>
        <w:spacing w:line="360" w:lineRule="auto"/>
        <w:jc w:val="center"/>
        <w:outlineLvl w:val="0"/>
        <w:rPr>
          <w:rFonts w:hint="eastAsia" w:ascii="仿宋" w:hAnsi="仿宋" w:eastAsia="仿宋" w:cs="仿宋"/>
          <w:b/>
          <w:kern w:val="0"/>
          <w:sz w:val="36"/>
          <w:szCs w:val="36"/>
        </w:rPr>
      </w:pPr>
    </w:p>
    <w:p w14:paraId="6C7637B6">
      <w:pPr>
        <w:snapToGrid w:val="0"/>
        <w:spacing w:line="360" w:lineRule="auto"/>
        <w:ind w:right="480"/>
        <w:jc w:val="center"/>
        <w:rPr>
          <w:rFonts w:hint="eastAsia" w:ascii="仿宋" w:hAnsi="仿宋" w:eastAsia="仿宋" w:cs="仿宋"/>
          <w:b/>
          <w:kern w:val="0"/>
          <w:sz w:val="32"/>
          <w:szCs w:val="32"/>
        </w:rPr>
      </w:pPr>
    </w:p>
    <w:p w14:paraId="231AE01B">
      <w:pPr>
        <w:spacing w:line="360" w:lineRule="auto"/>
        <w:ind w:right="420"/>
        <w:rPr>
          <w:rFonts w:hint="eastAsia" w:ascii="仿宋" w:hAnsi="仿宋" w:eastAsia="仿宋" w:cs="仿宋"/>
          <w:b/>
          <w:kern w:val="0"/>
          <w:sz w:val="36"/>
          <w:szCs w:val="36"/>
        </w:rPr>
      </w:pPr>
    </w:p>
    <w:p w14:paraId="5AA86C40">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0E2B29EC">
      <w:pPr>
        <w:spacing w:line="360" w:lineRule="auto"/>
        <w:jc w:val="center"/>
        <w:outlineLvl w:val="0"/>
        <w:rPr>
          <w:rFonts w:hint="eastAsia" w:ascii="仿宋" w:hAnsi="仿宋" w:eastAsia="仿宋" w:cs="仿宋"/>
          <w:b/>
          <w:kern w:val="0"/>
          <w:sz w:val="24"/>
        </w:rPr>
      </w:pPr>
    </w:p>
    <w:p w14:paraId="5D21A27E">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7D92D84F">
      <w:pPr>
        <w:numPr>
          <w:ilvl w:val="0"/>
          <w:numId w:val="9"/>
        </w:numPr>
        <w:snapToGrid w:val="0"/>
        <w:spacing w:line="360" w:lineRule="auto"/>
        <w:ind w:left="479" w:leftChars="228"/>
        <w:rPr>
          <w:rFonts w:hint="eastAsia" w:ascii="仿宋" w:hAnsi="仿宋" w:eastAsia="仿宋" w:cs="仿宋"/>
        </w:rPr>
      </w:pPr>
      <w:r>
        <w:rPr>
          <w:rFonts w:hint="eastAsia" w:ascii="仿宋" w:hAnsi="仿宋" w:eastAsia="仿宋" w:cs="仿宋"/>
          <w:sz w:val="24"/>
        </w:rPr>
        <w:t>投标函</w:t>
      </w:r>
      <w:r>
        <w:rPr>
          <w:rFonts w:hint="eastAsia" w:ascii="仿宋" w:hAnsi="仿宋" w:eastAsia="仿宋" w:cs="仿宋"/>
        </w:rPr>
        <w:t>……………………………………………………………………………………（页码）</w:t>
      </w:r>
    </w:p>
    <w:p w14:paraId="699A8FBB">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33EEF06">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0567B9D9">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3C38BB1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6411F5E0">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66FBAC77">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14:paraId="20C95212">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14:paraId="635429DA">
      <w:pPr>
        <w:snapToGrid w:val="0"/>
        <w:spacing w:line="360" w:lineRule="auto"/>
        <w:jc w:val="center"/>
        <w:rPr>
          <w:rFonts w:hint="eastAsia" w:ascii="仿宋" w:hAnsi="仿宋" w:eastAsia="仿宋" w:cs="仿宋"/>
          <w:b/>
          <w:kern w:val="0"/>
          <w:sz w:val="32"/>
          <w:szCs w:val="32"/>
          <w:lang w:val="zh-CN"/>
        </w:rPr>
      </w:pPr>
    </w:p>
    <w:p w14:paraId="77C893F1">
      <w:pPr>
        <w:snapToGrid w:val="0"/>
        <w:spacing w:line="360" w:lineRule="auto"/>
        <w:jc w:val="center"/>
        <w:rPr>
          <w:rFonts w:hint="eastAsia" w:ascii="仿宋" w:hAnsi="仿宋" w:eastAsia="仿宋" w:cs="仿宋"/>
          <w:b/>
          <w:kern w:val="0"/>
          <w:sz w:val="32"/>
          <w:szCs w:val="32"/>
          <w:lang w:val="zh-CN"/>
        </w:rPr>
      </w:pPr>
    </w:p>
    <w:p w14:paraId="3024A385">
      <w:pPr>
        <w:snapToGrid w:val="0"/>
        <w:spacing w:line="360" w:lineRule="auto"/>
        <w:jc w:val="center"/>
        <w:rPr>
          <w:rFonts w:hint="eastAsia" w:ascii="仿宋" w:hAnsi="仿宋" w:eastAsia="仿宋" w:cs="仿宋"/>
          <w:b/>
          <w:kern w:val="0"/>
          <w:sz w:val="32"/>
          <w:szCs w:val="32"/>
          <w:lang w:val="zh-CN"/>
        </w:rPr>
      </w:pPr>
    </w:p>
    <w:p w14:paraId="3CA76CB6">
      <w:pPr>
        <w:snapToGrid w:val="0"/>
        <w:spacing w:line="360" w:lineRule="auto"/>
        <w:jc w:val="center"/>
        <w:rPr>
          <w:rFonts w:hint="eastAsia" w:ascii="仿宋" w:hAnsi="仿宋" w:eastAsia="仿宋" w:cs="仿宋"/>
          <w:b/>
          <w:kern w:val="0"/>
          <w:sz w:val="32"/>
          <w:szCs w:val="32"/>
          <w:lang w:val="zh-CN"/>
        </w:rPr>
      </w:pPr>
    </w:p>
    <w:p w14:paraId="4491B530">
      <w:pPr>
        <w:snapToGrid w:val="0"/>
        <w:spacing w:line="360" w:lineRule="auto"/>
        <w:jc w:val="center"/>
        <w:rPr>
          <w:rFonts w:hint="eastAsia" w:ascii="仿宋" w:hAnsi="仿宋" w:eastAsia="仿宋" w:cs="仿宋"/>
          <w:b/>
          <w:kern w:val="0"/>
          <w:sz w:val="32"/>
          <w:szCs w:val="32"/>
          <w:lang w:val="zh-CN"/>
        </w:rPr>
      </w:pPr>
    </w:p>
    <w:p w14:paraId="226B161E">
      <w:pPr>
        <w:snapToGrid w:val="0"/>
        <w:spacing w:line="360" w:lineRule="auto"/>
        <w:jc w:val="center"/>
        <w:outlineLvl w:val="0"/>
        <w:rPr>
          <w:rFonts w:hint="eastAsia" w:ascii="仿宋" w:hAnsi="仿宋" w:eastAsia="仿宋" w:cs="仿宋"/>
          <w:b/>
          <w:kern w:val="0"/>
          <w:sz w:val="32"/>
          <w:szCs w:val="32"/>
        </w:rPr>
      </w:pPr>
    </w:p>
    <w:p w14:paraId="63E01CAE">
      <w:pPr>
        <w:snapToGrid w:val="0"/>
        <w:spacing w:line="360" w:lineRule="auto"/>
        <w:jc w:val="center"/>
        <w:outlineLvl w:val="0"/>
        <w:rPr>
          <w:rFonts w:hint="eastAsia" w:ascii="仿宋" w:hAnsi="仿宋" w:eastAsia="仿宋" w:cs="仿宋"/>
          <w:b/>
          <w:kern w:val="0"/>
          <w:sz w:val="32"/>
          <w:szCs w:val="32"/>
        </w:rPr>
      </w:pPr>
    </w:p>
    <w:p w14:paraId="36C95C3E">
      <w:pPr>
        <w:rPr>
          <w:rFonts w:hint="eastAsia" w:ascii="仿宋" w:hAnsi="仿宋" w:eastAsia="仿宋" w:cs="仿宋"/>
        </w:rPr>
      </w:pPr>
    </w:p>
    <w:p w14:paraId="7BA8D221">
      <w:pPr>
        <w:snapToGrid w:val="0"/>
        <w:spacing w:line="360" w:lineRule="auto"/>
        <w:jc w:val="center"/>
        <w:outlineLvl w:val="0"/>
        <w:rPr>
          <w:rFonts w:hint="eastAsia" w:ascii="仿宋" w:hAnsi="仿宋" w:eastAsia="仿宋" w:cs="仿宋"/>
          <w:b/>
          <w:kern w:val="0"/>
          <w:sz w:val="32"/>
          <w:szCs w:val="32"/>
        </w:rPr>
      </w:pPr>
    </w:p>
    <w:p w14:paraId="0EFB7D7A">
      <w:pPr>
        <w:snapToGrid w:val="0"/>
        <w:spacing w:line="360" w:lineRule="auto"/>
        <w:jc w:val="both"/>
        <w:outlineLvl w:val="0"/>
        <w:rPr>
          <w:rFonts w:hint="eastAsia" w:ascii="仿宋" w:hAnsi="仿宋" w:eastAsia="仿宋" w:cs="仿宋"/>
          <w:b/>
          <w:kern w:val="0"/>
          <w:sz w:val="32"/>
          <w:szCs w:val="32"/>
        </w:rPr>
      </w:pPr>
    </w:p>
    <w:p w14:paraId="0BA8FFB1">
      <w:pPr>
        <w:snapToGrid w:val="0"/>
        <w:spacing w:line="360" w:lineRule="auto"/>
        <w:jc w:val="both"/>
        <w:outlineLvl w:val="0"/>
        <w:rPr>
          <w:rFonts w:hint="eastAsia" w:ascii="仿宋" w:hAnsi="仿宋" w:eastAsia="仿宋" w:cs="仿宋"/>
          <w:b/>
          <w:kern w:val="0"/>
          <w:sz w:val="32"/>
          <w:szCs w:val="32"/>
        </w:rPr>
      </w:pPr>
    </w:p>
    <w:p w14:paraId="416A865D">
      <w:pPr>
        <w:snapToGrid w:val="0"/>
        <w:spacing w:line="360" w:lineRule="auto"/>
        <w:jc w:val="both"/>
        <w:outlineLvl w:val="0"/>
        <w:rPr>
          <w:rFonts w:hint="eastAsia" w:ascii="仿宋" w:hAnsi="仿宋" w:eastAsia="仿宋" w:cs="仿宋"/>
          <w:b/>
          <w:kern w:val="0"/>
          <w:sz w:val="32"/>
          <w:szCs w:val="32"/>
        </w:rPr>
      </w:pPr>
    </w:p>
    <w:p w14:paraId="690AB4C5">
      <w:pPr>
        <w:snapToGrid w:val="0"/>
        <w:spacing w:line="360" w:lineRule="auto"/>
        <w:jc w:val="both"/>
        <w:outlineLvl w:val="0"/>
        <w:rPr>
          <w:rFonts w:hint="eastAsia" w:ascii="仿宋" w:hAnsi="仿宋" w:eastAsia="仿宋" w:cs="仿宋"/>
          <w:b/>
          <w:kern w:val="0"/>
          <w:sz w:val="32"/>
          <w:szCs w:val="32"/>
        </w:rPr>
      </w:pPr>
    </w:p>
    <w:p w14:paraId="45260C24">
      <w:pPr>
        <w:snapToGrid w:val="0"/>
        <w:spacing w:line="360" w:lineRule="auto"/>
        <w:jc w:val="both"/>
        <w:outlineLvl w:val="0"/>
        <w:rPr>
          <w:rFonts w:hint="eastAsia" w:ascii="仿宋" w:hAnsi="仿宋" w:eastAsia="仿宋" w:cs="仿宋"/>
          <w:b/>
          <w:kern w:val="0"/>
          <w:sz w:val="32"/>
          <w:szCs w:val="32"/>
        </w:rPr>
      </w:pPr>
    </w:p>
    <w:p w14:paraId="05FC4A53">
      <w:pPr>
        <w:snapToGrid w:val="0"/>
        <w:spacing w:line="360" w:lineRule="auto"/>
        <w:jc w:val="both"/>
        <w:outlineLvl w:val="0"/>
        <w:rPr>
          <w:rFonts w:hint="eastAsia" w:ascii="仿宋" w:hAnsi="仿宋" w:eastAsia="仿宋" w:cs="仿宋"/>
          <w:b/>
          <w:kern w:val="0"/>
          <w:sz w:val="32"/>
          <w:szCs w:val="32"/>
        </w:rPr>
      </w:pPr>
    </w:p>
    <w:p w14:paraId="29F886E3">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3DEF1E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sz w:val="24"/>
          <w:lang w:val="en-US"/>
        </w:rPr>
      </w:pPr>
      <w:r>
        <w:rPr>
          <w:rFonts w:hint="eastAsia" w:ascii="仿宋" w:hAnsi="仿宋" w:eastAsia="仿宋" w:cs="仿宋"/>
          <w:sz w:val="24"/>
          <w:lang w:val="en-US" w:eastAsia="zh-CN"/>
        </w:rPr>
        <w:t>致：（采购人）</w:t>
      </w:r>
    </w:p>
    <w:p w14:paraId="1556DC9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lang w:val="en-US" w:eastAsia="zh-CN"/>
        </w:rPr>
        <w:t>（采购代理）</w:t>
      </w:r>
    </w:p>
    <w:p w14:paraId="2C3A020D">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1408BA0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664FF3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01AD9CC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6929334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2.1.1承诺函；</w:t>
      </w:r>
    </w:p>
    <w:p w14:paraId="384E759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2.1.2落实政府采购政策需满足的资格要求（如果有）；</w:t>
      </w:r>
    </w:p>
    <w:p w14:paraId="480832D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2.1.3本项目的特定资格要求（如果有）。</w:t>
      </w:r>
    </w:p>
    <w:p w14:paraId="4A9A149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D3BBF2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6B60FC3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7D0C320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46A6CF7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0AE8BEC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2A34D3A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ACE921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59BD098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C97FD0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976E82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75666F2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2A160D5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735CA9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6117A14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7427A3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58C24DB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29CFD6A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72D2229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12BB49CB">
      <w:pPr>
        <w:spacing w:line="360" w:lineRule="auto"/>
        <w:ind w:firstLine="3600" w:firstLineChars="1500"/>
        <w:rPr>
          <w:rFonts w:hint="eastAsia" w:ascii="仿宋" w:hAnsi="仿宋" w:eastAsia="仿宋" w:cs="仿宋"/>
          <w:sz w:val="24"/>
        </w:rPr>
      </w:pPr>
    </w:p>
    <w:p w14:paraId="25BF7A19">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579640E7">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2D036BAF">
      <w:pPr>
        <w:snapToGrid w:val="0"/>
        <w:spacing w:line="360" w:lineRule="auto"/>
        <w:ind w:left="420" w:leftChars="200" w:firstLine="4200" w:firstLineChars="1750"/>
        <w:rPr>
          <w:rFonts w:hint="eastAsia" w:ascii="仿宋" w:hAnsi="仿宋" w:eastAsia="仿宋" w:cs="仿宋"/>
          <w:kern w:val="0"/>
          <w:sz w:val="24"/>
          <w:u w:val="single"/>
          <w:lang w:val="zh-CN"/>
        </w:rPr>
      </w:pPr>
    </w:p>
    <w:p w14:paraId="49B987EF">
      <w:pPr>
        <w:jc w:val="center"/>
        <w:rPr>
          <w:rFonts w:hint="eastAsia" w:ascii="仿宋" w:hAnsi="仿宋" w:eastAsia="仿宋" w:cs="仿宋"/>
          <w:b/>
          <w:kern w:val="0"/>
          <w:sz w:val="32"/>
          <w:szCs w:val="32"/>
          <w:lang w:val="zh-CN"/>
        </w:rPr>
      </w:pPr>
    </w:p>
    <w:p w14:paraId="10496742">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628786B">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4C269DB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lang w:eastAsia="zh-CN"/>
        </w:rPr>
        <w:t>（</w:t>
      </w:r>
      <w:r>
        <w:rPr>
          <w:rFonts w:hint="eastAsia" w:ascii="仿宋" w:hAnsi="仿宋" w:eastAsia="仿宋" w:cs="仿宋"/>
          <w:sz w:val="24"/>
          <w:lang w:val="en-US" w:eastAsia="zh-CN"/>
        </w:rPr>
        <w:t>采购人</w:t>
      </w:r>
      <w:r>
        <w:rPr>
          <w:rFonts w:hint="eastAsia" w:ascii="仿宋" w:hAnsi="仿宋" w:eastAsia="仿宋" w:cs="仿宋"/>
          <w:sz w:val="24"/>
          <w:lang w:eastAsia="zh-CN"/>
        </w:rPr>
        <w:t>）</w:t>
      </w:r>
    </w:p>
    <w:p w14:paraId="1501AA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lang w:val="en-US" w:eastAsia="zh-CN"/>
        </w:rPr>
        <w:t>（采购代理）</w:t>
      </w:r>
    </w:p>
    <w:p w14:paraId="2B219AF8">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（法定代表人或单位负责人）  </w:t>
      </w:r>
      <w:r>
        <w:rPr>
          <w:rFonts w:hint="eastAsia" w:ascii="仿宋" w:hAnsi="仿宋" w:eastAsia="仿宋" w:cs="仿宋"/>
          <w:color w:val="auto"/>
          <w:sz w:val="24"/>
          <w:szCs w:val="24"/>
        </w:rPr>
        <w:t>，现授权委托本单位在职职工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以我方的名义参加贵方组织的</w:t>
      </w:r>
      <w:r>
        <w:rPr>
          <w:rFonts w:hint="eastAsia" w:ascii="仿宋" w:hAnsi="仿宋" w:eastAsia="仿宋" w:cs="仿宋"/>
          <w:color w:val="auto"/>
          <w:sz w:val="24"/>
          <w:szCs w:val="24"/>
          <w:u w:val="single"/>
        </w:rPr>
        <w:t xml:space="preserve">      　(项目名称)        项目</w:t>
      </w:r>
      <w:r>
        <w:rPr>
          <w:rFonts w:hint="eastAsia" w:ascii="仿宋" w:hAnsi="仿宋" w:eastAsia="仿宋" w:cs="仿宋"/>
          <w:color w:val="auto"/>
          <w:sz w:val="24"/>
          <w:szCs w:val="24"/>
        </w:rPr>
        <w:t>的投标活动，并代表我方全权办理针对上述项目的投标、开标、评标、签约等具体事务和签署相关文件。</w:t>
      </w:r>
    </w:p>
    <w:p w14:paraId="5B61883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37FC91B1">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60648F1F">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134AC59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4C6837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注：《授权委托书》须后附法定代表人（或单位负责人）和被授权人的身份证（正反面）复印件（加盖单位公章）。</w:t>
      </w:r>
    </w:p>
    <w:p w14:paraId="3F1BA82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6760AC7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A01C5CF">
      <w:pPr>
        <w:snapToGrid w:val="0"/>
        <w:spacing w:line="360" w:lineRule="auto"/>
        <w:rPr>
          <w:rFonts w:hint="eastAsia" w:ascii="仿宋" w:hAnsi="仿宋" w:eastAsia="仿宋" w:cs="仿宋"/>
          <w:sz w:val="24"/>
        </w:rPr>
      </w:pPr>
    </w:p>
    <w:p w14:paraId="55BA827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auto"/>
          <w:spacing w:val="-6"/>
          <w:sz w:val="24"/>
          <w:szCs w:val="24"/>
          <w:u w:val="none"/>
          <w:lang w:val="en-US" w:eastAsia="zh-CN"/>
        </w:rPr>
      </w:pPr>
      <w:r>
        <w:rPr>
          <w:rFonts w:hint="eastAsia" w:ascii="仿宋" w:hAnsi="仿宋" w:eastAsia="仿宋" w:cs="仿宋"/>
          <w:b/>
          <w:bCs/>
          <w:color w:val="auto"/>
          <w:spacing w:val="-6"/>
          <w:sz w:val="24"/>
          <w:szCs w:val="24"/>
          <w:u w:val="none"/>
          <w:lang w:val="en-US" w:eastAsia="zh-CN"/>
        </w:rPr>
        <w:t>说明：</w:t>
      </w:r>
    </w:p>
    <w:p w14:paraId="2DBDAADF">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val="0"/>
          <w:iCs/>
          <w:color w:val="auto"/>
          <w:sz w:val="24"/>
          <w:szCs w:val="24"/>
          <w:u w:val="single"/>
        </w:rPr>
      </w:pPr>
      <w:r>
        <w:rPr>
          <w:rFonts w:hint="eastAsia" w:ascii="仿宋" w:hAnsi="仿宋" w:eastAsia="仿宋" w:cs="仿宋"/>
          <w:b/>
          <w:i w:val="0"/>
          <w:iCs/>
          <w:color w:val="auto"/>
          <w:sz w:val="24"/>
          <w:szCs w:val="24"/>
          <w:u w:val="single"/>
        </w:rPr>
        <w:t>1、</w:t>
      </w:r>
      <w:r>
        <w:rPr>
          <w:rFonts w:hint="eastAsia" w:ascii="仿宋" w:hAnsi="仿宋" w:eastAsia="仿宋" w:cs="仿宋"/>
          <w:b/>
          <w:bCs/>
          <w:i w:val="0"/>
          <w:iCs/>
          <w:color w:val="auto"/>
          <w:sz w:val="24"/>
          <w:szCs w:val="24"/>
          <w:u w:val="single"/>
        </w:rPr>
        <w:t>投标人代表为法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代表人（或单位负责人）的，只需提供法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w:t>
      </w:r>
      <w:r>
        <w:rPr>
          <w:rFonts w:hint="eastAsia" w:ascii="仿宋" w:hAnsi="仿宋" w:eastAsia="仿宋" w:cs="仿宋"/>
          <w:b/>
          <w:i w:val="0"/>
          <w:iCs/>
          <w:color w:val="auto"/>
          <w:sz w:val="24"/>
          <w:szCs w:val="24"/>
          <w:u w:val="single"/>
        </w:rPr>
        <w:t>人（或单位负责人）</w:t>
      </w:r>
      <w:r>
        <w:rPr>
          <w:rFonts w:hint="eastAsia" w:ascii="仿宋" w:hAnsi="仿宋" w:eastAsia="仿宋" w:cs="仿宋"/>
          <w:b/>
          <w:bCs/>
          <w:i w:val="0"/>
          <w:iCs/>
          <w:color w:val="auto"/>
          <w:sz w:val="24"/>
          <w:szCs w:val="24"/>
          <w:u w:val="single"/>
        </w:rPr>
        <w:t>身份证（正反面）复印件（加盖单位公章）</w:t>
      </w:r>
      <w:r>
        <w:rPr>
          <w:rFonts w:hint="eastAsia" w:ascii="仿宋" w:hAnsi="仿宋" w:eastAsia="仿宋" w:cs="仿宋"/>
          <w:b/>
          <w:i w:val="0"/>
          <w:iCs/>
          <w:color w:val="auto"/>
          <w:sz w:val="24"/>
          <w:szCs w:val="24"/>
          <w:u w:val="single"/>
        </w:rPr>
        <w:t>。</w:t>
      </w:r>
    </w:p>
    <w:p w14:paraId="33450345">
      <w:pPr>
        <w:keepNext w:val="0"/>
        <w:keepLines w:val="0"/>
        <w:pageBreakBefore w:val="0"/>
        <w:widowControl/>
        <w:tabs>
          <w:tab w:val="left" w:pos="350"/>
          <w:tab w:val="left" w:pos="8280"/>
        </w:tabs>
        <w:kinsoku/>
        <w:wordWrap/>
        <w:overflowPunct/>
        <w:topLinePunct w:val="0"/>
        <w:bidi w:val="0"/>
        <w:adjustRightInd w:val="0"/>
        <w:snapToGrid/>
        <w:spacing w:line="420" w:lineRule="exact"/>
        <w:textAlignment w:val="auto"/>
        <w:rPr>
          <w:rFonts w:hint="eastAsia" w:ascii="仿宋" w:hAnsi="仿宋" w:eastAsia="仿宋" w:cs="仿宋"/>
          <w:b/>
          <w:i w:val="0"/>
          <w:iCs/>
          <w:color w:val="auto"/>
          <w:sz w:val="24"/>
          <w:u w:val="single"/>
        </w:rPr>
        <w:sectPr>
          <w:pgSz w:w="11906" w:h="16838"/>
          <w:pgMar w:top="1247" w:right="1247" w:bottom="1247" w:left="1134" w:header="283" w:footer="454"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仿宋" w:hAnsi="仿宋" w:eastAsia="仿宋" w:cs="仿宋"/>
          <w:b/>
          <w:i w:val="0"/>
          <w:iCs/>
          <w:color w:val="auto"/>
          <w:sz w:val="24"/>
          <w:szCs w:val="24"/>
          <w:u w:val="single"/>
        </w:rPr>
        <w:t>2、</w:t>
      </w:r>
      <w:r>
        <w:rPr>
          <w:rFonts w:hint="eastAsia" w:ascii="仿宋" w:hAnsi="仿宋" w:eastAsia="仿宋" w:cs="仿宋"/>
          <w:b/>
          <w:i w:val="0"/>
          <w:iCs/>
          <w:color w:val="auto"/>
          <w:sz w:val="24"/>
          <w:u w:val="single"/>
        </w:rPr>
        <w:t>投标人代表不是法定代表人（或单位负责人）的，必须提供《授权委托书》。</w:t>
      </w:r>
    </w:p>
    <w:p w14:paraId="29C0AB22">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0439C5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lang w:eastAsia="zh-CN"/>
        </w:rPr>
        <w:t>（</w:t>
      </w:r>
      <w:r>
        <w:rPr>
          <w:rFonts w:hint="eastAsia" w:ascii="仿宋" w:hAnsi="仿宋" w:eastAsia="仿宋" w:cs="仿宋"/>
          <w:sz w:val="24"/>
          <w:lang w:val="en-US" w:eastAsia="zh-CN"/>
        </w:rPr>
        <w:t>采购人</w:t>
      </w:r>
      <w:r>
        <w:rPr>
          <w:rFonts w:hint="eastAsia" w:ascii="仿宋" w:hAnsi="仿宋" w:eastAsia="仿宋" w:cs="仿宋"/>
          <w:sz w:val="24"/>
          <w:lang w:eastAsia="zh-CN"/>
        </w:rPr>
        <w:t>）</w:t>
      </w:r>
    </w:p>
    <w:p w14:paraId="6D23A475">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（采购代理）</w:t>
      </w:r>
    </w:p>
    <w:p w14:paraId="45CBF58F">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（法定代表人或单位负责人）  </w:t>
      </w:r>
      <w:r>
        <w:rPr>
          <w:rFonts w:hint="eastAsia" w:ascii="仿宋" w:hAnsi="仿宋" w:eastAsia="仿宋" w:cs="仿宋"/>
          <w:color w:val="auto"/>
          <w:sz w:val="24"/>
          <w:szCs w:val="24"/>
        </w:rPr>
        <w:t>，现授权委托本单位在职职工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以我方的名义参加贵方组织的</w:t>
      </w:r>
      <w:r>
        <w:rPr>
          <w:rFonts w:hint="eastAsia" w:ascii="仿宋" w:hAnsi="仿宋" w:eastAsia="仿宋" w:cs="仿宋"/>
          <w:color w:val="auto"/>
          <w:sz w:val="24"/>
          <w:szCs w:val="24"/>
          <w:u w:val="single"/>
        </w:rPr>
        <w:t xml:space="preserve">      　(项目名称)        项目</w:t>
      </w:r>
      <w:r>
        <w:rPr>
          <w:rFonts w:hint="eastAsia" w:ascii="仿宋" w:hAnsi="仿宋" w:eastAsia="仿宋" w:cs="仿宋"/>
          <w:color w:val="auto"/>
          <w:sz w:val="24"/>
          <w:szCs w:val="24"/>
        </w:rPr>
        <w:t>的投标活动，并代表我方全权办理针对上述项目的投标、开标、评标、签约等具体事务和签署相关文件。</w:t>
      </w:r>
    </w:p>
    <w:p w14:paraId="28305F8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25A45F8A">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7B19E268">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76DE152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698EAE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注：《授权委托书》须后附法定代表人（或单位负责人）和被授权人的身份证（正反面）复印件（加盖单位公章）。</w:t>
      </w:r>
    </w:p>
    <w:p w14:paraId="2947ACEE">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联合体成员名称(电子签名/公章)：</w:t>
      </w:r>
    </w:p>
    <w:p w14:paraId="2224AEF0">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1BC03D37">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65567F8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8F6B046">
      <w:pPr>
        <w:snapToGrid w:val="0"/>
        <w:spacing w:line="360" w:lineRule="auto"/>
        <w:jc w:val="right"/>
        <w:rPr>
          <w:rFonts w:hint="eastAsia" w:ascii="仿宋" w:hAnsi="仿宋" w:eastAsia="仿宋" w:cs="仿宋"/>
          <w:kern w:val="0"/>
          <w:sz w:val="24"/>
          <w:lang w:val="zh-CN"/>
        </w:rPr>
      </w:pPr>
    </w:p>
    <w:p w14:paraId="6D350645">
      <w:pPr>
        <w:snapToGrid w:val="0"/>
        <w:spacing w:line="360" w:lineRule="auto"/>
        <w:rPr>
          <w:rFonts w:hint="eastAsia" w:ascii="仿宋" w:hAnsi="仿宋" w:eastAsia="仿宋" w:cs="仿宋"/>
          <w:sz w:val="24"/>
        </w:rPr>
      </w:pPr>
    </w:p>
    <w:p w14:paraId="52AE36D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auto"/>
          <w:spacing w:val="-6"/>
          <w:sz w:val="24"/>
          <w:szCs w:val="24"/>
          <w:u w:val="none"/>
          <w:lang w:val="en-US" w:eastAsia="zh-CN"/>
        </w:rPr>
      </w:pPr>
      <w:r>
        <w:rPr>
          <w:rFonts w:hint="eastAsia" w:ascii="仿宋" w:hAnsi="仿宋" w:eastAsia="仿宋" w:cs="仿宋"/>
          <w:b/>
          <w:bCs/>
          <w:color w:val="auto"/>
          <w:spacing w:val="-6"/>
          <w:sz w:val="24"/>
          <w:szCs w:val="24"/>
          <w:u w:val="none"/>
          <w:lang w:val="en-US" w:eastAsia="zh-CN"/>
        </w:rPr>
        <w:t>说明：</w:t>
      </w:r>
    </w:p>
    <w:p w14:paraId="3F7B52A5">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val="0"/>
          <w:iCs/>
          <w:color w:val="auto"/>
          <w:sz w:val="24"/>
          <w:szCs w:val="24"/>
          <w:u w:val="single"/>
        </w:rPr>
      </w:pPr>
      <w:r>
        <w:rPr>
          <w:rFonts w:hint="eastAsia" w:ascii="仿宋" w:hAnsi="仿宋" w:eastAsia="仿宋" w:cs="仿宋"/>
          <w:b/>
          <w:i w:val="0"/>
          <w:iCs/>
          <w:color w:val="auto"/>
          <w:sz w:val="24"/>
          <w:szCs w:val="24"/>
          <w:u w:val="single"/>
        </w:rPr>
        <w:t>1、</w:t>
      </w:r>
      <w:r>
        <w:rPr>
          <w:rFonts w:hint="eastAsia" w:ascii="仿宋" w:hAnsi="仿宋" w:eastAsia="仿宋" w:cs="仿宋"/>
          <w:b/>
          <w:bCs/>
          <w:i w:val="0"/>
          <w:iCs/>
          <w:color w:val="auto"/>
          <w:sz w:val="24"/>
          <w:szCs w:val="24"/>
          <w:u w:val="single"/>
        </w:rPr>
        <w:t>投标人代表为法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代表人（或单位负责人）的，只需提供法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w:t>
      </w:r>
      <w:r>
        <w:rPr>
          <w:rFonts w:hint="eastAsia" w:ascii="仿宋" w:hAnsi="仿宋" w:eastAsia="仿宋" w:cs="仿宋"/>
          <w:b/>
          <w:i w:val="0"/>
          <w:iCs/>
          <w:color w:val="auto"/>
          <w:sz w:val="24"/>
          <w:szCs w:val="24"/>
          <w:u w:val="single"/>
        </w:rPr>
        <w:t>人（或单位负责人）</w:t>
      </w:r>
      <w:r>
        <w:rPr>
          <w:rFonts w:hint="eastAsia" w:ascii="仿宋" w:hAnsi="仿宋" w:eastAsia="仿宋" w:cs="仿宋"/>
          <w:b/>
          <w:bCs/>
          <w:i w:val="0"/>
          <w:iCs/>
          <w:color w:val="auto"/>
          <w:sz w:val="24"/>
          <w:szCs w:val="24"/>
          <w:u w:val="single"/>
        </w:rPr>
        <w:t>身份证（正反面）复印件（加盖单位公章）</w:t>
      </w:r>
      <w:r>
        <w:rPr>
          <w:rFonts w:hint="eastAsia" w:ascii="仿宋" w:hAnsi="仿宋" w:eastAsia="仿宋" w:cs="仿宋"/>
          <w:b/>
          <w:i w:val="0"/>
          <w:iCs/>
          <w:color w:val="auto"/>
          <w:sz w:val="24"/>
          <w:szCs w:val="24"/>
          <w:u w:val="single"/>
        </w:rPr>
        <w:t>。</w:t>
      </w:r>
    </w:p>
    <w:p w14:paraId="314E3BE6">
      <w:pPr>
        <w:keepNext w:val="0"/>
        <w:keepLines w:val="0"/>
        <w:pageBreakBefore w:val="0"/>
        <w:widowControl/>
        <w:tabs>
          <w:tab w:val="left" w:pos="350"/>
          <w:tab w:val="left" w:pos="8280"/>
        </w:tabs>
        <w:kinsoku/>
        <w:wordWrap/>
        <w:overflowPunct/>
        <w:topLinePunct w:val="0"/>
        <w:bidi w:val="0"/>
        <w:adjustRightInd w:val="0"/>
        <w:snapToGrid/>
        <w:spacing w:line="420" w:lineRule="exact"/>
        <w:textAlignment w:val="auto"/>
        <w:rPr>
          <w:rFonts w:hint="eastAsia" w:ascii="仿宋" w:hAnsi="仿宋" w:eastAsia="仿宋" w:cs="仿宋"/>
          <w:i w:val="0"/>
          <w:iCs/>
        </w:rPr>
        <w:sectPr>
          <w:pgSz w:w="11906" w:h="16838"/>
          <w:pgMar w:top="1247" w:right="1247" w:bottom="1247" w:left="1134" w:header="283" w:footer="454"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仿宋" w:hAnsi="仿宋" w:eastAsia="仿宋" w:cs="仿宋"/>
          <w:b/>
          <w:i w:val="0"/>
          <w:iCs/>
          <w:color w:val="auto"/>
          <w:sz w:val="24"/>
          <w:szCs w:val="24"/>
          <w:u w:val="single"/>
        </w:rPr>
        <w:t>2、</w:t>
      </w:r>
      <w:r>
        <w:rPr>
          <w:rFonts w:hint="eastAsia" w:ascii="仿宋" w:hAnsi="仿宋" w:eastAsia="仿宋" w:cs="仿宋"/>
          <w:b/>
          <w:i w:val="0"/>
          <w:iCs/>
          <w:color w:val="auto"/>
          <w:sz w:val="24"/>
          <w:u w:val="single"/>
        </w:rPr>
        <w:t>投标人代表不是法定代表人（或单位负责人）的，必须提供《授权委托书》。</w:t>
      </w:r>
    </w:p>
    <w:p w14:paraId="004E0CBA">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649DD29">
      <w:pPr>
        <w:pStyle w:val="3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46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08F19D">
            <w:pPr>
              <w:pStyle w:val="32"/>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0D1AD549">
            <w:pPr>
              <w:pStyle w:val="32"/>
              <w:adjustRightInd w:val="0"/>
              <w:spacing w:line="360" w:lineRule="auto"/>
              <w:rPr>
                <w:rFonts w:hint="eastAsia" w:ascii="仿宋" w:hAnsi="仿宋" w:eastAsia="仿宋" w:cs="仿宋"/>
                <w:bCs/>
                <w:sz w:val="24"/>
                <w:szCs w:val="21"/>
              </w:rPr>
            </w:pPr>
          </w:p>
        </w:tc>
      </w:tr>
    </w:tbl>
    <w:p w14:paraId="00DA64AE">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02E5F18">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3EF00424">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85A0991">
      <w:pPr>
        <w:jc w:val="center"/>
        <w:rPr>
          <w:rFonts w:hint="eastAsia" w:ascii="仿宋" w:hAnsi="仿宋" w:eastAsia="仿宋" w:cs="仿宋"/>
          <w:b/>
          <w:kern w:val="0"/>
          <w:sz w:val="32"/>
          <w:szCs w:val="32"/>
        </w:rPr>
      </w:pPr>
    </w:p>
    <w:p w14:paraId="3B84C1C8">
      <w:pPr>
        <w:jc w:val="center"/>
        <w:rPr>
          <w:rFonts w:hint="eastAsia" w:ascii="仿宋" w:hAnsi="仿宋" w:eastAsia="仿宋" w:cs="仿宋"/>
          <w:b/>
          <w:kern w:val="0"/>
          <w:sz w:val="32"/>
          <w:szCs w:val="32"/>
        </w:rPr>
      </w:pPr>
    </w:p>
    <w:p w14:paraId="3BCB39F2">
      <w:pPr>
        <w:jc w:val="center"/>
        <w:rPr>
          <w:rFonts w:hint="eastAsia" w:ascii="仿宋" w:hAnsi="仿宋" w:eastAsia="仿宋" w:cs="仿宋"/>
          <w:b/>
          <w:kern w:val="0"/>
          <w:sz w:val="32"/>
          <w:szCs w:val="32"/>
        </w:rPr>
      </w:pPr>
    </w:p>
    <w:p w14:paraId="18A63CC4">
      <w:pPr>
        <w:jc w:val="center"/>
        <w:rPr>
          <w:rFonts w:hint="eastAsia" w:ascii="仿宋" w:hAnsi="仿宋" w:eastAsia="仿宋" w:cs="仿宋"/>
          <w:b/>
          <w:kern w:val="0"/>
          <w:sz w:val="32"/>
          <w:szCs w:val="32"/>
        </w:rPr>
      </w:pPr>
    </w:p>
    <w:p w14:paraId="7E2476CE">
      <w:pPr>
        <w:jc w:val="center"/>
        <w:rPr>
          <w:rFonts w:hint="eastAsia" w:ascii="仿宋" w:hAnsi="仿宋" w:eastAsia="仿宋" w:cs="仿宋"/>
          <w:b/>
          <w:kern w:val="0"/>
          <w:sz w:val="32"/>
          <w:szCs w:val="32"/>
        </w:rPr>
      </w:pPr>
    </w:p>
    <w:p w14:paraId="495B9DD7">
      <w:pPr>
        <w:jc w:val="center"/>
        <w:rPr>
          <w:rFonts w:hint="eastAsia" w:ascii="仿宋" w:hAnsi="仿宋" w:eastAsia="仿宋" w:cs="仿宋"/>
          <w:b/>
          <w:kern w:val="0"/>
          <w:sz w:val="32"/>
          <w:szCs w:val="32"/>
        </w:rPr>
      </w:pPr>
    </w:p>
    <w:p w14:paraId="1DC4BCED">
      <w:pPr>
        <w:jc w:val="center"/>
        <w:rPr>
          <w:rFonts w:hint="eastAsia" w:ascii="仿宋" w:hAnsi="仿宋" w:eastAsia="仿宋" w:cs="仿宋"/>
          <w:b/>
          <w:kern w:val="0"/>
          <w:sz w:val="32"/>
          <w:szCs w:val="32"/>
        </w:rPr>
      </w:pPr>
    </w:p>
    <w:p w14:paraId="4B01F920">
      <w:pPr>
        <w:jc w:val="center"/>
        <w:rPr>
          <w:rFonts w:hint="eastAsia" w:ascii="仿宋" w:hAnsi="仿宋" w:eastAsia="仿宋" w:cs="仿宋"/>
          <w:b/>
          <w:kern w:val="0"/>
          <w:sz w:val="32"/>
          <w:szCs w:val="32"/>
        </w:rPr>
      </w:pPr>
    </w:p>
    <w:p w14:paraId="05A188F3">
      <w:pPr>
        <w:jc w:val="center"/>
        <w:rPr>
          <w:rFonts w:hint="eastAsia" w:ascii="仿宋" w:hAnsi="仿宋" w:eastAsia="仿宋" w:cs="仿宋"/>
          <w:b/>
          <w:kern w:val="0"/>
          <w:sz w:val="32"/>
          <w:szCs w:val="32"/>
        </w:rPr>
      </w:pPr>
    </w:p>
    <w:p w14:paraId="39839CDC">
      <w:pPr>
        <w:jc w:val="center"/>
        <w:rPr>
          <w:rFonts w:hint="eastAsia" w:ascii="仿宋" w:hAnsi="仿宋" w:eastAsia="仿宋" w:cs="仿宋"/>
          <w:b/>
          <w:kern w:val="0"/>
          <w:sz w:val="32"/>
          <w:szCs w:val="32"/>
        </w:rPr>
      </w:pPr>
    </w:p>
    <w:p w14:paraId="2D52C796">
      <w:pPr>
        <w:jc w:val="center"/>
        <w:rPr>
          <w:rFonts w:hint="eastAsia" w:ascii="仿宋" w:hAnsi="仿宋" w:eastAsia="仿宋" w:cs="仿宋"/>
          <w:b/>
          <w:kern w:val="0"/>
          <w:sz w:val="32"/>
          <w:szCs w:val="32"/>
        </w:rPr>
      </w:pPr>
    </w:p>
    <w:p w14:paraId="79BB158D">
      <w:pPr>
        <w:jc w:val="center"/>
        <w:rPr>
          <w:rFonts w:hint="eastAsia" w:ascii="仿宋" w:hAnsi="仿宋" w:eastAsia="仿宋" w:cs="仿宋"/>
          <w:b/>
          <w:kern w:val="0"/>
          <w:sz w:val="32"/>
          <w:szCs w:val="32"/>
        </w:rPr>
      </w:pPr>
    </w:p>
    <w:p w14:paraId="5F240413">
      <w:pPr>
        <w:jc w:val="center"/>
        <w:rPr>
          <w:rFonts w:hint="eastAsia" w:ascii="仿宋" w:hAnsi="仿宋" w:eastAsia="仿宋" w:cs="仿宋"/>
          <w:b/>
          <w:kern w:val="0"/>
          <w:sz w:val="32"/>
          <w:szCs w:val="32"/>
        </w:rPr>
      </w:pPr>
    </w:p>
    <w:p w14:paraId="58FDCCCE">
      <w:pPr>
        <w:jc w:val="center"/>
        <w:rPr>
          <w:rFonts w:hint="eastAsia" w:ascii="仿宋" w:hAnsi="仿宋" w:eastAsia="仿宋" w:cs="仿宋"/>
          <w:b/>
          <w:kern w:val="0"/>
          <w:sz w:val="32"/>
          <w:szCs w:val="32"/>
        </w:rPr>
      </w:pPr>
    </w:p>
    <w:p w14:paraId="1C5B7538">
      <w:pPr>
        <w:jc w:val="center"/>
        <w:rPr>
          <w:rFonts w:hint="eastAsia" w:ascii="仿宋" w:hAnsi="仿宋" w:eastAsia="仿宋" w:cs="仿宋"/>
          <w:b/>
          <w:kern w:val="0"/>
          <w:sz w:val="32"/>
          <w:szCs w:val="32"/>
        </w:rPr>
      </w:pPr>
    </w:p>
    <w:p w14:paraId="5BC94A27">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3549D904">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7927D3EB">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96E2558">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0AB3DF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C3816CC">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02DB302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0E4BE2D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3A4068E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0C2097C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B267E8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EDD513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A8A27AD">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99D6EB3">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B9CF435">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4B9EA84">
      <w:pPr>
        <w:snapToGrid w:val="0"/>
        <w:spacing w:line="360" w:lineRule="auto"/>
        <w:ind w:right="480"/>
        <w:rPr>
          <w:rFonts w:hint="eastAsia" w:ascii="仿宋" w:hAnsi="仿宋" w:eastAsia="仿宋" w:cs="仿宋"/>
          <w:b/>
          <w:kern w:val="0"/>
          <w:sz w:val="32"/>
          <w:szCs w:val="32"/>
          <w:lang w:val="zh-CN"/>
        </w:rPr>
        <w:sectPr>
          <w:headerReference r:id="rId6" w:type="first"/>
          <w:footerReference r:id="rId8" w:type="first"/>
          <w:headerReference r:id="rId5" w:type="default"/>
          <w:footerReference r:id="rId7" w:type="default"/>
          <w:pgSz w:w="11906" w:h="16838"/>
          <w:pgMar w:top="1276" w:right="1134" w:bottom="1247" w:left="1134" w:header="851" w:footer="992" w:gutter="0"/>
          <w:pgBorders>
            <w:top w:val="none" w:sz="0" w:space="0"/>
            <w:left w:val="none" w:sz="0" w:space="0"/>
            <w:bottom w:val="none" w:sz="0" w:space="0"/>
            <w:right w:val="none" w:sz="0" w:space="0"/>
          </w:pgBorders>
          <w:cols w:space="720" w:num="1"/>
          <w:titlePg/>
          <w:docGrid w:linePitch="312" w:charSpace="0"/>
        </w:sectPr>
      </w:pPr>
    </w:p>
    <w:p w14:paraId="26C8DE32">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3916AFB9">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7B7C0F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248FFE7">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26A1DA4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9D7B150">
      <w:pPr>
        <w:pStyle w:val="3"/>
        <w:tabs>
          <w:tab w:val="left" w:pos="432"/>
        </w:tabs>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1AA74AB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3558102A">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0E09B67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4DB3F3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F296B6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6795EF56">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5440D32E">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0FE9AB6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A0959C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15A996A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F57FA2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C2870A2">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16811555">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7D961AB0">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A6751DF">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F167F0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1D1B61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65DE877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022DADF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1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5FFB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C988A2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3450090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70BB4A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6BED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FF1185A">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1</w:t>
            </w:r>
          </w:p>
        </w:tc>
        <w:tc>
          <w:tcPr>
            <w:tcW w:w="4991" w:type="dxa"/>
          </w:tcPr>
          <w:p w14:paraId="6E106D8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6446219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2870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33B1195">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2</w:t>
            </w:r>
          </w:p>
        </w:tc>
        <w:tc>
          <w:tcPr>
            <w:tcW w:w="4991" w:type="dxa"/>
          </w:tcPr>
          <w:p w14:paraId="0BFF48A6">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588D814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3655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7BB5A5A">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3</w:t>
            </w:r>
          </w:p>
        </w:tc>
        <w:tc>
          <w:tcPr>
            <w:tcW w:w="4991" w:type="dxa"/>
          </w:tcPr>
          <w:p w14:paraId="26BE965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22F6FFC5">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投标函</w:t>
            </w:r>
          </w:p>
        </w:tc>
      </w:tr>
      <w:tr w14:paraId="5719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0ABCA7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4</w:t>
            </w:r>
          </w:p>
        </w:tc>
        <w:tc>
          <w:tcPr>
            <w:tcW w:w="4991" w:type="dxa"/>
          </w:tcPr>
          <w:p w14:paraId="592B2F3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25A624D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1C6F3AB4">
      <w:pPr>
        <w:jc w:val="center"/>
        <w:rPr>
          <w:rFonts w:hint="eastAsia" w:ascii="仿宋" w:hAnsi="仿宋" w:eastAsia="仿宋" w:cs="仿宋"/>
          <w:b/>
          <w:kern w:val="0"/>
          <w:sz w:val="32"/>
          <w:szCs w:val="32"/>
        </w:rPr>
      </w:pPr>
    </w:p>
    <w:p w14:paraId="399C8A98">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59EAB432">
      <w:pPr>
        <w:jc w:val="center"/>
        <w:rPr>
          <w:rFonts w:hint="eastAsia" w:ascii="仿宋" w:hAnsi="仿宋" w:eastAsia="仿宋" w:cs="仿宋"/>
          <w:b/>
          <w:kern w:val="0"/>
          <w:sz w:val="32"/>
          <w:szCs w:val="32"/>
        </w:rPr>
      </w:pPr>
    </w:p>
    <w:p w14:paraId="20A9F74B">
      <w:pPr>
        <w:jc w:val="center"/>
        <w:rPr>
          <w:rFonts w:hint="eastAsia" w:ascii="仿宋" w:hAnsi="仿宋" w:eastAsia="仿宋" w:cs="仿宋"/>
          <w:b/>
          <w:kern w:val="0"/>
          <w:sz w:val="32"/>
          <w:szCs w:val="32"/>
        </w:rPr>
      </w:pPr>
    </w:p>
    <w:p w14:paraId="2663C70C">
      <w:pPr>
        <w:jc w:val="center"/>
        <w:rPr>
          <w:rFonts w:hint="eastAsia" w:ascii="仿宋" w:hAnsi="仿宋" w:eastAsia="仿宋" w:cs="仿宋"/>
          <w:b/>
          <w:kern w:val="0"/>
          <w:sz w:val="32"/>
          <w:szCs w:val="32"/>
        </w:rPr>
      </w:pPr>
    </w:p>
    <w:p w14:paraId="34EDC429">
      <w:pPr>
        <w:jc w:val="center"/>
        <w:rPr>
          <w:rFonts w:hint="eastAsia" w:ascii="仿宋" w:hAnsi="仿宋" w:eastAsia="仿宋" w:cs="仿宋"/>
          <w:b/>
          <w:kern w:val="0"/>
          <w:sz w:val="32"/>
          <w:szCs w:val="32"/>
        </w:rPr>
      </w:pPr>
    </w:p>
    <w:p w14:paraId="50398DEF">
      <w:pPr>
        <w:jc w:val="center"/>
        <w:rPr>
          <w:rFonts w:hint="eastAsia" w:ascii="仿宋" w:hAnsi="仿宋" w:eastAsia="仿宋" w:cs="仿宋"/>
          <w:b/>
          <w:kern w:val="0"/>
          <w:sz w:val="32"/>
          <w:szCs w:val="32"/>
        </w:rPr>
      </w:pPr>
    </w:p>
    <w:p w14:paraId="47F5A143">
      <w:pPr>
        <w:pStyle w:val="3"/>
        <w:tabs>
          <w:tab w:val="left" w:pos="432"/>
        </w:tabs>
        <w:rPr>
          <w:rFonts w:hint="eastAsia" w:ascii="仿宋" w:hAnsi="仿宋" w:eastAsia="仿宋" w:cs="仿宋"/>
          <w:kern w:val="0"/>
        </w:rPr>
      </w:pPr>
    </w:p>
    <w:p w14:paraId="6EAEAA42">
      <w:pPr>
        <w:rPr>
          <w:rFonts w:hint="eastAsia" w:ascii="仿宋" w:hAnsi="仿宋" w:eastAsia="仿宋" w:cs="仿宋"/>
          <w:b/>
          <w:kern w:val="0"/>
          <w:sz w:val="32"/>
          <w:szCs w:val="32"/>
        </w:rPr>
      </w:pPr>
    </w:p>
    <w:p w14:paraId="070041A1">
      <w:pPr>
        <w:pStyle w:val="3"/>
        <w:tabs>
          <w:tab w:val="left" w:pos="432"/>
        </w:tabs>
        <w:rPr>
          <w:rFonts w:hint="eastAsia" w:ascii="仿宋" w:hAnsi="仿宋" w:eastAsia="仿宋" w:cs="仿宋"/>
          <w:kern w:val="0"/>
        </w:rPr>
      </w:pPr>
    </w:p>
    <w:p w14:paraId="292696F9">
      <w:pPr>
        <w:rPr>
          <w:rFonts w:hint="eastAsia" w:ascii="仿宋" w:hAnsi="仿宋" w:eastAsia="仿宋" w:cs="仿宋"/>
        </w:rPr>
      </w:pPr>
    </w:p>
    <w:p w14:paraId="4ED6E646">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2B9455A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rPr>
      </w:pPr>
      <w:r>
        <w:rPr>
          <w:rFonts w:hint="eastAsia" w:ascii="仿宋" w:hAnsi="仿宋" w:eastAsia="仿宋" w:cs="仿宋"/>
          <w:b/>
          <w:kern w:val="0"/>
          <w:sz w:val="32"/>
          <w:szCs w:val="32"/>
          <w:lang w:eastAsia="zh-CN"/>
        </w:rPr>
        <w:tab/>
      </w:r>
      <w:r>
        <w:rPr>
          <w:rFonts w:hint="eastAsia" w:ascii="仿宋" w:hAnsi="仿宋" w:eastAsia="仿宋" w:cs="仿宋"/>
          <w:b/>
          <w:kern w:val="0"/>
          <w:sz w:val="32"/>
          <w:szCs w:val="32"/>
        </w:rPr>
        <w:t>六、评标标准相应的商务技术资料</w:t>
      </w:r>
    </w:p>
    <w:p w14:paraId="74D6A09D">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71BCDB6E">
      <w:pPr>
        <w:jc w:val="center"/>
        <w:rPr>
          <w:rFonts w:hint="eastAsia" w:ascii="仿宋" w:hAnsi="仿宋" w:eastAsia="仿宋" w:cs="仿宋"/>
          <w:b/>
          <w:kern w:val="0"/>
          <w:sz w:val="32"/>
          <w:szCs w:val="32"/>
        </w:rPr>
      </w:pPr>
    </w:p>
    <w:p w14:paraId="60E08460">
      <w:pPr>
        <w:jc w:val="center"/>
        <w:rPr>
          <w:rFonts w:hint="eastAsia" w:ascii="仿宋" w:hAnsi="仿宋" w:eastAsia="仿宋" w:cs="仿宋"/>
          <w:b/>
          <w:kern w:val="0"/>
          <w:sz w:val="32"/>
          <w:szCs w:val="32"/>
        </w:rPr>
      </w:pPr>
    </w:p>
    <w:p w14:paraId="21667641">
      <w:pPr>
        <w:jc w:val="center"/>
        <w:rPr>
          <w:rFonts w:hint="eastAsia" w:ascii="仿宋" w:hAnsi="仿宋" w:eastAsia="仿宋" w:cs="仿宋"/>
          <w:b/>
          <w:kern w:val="0"/>
          <w:sz w:val="32"/>
          <w:szCs w:val="32"/>
        </w:rPr>
      </w:pPr>
    </w:p>
    <w:p w14:paraId="623E5A27">
      <w:pPr>
        <w:jc w:val="center"/>
        <w:rPr>
          <w:rFonts w:hint="eastAsia" w:ascii="仿宋" w:hAnsi="仿宋" w:eastAsia="仿宋" w:cs="仿宋"/>
          <w:b/>
          <w:kern w:val="0"/>
          <w:sz w:val="32"/>
          <w:szCs w:val="32"/>
        </w:rPr>
      </w:pPr>
    </w:p>
    <w:p w14:paraId="038351F5">
      <w:pPr>
        <w:jc w:val="center"/>
        <w:rPr>
          <w:rFonts w:hint="eastAsia" w:ascii="仿宋" w:hAnsi="仿宋" w:eastAsia="仿宋" w:cs="仿宋"/>
          <w:b/>
          <w:kern w:val="0"/>
          <w:sz w:val="32"/>
          <w:szCs w:val="32"/>
        </w:rPr>
      </w:pPr>
    </w:p>
    <w:p w14:paraId="54AF073A">
      <w:pPr>
        <w:jc w:val="center"/>
        <w:rPr>
          <w:rFonts w:hint="eastAsia" w:ascii="仿宋" w:hAnsi="仿宋" w:eastAsia="仿宋" w:cs="仿宋"/>
          <w:b/>
          <w:kern w:val="0"/>
          <w:sz w:val="32"/>
          <w:szCs w:val="32"/>
        </w:rPr>
      </w:pPr>
    </w:p>
    <w:p w14:paraId="564C3D1B">
      <w:pPr>
        <w:jc w:val="center"/>
        <w:rPr>
          <w:rFonts w:hint="eastAsia" w:ascii="仿宋" w:hAnsi="仿宋" w:eastAsia="仿宋" w:cs="仿宋"/>
          <w:b/>
          <w:kern w:val="0"/>
          <w:sz w:val="32"/>
          <w:szCs w:val="32"/>
        </w:rPr>
      </w:pPr>
    </w:p>
    <w:p w14:paraId="522AD5FB">
      <w:pPr>
        <w:jc w:val="center"/>
        <w:rPr>
          <w:rFonts w:hint="eastAsia" w:ascii="仿宋" w:hAnsi="仿宋" w:eastAsia="仿宋" w:cs="仿宋"/>
          <w:b/>
          <w:kern w:val="0"/>
          <w:sz w:val="32"/>
          <w:szCs w:val="32"/>
        </w:rPr>
      </w:pPr>
    </w:p>
    <w:p w14:paraId="31D56DF1">
      <w:pPr>
        <w:jc w:val="center"/>
        <w:rPr>
          <w:rFonts w:hint="eastAsia" w:ascii="仿宋" w:hAnsi="仿宋" w:eastAsia="仿宋" w:cs="仿宋"/>
          <w:b/>
          <w:kern w:val="0"/>
          <w:sz w:val="32"/>
          <w:szCs w:val="32"/>
        </w:rPr>
      </w:pPr>
    </w:p>
    <w:p w14:paraId="3F13EC02">
      <w:pPr>
        <w:jc w:val="center"/>
        <w:rPr>
          <w:rFonts w:hint="eastAsia" w:ascii="仿宋" w:hAnsi="仿宋" w:eastAsia="仿宋" w:cs="仿宋"/>
          <w:b/>
          <w:kern w:val="0"/>
          <w:sz w:val="32"/>
          <w:szCs w:val="32"/>
        </w:rPr>
      </w:pPr>
    </w:p>
    <w:p w14:paraId="092C3066">
      <w:pPr>
        <w:jc w:val="center"/>
        <w:rPr>
          <w:rFonts w:hint="eastAsia" w:ascii="仿宋" w:hAnsi="仿宋" w:eastAsia="仿宋" w:cs="仿宋"/>
          <w:b/>
          <w:kern w:val="0"/>
          <w:sz w:val="32"/>
          <w:szCs w:val="32"/>
        </w:rPr>
      </w:pPr>
    </w:p>
    <w:p w14:paraId="2A1AAEFD">
      <w:pPr>
        <w:jc w:val="center"/>
        <w:rPr>
          <w:rFonts w:hint="eastAsia" w:ascii="仿宋" w:hAnsi="仿宋" w:eastAsia="仿宋" w:cs="仿宋"/>
          <w:b/>
          <w:kern w:val="0"/>
          <w:sz w:val="32"/>
          <w:szCs w:val="32"/>
        </w:rPr>
      </w:pPr>
    </w:p>
    <w:p w14:paraId="4F728398">
      <w:pPr>
        <w:jc w:val="center"/>
        <w:rPr>
          <w:rFonts w:hint="eastAsia" w:ascii="仿宋" w:hAnsi="仿宋" w:eastAsia="仿宋" w:cs="仿宋"/>
          <w:b/>
          <w:kern w:val="0"/>
          <w:sz w:val="32"/>
          <w:szCs w:val="32"/>
        </w:rPr>
      </w:pPr>
    </w:p>
    <w:p w14:paraId="73F3B749">
      <w:pPr>
        <w:jc w:val="center"/>
        <w:rPr>
          <w:rFonts w:hint="eastAsia" w:ascii="仿宋" w:hAnsi="仿宋" w:eastAsia="仿宋" w:cs="仿宋"/>
          <w:b/>
          <w:kern w:val="0"/>
          <w:sz w:val="32"/>
          <w:szCs w:val="32"/>
        </w:rPr>
      </w:pPr>
    </w:p>
    <w:p w14:paraId="5F166FA4">
      <w:pPr>
        <w:jc w:val="center"/>
        <w:rPr>
          <w:rFonts w:hint="eastAsia" w:ascii="仿宋" w:hAnsi="仿宋" w:eastAsia="仿宋" w:cs="仿宋"/>
          <w:b/>
          <w:kern w:val="0"/>
          <w:sz w:val="32"/>
          <w:szCs w:val="32"/>
        </w:rPr>
      </w:pPr>
    </w:p>
    <w:p w14:paraId="0F14AC80">
      <w:pPr>
        <w:jc w:val="center"/>
        <w:rPr>
          <w:rFonts w:hint="eastAsia" w:ascii="仿宋" w:hAnsi="仿宋" w:eastAsia="仿宋" w:cs="仿宋"/>
          <w:b/>
          <w:kern w:val="0"/>
          <w:sz w:val="32"/>
          <w:szCs w:val="32"/>
        </w:rPr>
      </w:pPr>
    </w:p>
    <w:p w14:paraId="52FEA16A">
      <w:pPr>
        <w:jc w:val="center"/>
        <w:rPr>
          <w:rFonts w:hint="eastAsia" w:ascii="仿宋" w:hAnsi="仿宋" w:eastAsia="仿宋" w:cs="仿宋"/>
          <w:b/>
          <w:kern w:val="0"/>
          <w:sz w:val="32"/>
          <w:szCs w:val="32"/>
        </w:rPr>
      </w:pPr>
    </w:p>
    <w:p w14:paraId="1A761669">
      <w:pPr>
        <w:jc w:val="center"/>
        <w:rPr>
          <w:rFonts w:hint="eastAsia" w:ascii="仿宋" w:hAnsi="仿宋" w:eastAsia="仿宋" w:cs="仿宋"/>
          <w:b/>
          <w:kern w:val="0"/>
          <w:sz w:val="32"/>
          <w:szCs w:val="32"/>
        </w:rPr>
      </w:pPr>
    </w:p>
    <w:p w14:paraId="4D715F49">
      <w:pPr>
        <w:jc w:val="center"/>
        <w:rPr>
          <w:rFonts w:hint="eastAsia" w:ascii="仿宋" w:hAnsi="仿宋" w:eastAsia="仿宋" w:cs="仿宋"/>
          <w:b/>
          <w:kern w:val="0"/>
          <w:sz w:val="32"/>
          <w:szCs w:val="32"/>
        </w:rPr>
      </w:pPr>
    </w:p>
    <w:p w14:paraId="4A836ADC">
      <w:pPr>
        <w:jc w:val="center"/>
        <w:rPr>
          <w:rFonts w:hint="eastAsia" w:ascii="仿宋" w:hAnsi="仿宋" w:eastAsia="仿宋" w:cs="仿宋"/>
          <w:b/>
          <w:kern w:val="0"/>
          <w:sz w:val="32"/>
          <w:szCs w:val="32"/>
        </w:rPr>
      </w:pPr>
    </w:p>
    <w:p w14:paraId="2D74CAC0">
      <w:pPr>
        <w:jc w:val="center"/>
        <w:rPr>
          <w:rFonts w:hint="eastAsia" w:ascii="仿宋" w:hAnsi="仿宋" w:eastAsia="仿宋" w:cs="仿宋"/>
          <w:b/>
          <w:kern w:val="0"/>
          <w:sz w:val="32"/>
          <w:szCs w:val="32"/>
        </w:rPr>
      </w:pPr>
    </w:p>
    <w:p w14:paraId="7D36CBFE">
      <w:pPr>
        <w:jc w:val="center"/>
        <w:rPr>
          <w:rFonts w:hint="eastAsia" w:ascii="仿宋" w:hAnsi="仿宋" w:eastAsia="仿宋" w:cs="仿宋"/>
          <w:b/>
          <w:kern w:val="0"/>
          <w:sz w:val="32"/>
          <w:szCs w:val="32"/>
        </w:rPr>
      </w:pPr>
    </w:p>
    <w:p w14:paraId="450F3799">
      <w:pPr>
        <w:jc w:val="center"/>
        <w:rPr>
          <w:rFonts w:hint="eastAsia" w:ascii="仿宋" w:hAnsi="仿宋" w:eastAsia="仿宋" w:cs="仿宋"/>
          <w:b/>
          <w:kern w:val="0"/>
          <w:sz w:val="32"/>
          <w:szCs w:val="32"/>
        </w:rPr>
      </w:pPr>
    </w:p>
    <w:p w14:paraId="0D28D1F8">
      <w:pPr>
        <w:jc w:val="center"/>
        <w:rPr>
          <w:rFonts w:hint="eastAsia" w:ascii="仿宋" w:hAnsi="仿宋" w:eastAsia="仿宋" w:cs="仿宋"/>
          <w:b/>
          <w:kern w:val="0"/>
          <w:sz w:val="32"/>
          <w:szCs w:val="32"/>
        </w:rPr>
      </w:pPr>
    </w:p>
    <w:p w14:paraId="44FF7626">
      <w:pPr>
        <w:jc w:val="center"/>
        <w:rPr>
          <w:rFonts w:hint="eastAsia" w:ascii="仿宋" w:hAnsi="仿宋" w:eastAsia="仿宋" w:cs="仿宋"/>
          <w:b/>
          <w:kern w:val="0"/>
          <w:sz w:val="32"/>
          <w:szCs w:val="32"/>
        </w:rPr>
      </w:pPr>
    </w:p>
    <w:p w14:paraId="4434BF74">
      <w:pPr>
        <w:jc w:val="center"/>
        <w:rPr>
          <w:rFonts w:hint="eastAsia" w:ascii="仿宋" w:hAnsi="仿宋" w:eastAsia="仿宋" w:cs="仿宋"/>
          <w:b/>
          <w:kern w:val="0"/>
          <w:sz w:val="32"/>
          <w:szCs w:val="32"/>
        </w:rPr>
      </w:pPr>
    </w:p>
    <w:p w14:paraId="51F6DABB">
      <w:pPr>
        <w:rPr>
          <w:rFonts w:hint="eastAsia" w:ascii="仿宋" w:hAnsi="仿宋" w:eastAsia="仿宋" w:cs="仿宋"/>
          <w:b/>
          <w:kern w:val="0"/>
          <w:sz w:val="32"/>
          <w:szCs w:val="32"/>
        </w:rPr>
      </w:pPr>
    </w:p>
    <w:p w14:paraId="6CA47C7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025B1B7C">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2AB2CEC8">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14:paraId="68DD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FCFAF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20AF508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2CC1DCD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C6CCA79">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489A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39249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7EC4904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34979C7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1D8396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951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D1011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250D070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411F4A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42185B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C08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131BE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6A9BBAF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30584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38E8FDF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64ACD5F0">
      <w:pPr>
        <w:pStyle w:val="10"/>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4DE2C910">
      <w:pPr>
        <w:pStyle w:val="10"/>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4DFC3A64">
      <w:pPr>
        <w:pStyle w:val="10"/>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D9CC07E">
      <w:pPr>
        <w:pStyle w:val="10"/>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6AA303FE">
      <w:pPr>
        <w:pStyle w:val="10"/>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6DD4813B">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33E39A3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2B20D5A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7057335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1D2902ED">
      <w:pPr>
        <w:jc w:val="center"/>
        <w:rPr>
          <w:rFonts w:hint="eastAsia" w:ascii="仿宋" w:hAnsi="仿宋" w:eastAsia="仿宋" w:cs="仿宋"/>
          <w:b/>
          <w:kern w:val="0"/>
          <w:sz w:val="32"/>
          <w:szCs w:val="32"/>
        </w:rPr>
      </w:pPr>
    </w:p>
    <w:p w14:paraId="2D16B99B">
      <w:pPr>
        <w:jc w:val="center"/>
        <w:rPr>
          <w:rFonts w:hint="eastAsia" w:ascii="仿宋" w:hAnsi="仿宋" w:eastAsia="仿宋" w:cs="仿宋"/>
          <w:b/>
          <w:kern w:val="0"/>
          <w:sz w:val="32"/>
          <w:szCs w:val="32"/>
        </w:rPr>
      </w:pPr>
    </w:p>
    <w:p w14:paraId="0DC4F0D8">
      <w:pPr>
        <w:jc w:val="center"/>
        <w:rPr>
          <w:rFonts w:hint="eastAsia" w:ascii="仿宋" w:hAnsi="仿宋" w:eastAsia="仿宋" w:cs="仿宋"/>
          <w:b/>
          <w:kern w:val="0"/>
          <w:sz w:val="32"/>
          <w:szCs w:val="32"/>
        </w:rPr>
      </w:pPr>
    </w:p>
    <w:p w14:paraId="74E9AC68">
      <w:pPr>
        <w:jc w:val="center"/>
        <w:rPr>
          <w:rFonts w:hint="eastAsia" w:ascii="仿宋" w:hAnsi="仿宋" w:eastAsia="仿宋" w:cs="仿宋"/>
          <w:b/>
          <w:kern w:val="0"/>
          <w:sz w:val="32"/>
          <w:szCs w:val="32"/>
        </w:rPr>
      </w:pPr>
    </w:p>
    <w:p w14:paraId="31EEE82B">
      <w:pPr>
        <w:jc w:val="center"/>
        <w:rPr>
          <w:rFonts w:hint="eastAsia" w:ascii="仿宋" w:hAnsi="仿宋" w:eastAsia="仿宋" w:cs="仿宋"/>
          <w:b/>
          <w:kern w:val="0"/>
          <w:sz w:val="32"/>
          <w:szCs w:val="32"/>
        </w:rPr>
      </w:pPr>
    </w:p>
    <w:p w14:paraId="7F6CDD30">
      <w:pPr>
        <w:jc w:val="center"/>
        <w:rPr>
          <w:rFonts w:hint="eastAsia" w:ascii="仿宋" w:hAnsi="仿宋" w:eastAsia="仿宋" w:cs="仿宋"/>
          <w:b/>
          <w:kern w:val="0"/>
          <w:sz w:val="32"/>
          <w:szCs w:val="32"/>
        </w:rPr>
      </w:pPr>
    </w:p>
    <w:p w14:paraId="22FB6520">
      <w:pPr>
        <w:jc w:val="center"/>
        <w:rPr>
          <w:rFonts w:hint="eastAsia" w:ascii="仿宋" w:hAnsi="仿宋" w:eastAsia="仿宋" w:cs="仿宋"/>
          <w:b/>
          <w:kern w:val="0"/>
          <w:sz w:val="32"/>
          <w:szCs w:val="32"/>
        </w:rPr>
      </w:pPr>
    </w:p>
    <w:p w14:paraId="185D54A9">
      <w:pPr>
        <w:ind w:firstLine="2891" w:firstLineChars="900"/>
        <w:rPr>
          <w:rFonts w:hint="eastAsia" w:ascii="仿宋" w:hAnsi="仿宋" w:eastAsia="仿宋" w:cs="仿宋"/>
          <w:b/>
          <w:bCs/>
          <w:sz w:val="32"/>
          <w:szCs w:val="32"/>
        </w:rPr>
      </w:pPr>
    </w:p>
    <w:p w14:paraId="09142483">
      <w:pPr>
        <w:ind w:firstLine="2891" w:firstLineChars="900"/>
        <w:rPr>
          <w:rFonts w:hint="eastAsia" w:ascii="仿宋" w:hAnsi="仿宋" w:eastAsia="仿宋" w:cs="仿宋"/>
          <w:b/>
          <w:bCs/>
          <w:sz w:val="32"/>
          <w:szCs w:val="32"/>
        </w:rPr>
      </w:pPr>
    </w:p>
    <w:p w14:paraId="0AB4670F">
      <w:pPr>
        <w:spacing w:line="360" w:lineRule="auto"/>
        <w:jc w:val="both"/>
        <w:rPr>
          <w:rFonts w:hint="eastAsia" w:ascii="仿宋" w:hAnsi="仿宋" w:eastAsia="仿宋" w:cs="仿宋"/>
          <w:b/>
          <w:bCs/>
          <w:sz w:val="24"/>
        </w:rPr>
      </w:pPr>
    </w:p>
    <w:p w14:paraId="585E07D2">
      <w:pPr>
        <w:spacing w:line="360" w:lineRule="auto"/>
        <w:jc w:val="center"/>
        <w:rPr>
          <w:rFonts w:hint="eastAsia" w:ascii="仿宋" w:hAnsi="仿宋" w:eastAsia="仿宋" w:cs="仿宋"/>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055ECF7">
      <w:pPr>
        <w:spacing w:line="360" w:lineRule="auto"/>
        <w:jc w:val="center"/>
        <w:outlineLvl w:val="0"/>
        <w:rPr>
          <w:rFonts w:hint="eastAsia" w:ascii="仿宋" w:hAnsi="仿宋" w:eastAsia="仿宋" w:cs="仿宋"/>
          <w:b/>
          <w:kern w:val="0"/>
          <w:sz w:val="36"/>
          <w:szCs w:val="36"/>
        </w:rPr>
      </w:pPr>
    </w:p>
    <w:p w14:paraId="757BB78E">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F8B930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C14E86A">
      <w:pPr>
        <w:spacing w:line="360" w:lineRule="auto"/>
        <w:jc w:val="center"/>
        <w:outlineLvl w:val="0"/>
        <w:rPr>
          <w:rFonts w:hint="eastAsia" w:ascii="仿宋" w:hAnsi="仿宋" w:eastAsia="仿宋" w:cs="仿宋"/>
          <w:b/>
          <w:kern w:val="0"/>
          <w:sz w:val="36"/>
          <w:szCs w:val="36"/>
        </w:rPr>
      </w:pPr>
    </w:p>
    <w:p w14:paraId="20D60726">
      <w:pPr>
        <w:snapToGrid w:val="0"/>
        <w:spacing w:line="360" w:lineRule="auto"/>
        <w:rPr>
          <w:rFonts w:hint="eastAsia" w:ascii="仿宋" w:hAnsi="仿宋" w:eastAsia="仿宋" w:cs="仿宋"/>
          <w:sz w:val="24"/>
        </w:rPr>
      </w:pPr>
      <w:r>
        <w:rPr>
          <w:rFonts w:hint="eastAsia" w:ascii="仿宋" w:hAnsi="仿宋" w:eastAsia="仿宋" w:cs="仿宋"/>
          <w:sz w:val="24"/>
        </w:rPr>
        <w:t>（1）开标一览表………………………………………………………………（页码）</w:t>
      </w:r>
    </w:p>
    <w:p w14:paraId="5201D74A">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中小企业声明函（如需）……………………………………………………（页码）</w:t>
      </w:r>
    </w:p>
    <w:p w14:paraId="0D019BB6">
      <w:pPr>
        <w:snapToGrid w:val="0"/>
        <w:spacing w:line="360" w:lineRule="auto"/>
        <w:ind w:right="480"/>
        <w:jc w:val="center"/>
        <w:rPr>
          <w:rFonts w:hint="eastAsia" w:ascii="仿宋" w:hAnsi="仿宋" w:eastAsia="仿宋" w:cs="仿宋"/>
          <w:b/>
          <w:kern w:val="0"/>
          <w:sz w:val="32"/>
          <w:szCs w:val="32"/>
        </w:rPr>
      </w:pPr>
    </w:p>
    <w:p w14:paraId="17C87136">
      <w:pPr>
        <w:snapToGrid w:val="0"/>
        <w:spacing w:line="360" w:lineRule="auto"/>
        <w:ind w:right="480"/>
        <w:jc w:val="center"/>
        <w:rPr>
          <w:rFonts w:hint="eastAsia" w:ascii="仿宋" w:hAnsi="仿宋" w:eastAsia="仿宋" w:cs="仿宋"/>
          <w:b/>
          <w:kern w:val="0"/>
          <w:sz w:val="32"/>
          <w:szCs w:val="32"/>
        </w:rPr>
      </w:pPr>
    </w:p>
    <w:p w14:paraId="51522F40">
      <w:pPr>
        <w:snapToGrid w:val="0"/>
        <w:spacing w:line="360" w:lineRule="auto"/>
        <w:ind w:right="480"/>
        <w:jc w:val="center"/>
        <w:rPr>
          <w:rFonts w:hint="eastAsia" w:ascii="仿宋" w:hAnsi="仿宋" w:eastAsia="仿宋" w:cs="仿宋"/>
          <w:b/>
          <w:kern w:val="0"/>
          <w:sz w:val="32"/>
          <w:szCs w:val="32"/>
        </w:rPr>
      </w:pPr>
    </w:p>
    <w:p w14:paraId="6AC0F2B4">
      <w:pPr>
        <w:snapToGrid w:val="0"/>
        <w:spacing w:line="360" w:lineRule="auto"/>
        <w:ind w:right="480"/>
        <w:jc w:val="center"/>
        <w:rPr>
          <w:rFonts w:hint="eastAsia" w:ascii="仿宋" w:hAnsi="仿宋" w:eastAsia="仿宋" w:cs="仿宋"/>
          <w:b/>
          <w:kern w:val="0"/>
          <w:sz w:val="32"/>
          <w:szCs w:val="32"/>
        </w:rPr>
      </w:pPr>
    </w:p>
    <w:p w14:paraId="18053ADA">
      <w:pPr>
        <w:snapToGrid w:val="0"/>
        <w:spacing w:line="360" w:lineRule="auto"/>
        <w:ind w:right="480"/>
        <w:jc w:val="center"/>
        <w:rPr>
          <w:rFonts w:hint="eastAsia" w:ascii="仿宋" w:hAnsi="仿宋" w:eastAsia="仿宋" w:cs="仿宋"/>
          <w:b/>
          <w:kern w:val="0"/>
          <w:sz w:val="32"/>
          <w:szCs w:val="32"/>
        </w:rPr>
      </w:pPr>
    </w:p>
    <w:p w14:paraId="10451312">
      <w:pPr>
        <w:snapToGrid w:val="0"/>
        <w:spacing w:line="360" w:lineRule="auto"/>
        <w:ind w:right="480"/>
        <w:jc w:val="center"/>
        <w:rPr>
          <w:rFonts w:hint="eastAsia" w:ascii="仿宋" w:hAnsi="仿宋" w:eastAsia="仿宋" w:cs="仿宋"/>
          <w:b/>
          <w:kern w:val="0"/>
          <w:sz w:val="32"/>
          <w:szCs w:val="32"/>
        </w:rPr>
      </w:pPr>
    </w:p>
    <w:p w14:paraId="1A48B2D4">
      <w:pPr>
        <w:snapToGrid w:val="0"/>
        <w:spacing w:line="360" w:lineRule="auto"/>
        <w:ind w:right="480"/>
        <w:jc w:val="center"/>
        <w:rPr>
          <w:rFonts w:hint="eastAsia" w:ascii="仿宋" w:hAnsi="仿宋" w:eastAsia="仿宋" w:cs="仿宋"/>
          <w:b/>
          <w:kern w:val="0"/>
          <w:sz w:val="32"/>
          <w:szCs w:val="32"/>
        </w:rPr>
      </w:pPr>
    </w:p>
    <w:p w14:paraId="3DE37634">
      <w:pPr>
        <w:snapToGrid w:val="0"/>
        <w:spacing w:line="360" w:lineRule="auto"/>
        <w:ind w:right="480"/>
        <w:jc w:val="center"/>
        <w:rPr>
          <w:rFonts w:hint="eastAsia" w:ascii="仿宋" w:hAnsi="仿宋" w:eastAsia="仿宋" w:cs="仿宋"/>
          <w:b/>
          <w:kern w:val="0"/>
          <w:sz w:val="32"/>
          <w:szCs w:val="32"/>
        </w:rPr>
      </w:pPr>
    </w:p>
    <w:p w14:paraId="0E17F3B1">
      <w:pPr>
        <w:snapToGrid w:val="0"/>
        <w:spacing w:line="360" w:lineRule="auto"/>
        <w:ind w:right="480"/>
        <w:jc w:val="center"/>
        <w:rPr>
          <w:rFonts w:hint="eastAsia" w:ascii="仿宋" w:hAnsi="仿宋" w:eastAsia="仿宋" w:cs="仿宋"/>
          <w:b/>
          <w:kern w:val="0"/>
          <w:sz w:val="32"/>
          <w:szCs w:val="32"/>
        </w:rPr>
      </w:pPr>
    </w:p>
    <w:p w14:paraId="547A654E">
      <w:pPr>
        <w:snapToGrid w:val="0"/>
        <w:spacing w:line="360" w:lineRule="auto"/>
        <w:ind w:right="480"/>
        <w:jc w:val="center"/>
        <w:rPr>
          <w:rFonts w:hint="eastAsia" w:ascii="仿宋" w:hAnsi="仿宋" w:eastAsia="仿宋" w:cs="仿宋"/>
          <w:b/>
          <w:kern w:val="0"/>
          <w:sz w:val="32"/>
          <w:szCs w:val="32"/>
        </w:rPr>
      </w:pPr>
    </w:p>
    <w:p w14:paraId="45F55694">
      <w:pPr>
        <w:snapToGrid w:val="0"/>
        <w:spacing w:line="360" w:lineRule="auto"/>
        <w:ind w:right="480"/>
        <w:jc w:val="center"/>
        <w:rPr>
          <w:rFonts w:hint="eastAsia" w:ascii="仿宋" w:hAnsi="仿宋" w:eastAsia="仿宋" w:cs="仿宋"/>
          <w:b/>
          <w:kern w:val="0"/>
          <w:sz w:val="32"/>
          <w:szCs w:val="32"/>
        </w:rPr>
      </w:pPr>
    </w:p>
    <w:p w14:paraId="45D9570F">
      <w:pPr>
        <w:snapToGrid w:val="0"/>
        <w:spacing w:line="360" w:lineRule="auto"/>
        <w:ind w:right="480"/>
        <w:jc w:val="center"/>
        <w:rPr>
          <w:rFonts w:hint="eastAsia" w:ascii="仿宋" w:hAnsi="仿宋" w:eastAsia="仿宋" w:cs="仿宋"/>
          <w:b/>
          <w:kern w:val="0"/>
          <w:sz w:val="32"/>
          <w:szCs w:val="32"/>
        </w:rPr>
      </w:pPr>
    </w:p>
    <w:p w14:paraId="3A914670">
      <w:pPr>
        <w:snapToGrid w:val="0"/>
        <w:spacing w:line="360" w:lineRule="auto"/>
        <w:ind w:right="480"/>
        <w:jc w:val="center"/>
        <w:rPr>
          <w:rFonts w:hint="eastAsia" w:ascii="仿宋" w:hAnsi="仿宋" w:eastAsia="仿宋" w:cs="仿宋"/>
          <w:b/>
          <w:kern w:val="0"/>
          <w:sz w:val="32"/>
          <w:szCs w:val="32"/>
        </w:rPr>
      </w:pPr>
    </w:p>
    <w:p w14:paraId="03DB6256">
      <w:pPr>
        <w:snapToGrid w:val="0"/>
        <w:spacing w:line="360" w:lineRule="auto"/>
        <w:ind w:right="480"/>
        <w:jc w:val="center"/>
        <w:rPr>
          <w:rFonts w:hint="eastAsia" w:ascii="仿宋" w:hAnsi="仿宋" w:eastAsia="仿宋" w:cs="仿宋"/>
          <w:b/>
          <w:kern w:val="0"/>
          <w:sz w:val="32"/>
          <w:szCs w:val="32"/>
        </w:rPr>
      </w:pPr>
    </w:p>
    <w:p w14:paraId="498EBAC7">
      <w:pPr>
        <w:snapToGrid w:val="0"/>
        <w:spacing w:line="360" w:lineRule="auto"/>
        <w:ind w:right="480"/>
        <w:jc w:val="center"/>
        <w:rPr>
          <w:rFonts w:hint="eastAsia" w:ascii="仿宋" w:hAnsi="仿宋" w:eastAsia="仿宋" w:cs="仿宋"/>
          <w:b/>
          <w:kern w:val="0"/>
          <w:sz w:val="32"/>
          <w:szCs w:val="32"/>
        </w:rPr>
      </w:pPr>
    </w:p>
    <w:p w14:paraId="3D8C4D17">
      <w:pPr>
        <w:pStyle w:val="3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5347D30">
      <w:pPr>
        <w:pStyle w:val="34"/>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rPr>
      </w:pPr>
      <w:r>
        <w:rPr>
          <w:rFonts w:hint="eastAsia" w:ascii="仿宋" w:hAnsi="仿宋" w:eastAsia="仿宋" w:cs="仿宋"/>
          <w:b/>
          <w:bCs w:val="0"/>
          <w:color w:val="auto"/>
          <w:kern w:val="2"/>
          <w:sz w:val="32"/>
          <w:szCs w:val="32"/>
          <w:lang w:val="en-US" w:eastAsia="zh-CN"/>
        </w:rPr>
        <w:t>一、</w:t>
      </w:r>
      <w:r>
        <w:rPr>
          <w:rFonts w:hint="eastAsia" w:ascii="仿宋" w:hAnsi="仿宋" w:eastAsia="仿宋" w:cs="仿宋"/>
          <w:b/>
          <w:bCs w:val="0"/>
          <w:color w:val="auto"/>
          <w:kern w:val="2"/>
          <w:sz w:val="32"/>
          <w:szCs w:val="32"/>
        </w:rPr>
        <w:t>开标一览表</w:t>
      </w:r>
    </w:p>
    <w:p w14:paraId="244B2AE3">
      <w:pPr>
        <w:jc w:val="center"/>
        <w:rPr>
          <w:rFonts w:hint="eastAsia" w:ascii="仿宋" w:hAnsi="仿宋" w:eastAsia="仿宋" w:cs="仿宋"/>
        </w:rPr>
      </w:pPr>
      <w:r>
        <w:rPr>
          <w:rFonts w:hint="eastAsia" w:ascii="仿宋" w:hAnsi="仿宋" w:eastAsia="仿宋" w:cs="仿宋"/>
          <w:b/>
          <w:sz w:val="28"/>
          <w:szCs w:val="28"/>
        </w:rPr>
        <w:t>开标一览表</w:t>
      </w:r>
    </w:p>
    <w:p w14:paraId="2789BEFF">
      <w:pPr>
        <w:spacing w:line="360" w:lineRule="auto"/>
        <w:rPr>
          <w:rFonts w:hint="eastAsia" w:ascii="仿宋" w:hAnsi="仿宋" w:eastAsia="仿宋" w:cs="仿宋"/>
          <w:sz w:val="28"/>
          <w:szCs w:val="28"/>
        </w:rPr>
      </w:pPr>
    </w:p>
    <w:p w14:paraId="290C59B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项目名称：</w:t>
      </w:r>
    </w:p>
    <w:p w14:paraId="4F0142B4">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项目编号：</w:t>
      </w:r>
      <w:r>
        <w:rPr>
          <w:rFonts w:hint="eastAsia" w:ascii="仿宋" w:hAnsi="仿宋" w:eastAsia="仿宋" w:cs="仿宋"/>
          <w:sz w:val="28"/>
          <w:szCs w:val="28"/>
          <w:lang w:val="en-US" w:eastAsia="zh-CN"/>
        </w:rPr>
        <w:t xml:space="preserve"> </w:t>
      </w:r>
    </w:p>
    <w:tbl>
      <w:tblPr>
        <w:tblStyle w:val="16"/>
        <w:tblW w:w="10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705"/>
        <w:gridCol w:w="2705"/>
        <w:gridCol w:w="3898"/>
      </w:tblGrid>
      <w:tr w14:paraId="7E38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221" w:type="dxa"/>
            <w:vAlign w:val="center"/>
          </w:tcPr>
          <w:p w14:paraId="2C73DAD6">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标的</w:t>
            </w:r>
          </w:p>
        </w:tc>
        <w:tc>
          <w:tcPr>
            <w:tcW w:w="2705" w:type="dxa"/>
            <w:vAlign w:val="center"/>
          </w:tcPr>
          <w:p w14:paraId="3FA50B22">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标项内容</w:t>
            </w:r>
          </w:p>
        </w:tc>
        <w:tc>
          <w:tcPr>
            <w:tcW w:w="2705" w:type="dxa"/>
            <w:vAlign w:val="center"/>
          </w:tcPr>
          <w:p w14:paraId="1584AE88">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采购金额</w:t>
            </w:r>
          </w:p>
        </w:tc>
        <w:tc>
          <w:tcPr>
            <w:tcW w:w="3898" w:type="dxa"/>
            <w:vAlign w:val="center"/>
          </w:tcPr>
          <w:p w14:paraId="2415659B">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投标</w:t>
            </w:r>
            <w:r>
              <w:rPr>
                <w:rFonts w:hint="eastAsia" w:ascii="仿宋" w:hAnsi="仿宋" w:eastAsia="仿宋" w:cs="仿宋"/>
                <w:b/>
                <w:color w:val="auto"/>
                <w:sz w:val="28"/>
                <w:szCs w:val="28"/>
                <w:lang w:val="en-US" w:eastAsia="zh-CN"/>
              </w:rPr>
              <w:t>报价</w:t>
            </w:r>
          </w:p>
        </w:tc>
      </w:tr>
      <w:tr w14:paraId="121F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21" w:type="dxa"/>
            <w:vMerge w:val="restart"/>
            <w:vAlign w:val="center"/>
          </w:tcPr>
          <w:p w14:paraId="1BE1FBD4">
            <w:pPr>
              <w:jc w:val="center"/>
              <w:rPr>
                <w:rFonts w:hint="eastAsia" w:ascii="仿宋" w:hAnsi="仿宋" w:eastAsia="仿宋" w:cs="仿宋"/>
                <w:b/>
                <w:color w:val="auto"/>
                <w:sz w:val="28"/>
                <w:szCs w:val="28"/>
                <w:lang w:val="en-US" w:eastAsia="zh-CN"/>
              </w:rPr>
            </w:pPr>
            <w:r>
              <w:rPr>
                <w:rFonts w:hint="eastAsia" w:ascii="仿宋" w:hAnsi="仿宋" w:eastAsia="仿宋" w:cs="仿宋"/>
                <w:b w:val="0"/>
                <w:bCs/>
                <w:color w:val="auto"/>
                <w:sz w:val="28"/>
                <w:szCs w:val="28"/>
                <w:lang w:val="en-US" w:eastAsia="zh-CN"/>
              </w:rPr>
              <w:t>标的1</w:t>
            </w:r>
          </w:p>
        </w:tc>
        <w:tc>
          <w:tcPr>
            <w:tcW w:w="2705" w:type="dxa"/>
            <w:vMerge w:val="restart"/>
            <w:vAlign w:val="center"/>
          </w:tcPr>
          <w:p w14:paraId="0B0A3115">
            <w:pPr>
              <w:jc w:val="center"/>
              <w:rPr>
                <w:rFonts w:hint="eastAsia" w:ascii="仿宋" w:hAnsi="仿宋" w:eastAsia="仿宋" w:cs="仿宋"/>
                <w:color w:val="auto"/>
                <w:sz w:val="28"/>
                <w:szCs w:val="28"/>
              </w:rPr>
            </w:pPr>
          </w:p>
        </w:tc>
        <w:tc>
          <w:tcPr>
            <w:tcW w:w="2705" w:type="dxa"/>
            <w:vMerge w:val="restart"/>
            <w:vAlign w:val="center"/>
          </w:tcPr>
          <w:p w14:paraId="5F08B241">
            <w:pPr>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元</w:t>
            </w:r>
          </w:p>
        </w:tc>
        <w:tc>
          <w:tcPr>
            <w:tcW w:w="3898" w:type="dxa"/>
            <w:vAlign w:val="center"/>
          </w:tcPr>
          <w:p w14:paraId="027BC859">
            <w:pPr>
              <w:spacing w:line="700" w:lineRule="exact"/>
              <w:jc w:val="left"/>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lang w:eastAsia="zh-CN"/>
              </w:rPr>
              <w:t>小写：</w:t>
            </w:r>
            <w:r>
              <w:rPr>
                <w:rFonts w:hint="eastAsia" w:ascii="仿宋" w:hAnsi="仿宋" w:eastAsia="仿宋" w:cs="仿宋"/>
                <w:color w:val="auto"/>
                <w:sz w:val="28"/>
                <w:szCs w:val="28"/>
                <w:u w:val="single"/>
                <w:lang w:val="en-US" w:eastAsia="zh-CN"/>
              </w:rPr>
              <w:t xml:space="preserve">        </w:t>
            </w:r>
          </w:p>
        </w:tc>
      </w:tr>
      <w:tr w14:paraId="7CA4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1" w:type="dxa"/>
            <w:vMerge w:val="continue"/>
            <w:vAlign w:val="center"/>
          </w:tcPr>
          <w:p w14:paraId="26E37F5B">
            <w:pPr>
              <w:spacing w:line="700" w:lineRule="exact"/>
              <w:jc w:val="right"/>
            </w:pPr>
          </w:p>
        </w:tc>
        <w:tc>
          <w:tcPr>
            <w:tcW w:w="2705" w:type="dxa"/>
            <w:vMerge w:val="continue"/>
            <w:vAlign w:val="center"/>
          </w:tcPr>
          <w:p w14:paraId="75BB7930">
            <w:pPr>
              <w:spacing w:line="700" w:lineRule="exact"/>
              <w:jc w:val="right"/>
            </w:pPr>
          </w:p>
        </w:tc>
        <w:tc>
          <w:tcPr>
            <w:tcW w:w="2705" w:type="dxa"/>
            <w:vMerge w:val="continue"/>
            <w:vAlign w:val="center"/>
          </w:tcPr>
          <w:p w14:paraId="26E135A6">
            <w:pPr>
              <w:spacing w:line="700" w:lineRule="exact"/>
              <w:jc w:val="right"/>
            </w:pPr>
          </w:p>
        </w:tc>
        <w:tc>
          <w:tcPr>
            <w:tcW w:w="3898" w:type="dxa"/>
            <w:vAlign w:val="center"/>
          </w:tcPr>
          <w:p w14:paraId="2C222931">
            <w:pPr>
              <w:spacing w:line="700" w:lineRule="exact"/>
              <w:jc w:val="left"/>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lang w:eastAsia="zh-CN"/>
              </w:rPr>
              <w:t>大写：</w:t>
            </w:r>
            <w:r>
              <w:rPr>
                <w:rFonts w:hint="eastAsia" w:ascii="仿宋" w:hAnsi="仿宋" w:eastAsia="仿宋" w:cs="仿宋"/>
                <w:color w:val="auto"/>
                <w:sz w:val="28"/>
                <w:szCs w:val="28"/>
                <w:u w:val="single"/>
                <w:lang w:val="en-US" w:eastAsia="zh-CN"/>
              </w:rPr>
              <w:t xml:space="preserve">         </w:t>
            </w:r>
          </w:p>
        </w:tc>
      </w:tr>
    </w:tbl>
    <w:p w14:paraId="5D3B15B1">
      <w:pPr>
        <w:pStyle w:val="14"/>
        <w:rPr>
          <w:rFonts w:hint="eastAsia" w:ascii="仿宋" w:hAnsi="仿宋" w:eastAsia="仿宋" w:cs="仿宋"/>
        </w:rPr>
      </w:pPr>
    </w:p>
    <w:p w14:paraId="3670B58D">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en-US" w:eastAsia="zh-CN"/>
        </w:rPr>
        <w:t xml:space="preserve"> </w:t>
      </w:r>
      <w:r>
        <w:rPr>
          <w:rFonts w:hint="eastAsia" w:ascii="仿宋" w:hAnsi="仿宋" w:eastAsia="仿宋" w:cs="仿宋"/>
          <w:b/>
          <w:kern w:val="0"/>
          <w:sz w:val="24"/>
          <w:lang w:val="zh-CN"/>
        </w:rPr>
        <w:t>注：</w:t>
      </w:r>
    </w:p>
    <w:p w14:paraId="0F6BEE75">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1、投标人需按本表格式填写，单位统一均为人民币元。</w:t>
      </w:r>
    </w:p>
    <w:p w14:paraId="7E5FD18D">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2、有关本项目实施所涉及的一切费用均计入报价。采购人将以合同形式有偿取得 货物或服务，不接受投标人给予的赠品、回扣或者与采购无关的其他商品、服务，不得 出现“0 元 ”“免费赠送 ”等形式的无偿报价，否则视为投标文件含有采购人不能接受 的附加条件的，投标无效。</w:t>
      </w:r>
    </w:p>
    <w:p w14:paraId="04B4F135">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3、以上表格要求细分项目及报价，在“规格型号（或具体服务） ”一栏中，货物 类项目填写规格型号，服务类项目填写具体服务。</w:t>
      </w:r>
    </w:p>
    <w:p w14:paraId="19CAD198">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4、特别提示：采购代理机构将对项目名称和项目编号，中标供应商名称、地址和 中标金额，主要中标标的的名称、规格型号、数量、单价、服务要求等予以公示。</w:t>
      </w:r>
    </w:p>
    <w:p w14:paraId="6F6AA0EA">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5、符合招标文件中列明的可享受中小企业扶持政策的投标人，请填写中小企业声 明函。注：投标人提供的中小企业声明函内容不实的，属于提供虚假材料谋取中标、成 交，依照《中华人民共和国政府采购法》等国家有关规定追究相应责任。</w:t>
      </w:r>
    </w:p>
    <w:p w14:paraId="71A78820">
      <w:pPr>
        <w:spacing w:line="360" w:lineRule="auto"/>
        <w:ind w:firstLine="481"/>
        <w:jc w:val="left"/>
        <w:rPr>
          <w:rFonts w:hint="eastAsia" w:ascii="仿宋" w:hAnsi="仿宋" w:eastAsia="仿宋" w:cs="仿宋"/>
          <w:sz w:val="24"/>
          <w:szCs w:val="24"/>
          <w:lang w:val="en-US" w:eastAsia="zh-CN"/>
        </w:rPr>
      </w:pPr>
    </w:p>
    <w:p w14:paraId="26FADD03">
      <w:pPr>
        <w:snapToGrid w:val="0"/>
        <w:spacing w:line="360" w:lineRule="auto"/>
        <w:ind w:firstLine="9638" w:firstLineChars="4000"/>
        <w:rPr>
          <w:rFonts w:hint="eastAsia" w:ascii="仿宋" w:hAnsi="仿宋" w:eastAsia="仿宋" w:cs="仿宋"/>
          <w:b/>
          <w:kern w:val="0"/>
          <w:sz w:val="24"/>
          <w:lang w:val="zh-CN"/>
        </w:rPr>
      </w:pPr>
      <w:r>
        <w:rPr>
          <w:rFonts w:hint="eastAsia" w:ascii="仿宋" w:hAnsi="仿宋" w:eastAsia="仿宋" w:cs="仿宋"/>
          <w:b/>
          <w:kern w:val="0"/>
          <w:sz w:val="24"/>
          <w:lang w:val="zh-CN"/>
        </w:rPr>
        <w:t>投标人名称（电子签名）：</w:t>
      </w:r>
    </w:p>
    <w:p w14:paraId="46C917E2">
      <w:pPr>
        <w:snapToGrid w:val="0"/>
        <w:spacing w:line="360" w:lineRule="auto"/>
        <w:ind w:firstLine="9878" w:firstLineChars="4100"/>
        <w:rPr>
          <w:rFonts w:hint="eastAsia" w:ascii="仿宋" w:hAnsi="仿宋" w:eastAsia="仿宋" w:cs="仿宋"/>
          <w:kern w:val="2"/>
          <w:sz w:val="32"/>
          <w:szCs w:val="32"/>
        </w:rPr>
      </w:pPr>
      <w:r>
        <w:rPr>
          <w:rFonts w:hint="eastAsia" w:ascii="仿宋" w:hAnsi="仿宋" w:eastAsia="仿宋" w:cs="仿宋"/>
          <w:b/>
          <w:kern w:val="0"/>
          <w:sz w:val="24"/>
          <w:lang w:val="zh-CN"/>
        </w:rPr>
        <w:t>日  期：</w:t>
      </w:r>
    </w:p>
    <w:p w14:paraId="3047E0BA">
      <w:pPr>
        <w:pStyle w:val="3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3CE648A6">
      <w:pPr>
        <w:pStyle w:val="34"/>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31D865F1">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481AE063">
      <w:pPr>
        <w:pStyle w:val="34"/>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59E6016D">
      <w:pPr>
        <w:spacing w:line="360" w:lineRule="auto"/>
        <w:ind w:right="420" w:firstLine="3614" w:firstLineChars="1000"/>
        <w:rPr>
          <w:rFonts w:hint="eastAsia" w:ascii="仿宋" w:hAnsi="仿宋" w:eastAsia="仿宋" w:cs="仿宋"/>
          <w:b/>
          <w:kern w:val="0"/>
          <w:sz w:val="36"/>
          <w:szCs w:val="36"/>
        </w:rPr>
      </w:pPr>
    </w:p>
    <w:p w14:paraId="4A540704">
      <w:pPr>
        <w:spacing w:line="360" w:lineRule="auto"/>
        <w:ind w:right="420" w:firstLine="3614" w:firstLineChars="1000"/>
        <w:rPr>
          <w:rFonts w:hint="eastAsia" w:ascii="仿宋" w:hAnsi="仿宋" w:eastAsia="仿宋" w:cs="仿宋"/>
          <w:b/>
          <w:kern w:val="0"/>
          <w:sz w:val="36"/>
          <w:szCs w:val="36"/>
        </w:rPr>
      </w:pPr>
    </w:p>
    <w:p w14:paraId="57AC199C">
      <w:pPr>
        <w:spacing w:line="360" w:lineRule="auto"/>
        <w:ind w:right="420" w:firstLine="3614" w:firstLineChars="1000"/>
        <w:rPr>
          <w:rFonts w:hint="eastAsia" w:ascii="仿宋" w:hAnsi="仿宋" w:eastAsia="仿宋" w:cs="仿宋"/>
          <w:b/>
          <w:kern w:val="0"/>
          <w:sz w:val="36"/>
          <w:szCs w:val="36"/>
        </w:rPr>
      </w:pPr>
    </w:p>
    <w:p w14:paraId="3A97A650">
      <w:pPr>
        <w:spacing w:line="360" w:lineRule="auto"/>
        <w:ind w:right="420" w:firstLine="3614" w:firstLineChars="1000"/>
        <w:rPr>
          <w:rFonts w:hint="eastAsia" w:ascii="仿宋" w:hAnsi="仿宋" w:eastAsia="仿宋" w:cs="仿宋"/>
          <w:b/>
          <w:kern w:val="0"/>
          <w:sz w:val="36"/>
          <w:szCs w:val="36"/>
        </w:rPr>
      </w:pPr>
    </w:p>
    <w:p w14:paraId="04421774">
      <w:pPr>
        <w:spacing w:line="360" w:lineRule="auto"/>
        <w:ind w:right="420" w:firstLine="3614" w:firstLineChars="1000"/>
        <w:rPr>
          <w:rFonts w:hint="eastAsia" w:ascii="仿宋" w:hAnsi="仿宋" w:eastAsia="仿宋" w:cs="仿宋"/>
          <w:b/>
          <w:kern w:val="0"/>
          <w:sz w:val="36"/>
          <w:szCs w:val="36"/>
        </w:rPr>
      </w:pPr>
    </w:p>
    <w:p w14:paraId="42425852">
      <w:pPr>
        <w:spacing w:line="360" w:lineRule="auto"/>
        <w:ind w:right="420" w:firstLine="3614" w:firstLineChars="1000"/>
        <w:rPr>
          <w:rFonts w:hint="eastAsia" w:ascii="仿宋" w:hAnsi="仿宋" w:eastAsia="仿宋" w:cs="仿宋"/>
          <w:b/>
          <w:kern w:val="0"/>
          <w:sz w:val="36"/>
          <w:szCs w:val="36"/>
        </w:rPr>
      </w:pPr>
    </w:p>
    <w:p w14:paraId="375CA10E">
      <w:pPr>
        <w:spacing w:line="360" w:lineRule="auto"/>
        <w:ind w:right="420" w:firstLine="3614" w:firstLineChars="1000"/>
        <w:rPr>
          <w:rFonts w:hint="eastAsia" w:ascii="仿宋" w:hAnsi="仿宋" w:eastAsia="仿宋" w:cs="仿宋"/>
          <w:b/>
          <w:kern w:val="0"/>
          <w:sz w:val="36"/>
          <w:szCs w:val="36"/>
        </w:rPr>
      </w:pPr>
    </w:p>
    <w:p w14:paraId="04E0021D">
      <w:pPr>
        <w:spacing w:line="360" w:lineRule="auto"/>
        <w:ind w:right="420" w:firstLine="3614" w:firstLineChars="1000"/>
        <w:rPr>
          <w:rFonts w:hint="eastAsia" w:ascii="仿宋" w:hAnsi="仿宋" w:eastAsia="仿宋" w:cs="仿宋"/>
          <w:b/>
          <w:kern w:val="0"/>
          <w:sz w:val="36"/>
          <w:szCs w:val="36"/>
        </w:rPr>
      </w:pPr>
    </w:p>
    <w:p w14:paraId="57F3E359">
      <w:pPr>
        <w:spacing w:line="360" w:lineRule="auto"/>
        <w:ind w:right="420" w:firstLine="3614" w:firstLineChars="1000"/>
        <w:rPr>
          <w:rFonts w:hint="eastAsia" w:ascii="仿宋" w:hAnsi="仿宋" w:eastAsia="仿宋" w:cs="仿宋"/>
          <w:b/>
          <w:kern w:val="0"/>
          <w:sz w:val="36"/>
          <w:szCs w:val="36"/>
        </w:rPr>
      </w:pPr>
    </w:p>
    <w:p w14:paraId="384D1492">
      <w:pPr>
        <w:spacing w:line="360" w:lineRule="auto"/>
        <w:ind w:right="420" w:firstLine="3614" w:firstLineChars="1000"/>
        <w:rPr>
          <w:rFonts w:hint="eastAsia" w:ascii="仿宋" w:hAnsi="仿宋" w:eastAsia="仿宋" w:cs="仿宋"/>
          <w:b/>
          <w:kern w:val="0"/>
          <w:sz w:val="36"/>
          <w:szCs w:val="36"/>
        </w:rPr>
      </w:pPr>
    </w:p>
    <w:p w14:paraId="3E37E586">
      <w:pPr>
        <w:spacing w:line="360" w:lineRule="auto"/>
        <w:ind w:right="420" w:firstLine="3614" w:firstLineChars="1000"/>
        <w:rPr>
          <w:rFonts w:hint="eastAsia" w:ascii="仿宋" w:hAnsi="仿宋" w:eastAsia="仿宋" w:cs="仿宋"/>
          <w:b/>
          <w:kern w:val="0"/>
          <w:sz w:val="36"/>
          <w:szCs w:val="36"/>
        </w:rPr>
      </w:pPr>
    </w:p>
    <w:p w14:paraId="77D4CFE1">
      <w:pPr>
        <w:spacing w:line="360" w:lineRule="auto"/>
        <w:ind w:right="420" w:firstLine="3614" w:firstLineChars="1000"/>
        <w:rPr>
          <w:rFonts w:hint="eastAsia" w:ascii="仿宋" w:hAnsi="仿宋" w:eastAsia="仿宋" w:cs="仿宋"/>
          <w:b/>
          <w:kern w:val="0"/>
          <w:sz w:val="36"/>
          <w:szCs w:val="36"/>
        </w:rPr>
      </w:pPr>
    </w:p>
    <w:p w14:paraId="44C8C25B">
      <w:pPr>
        <w:spacing w:line="360" w:lineRule="auto"/>
        <w:ind w:right="420" w:firstLine="3614" w:firstLineChars="1000"/>
        <w:rPr>
          <w:rFonts w:hint="eastAsia" w:ascii="仿宋" w:hAnsi="仿宋" w:eastAsia="仿宋" w:cs="仿宋"/>
          <w:b/>
          <w:kern w:val="0"/>
          <w:sz w:val="36"/>
          <w:szCs w:val="36"/>
        </w:rPr>
      </w:pPr>
    </w:p>
    <w:p w14:paraId="5A69A9F6">
      <w:pPr>
        <w:spacing w:line="360" w:lineRule="auto"/>
        <w:ind w:right="420" w:firstLine="3614" w:firstLineChars="1000"/>
        <w:rPr>
          <w:rFonts w:hint="eastAsia" w:ascii="仿宋" w:hAnsi="仿宋" w:eastAsia="仿宋" w:cs="仿宋"/>
          <w:b/>
          <w:kern w:val="0"/>
          <w:sz w:val="36"/>
          <w:szCs w:val="36"/>
        </w:rPr>
      </w:pPr>
    </w:p>
    <w:p w14:paraId="1BB45EC0">
      <w:pPr>
        <w:spacing w:line="360" w:lineRule="auto"/>
        <w:ind w:right="420" w:firstLine="3614" w:firstLineChars="1000"/>
        <w:rPr>
          <w:rFonts w:hint="eastAsia" w:ascii="仿宋" w:hAnsi="仿宋" w:eastAsia="仿宋" w:cs="仿宋"/>
          <w:b/>
          <w:kern w:val="0"/>
          <w:sz w:val="36"/>
          <w:szCs w:val="36"/>
        </w:rPr>
      </w:pPr>
    </w:p>
    <w:p w14:paraId="0EF62D09">
      <w:pPr>
        <w:spacing w:line="360" w:lineRule="auto"/>
        <w:ind w:right="420" w:firstLine="3614" w:firstLineChars="1000"/>
        <w:rPr>
          <w:rFonts w:hint="eastAsia" w:ascii="仿宋" w:hAnsi="仿宋" w:eastAsia="仿宋" w:cs="仿宋"/>
          <w:b/>
          <w:kern w:val="0"/>
          <w:sz w:val="36"/>
          <w:szCs w:val="36"/>
        </w:rPr>
      </w:pPr>
    </w:p>
    <w:p w14:paraId="323A8BED">
      <w:pPr>
        <w:tabs>
          <w:tab w:val="left" w:pos="8085"/>
        </w:tabs>
        <w:spacing w:line="360" w:lineRule="auto"/>
        <w:ind w:firstLine="1285" w:firstLineChars="400"/>
        <w:jc w:val="left"/>
        <w:rPr>
          <w:rFonts w:hint="eastAsia" w:ascii="仿宋" w:hAnsi="仿宋" w:eastAsia="仿宋" w:cs="仿宋"/>
          <w:b/>
          <w:sz w:val="32"/>
          <w:szCs w:val="32"/>
        </w:rPr>
      </w:pPr>
    </w:p>
    <w:p w14:paraId="002529BB">
      <w:pPr>
        <w:tabs>
          <w:tab w:val="left" w:pos="8085"/>
        </w:tabs>
        <w:spacing w:line="360" w:lineRule="auto"/>
        <w:jc w:val="left"/>
        <w:rPr>
          <w:rFonts w:hint="eastAsia" w:ascii="仿宋" w:hAnsi="仿宋" w:eastAsia="仿宋" w:cs="仿宋"/>
          <w:b/>
          <w:sz w:val="32"/>
          <w:szCs w:val="32"/>
        </w:rPr>
        <w:sectPr>
          <w:headerReference r:id="rId17" w:type="default"/>
          <w:footerReference r:id="rId1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98DA2F8">
      <w:pPr>
        <w:spacing w:before="139" w:line="223" w:lineRule="auto"/>
        <w:outlineLvl w:val="0"/>
        <w:rPr>
          <w:rFonts w:ascii="宋体" w:hAnsi="宋体" w:eastAsia="宋体" w:cs="宋体"/>
          <w:b/>
          <w:bCs/>
          <w:spacing w:val="-20"/>
          <w:sz w:val="43"/>
          <w:szCs w:val="43"/>
        </w:rPr>
      </w:pPr>
    </w:p>
    <w:p w14:paraId="10C61D71">
      <w:pPr>
        <w:spacing w:before="139" w:line="223" w:lineRule="auto"/>
        <w:jc w:val="center"/>
        <w:outlineLvl w:val="0"/>
        <w:rPr>
          <w:rFonts w:ascii="宋体" w:hAnsi="宋体" w:eastAsia="宋体" w:cs="宋体"/>
          <w:sz w:val="43"/>
          <w:szCs w:val="43"/>
        </w:rPr>
      </w:pPr>
      <w:r>
        <w:rPr>
          <w:rFonts w:ascii="宋体" w:hAnsi="宋体" w:eastAsia="宋体" w:cs="宋体"/>
          <w:b/>
          <w:bCs/>
          <w:spacing w:val="-20"/>
          <w:sz w:val="43"/>
          <w:szCs w:val="43"/>
        </w:rPr>
        <w:t>附件</w:t>
      </w:r>
    </w:p>
    <w:p w14:paraId="7DDBF488">
      <w:pPr>
        <w:pStyle w:val="6"/>
        <w:spacing w:line="247" w:lineRule="auto"/>
      </w:pPr>
    </w:p>
    <w:p w14:paraId="627D74D6">
      <w:pPr>
        <w:pStyle w:val="6"/>
        <w:spacing w:line="247" w:lineRule="auto"/>
      </w:pPr>
    </w:p>
    <w:p w14:paraId="31D969A8">
      <w:pPr>
        <w:spacing w:line="360" w:lineRule="auto"/>
        <w:jc w:val="both"/>
        <w:rPr>
          <w:rFonts w:hint="eastAsia" w:ascii="仿宋" w:hAnsi="仿宋" w:eastAsia="仿宋" w:cs="仿宋"/>
          <w:b/>
          <w:spacing w:val="6"/>
          <w:sz w:val="32"/>
          <w:szCs w:val="32"/>
        </w:rPr>
      </w:pPr>
      <w:r>
        <w:rPr>
          <w:rFonts w:hint="eastAsia" w:ascii="仿宋" w:hAnsi="仿宋" w:eastAsia="仿宋" w:cs="仿宋"/>
          <w:b/>
          <w:spacing w:val="6"/>
          <w:sz w:val="32"/>
          <w:szCs w:val="32"/>
        </w:rPr>
        <w:t>附件 1：</w:t>
      </w:r>
    </w:p>
    <w:p w14:paraId="11CA4FD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52A6E5D7">
      <w:pPr>
        <w:pStyle w:val="6"/>
        <w:spacing w:line="243" w:lineRule="auto"/>
      </w:pPr>
    </w:p>
    <w:p w14:paraId="5F0329AF">
      <w:pPr>
        <w:pStyle w:val="6"/>
        <w:spacing w:line="243" w:lineRule="auto"/>
      </w:pPr>
    </w:p>
    <w:p w14:paraId="5D469C4A">
      <w:pPr>
        <w:pStyle w:val="6"/>
        <w:spacing w:line="243" w:lineRule="auto"/>
      </w:pPr>
    </w:p>
    <w:p w14:paraId="3A48019F">
      <w:pPr>
        <w:keepNext w:val="0"/>
        <w:keepLines w:val="0"/>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 采购政策的通知》（财库〔2017〕 141 号）的规定，本单位为符合条件的残疾人福利性 单位，且本单位参加        单位的       项目采购活动提供本单位制造的货物（由本单 位承担工程/提供服务），或者提供其他残疾人福利性单位制造的货物（不包括使用非 残疾人福利性单位注册商标的货物）。</w:t>
      </w:r>
    </w:p>
    <w:p w14:paraId="4EF082C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58AF37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4793DFC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013A145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2837F3E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2A2E87FC">
      <w:pPr>
        <w:keepNext w:val="0"/>
        <w:keepLines w:val="0"/>
        <w:pageBreakBefore w:val="0"/>
        <w:kinsoku/>
        <w:wordWrap/>
        <w:overflowPunct/>
        <w:topLinePunct w:val="0"/>
        <w:autoSpaceDE/>
        <w:autoSpaceDN/>
        <w:bidi w:val="0"/>
        <w:adjustRightInd w:val="0"/>
        <w:snapToGrid w:val="0"/>
        <w:spacing w:line="320" w:lineRule="exact"/>
        <w:ind w:firstLine="4320" w:firstLineChars="1800"/>
        <w:textAlignment w:val="auto"/>
        <w:rPr>
          <w:rFonts w:hint="eastAsia" w:ascii="仿宋" w:hAnsi="仿宋" w:eastAsia="仿宋" w:cs="仿宋"/>
          <w:sz w:val="24"/>
        </w:rPr>
      </w:pPr>
      <w:r>
        <w:rPr>
          <w:rFonts w:hint="eastAsia" w:ascii="仿宋" w:hAnsi="仿宋" w:eastAsia="仿宋" w:cs="仿宋"/>
          <w:sz w:val="24"/>
        </w:rPr>
        <w:t>投标人名称（电子签名）：</w:t>
      </w:r>
    </w:p>
    <w:p w14:paraId="4BB14D33">
      <w:pPr>
        <w:keepNext w:val="0"/>
        <w:keepLines w:val="0"/>
        <w:pageBreakBefore w:val="0"/>
        <w:kinsoku/>
        <w:wordWrap/>
        <w:overflowPunct/>
        <w:topLinePunct w:val="0"/>
        <w:autoSpaceDE/>
        <w:autoSpaceDN/>
        <w:bidi w:val="0"/>
        <w:adjustRightInd w:val="0"/>
        <w:snapToGrid w:val="0"/>
        <w:spacing w:line="320" w:lineRule="exact"/>
        <w:ind w:firstLine="5280" w:firstLineChars="2200"/>
        <w:textAlignment w:val="auto"/>
        <w:rPr>
          <w:rFonts w:hint="eastAsia" w:ascii="仿宋" w:hAnsi="仿宋" w:eastAsia="仿宋" w:cs="仿宋"/>
          <w:b/>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4"/>
        </w:rPr>
        <w:t>日期：</w:t>
      </w:r>
    </w:p>
    <w:p w14:paraId="3EB1B441">
      <w:pPr>
        <w:tabs>
          <w:tab w:val="left" w:pos="8085"/>
        </w:tabs>
        <w:spacing w:line="360" w:lineRule="auto"/>
        <w:jc w:val="left"/>
        <w:rPr>
          <w:rFonts w:hint="eastAsia" w:ascii="仿宋" w:hAnsi="仿宋" w:eastAsia="仿宋" w:cs="仿宋"/>
          <w:b/>
          <w:sz w:val="32"/>
          <w:szCs w:val="32"/>
        </w:rPr>
      </w:pPr>
    </w:p>
    <w:p w14:paraId="54D45BB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：质疑函范本及制作说明</w:t>
      </w:r>
    </w:p>
    <w:p w14:paraId="78D4040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101534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6494B13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0291DD8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4D822B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8E007B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CF3D2D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5A9DFF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A397C9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50638A5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644E682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4F1B22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1B4BFC7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1C8DCD8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1E943C7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2C1E754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A10AD5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48FDAF5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E836F9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5D52CF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3E3C676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5FBACD7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2E8D4DD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02F7713C">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21E6F134">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48824DE5">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704BC05C">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7D8F101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404603E2">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7D9176E">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D2A5BC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57F0571E">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4408B69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2A66F63">
      <w:pPr>
        <w:widowControl/>
        <w:spacing w:line="360" w:lineRule="auto"/>
        <w:ind w:firstLine="600" w:firstLineChars="200"/>
        <w:jc w:val="left"/>
        <w:rPr>
          <w:rFonts w:hint="eastAsia" w:ascii="仿宋" w:hAnsi="仿宋" w:eastAsia="仿宋" w:cs="仿宋"/>
          <w:sz w:val="30"/>
          <w:szCs w:val="30"/>
        </w:rPr>
      </w:pPr>
    </w:p>
    <w:p w14:paraId="27148787">
      <w:pPr>
        <w:spacing w:line="360" w:lineRule="auto"/>
        <w:jc w:val="center"/>
        <w:rPr>
          <w:rFonts w:hint="eastAsia" w:ascii="仿宋" w:hAnsi="仿宋" w:eastAsia="仿宋" w:cs="仿宋"/>
          <w:b/>
          <w:spacing w:val="6"/>
          <w:sz w:val="32"/>
          <w:szCs w:val="32"/>
        </w:rPr>
      </w:pPr>
    </w:p>
    <w:p w14:paraId="615E75A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：投诉书范本及制作说明</w:t>
      </w:r>
    </w:p>
    <w:p w14:paraId="64583FB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376047E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3849C18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9B011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5B0DDD">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7457123">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5BFADBE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ECEB51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09B2E2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DF4204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5CFF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EB161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4807FEA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8AB85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F70E0A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29DE21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017DA9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7EDA8C6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4EBACA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1FD2B8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5C5219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85FD05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B68771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29B9AA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7E46E963">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21A567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8CD2F42">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ED643A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423A47B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B95A27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AB133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23077B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0349FD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D09177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34048C2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667490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6563EA2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A90AE8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410F16E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1C27C59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2C4E4C4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D2F74B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614C435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2B8FC340">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CC0AEF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B813E7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34F39D9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6715A9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5322CF1F">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6821E5C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2EBD4549">
      <w:pPr>
        <w:spacing w:line="360" w:lineRule="auto"/>
        <w:rPr>
          <w:rFonts w:hint="eastAsia" w:ascii="仿宋" w:hAnsi="仿宋" w:eastAsia="仿宋" w:cs="仿宋"/>
          <w:b/>
          <w:sz w:val="24"/>
        </w:rPr>
      </w:pPr>
    </w:p>
    <w:p w14:paraId="15D7CBD2">
      <w:pPr>
        <w:autoSpaceDE w:val="0"/>
        <w:autoSpaceDN w:val="0"/>
        <w:jc w:val="center"/>
        <w:rPr>
          <w:rFonts w:hint="eastAsia" w:ascii="仿宋" w:hAnsi="仿宋" w:eastAsia="仿宋" w:cs="仿宋"/>
          <w:b/>
          <w:spacing w:val="6"/>
          <w:sz w:val="32"/>
          <w:szCs w:val="32"/>
        </w:rPr>
      </w:pPr>
    </w:p>
    <w:p w14:paraId="724E1FE4">
      <w:pPr>
        <w:autoSpaceDE w:val="0"/>
        <w:autoSpaceDN w:val="0"/>
        <w:jc w:val="center"/>
        <w:rPr>
          <w:rFonts w:hint="eastAsia" w:ascii="仿宋" w:hAnsi="仿宋" w:eastAsia="仿宋" w:cs="仿宋"/>
          <w:b/>
          <w:spacing w:val="6"/>
          <w:sz w:val="32"/>
          <w:szCs w:val="32"/>
        </w:rPr>
      </w:pPr>
    </w:p>
    <w:p w14:paraId="69C67FEE">
      <w:pPr>
        <w:autoSpaceDE w:val="0"/>
        <w:autoSpaceDN w:val="0"/>
        <w:jc w:val="center"/>
        <w:rPr>
          <w:rFonts w:hint="eastAsia" w:ascii="仿宋" w:hAnsi="仿宋" w:eastAsia="仿宋" w:cs="仿宋"/>
          <w:b/>
          <w:spacing w:val="6"/>
          <w:sz w:val="32"/>
          <w:szCs w:val="32"/>
        </w:rPr>
      </w:pPr>
    </w:p>
    <w:p w14:paraId="173CCD88">
      <w:pPr>
        <w:autoSpaceDE w:val="0"/>
        <w:autoSpaceDN w:val="0"/>
        <w:jc w:val="center"/>
        <w:rPr>
          <w:rFonts w:hint="eastAsia" w:ascii="仿宋" w:hAnsi="仿宋" w:eastAsia="仿宋" w:cs="仿宋"/>
          <w:b/>
          <w:spacing w:val="6"/>
          <w:sz w:val="32"/>
          <w:szCs w:val="32"/>
        </w:rPr>
      </w:pPr>
    </w:p>
    <w:p w14:paraId="77EE9B11">
      <w:pPr>
        <w:autoSpaceDE w:val="0"/>
        <w:autoSpaceDN w:val="0"/>
        <w:jc w:val="center"/>
        <w:rPr>
          <w:rFonts w:hint="eastAsia" w:ascii="仿宋" w:hAnsi="仿宋" w:eastAsia="仿宋" w:cs="仿宋"/>
          <w:b/>
          <w:spacing w:val="6"/>
          <w:sz w:val="32"/>
          <w:szCs w:val="32"/>
        </w:rPr>
      </w:pPr>
    </w:p>
    <w:p w14:paraId="425B1051">
      <w:pPr>
        <w:autoSpaceDE w:val="0"/>
        <w:autoSpaceDN w:val="0"/>
        <w:jc w:val="center"/>
        <w:rPr>
          <w:rFonts w:hint="eastAsia" w:ascii="仿宋" w:hAnsi="仿宋" w:eastAsia="仿宋" w:cs="仿宋"/>
          <w:b/>
          <w:spacing w:val="6"/>
          <w:sz w:val="32"/>
          <w:szCs w:val="32"/>
        </w:rPr>
      </w:pPr>
    </w:p>
    <w:p w14:paraId="47472C17">
      <w:pPr>
        <w:autoSpaceDE w:val="0"/>
        <w:autoSpaceDN w:val="0"/>
        <w:jc w:val="both"/>
        <w:rPr>
          <w:rFonts w:hint="eastAsia" w:ascii="仿宋" w:hAnsi="仿宋" w:eastAsia="仿宋" w:cs="仿宋"/>
          <w:b/>
          <w:spacing w:val="6"/>
          <w:sz w:val="32"/>
          <w:szCs w:val="32"/>
        </w:rPr>
      </w:pPr>
    </w:p>
    <w:p w14:paraId="1CA55C9D">
      <w:pPr>
        <w:autoSpaceDE w:val="0"/>
        <w:autoSpaceDN w:val="0"/>
        <w:jc w:val="both"/>
        <w:rPr>
          <w:rFonts w:hint="eastAsia" w:ascii="仿宋" w:hAnsi="仿宋" w:eastAsia="仿宋" w:cs="仿宋"/>
          <w:b/>
          <w:spacing w:val="6"/>
          <w:sz w:val="32"/>
          <w:szCs w:val="32"/>
        </w:rPr>
      </w:pPr>
    </w:p>
    <w:p w14:paraId="46F42664">
      <w:pPr>
        <w:autoSpaceDE w:val="0"/>
        <w:autoSpaceDN w:val="0"/>
        <w:jc w:val="both"/>
        <w:rPr>
          <w:rFonts w:hint="eastAsia" w:ascii="仿宋" w:hAnsi="仿宋" w:eastAsia="仿宋" w:cs="仿宋"/>
          <w:b/>
          <w:spacing w:val="6"/>
          <w:sz w:val="32"/>
          <w:szCs w:val="32"/>
        </w:rPr>
      </w:pPr>
    </w:p>
    <w:p w14:paraId="4AD6B01A">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7F4EC797">
      <w:pPr>
        <w:jc w:val="center"/>
        <w:rPr>
          <w:rFonts w:hint="eastAsia" w:ascii="仿宋" w:hAnsi="仿宋" w:eastAsia="仿宋" w:cs="仿宋"/>
          <w:b/>
          <w:color w:val="auto"/>
          <w:sz w:val="32"/>
        </w:rPr>
      </w:pPr>
      <w:r>
        <w:rPr>
          <w:rFonts w:hint="eastAsia" w:ascii="仿宋" w:hAnsi="仿宋" w:eastAsia="仿宋" w:cs="仿宋"/>
          <w:b/>
          <w:color w:val="auto"/>
          <w:sz w:val="32"/>
        </w:rPr>
        <w:t>中小企业声明函（工程、服务）</w:t>
      </w:r>
    </w:p>
    <w:p w14:paraId="02D9A227">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（财库﹝202</w:t>
      </w:r>
      <w:r>
        <w:rPr>
          <w:rFonts w:hint="eastAsia" w:ascii="仿宋" w:hAnsi="仿宋" w:eastAsia="仿宋" w:cs="仿宋"/>
          <w:color w:val="auto"/>
          <w:sz w:val="24"/>
          <w:lang w:val="en-US" w:eastAsia="zh-CN"/>
        </w:rPr>
        <w:t>0</w:t>
      </w:r>
      <w:r>
        <w:rPr>
          <w:rFonts w:hint="eastAsia" w:ascii="仿宋" w:hAnsi="仿宋" w:eastAsia="仿宋" w:cs="仿宋"/>
          <w:color w:val="auto"/>
          <w:sz w:val="24"/>
        </w:rPr>
        <w:t>﹞46 号）的规定，本公司（或联合体）参加</w:t>
      </w:r>
      <w:r>
        <w:rPr>
          <w:rFonts w:hint="eastAsia" w:ascii="仿宋" w:hAnsi="仿宋" w:eastAsia="仿宋" w:cs="仿宋"/>
          <w:color w:val="auto"/>
          <w:sz w:val="24"/>
          <w:u w:val="single"/>
        </w:rPr>
        <w:t xml:space="preserve"> （采购单位）</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u w:val="single"/>
          <w:lang w:val="en-US" w:eastAsia="zh-CN"/>
        </w:rPr>
        <w:t>名称</w:t>
      </w:r>
      <w:r>
        <w:rPr>
          <w:rFonts w:hint="eastAsia" w:ascii="仿宋" w:hAnsi="仿宋" w:eastAsia="仿宋" w:cs="仿宋"/>
          <w:color w:val="auto"/>
          <w:sz w:val="24"/>
        </w:rPr>
        <w:t>采购活动，工程的施工单位全部为符合政策要求的中小企业（或者：服务全部由符合政策要求的中小企业承接） 。相关企业（含联合体中的中小企业、签订分包意向协议的中小企业）的具体情况如下：</w:t>
      </w:r>
    </w:p>
    <w:p w14:paraId="13C3AEF0">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 xml:space="preserve"> ；</w:t>
      </w:r>
    </w:p>
    <w:p w14:paraId="43C43027">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68A61AEE">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2C9A55D0">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7646E810">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514F69EA">
      <w:pPr>
        <w:ind w:right="420" w:firstLine="5880" w:firstLineChars="2450"/>
        <w:jc w:val="left"/>
        <w:rPr>
          <w:rFonts w:hint="eastAsia" w:ascii="仿宋" w:hAnsi="仿宋" w:eastAsia="仿宋" w:cs="仿宋"/>
          <w:color w:val="auto"/>
          <w:sz w:val="24"/>
        </w:rPr>
      </w:pPr>
    </w:p>
    <w:p w14:paraId="3522FF66">
      <w:pPr>
        <w:ind w:right="420" w:firstLine="5880" w:firstLineChars="2450"/>
        <w:rPr>
          <w:rFonts w:hint="eastAsia" w:ascii="仿宋" w:hAnsi="仿宋" w:eastAsia="仿宋" w:cs="仿宋"/>
          <w:color w:val="auto"/>
          <w:sz w:val="24"/>
        </w:rPr>
      </w:pPr>
      <w:r>
        <w:rPr>
          <w:rFonts w:hint="eastAsia" w:ascii="仿宋" w:hAnsi="仿宋" w:eastAsia="仿宋" w:cs="仿宋"/>
          <w:color w:val="auto"/>
          <w:sz w:val="24"/>
        </w:rPr>
        <w:t xml:space="preserve">企业名称（盖章）： </w:t>
      </w:r>
    </w:p>
    <w:p w14:paraId="15B32A6D">
      <w:pPr>
        <w:ind w:right="420" w:firstLine="5520" w:firstLineChars="2300"/>
        <w:rPr>
          <w:rFonts w:hint="eastAsia" w:ascii="仿宋" w:hAnsi="仿宋" w:eastAsia="仿宋" w:cs="仿宋"/>
          <w:color w:val="auto"/>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14:paraId="535E0033">
      <w:pPr>
        <w:rPr>
          <w:rFonts w:hint="eastAsia" w:ascii="仿宋" w:hAnsi="仿宋" w:eastAsia="仿宋" w:cs="仿宋"/>
          <w:color w:val="auto"/>
          <w:sz w:val="24"/>
        </w:rPr>
      </w:pPr>
    </w:p>
    <w:p w14:paraId="0D0DB80B">
      <w:pPr>
        <w:rPr>
          <w:rFonts w:hint="eastAsia" w:ascii="仿宋" w:hAnsi="仿宋" w:eastAsia="仿宋" w:cs="仿宋"/>
          <w:color w:val="auto"/>
          <w:sz w:val="24"/>
        </w:rPr>
      </w:pPr>
      <w:r>
        <w:rPr>
          <w:rFonts w:hint="eastAsia" w:ascii="仿宋" w:hAnsi="仿宋" w:eastAsia="仿宋" w:cs="仿宋"/>
          <w:color w:val="auto"/>
          <w:sz w:val="24"/>
        </w:rPr>
        <w:t>注：</w:t>
      </w:r>
    </w:p>
    <w:p w14:paraId="4BAE8D24">
      <w:pPr>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30907786">
      <w:pPr>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2、根据《政府采购促进中小企业发展管理办法》的通知（财库〔202</w:t>
      </w:r>
      <w:r>
        <w:rPr>
          <w:rFonts w:hint="eastAsia" w:ascii="仿宋" w:hAnsi="仿宋" w:eastAsia="仿宋" w:cs="仿宋"/>
          <w:b/>
          <w:color w:val="auto"/>
          <w:sz w:val="24"/>
          <w:lang w:val="en-US" w:eastAsia="zh-CN"/>
        </w:rPr>
        <w:t>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6071F2BC">
      <w:pPr>
        <w:rPr>
          <w:rFonts w:hint="eastAsia" w:ascii="仿宋" w:hAnsi="仿宋" w:eastAsia="仿宋" w:cs="仿宋"/>
          <w:bCs/>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77321D00">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3E5EE">
    <w:pPr>
      <w:pStyle w:val="11"/>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2AA099">
                          <w:pPr>
                            <w:pStyle w:val="11"/>
                            <w:rPr>
                              <w:rStyle w:val="19"/>
                              <w:rFonts w:hint="eastAsia" w:ascii="仿宋_GB2312" w:eastAsia="仿宋_GB2312"/>
                              <w:szCs w:val="24"/>
                            </w:rPr>
                          </w:pPr>
                          <w:r>
                            <w:rPr>
                              <w:rFonts w:hint="eastAsia" w:ascii="仿宋_GB2312" w:eastAsia="仿宋_GB2312"/>
                              <w:sz w:val="24"/>
                              <w:szCs w:val="24"/>
                            </w:rPr>
                            <w:fldChar w:fldCharType="begin"/>
                          </w:r>
                          <w:r>
                            <w:rPr>
                              <w:rStyle w:val="19"/>
                              <w:rFonts w:hint="eastAsia" w:ascii="仿宋_GB2312" w:eastAsia="仿宋_GB2312"/>
                              <w:szCs w:val="24"/>
                            </w:rPr>
                            <w:instrText xml:space="preserve">PAGE  </w:instrText>
                          </w:r>
                          <w:r>
                            <w:rPr>
                              <w:rFonts w:hint="eastAsia" w:ascii="仿宋_GB2312" w:eastAsia="仿宋_GB2312"/>
                              <w:sz w:val="24"/>
                              <w:szCs w:val="24"/>
                            </w:rPr>
                            <w:fldChar w:fldCharType="separate"/>
                          </w:r>
                          <w:r>
                            <w:rPr>
                              <w:rStyle w:val="19"/>
                              <w:rFonts w:ascii="仿宋_GB2312" w:eastAsia="仿宋_GB2312"/>
                              <w:szCs w:val="24"/>
                            </w:rPr>
                            <w:t>- 4 -</w:t>
                          </w:r>
                          <w:r>
                            <w:rPr>
                              <w:rFonts w:hint="eastAsia" w:ascii="仿宋_GB2312" w:eastAsia="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B2AA099">
                    <w:pPr>
                      <w:pStyle w:val="11"/>
                      <w:rPr>
                        <w:rStyle w:val="19"/>
                        <w:rFonts w:hint="eastAsia" w:ascii="仿宋_GB2312" w:eastAsia="仿宋_GB2312"/>
                        <w:szCs w:val="24"/>
                      </w:rPr>
                    </w:pPr>
                    <w:r>
                      <w:rPr>
                        <w:rFonts w:hint="eastAsia" w:ascii="仿宋_GB2312" w:eastAsia="仿宋_GB2312"/>
                        <w:sz w:val="24"/>
                        <w:szCs w:val="24"/>
                      </w:rPr>
                      <w:fldChar w:fldCharType="begin"/>
                    </w:r>
                    <w:r>
                      <w:rPr>
                        <w:rStyle w:val="19"/>
                        <w:rFonts w:hint="eastAsia" w:ascii="仿宋_GB2312" w:eastAsia="仿宋_GB2312"/>
                        <w:szCs w:val="24"/>
                      </w:rPr>
                      <w:instrText xml:space="preserve">PAGE  </w:instrText>
                    </w:r>
                    <w:r>
                      <w:rPr>
                        <w:rFonts w:hint="eastAsia" w:ascii="仿宋_GB2312" w:eastAsia="仿宋_GB2312"/>
                        <w:sz w:val="24"/>
                        <w:szCs w:val="24"/>
                      </w:rPr>
                      <w:fldChar w:fldCharType="separate"/>
                    </w:r>
                    <w:r>
                      <w:rPr>
                        <w:rStyle w:val="19"/>
                        <w:rFonts w:ascii="仿宋_GB2312" w:eastAsia="仿宋_GB2312"/>
                        <w:szCs w:val="24"/>
                      </w:rPr>
                      <w:t>- 4 -</w:t>
                    </w:r>
                    <w:r>
                      <w:rPr>
                        <w:rFonts w:hint="eastAsia" w:ascii="仿宋_GB2312" w:eastAsia="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5151F">
    <w:pPr>
      <w:pStyle w:val="1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686A6F5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82BB6">
    <w:pPr>
      <w:pStyle w:val="1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0D5BA72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9AA9C">
    <w:pPr>
      <w:pStyle w:val="1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64F36A9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E5896">
    <w:pPr>
      <w:pStyle w:val="1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56F1B97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9BDB5">
    <w:pPr>
      <w:pStyle w:val="1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0F7B45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FCA08">
    <w:pPr>
      <w:pStyle w:val="1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49840D7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DE0AA">
    <w:pPr>
      <w:pStyle w:val="11"/>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21F8">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C270E">
    <w:pPr>
      <w:pStyle w:val="12"/>
      <w:pBdr>
        <w:bottom w:val="single" w:color="auto" w:sz="6" w:space="0"/>
      </w:pBdr>
      <w:tabs>
        <w:tab w:val="center" w:pos="4535"/>
        <w:tab w:val="right" w:pos="9070"/>
        <w:tab w:val="clear" w:pos="4153"/>
        <w:tab w:val="clear" w:pos="8306"/>
      </w:tabs>
      <w:jc w:val="center"/>
      <w:rPr>
        <w:rFonts w:hint="eastAsia" w:ascii="仿宋" w:hAnsi="仿宋" w:eastAsia="仿宋" w:cs="仿宋"/>
      </w:rPr>
    </w:pPr>
    <w:r>
      <w:t></w:t>
    </w:r>
  </w:p>
  <w:p w14:paraId="024FA85F">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97FA0">
    <w:pPr>
      <w:pStyle w:val="12"/>
      <w:jc w:val="left"/>
    </w:pPr>
    <w:r>
      <w:t></w:t>
    </w:r>
    <w:r>
      <w:rPr>
        <w:rFonts w:hint="eastAsia"/>
        <w:lang w:val="en-US" w:eastAsia="zh-CN"/>
      </w:rPr>
      <w:t xml:space="preserve">   </w:t>
    </w:r>
    <w:r>
      <w:rPr>
        <w:rFonts w:hint="eastAsia" w:ascii="仿宋" w:hAnsi="仿宋" w:eastAsia="仿宋" w:cs="仿宋"/>
        <w:sz w:val="20"/>
        <w:szCs w:val="21"/>
      </w:rPr>
      <w:t></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387B">
    <w:pPr>
      <w:pStyle w:val="12"/>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仿宋" w:hAnsi="仿宋" w:eastAsia="仿宋" w:cs="仿宋"/>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63D2E">
    <w:pPr>
      <w:pStyle w:val="12"/>
      <w:jc w:val="center"/>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ED8C4">
    <w:pPr>
      <w:rPr>
        <w:rFonts w:hint="eastAsia" w:ascii="仿宋" w:hAnsi="仿宋" w:eastAsia="仿宋" w:cs="仿宋"/>
        <w:b/>
        <w:i/>
        <w:sz w:val="20"/>
        <w:szCs w:val="2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3B3F">
    <w:pPr>
      <w:pStyle w:val="12"/>
      <w:pBdr>
        <w:bottom w:val="single" w:color="auto" w:sz="6" w:space="0"/>
      </w:pBdr>
      <w:tabs>
        <w:tab w:val="center" w:pos="4535"/>
        <w:tab w:val="right" w:pos="9070"/>
        <w:tab w:val="clear" w:pos="4153"/>
        <w:tab w:val="clear" w:pos="8306"/>
      </w:tabs>
      <w:jc w:val="center"/>
      <w:rPr>
        <w:rFonts w:hint="eastAsia" w:ascii="仿宋" w:hAnsi="仿宋" w:eastAsia="仿宋" w:cs="仿宋"/>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E5171">
    <w:pPr>
      <w:pStyle w:val="12"/>
      <w:pBdr>
        <w:bottom w:val="single" w:color="auto" w:sz="6" w:space="0"/>
      </w:pBdr>
      <w:tabs>
        <w:tab w:val="center" w:pos="4535"/>
        <w:tab w:val="right" w:pos="9070"/>
        <w:tab w:val="clear" w:pos="4153"/>
        <w:tab w:val="clear" w:pos="8306"/>
      </w:tabs>
      <w:jc w:val="center"/>
      <w:rPr>
        <w:rFonts w:hint="eastAsia" w:ascii="仿宋" w:hAnsi="仿宋" w:eastAsia="仿宋" w:cs="仿宋"/>
        <w:b/>
        <w:i/>
        <w:iCs/>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9D5FC"/>
    <w:multiLevelType w:val="singleLevel"/>
    <w:tmpl w:val="AEA9D5FC"/>
    <w:lvl w:ilvl="0" w:tentative="0">
      <w:start w:val="3"/>
      <w:numFmt w:val="chineseCounting"/>
      <w:suff w:val="space"/>
      <w:lvlText w:val="第%1部分"/>
      <w:lvlJc w:val="left"/>
      <w:rPr>
        <w:rFonts w:hint="eastAsia"/>
      </w:rPr>
    </w:lvl>
  </w:abstractNum>
  <w:abstractNum w:abstractNumId="1">
    <w:nsid w:val="BF00600E"/>
    <w:multiLevelType w:val="singleLevel"/>
    <w:tmpl w:val="BF00600E"/>
    <w:lvl w:ilvl="0" w:tentative="0">
      <w:start w:val="1"/>
      <w:numFmt w:val="upperLetter"/>
      <w:lvlText w:val="%1."/>
      <w:lvlJc w:val="left"/>
      <w:pPr>
        <w:tabs>
          <w:tab w:val="left" w:pos="312"/>
        </w:tabs>
      </w:pPr>
    </w:lvl>
  </w:abstractNum>
  <w:abstractNum w:abstractNumId="2">
    <w:nsid w:val="CBBA5FB5"/>
    <w:multiLevelType w:val="singleLevel"/>
    <w:tmpl w:val="CBBA5FB5"/>
    <w:lvl w:ilvl="0" w:tentative="0">
      <w:start w:val="5"/>
      <w:numFmt w:val="decimal"/>
      <w:suff w:val="nothing"/>
      <w:lvlText w:val="（%1）"/>
      <w:lvlJc w:val="left"/>
    </w:lvl>
  </w:abstractNum>
  <w:abstractNum w:abstractNumId="3">
    <w:nsid w:val="09E12FE3"/>
    <w:multiLevelType w:val="singleLevel"/>
    <w:tmpl w:val="09E12FE3"/>
    <w:lvl w:ilvl="0" w:tentative="0">
      <w:start w:val="1"/>
      <w:numFmt w:val="decimal"/>
      <w:suff w:val="nothing"/>
      <w:lvlText w:val="（%1）"/>
      <w:lvlJc w:val="left"/>
    </w:lvl>
  </w:abstractNum>
  <w:abstractNum w:abstractNumId="4">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7">
    <w:nsid w:val="59124047"/>
    <w:multiLevelType w:val="singleLevel"/>
    <w:tmpl w:val="59124047"/>
    <w:lvl w:ilvl="0" w:tentative="0">
      <w:start w:val="1"/>
      <w:numFmt w:val="decimal"/>
      <w:lvlText w:val="%1."/>
      <w:lvlJc w:val="left"/>
      <w:pPr>
        <w:tabs>
          <w:tab w:val="left" w:pos="312"/>
        </w:tabs>
      </w:pPr>
    </w:lvl>
  </w:abstractNum>
  <w:abstractNum w:abstractNumId="8">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6"/>
  </w:num>
  <w:num w:numId="2">
    <w:abstractNumId w:val="8"/>
  </w:num>
  <w:num w:numId="3">
    <w:abstractNumId w:val="4"/>
  </w:num>
  <w:num w:numId="4">
    <w:abstractNumId w:val="5"/>
  </w:num>
  <w:num w:numId="5">
    <w:abstractNumId w:val="0"/>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C1A07"/>
    <w:rsid w:val="008C3185"/>
    <w:rsid w:val="010B22B0"/>
    <w:rsid w:val="01EC0334"/>
    <w:rsid w:val="02F0175E"/>
    <w:rsid w:val="02F54FC6"/>
    <w:rsid w:val="03140B0F"/>
    <w:rsid w:val="042F62B6"/>
    <w:rsid w:val="04506958"/>
    <w:rsid w:val="049F4F72"/>
    <w:rsid w:val="05616969"/>
    <w:rsid w:val="06053772"/>
    <w:rsid w:val="06954AF6"/>
    <w:rsid w:val="07F43A9E"/>
    <w:rsid w:val="08367D1C"/>
    <w:rsid w:val="0A181990"/>
    <w:rsid w:val="0AB37C41"/>
    <w:rsid w:val="0B694095"/>
    <w:rsid w:val="0C517711"/>
    <w:rsid w:val="0D2B61B4"/>
    <w:rsid w:val="0F566DED"/>
    <w:rsid w:val="101822F4"/>
    <w:rsid w:val="103C4234"/>
    <w:rsid w:val="114E2471"/>
    <w:rsid w:val="13056E14"/>
    <w:rsid w:val="13857CA0"/>
    <w:rsid w:val="15F15AC1"/>
    <w:rsid w:val="16461969"/>
    <w:rsid w:val="171E4694"/>
    <w:rsid w:val="179130B8"/>
    <w:rsid w:val="192816C3"/>
    <w:rsid w:val="1B4B2145"/>
    <w:rsid w:val="1B5729F3"/>
    <w:rsid w:val="1C6963B1"/>
    <w:rsid w:val="1F3C1B5B"/>
    <w:rsid w:val="1F62533A"/>
    <w:rsid w:val="215C64E4"/>
    <w:rsid w:val="21B300CF"/>
    <w:rsid w:val="23BE3486"/>
    <w:rsid w:val="258C3110"/>
    <w:rsid w:val="26710533"/>
    <w:rsid w:val="268F110A"/>
    <w:rsid w:val="26C32B62"/>
    <w:rsid w:val="29A55F75"/>
    <w:rsid w:val="29A85144"/>
    <w:rsid w:val="29FB0865"/>
    <w:rsid w:val="2A44045E"/>
    <w:rsid w:val="2A88034A"/>
    <w:rsid w:val="2BFD08C4"/>
    <w:rsid w:val="2C94022B"/>
    <w:rsid w:val="2CB5119F"/>
    <w:rsid w:val="2D784A4A"/>
    <w:rsid w:val="2E8A18CC"/>
    <w:rsid w:val="31552F50"/>
    <w:rsid w:val="317433D6"/>
    <w:rsid w:val="322C3CB1"/>
    <w:rsid w:val="33524ECE"/>
    <w:rsid w:val="33E365F1"/>
    <w:rsid w:val="34C93A39"/>
    <w:rsid w:val="358160C2"/>
    <w:rsid w:val="35A65B28"/>
    <w:rsid w:val="35DD302E"/>
    <w:rsid w:val="36F320C3"/>
    <w:rsid w:val="38D40BFF"/>
    <w:rsid w:val="3A4614A9"/>
    <w:rsid w:val="3B7442C9"/>
    <w:rsid w:val="3B9D3119"/>
    <w:rsid w:val="3CE513E1"/>
    <w:rsid w:val="3D7F47E2"/>
    <w:rsid w:val="3E1F291C"/>
    <w:rsid w:val="3E247F32"/>
    <w:rsid w:val="3F1F7AF9"/>
    <w:rsid w:val="40220F1C"/>
    <w:rsid w:val="4027301F"/>
    <w:rsid w:val="415E5510"/>
    <w:rsid w:val="42576236"/>
    <w:rsid w:val="43774C80"/>
    <w:rsid w:val="43BF2BD7"/>
    <w:rsid w:val="44266182"/>
    <w:rsid w:val="450D1720"/>
    <w:rsid w:val="455235D7"/>
    <w:rsid w:val="466D4889"/>
    <w:rsid w:val="468B4FF2"/>
    <w:rsid w:val="4A98167C"/>
    <w:rsid w:val="4B09298A"/>
    <w:rsid w:val="4B2840B9"/>
    <w:rsid w:val="4BD016F9"/>
    <w:rsid w:val="4C343A36"/>
    <w:rsid w:val="4D565C2E"/>
    <w:rsid w:val="4EC5306C"/>
    <w:rsid w:val="4EE554BC"/>
    <w:rsid w:val="4FC275AB"/>
    <w:rsid w:val="51295B34"/>
    <w:rsid w:val="522D51B0"/>
    <w:rsid w:val="53065A01"/>
    <w:rsid w:val="5403518D"/>
    <w:rsid w:val="561F5757"/>
    <w:rsid w:val="59D2599A"/>
    <w:rsid w:val="5AF51CED"/>
    <w:rsid w:val="5C447CC6"/>
    <w:rsid w:val="5D487342"/>
    <w:rsid w:val="5E3873B6"/>
    <w:rsid w:val="5F5D0202"/>
    <w:rsid w:val="5F950838"/>
    <w:rsid w:val="5FAB3BB8"/>
    <w:rsid w:val="5FE315A4"/>
    <w:rsid w:val="60017C7C"/>
    <w:rsid w:val="60EC1A07"/>
    <w:rsid w:val="620F2314"/>
    <w:rsid w:val="622163B3"/>
    <w:rsid w:val="622E1596"/>
    <w:rsid w:val="626F1A90"/>
    <w:rsid w:val="62A212A2"/>
    <w:rsid w:val="63AD6150"/>
    <w:rsid w:val="649E3CEB"/>
    <w:rsid w:val="654A5C21"/>
    <w:rsid w:val="65EE47FE"/>
    <w:rsid w:val="68E502D3"/>
    <w:rsid w:val="6A162576"/>
    <w:rsid w:val="6A2E3D63"/>
    <w:rsid w:val="6E147DCA"/>
    <w:rsid w:val="6F997ED1"/>
    <w:rsid w:val="6FE85DAF"/>
    <w:rsid w:val="72A44BC2"/>
    <w:rsid w:val="72EA2FB6"/>
    <w:rsid w:val="730C532F"/>
    <w:rsid w:val="747B2BE8"/>
    <w:rsid w:val="75645FE6"/>
    <w:rsid w:val="75947170"/>
    <w:rsid w:val="75E654F2"/>
    <w:rsid w:val="775A1CF3"/>
    <w:rsid w:val="77CB2BF1"/>
    <w:rsid w:val="79D33FDF"/>
    <w:rsid w:val="7A4D5A21"/>
    <w:rsid w:val="7C8530E6"/>
    <w:rsid w:val="7CAD4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方正小标宋_GBK" w:cs="Times New Roman"/>
      <w:b/>
      <w:color w:val="000000"/>
      <w:sz w:val="30"/>
      <w:szCs w:val="21"/>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widowControl/>
      <w:snapToGrid w:val="0"/>
      <w:spacing w:line="480" w:lineRule="exact"/>
      <w:ind w:firstLine="567"/>
    </w:pPr>
    <w:rPr>
      <w:rFonts w:ascii="宋体"/>
      <w:color w:val="000000"/>
      <w:kern w:val="28"/>
      <w:sz w:val="28"/>
      <w:szCs w:val="20"/>
    </w:rPr>
  </w:style>
  <w:style w:type="paragraph" w:styleId="5">
    <w:name w:val="annotation text"/>
    <w:basedOn w:val="1"/>
    <w:unhideWhenUsed/>
    <w:qFormat/>
    <w:uiPriority w:val="0"/>
    <w:pPr>
      <w:jc w:val="left"/>
    </w:pPr>
  </w:style>
  <w:style w:type="paragraph" w:styleId="6">
    <w:name w:val="Body Text"/>
    <w:basedOn w:val="1"/>
    <w:next w:val="7"/>
    <w:qFormat/>
    <w:uiPriority w:val="99"/>
    <w:pPr>
      <w:autoSpaceDE w:val="0"/>
      <w:autoSpaceDN w:val="0"/>
      <w:spacing w:line="360" w:lineRule="auto"/>
    </w:pPr>
    <w:rPr>
      <w:rFonts w:ascii="宋体" w:hAnsi="Arial" w:cs="Arial"/>
      <w:sz w:val="24"/>
      <w:szCs w:val="21"/>
      <w:lang w:val="zh-CN"/>
    </w:rPr>
  </w:style>
  <w:style w:type="paragraph" w:styleId="7">
    <w:name w:val="Body Text First Indent"/>
    <w:basedOn w:val="6"/>
    <w:next w:val="8"/>
    <w:qFormat/>
    <w:uiPriority w:val="99"/>
    <w:pPr>
      <w:ind w:firstLine="420"/>
    </w:pPr>
    <w:rPr>
      <w:rFonts w:hAnsi="Times New Roman" w:cs="Times New Roman"/>
      <w:szCs w:val="20"/>
    </w:rPr>
  </w:style>
  <w:style w:type="paragraph" w:styleId="8">
    <w:name w:val="toc 6"/>
    <w:basedOn w:val="1"/>
    <w:next w:val="1"/>
    <w:qFormat/>
    <w:uiPriority w:val="99"/>
    <w:pPr>
      <w:ind w:left="2100" w:leftChars="1000"/>
    </w:pPr>
  </w:style>
  <w:style w:type="paragraph" w:styleId="9">
    <w:name w:val="Body Text Indent"/>
    <w:basedOn w:val="1"/>
    <w:next w:val="1"/>
    <w:qFormat/>
    <w:uiPriority w:val="99"/>
    <w:pPr>
      <w:spacing w:line="480" w:lineRule="exact"/>
      <w:ind w:firstLine="480" w:firstLineChars="200"/>
    </w:pPr>
    <w:rPr>
      <w:rFonts w:ascii="宋体" w:hAnsi="宋体"/>
      <w:sz w:val="24"/>
    </w:rPr>
  </w:style>
  <w:style w:type="paragraph" w:styleId="10">
    <w:name w:val="Plain Text"/>
    <w:basedOn w:val="1"/>
    <w:qFormat/>
    <w:uiPriority w:val="99"/>
    <w:rPr>
      <w:rFonts w:ascii="宋体" w:hAnsi="Courier New" w:cs="Arial"/>
      <w:szCs w:val="21"/>
    </w:r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Body Text First Indent 2"/>
    <w:basedOn w:val="9"/>
    <w:next w:val="15"/>
    <w:qFormat/>
    <w:uiPriority w:val="99"/>
    <w:pPr>
      <w:adjustRightInd/>
      <w:spacing w:after="120" w:line="240" w:lineRule="auto"/>
      <w:ind w:left="420" w:leftChars="200" w:firstLine="210"/>
    </w:pPr>
    <w:rPr>
      <w:sz w:val="21"/>
    </w:rPr>
  </w:style>
  <w:style w:type="paragraph" w:customStyle="1" w:styleId="15">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rPr>
      <w:rFonts w:ascii="Arial" w:hAnsi="Arial" w:eastAsia="黑体" w:cs="Arial"/>
      <w:snapToGrid w:val="0"/>
      <w:kern w:val="0"/>
      <w:sz w:val="21"/>
      <w:szCs w:val="21"/>
    </w:rPr>
  </w:style>
  <w:style w:type="character" w:styleId="20">
    <w:name w:val="Hyperlink"/>
    <w:basedOn w:val="18"/>
    <w:qFormat/>
    <w:uiPriority w:val="99"/>
    <w:rPr>
      <w:rFonts w:ascii="Arial" w:hAnsi="Arial" w:eastAsia="黑体" w:cs="Times New Roman"/>
      <w:snapToGrid w:val="0"/>
      <w:color w:val="000000"/>
      <w:kern w:val="0"/>
      <w:sz w:val="18"/>
      <w:u w:val="none"/>
    </w:rPr>
  </w:style>
  <w:style w:type="paragraph" w:customStyle="1" w:styleId="21">
    <w:name w:val="正文首行缩进 21"/>
    <w:basedOn w:val="22"/>
    <w:autoRedefine/>
    <w:qFormat/>
    <w:uiPriority w:val="0"/>
    <w:pPr>
      <w:ind w:firstLine="420"/>
    </w:pPr>
    <w:rPr>
      <w:rFonts w:ascii="Times New Roman" w:hAnsi="Times New Roman" w:eastAsia="宋体" w:cs="宋体"/>
    </w:rPr>
  </w:style>
  <w:style w:type="paragraph" w:customStyle="1" w:styleId="22">
    <w:name w:val="正文文本缩进1"/>
    <w:basedOn w:val="1"/>
    <w:next w:val="1"/>
    <w:autoRedefine/>
    <w:qFormat/>
    <w:uiPriority w:val="0"/>
    <w:pPr>
      <w:spacing w:after="120"/>
      <w:ind w:left="420" w:leftChars="200"/>
    </w:pPr>
  </w:style>
  <w:style w:type="paragraph" w:styleId="23">
    <w:name w:val="List Paragraph"/>
    <w:basedOn w:val="1"/>
    <w:next w:val="1"/>
    <w:autoRedefine/>
    <w:qFormat/>
    <w:uiPriority w:val="99"/>
    <w:pPr>
      <w:spacing w:line="360" w:lineRule="auto"/>
      <w:ind w:firstLine="200" w:firstLineChars="200"/>
    </w:pPr>
    <w:rPr>
      <w:rFonts w:eastAsia="楷体_GB2312" w:cs="Lucida Sans"/>
      <w:sz w:val="24"/>
    </w:rPr>
  </w:style>
  <w:style w:type="paragraph" w:customStyle="1" w:styleId="24">
    <w:name w:val="Body Text First Indent 21"/>
    <w:basedOn w:val="25"/>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25">
    <w:name w:val="Body Text Indent1"/>
    <w:basedOn w:val="1"/>
    <w:next w:val="1"/>
    <w:autoRedefine/>
    <w:qFormat/>
    <w:uiPriority w:val="0"/>
    <w:pPr>
      <w:ind w:left="420" w:leftChars="200"/>
    </w:pPr>
  </w:style>
  <w:style w:type="paragraph" w:customStyle="1" w:styleId="26">
    <w:name w:val="正文2"/>
    <w:basedOn w:val="1"/>
    <w:autoRedefine/>
    <w:qFormat/>
    <w:uiPriority w:val="99"/>
    <w:pPr>
      <w:spacing w:before="156" w:line="360" w:lineRule="auto"/>
      <w:ind w:firstLine="510" w:firstLineChars="200"/>
    </w:pPr>
    <w:rPr>
      <w:sz w:val="24"/>
      <w:szCs w:val="20"/>
    </w:rPr>
  </w:style>
  <w:style w:type="paragraph" w:customStyle="1" w:styleId="27">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8">
    <w:name w:val="正文缩进1"/>
    <w:basedOn w:val="1"/>
    <w:next w:val="9"/>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2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30">
    <w:name w:val="Body Text 31"/>
    <w:basedOn w:val="1"/>
    <w:autoRedefine/>
    <w:qFormat/>
    <w:uiPriority w:val="0"/>
    <w:pPr>
      <w:spacing w:after="120" w:afterLines="0"/>
    </w:pPr>
    <w:rPr>
      <w:sz w:val="16"/>
      <w:szCs w:val="16"/>
    </w:rPr>
  </w:style>
  <w:style w:type="paragraph" w:customStyle="1" w:styleId="31">
    <w:name w:val="_Style 1"/>
    <w:basedOn w:val="1"/>
    <w:autoRedefine/>
    <w:qFormat/>
    <w:uiPriority w:val="99"/>
    <w:pPr>
      <w:adjustRightInd/>
      <w:ind w:firstLine="420" w:firstLineChars="200"/>
    </w:pPr>
    <w:rPr>
      <w:rFonts w:eastAsia="仿宋_GB2312"/>
      <w:sz w:val="28"/>
    </w:rPr>
  </w:style>
  <w:style w:type="paragraph" w:customStyle="1" w:styleId="32">
    <w:name w:val="纯文本_0_0"/>
    <w:basedOn w:val="33"/>
    <w:autoRedefine/>
    <w:qFormat/>
    <w:uiPriority w:val="99"/>
    <w:rPr>
      <w:rFonts w:ascii="宋体" w:hAnsi="Courier New"/>
      <w:szCs w:val="20"/>
    </w:rPr>
  </w:style>
  <w:style w:type="paragraph" w:customStyle="1" w:styleId="33">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35">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表格文字"/>
    <w:basedOn w:val="37"/>
    <w:next w:val="6"/>
    <w:autoRedefine/>
    <w:qFormat/>
    <w:uiPriority w:val="0"/>
    <w:pPr>
      <w:adjustRightInd w:val="0"/>
      <w:spacing w:line="420" w:lineRule="atLeast"/>
      <w:textAlignment w:val="baseline"/>
    </w:pPr>
  </w:style>
  <w:style w:type="paragraph" w:customStyle="1" w:styleId="37">
    <w:name w:val="表格文字（两侧对齐）"/>
    <w:basedOn w:val="1"/>
    <w:autoRedefine/>
    <w:qFormat/>
    <w:uiPriority w:val="0"/>
    <w:pPr>
      <w:snapToGrid w:val="0"/>
    </w:pPr>
    <w:rPr>
      <w:sz w:val="20"/>
      <w:szCs w:val="24"/>
    </w:rPr>
  </w:style>
  <w:style w:type="character" w:customStyle="1" w:styleId="38">
    <w:name w:val="NormalCharacter"/>
    <w:link w:val="39"/>
    <w:qFormat/>
    <w:uiPriority w:val="0"/>
    <w:rPr>
      <w:rFonts w:ascii="Calibri"/>
      <w:szCs w:val="22"/>
    </w:rPr>
  </w:style>
  <w:style w:type="paragraph" w:customStyle="1" w:styleId="39">
    <w:name w:val="UserStyle_127"/>
    <w:basedOn w:val="1"/>
    <w:link w:val="38"/>
    <w:qFormat/>
    <w:uiPriority w:val="0"/>
    <w:pPr>
      <w:spacing w:after="160" w:line="240" w:lineRule="exact"/>
      <w:jc w:val="left"/>
    </w:pPr>
    <w:rPr>
      <w:rFonts w:asci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13593</Words>
  <Characters>14907</Characters>
  <Lines>0</Lines>
  <Paragraphs>0</Paragraphs>
  <TotalTime>79</TotalTime>
  <ScaleCrop>false</ScaleCrop>
  <LinksUpToDate>false</LinksUpToDate>
  <CharactersWithSpaces>15215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2025-05-19T01:00:00Z</dcterms:created>
  <dc:creator>WPS_1684829066</dc:creator>
  <cp:lastModifiedBy>WPS_1684829066</cp:lastModifiedBy>
  <dcterms:modified xsi:type="dcterms:W3CDTF">2025-06-23T02:25:44Z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ACE43A3D0297413E960DD7BBA774126A_11</vt:lpwstr>
  </property>
  <property fmtid="{D5CDD505-2E9C-101B-9397-08002B2CF9AE}" pid="4" name="KSOTemplateDocerSaveRecord">
    <vt:lpwstr>eyJoZGlkIjoiMjNiNjUzODAxZTRjNWJhZTUzOGFlMDc1NzEyZGQzZjQiLCJ1c2VySWQiOiIxNDk2ODM5ODg1In0=</vt:lpwstr>
  </property>
</Properties>
</file>