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autoSpaceDN/>
        <w:jc w:val="center"/>
        <w:rPr>
          <w:rFonts w:hint="eastAsia" w:ascii="仿宋_GB2312" w:hAnsi="Arial" w:eastAsia="仿宋_GB2312" w:cs="Arial"/>
          <w:b/>
          <w:bCs/>
          <w:color w:val="333333"/>
          <w:sz w:val="72"/>
          <w:szCs w:val="72"/>
        </w:rPr>
      </w:pPr>
      <w:r>
        <w:rPr>
          <w:rFonts w:hint="eastAsia" w:ascii="仿宋" w:hAnsi="仿宋" w:eastAsia="仿宋" w:cs="仿宋_GB2312"/>
          <w:b/>
          <w:bCs/>
          <w:sz w:val="72"/>
          <w:szCs w:val="72"/>
        </w:rPr>
        <w:t>诸暨市医疗保障局</w:t>
      </w:r>
      <w:r>
        <w:rPr>
          <w:rFonts w:hint="eastAsia" w:ascii="仿宋_GB2312" w:hAnsi="Arial" w:eastAsia="仿宋_GB2312" w:cs="Arial"/>
          <w:b/>
          <w:bCs/>
          <w:color w:val="333333"/>
          <w:sz w:val="72"/>
          <w:szCs w:val="72"/>
        </w:rPr>
        <w:t>医保业务系统改造、升级服务</w:t>
      </w:r>
    </w:p>
    <w:p>
      <w:pPr>
        <w:autoSpaceDE/>
        <w:autoSpaceDN/>
        <w:jc w:val="center"/>
        <w:rPr>
          <w:rFonts w:hint="eastAsia" w:ascii="宋体" w:hAnsi="宋体" w:cs="宋体"/>
          <w:b/>
          <w:bCs/>
          <w:color w:val="auto"/>
          <w:sz w:val="72"/>
          <w:szCs w:val="72"/>
        </w:rPr>
      </w:pPr>
      <w:r>
        <w:rPr>
          <w:rFonts w:hint="eastAsia" w:ascii="仿宋_GB2312" w:hAnsi="Arial" w:eastAsia="仿宋_GB2312" w:cs="Arial"/>
          <w:b/>
          <w:bCs/>
          <w:color w:val="333333"/>
          <w:sz w:val="72"/>
          <w:szCs w:val="72"/>
        </w:rPr>
        <w:t>采购项目</w:t>
      </w:r>
    </w:p>
    <w:p>
      <w:pPr>
        <w:autoSpaceDE/>
        <w:autoSpaceDN/>
        <w:jc w:val="center"/>
        <w:rPr>
          <w:rFonts w:hint="eastAsia" w:ascii="宋体" w:hAnsi="宋体" w:cs="宋体"/>
          <w:b/>
          <w:bCs/>
          <w:color w:val="auto"/>
          <w:sz w:val="32"/>
          <w:szCs w:val="32"/>
        </w:rPr>
      </w:pPr>
      <w:r>
        <w:rPr>
          <w:rFonts w:hint="eastAsia" w:ascii="宋体" w:hAnsi="宋体" w:cs="宋体"/>
          <w:b/>
          <w:bCs/>
          <w:color w:val="auto"/>
          <w:sz w:val="32"/>
          <w:szCs w:val="32"/>
        </w:rPr>
        <w:t>（编号：诸广和2019-</w:t>
      </w:r>
      <w:r>
        <w:rPr>
          <w:rFonts w:hint="eastAsia" w:ascii="宋体" w:hAnsi="宋体" w:cs="宋体"/>
          <w:b/>
          <w:bCs/>
          <w:color w:val="auto"/>
          <w:sz w:val="32"/>
          <w:szCs w:val="32"/>
          <w:lang w:val="en-US" w:eastAsia="zh-CN"/>
        </w:rPr>
        <w:t>10</w:t>
      </w:r>
      <w:r>
        <w:rPr>
          <w:rFonts w:hint="eastAsia" w:ascii="宋体" w:hAnsi="宋体" w:cs="宋体"/>
          <w:b/>
          <w:bCs/>
          <w:color w:val="auto"/>
          <w:sz w:val="32"/>
          <w:szCs w:val="32"/>
        </w:rPr>
        <w:t>-</w:t>
      </w:r>
      <w:r>
        <w:rPr>
          <w:rFonts w:hint="eastAsia" w:ascii="宋体" w:hAnsi="宋体" w:cs="宋体"/>
          <w:b/>
          <w:bCs/>
          <w:color w:val="auto"/>
          <w:sz w:val="32"/>
          <w:szCs w:val="32"/>
          <w:lang w:val="en-US" w:eastAsia="zh-CN"/>
        </w:rPr>
        <w:t>16</w:t>
      </w:r>
      <w:r>
        <w:rPr>
          <w:rFonts w:hint="eastAsia" w:ascii="宋体" w:hAnsi="宋体" w:cs="宋体"/>
          <w:b/>
          <w:bCs/>
          <w:color w:val="auto"/>
          <w:sz w:val="32"/>
          <w:szCs w:val="32"/>
        </w:rPr>
        <w:t xml:space="preserve">  ）</w:t>
      </w:r>
    </w:p>
    <w:p>
      <w:pPr>
        <w:autoSpaceDE/>
        <w:autoSpaceDN/>
        <w:jc w:val="center"/>
        <w:rPr>
          <w:rFonts w:hint="eastAsia" w:ascii="宋体" w:hAnsi="宋体" w:cs="宋体"/>
          <w:color w:val="auto"/>
        </w:rPr>
      </w:pPr>
    </w:p>
    <w:p>
      <w:pPr>
        <w:autoSpaceDE/>
        <w:autoSpaceDN/>
        <w:jc w:val="center"/>
        <w:rPr>
          <w:rFonts w:hint="eastAsia" w:ascii="宋体" w:hAnsi="宋体" w:cs="宋体"/>
          <w:b/>
          <w:bCs/>
          <w:color w:val="auto"/>
          <w:sz w:val="72"/>
          <w:szCs w:val="72"/>
        </w:rPr>
      </w:pPr>
      <w:r>
        <w:rPr>
          <w:rFonts w:hint="eastAsia" w:ascii="宋体" w:hAnsi="宋体" w:cs="宋体"/>
          <w:b/>
          <w:bCs/>
          <w:color w:val="auto"/>
          <w:sz w:val="72"/>
          <w:szCs w:val="72"/>
        </w:rPr>
        <w:t>采</w:t>
      </w:r>
    </w:p>
    <w:p>
      <w:pPr>
        <w:autoSpaceDE/>
        <w:autoSpaceDN/>
        <w:jc w:val="center"/>
        <w:rPr>
          <w:rFonts w:hint="eastAsia" w:ascii="宋体" w:hAnsi="宋体" w:cs="宋体"/>
          <w:b/>
          <w:bCs/>
          <w:color w:val="auto"/>
          <w:sz w:val="72"/>
          <w:szCs w:val="72"/>
        </w:rPr>
      </w:pPr>
    </w:p>
    <w:p>
      <w:pPr>
        <w:autoSpaceDE/>
        <w:autoSpaceDN/>
        <w:jc w:val="center"/>
        <w:rPr>
          <w:rFonts w:hint="eastAsia" w:ascii="宋体" w:hAnsi="宋体" w:cs="宋体"/>
          <w:b/>
          <w:bCs/>
          <w:color w:val="auto"/>
          <w:sz w:val="72"/>
          <w:szCs w:val="72"/>
        </w:rPr>
      </w:pPr>
      <w:r>
        <w:rPr>
          <w:rFonts w:hint="eastAsia" w:ascii="宋体" w:hAnsi="宋体" w:cs="宋体"/>
          <w:b/>
          <w:bCs/>
          <w:color w:val="auto"/>
          <w:sz w:val="72"/>
          <w:szCs w:val="72"/>
        </w:rPr>
        <w:t>购</w:t>
      </w:r>
    </w:p>
    <w:p>
      <w:pPr>
        <w:autoSpaceDE/>
        <w:autoSpaceDN/>
        <w:jc w:val="center"/>
        <w:rPr>
          <w:rFonts w:hint="eastAsia" w:ascii="宋体" w:hAnsi="宋体" w:cs="宋体"/>
          <w:b/>
          <w:bCs/>
          <w:color w:val="auto"/>
          <w:sz w:val="72"/>
          <w:szCs w:val="72"/>
        </w:rPr>
      </w:pPr>
    </w:p>
    <w:p>
      <w:pPr>
        <w:autoSpaceDE/>
        <w:autoSpaceDN/>
        <w:jc w:val="center"/>
        <w:rPr>
          <w:rFonts w:hint="eastAsia" w:ascii="宋体" w:hAnsi="宋体" w:cs="宋体"/>
          <w:b/>
          <w:bCs/>
          <w:color w:val="auto"/>
          <w:sz w:val="72"/>
          <w:szCs w:val="72"/>
        </w:rPr>
      </w:pPr>
      <w:r>
        <w:rPr>
          <w:rFonts w:hint="eastAsia" w:ascii="宋体" w:hAnsi="宋体" w:cs="宋体"/>
          <w:b/>
          <w:bCs/>
          <w:color w:val="auto"/>
          <w:sz w:val="72"/>
          <w:szCs w:val="72"/>
        </w:rPr>
        <w:t>文</w:t>
      </w:r>
    </w:p>
    <w:p>
      <w:pPr>
        <w:autoSpaceDE/>
        <w:autoSpaceDN/>
        <w:jc w:val="center"/>
        <w:rPr>
          <w:rFonts w:hint="eastAsia" w:ascii="宋体" w:hAnsi="宋体" w:cs="宋体"/>
          <w:b/>
          <w:bCs/>
          <w:color w:val="auto"/>
          <w:sz w:val="72"/>
          <w:szCs w:val="72"/>
        </w:rPr>
      </w:pPr>
    </w:p>
    <w:p>
      <w:pPr>
        <w:autoSpaceDE/>
        <w:autoSpaceDN/>
        <w:jc w:val="center"/>
        <w:rPr>
          <w:rFonts w:hint="eastAsia" w:ascii="宋体" w:hAnsi="宋体" w:cs="宋体"/>
          <w:b/>
          <w:bCs/>
          <w:color w:val="auto"/>
          <w:sz w:val="72"/>
          <w:szCs w:val="72"/>
        </w:rPr>
      </w:pPr>
      <w:r>
        <w:rPr>
          <w:rFonts w:hint="eastAsia" w:ascii="宋体" w:hAnsi="宋体" w:cs="宋体"/>
          <w:b/>
          <w:bCs/>
          <w:color w:val="auto"/>
          <w:sz w:val="72"/>
          <w:szCs w:val="72"/>
        </w:rPr>
        <w:t>件</w:t>
      </w:r>
    </w:p>
    <w:p>
      <w:pPr>
        <w:autoSpaceDE/>
        <w:autoSpaceDN/>
        <w:jc w:val="center"/>
        <w:rPr>
          <w:rFonts w:hint="eastAsia" w:ascii="宋体" w:hAnsi="宋体" w:cs="宋体"/>
          <w:b/>
          <w:bCs/>
          <w:color w:val="auto"/>
          <w:sz w:val="72"/>
          <w:szCs w:val="72"/>
        </w:rPr>
      </w:pPr>
    </w:p>
    <w:p>
      <w:pPr>
        <w:pStyle w:val="7"/>
        <w:snapToGrid w:val="0"/>
        <w:spacing w:before="120" w:after="120" w:line="360" w:lineRule="auto"/>
        <w:rPr>
          <w:rFonts w:hint="eastAsia" w:ascii="宋体" w:hAnsi="宋体" w:cs="宋体"/>
          <w:b/>
          <w:bCs/>
          <w:w w:val="95"/>
          <w:sz w:val="30"/>
          <w:szCs w:val="30"/>
        </w:rPr>
      </w:pPr>
      <w:r>
        <w:rPr>
          <w:rFonts w:hint="eastAsia" w:ascii="宋体" w:hAnsi="宋体" w:cs="宋体"/>
          <w:b/>
          <w:bCs/>
          <w:spacing w:val="68"/>
          <w:w w:val="95"/>
          <w:sz w:val="30"/>
          <w:szCs w:val="30"/>
        </w:rPr>
        <w:t>采购单位</w:t>
      </w:r>
      <w:r>
        <w:rPr>
          <w:rFonts w:hint="eastAsia" w:ascii="宋体" w:hAnsi="宋体" w:cs="宋体"/>
          <w:b/>
          <w:bCs/>
          <w:w w:val="95"/>
          <w:sz w:val="30"/>
          <w:szCs w:val="30"/>
        </w:rPr>
        <w:t>：诸暨市医疗保障局</w:t>
      </w:r>
    </w:p>
    <w:p>
      <w:pPr>
        <w:pStyle w:val="7"/>
        <w:snapToGrid w:val="0"/>
        <w:spacing w:before="120" w:after="120" w:line="360" w:lineRule="auto"/>
        <w:rPr>
          <w:rFonts w:hint="eastAsia" w:ascii="宋体" w:hAnsi="宋体" w:cs="宋体"/>
          <w:b/>
          <w:bCs/>
          <w:w w:val="95"/>
          <w:sz w:val="30"/>
          <w:szCs w:val="30"/>
        </w:rPr>
      </w:pPr>
      <w:r>
        <w:rPr>
          <w:rFonts w:hint="eastAsia" w:ascii="宋体" w:hAnsi="宋体" w:cs="宋体"/>
          <w:b/>
          <w:bCs/>
          <w:w w:val="95"/>
          <w:sz w:val="30"/>
          <w:szCs w:val="30"/>
        </w:rPr>
        <w:t>采购代理机构：诸暨广和工程管理服务有限公司</w:t>
      </w:r>
    </w:p>
    <w:p>
      <w:pPr>
        <w:jc w:val="center"/>
        <w:rPr>
          <w:rFonts w:hint="eastAsia" w:ascii="宋体" w:hAnsi="宋体" w:cs="宋体"/>
        </w:rPr>
      </w:pPr>
      <w:r>
        <w:rPr>
          <w:rFonts w:hint="eastAsia" w:ascii="宋体" w:hAnsi="宋体" w:cs="宋体"/>
          <w:b/>
          <w:bCs/>
          <w:w w:val="95"/>
          <w:sz w:val="30"/>
          <w:szCs w:val="30"/>
        </w:rPr>
        <w:t>二〇一九年十月</w:t>
      </w:r>
    </w:p>
    <w:p>
      <w:pPr>
        <w:jc w:val="center"/>
        <w:rPr>
          <w:rFonts w:hint="eastAsia" w:ascii="隶书" w:eastAsia="隶书"/>
          <w:b/>
          <w:sz w:val="44"/>
          <w:szCs w:val="44"/>
        </w:rPr>
      </w:pPr>
    </w:p>
    <w:p>
      <w:pPr>
        <w:jc w:val="center"/>
        <w:rPr>
          <w:rFonts w:hint="eastAsia" w:ascii="隶书" w:eastAsia="隶书"/>
          <w:b/>
          <w:sz w:val="44"/>
          <w:szCs w:val="44"/>
        </w:rPr>
      </w:pPr>
    </w:p>
    <w:p>
      <w:pPr>
        <w:jc w:val="center"/>
        <w:rPr>
          <w:rFonts w:hint="eastAsia" w:ascii="隶书" w:eastAsia="隶书"/>
          <w:b/>
          <w:sz w:val="44"/>
          <w:szCs w:val="44"/>
        </w:rPr>
      </w:pPr>
    </w:p>
    <w:p>
      <w:pPr>
        <w:jc w:val="center"/>
        <w:rPr>
          <w:rFonts w:hint="eastAsia" w:ascii="隶书" w:eastAsia="隶书"/>
          <w:b/>
          <w:sz w:val="44"/>
          <w:szCs w:val="44"/>
        </w:rPr>
      </w:pPr>
    </w:p>
    <w:p>
      <w:pPr>
        <w:jc w:val="center"/>
        <w:rPr>
          <w:rFonts w:hint="eastAsia" w:ascii="仿宋_GB2312" w:eastAsia="仿宋_GB2312"/>
          <w:b/>
          <w:sz w:val="44"/>
          <w:szCs w:val="44"/>
        </w:rPr>
      </w:pPr>
      <w:r>
        <w:rPr>
          <w:rFonts w:hint="eastAsia" w:ascii="仿宋_GB2312" w:eastAsia="仿宋_GB2312"/>
          <w:b/>
          <w:sz w:val="44"/>
          <w:szCs w:val="44"/>
        </w:rPr>
        <w:t>目录</w:t>
      </w:r>
    </w:p>
    <w:p>
      <w:pPr>
        <w:jc w:val="center"/>
        <w:rPr>
          <w:rFonts w:hint="eastAsia" w:ascii="隶书" w:eastAsia="隶书"/>
          <w:b/>
          <w:sz w:val="44"/>
          <w:szCs w:val="44"/>
        </w:rPr>
      </w:pPr>
      <w:r>
        <w:rPr>
          <w:rFonts w:hint="eastAsia" w:ascii="隶书" w:eastAsia="隶书"/>
          <w:b/>
          <w:sz w:val="44"/>
          <w:szCs w:val="44"/>
        </w:rPr>
        <w:t xml:space="preserve"> </w:t>
      </w:r>
    </w:p>
    <w:p>
      <w:pPr>
        <w:jc w:val="center"/>
        <w:rPr>
          <w:rFonts w:hint="eastAsia" w:ascii="隶书" w:eastAsia="隶书"/>
        </w:rPr>
      </w:pPr>
    </w:p>
    <w:p>
      <w:pPr>
        <w:snapToGrid w:val="0"/>
        <w:spacing w:line="480" w:lineRule="auto"/>
        <w:ind w:firstLine="1807" w:firstLineChars="500"/>
        <w:jc w:val="left"/>
        <w:rPr>
          <w:rFonts w:hint="eastAsia" w:ascii="仿宋_GB2312" w:hAnsi="宋体" w:eastAsia="仿宋_GB2312"/>
          <w:b/>
          <w:sz w:val="36"/>
          <w:szCs w:val="36"/>
        </w:rPr>
      </w:pPr>
      <w:r>
        <w:rPr>
          <w:rFonts w:hint="eastAsia" w:ascii="仿宋_GB2312" w:hAnsi="宋体" w:eastAsia="仿宋_GB2312"/>
          <w:b/>
          <w:sz w:val="36"/>
          <w:szCs w:val="36"/>
        </w:rPr>
        <w:t>第一章    谈判邀请函</w:t>
      </w:r>
    </w:p>
    <w:p>
      <w:pPr>
        <w:snapToGrid w:val="0"/>
        <w:spacing w:line="480" w:lineRule="auto"/>
        <w:ind w:firstLine="1807" w:firstLineChars="500"/>
        <w:jc w:val="left"/>
        <w:rPr>
          <w:rFonts w:hint="eastAsia" w:ascii="仿宋_GB2312" w:hAnsi="宋体" w:eastAsia="仿宋_GB2312"/>
          <w:b/>
          <w:sz w:val="36"/>
          <w:szCs w:val="36"/>
        </w:rPr>
      </w:pPr>
      <w:r>
        <w:rPr>
          <w:rFonts w:hint="eastAsia" w:ascii="仿宋_GB2312" w:hAnsi="宋体" w:eastAsia="仿宋_GB2312"/>
          <w:b/>
          <w:sz w:val="36"/>
          <w:szCs w:val="36"/>
        </w:rPr>
        <w:t>第二章    谈判须知</w:t>
      </w:r>
    </w:p>
    <w:p>
      <w:pPr>
        <w:snapToGrid w:val="0"/>
        <w:spacing w:line="480" w:lineRule="auto"/>
        <w:ind w:firstLine="1807" w:firstLineChars="500"/>
        <w:jc w:val="left"/>
        <w:rPr>
          <w:rFonts w:hint="eastAsia" w:ascii="仿宋_GB2312" w:hAnsi="宋体" w:eastAsia="仿宋_GB2312"/>
          <w:b/>
          <w:sz w:val="36"/>
          <w:szCs w:val="36"/>
        </w:rPr>
      </w:pPr>
      <w:r>
        <w:rPr>
          <w:rFonts w:hint="eastAsia" w:ascii="仿宋_GB2312" w:hAnsi="宋体" w:eastAsia="仿宋_GB2312"/>
          <w:b/>
          <w:sz w:val="36"/>
          <w:szCs w:val="36"/>
        </w:rPr>
        <w:t>第三章    采购需求</w:t>
      </w:r>
    </w:p>
    <w:p>
      <w:pPr>
        <w:snapToGrid w:val="0"/>
        <w:spacing w:line="480" w:lineRule="auto"/>
        <w:ind w:firstLine="1807" w:firstLineChars="500"/>
        <w:jc w:val="left"/>
        <w:rPr>
          <w:rFonts w:ascii="仿宋_GB2312" w:hAnsi="宋体" w:eastAsia="仿宋_GB2312"/>
          <w:b/>
          <w:sz w:val="36"/>
          <w:szCs w:val="36"/>
        </w:rPr>
      </w:pPr>
      <w:r>
        <w:rPr>
          <w:rFonts w:hint="eastAsia" w:ascii="仿宋_GB2312" w:hAnsi="宋体" w:eastAsia="仿宋_GB2312"/>
          <w:b/>
          <w:sz w:val="36"/>
          <w:szCs w:val="36"/>
        </w:rPr>
        <w:t xml:space="preserve">第四章    应提交的有关格式范例   </w:t>
      </w:r>
    </w:p>
    <w:p>
      <w:pPr>
        <w:spacing w:line="360" w:lineRule="auto"/>
        <w:ind w:firstLine="482" w:firstLineChars="200"/>
        <w:jc w:val="center"/>
        <w:rPr>
          <w:rFonts w:hint="eastAsia" w:ascii="宋体" w:hAnsi="宋体"/>
          <w:b/>
          <w:sz w:val="24"/>
        </w:rPr>
      </w:pPr>
      <w:r>
        <w:rPr>
          <w:rFonts w:hint="eastAsia" w:ascii="宋体" w:hAnsi="宋体"/>
          <w:b/>
          <w:sz w:val="24"/>
        </w:rPr>
        <w:t>本采购文件为2019年新制版本，请投标人详细阅读各项条款</w:t>
      </w:r>
    </w:p>
    <w:p>
      <w:pPr>
        <w:snapToGrid w:val="0"/>
        <w:spacing w:line="480" w:lineRule="auto"/>
        <w:ind w:firstLine="1807" w:firstLineChars="500"/>
        <w:jc w:val="left"/>
        <w:rPr>
          <w:rFonts w:hint="eastAsia" w:ascii="仿宋_GB2312" w:hAnsi="宋体" w:eastAsia="仿宋_GB2312"/>
          <w:b/>
          <w:sz w:val="36"/>
          <w:szCs w:val="36"/>
        </w:rPr>
      </w:pPr>
    </w:p>
    <w:p>
      <w:pPr>
        <w:spacing w:line="500" w:lineRule="exact"/>
        <w:rPr>
          <w:rStyle w:val="11"/>
          <w:rFonts w:hint="eastAsia"/>
          <w:sz w:val="30"/>
        </w:rPr>
      </w:pPr>
    </w:p>
    <w:p>
      <w:pPr>
        <w:spacing w:line="500" w:lineRule="exact"/>
        <w:rPr>
          <w:rStyle w:val="11"/>
          <w:rFonts w:hint="eastAsia"/>
          <w:sz w:val="30"/>
        </w:rPr>
      </w:pPr>
    </w:p>
    <w:p>
      <w:pPr>
        <w:spacing w:line="500" w:lineRule="exact"/>
        <w:rPr>
          <w:rStyle w:val="11"/>
          <w:rFonts w:hint="eastAsia"/>
          <w:sz w:val="30"/>
        </w:rPr>
      </w:pPr>
    </w:p>
    <w:p>
      <w:pPr>
        <w:spacing w:line="500" w:lineRule="exact"/>
        <w:rPr>
          <w:rStyle w:val="11"/>
          <w:rFonts w:hint="eastAsia"/>
          <w:sz w:val="30"/>
        </w:rPr>
      </w:pPr>
    </w:p>
    <w:p>
      <w:pPr>
        <w:spacing w:line="500" w:lineRule="exact"/>
        <w:rPr>
          <w:rStyle w:val="11"/>
          <w:rFonts w:hint="eastAsia"/>
          <w:sz w:val="30"/>
        </w:rPr>
      </w:pPr>
    </w:p>
    <w:p>
      <w:pPr>
        <w:spacing w:line="360" w:lineRule="exact"/>
        <w:jc w:val="both"/>
        <w:rPr>
          <w:rFonts w:hint="eastAsia" w:ascii="宋体" w:hAnsi="宋体"/>
          <w:b/>
          <w:sz w:val="36"/>
          <w:szCs w:val="36"/>
        </w:rPr>
      </w:pPr>
    </w:p>
    <w:p>
      <w:pPr>
        <w:spacing w:line="360" w:lineRule="exact"/>
        <w:jc w:val="center"/>
        <w:rPr>
          <w:rFonts w:hint="eastAsia" w:ascii="宋体" w:hAnsi="宋体"/>
          <w:b/>
          <w:sz w:val="36"/>
          <w:szCs w:val="36"/>
        </w:rPr>
      </w:pPr>
      <w:r>
        <w:rPr>
          <w:rFonts w:hint="eastAsia" w:ascii="宋体" w:hAnsi="宋体"/>
          <w:b/>
          <w:sz w:val="36"/>
          <w:szCs w:val="36"/>
        </w:rPr>
        <w:t>第一章  谈判邀请函</w:t>
      </w:r>
    </w:p>
    <w:p>
      <w:pPr>
        <w:spacing w:line="360" w:lineRule="exact"/>
        <w:jc w:val="center"/>
        <w:rPr>
          <w:rFonts w:hint="eastAsia" w:ascii="宋体" w:hAnsi="宋体"/>
          <w:b/>
          <w:sz w:val="36"/>
          <w:szCs w:val="36"/>
        </w:rPr>
      </w:pPr>
    </w:p>
    <w:p>
      <w:pPr>
        <w:pStyle w:val="12"/>
        <w:widowControl w:val="0"/>
        <w:spacing w:after="0" w:afterLines="0" w:line="280" w:lineRule="exact"/>
        <w:ind w:firstLine="3000" w:firstLineChars="1250"/>
        <w:rPr>
          <w:rFonts w:hint="eastAsia" w:ascii="宋体" w:hAnsi="宋体"/>
          <w:color w:val="000000"/>
        </w:rPr>
      </w:pPr>
      <w:r>
        <w:rPr>
          <w:rFonts w:hint="eastAsia" w:ascii="宋体" w:hAnsi="宋体"/>
          <w:color w:val="000000"/>
        </w:rPr>
        <w:t>（编号：诸广和2019-</w:t>
      </w:r>
      <w:r>
        <w:rPr>
          <w:rFonts w:hint="eastAsia" w:ascii="宋体" w:hAnsi="宋体"/>
          <w:color w:val="000000"/>
          <w:lang w:val="en-US" w:eastAsia="zh-CN"/>
        </w:rPr>
        <w:t>10</w:t>
      </w:r>
      <w:r>
        <w:rPr>
          <w:rFonts w:hint="eastAsia" w:ascii="宋体" w:hAnsi="宋体"/>
          <w:color w:val="000000"/>
        </w:rPr>
        <w:t>-</w:t>
      </w:r>
      <w:r>
        <w:rPr>
          <w:rFonts w:hint="eastAsia" w:ascii="宋体" w:hAnsi="宋体"/>
          <w:color w:val="000000"/>
          <w:lang w:val="en-US" w:eastAsia="zh-CN"/>
        </w:rPr>
        <w:t>16</w:t>
      </w:r>
      <w:r>
        <w:rPr>
          <w:rFonts w:hint="eastAsia" w:ascii="宋体" w:hAnsi="宋体"/>
          <w:color w:val="000000"/>
        </w:rPr>
        <w:t>）</w:t>
      </w:r>
    </w:p>
    <w:p>
      <w:pPr>
        <w:pStyle w:val="12"/>
        <w:widowControl w:val="0"/>
        <w:spacing w:after="0" w:afterLines="0" w:line="280" w:lineRule="exact"/>
        <w:ind w:firstLine="3000" w:firstLineChars="1250"/>
        <w:rPr>
          <w:rFonts w:hint="eastAsia" w:ascii="宋体" w:hAnsi="宋体"/>
          <w:color w:val="000000"/>
        </w:rPr>
      </w:pPr>
    </w:p>
    <w:p>
      <w:pPr>
        <w:pStyle w:val="12"/>
        <w:widowControl w:val="0"/>
        <w:spacing w:after="0" w:afterLines="0" w:line="360" w:lineRule="auto"/>
        <w:ind w:firstLine="0" w:firstLineChars="0"/>
        <w:jc w:val="left"/>
        <w:rPr>
          <w:rFonts w:hint="eastAsia" w:ascii="宋体" w:hAnsi="宋体" w:cs="宋体"/>
        </w:rPr>
      </w:pPr>
      <w:r>
        <w:rPr>
          <w:rFonts w:hint="eastAsia" w:ascii="宋体" w:hAnsi="宋体" w:cs="宋体"/>
        </w:rPr>
        <w:t>浙江网新恩普软件有限公司：</w:t>
      </w:r>
    </w:p>
    <w:p>
      <w:pPr>
        <w:pStyle w:val="12"/>
        <w:widowControl w:val="0"/>
        <w:spacing w:after="0" w:afterLines="0" w:line="360" w:lineRule="auto"/>
        <w:ind w:firstLine="480"/>
        <w:rPr>
          <w:rFonts w:hint="eastAsia" w:ascii="宋体" w:hAnsi="宋体" w:cs="宋体"/>
        </w:rPr>
      </w:pPr>
      <w:r>
        <w:rPr>
          <w:rFonts w:hint="eastAsia" w:ascii="宋体" w:hAnsi="宋体" w:cs="宋体"/>
        </w:rPr>
        <w:t>根据法律法规等有关规定，经诸暨市政府采购管理部门批准，</w:t>
      </w:r>
      <w:r>
        <w:rPr>
          <w:rFonts w:hint="eastAsia" w:ascii="宋体" w:hAnsi="宋体" w:cs="宋体"/>
          <w:szCs w:val="24"/>
        </w:rPr>
        <w:t>诸暨广和工程管理服务有限公司</w:t>
      </w:r>
      <w:r>
        <w:rPr>
          <w:rFonts w:hint="eastAsia" w:ascii="宋体" w:hAnsi="宋体" w:cs="宋体"/>
        </w:rPr>
        <w:t>受诸暨市医疗保障局委托，对下述项目进行单一来源采购，特邀请贵公司参加采购谈判，现将有关事项通知如下：</w:t>
      </w:r>
    </w:p>
    <w:p>
      <w:pPr>
        <w:pStyle w:val="12"/>
        <w:widowControl w:val="0"/>
        <w:spacing w:after="0" w:afterLines="0" w:line="360" w:lineRule="auto"/>
        <w:ind w:firstLine="0" w:firstLineChars="0"/>
        <w:rPr>
          <w:rFonts w:hint="eastAsia" w:ascii="宋体" w:hAnsi="宋体" w:cs="宋体"/>
          <w:szCs w:val="21"/>
        </w:rPr>
      </w:pPr>
      <w:r>
        <w:rPr>
          <w:rFonts w:hint="eastAsia" w:ascii="宋体" w:hAnsi="宋体" w:cs="宋体"/>
          <w:b/>
          <w:color w:val="000000"/>
        </w:rPr>
        <w:t>一、项目名称：</w:t>
      </w:r>
      <w:r>
        <w:rPr>
          <w:rFonts w:hint="eastAsia" w:ascii="宋体" w:hAnsi="宋体" w:cs="宋体"/>
          <w:szCs w:val="21"/>
        </w:rPr>
        <w:t>诸暨市医疗保障局医保业务系统改造、升级服务采购项目</w:t>
      </w:r>
    </w:p>
    <w:p>
      <w:pPr>
        <w:pStyle w:val="13"/>
        <w:shd w:val="clear" w:color="auto" w:fill="FFFFFF"/>
        <w:snapToGrid w:val="0"/>
        <w:spacing w:before="0" w:beforeAutospacing="0" w:after="0" w:afterAutospacing="0" w:line="360" w:lineRule="auto"/>
        <w:rPr>
          <w:rFonts w:hint="eastAsia"/>
          <w:b/>
        </w:rPr>
      </w:pPr>
      <w:r>
        <w:rPr>
          <w:rFonts w:hint="eastAsia"/>
          <w:b/>
        </w:rPr>
        <w:t>二、项目内容及规模：</w:t>
      </w:r>
    </w:p>
    <w:p>
      <w:pPr>
        <w:ind w:firstLine="480" w:firstLineChars="200"/>
        <w:rPr>
          <w:rFonts w:hint="eastAsia" w:ascii="宋体" w:hAnsi="宋体"/>
          <w:sz w:val="24"/>
        </w:rPr>
      </w:pPr>
      <w:r>
        <w:rPr>
          <w:rFonts w:hint="eastAsia" w:ascii="宋体" w:hAnsi="宋体"/>
          <w:sz w:val="24"/>
        </w:rPr>
        <w:t>诸暨市医疗保障局医保业务系统改造、升级服务采购项目，估算采购金额为100万元整。</w:t>
      </w:r>
    </w:p>
    <w:p>
      <w:pPr>
        <w:shd w:val="clear" w:color="auto" w:fill="FFFFFF"/>
        <w:autoSpaceDE/>
        <w:autoSpaceDN/>
        <w:adjustRightInd/>
        <w:spacing w:line="360" w:lineRule="auto"/>
        <w:rPr>
          <w:rFonts w:hint="eastAsia" w:ascii="宋体" w:hAnsi="宋体" w:cs="宋体"/>
          <w:color w:val="auto"/>
          <w:sz w:val="24"/>
          <w:szCs w:val="24"/>
        </w:rPr>
      </w:pPr>
      <w:r>
        <w:rPr>
          <w:rFonts w:hint="eastAsia" w:ascii="宋体" w:hAnsi="宋体" w:cs="宋体"/>
          <w:b/>
          <w:color w:val="auto"/>
          <w:sz w:val="24"/>
          <w:szCs w:val="24"/>
        </w:rPr>
        <w:t>三、投标人（供应商）资格要求：</w:t>
      </w:r>
    </w:p>
    <w:p>
      <w:pPr>
        <w:spacing w:line="360" w:lineRule="auto"/>
        <w:ind w:firstLine="480" w:firstLineChars="200"/>
        <w:rPr>
          <w:rFonts w:hint="eastAsia" w:ascii="宋体" w:hAnsi="宋体" w:cs="宋体"/>
          <w:sz w:val="24"/>
        </w:rPr>
      </w:pPr>
      <w:r>
        <w:rPr>
          <w:rFonts w:hint="eastAsia" w:ascii="宋体" w:hAnsi="宋体" w:cs="宋体"/>
          <w:sz w:val="24"/>
        </w:rPr>
        <w:t>1、</w:t>
      </w:r>
      <w:r>
        <w:rPr>
          <w:rFonts w:hint="eastAsia" w:ascii="宋体" w:hAnsi="宋体" w:cs="宋体"/>
          <w:sz w:val="24"/>
          <w:szCs w:val="24"/>
        </w:rPr>
        <w:t>符合《中华人民共和国政府采购法》第二十二条规定的投标人资格要求；</w:t>
      </w:r>
    </w:p>
    <w:p>
      <w:pPr>
        <w:spacing w:line="360" w:lineRule="auto"/>
        <w:ind w:firstLine="480" w:firstLineChars="200"/>
        <w:rPr>
          <w:rFonts w:hint="eastAsia" w:ascii="宋体" w:hAnsi="宋体" w:cs="宋体"/>
          <w:sz w:val="24"/>
          <w:szCs w:val="24"/>
        </w:rPr>
      </w:pPr>
      <w:r>
        <w:rPr>
          <w:rFonts w:hint="eastAsia" w:ascii="宋体" w:hAnsi="宋体" w:cs="宋体"/>
          <w:sz w:val="24"/>
        </w:rPr>
        <w:t>2、经营范围与采购标的内容相符，具有良好信誉的独立法人</w:t>
      </w:r>
      <w:r>
        <w:rPr>
          <w:rFonts w:hint="eastAsia" w:ascii="宋体" w:hAnsi="宋体" w:cs="宋体"/>
          <w:sz w:val="24"/>
          <w:szCs w:val="24"/>
        </w:rPr>
        <w:t>；</w:t>
      </w:r>
    </w:p>
    <w:p>
      <w:pPr>
        <w:spacing w:line="360" w:lineRule="auto"/>
        <w:ind w:firstLine="480" w:firstLineChars="200"/>
        <w:rPr>
          <w:rFonts w:hint="eastAsia" w:ascii="宋体" w:hAnsi="宋体" w:cs="宋体"/>
          <w:sz w:val="24"/>
        </w:rPr>
      </w:pPr>
      <w:r>
        <w:rPr>
          <w:rFonts w:hint="eastAsia" w:ascii="宋体" w:hAnsi="宋体" w:cs="宋体"/>
          <w:sz w:val="24"/>
          <w:szCs w:val="24"/>
        </w:rPr>
        <w:t>3、</w:t>
      </w:r>
      <w:r>
        <w:rPr>
          <w:rFonts w:hint="eastAsia" w:ascii="宋体" w:hAnsi="宋体" w:cs="宋体"/>
          <w:sz w:val="24"/>
        </w:rPr>
        <w:t>本项目不接受联合体投标。</w:t>
      </w:r>
    </w:p>
    <w:p>
      <w:pPr>
        <w:shd w:val="clear" w:color="auto" w:fill="FFFFFF"/>
        <w:autoSpaceDE/>
        <w:autoSpaceDN/>
        <w:adjustRightInd/>
        <w:spacing w:line="360" w:lineRule="auto"/>
        <w:rPr>
          <w:rFonts w:hint="eastAsia" w:ascii="宋体" w:hAnsi="宋体" w:cs="宋体"/>
          <w:b/>
          <w:color w:val="auto"/>
          <w:sz w:val="24"/>
          <w:szCs w:val="24"/>
        </w:rPr>
      </w:pPr>
      <w:r>
        <w:rPr>
          <w:rFonts w:hint="eastAsia" w:ascii="宋体" w:hAnsi="宋体" w:cs="宋体"/>
          <w:b/>
          <w:color w:val="auto"/>
          <w:sz w:val="24"/>
          <w:szCs w:val="24"/>
        </w:rPr>
        <w:t xml:space="preserve">四、谈判所需资料： </w:t>
      </w:r>
    </w:p>
    <w:p>
      <w:pPr>
        <w:numPr>
          <w:ilvl w:val="0"/>
          <w:numId w:val="2"/>
        </w:numPr>
        <w:shd w:val="clear" w:color="auto" w:fill="FFFFFF"/>
        <w:autoSpaceDE/>
        <w:autoSpaceDN/>
        <w:adjustRightInd/>
        <w:spacing w:line="360" w:lineRule="auto"/>
        <w:rPr>
          <w:rFonts w:hint="eastAsia" w:ascii="宋体" w:hAnsi="宋体" w:cs="宋体"/>
          <w:color w:val="auto"/>
          <w:sz w:val="24"/>
          <w:szCs w:val="20"/>
        </w:rPr>
      </w:pPr>
      <w:r>
        <w:rPr>
          <w:rFonts w:hint="eastAsia" w:ascii="宋体" w:hAnsi="宋体" w:cs="宋体"/>
          <w:color w:val="auto"/>
          <w:sz w:val="24"/>
          <w:szCs w:val="24"/>
        </w:rPr>
        <w:t>营业执照复印件</w:t>
      </w:r>
      <w:r>
        <w:rPr>
          <w:rFonts w:hint="eastAsia" w:ascii="宋体" w:hAnsi="宋体" w:cs="宋体"/>
          <w:color w:val="auto"/>
          <w:sz w:val="24"/>
          <w:szCs w:val="20"/>
        </w:rPr>
        <w:t>（须加盖单位公章）</w:t>
      </w:r>
      <w:r>
        <w:rPr>
          <w:rFonts w:hint="eastAsia" w:ascii="宋体" w:hAnsi="宋体" w:cs="宋体"/>
          <w:color w:val="auto"/>
          <w:sz w:val="24"/>
        </w:rPr>
        <w:t>。</w:t>
      </w:r>
    </w:p>
    <w:p>
      <w:pPr>
        <w:numPr>
          <w:ilvl w:val="0"/>
          <w:numId w:val="2"/>
        </w:numPr>
        <w:shd w:val="clear" w:color="auto" w:fill="FFFFFF"/>
        <w:autoSpaceDE/>
        <w:autoSpaceDN/>
        <w:adjustRightInd/>
        <w:spacing w:line="360" w:lineRule="auto"/>
        <w:rPr>
          <w:rFonts w:hint="eastAsia" w:ascii="宋体" w:hAnsi="宋体" w:cs="宋体"/>
          <w:color w:val="auto"/>
          <w:sz w:val="24"/>
          <w:szCs w:val="20"/>
        </w:rPr>
      </w:pPr>
      <w:r>
        <w:rPr>
          <w:rFonts w:hint="eastAsia" w:ascii="宋体" w:hAnsi="宋体" w:cs="宋体"/>
          <w:color w:val="auto"/>
          <w:sz w:val="24"/>
          <w:szCs w:val="20"/>
        </w:rPr>
        <w:t>谈判代表名单，需指明主要谈判人员（加盖单位公章）。</w:t>
      </w:r>
    </w:p>
    <w:p>
      <w:pPr>
        <w:numPr>
          <w:ilvl w:val="0"/>
          <w:numId w:val="2"/>
        </w:numPr>
        <w:shd w:val="clear" w:color="auto" w:fill="FFFFFF"/>
        <w:autoSpaceDE/>
        <w:autoSpaceDN/>
        <w:adjustRightInd/>
        <w:spacing w:line="360" w:lineRule="auto"/>
        <w:rPr>
          <w:rFonts w:hint="eastAsia" w:ascii="宋体" w:hAnsi="宋体" w:cs="宋体"/>
          <w:color w:val="auto"/>
          <w:sz w:val="24"/>
          <w:szCs w:val="20"/>
        </w:rPr>
      </w:pPr>
      <w:r>
        <w:rPr>
          <w:rFonts w:hint="eastAsia" w:ascii="宋体" w:hAnsi="宋体" w:cs="宋体"/>
          <w:color w:val="auto"/>
          <w:sz w:val="24"/>
          <w:szCs w:val="20"/>
        </w:rPr>
        <w:t>授权委托人参加谈判的需携带授权委托书。</w:t>
      </w:r>
    </w:p>
    <w:p>
      <w:pPr>
        <w:numPr>
          <w:ilvl w:val="0"/>
          <w:numId w:val="2"/>
        </w:numPr>
        <w:shd w:val="clear" w:color="auto" w:fill="FFFFFF"/>
        <w:autoSpaceDE/>
        <w:autoSpaceDN/>
        <w:adjustRightInd/>
        <w:spacing w:line="360" w:lineRule="auto"/>
        <w:rPr>
          <w:rFonts w:hint="eastAsia" w:ascii="宋体" w:hAnsi="宋体" w:cs="宋体"/>
          <w:color w:val="auto"/>
          <w:sz w:val="24"/>
          <w:szCs w:val="20"/>
        </w:rPr>
      </w:pPr>
      <w:r>
        <w:rPr>
          <w:rFonts w:hint="eastAsia" w:ascii="宋体" w:hAnsi="宋体" w:cs="宋体"/>
          <w:color w:val="auto"/>
          <w:sz w:val="24"/>
          <w:szCs w:val="20"/>
        </w:rPr>
        <w:t>谈判响应文件。</w:t>
      </w:r>
    </w:p>
    <w:p>
      <w:pPr>
        <w:numPr>
          <w:ilvl w:val="0"/>
          <w:numId w:val="2"/>
        </w:numPr>
        <w:shd w:val="clear" w:color="auto" w:fill="FFFFFF"/>
        <w:autoSpaceDE/>
        <w:autoSpaceDN/>
        <w:adjustRightInd/>
        <w:spacing w:line="360" w:lineRule="auto"/>
        <w:rPr>
          <w:rFonts w:hint="eastAsia" w:ascii="宋体" w:hAnsi="宋体" w:cs="宋体"/>
          <w:color w:val="auto"/>
          <w:sz w:val="24"/>
          <w:szCs w:val="20"/>
        </w:rPr>
      </w:pPr>
      <w:r>
        <w:rPr>
          <w:rFonts w:hint="eastAsia" w:ascii="宋体" w:hAnsi="宋体" w:cs="宋体"/>
          <w:color w:val="auto"/>
          <w:sz w:val="24"/>
          <w:szCs w:val="20"/>
        </w:rPr>
        <w:t>参加谈判人员均需携带本人身份证原件及复印件一份。</w:t>
      </w:r>
    </w:p>
    <w:p>
      <w:pPr>
        <w:shd w:val="clear" w:color="auto" w:fill="FFFFFF"/>
        <w:autoSpaceDE/>
        <w:autoSpaceDN/>
        <w:adjustRightInd/>
        <w:spacing w:line="360" w:lineRule="auto"/>
        <w:rPr>
          <w:rFonts w:hint="eastAsia" w:ascii="宋体" w:hAnsi="宋体" w:cs="宋体"/>
          <w:b/>
          <w:color w:val="auto"/>
          <w:sz w:val="24"/>
          <w:szCs w:val="24"/>
        </w:rPr>
      </w:pPr>
      <w:r>
        <w:rPr>
          <w:rFonts w:hint="eastAsia" w:ascii="宋体" w:hAnsi="宋体" w:cs="宋体"/>
          <w:b/>
          <w:color w:val="auto"/>
          <w:sz w:val="24"/>
          <w:szCs w:val="24"/>
        </w:rPr>
        <w:t>五、谈判保证金：</w:t>
      </w:r>
    </w:p>
    <w:p>
      <w:pPr>
        <w:pStyle w:val="7"/>
        <w:shd w:val="clear" w:color="auto" w:fill="FFFFFF"/>
        <w:spacing w:line="360" w:lineRule="auto"/>
        <w:ind w:firstLine="480" w:firstLineChars="200"/>
        <w:jc w:val="left"/>
        <w:rPr>
          <w:rFonts w:hint="eastAsia" w:ascii="宋体" w:hAnsi="宋体" w:cs="宋体"/>
          <w:color w:val="auto"/>
          <w:kern w:val="0"/>
        </w:rPr>
      </w:pPr>
      <w:r>
        <w:rPr>
          <w:rFonts w:hint="eastAsia" w:ascii="宋体" w:hAnsi="宋体" w:cs="宋体"/>
          <w:color w:val="auto"/>
          <w:kern w:val="0"/>
        </w:rPr>
        <w:t>本次谈判免收谈判保证金。</w:t>
      </w:r>
    </w:p>
    <w:p>
      <w:pPr>
        <w:shd w:val="clear" w:color="auto" w:fill="FFFFFF"/>
        <w:autoSpaceDE/>
        <w:autoSpaceDN/>
        <w:adjustRightInd/>
        <w:spacing w:line="360" w:lineRule="auto"/>
        <w:rPr>
          <w:rFonts w:hint="eastAsia" w:ascii="宋体" w:hAnsi="宋体" w:cs="宋体"/>
          <w:b/>
          <w:color w:val="auto"/>
          <w:sz w:val="24"/>
          <w:szCs w:val="24"/>
        </w:rPr>
      </w:pPr>
      <w:r>
        <w:rPr>
          <w:rFonts w:hint="eastAsia" w:ascii="宋体" w:hAnsi="宋体" w:cs="宋体"/>
          <w:b/>
          <w:color w:val="auto"/>
          <w:sz w:val="24"/>
          <w:szCs w:val="24"/>
        </w:rPr>
        <w:t>六、谈判响应文件提交：</w:t>
      </w:r>
    </w:p>
    <w:p>
      <w:pPr>
        <w:pStyle w:val="7"/>
        <w:shd w:val="clear" w:color="auto" w:fill="FFFFFF"/>
        <w:spacing w:line="360" w:lineRule="auto"/>
        <w:ind w:firstLine="480" w:firstLineChars="200"/>
        <w:jc w:val="left"/>
        <w:rPr>
          <w:rFonts w:hint="eastAsia" w:ascii="宋体" w:hAnsi="宋体" w:cs="宋体"/>
          <w:color w:val="auto"/>
          <w:kern w:val="0"/>
        </w:rPr>
      </w:pPr>
      <w:r>
        <w:rPr>
          <w:rFonts w:hint="eastAsia" w:ascii="宋体" w:hAnsi="宋体" w:cs="宋体"/>
          <w:color w:val="auto"/>
          <w:kern w:val="0"/>
        </w:rPr>
        <w:t>谈判响应人须于</w:t>
      </w:r>
      <w:r>
        <w:rPr>
          <w:rFonts w:hint="eastAsia" w:ascii="宋体" w:hAnsi="宋体" w:cs="宋体"/>
          <w:color w:val="auto"/>
          <w:szCs w:val="24"/>
        </w:rPr>
        <w:t>2019年</w:t>
      </w:r>
      <w:r>
        <w:rPr>
          <w:rFonts w:hint="eastAsia" w:ascii="宋体" w:hAnsi="宋体" w:cs="宋体"/>
          <w:color w:val="auto"/>
          <w:szCs w:val="24"/>
          <w:lang w:val="en-US" w:eastAsia="zh-CN"/>
        </w:rPr>
        <w:t>10</w:t>
      </w:r>
      <w:r>
        <w:rPr>
          <w:rFonts w:hint="eastAsia" w:ascii="宋体" w:hAnsi="宋体" w:cs="宋体"/>
          <w:color w:val="auto"/>
          <w:szCs w:val="24"/>
        </w:rPr>
        <w:t>月</w:t>
      </w:r>
      <w:r>
        <w:rPr>
          <w:rFonts w:hint="eastAsia" w:ascii="宋体" w:hAnsi="宋体" w:cs="宋体"/>
          <w:color w:val="auto"/>
          <w:szCs w:val="24"/>
          <w:lang w:val="en-US" w:eastAsia="zh-CN"/>
        </w:rPr>
        <w:t>21</w:t>
      </w:r>
      <w:r>
        <w:rPr>
          <w:rFonts w:hint="eastAsia" w:ascii="宋体" w:hAnsi="宋体" w:cs="宋体"/>
          <w:color w:val="auto"/>
          <w:szCs w:val="24"/>
        </w:rPr>
        <w:t>日</w:t>
      </w:r>
      <w:r>
        <w:rPr>
          <w:rFonts w:hint="eastAsia" w:ascii="宋体" w:hAnsi="宋体" w:cs="宋体"/>
          <w:color w:val="auto"/>
          <w:kern w:val="0"/>
        </w:rPr>
        <w:t>下午</w:t>
      </w:r>
      <w:r>
        <w:rPr>
          <w:rFonts w:hint="eastAsia" w:ascii="宋体" w:hAnsi="宋体" w:cs="宋体"/>
          <w:color w:val="FF0000"/>
          <w:kern w:val="0"/>
        </w:rPr>
        <w:t>1</w:t>
      </w:r>
      <w:r>
        <w:rPr>
          <w:rFonts w:hint="eastAsia" w:ascii="宋体" w:hAnsi="宋体" w:cs="宋体"/>
          <w:color w:val="FF0000"/>
          <w:kern w:val="0"/>
          <w:lang w:val="en-US" w:eastAsia="zh-CN"/>
        </w:rPr>
        <w:t>4</w:t>
      </w:r>
      <w:r>
        <w:rPr>
          <w:rFonts w:hint="eastAsia" w:ascii="宋体" w:hAnsi="宋体" w:cs="宋体"/>
          <w:color w:val="FF0000"/>
          <w:kern w:val="0"/>
        </w:rPr>
        <w:t>:</w:t>
      </w:r>
      <w:r>
        <w:rPr>
          <w:rFonts w:hint="eastAsia" w:ascii="宋体" w:hAnsi="宋体" w:cs="宋体"/>
          <w:color w:val="FF0000"/>
          <w:kern w:val="0"/>
          <w:lang w:val="en-US" w:eastAsia="zh-CN"/>
        </w:rPr>
        <w:t>3</w:t>
      </w:r>
      <w:r>
        <w:rPr>
          <w:rFonts w:hint="eastAsia" w:ascii="宋体" w:hAnsi="宋体" w:cs="宋体"/>
          <w:color w:val="FF0000"/>
          <w:kern w:val="0"/>
        </w:rPr>
        <w:t>0</w:t>
      </w:r>
      <w:r>
        <w:rPr>
          <w:rFonts w:hint="eastAsia" w:ascii="宋体" w:hAnsi="宋体" w:cs="宋体"/>
          <w:color w:val="auto"/>
          <w:kern w:val="0"/>
        </w:rPr>
        <w:t>时前将谈判响应文件密封送达</w:t>
      </w:r>
      <w:r>
        <w:rPr>
          <w:rFonts w:hint="eastAsia" w:ascii="宋体" w:hAnsi="宋体" w:cs="宋体"/>
          <w:color w:val="auto"/>
          <w:kern w:val="0"/>
          <w:lang w:eastAsia="zh-CN"/>
        </w:rPr>
        <w:t>诸暨市公共资源交易中心开标（</w:t>
      </w:r>
      <w:r>
        <w:rPr>
          <w:rFonts w:hint="eastAsia" w:ascii="宋体" w:hAnsi="宋体" w:cs="宋体"/>
          <w:color w:val="auto"/>
          <w:kern w:val="0"/>
          <w:lang w:val="en-US" w:eastAsia="zh-CN"/>
        </w:rPr>
        <w:t>2</w:t>
      </w:r>
      <w:r>
        <w:rPr>
          <w:rFonts w:hint="eastAsia" w:ascii="宋体" w:hAnsi="宋体" w:cs="宋体"/>
          <w:color w:val="auto"/>
          <w:kern w:val="0"/>
          <w:lang w:eastAsia="zh-CN"/>
        </w:rPr>
        <w:t>）室</w:t>
      </w:r>
      <w:r>
        <w:rPr>
          <w:rFonts w:hint="eastAsia" w:ascii="宋体" w:hAnsi="宋体" w:cs="宋体"/>
          <w:color w:val="auto"/>
          <w:kern w:val="0"/>
        </w:rPr>
        <w:t>。</w:t>
      </w:r>
    </w:p>
    <w:p>
      <w:pPr>
        <w:shd w:val="clear" w:color="auto" w:fill="FFFFFF"/>
        <w:autoSpaceDE/>
        <w:autoSpaceDN/>
        <w:adjustRightInd/>
        <w:spacing w:line="360" w:lineRule="auto"/>
        <w:rPr>
          <w:rFonts w:hint="eastAsia" w:ascii="宋体" w:hAnsi="宋体" w:cs="宋体"/>
          <w:b/>
          <w:color w:val="auto"/>
          <w:sz w:val="24"/>
          <w:szCs w:val="24"/>
        </w:rPr>
      </w:pPr>
      <w:r>
        <w:rPr>
          <w:rFonts w:hint="eastAsia" w:ascii="宋体" w:hAnsi="宋体" w:cs="宋体"/>
          <w:b/>
          <w:color w:val="auto"/>
          <w:sz w:val="24"/>
          <w:szCs w:val="24"/>
        </w:rPr>
        <w:t>七、谈判时间和地点：</w:t>
      </w:r>
    </w:p>
    <w:p>
      <w:pPr>
        <w:pStyle w:val="7"/>
        <w:shd w:val="clear" w:color="auto" w:fill="FFFFFF"/>
        <w:spacing w:line="360" w:lineRule="auto"/>
        <w:ind w:firstLine="480" w:firstLineChars="200"/>
        <w:jc w:val="left"/>
        <w:rPr>
          <w:rFonts w:hint="eastAsia" w:ascii="宋体" w:hAnsi="宋体" w:cs="宋体"/>
          <w:kern w:val="0"/>
        </w:rPr>
      </w:pPr>
      <w:r>
        <w:rPr>
          <w:rFonts w:hint="eastAsia" w:ascii="宋体" w:hAnsi="宋体" w:cs="宋体"/>
          <w:kern w:val="0"/>
        </w:rPr>
        <w:t>谈判定于</w:t>
      </w:r>
      <w:r>
        <w:rPr>
          <w:rFonts w:hint="eastAsia" w:ascii="宋体" w:hAnsi="宋体" w:cs="宋体"/>
          <w:color w:val="auto"/>
          <w:szCs w:val="24"/>
        </w:rPr>
        <w:t>2019年</w:t>
      </w:r>
      <w:r>
        <w:rPr>
          <w:rFonts w:hint="eastAsia" w:ascii="宋体" w:hAnsi="宋体" w:cs="宋体"/>
          <w:color w:val="auto"/>
          <w:szCs w:val="24"/>
          <w:lang w:val="en-US" w:eastAsia="zh-CN"/>
        </w:rPr>
        <w:t>10</w:t>
      </w:r>
      <w:r>
        <w:rPr>
          <w:rFonts w:hint="eastAsia" w:ascii="宋体" w:hAnsi="宋体" w:cs="宋体"/>
          <w:color w:val="auto"/>
          <w:szCs w:val="24"/>
        </w:rPr>
        <w:t>月</w:t>
      </w:r>
      <w:r>
        <w:rPr>
          <w:rFonts w:hint="eastAsia" w:ascii="宋体" w:hAnsi="宋体" w:cs="宋体"/>
          <w:color w:val="auto"/>
          <w:szCs w:val="24"/>
          <w:lang w:val="en-US" w:eastAsia="zh-CN"/>
        </w:rPr>
        <w:t>21</w:t>
      </w:r>
      <w:r>
        <w:rPr>
          <w:rFonts w:hint="eastAsia" w:ascii="宋体" w:hAnsi="宋体" w:cs="宋体"/>
          <w:color w:val="auto"/>
          <w:szCs w:val="24"/>
        </w:rPr>
        <w:t>日</w:t>
      </w:r>
      <w:r>
        <w:rPr>
          <w:rFonts w:hint="eastAsia" w:ascii="宋体" w:hAnsi="宋体" w:cs="宋体"/>
          <w:kern w:val="0"/>
        </w:rPr>
        <w:t>下午</w:t>
      </w:r>
      <w:r>
        <w:rPr>
          <w:rFonts w:hint="eastAsia" w:ascii="宋体" w:hAnsi="宋体" w:cs="宋体"/>
          <w:color w:val="FF0000"/>
          <w:kern w:val="0"/>
        </w:rPr>
        <w:t>1</w:t>
      </w:r>
      <w:r>
        <w:rPr>
          <w:rFonts w:hint="eastAsia" w:ascii="宋体" w:hAnsi="宋体" w:cs="宋体"/>
          <w:color w:val="FF0000"/>
          <w:kern w:val="0"/>
          <w:lang w:val="en-US" w:eastAsia="zh-CN"/>
        </w:rPr>
        <w:t>4</w:t>
      </w:r>
      <w:r>
        <w:rPr>
          <w:rFonts w:hint="eastAsia" w:ascii="宋体" w:hAnsi="宋体" w:cs="宋体"/>
          <w:color w:val="FF0000"/>
          <w:kern w:val="0"/>
        </w:rPr>
        <w:t>:</w:t>
      </w:r>
      <w:r>
        <w:rPr>
          <w:rFonts w:hint="eastAsia" w:ascii="宋体" w:hAnsi="宋体" w:cs="宋体"/>
          <w:color w:val="FF0000"/>
          <w:kern w:val="0"/>
          <w:lang w:val="en-US" w:eastAsia="zh-CN"/>
        </w:rPr>
        <w:t>3</w:t>
      </w:r>
      <w:r>
        <w:rPr>
          <w:rFonts w:hint="eastAsia" w:ascii="宋体" w:hAnsi="宋体" w:cs="宋体"/>
          <w:color w:val="FF0000"/>
          <w:kern w:val="0"/>
        </w:rPr>
        <w:t>0</w:t>
      </w:r>
      <w:r>
        <w:rPr>
          <w:rFonts w:hint="eastAsia" w:ascii="宋体" w:hAnsi="宋体" w:cs="宋体"/>
          <w:kern w:val="0"/>
        </w:rPr>
        <w:t>时在</w:t>
      </w:r>
      <w:r>
        <w:rPr>
          <w:rFonts w:hint="eastAsia" w:ascii="宋体" w:hAnsi="宋体" w:cs="宋体"/>
          <w:kern w:val="0"/>
          <w:lang w:eastAsia="zh-CN"/>
        </w:rPr>
        <w:t>诸暨市公共资源交易中心开标（</w:t>
      </w:r>
      <w:r>
        <w:rPr>
          <w:rFonts w:hint="eastAsia" w:ascii="宋体" w:hAnsi="宋体" w:cs="宋体"/>
          <w:kern w:val="0"/>
          <w:lang w:val="en-US" w:eastAsia="zh-CN"/>
        </w:rPr>
        <w:t>2</w:t>
      </w:r>
      <w:r>
        <w:rPr>
          <w:rFonts w:hint="eastAsia" w:ascii="宋体" w:hAnsi="宋体" w:cs="宋体"/>
          <w:kern w:val="0"/>
          <w:lang w:eastAsia="zh-CN"/>
        </w:rPr>
        <w:t>）室</w:t>
      </w:r>
      <w:r>
        <w:rPr>
          <w:rFonts w:hint="eastAsia" w:ascii="宋体" w:hAnsi="宋体" w:cs="宋体"/>
          <w:kern w:val="0"/>
        </w:rPr>
        <w:t>举行。</w:t>
      </w:r>
    </w:p>
    <w:p>
      <w:pPr>
        <w:shd w:val="clear" w:color="auto" w:fill="FFFFFF"/>
        <w:autoSpaceDE/>
        <w:autoSpaceDN/>
        <w:adjustRightInd/>
        <w:spacing w:line="360" w:lineRule="auto"/>
        <w:rPr>
          <w:rFonts w:hint="eastAsia" w:ascii="宋体" w:hAnsi="宋体" w:cs="宋体"/>
          <w:b/>
          <w:color w:val="auto"/>
          <w:sz w:val="24"/>
          <w:szCs w:val="24"/>
        </w:rPr>
      </w:pPr>
      <w:r>
        <w:rPr>
          <w:rFonts w:hint="eastAsia" w:ascii="宋体" w:hAnsi="宋体" w:cs="宋体"/>
          <w:b/>
          <w:color w:val="auto"/>
          <w:sz w:val="24"/>
          <w:szCs w:val="24"/>
        </w:rPr>
        <w:t>八、业务咨询：</w:t>
      </w:r>
    </w:p>
    <w:p>
      <w:pPr>
        <w:pStyle w:val="7"/>
        <w:shd w:val="clear" w:color="auto" w:fill="FFFFFF"/>
        <w:spacing w:line="360" w:lineRule="auto"/>
        <w:ind w:firstLine="480" w:firstLineChars="200"/>
        <w:jc w:val="left"/>
        <w:rPr>
          <w:rFonts w:hint="eastAsia" w:ascii="宋体" w:hAnsi="宋体"/>
          <w:kern w:val="0"/>
          <w:szCs w:val="24"/>
        </w:rPr>
      </w:pPr>
      <w:r>
        <w:rPr>
          <w:rFonts w:hint="eastAsia" w:ascii="宋体" w:hAnsi="宋体" w:cs="宋体"/>
          <w:szCs w:val="24"/>
        </w:rPr>
        <w:t>采购单位</w:t>
      </w:r>
      <w:r>
        <w:rPr>
          <w:rFonts w:hint="eastAsia" w:ascii="宋体" w:hAnsi="宋体" w:cs="宋体"/>
        </w:rPr>
        <w:t>联系人</w:t>
      </w:r>
      <w:r>
        <w:rPr>
          <w:rFonts w:hint="eastAsia" w:ascii="宋体" w:hAnsi="宋体"/>
          <w:kern w:val="0"/>
          <w:szCs w:val="24"/>
        </w:rPr>
        <w:t>：王钶钶；  联系电话：18758518989</w:t>
      </w:r>
    </w:p>
    <w:p>
      <w:pPr>
        <w:shd w:val="clear" w:color="auto" w:fill="FFFFFF"/>
        <w:snapToGrid w:val="0"/>
        <w:spacing w:line="360" w:lineRule="auto"/>
        <w:ind w:firstLine="480" w:firstLineChars="200"/>
        <w:rPr>
          <w:rFonts w:hint="eastAsia" w:ascii="宋体" w:hAnsi="宋体"/>
          <w:sz w:val="24"/>
          <w:szCs w:val="24"/>
        </w:rPr>
      </w:pPr>
      <w:r>
        <w:rPr>
          <w:rFonts w:hint="eastAsia" w:ascii="宋体" w:hAnsi="宋体" w:cs="宋体"/>
          <w:color w:val="auto"/>
          <w:sz w:val="24"/>
          <w:szCs w:val="24"/>
        </w:rPr>
        <w:t>代理公司</w:t>
      </w:r>
      <w:r>
        <w:rPr>
          <w:rFonts w:hint="eastAsia" w:ascii="宋体" w:hAnsi="宋体" w:cs="宋体"/>
          <w:color w:val="auto"/>
          <w:sz w:val="24"/>
        </w:rPr>
        <w:t>联系人：徐招红；  联系电话：</w:t>
      </w:r>
      <w:r>
        <w:rPr>
          <w:rFonts w:hint="eastAsia" w:ascii="宋体" w:hAnsi="宋体"/>
          <w:sz w:val="24"/>
          <w:szCs w:val="24"/>
        </w:rPr>
        <w:t>17858166756</w:t>
      </w:r>
    </w:p>
    <w:p>
      <w:pPr>
        <w:shd w:val="clear" w:color="auto" w:fill="FFFFFF"/>
        <w:snapToGrid w:val="0"/>
        <w:spacing w:line="360" w:lineRule="auto"/>
        <w:ind w:firstLine="480" w:firstLineChars="200"/>
        <w:rPr>
          <w:rFonts w:ascii="宋体" w:hAnsi="宋体" w:cs="宋体"/>
          <w:color w:val="auto"/>
          <w:sz w:val="24"/>
        </w:rPr>
      </w:pPr>
      <w:r>
        <w:rPr>
          <w:rFonts w:hint="eastAsia" w:ascii="宋体" w:hAnsi="宋体" w:cs="宋体"/>
          <w:color w:val="auto"/>
          <w:sz w:val="24"/>
        </w:rPr>
        <w:t>传真电话：0575-887911619</w:t>
      </w:r>
    </w:p>
    <w:p>
      <w:pPr>
        <w:spacing w:line="360" w:lineRule="auto"/>
        <w:ind w:firstLine="480" w:firstLineChars="200"/>
        <w:rPr>
          <w:rFonts w:hint="eastAsia" w:ascii="宋体" w:hAnsi="宋体" w:cs="宋体"/>
          <w:color w:val="auto"/>
          <w:sz w:val="24"/>
          <w:szCs w:val="24"/>
        </w:rPr>
      </w:pPr>
    </w:p>
    <w:p>
      <w:pPr>
        <w:spacing w:line="360" w:lineRule="auto"/>
        <w:jc w:val="right"/>
        <w:rPr>
          <w:rFonts w:hint="eastAsia" w:ascii="宋体" w:hAnsi="宋体" w:cs="宋体"/>
          <w:color w:val="auto"/>
          <w:sz w:val="24"/>
          <w:szCs w:val="24"/>
        </w:rPr>
      </w:pPr>
      <w:r>
        <w:rPr>
          <w:rFonts w:hint="eastAsia" w:ascii="宋体" w:hAnsi="宋体" w:cs="宋体"/>
          <w:color w:val="auto"/>
          <w:sz w:val="24"/>
          <w:szCs w:val="24"/>
        </w:rPr>
        <w:t>诸暨市医疗保障局</w:t>
      </w:r>
    </w:p>
    <w:p>
      <w:pPr>
        <w:snapToGrid w:val="0"/>
        <w:spacing w:line="360" w:lineRule="auto"/>
        <w:jc w:val="right"/>
        <w:rPr>
          <w:rFonts w:hint="eastAsia" w:ascii="宋体" w:hAnsi="宋体" w:cs="宋体"/>
          <w:color w:val="auto"/>
          <w:sz w:val="24"/>
          <w:szCs w:val="24"/>
        </w:rPr>
      </w:pPr>
      <w:r>
        <w:rPr>
          <w:rFonts w:hint="eastAsia" w:ascii="宋体" w:hAnsi="宋体" w:cs="宋体"/>
          <w:color w:val="auto"/>
          <w:sz w:val="24"/>
          <w:szCs w:val="24"/>
        </w:rPr>
        <w:t>诸暨广和工程管理服务有限公司</w:t>
      </w:r>
    </w:p>
    <w:p>
      <w:pPr>
        <w:snapToGrid w:val="0"/>
        <w:spacing w:line="360" w:lineRule="auto"/>
        <w:jc w:val="right"/>
        <w:rPr>
          <w:rFonts w:hint="eastAsia" w:ascii="宋体" w:hAnsi="宋体" w:cs="宋体"/>
          <w:b/>
          <w:color w:val="auto"/>
          <w:sz w:val="24"/>
        </w:rPr>
      </w:pPr>
      <w:r>
        <w:rPr>
          <w:rFonts w:hint="eastAsia" w:ascii="宋体" w:hAnsi="宋体" w:cs="宋体"/>
          <w:color w:val="auto"/>
          <w:sz w:val="24"/>
          <w:szCs w:val="24"/>
        </w:rPr>
        <w:t>2019年</w:t>
      </w:r>
      <w:r>
        <w:rPr>
          <w:rFonts w:hint="eastAsia" w:ascii="宋体" w:hAnsi="宋体" w:cs="宋体"/>
          <w:color w:val="auto"/>
          <w:sz w:val="24"/>
          <w:szCs w:val="24"/>
          <w:lang w:val="en-US" w:eastAsia="zh-CN"/>
        </w:rPr>
        <w:t>10</w:t>
      </w:r>
      <w:r>
        <w:rPr>
          <w:rFonts w:hint="eastAsia" w:ascii="宋体" w:hAnsi="宋体" w:cs="宋体"/>
          <w:color w:val="auto"/>
          <w:sz w:val="24"/>
          <w:szCs w:val="24"/>
        </w:rPr>
        <w:t>月</w:t>
      </w:r>
      <w:r>
        <w:rPr>
          <w:rFonts w:hint="eastAsia" w:ascii="宋体" w:hAnsi="宋体" w:cs="宋体"/>
          <w:color w:val="auto"/>
          <w:sz w:val="24"/>
          <w:szCs w:val="24"/>
          <w:lang w:val="en-US" w:eastAsia="zh-CN"/>
        </w:rPr>
        <w:t>9</w:t>
      </w:r>
      <w:r>
        <w:rPr>
          <w:rFonts w:hint="eastAsia" w:ascii="宋体" w:hAnsi="宋体" w:cs="宋体"/>
          <w:color w:val="auto"/>
          <w:sz w:val="24"/>
          <w:szCs w:val="24"/>
        </w:rPr>
        <w:t>日</w:t>
      </w:r>
    </w:p>
    <w:p>
      <w:pPr>
        <w:jc w:val="right"/>
        <w:rPr>
          <w:rFonts w:hint="eastAsia" w:ascii="宋体" w:hAnsi="宋体"/>
        </w:rPr>
      </w:pPr>
    </w:p>
    <w:p>
      <w:pPr>
        <w:jc w:val="right"/>
        <w:rPr>
          <w:rFonts w:hint="eastAsia" w:ascii="宋体" w:hAnsi="宋体"/>
        </w:rPr>
      </w:pPr>
    </w:p>
    <w:p>
      <w:pPr>
        <w:jc w:val="right"/>
        <w:rPr>
          <w:rFonts w:hint="eastAsia" w:ascii="宋体" w:hAnsi="宋体"/>
        </w:rPr>
      </w:pPr>
    </w:p>
    <w:p>
      <w:pPr>
        <w:jc w:val="right"/>
        <w:rPr>
          <w:rFonts w:hint="eastAsia" w:ascii="宋体" w:hAnsi="宋体"/>
        </w:rPr>
      </w:pPr>
    </w:p>
    <w:p>
      <w:pPr>
        <w:jc w:val="right"/>
        <w:rPr>
          <w:rFonts w:hint="eastAsia" w:ascii="宋体" w:hAnsi="宋体"/>
        </w:rPr>
      </w:pPr>
    </w:p>
    <w:p>
      <w:pPr>
        <w:jc w:val="right"/>
        <w:rPr>
          <w:rFonts w:hint="eastAsia" w:ascii="宋体" w:hAnsi="宋体"/>
        </w:rPr>
      </w:pPr>
    </w:p>
    <w:p>
      <w:pPr>
        <w:jc w:val="right"/>
        <w:rPr>
          <w:rFonts w:hint="eastAsia" w:ascii="宋体" w:hAnsi="宋体"/>
        </w:rPr>
      </w:pPr>
    </w:p>
    <w:p>
      <w:pPr>
        <w:jc w:val="right"/>
        <w:rPr>
          <w:rFonts w:hint="eastAsia" w:ascii="宋体" w:hAnsi="宋体"/>
        </w:rPr>
      </w:pPr>
    </w:p>
    <w:p>
      <w:pPr>
        <w:jc w:val="right"/>
        <w:rPr>
          <w:rFonts w:hint="eastAsia" w:ascii="宋体" w:hAnsi="宋体"/>
        </w:rPr>
      </w:pPr>
    </w:p>
    <w:p>
      <w:pPr>
        <w:jc w:val="right"/>
        <w:rPr>
          <w:rFonts w:hint="eastAsia" w:ascii="宋体" w:hAnsi="宋体"/>
        </w:rPr>
      </w:pPr>
    </w:p>
    <w:p>
      <w:pPr>
        <w:jc w:val="right"/>
        <w:rPr>
          <w:rFonts w:hint="eastAsia" w:ascii="宋体" w:hAnsi="宋体"/>
        </w:rPr>
      </w:pPr>
    </w:p>
    <w:p>
      <w:pPr>
        <w:jc w:val="right"/>
        <w:rPr>
          <w:rFonts w:hint="eastAsia" w:ascii="宋体" w:hAnsi="宋体"/>
        </w:rPr>
      </w:pPr>
    </w:p>
    <w:p>
      <w:pPr>
        <w:jc w:val="right"/>
        <w:rPr>
          <w:rFonts w:hint="eastAsia" w:ascii="宋体" w:hAnsi="宋体"/>
        </w:rPr>
      </w:pPr>
    </w:p>
    <w:p>
      <w:pPr>
        <w:jc w:val="right"/>
        <w:rPr>
          <w:rFonts w:hint="eastAsia" w:ascii="宋体" w:hAnsi="宋体"/>
        </w:rPr>
      </w:pPr>
    </w:p>
    <w:p>
      <w:pPr>
        <w:jc w:val="right"/>
        <w:rPr>
          <w:rFonts w:hint="eastAsia" w:ascii="宋体" w:hAnsi="宋体"/>
        </w:rPr>
      </w:pPr>
    </w:p>
    <w:p>
      <w:pPr>
        <w:jc w:val="right"/>
        <w:rPr>
          <w:rFonts w:hint="eastAsia" w:ascii="宋体" w:hAnsi="宋体"/>
        </w:rPr>
      </w:pPr>
    </w:p>
    <w:p>
      <w:pPr>
        <w:jc w:val="right"/>
        <w:rPr>
          <w:rFonts w:hint="eastAsia" w:ascii="宋体" w:hAnsi="宋体"/>
        </w:rPr>
      </w:pPr>
    </w:p>
    <w:p>
      <w:pPr>
        <w:jc w:val="right"/>
        <w:rPr>
          <w:rFonts w:hint="eastAsia" w:ascii="宋体" w:hAnsi="宋体"/>
        </w:rPr>
      </w:pPr>
    </w:p>
    <w:p>
      <w:pPr>
        <w:jc w:val="right"/>
        <w:rPr>
          <w:rFonts w:hint="eastAsia" w:ascii="宋体" w:hAnsi="宋体"/>
        </w:rPr>
      </w:pPr>
    </w:p>
    <w:p>
      <w:pPr>
        <w:jc w:val="right"/>
        <w:rPr>
          <w:rFonts w:hint="eastAsia" w:ascii="宋体" w:hAnsi="宋体"/>
        </w:rPr>
      </w:pPr>
    </w:p>
    <w:p>
      <w:pPr>
        <w:jc w:val="right"/>
        <w:rPr>
          <w:rFonts w:hint="eastAsia" w:ascii="宋体" w:hAnsi="宋体"/>
        </w:rPr>
      </w:pPr>
    </w:p>
    <w:p>
      <w:pPr>
        <w:jc w:val="right"/>
        <w:rPr>
          <w:rFonts w:hint="eastAsia" w:ascii="宋体" w:hAnsi="宋体"/>
        </w:rPr>
      </w:pPr>
    </w:p>
    <w:p>
      <w:pPr>
        <w:jc w:val="right"/>
        <w:rPr>
          <w:rFonts w:hint="eastAsia" w:ascii="宋体" w:hAnsi="宋体"/>
        </w:rPr>
      </w:pPr>
    </w:p>
    <w:p>
      <w:pPr>
        <w:jc w:val="right"/>
        <w:rPr>
          <w:rFonts w:hint="eastAsia" w:ascii="宋体" w:hAnsi="宋体"/>
        </w:rPr>
      </w:pPr>
    </w:p>
    <w:p>
      <w:pPr>
        <w:jc w:val="right"/>
        <w:rPr>
          <w:rFonts w:hint="eastAsia" w:ascii="宋体" w:hAnsi="宋体"/>
        </w:rPr>
      </w:pPr>
      <w:bookmarkStart w:id="67" w:name="_GoBack"/>
      <w:bookmarkEnd w:id="67"/>
    </w:p>
    <w:p>
      <w:pPr>
        <w:jc w:val="right"/>
        <w:rPr>
          <w:rFonts w:hint="eastAsia" w:ascii="宋体" w:hAnsi="宋体"/>
        </w:rPr>
      </w:pPr>
    </w:p>
    <w:p>
      <w:pPr>
        <w:rPr>
          <w:rFonts w:hint="eastAsia" w:ascii="宋体" w:hAnsi="宋体"/>
        </w:rPr>
      </w:pPr>
    </w:p>
    <w:p>
      <w:pPr>
        <w:jc w:val="right"/>
        <w:rPr>
          <w:rFonts w:hint="eastAsia" w:ascii="宋体" w:hAnsi="宋体"/>
        </w:rPr>
      </w:pPr>
    </w:p>
    <w:p>
      <w:pPr>
        <w:pStyle w:val="2"/>
        <w:spacing w:line="240" w:lineRule="auto"/>
        <w:jc w:val="center"/>
        <w:rPr>
          <w:rFonts w:hint="eastAsia" w:ascii="宋体" w:hAnsi="宋体"/>
          <w:sz w:val="36"/>
          <w:szCs w:val="36"/>
        </w:rPr>
      </w:pPr>
      <w:bookmarkStart w:id="0" w:name="_Toc125344503"/>
      <w:r>
        <w:rPr>
          <w:rFonts w:hint="eastAsia" w:ascii="宋体" w:hAnsi="宋体"/>
          <w:sz w:val="36"/>
          <w:szCs w:val="36"/>
        </w:rPr>
        <w:t>第二章   谈判须知</w:t>
      </w:r>
    </w:p>
    <w:p>
      <w:pPr>
        <w:pStyle w:val="3"/>
        <w:spacing w:line="360" w:lineRule="exact"/>
        <w:jc w:val="center"/>
        <w:rPr>
          <w:rFonts w:hint="eastAsia" w:ascii="宋体" w:hAnsi="宋体" w:eastAsia="宋体"/>
          <w:sz w:val="28"/>
          <w:szCs w:val="28"/>
        </w:rPr>
      </w:pPr>
      <w:r>
        <w:rPr>
          <w:rFonts w:hint="eastAsia" w:ascii="宋体" w:hAnsi="宋体" w:eastAsia="宋体"/>
          <w:sz w:val="28"/>
          <w:szCs w:val="28"/>
        </w:rPr>
        <w:t>一、总   则</w:t>
      </w:r>
      <w:bookmarkEnd w:id="0"/>
    </w:p>
    <w:p>
      <w:pPr>
        <w:spacing w:line="340" w:lineRule="exact"/>
        <w:ind w:firstLine="482" w:firstLineChars="200"/>
        <w:rPr>
          <w:rFonts w:hint="eastAsia" w:ascii="宋体" w:hAnsi="宋体"/>
        </w:rPr>
      </w:pPr>
      <w:r>
        <w:rPr>
          <w:rFonts w:hint="eastAsia" w:ascii="宋体" w:hAnsi="宋体"/>
          <w:b/>
          <w:bCs/>
          <w:sz w:val="24"/>
        </w:rPr>
        <w:t>1.</w:t>
      </w:r>
      <w:r>
        <w:rPr>
          <w:rFonts w:ascii="宋体" w:hAnsi="宋体"/>
          <w:b/>
          <w:sz w:val="24"/>
        </w:rPr>
        <w:t>适用范围</w:t>
      </w:r>
    </w:p>
    <w:p>
      <w:pPr>
        <w:snapToGrid w:val="0"/>
        <w:spacing w:line="340" w:lineRule="exact"/>
        <w:ind w:firstLine="480" w:firstLineChars="200"/>
        <w:jc w:val="left"/>
        <w:rPr>
          <w:rFonts w:hint="eastAsia" w:ascii="宋体" w:hAnsi="宋体"/>
          <w:sz w:val="24"/>
        </w:rPr>
      </w:pPr>
      <w:r>
        <w:rPr>
          <w:rFonts w:hint="eastAsia" w:ascii="宋体" w:hAnsi="宋体"/>
          <w:sz w:val="24"/>
        </w:rPr>
        <w:t>本采购文件适用于本次所述项目的招标。</w:t>
      </w:r>
    </w:p>
    <w:p>
      <w:pPr>
        <w:snapToGrid w:val="0"/>
        <w:spacing w:line="340" w:lineRule="exact"/>
        <w:ind w:firstLine="472" w:firstLineChars="196"/>
        <w:jc w:val="left"/>
        <w:outlineLvl w:val="1"/>
        <w:rPr>
          <w:rFonts w:ascii="宋体" w:hAnsi="宋体"/>
          <w:b/>
          <w:sz w:val="24"/>
        </w:rPr>
      </w:pPr>
      <w:r>
        <w:rPr>
          <w:rFonts w:hint="eastAsia" w:ascii="宋体" w:hAnsi="宋体"/>
          <w:b/>
          <w:sz w:val="24"/>
        </w:rPr>
        <w:t>2.定义</w:t>
      </w:r>
    </w:p>
    <w:p>
      <w:pPr>
        <w:snapToGrid w:val="0"/>
        <w:spacing w:line="340" w:lineRule="exact"/>
        <w:ind w:firstLine="480" w:firstLineChars="200"/>
        <w:jc w:val="left"/>
        <w:rPr>
          <w:rFonts w:ascii="宋体" w:hAnsi="宋体"/>
          <w:sz w:val="24"/>
        </w:rPr>
      </w:pPr>
      <w:r>
        <w:rPr>
          <w:rFonts w:hint="eastAsia" w:ascii="宋体" w:hAnsi="宋体"/>
          <w:sz w:val="24"/>
        </w:rPr>
        <w:t>2.1“</w:t>
      </w:r>
      <w:r>
        <w:rPr>
          <w:rFonts w:ascii="宋体" w:hAnsi="宋体"/>
          <w:sz w:val="24"/>
        </w:rPr>
        <w:t>招标人</w:t>
      </w:r>
      <w:r>
        <w:rPr>
          <w:rFonts w:hint="eastAsia" w:ascii="宋体" w:hAnsi="宋体"/>
          <w:sz w:val="24"/>
        </w:rPr>
        <w:t>”</w:t>
      </w:r>
      <w:r>
        <w:rPr>
          <w:rFonts w:ascii="宋体" w:hAnsi="宋体"/>
          <w:sz w:val="24"/>
        </w:rPr>
        <w:t>系指</w:t>
      </w:r>
      <w:r>
        <w:rPr>
          <w:rFonts w:hint="eastAsia" w:ascii="宋体" w:hAnsi="宋体"/>
          <w:sz w:val="24"/>
        </w:rPr>
        <w:t>组织</w:t>
      </w:r>
      <w:r>
        <w:rPr>
          <w:rFonts w:ascii="宋体" w:hAnsi="宋体"/>
          <w:sz w:val="24"/>
        </w:rPr>
        <w:t>本次招标的采购单位</w:t>
      </w:r>
      <w:r>
        <w:rPr>
          <w:rFonts w:hint="eastAsia" w:ascii="宋体" w:hAnsi="宋体"/>
          <w:sz w:val="24"/>
        </w:rPr>
        <w:t>和</w:t>
      </w:r>
      <w:r>
        <w:rPr>
          <w:rFonts w:hint="eastAsia" w:ascii="宋体" w:hAnsi="宋体" w:cs="宋体"/>
          <w:color w:val="auto"/>
          <w:sz w:val="24"/>
          <w:szCs w:val="24"/>
        </w:rPr>
        <w:t>诸暨广和工程管理服务有限公司</w:t>
      </w:r>
      <w:r>
        <w:rPr>
          <w:rFonts w:ascii="宋体" w:hAnsi="宋体"/>
          <w:sz w:val="24"/>
        </w:rPr>
        <w:t>。</w:t>
      </w:r>
    </w:p>
    <w:p>
      <w:pPr>
        <w:snapToGrid w:val="0"/>
        <w:spacing w:line="340" w:lineRule="exact"/>
        <w:ind w:firstLine="480" w:firstLineChars="200"/>
        <w:jc w:val="left"/>
        <w:rPr>
          <w:rFonts w:ascii="宋体" w:hAnsi="宋体"/>
          <w:sz w:val="24"/>
        </w:rPr>
      </w:pPr>
      <w:r>
        <w:rPr>
          <w:rFonts w:hint="eastAsia" w:ascii="宋体" w:hAnsi="宋体"/>
          <w:sz w:val="24"/>
        </w:rPr>
        <w:t>2.</w:t>
      </w:r>
      <w:r>
        <w:rPr>
          <w:rFonts w:ascii="宋体" w:hAnsi="宋体"/>
          <w:sz w:val="24"/>
        </w:rPr>
        <w:t>2</w:t>
      </w:r>
      <w:r>
        <w:rPr>
          <w:rFonts w:hint="eastAsia" w:ascii="宋体" w:hAnsi="宋体"/>
          <w:sz w:val="24"/>
        </w:rPr>
        <w:t>“</w:t>
      </w:r>
      <w:r>
        <w:rPr>
          <w:rFonts w:ascii="宋体" w:hAnsi="宋体"/>
          <w:sz w:val="24"/>
        </w:rPr>
        <w:t>投标人”系指向招标</w:t>
      </w:r>
      <w:r>
        <w:rPr>
          <w:rFonts w:hint="eastAsia" w:ascii="宋体" w:hAnsi="宋体"/>
          <w:sz w:val="24"/>
        </w:rPr>
        <w:t>方</w:t>
      </w:r>
      <w:r>
        <w:rPr>
          <w:rFonts w:ascii="宋体" w:hAnsi="宋体"/>
          <w:sz w:val="24"/>
        </w:rPr>
        <w:t>提交谈判响应文件的</w:t>
      </w:r>
      <w:r>
        <w:rPr>
          <w:rFonts w:hint="eastAsia" w:ascii="宋体" w:hAnsi="宋体"/>
          <w:sz w:val="24"/>
        </w:rPr>
        <w:t>供应商</w:t>
      </w:r>
      <w:r>
        <w:rPr>
          <w:rFonts w:ascii="宋体" w:hAnsi="宋体"/>
          <w:sz w:val="24"/>
        </w:rPr>
        <w:t>。</w:t>
      </w:r>
    </w:p>
    <w:p>
      <w:pPr>
        <w:snapToGrid w:val="0"/>
        <w:spacing w:line="340" w:lineRule="exact"/>
        <w:ind w:firstLine="480" w:firstLineChars="200"/>
        <w:jc w:val="left"/>
        <w:rPr>
          <w:rFonts w:ascii="宋体" w:hAnsi="宋体"/>
          <w:sz w:val="24"/>
        </w:rPr>
      </w:pPr>
      <w:r>
        <w:rPr>
          <w:rFonts w:hint="eastAsia" w:ascii="宋体" w:hAnsi="宋体"/>
          <w:sz w:val="24"/>
        </w:rPr>
        <w:t>2.3</w:t>
      </w:r>
      <w:r>
        <w:rPr>
          <w:rFonts w:ascii="宋体" w:hAnsi="宋体"/>
          <w:sz w:val="24"/>
        </w:rPr>
        <w:t>“产品”系指供方按采购文件规定，须向采购单位提供的一切设备、保险、税</w:t>
      </w:r>
      <w:r>
        <w:rPr>
          <w:rFonts w:hint="eastAsia" w:ascii="宋体" w:hAnsi="宋体"/>
          <w:sz w:val="24"/>
        </w:rPr>
        <w:t xml:space="preserve"> </w:t>
      </w:r>
      <w:r>
        <w:rPr>
          <w:rFonts w:ascii="宋体" w:hAnsi="宋体"/>
          <w:sz w:val="24"/>
        </w:rPr>
        <w:t>金、备品备件、工具、手册及其它有关技术资料和材料。</w:t>
      </w:r>
    </w:p>
    <w:p>
      <w:pPr>
        <w:snapToGrid w:val="0"/>
        <w:spacing w:line="340" w:lineRule="exact"/>
        <w:ind w:firstLine="480" w:firstLineChars="200"/>
        <w:jc w:val="left"/>
        <w:rPr>
          <w:rFonts w:ascii="宋体" w:hAnsi="宋体"/>
          <w:sz w:val="24"/>
        </w:rPr>
      </w:pPr>
      <w:r>
        <w:rPr>
          <w:rFonts w:hint="eastAsia" w:ascii="宋体" w:hAnsi="宋体"/>
          <w:sz w:val="24"/>
        </w:rPr>
        <w:t>2.</w:t>
      </w:r>
      <w:r>
        <w:rPr>
          <w:rFonts w:ascii="宋体" w:hAnsi="宋体"/>
          <w:sz w:val="24"/>
        </w:rPr>
        <w:t>4“服务”系指采购文件规定投标人须承担的安装、调试、技术协助、校准、培训、技术指导以及其他类似的义务。</w:t>
      </w:r>
    </w:p>
    <w:p>
      <w:pPr>
        <w:snapToGrid w:val="0"/>
        <w:spacing w:line="340" w:lineRule="exact"/>
        <w:ind w:firstLine="480" w:firstLineChars="200"/>
        <w:jc w:val="left"/>
        <w:rPr>
          <w:rFonts w:ascii="宋体" w:hAnsi="宋体"/>
          <w:sz w:val="24"/>
        </w:rPr>
      </w:pPr>
      <w:r>
        <w:rPr>
          <w:rFonts w:hint="eastAsia" w:ascii="宋体" w:hAnsi="宋体"/>
          <w:sz w:val="24"/>
        </w:rPr>
        <w:t>2.</w:t>
      </w:r>
      <w:r>
        <w:rPr>
          <w:rFonts w:ascii="宋体" w:hAnsi="宋体"/>
          <w:sz w:val="24"/>
        </w:rPr>
        <w:t>5“项目”系指投标人按采购文件规定向采购单位提供的产品和服务。</w:t>
      </w:r>
    </w:p>
    <w:p>
      <w:pPr>
        <w:snapToGrid w:val="0"/>
        <w:spacing w:line="340" w:lineRule="exact"/>
        <w:ind w:firstLine="480" w:firstLineChars="200"/>
        <w:jc w:val="left"/>
        <w:rPr>
          <w:rFonts w:ascii="宋体" w:hAnsi="宋体"/>
          <w:sz w:val="24"/>
        </w:rPr>
      </w:pPr>
      <w:r>
        <w:rPr>
          <w:rFonts w:hint="eastAsia" w:ascii="宋体" w:hAnsi="宋体"/>
          <w:sz w:val="24"/>
        </w:rPr>
        <w:t>2.</w:t>
      </w:r>
      <w:r>
        <w:rPr>
          <w:rFonts w:ascii="宋体" w:hAnsi="宋体"/>
          <w:sz w:val="24"/>
        </w:rPr>
        <w:t>6“书面形式”包括信函、传真、电报等。</w:t>
      </w:r>
    </w:p>
    <w:p>
      <w:pPr>
        <w:snapToGrid w:val="0"/>
        <w:spacing w:line="340" w:lineRule="exact"/>
        <w:ind w:firstLine="480" w:firstLineChars="200"/>
        <w:jc w:val="left"/>
        <w:rPr>
          <w:rFonts w:hint="eastAsia" w:ascii="宋体" w:hAnsi="宋体"/>
          <w:sz w:val="24"/>
        </w:rPr>
      </w:pPr>
      <w:r>
        <w:rPr>
          <w:rFonts w:hint="eastAsia" w:ascii="宋体" w:hAnsi="宋体"/>
          <w:sz w:val="24"/>
        </w:rPr>
        <w:t>2.</w:t>
      </w:r>
      <w:r>
        <w:rPr>
          <w:rFonts w:ascii="宋体" w:hAnsi="宋体"/>
          <w:sz w:val="24"/>
        </w:rPr>
        <w:t>7</w:t>
      </w:r>
      <w:r>
        <w:rPr>
          <w:rFonts w:hint="eastAsia" w:ascii="宋体" w:hAnsi="宋体"/>
          <w:sz w:val="24"/>
        </w:rPr>
        <w:t>本采购文件所述设备品牌、型号是结合实际现有情况的推荐性参考方案，投标方也可根据采购文件得要求参考性能相当或高于、服务条款相等或高于、符合招标方实际业务需求其他同档次优质品牌的产品，进行方案优化。所投产品不在参考品牌范围内的，需提供加盖原厂商公章的产品设备性能指标详细材料和证明其产品与参考品牌同档次、具有可比性,且品牌、型号性能相当或高于、服务条款相等或高于、符合招标方实际业务需求同档次优质品牌的说明书，无法在谈判响应文件中提供的，其投标可能会被拒绝（或作无效投标）。</w:t>
      </w:r>
    </w:p>
    <w:p>
      <w:pPr>
        <w:snapToGrid w:val="0"/>
        <w:spacing w:line="340" w:lineRule="exact"/>
        <w:ind w:firstLine="472" w:firstLineChars="196"/>
        <w:jc w:val="left"/>
        <w:outlineLvl w:val="1"/>
        <w:rPr>
          <w:rFonts w:ascii="宋体" w:hAnsi="宋体"/>
          <w:b/>
          <w:sz w:val="24"/>
        </w:rPr>
      </w:pPr>
      <w:r>
        <w:rPr>
          <w:rFonts w:hint="eastAsia" w:ascii="宋体" w:hAnsi="宋体"/>
          <w:b/>
          <w:sz w:val="24"/>
        </w:rPr>
        <w:t>3.采购方式</w:t>
      </w:r>
    </w:p>
    <w:p>
      <w:pPr>
        <w:snapToGrid w:val="0"/>
        <w:spacing w:line="340" w:lineRule="exact"/>
        <w:ind w:firstLine="480" w:firstLineChars="200"/>
        <w:jc w:val="left"/>
        <w:rPr>
          <w:rFonts w:hint="eastAsia" w:ascii="宋体" w:hAnsi="宋体"/>
          <w:sz w:val="24"/>
        </w:rPr>
      </w:pPr>
      <w:r>
        <w:rPr>
          <w:rFonts w:ascii="宋体" w:hAnsi="宋体"/>
          <w:sz w:val="24"/>
        </w:rPr>
        <w:t>本次</w:t>
      </w:r>
      <w:r>
        <w:rPr>
          <w:rFonts w:hint="eastAsia" w:ascii="宋体" w:hAnsi="宋体"/>
          <w:sz w:val="24"/>
        </w:rPr>
        <w:t>采购</w:t>
      </w:r>
      <w:r>
        <w:rPr>
          <w:rFonts w:ascii="宋体" w:hAnsi="宋体"/>
          <w:sz w:val="24"/>
        </w:rPr>
        <w:t>采用</w:t>
      </w:r>
      <w:r>
        <w:rPr>
          <w:rFonts w:hint="eastAsia" w:ascii="宋体" w:hAnsi="宋体"/>
          <w:sz w:val="24"/>
        </w:rPr>
        <w:t>单一来源</w:t>
      </w:r>
      <w:r>
        <w:rPr>
          <w:rFonts w:ascii="宋体" w:hAnsi="宋体"/>
          <w:sz w:val="24"/>
        </w:rPr>
        <w:t>进行。</w:t>
      </w:r>
    </w:p>
    <w:p>
      <w:pPr>
        <w:snapToGrid w:val="0"/>
        <w:spacing w:line="340" w:lineRule="exact"/>
        <w:ind w:firstLine="472" w:firstLineChars="196"/>
        <w:jc w:val="left"/>
        <w:outlineLvl w:val="1"/>
        <w:rPr>
          <w:rFonts w:ascii="宋体" w:hAnsi="宋体"/>
          <w:b/>
          <w:sz w:val="24"/>
        </w:rPr>
      </w:pPr>
      <w:r>
        <w:rPr>
          <w:rFonts w:hint="eastAsia" w:ascii="宋体" w:hAnsi="宋体"/>
          <w:b/>
          <w:sz w:val="24"/>
        </w:rPr>
        <w:t>4.投标委托</w:t>
      </w:r>
    </w:p>
    <w:p>
      <w:pPr>
        <w:snapToGrid w:val="0"/>
        <w:spacing w:line="340" w:lineRule="exact"/>
        <w:ind w:firstLine="480" w:firstLineChars="200"/>
        <w:jc w:val="left"/>
        <w:rPr>
          <w:rFonts w:ascii="宋体" w:hAnsi="宋体"/>
          <w:sz w:val="24"/>
        </w:rPr>
      </w:pPr>
      <w:r>
        <w:rPr>
          <w:rFonts w:ascii="宋体" w:hAnsi="宋体"/>
          <w:sz w:val="24"/>
        </w:rPr>
        <w:t>投标人代表须携带居民身份证。如投标人代表不是法定代表人，须有法定代表人出具的授权委托书。</w:t>
      </w:r>
    </w:p>
    <w:p>
      <w:pPr>
        <w:snapToGrid w:val="0"/>
        <w:spacing w:line="340" w:lineRule="exact"/>
        <w:ind w:firstLine="472" w:firstLineChars="196"/>
        <w:jc w:val="left"/>
        <w:outlineLvl w:val="1"/>
        <w:rPr>
          <w:rFonts w:ascii="宋体" w:hAnsi="宋体"/>
          <w:b/>
          <w:sz w:val="24"/>
        </w:rPr>
      </w:pPr>
      <w:r>
        <w:rPr>
          <w:rFonts w:hint="eastAsia" w:ascii="宋体" w:hAnsi="宋体"/>
          <w:b/>
          <w:sz w:val="24"/>
        </w:rPr>
        <w:t>5.投标费用</w:t>
      </w:r>
    </w:p>
    <w:p>
      <w:pPr>
        <w:snapToGrid w:val="0"/>
        <w:spacing w:line="340" w:lineRule="exact"/>
        <w:ind w:firstLine="480" w:firstLineChars="200"/>
        <w:jc w:val="left"/>
        <w:rPr>
          <w:rFonts w:ascii="宋体" w:hAnsi="宋体"/>
          <w:sz w:val="24"/>
        </w:rPr>
      </w:pPr>
      <w:r>
        <w:rPr>
          <w:rFonts w:hint="eastAsia" w:ascii="宋体" w:hAnsi="宋体"/>
          <w:sz w:val="24"/>
        </w:rPr>
        <w:t>投标人应自行承担获得采购文件和编制、提交谈判响应文件所涉及的一切费用。不论投标结果如何，投标人均应自行承担所有与投标有关的全部费用。对成交供应商收取政府采购代理服务费，具体收费标准按国家发改委【2011】534号文件和国家计委【2002】1980号文件执行，以上费用请投标人一并考虑，在领取中标通知书之前付清。</w:t>
      </w:r>
    </w:p>
    <w:p>
      <w:pPr>
        <w:snapToGrid w:val="0"/>
        <w:spacing w:line="360" w:lineRule="exact"/>
        <w:ind w:firstLine="472" w:firstLineChars="196"/>
        <w:jc w:val="left"/>
        <w:outlineLvl w:val="1"/>
        <w:rPr>
          <w:rFonts w:ascii="宋体" w:hAnsi="宋体"/>
          <w:b/>
          <w:sz w:val="24"/>
        </w:rPr>
      </w:pPr>
      <w:r>
        <w:rPr>
          <w:rFonts w:hint="eastAsia" w:ascii="宋体" w:hAnsi="宋体"/>
          <w:b/>
          <w:sz w:val="24"/>
        </w:rPr>
        <w:t>6.特别说明：</w:t>
      </w:r>
    </w:p>
    <w:p>
      <w:pPr>
        <w:pStyle w:val="7"/>
        <w:snapToGrid w:val="0"/>
        <w:spacing w:line="360" w:lineRule="exact"/>
        <w:ind w:left="2" w:leftChars="1" w:firstLine="480" w:firstLineChars="200"/>
        <w:rPr>
          <w:rFonts w:hint="eastAsia" w:ascii="宋体" w:hAnsi="宋体"/>
        </w:rPr>
      </w:pPr>
      <w:r>
        <w:rPr>
          <w:rFonts w:hint="eastAsia" w:ascii="宋体" w:hAnsi="宋体"/>
        </w:rPr>
        <w:t>6.1</w:t>
      </w:r>
      <w:r>
        <w:rPr>
          <w:rFonts w:ascii="宋体" w:hAnsi="宋体"/>
        </w:rPr>
        <w:t>投标人投标所使用的资格、信誉、荣誉、业绩与企业认证必须为本法人所拥有。</w:t>
      </w:r>
    </w:p>
    <w:p>
      <w:pPr>
        <w:pStyle w:val="7"/>
        <w:snapToGrid w:val="0"/>
        <w:spacing w:line="360" w:lineRule="exact"/>
        <w:ind w:left="481" w:leftChars="229"/>
        <w:jc w:val="left"/>
        <w:rPr>
          <w:rFonts w:hint="eastAsia" w:ascii="宋体" w:hAnsi="宋体"/>
        </w:rPr>
      </w:pPr>
      <w:r>
        <w:rPr>
          <w:rFonts w:hint="eastAsia" w:ascii="宋体" w:hAnsi="宋体"/>
        </w:rPr>
        <w:t>6.</w:t>
      </w:r>
      <w:r>
        <w:rPr>
          <w:rFonts w:ascii="宋体" w:hAnsi="宋体"/>
        </w:rPr>
        <w:t>2投标人应仔细阅读采购文件的所有内容，按照采购文件的要求提交谈判响应文件，并对所提供的全部资料的真实性承担法律责任。</w:t>
      </w:r>
    </w:p>
    <w:p>
      <w:pPr>
        <w:pStyle w:val="7"/>
        <w:snapToGrid w:val="0"/>
        <w:spacing w:line="360" w:lineRule="exact"/>
        <w:ind w:firstLine="480" w:firstLineChars="200"/>
        <w:jc w:val="left"/>
        <w:rPr>
          <w:rFonts w:ascii="宋体" w:hAnsi="宋体"/>
        </w:rPr>
      </w:pPr>
      <w:r>
        <w:rPr>
          <w:rFonts w:hint="eastAsia" w:ascii="宋体" w:hAnsi="宋体"/>
        </w:rPr>
        <w:t>6.</w:t>
      </w:r>
      <w:r>
        <w:rPr>
          <w:rFonts w:ascii="宋体" w:hAnsi="宋体"/>
        </w:rPr>
        <w:t>3投标人在投标活动中提供任何虚假材料,其投标无效，并报监管部门查处；中标后发现的,成交供应商须依照《中华人民共和国消费者权益保护法》第49条之规定双倍赔偿采购单位，且民事赔偿并不免除违法投标人的行政与刑事责任。</w:t>
      </w:r>
    </w:p>
    <w:p>
      <w:pPr>
        <w:pStyle w:val="7"/>
        <w:snapToGrid w:val="0"/>
        <w:ind w:left="2" w:leftChars="1" w:firstLine="480" w:firstLineChars="200"/>
        <w:rPr>
          <w:rFonts w:ascii="宋体" w:hAnsi="宋体"/>
        </w:rPr>
      </w:pPr>
      <w:r>
        <w:rPr>
          <w:rFonts w:hint="eastAsia" w:ascii="宋体" w:hAnsi="宋体"/>
        </w:rPr>
        <w:t>6.4投标人须对所投产品、方案、技术和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归采购人所有。</w:t>
      </w:r>
    </w:p>
    <w:p>
      <w:pPr>
        <w:pStyle w:val="7"/>
        <w:snapToGrid w:val="0"/>
        <w:ind w:firstLine="472" w:firstLineChars="196"/>
        <w:outlineLvl w:val="1"/>
        <w:rPr>
          <w:rFonts w:ascii="宋体" w:hAnsi="宋体"/>
          <w:b/>
          <w:bCs/>
        </w:rPr>
      </w:pPr>
      <w:r>
        <w:rPr>
          <w:rFonts w:hint="eastAsia" w:ascii="宋体" w:hAnsi="宋体"/>
          <w:b/>
        </w:rPr>
        <w:t>7.</w:t>
      </w:r>
      <w:r>
        <w:rPr>
          <w:rFonts w:ascii="宋体" w:hAnsi="宋体"/>
          <w:b/>
          <w:bCs/>
        </w:rPr>
        <w:t>质疑和投诉</w:t>
      </w:r>
    </w:p>
    <w:p>
      <w:pPr>
        <w:pStyle w:val="7"/>
        <w:snapToGrid w:val="0"/>
        <w:ind w:left="1" w:firstLine="480" w:firstLineChars="200"/>
        <w:rPr>
          <w:rFonts w:ascii="宋体" w:hAnsi="宋体"/>
          <w:bCs/>
        </w:rPr>
      </w:pPr>
      <w:r>
        <w:rPr>
          <w:rFonts w:hint="eastAsia" w:ascii="宋体" w:hAnsi="宋体"/>
          <w:bCs/>
        </w:rPr>
        <w:t>7.</w:t>
      </w:r>
      <w:r>
        <w:rPr>
          <w:rFonts w:ascii="宋体" w:hAnsi="宋体"/>
          <w:bCs/>
        </w:rPr>
        <w:t>1投标人认为采购文件、招标过程和中标结果使自己的合法权益受到损害的，应当在知道或者应知其权益受到损害之日起七个工作日内，以书面形式向采购单位、招标</w:t>
      </w:r>
      <w:r>
        <w:rPr>
          <w:rFonts w:hint="eastAsia" w:ascii="宋体" w:hAnsi="宋体"/>
          <w:bCs/>
        </w:rPr>
        <w:t>代理机构</w:t>
      </w:r>
      <w:r>
        <w:rPr>
          <w:rFonts w:ascii="宋体" w:hAnsi="宋体"/>
          <w:bCs/>
        </w:rPr>
        <w:t>提出质疑。</w:t>
      </w:r>
      <w:r>
        <w:rPr>
          <w:rFonts w:ascii="宋体" w:hAnsi="宋体"/>
        </w:rPr>
        <w:t>投标人对招标人的质疑答复不满意或者招标人未在规定时间内作出答复的，可以在答复期满后十五个工作日内向同级采购监管部门投诉。</w:t>
      </w:r>
      <w:r>
        <w:rPr>
          <w:rFonts w:hint="eastAsia" w:ascii="宋体" w:hAnsi="宋体"/>
          <w:szCs w:val="24"/>
        </w:rPr>
        <w:t>逾期提出的，采购代理机构不予受理、答复。</w:t>
      </w:r>
    </w:p>
    <w:p>
      <w:pPr>
        <w:pStyle w:val="7"/>
        <w:snapToGrid w:val="0"/>
        <w:ind w:left="1" w:firstLine="480" w:firstLineChars="200"/>
        <w:rPr>
          <w:rFonts w:hint="eastAsia" w:ascii="宋体" w:hAnsi="宋体"/>
        </w:rPr>
      </w:pPr>
      <w:r>
        <w:rPr>
          <w:rFonts w:hint="eastAsia" w:ascii="宋体" w:hAnsi="宋体"/>
          <w:bCs/>
        </w:rPr>
        <w:t>7.</w:t>
      </w:r>
      <w:r>
        <w:rPr>
          <w:rFonts w:ascii="宋体" w:hAnsi="宋体"/>
          <w:bCs/>
        </w:rPr>
        <w:t>2质疑、投诉应当采用书面形式，质疑书、投诉书均应明确阐述采购文件、招标过程和中标结果中使自己合法权益受到损害的实质性内容，提供相关事实、依据和证据及</w:t>
      </w:r>
      <w:r>
        <w:rPr>
          <w:rFonts w:ascii="宋体" w:hAnsi="宋体"/>
        </w:rPr>
        <w:t>其来源或线索，便于有关单位调查、答复和处理</w:t>
      </w:r>
      <w:r>
        <w:rPr>
          <w:rFonts w:hint="eastAsia" w:ascii="宋体" w:hAnsi="宋体"/>
        </w:rPr>
        <w:t>。</w:t>
      </w:r>
    </w:p>
    <w:p>
      <w:pPr>
        <w:pStyle w:val="7"/>
        <w:snapToGrid w:val="0"/>
        <w:ind w:left="1" w:firstLine="480" w:firstLineChars="200"/>
        <w:rPr>
          <w:rFonts w:hint="eastAsia" w:ascii="宋体" w:hAnsi="宋体"/>
          <w:szCs w:val="24"/>
        </w:rPr>
      </w:pPr>
      <w:r>
        <w:rPr>
          <w:rFonts w:hint="eastAsia" w:ascii="宋体" w:hAnsi="宋体"/>
        </w:rPr>
        <w:t>7.3</w:t>
      </w:r>
      <w:r>
        <w:rPr>
          <w:rFonts w:hint="eastAsia" w:ascii="宋体" w:hAnsi="宋体"/>
          <w:szCs w:val="24"/>
        </w:rPr>
        <w:t>采购代理机构与采购人研究后，对认为有必要回答的问题，招标人将答疑内容以网上发布公告的形式通知所有投标人，答疑内容是采购文件的组成部份。</w:t>
      </w:r>
    </w:p>
    <w:p>
      <w:pPr>
        <w:pStyle w:val="7"/>
        <w:snapToGrid w:val="0"/>
        <w:ind w:left="1" w:firstLine="480" w:firstLineChars="200"/>
        <w:rPr>
          <w:rFonts w:hint="eastAsia" w:ascii="宋体" w:hAnsi="宋体"/>
        </w:rPr>
      </w:pPr>
      <w:r>
        <w:rPr>
          <w:rFonts w:hint="eastAsia" w:ascii="宋体" w:hAnsi="宋体"/>
        </w:rPr>
        <w:t>7.4投标人一旦参与本次招标活动，即被视为接受了本采购文件的所有内容，如有任何异议，均须在答疑截止时间前提出。</w:t>
      </w:r>
    </w:p>
    <w:p>
      <w:pPr>
        <w:pStyle w:val="3"/>
        <w:spacing w:line="360" w:lineRule="exact"/>
        <w:jc w:val="center"/>
        <w:rPr>
          <w:rFonts w:hint="eastAsia" w:ascii="宋体" w:hAnsi="宋体" w:eastAsia="宋体"/>
          <w:sz w:val="28"/>
          <w:szCs w:val="28"/>
        </w:rPr>
      </w:pPr>
      <w:bookmarkStart w:id="1" w:name="_Toc125344504"/>
      <w:r>
        <w:rPr>
          <w:rFonts w:hint="eastAsia" w:ascii="宋体" w:hAnsi="宋体" w:eastAsia="宋体"/>
          <w:sz w:val="28"/>
          <w:szCs w:val="28"/>
        </w:rPr>
        <w:t>二、采购文件</w:t>
      </w:r>
      <w:bookmarkEnd w:id="1"/>
    </w:p>
    <w:p>
      <w:pPr>
        <w:snapToGrid w:val="0"/>
        <w:ind w:firstLine="472" w:firstLineChars="196"/>
        <w:jc w:val="left"/>
        <w:rPr>
          <w:rFonts w:hint="eastAsia" w:ascii="宋体" w:hAnsi="宋体"/>
          <w:b/>
          <w:sz w:val="24"/>
        </w:rPr>
      </w:pPr>
      <w:r>
        <w:rPr>
          <w:rFonts w:hint="eastAsia" w:ascii="宋体" w:hAnsi="宋体"/>
          <w:b/>
          <w:sz w:val="24"/>
        </w:rPr>
        <w:t>8.采购文件的构成。</w:t>
      </w:r>
    </w:p>
    <w:p>
      <w:pPr>
        <w:snapToGrid w:val="0"/>
        <w:ind w:firstLine="480" w:firstLineChars="200"/>
        <w:jc w:val="left"/>
        <w:rPr>
          <w:rFonts w:ascii="宋体" w:hAnsi="宋体"/>
          <w:sz w:val="24"/>
        </w:rPr>
      </w:pPr>
      <w:r>
        <w:rPr>
          <w:rFonts w:hint="eastAsia" w:ascii="宋体" w:hAnsi="宋体"/>
          <w:sz w:val="24"/>
        </w:rPr>
        <w:t>本采购文件由以下部份组成：</w:t>
      </w:r>
    </w:p>
    <w:p>
      <w:pPr>
        <w:snapToGrid w:val="0"/>
        <w:ind w:firstLine="480" w:firstLineChars="200"/>
        <w:jc w:val="left"/>
        <w:rPr>
          <w:rFonts w:hint="eastAsia" w:ascii="宋体" w:hAnsi="宋体"/>
          <w:sz w:val="24"/>
        </w:rPr>
      </w:pPr>
      <w:r>
        <w:rPr>
          <w:rFonts w:hint="eastAsia" w:ascii="宋体" w:hAnsi="宋体"/>
          <w:sz w:val="24"/>
        </w:rPr>
        <w:t>8.</w:t>
      </w:r>
      <w:r>
        <w:rPr>
          <w:rFonts w:ascii="宋体" w:hAnsi="宋体"/>
          <w:sz w:val="24"/>
        </w:rPr>
        <w:t>1</w:t>
      </w:r>
      <w:r>
        <w:rPr>
          <w:rFonts w:hint="eastAsia" w:ascii="宋体" w:hAnsi="宋体"/>
          <w:sz w:val="24"/>
        </w:rPr>
        <w:t>谈判邀请函；</w:t>
      </w:r>
    </w:p>
    <w:p>
      <w:pPr>
        <w:snapToGrid w:val="0"/>
        <w:ind w:firstLine="480" w:firstLineChars="200"/>
        <w:jc w:val="left"/>
        <w:rPr>
          <w:rFonts w:hint="eastAsia" w:ascii="宋体" w:hAnsi="宋体"/>
          <w:sz w:val="24"/>
        </w:rPr>
      </w:pPr>
      <w:r>
        <w:rPr>
          <w:rFonts w:hint="eastAsia" w:ascii="宋体" w:hAnsi="宋体"/>
          <w:sz w:val="24"/>
        </w:rPr>
        <w:t>8.2投标须知；</w:t>
      </w:r>
    </w:p>
    <w:p>
      <w:pPr>
        <w:snapToGrid w:val="0"/>
        <w:ind w:firstLine="480" w:firstLineChars="200"/>
        <w:jc w:val="left"/>
        <w:rPr>
          <w:rFonts w:hint="eastAsia" w:ascii="宋体" w:hAnsi="宋体"/>
          <w:sz w:val="24"/>
        </w:rPr>
      </w:pPr>
      <w:r>
        <w:rPr>
          <w:rFonts w:hint="eastAsia" w:ascii="宋体" w:hAnsi="宋体"/>
          <w:sz w:val="24"/>
        </w:rPr>
        <w:t>8.3评标办法及评分标准；</w:t>
      </w:r>
    </w:p>
    <w:p>
      <w:pPr>
        <w:snapToGrid w:val="0"/>
        <w:ind w:firstLine="480" w:firstLineChars="200"/>
        <w:jc w:val="left"/>
        <w:rPr>
          <w:rFonts w:hint="eastAsia" w:ascii="宋体" w:hAnsi="宋体"/>
          <w:sz w:val="24"/>
        </w:rPr>
      </w:pPr>
      <w:r>
        <w:rPr>
          <w:rFonts w:hint="eastAsia" w:ascii="宋体" w:hAnsi="宋体"/>
          <w:sz w:val="24"/>
        </w:rPr>
        <w:t>8.4采购需求；</w:t>
      </w:r>
    </w:p>
    <w:p>
      <w:pPr>
        <w:snapToGrid w:val="0"/>
        <w:ind w:firstLine="480" w:firstLineChars="200"/>
        <w:jc w:val="left"/>
        <w:rPr>
          <w:rFonts w:hint="eastAsia" w:ascii="宋体" w:hAnsi="宋体"/>
          <w:sz w:val="24"/>
        </w:rPr>
      </w:pPr>
      <w:r>
        <w:rPr>
          <w:rFonts w:hint="eastAsia" w:ascii="宋体" w:hAnsi="宋体"/>
          <w:sz w:val="24"/>
        </w:rPr>
        <w:t>8.5应提交的有关格式范例；</w:t>
      </w:r>
    </w:p>
    <w:p>
      <w:pPr>
        <w:snapToGrid w:val="0"/>
        <w:ind w:firstLine="480" w:firstLineChars="200"/>
        <w:jc w:val="left"/>
        <w:rPr>
          <w:rFonts w:hint="eastAsia" w:ascii="宋体" w:hAnsi="宋体"/>
          <w:sz w:val="24"/>
        </w:rPr>
      </w:pPr>
      <w:r>
        <w:rPr>
          <w:rFonts w:hint="eastAsia" w:ascii="宋体" w:hAnsi="宋体"/>
          <w:sz w:val="24"/>
        </w:rPr>
        <w:t>8.6本项目</w:t>
      </w:r>
      <w:r>
        <w:rPr>
          <w:rFonts w:ascii="宋体" w:hAnsi="宋体"/>
          <w:sz w:val="24"/>
        </w:rPr>
        <w:t>采购文件</w:t>
      </w:r>
      <w:r>
        <w:rPr>
          <w:rFonts w:hint="eastAsia" w:ascii="宋体" w:hAnsi="宋体"/>
          <w:sz w:val="24"/>
        </w:rPr>
        <w:t>的</w:t>
      </w:r>
      <w:r>
        <w:rPr>
          <w:rFonts w:ascii="宋体" w:hAnsi="宋体"/>
          <w:sz w:val="24"/>
        </w:rPr>
        <w:t>澄清、答复、修改、补充的内容</w:t>
      </w:r>
      <w:r>
        <w:rPr>
          <w:rFonts w:hint="eastAsia" w:ascii="宋体" w:hAnsi="宋体"/>
          <w:sz w:val="24"/>
        </w:rPr>
        <w:t>。</w:t>
      </w:r>
    </w:p>
    <w:p>
      <w:pPr>
        <w:snapToGrid w:val="0"/>
        <w:ind w:firstLine="472" w:firstLineChars="196"/>
        <w:jc w:val="left"/>
        <w:rPr>
          <w:rFonts w:ascii="宋体" w:hAnsi="宋体"/>
          <w:b/>
          <w:sz w:val="24"/>
        </w:rPr>
      </w:pPr>
      <w:r>
        <w:rPr>
          <w:rFonts w:hint="eastAsia" w:ascii="宋体" w:hAnsi="宋体"/>
          <w:b/>
          <w:sz w:val="24"/>
        </w:rPr>
        <w:t>9.投标人的风险</w:t>
      </w:r>
    </w:p>
    <w:p>
      <w:pPr>
        <w:snapToGrid w:val="0"/>
        <w:ind w:firstLine="480" w:firstLineChars="200"/>
        <w:jc w:val="left"/>
        <w:rPr>
          <w:rFonts w:ascii="宋体" w:hAnsi="宋体"/>
          <w:sz w:val="24"/>
        </w:rPr>
      </w:pPr>
      <w:r>
        <w:rPr>
          <w:rFonts w:hint="eastAsia" w:ascii="宋体" w:hAnsi="宋体"/>
          <w:sz w:val="24"/>
        </w:rPr>
        <w:t>投标人应仔细阅读采购文件的所有内容，并按照采购文件的要求提交谈判响应文件。投标人没有按照采购文件要求提供全部资料，或者投标人没有对采购文件在各方面者作出实质性响应是投标人的风险，并可能导致其投标被拒绝。</w:t>
      </w:r>
    </w:p>
    <w:p>
      <w:pPr>
        <w:pStyle w:val="4"/>
        <w:widowControl w:val="0"/>
        <w:numPr>
          <w:ilvl w:val="0"/>
          <w:numId w:val="0"/>
        </w:numPr>
        <w:tabs>
          <w:tab w:val="left" w:pos="720"/>
        </w:tabs>
        <w:snapToGrid w:val="0"/>
        <w:ind w:firstLine="413" w:firstLineChars="196"/>
        <w:rPr>
          <w:rFonts w:ascii="宋体" w:hAnsi="宋体"/>
          <w:b/>
          <w:color w:val="000000"/>
          <w:szCs w:val="24"/>
        </w:rPr>
      </w:pPr>
      <w:r>
        <w:rPr>
          <w:rFonts w:hint="eastAsia" w:ascii="宋体" w:hAnsi="宋体"/>
          <w:b/>
          <w:color w:val="000000"/>
          <w:szCs w:val="24"/>
        </w:rPr>
        <w:t>10.采购文件的澄清与修改</w:t>
      </w:r>
      <w:r>
        <w:rPr>
          <w:rFonts w:ascii="宋体" w:hAnsi="宋体"/>
          <w:b/>
          <w:color w:val="000000"/>
          <w:szCs w:val="24"/>
        </w:rPr>
        <w:t xml:space="preserve"> </w:t>
      </w:r>
    </w:p>
    <w:p>
      <w:pPr>
        <w:pStyle w:val="7"/>
        <w:snapToGrid w:val="0"/>
        <w:ind w:firstLine="480" w:firstLineChars="200"/>
        <w:rPr>
          <w:rFonts w:hint="eastAsia" w:ascii="宋体" w:hAnsi="宋体"/>
          <w:szCs w:val="24"/>
        </w:rPr>
      </w:pPr>
      <w:r>
        <w:rPr>
          <w:rFonts w:hint="eastAsia" w:ascii="宋体" w:hAnsi="宋体"/>
        </w:rPr>
        <w:t>10.1</w:t>
      </w:r>
      <w:r>
        <w:rPr>
          <w:rFonts w:ascii="宋体" w:hAnsi="宋体"/>
          <w:bCs/>
        </w:rPr>
        <w:t>投标人应认真阅读本采购文件，发现其中有误或有不合理要求的，投标人必须以书面形</w:t>
      </w:r>
      <w:r>
        <w:rPr>
          <w:rFonts w:hint="eastAsia" w:ascii="宋体" w:hAnsi="宋体"/>
          <w:bCs/>
        </w:rPr>
        <w:t>式</w:t>
      </w:r>
      <w:r>
        <w:rPr>
          <w:rFonts w:hint="eastAsia" w:ascii="宋体" w:hAnsi="宋体"/>
        </w:rPr>
        <w:t>(包括书面文字、传真等)</w:t>
      </w:r>
      <w:r>
        <w:rPr>
          <w:rFonts w:hint="eastAsia" w:ascii="宋体" w:hAnsi="宋体"/>
          <w:bCs/>
        </w:rPr>
        <w:t>要求招标人澄清</w:t>
      </w:r>
      <w:r>
        <w:rPr>
          <w:rFonts w:hint="eastAsia" w:ascii="宋体" w:hAnsi="宋体"/>
        </w:rPr>
        <w:t>。</w:t>
      </w:r>
    </w:p>
    <w:p>
      <w:pPr>
        <w:pStyle w:val="7"/>
        <w:snapToGrid w:val="0"/>
        <w:ind w:firstLine="480" w:firstLineChars="200"/>
        <w:rPr>
          <w:rFonts w:hAnsi="宋体"/>
        </w:rPr>
      </w:pPr>
      <w:r>
        <w:rPr>
          <w:rFonts w:hint="eastAsia" w:ascii="宋体" w:hAnsi="宋体"/>
        </w:rPr>
        <w:t>10.2</w:t>
      </w:r>
      <w:r>
        <w:rPr>
          <w:rFonts w:ascii="宋体" w:hAnsi="宋体"/>
        </w:rPr>
        <w:t>采购文件澄清、答复、修改、补充的内容为采购文件的组成部分。</w:t>
      </w:r>
      <w:r>
        <w:rPr>
          <w:rFonts w:hAnsi="宋体"/>
        </w:rPr>
        <w:t>当采购文件与采购文件的答复、澄清、修改、补充公告就同一内容的表述不一致时，以最后发出的文件</w:t>
      </w:r>
      <w:r>
        <w:rPr>
          <w:rFonts w:hint="eastAsia" w:hAnsi="宋体"/>
        </w:rPr>
        <w:t>或公告或通知</w:t>
      </w:r>
      <w:r>
        <w:rPr>
          <w:rFonts w:hAnsi="宋体"/>
        </w:rPr>
        <w:t>为准。</w:t>
      </w:r>
    </w:p>
    <w:p>
      <w:pPr>
        <w:pStyle w:val="7"/>
        <w:snapToGrid w:val="0"/>
        <w:ind w:firstLine="480" w:firstLineChars="200"/>
        <w:rPr>
          <w:rFonts w:hint="eastAsia" w:ascii="宋体" w:hAnsi="宋体"/>
        </w:rPr>
      </w:pPr>
      <w:r>
        <w:rPr>
          <w:rFonts w:hint="eastAsia" w:ascii="宋体" w:hAnsi="宋体"/>
        </w:rPr>
        <w:t>10.3在投标截止时间前，招标人有权修改采购文件，并以书面形式通知投标人，通知中没有注明更改投标截止时间的视为截止时间不变。修改的文件作为采购文件的补充和组成部分，对投标人均有约束力。</w:t>
      </w:r>
    </w:p>
    <w:p>
      <w:pPr>
        <w:pStyle w:val="7"/>
        <w:snapToGrid w:val="0"/>
        <w:ind w:firstLine="480" w:firstLineChars="200"/>
        <w:rPr>
          <w:rFonts w:hint="eastAsia" w:ascii="宋体" w:hAnsi="宋体"/>
        </w:rPr>
      </w:pPr>
      <w:r>
        <w:rPr>
          <w:rFonts w:hint="eastAsia" w:ascii="宋体" w:hAnsi="宋体"/>
        </w:rPr>
        <w:t>10.4为使投标人在编制谈判响应文件时把补充公告内容考虑进去，招标人可以酌情推迟递交谈判响应文件的截止时间。</w:t>
      </w:r>
    </w:p>
    <w:p>
      <w:pPr>
        <w:pStyle w:val="7"/>
        <w:snapToGrid w:val="0"/>
        <w:ind w:firstLine="480" w:firstLineChars="200"/>
        <w:rPr>
          <w:rFonts w:hint="eastAsia" w:ascii="宋体" w:hAnsi="宋体"/>
        </w:rPr>
      </w:pPr>
      <w:r>
        <w:rPr>
          <w:rFonts w:hint="eastAsia" w:ascii="宋体" w:hAnsi="宋体"/>
        </w:rPr>
        <w:t>10.5补充公告须向诸暨市公共资源交易管理委员会办公室审核备案。</w:t>
      </w:r>
    </w:p>
    <w:p>
      <w:pPr>
        <w:pStyle w:val="3"/>
        <w:spacing w:line="360" w:lineRule="exact"/>
        <w:jc w:val="center"/>
        <w:rPr>
          <w:rFonts w:hint="eastAsia" w:ascii="宋体" w:hAnsi="宋体" w:eastAsia="宋体"/>
          <w:sz w:val="28"/>
          <w:szCs w:val="28"/>
        </w:rPr>
      </w:pPr>
      <w:bookmarkStart w:id="2" w:name="_Toc125344505"/>
      <w:r>
        <w:rPr>
          <w:rFonts w:hint="eastAsia" w:ascii="宋体" w:hAnsi="宋体" w:eastAsia="宋体"/>
          <w:sz w:val="28"/>
          <w:szCs w:val="28"/>
        </w:rPr>
        <w:t>三、谈判响应文件编制</w:t>
      </w:r>
      <w:bookmarkEnd w:id="2"/>
      <w:r>
        <w:rPr>
          <w:rFonts w:hint="eastAsia" w:ascii="宋体" w:hAnsi="宋体" w:eastAsia="宋体"/>
          <w:sz w:val="28"/>
          <w:szCs w:val="28"/>
        </w:rPr>
        <w:t>和提交</w:t>
      </w:r>
    </w:p>
    <w:p>
      <w:pPr>
        <w:snapToGrid w:val="0"/>
        <w:ind w:firstLine="472" w:firstLineChars="196"/>
        <w:jc w:val="left"/>
        <w:outlineLvl w:val="0"/>
        <w:rPr>
          <w:rFonts w:ascii="宋体" w:hAnsi="宋体"/>
          <w:b/>
          <w:sz w:val="24"/>
        </w:rPr>
      </w:pPr>
      <w:r>
        <w:rPr>
          <w:rFonts w:hint="eastAsia" w:ascii="宋体" w:hAnsi="宋体"/>
          <w:b/>
          <w:sz w:val="24"/>
        </w:rPr>
        <w:t>11.谈判响应文件的组成</w:t>
      </w:r>
    </w:p>
    <w:p>
      <w:pPr>
        <w:snapToGrid w:val="0"/>
        <w:ind w:firstLine="470" w:firstLineChars="196"/>
        <w:jc w:val="left"/>
        <w:outlineLvl w:val="0"/>
        <w:rPr>
          <w:rFonts w:hint="eastAsia" w:ascii="宋体" w:hAnsi="宋体"/>
          <w:color w:val="auto"/>
          <w:kern w:val="2"/>
          <w:sz w:val="24"/>
          <w:szCs w:val="20"/>
        </w:rPr>
      </w:pPr>
      <w:r>
        <w:rPr>
          <w:rFonts w:ascii="宋体" w:hAnsi="宋体"/>
          <w:color w:val="auto"/>
          <w:kern w:val="2"/>
          <w:sz w:val="24"/>
          <w:szCs w:val="20"/>
        </w:rPr>
        <w:t>谈判响应文件内容应包括：投标单位介绍、营业执照，</w:t>
      </w:r>
      <w:r>
        <w:rPr>
          <w:rFonts w:hint="eastAsia" w:ascii="宋体" w:hAnsi="宋体"/>
          <w:color w:val="auto"/>
          <w:kern w:val="2"/>
          <w:sz w:val="24"/>
          <w:szCs w:val="20"/>
        </w:rPr>
        <w:t>法定负责人授权委托书（除法定负责人亲自参加外）</w:t>
      </w:r>
      <w:r>
        <w:rPr>
          <w:rFonts w:ascii="宋体" w:hAnsi="宋体"/>
          <w:color w:val="auto"/>
          <w:kern w:val="2"/>
          <w:sz w:val="24"/>
          <w:szCs w:val="20"/>
        </w:rPr>
        <w:t>，</w:t>
      </w:r>
      <w:r>
        <w:rPr>
          <w:rFonts w:hint="eastAsia" w:ascii="宋体" w:hAnsi="宋体"/>
          <w:color w:val="auto"/>
          <w:kern w:val="2"/>
          <w:sz w:val="24"/>
          <w:szCs w:val="20"/>
        </w:rPr>
        <w:t>投标报价汇总表，分项报价表</w:t>
      </w:r>
      <w:r>
        <w:rPr>
          <w:rFonts w:ascii="宋体" w:hAnsi="宋体"/>
          <w:color w:val="auto"/>
          <w:kern w:val="2"/>
          <w:sz w:val="24"/>
          <w:szCs w:val="20"/>
        </w:rPr>
        <w:t>，</w:t>
      </w:r>
      <w:r>
        <w:rPr>
          <w:rFonts w:hint="eastAsia" w:ascii="宋体" w:hAnsi="宋体"/>
          <w:color w:val="auto"/>
          <w:kern w:val="2"/>
          <w:sz w:val="24"/>
          <w:szCs w:val="20"/>
        </w:rPr>
        <w:t>售后服务承诺，</w:t>
      </w:r>
      <w:r>
        <w:rPr>
          <w:rFonts w:ascii="宋体" w:hAnsi="宋体"/>
          <w:color w:val="auto"/>
          <w:kern w:val="2"/>
          <w:sz w:val="24"/>
          <w:szCs w:val="20"/>
        </w:rPr>
        <w:t>以及其他投标方认为必要的内容。</w:t>
      </w:r>
    </w:p>
    <w:p>
      <w:pPr>
        <w:snapToGrid w:val="0"/>
        <w:ind w:firstLine="472" w:firstLineChars="196"/>
        <w:jc w:val="left"/>
        <w:outlineLvl w:val="0"/>
        <w:rPr>
          <w:rFonts w:ascii="宋体" w:hAnsi="宋体"/>
          <w:b/>
          <w:sz w:val="24"/>
        </w:rPr>
      </w:pPr>
      <w:r>
        <w:rPr>
          <w:rFonts w:hint="eastAsia" w:ascii="宋体" w:hAnsi="宋体"/>
          <w:b/>
          <w:sz w:val="24"/>
        </w:rPr>
        <w:t>12.谈判响应文件的语言及计量</w:t>
      </w:r>
    </w:p>
    <w:p>
      <w:pPr>
        <w:pStyle w:val="7"/>
        <w:snapToGrid w:val="0"/>
        <w:ind w:firstLine="480" w:firstLineChars="200"/>
        <w:rPr>
          <w:rFonts w:ascii="宋体" w:hAnsi="宋体"/>
        </w:rPr>
      </w:pPr>
      <w:r>
        <w:rPr>
          <w:rFonts w:hint="eastAsia" w:ascii="宋体" w:hAnsi="宋体"/>
        </w:rPr>
        <w:t>12.1</w:t>
      </w:r>
      <w:r>
        <w:rPr>
          <w:rFonts w:ascii="宋体" w:hAnsi="宋体"/>
        </w:rPr>
        <w:t>谈判响应文件以及投标方与招标方就有关投标事宜的所有来往函电，均应以中文汉语书写。除签名、盖章、专用名称等特殊情形外，以中文汉语以外的文字表述的谈判响应文件视同未提供。</w:t>
      </w:r>
    </w:p>
    <w:p>
      <w:pPr>
        <w:pStyle w:val="7"/>
        <w:snapToGrid w:val="0"/>
        <w:ind w:firstLine="480" w:firstLineChars="200"/>
        <w:rPr>
          <w:rFonts w:ascii="宋体" w:hAnsi="宋体"/>
        </w:rPr>
      </w:pPr>
      <w:r>
        <w:rPr>
          <w:rFonts w:hint="eastAsia" w:ascii="宋体" w:hAnsi="宋体"/>
        </w:rPr>
        <w:t>12.2</w:t>
      </w:r>
      <w:r>
        <w:rPr>
          <w:rFonts w:ascii="宋体" w:hAnsi="宋体"/>
        </w:rPr>
        <w:t>投标计量单位，采购文件已有明确规定的，使用采购文件规定的计量单位；采购文件没有规定的，应采用中华人民共和国法定计量单位（货币单位：人民币元），否则视同未响应。</w:t>
      </w:r>
    </w:p>
    <w:p>
      <w:pPr>
        <w:snapToGrid w:val="0"/>
        <w:ind w:firstLine="472" w:firstLineChars="196"/>
        <w:jc w:val="left"/>
        <w:outlineLvl w:val="0"/>
        <w:rPr>
          <w:rFonts w:ascii="宋体" w:hAnsi="宋体"/>
          <w:b/>
          <w:sz w:val="24"/>
        </w:rPr>
      </w:pPr>
      <w:r>
        <w:rPr>
          <w:rFonts w:hint="eastAsia" w:ascii="宋体" w:hAnsi="宋体"/>
          <w:b/>
          <w:sz w:val="24"/>
        </w:rPr>
        <w:t>13.投标报价</w:t>
      </w:r>
    </w:p>
    <w:p>
      <w:pPr>
        <w:pStyle w:val="7"/>
        <w:snapToGrid w:val="0"/>
        <w:ind w:firstLine="480" w:firstLineChars="200"/>
        <w:rPr>
          <w:rFonts w:hint="eastAsia" w:ascii="宋体" w:hAnsi="宋体"/>
        </w:rPr>
      </w:pPr>
      <w:r>
        <w:rPr>
          <w:rFonts w:hint="eastAsia" w:ascii="宋体" w:hAnsi="宋体"/>
        </w:rPr>
        <w:t>13.1</w:t>
      </w:r>
      <w:r>
        <w:rPr>
          <w:rFonts w:ascii="宋体" w:hAnsi="宋体"/>
        </w:rPr>
        <w:t>投标报价应按采购文件中相关附表格式填写。</w:t>
      </w:r>
    </w:p>
    <w:p>
      <w:pPr>
        <w:pStyle w:val="7"/>
        <w:snapToGrid w:val="0"/>
        <w:ind w:firstLine="480" w:firstLineChars="200"/>
        <w:rPr>
          <w:rFonts w:ascii="宋体" w:hAnsi="宋体"/>
        </w:rPr>
      </w:pPr>
      <w:r>
        <w:rPr>
          <w:rFonts w:hint="eastAsia" w:ascii="宋体" w:hAnsi="宋体"/>
        </w:rPr>
        <w:t>13.2投标报价（包括单价、总价等）均保留到小数点后两位（如：100.88元）。投标人必须报有合理单价，其将作为设备增减的主要依据。</w:t>
      </w:r>
    </w:p>
    <w:p>
      <w:pPr>
        <w:pStyle w:val="7"/>
        <w:snapToGrid w:val="0"/>
        <w:ind w:firstLine="480" w:firstLineChars="200"/>
        <w:rPr>
          <w:rFonts w:hint="eastAsia" w:ascii="宋体" w:hAnsi="宋体"/>
        </w:rPr>
      </w:pPr>
      <w:r>
        <w:rPr>
          <w:rFonts w:hint="eastAsia" w:ascii="宋体" w:hAnsi="宋体"/>
        </w:rPr>
        <w:t>13.3</w:t>
      </w:r>
      <w:r>
        <w:rPr>
          <w:rFonts w:ascii="宋体" w:hAnsi="宋体"/>
        </w:rPr>
        <w:t>谈判响应文件只允许有一个报价，有选择的</w:t>
      </w:r>
      <w:r>
        <w:rPr>
          <w:rFonts w:hint="eastAsia" w:ascii="宋体" w:hAnsi="宋体"/>
        </w:rPr>
        <w:t>或有条件的</w:t>
      </w:r>
      <w:r>
        <w:rPr>
          <w:rFonts w:ascii="宋体" w:hAnsi="宋体"/>
        </w:rPr>
        <w:t>报价将不予接受。</w:t>
      </w:r>
    </w:p>
    <w:p>
      <w:pPr>
        <w:pStyle w:val="7"/>
        <w:snapToGrid w:val="0"/>
        <w:ind w:firstLine="480" w:firstLineChars="200"/>
        <w:rPr>
          <w:rFonts w:ascii="宋体" w:hAnsi="宋体"/>
        </w:rPr>
      </w:pPr>
      <w:r>
        <w:rPr>
          <w:rFonts w:hint="eastAsia" w:ascii="宋体" w:hAnsi="宋体"/>
        </w:rPr>
        <w:t>13.4采购文件未列明，而投标人认为必需的费用也需列入报价。</w:t>
      </w:r>
    </w:p>
    <w:p>
      <w:pPr>
        <w:pStyle w:val="4"/>
        <w:widowControl w:val="0"/>
        <w:numPr>
          <w:ilvl w:val="0"/>
          <w:numId w:val="0"/>
        </w:numPr>
        <w:tabs>
          <w:tab w:val="left" w:pos="720"/>
        </w:tabs>
        <w:snapToGrid w:val="0"/>
        <w:ind w:firstLine="413" w:firstLineChars="196"/>
        <w:rPr>
          <w:rFonts w:ascii="宋体" w:hAnsi="宋体"/>
          <w:b/>
          <w:color w:val="000000"/>
          <w:szCs w:val="24"/>
        </w:rPr>
      </w:pPr>
      <w:r>
        <w:rPr>
          <w:rFonts w:hint="eastAsia" w:ascii="宋体" w:hAnsi="宋体"/>
          <w:b/>
          <w:color w:val="000000"/>
          <w:szCs w:val="24"/>
        </w:rPr>
        <w:t>14.谈判响应文件的有效期</w:t>
      </w:r>
    </w:p>
    <w:p>
      <w:pPr>
        <w:pStyle w:val="7"/>
        <w:snapToGrid w:val="0"/>
        <w:ind w:firstLine="480" w:firstLineChars="200"/>
        <w:rPr>
          <w:rFonts w:ascii="宋体" w:hAnsi="宋体"/>
        </w:rPr>
      </w:pPr>
      <w:r>
        <w:rPr>
          <w:rFonts w:hint="eastAsia" w:ascii="宋体" w:hAnsi="宋体"/>
        </w:rPr>
        <w:t>14.1</w:t>
      </w:r>
      <w:r>
        <w:rPr>
          <w:rFonts w:ascii="宋体" w:hAnsi="宋体"/>
        </w:rPr>
        <w:t>自投标截止日起</w:t>
      </w:r>
      <w:r>
        <w:rPr>
          <w:rFonts w:hint="eastAsia" w:ascii="宋体" w:hAnsi="宋体"/>
        </w:rPr>
        <w:t>45</w:t>
      </w:r>
      <w:r>
        <w:rPr>
          <w:rFonts w:ascii="宋体" w:hAnsi="宋体"/>
        </w:rPr>
        <w:t>天投标书应保持有效。</w:t>
      </w:r>
      <w:r>
        <w:rPr>
          <w:rFonts w:hint="eastAsia" w:ascii="宋体" w:hAnsi="宋体"/>
        </w:rPr>
        <w:t>如采购人认为必要，可延长投标有效期。</w:t>
      </w:r>
      <w:r>
        <w:rPr>
          <w:rFonts w:ascii="宋体" w:hAnsi="宋体"/>
        </w:rPr>
        <w:t>有效期短于这个规定期限的投标将被拒绝。</w:t>
      </w:r>
    </w:p>
    <w:p>
      <w:pPr>
        <w:pStyle w:val="7"/>
        <w:snapToGrid w:val="0"/>
        <w:ind w:firstLine="480" w:firstLineChars="200"/>
        <w:rPr>
          <w:rFonts w:ascii="宋体" w:hAnsi="宋体"/>
        </w:rPr>
      </w:pPr>
      <w:r>
        <w:rPr>
          <w:rFonts w:hint="eastAsia" w:ascii="宋体" w:hAnsi="宋体"/>
        </w:rPr>
        <w:t>14.2</w:t>
      </w:r>
      <w:r>
        <w:rPr>
          <w:rFonts w:ascii="宋体" w:hAnsi="宋体"/>
        </w:rPr>
        <w:t>在特殊情况下，招标人可与投标人协商延长投标书的有效期，这种要求和答复均以书面形式进行。</w:t>
      </w:r>
    </w:p>
    <w:p>
      <w:pPr>
        <w:pStyle w:val="7"/>
        <w:snapToGrid w:val="0"/>
        <w:ind w:firstLine="480" w:firstLineChars="200"/>
        <w:rPr>
          <w:rFonts w:ascii="宋体" w:hAnsi="宋体"/>
        </w:rPr>
      </w:pPr>
      <w:r>
        <w:rPr>
          <w:rFonts w:hint="eastAsia" w:ascii="宋体" w:hAnsi="宋体"/>
        </w:rPr>
        <w:t>14.3</w:t>
      </w:r>
      <w:r>
        <w:rPr>
          <w:rFonts w:ascii="宋体" w:hAnsi="宋体"/>
        </w:rPr>
        <w:t xml:space="preserve">投标人可拒绝接受延期要求而不会导致投标保证金被没收。同意延长有效期的投标人需要相应延长投标保证金的有效期，但不能修改谈判响应文件。 </w:t>
      </w:r>
    </w:p>
    <w:p>
      <w:pPr>
        <w:pStyle w:val="7"/>
        <w:snapToGrid w:val="0"/>
        <w:ind w:firstLine="480" w:firstLineChars="200"/>
        <w:rPr>
          <w:rFonts w:hint="eastAsia" w:ascii="宋体" w:hAnsi="宋体"/>
        </w:rPr>
      </w:pPr>
      <w:r>
        <w:rPr>
          <w:rFonts w:hint="eastAsia" w:ascii="宋体" w:hAnsi="宋体"/>
        </w:rPr>
        <w:t>14.4</w:t>
      </w:r>
      <w:r>
        <w:rPr>
          <w:rFonts w:ascii="宋体" w:hAnsi="宋体"/>
        </w:rPr>
        <w:t>成交供应商的谈判响应文件自开标之日起至合同履行完毕止均应保持有效。</w:t>
      </w:r>
    </w:p>
    <w:p>
      <w:pPr>
        <w:snapToGrid w:val="0"/>
        <w:ind w:firstLine="472" w:firstLineChars="196"/>
        <w:jc w:val="left"/>
        <w:outlineLvl w:val="0"/>
        <w:rPr>
          <w:rFonts w:ascii="宋体" w:hAnsi="宋体"/>
          <w:b/>
          <w:sz w:val="24"/>
        </w:rPr>
      </w:pPr>
      <w:r>
        <w:rPr>
          <w:rFonts w:hint="eastAsia" w:ascii="宋体" w:hAnsi="宋体"/>
          <w:b/>
          <w:sz w:val="24"/>
        </w:rPr>
        <w:t>15.投标保证金</w:t>
      </w:r>
    </w:p>
    <w:p>
      <w:pPr>
        <w:snapToGrid w:val="0"/>
        <w:ind w:firstLine="480" w:firstLineChars="200"/>
        <w:rPr>
          <w:rFonts w:hint="eastAsia" w:ascii="宋体" w:hAnsi="宋体"/>
          <w:color w:val="auto"/>
          <w:kern w:val="2"/>
          <w:sz w:val="24"/>
          <w:szCs w:val="20"/>
        </w:rPr>
      </w:pPr>
      <w:r>
        <w:rPr>
          <w:rFonts w:ascii="宋体" w:hAnsi="宋体"/>
          <w:color w:val="auto"/>
          <w:kern w:val="2"/>
          <w:sz w:val="24"/>
          <w:szCs w:val="20"/>
        </w:rPr>
        <w:t>本次谈判免收谈判保证金</w:t>
      </w:r>
      <w:r>
        <w:rPr>
          <w:rFonts w:hint="eastAsia" w:ascii="宋体" w:hAnsi="宋体"/>
          <w:color w:val="auto"/>
          <w:kern w:val="2"/>
          <w:sz w:val="24"/>
          <w:szCs w:val="20"/>
        </w:rPr>
        <w:t>。</w:t>
      </w:r>
    </w:p>
    <w:p>
      <w:pPr>
        <w:snapToGrid w:val="0"/>
        <w:ind w:firstLine="472" w:firstLineChars="196"/>
        <w:jc w:val="left"/>
        <w:outlineLvl w:val="0"/>
        <w:rPr>
          <w:rFonts w:ascii="宋体" w:hAnsi="宋体"/>
          <w:b/>
          <w:sz w:val="24"/>
        </w:rPr>
      </w:pPr>
      <w:r>
        <w:rPr>
          <w:rFonts w:hint="eastAsia" w:ascii="宋体" w:hAnsi="宋体"/>
          <w:b/>
          <w:sz w:val="24"/>
        </w:rPr>
        <w:t>16.谈判响应文件的签署和份数</w:t>
      </w:r>
    </w:p>
    <w:p>
      <w:pPr>
        <w:snapToGrid w:val="0"/>
        <w:ind w:firstLine="480" w:firstLineChars="200"/>
        <w:jc w:val="left"/>
        <w:rPr>
          <w:rFonts w:hint="eastAsia" w:ascii="宋体" w:hAnsi="宋体"/>
          <w:sz w:val="24"/>
        </w:rPr>
      </w:pPr>
      <w:r>
        <w:rPr>
          <w:rFonts w:hint="eastAsia" w:ascii="宋体" w:hAnsi="宋体"/>
          <w:sz w:val="24"/>
        </w:rPr>
        <w:t>16.1</w:t>
      </w:r>
      <w:r>
        <w:rPr>
          <w:rFonts w:ascii="宋体" w:hAnsi="宋体"/>
          <w:sz w:val="24"/>
        </w:rPr>
        <w:t>谈判响应</w:t>
      </w:r>
      <w:r>
        <w:rPr>
          <w:rFonts w:hint="eastAsia" w:ascii="宋体" w:hAnsi="宋体"/>
          <w:sz w:val="24"/>
        </w:rPr>
        <w:t>人应</w:t>
      </w:r>
      <w:r>
        <w:rPr>
          <w:rFonts w:ascii="宋体" w:hAnsi="宋体"/>
          <w:sz w:val="24"/>
        </w:rPr>
        <w:t>提供谈判响应文件共</w:t>
      </w:r>
      <w:r>
        <w:rPr>
          <w:rFonts w:hint="eastAsia" w:ascii="宋体" w:hAnsi="宋体"/>
          <w:sz w:val="24"/>
        </w:rPr>
        <w:t>三</w:t>
      </w:r>
      <w:r>
        <w:rPr>
          <w:rFonts w:ascii="宋体" w:hAnsi="宋体"/>
          <w:sz w:val="24"/>
        </w:rPr>
        <w:t>份，其中正本一份，副本</w:t>
      </w:r>
      <w:r>
        <w:rPr>
          <w:rFonts w:hint="eastAsia" w:ascii="宋体" w:hAnsi="宋体"/>
          <w:sz w:val="24"/>
        </w:rPr>
        <w:t>二</w:t>
      </w:r>
      <w:r>
        <w:rPr>
          <w:rFonts w:ascii="宋体" w:hAnsi="宋体"/>
          <w:sz w:val="24"/>
        </w:rPr>
        <w:t>份</w:t>
      </w:r>
      <w:r>
        <w:rPr>
          <w:rFonts w:hint="eastAsia" w:ascii="宋体" w:hAnsi="宋体"/>
          <w:sz w:val="24"/>
        </w:rPr>
        <w:t>，并在封面上标明“正本”和“副本”。谈判响应文件“正本”和“副本”如有不一致之处，以“正本”为准。</w:t>
      </w:r>
    </w:p>
    <w:p>
      <w:pPr>
        <w:snapToGrid w:val="0"/>
        <w:ind w:firstLine="480" w:firstLineChars="200"/>
        <w:jc w:val="left"/>
        <w:rPr>
          <w:rFonts w:ascii="宋体" w:hAnsi="宋体"/>
          <w:sz w:val="24"/>
        </w:rPr>
      </w:pPr>
      <w:r>
        <w:rPr>
          <w:rFonts w:hint="eastAsia" w:ascii="宋体" w:hAnsi="宋体"/>
          <w:sz w:val="24"/>
        </w:rPr>
        <w:t>16.2</w:t>
      </w:r>
      <w:r>
        <w:rPr>
          <w:rFonts w:ascii="宋体" w:hAnsi="宋体"/>
          <w:sz w:val="24"/>
        </w:rPr>
        <w:t>投标人应</w:t>
      </w:r>
      <w:r>
        <w:rPr>
          <w:rFonts w:hint="eastAsia" w:ascii="宋体" w:hAnsi="宋体"/>
          <w:sz w:val="24"/>
        </w:rPr>
        <w:t>按</w:t>
      </w:r>
      <w:r>
        <w:rPr>
          <w:rFonts w:ascii="宋体" w:hAnsi="宋体"/>
          <w:sz w:val="24"/>
        </w:rPr>
        <w:t>本采购文件规定的格式和顺序编制、装订谈判响应文件</w:t>
      </w:r>
      <w:r>
        <w:rPr>
          <w:rFonts w:hint="eastAsia" w:ascii="宋体" w:hAnsi="宋体"/>
          <w:sz w:val="24"/>
        </w:rPr>
        <w:t>并标注页码</w:t>
      </w:r>
      <w:r>
        <w:rPr>
          <w:rFonts w:ascii="宋体" w:hAnsi="宋体"/>
          <w:sz w:val="24"/>
        </w:rPr>
        <w:t>，谈判响应文件内容不完整、编排混乱导致谈判响应文件被误读、漏读或者查找不到相关内容的，是投标人的责任。</w:t>
      </w:r>
    </w:p>
    <w:p>
      <w:pPr>
        <w:snapToGrid w:val="0"/>
        <w:ind w:firstLine="480" w:firstLineChars="200"/>
        <w:jc w:val="left"/>
        <w:rPr>
          <w:rFonts w:hint="eastAsia" w:ascii="宋体" w:hAnsi="宋体"/>
          <w:sz w:val="24"/>
        </w:rPr>
      </w:pPr>
      <w:r>
        <w:rPr>
          <w:rFonts w:hint="eastAsia" w:ascii="宋体" w:hAnsi="宋体"/>
          <w:sz w:val="24"/>
        </w:rPr>
        <w:t>16.3</w:t>
      </w:r>
      <w:r>
        <w:rPr>
          <w:rFonts w:ascii="宋体" w:hAnsi="宋体"/>
          <w:sz w:val="24"/>
        </w:rPr>
        <w:t>谈判响应文件须由投标人在规定位置盖章并由法定代表人或法定代表授权人签署，投标人应写全称。</w:t>
      </w:r>
      <w:r>
        <w:rPr>
          <w:rFonts w:hint="eastAsia" w:ascii="宋体" w:hAnsi="宋体"/>
          <w:b/>
          <w:sz w:val="24"/>
        </w:rPr>
        <w:t>谈判响应文件中所涉及的公章必须是投标人全称的公章，不得使用投标专用章、合同章等类似图章代替。</w:t>
      </w:r>
    </w:p>
    <w:p>
      <w:pPr>
        <w:snapToGrid w:val="0"/>
        <w:ind w:firstLine="480" w:firstLineChars="200"/>
        <w:jc w:val="left"/>
        <w:rPr>
          <w:rFonts w:hint="eastAsia" w:ascii="宋体" w:hAnsi="宋体"/>
          <w:b/>
          <w:sz w:val="24"/>
        </w:rPr>
      </w:pPr>
      <w:r>
        <w:rPr>
          <w:rFonts w:hint="eastAsia" w:ascii="宋体" w:hAnsi="宋体"/>
          <w:sz w:val="24"/>
        </w:rPr>
        <w:t>16.4</w:t>
      </w:r>
      <w:r>
        <w:rPr>
          <w:rFonts w:ascii="宋体" w:hAnsi="宋体"/>
          <w:sz w:val="24"/>
        </w:rPr>
        <w:t>谈判响应文件不得涂改，若有修改错漏处，须加盖单位公章或者法定代表人或授权委托人签字或盖章。谈判响应文件因表达不清所引起的后果由投标人负责。</w:t>
      </w:r>
    </w:p>
    <w:p>
      <w:pPr>
        <w:snapToGrid w:val="0"/>
        <w:ind w:firstLine="480" w:firstLineChars="200"/>
        <w:jc w:val="left"/>
        <w:rPr>
          <w:rFonts w:hint="eastAsia" w:ascii="宋体" w:hAnsi="宋体"/>
          <w:sz w:val="24"/>
        </w:rPr>
      </w:pPr>
      <w:r>
        <w:rPr>
          <w:rFonts w:hint="eastAsia" w:ascii="宋体" w:hAnsi="宋体"/>
          <w:sz w:val="24"/>
        </w:rPr>
        <w:t>16.5投标人应使用采购文件中提供的文本格式，如表格不够用，可以按同样格式扩展。</w:t>
      </w:r>
    </w:p>
    <w:p>
      <w:pPr>
        <w:snapToGrid w:val="0"/>
        <w:ind w:firstLine="480" w:firstLineChars="200"/>
        <w:jc w:val="left"/>
        <w:rPr>
          <w:rFonts w:hint="eastAsia" w:ascii="宋体" w:hAnsi="宋体"/>
          <w:sz w:val="24"/>
        </w:rPr>
      </w:pPr>
      <w:r>
        <w:rPr>
          <w:rFonts w:hint="eastAsia" w:ascii="宋体" w:hAnsi="宋体"/>
          <w:sz w:val="24"/>
        </w:rPr>
        <w:t>16.6谈判响应文件必须统一用</w:t>
      </w:r>
      <w:r>
        <w:rPr>
          <w:rFonts w:ascii="宋体" w:hAnsi="宋体"/>
          <w:sz w:val="24"/>
        </w:rPr>
        <w:t>A4</w:t>
      </w:r>
      <w:r>
        <w:rPr>
          <w:rFonts w:hint="eastAsia" w:ascii="宋体" w:hAnsi="宋体"/>
          <w:sz w:val="24"/>
        </w:rPr>
        <w:t>纸(除特殊项目外)，文件内容均要求打印（除注明要求签字或提供复印件外）。</w:t>
      </w:r>
    </w:p>
    <w:p>
      <w:pPr>
        <w:snapToGrid w:val="0"/>
        <w:ind w:firstLine="472" w:firstLineChars="196"/>
        <w:jc w:val="left"/>
        <w:rPr>
          <w:rFonts w:ascii="宋体" w:hAnsi="宋体"/>
          <w:b/>
          <w:sz w:val="24"/>
        </w:rPr>
      </w:pPr>
      <w:r>
        <w:rPr>
          <w:rFonts w:hint="eastAsia" w:ascii="宋体" w:hAnsi="宋体"/>
          <w:b/>
          <w:sz w:val="24"/>
        </w:rPr>
        <w:t>17.谈判响应文件的包装、递交、修改和撤回</w:t>
      </w:r>
    </w:p>
    <w:p>
      <w:pPr>
        <w:ind w:firstLine="480" w:firstLineChars="200"/>
        <w:rPr>
          <w:rFonts w:hint="eastAsia" w:ascii="宋体" w:hAnsi="宋体"/>
          <w:sz w:val="24"/>
        </w:rPr>
      </w:pPr>
      <w:r>
        <w:rPr>
          <w:rFonts w:hint="eastAsia" w:ascii="宋体" w:hAnsi="宋体"/>
          <w:sz w:val="24"/>
          <w:szCs w:val="24"/>
        </w:rPr>
        <w:t>17.1</w:t>
      </w:r>
      <w:r>
        <w:rPr>
          <w:rFonts w:hint="eastAsia" w:ascii="宋体" w:hAnsi="宋体"/>
          <w:sz w:val="24"/>
        </w:rPr>
        <w:t>投标人应将谈判响应文件进行密封。同时在封面上注明投标项目名称、编号、投标人名称（写全称），并由投标人盖章及其法定代表人（或委托代理人）签字或盖章。</w:t>
      </w:r>
    </w:p>
    <w:p>
      <w:pPr>
        <w:pStyle w:val="5"/>
        <w:snapToGrid w:val="0"/>
        <w:ind w:firstLine="480" w:firstLineChars="200"/>
        <w:rPr>
          <w:rFonts w:hint="eastAsia" w:ascii="宋体" w:hAnsi="宋体"/>
          <w:bCs/>
          <w:sz w:val="24"/>
          <w:szCs w:val="24"/>
        </w:rPr>
      </w:pPr>
      <w:r>
        <w:rPr>
          <w:rFonts w:hint="eastAsia" w:ascii="宋体" w:hAnsi="宋体"/>
          <w:sz w:val="24"/>
          <w:szCs w:val="24"/>
        </w:rPr>
        <w:t>17.2</w:t>
      </w:r>
      <w:r>
        <w:rPr>
          <w:rFonts w:hint="eastAsia" w:ascii="宋体" w:hAnsi="宋体"/>
          <w:bCs/>
          <w:sz w:val="24"/>
          <w:szCs w:val="24"/>
        </w:rPr>
        <w:t>未按规定密封或标记的谈判响应文件将有可能被拒绝。</w:t>
      </w:r>
    </w:p>
    <w:p>
      <w:pPr>
        <w:pStyle w:val="6"/>
        <w:snapToGrid w:val="0"/>
        <w:spacing w:after="0"/>
        <w:rPr>
          <w:rFonts w:ascii="宋体" w:hAnsi="宋体"/>
          <w:b/>
          <w:bCs/>
          <w:sz w:val="24"/>
          <w:szCs w:val="24"/>
        </w:rPr>
      </w:pPr>
    </w:p>
    <w:p>
      <w:pPr>
        <w:pStyle w:val="3"/>
        <w:spacing w:line="360" w:lineRule="exact"/>
        <w:jc w:val="center"/>
        <w:rPr>
          <w:rFonts w:hint="eastAsia" w:ascii="宋体" w:hAnsi="宋体" w:eastAsia="宋体"/>
          <w:sz w:val="28"/>
          <w:szCs w:val="28"/>
        </w:rPr>
      </w:pPr>
      <w:bookmarkStart w:id="3" w:name="_Toc125344507"/>
      <w:r>
        <w:rPr>
          <w:rFonts w:hint="eastAsia" w:ascii="宋体" w:hAnsi="宋体" w:eastAsia="宋体"/>
          <w:sz w:val="28"/>
          <w:szCs w:val="28"/>
        </w:rPr>
        <w:t>四、</w:t>
      </w:r>
      <w:bookmarkEnd w:id="3"/>
      <w:r>
        <w:rPr>
          <w:rFonts w:hint="eastAsia" w:ascii="宋体" w:hAnsi="宋体" w:eastAsia="宋体"/>
          <w:sz w:val="28"/>
          <w:szCs w:val="28"/>
        </w:rPr>
        <w:t>谈  判</w:t>
      </w:r>
    </w:p>
    <w:p>
      <w:pPr>
        <w:ind w:firstLine="480" w:firstLineChars="200"/>
        <w:rPr>
          <w:rFonts w:hint="eastAsia" w:ascii="宋体" w:hAnsi="宋体"/>
          <w:sz w:val="24"/>
        </w:rPr>
      </w:pPr>
      <w:r>
        <w:rPr>
          <w:rFonts w:hint="eastAsia" w:ascii="宋体" w:hAnsi="宋体"/>
          <w:sz w:val="24"/>
        </w:rPr>
        <w:t>采购人将组织谈判小组并对具备实质性响应的</w:t>
      </w:r>
      <w:r>
        <w:rPr>
          <w:rFonts w:ascii="宋体" w:hAnsi="宋体"/>
          <w:sz w:val="24"/>
        </w:rPr>
        <w:t>谈判响应</w:t>
      </w:r>
      <w:r>
        <w:rPr>
          <w:rFonts w:hint="eastAsia" w:ascii="宋体" w:hAnsi="宋体"/>
          <w:sz w:val="24"/>
        </w:rPr>
        <w:t>文件进行评估，并和</w:t>
      </w:r>
      <w:r>
        <w:rPr>
          <w:rFonts w:ascii="宋体" w:hAnsi="宋体"/>
          <w:sz w:val="24"/>
        </w:rPr>
        <w:t>谈判响应人</w:t>
      </w:r>
      <w:r>
        <w:rPr>
          <w:rFonts w:hint="eastAsia" w:ascii="宋体" w:hAnsi="宋体"/>
          <w:sz w:val="24"/>
        </w:rPr>
        <w:t>就有关技术要求、项目进程安排、报价、服务条款等内容进行谈判。谈判结果形成书面材料，经双方签字确认后，替代采购文件和</w:t>
      </w:r>
      <w:r>
        <w:rPr>
          <w:rFonts w:ascii="宋体" w:hAnsi="宋体"/>
          <w:sz w:val="24"/>
        </w:rPr>
        <w:t>采购响应</w:t>
      </w:r>
      <w:r>
        <w:rPr>
          <w:rFonts w:hint="eastAsia" w:ascii="宋体" w:hAnsi="宋体"/>
          <w:sz w:val="24"/>
        </w:rPr>
        <w:t>文件相应内容，如果</w:t>
      </w:r>
      <w:r>
        <w:rPr>
          <w:rFonts w:ascii="宋体" w:hAnsi="宋体"/>
          <w:sz w:val="24"/>
        </w:rPr>
        <w:t>成交</w:t>
      </w:r>
      <w:r>
        <w:rPr>
          <w:rFonts w:hint="eastAsia" w:ascii="宋体" w:hAnsi="宋体"/>
          <w:sz w:val="24"/>
        </w:rPr>
        <w:t>，将作为合同的组成部分。</w:t>
      </w:r>
    </w:p>
    <w:p>
      <w:pPr>
        <w:ind w:firstLine="480" w:firstLineChars="200"/>
        <w:rPr>
          <w:rFonts w:ascii="宋体" w:hAnsi="宋体"/>
          <w:sz w:val="24"/>
        </w:rPr>
      </w:pPr>
      <w:r>
        <w:rPr>
          <w:rFonts w:hint="eastAsia" w:ascii="宋体" w:hAnsi="宋体"/>
          <w:sz w:val="24"/>
        </w:rPr>
        <w:t>18.</w:t>
      </w:r>
      <w:r>
        <w:rPr>
          <w:rFonts w:ascii="宋体" w:hAnsi="宋体"/>
          <w:sz w:val="24"/>
        </w:rPr>
        <w:t xml:space="preserve"> 谈判</w:t>
      </w:r>
    </w:p>
    <w:p>
      <w:pPr>
        <w:ind w:firstLine="480" w:firstLineChars="200"/>
        <w:rPr>
          <w:rFonts w:ascii="宋体" w:hAnsi="宋体"/>
          <w:sz w:val="24"/>
        </w:rPr>
      </w:pPr>
      <w:r>
        <w:rPr>
          <w:rFonts w:hint="eastAsia" w:ascii="宋体" w:hAnsi="宋体"/>
          <w:sz w:val="24"/>
        </w:rPr>
        <w:t>18.1</w:t>
      </w:r>
      <w:r>
        <w:rPr>
          <w:rFonts w:ascii="宋体" w:hAnsi="宋体"/>
          <w:sz w:val="24"/>
        </w:rPr>
        <w:t>采购</w:t>
      </w:r>
      <w:r>
        <w:rPr>
          <w:rFonts w:hint="eastAsia" w:ascii="宋体" w:hAnsi="宋体"/>
          <w:sz w:val="24"/>
        </w:rPr>
        <w:t>人将于规定的时间和地点举行</w:t>
      </w:r>
      <w:r>
        <w:rPr>
          <w:rFonts w:ascii="宋体" w:hAnsi="宋体"/>
          <w:sz w:val="24"/>
        </w:rPr>
        <w:t>谈判会议</w:t>
      </w:r>
      <w:r>
        <w:rPr>
          <w:rFonts w:hint="eastAsia" w:ascii="宋体" w:hAnsi="宋体"/>
          <w:sz w:val="24"/>
        </w:rPr>
        <w:t>。</w:t>
      </w:r>
    </w:p>
    <w:p>
      <w:pPr>
        <w:ind w:firstLine="480" w:firstLineChars="200"/>
        <w:rPr>
          <w:rFonts w:ascii="宋体" w:hAnsi="宋体"/>
          <w:sz w:val="24"/>
        </w:rPr>
      </w:pPr>
      <w:r>
        <w:rPr>
          <w:rFonts w:hint="eastAsia" w:ascii="宋体" w:hAnsi="宋体"/>
          <w:sz w:val="24"/>
        </w:rPr>
        <w:t>18.2</w:t>
      </w:r>
      <w:r>
        <w:rPr>
          <w:rFonts w:ascii="宋体" w:hAnsi="宋体"/>
          <w:sz w:val="24"/>
        </w:rPr>
        <w:t>谈判</w:t>
      </w:r>
      <w:r>
        <w:rPr>
          <w:rFonts w:hint="eastAsia" w:ascii="宋体" w:hAnsi="宋体"/>
          <w:sz w:val="24"/>
        </w:rPr>
        <w:t>会议在市公管办现场监督下，由</w:t>
      </w:r>
      <w:r>
        <w:rPr>
          <w:rFonts w:ascii="宋体" w:hAnsi="宋体"/>
          <w:sz w:val="24"/>
        </w:rPr>
        <w:t>采购人</w:t>
      </w:r>
      <w:r>
        <w:rPr>
          <w:rFonts w:hint="eastAsia" w:ascii="宋体" w:hAnsi="宋体"/>
          <w:sz w:val="24"/>
        </w:rPr>
        <w:t>组织并主持，邀请</w:t>
      </w:r>
      <w:r>
        <w:rPr>
          <w:rFonts w:ascii="宋体" w:hAnsi="宋体"/>
          <w:sz w:val="24"/>
        </w:rPr>
        <w:t>双方谈判代表及</w:t>
      </w:r>
      <w:r>
        <w:rPr>
          <w:rFonts w:hint="eastAsia" w:ascii="宋体" w:hAnsi="宋体"/>
          <w:sz w:val="24"/>
        </w:rPr>
        <w:t>与本项目有关人员参加。</w:t>
      </w:r>
    </w:p>
    <w:p>
      <w:pPr>
        <w:ind w:firstLine="480" w:firstLineChars="200"/>
        <w:rPr>
          <w:rFonts w:ascii="宋体" w:hAnsi="宋体"/>
          <w:sz w:val="24"/>
        </w:rPr>
      </w:pPr>
      <w:r>
        <w:rPr>
          <w:rFonts w:hint="eastAsia" w:ascii="宋体" w:hAnsi="宋体"/>
          <w:sz w:val="24"/>
        </w:rPr>
        <w:t>▲18.3</w:t>
      </w:r>
      <w:r>
        <w:rPr>
          <w:rFonts w:ascii="宋体" w:hAnsi="宋体"/>
          <w:sz w:val="24"/>
        </w:rPr>
        <w:t xml:space="preserve"> 谈判响应</w:t>
      </w:r>
      <w:r>
        <w:rPr>
          <w:rFonts w:hint="eastAsia" w:ascii="宋体" w:hAnsi="宋体"/>
          <w:sz w:val="24"/>
        </w:rPr>
        <w:t>人法定负责人（或委托代理人）必须随带身份证和法定负责人授权委托书参加</w:t>
      </w:r>
      <w:r>
        <w:rPr>
          <w:rFonts w:ascii="宋体" w:hAnsi="宋体"/>
          <w:sz w:val="24"/>
        </w:rPr>
        <w:t>谈判</w:t>
      </w:r>
      <w:r>
        <w:rPr>
          <w:rFonts w:hint="eastAsia" w:ascii="宋体" w:hAnsi="宋体"/>
          <w:sz w:val="24"/>
        </w:rPr>
        <w:t>会议，否则视为自动弃权。</w:t>
      </w:r>
    </w:p>
    <w:p>
      <w:pPr>
        <w:ind w:firstLine="480" w:firstLineChars="200"/>
        <w:rPr>
          <w:rFonts w:ascii="宋体" w:hAnsi="宋体"/>
          <w:sz w:val="24"/>
        </w:rPr>
      </w:pPr>
      <w:r>
        <w:rPr>
          <w:rFonts w:hint="eastAsia" w:ascii="宋体" w:hAnsi="宋体"/>
          <w:sz w:val="24"/>
        </w:rPr>
        <w:t>▲18.4</w:t>
      </w:r>
      <w:r>
        <w:rPr>
          <w:rFonts w:ascii="宋体" w:hAnsi="宋体"/>
          <w:sz w:val="24"/>
        </w:rPr>
        <w:t xml:space="preserve"> 谈判响应</w:t>
      </w:r>
      <w:r>
        <w:rPr>
          <w:rFonts w:hint="eastAsia" w:ascii="宋体" w:hAnsi="宋体"/>
          <w:sz w:val="24"/>
        </w:rPr>
        <w:t>人的法定负责人（或委托代理人）未准时参加</w:t>
      </w:r>
      <w:r>
        <w:rPr>
          <w:rFonts w:ascii="宋体" w:hAnsi="宋体"/>
          <w:sz w:val="24"/>
        </w:rPr>
        <w:t>谈判</w:t>
      </w:r>
      <w:r>
        <w:rPr>
          <w:rFonts w:hint="eastAsia" w:ascii="宋体" w:hAnsi="宋体"/>
          <w:sz w:val="24"/>
        </w:rPr>
        <w:t>会议的，视为自动弃权。</w:t>
      </w:r>
    </w:p>
    <w:p>
      <w:pPr>
        <w:ind w:firstLine="482" w:firstLineChars="200"/>
        <w:rPr>
          <w:rFonts w:ascii="宋体" w:hAnsi="宋体"/>
          <w:b/>
          <w:sz w:val="24"/>
          <w:u w:val="single"/>
        </w:rPr>
      </w:pPr>
      <w:r>
        <w:rPr>
          <w:rFonts w:hint="eastAsia" w:ascii="宋体" w:hAnsi="宋体"/>
          <w:b/>
          <w:sz w:val="24"/>
          <w:u w:val="single"/>
        </w:rPr>
        <w:t>18.5</w:t>
      </w:r>
      <w:r>
        <w:rPr>
          <w:rFonts w:ascii="宋体" w:hAnsi="宋体"/>
          <w:b/>
          <w:sz w:val="24"/>
          <w:u w:val="single"/>
        </w:rPr>
        <w:t xml:space="preserve"> 谈判就所有问题达成一致的，谈判成功；谈判中不能就所有问题达成一致的，则采购谈判失败，本次采购活动终止。</w:t>
      </w:r>
    </w:p>
    <w:p>
      <w:pPr>
        <w:ind w:firstLine="480" w:firstLineChars="200"/>
        <w:rPr>
          <w:rFonts w:ascii="宋体" w:hAnsi="宋体"/>
          <w:sz w:val="24"/>
        </w:rPr>
      </w:pPr>
      <w:r>
        <w:rPr>
          <w:rFonts w:hint="eastAsia" w:ascii="宋体" w:hAnsi="宋体"/>
          <w:sz w:val="24"/>
        </w:rPr>
        <w:t>18.6</w:t>
      </w:r>
      <w:r>
        <w:rPr>
          <w:rFonts w:ascii="宋体" w:hAnsi="宋体"/>
          <w:sz w:val="24"/>
        </w:rPr>
        <w:t xml:space="preserve"> 谈判记录</w:t>
      </w:r>
    </w:p>
    <w:p>
      <w:pPr>
        <w:ind w:firstLine="480" w:firstLineChars="200"/>
        <w:rPr>
          <w:rFonts w:hint="eastAsia" w:ascii="宋体" w:hAnsi="宋体"/>
          <w:sz w:val="24"/>
        </w:rPr>
      </w:pPr>
      <w:r>
        <w:rPr>
          <w:rFonts w:ascii="宋体" w:hAnsi="宋体"/>
          <w:sz w:val="24"/>
        </w:rPr>
        <w:t>谈判过程将作书面记录，谈判记录需经各方谈判代表签字确认。</w:t>
      </w:r>
    </w:p>
    <w:p>
      <w:pPr>
        <w:pStyle w:val="3"/>
        <w:spacing w:before="0" w:after="0" w:line="240" w:lineRule="auto"/>
        <w:jc w:val="center"/>
        <w:rPr>
          <w:rFonts w:hint="eastAsia" w:ascii="宋体" w:hAnsi="宋体" w:eastAsia="宋体"/>
          <w:sz w:val="28"/>
          <w:szCs w:val="28"/>
        </w:rPr>
      </w:pPr>
      <w:bookmarkStart w:id="4" w:name="_Toc125344509"/>
      <w:r>
        <w:rPr>
          <w:rFonts w:hint="eastAsia" w:ascii="宋体" w:hAnsi="宋体" w:eastAsia="宋体"/>
          <w:sz w:val="28"/>
          <w:szCs w:val="28"/>
        </w:rPr>
        <w:t>五、</w:t>
      </w:r>
      <w:bookmarkEnd w:id="4"/>
      <w:r>
        <w:rPr>
          <w:rFonts w:ascii="黑体" w:hAnsi="黑体"/>
          <w:sz w:val="28"/>
          <w:szCs w:val="28"/>
        </w:rPr>
        <w:t>成交</w:t>
      </w:r>
      <w:r>
        <w:rPr>
          <w:rFonts w:hint="eastAsia" w:ascii="黑体" w:hAnsi="黑体"/>
          <w:sz w:val="28"/>
          <w:szCs w:val="28"/>
        </w:rPr>
        <w:t>通知</w:t>
      </w:r>
    </w:p>
    <w:p>
      <w:pPr>
        <w:ind w:firstLine="480" w:firstLineChars="200"/>
        <w:rPr>
          <w:rFonts w:hint="eastAsia" w:ascii="宋体" w:hAnsi="宋体"/>
          <w:sz w:val="24"/>
        </w:rPr>
      </w:pPr>
      <w:r>
        <w:rPr>
          <w:rFonts w:hint="eastAsia" w:ascii="宋体" w:hAnsi="宋体"/>
          <w:sz w:val="24"/>
        </w:rPr>
        <w:t>19.谈判成功，各方就所有问题达成一致的，向谈判响应单位核发《成交通知书》，谈判响应单位成为成交供应商。</w:t>
      </w:r>
    </w:p>
    <w:p>
      <w:pPr>
        <w:ind w:firstLine="480" w:firstLineChars="200"/>
        <w:rPr>
          <w:rFonts w:hint="eastAsia" w:ascii="宋体" w:hAnsi="宋体"/>
          <w:sz w:val="24"/>
        </w:rPr>
      </w:pPr>
      <w:r>
        <w:rPr>
          <w:rFonts w:hint="eastAsia" w:ascii="宋体" w:hAnsi="宋体"/>
          <w:sz w:val="24"/>
        </w:rPr>
        <w:t>成交供应商放弃成交结果的，除其</w:t>
      </w:r>
      <w:r>
        <w:rPr>
          <w:rFonts w:ascii="宋体" w:hAnsi="宋体"/>
          <w:sz w:val="24"/>
        </w:rPr>
        <w:t>谈判</w:t>
      </w:r>
      <w:r>
        <w:rPr>
          <w:rFonts w:hint="eastAsia" w:ascii="宋体" w:hAnsi="宋体"/>
          <w:sz w:val="24"/>
        </w:rPr>
        <w:t>保证金不予退还外，同时上报市公管办，市公管办将按《中华人民共和国政府采购法》、《诸暨市招投标市场不良行为记录暂行规定》等有关法律、法规、制度进行处理。</w:t>
      </w:r>
    </w:p>
    <w:p>
      <w:pPr>
        <w:pStyle w:val="3"/>
        <w:spacing w:before="0" w:after="0" w:line="240" w:lineRule="auto"/>
        <w:jc w:val="center"/>
        <w:rPr>
          <w:rFonts w:hint="eastAsia" w:ascii="宋体" w:hAnsi="宋体" w:eastAsia="宋体"/>
          <w:sz w:val="28"/>
          <w:szCs w:val="28"/>
        </w:rPr>
      </w:pPr>
      <w:r>
        <w:rPr>
          <w:rFonts w:hint="eastAsia" w:ascii="宋体" w:hAnsi="宋体" w:eastAsia="宋体"/>
          <w:sz w:val="28"/>
          <w:szCs w:val="28"/>
        </w:rPr>
        <w:t>六、授予合同</w:t>
      </w:r>
    </w:p>
    <w:p>
      <w:pPr>
        <w:snapToGrid w:val="0"/>
        <w:ind w:firstLine="472" w:firstLineChars="196"/>
        <w:rPr>
          <w:rFonts w:ascii="宋体" w:hAnsi="宋体"/>
          <w:b/>
          <w:bCs/>
          <w:sz w:val="24"/>
          <w:szCs w:val="20"/>
        </w:rPr>
      </w:pPr>
      <w:r>
        <w:rPr>
          <w:rFonts w:hint="eastAsia" w:ascii="宋体" w:hAnsi="宋体"/>
          <w:b/>
          <w:bCs/>
          <w:sz w:val="24"/>
        </w:rPr>
        <w:t>20.签订合同</w:t>
      </w:r>
    </w:p>
    <w:p>
      <w:pPr>
        <w:ind w:firstLine="480" w:firstLineChars="200"/>
        <w:rPr>
          <w:rFonts w:hint="eastAsia" w:ascii="宋体" w:hAnsi="宋体"/>
          <w:sz w:val="24"/>
        </w:rPr>
      </w:pPr>
      <w:r>
        <w:rPr>
          <w:rFonts w:hint="eastAsia" w:ascii="宋体" w:hAnsi="宋体"/>
          <w:sz w:val="24"/>
        </w:rPr>
        <w:t>20.1</w:t>
      </w:r>
      <w:r>
        <w:rPr>
          <w:rFonts w:ascii="宋体" w:hAnsi="宋体"/>
          <w:sz w:val="24"/>
        </w:rPr>
        <w:t>成交供应商</w:t>
      </w:r>
      <w:r>
        <w:rPr>
          <w:rFonts w:hint="eastAsia" w:ascii="宋体" w:hAnsi="宋体"/>
          <w:sz w:val="24"/>
        </w:rPr>
        <w:t>须在领取《成交通知书》后30天内，根据《中华人民共和国合同法》、《中华人民共和国政府采购法》、《政府采购合同管理办法》等有关规定，依据采购文件和谈判响应文件的有关条款上门与相关用户单位（即采购单位）签订合同。</w:t>
      </w:r>
    </w:p>
    <w:p>
      <w:pPr>
        <w:ind w:firstLine="480" w:firstLineChars="200"/>
        <w:rPr>
          <w:rFonts w:hint="eastAsia" w:ascii="宋体" w:hAnsi="宋体"/>
          <w:sz w:val="24"/>
        </w:rPr>
      </w:pPr>
      <w:r>
        <w:rPr>
          <w:rFonts w:hint="eastAsia" w:ascii="宋体" w:hAnsi="宋体"/>
          <w:sz w:val="24"/>
        </w:rPr>
        <w:t>20.2采购文件、谈判响应文件、谈判记录和《成交通知书》作为合同签订的依据和主要附件。</w:t>
      </w:r>
    </w:p>
    <w:p>
      <w:pPr>
        <w:ind w:firstLine="480" w:firstLineChars="200"/>
        <w:rPr>
          <w:rFonts w:hint="eastAsia" w:ascii="宋体" w:hAnsi="宋体"/>
          <w:sz w:val="24"/>
        </w:rPr>
      </w:pPr>
      <w:r>
        <w:rPr>
          <w:rFonts w:hint="eastAsia" w:ascii="宋体" w:hAnsi="宋体"/>
          <w:sz w:val="24"/>
        </w:rPr>
        <w:t>20.3 合同一式四份，用户单位和成交供应商各执一份、诸暨广和工程管理服务有限公司、诸暨市财政局各备案一份。</w:t>
      </w:r>
    </w:p>
    <w:p>
      <w:pPr>
        <w:ind w:firstLine="480" w:firstLineChars="200"/>
        <w:rPr>
          <w:rFonts w:ascii="宋体" w:hAnsi="宋体"/>
          <w:sz w:val="24"/>
        </w:rPr>
      </w:pPr>
      <w:r>
        <w:rPr>
          <w:rFonts w:hint="eastAsia" w:ascii="宋体" w:hAnsi="宋体"/>
          <w:sz w:val="24"/>
        </w:rPr>
        <w:t>20.4</w:t>
      </w:r>
      <w:r>
        <w:rPr>
          <w:rFonts w:ascii="宋体" w:hAnsi="宋体"/>
          <w:sz w:val="24"/>
        </w:rPr>
        <w:t>成交供应商</w:t>
      </w:r>
      <w:r>
        <w:rPr>
          <w:rFonts w:hint="eastAsia" w:ascii="宋体" w:hAnsi="宋体"/>
          <w:sz w:val="24"/>
        </w:rPr>
        <w:t>和用户单位不得擅自变更、中止或者终止合同，不得另外订立背离合同实质性内容的其它协议。</w:t>
      </w:r>
    </w:p>
    <w:p>
      <w:pPr>
        <w:snapToGrid w:val="0"/>
        <w:ind w:firstLine="472" w:firstLineChars="196"/>
        <w:rPr>
          <w:rFonts w:hint="eastAsia" w:ascii="宋体" w:hAnsi="宋体"/>
          <w:b/>
          <w:bCs/>
          <w:sz w:val="24"/>
        </w:rPr>
      </w:pPr>
      <w:r>
        <w:rPr>
          <w:rFonts w:hint="eastAsia" w:ascii="宋体" w:hAnsi="宋体"/>
          <w:b/>
          <w:bCs/>
          <w:sz w:val="24"/>
        </w:rPr>
        <w:t>21.</w:t>
      </w:r>
      <w:r>
        <w:rPr>
          <w:rFonts w:ascii="宋体" w:hAnsi="宋体"/>
          <w:b/>
          <w:bCs/>
          <w:sz w:val="24"/>
        </w:rPr>
        <w:t>履约保证金</w:t>
      </w:r>
    </w:p>
    <w:p>
      <w:pPr>
        <w:snapToGrid w:val="0"/>
        <w:ind w:firstLine="470" w:firstLineChars="196"/>
        <w:rPr>
          <w:rFonts w:hint="eastAsia" w:ascii="宋体" w:hAnsi="宋体"/>
          <w:sz w:val="24"/>
        </w:rPr>
      </w:pPr>
      <w:r>
        <w:rPr>
          <w:rFonts w:hint="eastAsia" w:ascii="宋体" w:hAnsi="宋体"/>
          <w:sz w:val="24"/>
        </w:rPr>
        <w:t>本项目免交履约保证金。</w:t>
      </w:r>
    </w:p>
    <w:p>
      <w:pPr>
        <w:snapToGrid w:val="0"/>
        <w:ind w:firstLine="472" w:firstLineChars="196"/>
        <w:rPr>
          <w:rFonts w:hint="eastAsia" w:ascii="宋体" w:hAnsi="宋体"/>
          <w:b/>
          <w:bCs/>
          <w:sz w:val="24"/>
        </w:rPr>
      </w:pPr>
      <w:r>
        <w:rPr>
          <w:rFonts w:hint="eastAsia" w:ascii="宋体" w:hAnsi="宋体"/>
          <w:b/>
          <w:bCs/>
          <w:sz w:val="24"/>
        </w:rPr>
        <w:t>22.授标及废除授标</w:t>
      </w:r>
    </w:p>
    <w:p>
      <w:pPr>
        <w:pStyle w:val="8"/>
        <w:ind w:firstLine="480" w:firstLineChars="200"/>
        <w:rPr>
          <w:rFonts w:hint="eastAsia" w:ascii="宋体" w:hAnsi="宋体"/>
          <w:sz w:val="24"/>
        </w:rPr>
      </w:pPr>
      <w:r>
        <w:rPr>
          <w:rFonts w:hint="eastAsia" w:ascii="宋体" w:hAnsi="宋体"/>
          <w:sz w:val="24"/>
        </w:rPr>
        <w:t>22.1 采购合同应当授予</w:t>
      </w:r>
      <w:r>
        <w:rPr>
          <w:rFonts w:ascii="宋体" w:hAnsi="宋体"/>
          <w:color w:val="000000"/>
          <w:sz w:val="24"/>
        </w:rPr>
        <w:t>成交供应商</w:t>
      </w:r>
      <w:r>
        <w:rPr>
          <w:rFonts w:hint="eastAsia" w:ascii="宋体" w:hAnsi="宋体"/>
          <w:sz w:val="24"/>
        </w:rPr>
        <w:t>。</w:t>
      </w:r>
    </w:p>
    <w:p>
      <w:pPr>
        <w:pStyle w:val="8"/>
        <w:ind w:firstLine="480" w:firstLineChars="200"/>
        <w:rPr>
          <w:rFonts w:hint="eastAsia" w:ascii="宋体" w:hAnsi="宋体"/>
          <w:sz w:val="24"/>
        </w:rPr>
      </w:pPr>
      <w:r>
        <w:rPr>
          <w:rFonts w:hint="eastAsia" w:ascii="宋体" w:hAnsi="宋体"/>
          <w:sz w:val="24"/>
        </w:rPr>
        <w:t>22.2《成交通知书》发出之后，若证实</w:t>
      </w:r>
      <w:r>
        <w:rPr>
          <w:rFonts w:ascii="宋体" w:hAnsi="宋体"/>
          <w:color w:val="000000"/>
          <w:sz w:val="24"/>
        </w:rPr>
        <w:t>成交供应商</w:t>
      </w:r>
      <w:r>
        <w:rPr>
          <w:rFonts w:hint="eastAsia" w:ascii="宋体" w:hAnsi="宋体"/>
          <w:sz w:val="24"/>
        </w:rPr>
        <w:t>存在下列情形之一的，仍然可以废除授标，已签订合同的，合同无效，并按有关规定处理：</w:t>
      </w:r>
    </w:p>
    <w:p>
      <w:pPr>
        <w:pStyle w:val="8"/>
        <w:ind w:left="420" w:firstLine="0"/>
        <w:rPr>
          <w:rFonts w:hint="eastAsia" w:ascii="宋体" w:hAnsi="宋体"/>
          <w:sz w:val="24"/>
        </w:rPr>
      </w:pPr>
      <w:r>
        <w:rPr>
          <w:rFonts w:hint="eastAsia" w:ascii="宋体" w:hAnsi="宋体"/>
          <w:sz w:val="24"/>
        </w:rPr>
        <w:t>22.2.1弄虚作假或串通谈判骗取成交的；</w:t>
      </w:r>
    </w:p>
    <w:p>
      <w:pPr>
        <w:pStyle w:val="8"/>
        <w:ind w:left="420" w:firstLine="0"/>
        <w:rPr>
          <w:rFonts w:hint="eastAsia" w:ascii="宋体" w:hAnsi="宋体"/>
          <w:sz w:val="24"/>
        </w:rPr>
      </w:pPr>
      <w:r>
        <w:rPr>
          <w:rFonts w:hint="eastAsia" w:ascii="宋体" w:hAnsi="宋体"/>
          <w:sz w:val="24"/>
        </w:rPr>
        <w:t>22.2.2向有关人员行贿或者采取其他不正当手段谋取中标的；</w:t>
      </w:r>
    </w:p>
    <w:p>
      <w:pPr>
        <w:pStyle w:val="8"/>
        <w:ind w:left="420" w:firstLine="0"/>
        <w:rPr>
          <w:rFonts w:hint="eastAsia" w:ascii="宋体" w:hAnsi="宋体"/>
          <w:sz w:val="24"/>
        </w:rPr>
      </w:pPr>
      <w:r>
        <w:rPr>
          <w:rFonts w:hint="eastAsia" w:ascii="宋体" w:hAnsi="宋体"/>
          <w:sz w:val="24"/>
        </w:rPr>
        <w:t>22.2.3于谈判有效期终止之前撤回其谈判响应文件的；</w:t>
      </w:r>
    </w:p>
    <w:p>
      <w:pPr>
        <w:pStyle w:val="8"/>
        <w:ind w:left="420" w:firstLine="0"/>
        <w:rPr>
          <w:rFonts w:hint="eastAsia" w:ascii="宋体" w:hAnsi="宋体"/>
          <w:sz w:val="24"/>
        </w:rPr>
      </w:pPr>
      <w:r>
        <w:rPr>
          <w:rFonts w:hint="eastAsia" w:ascii="宋体" w:hAnsi="宋体"/>
          <w:sz w:val="24"/>
        </w:rPr>
        <w:t>22.2.4因</w:t>
      </w:r>
      <w:r>
        <w:rPr>
          <w:rFonts w:ascii="宋体" w:hAnsi="宋体"/>
          <w:color w:val="000000"/>
          <w:sz w:val="24"/>
        </w:rPr>
        <w:t>成交供应商</w:t>
      </w:r>
      <w:r>
        <w:rPr>
          <w:rFonts w:hint="eastAsia" w:ascii="宋体" w:hAnsi="宋体"/>
          <w:sz w:val="24"/>
        </w:rPr>
        <w:t>未能按照有关规定提交履约保证金的；</w:t>
      </w:r>
    </w:p>
    <w:p>
      <w:pPr>
        <w:pStyle w:val="8"/>
        <w:ind w:left="420" w:firstLine="0"/>
        <w:rPr>
          <w:rFonts w:hint="eastAsia" w:ascii="宋体" w:hAnsi="宋体"/>
          <w:sz w:val="24"/>
        </w:rPr>
      </w:pPr>
      <w:r>
        <w:rPr>
          <w:rFonts w:hint="eastAsia" w:ascii="宋体" w:hAnsi="宋体"/>
          <w:sz w:val="24"/>
        </w:rPr>
        <w:t>22.2.5因</w:t>
      </w:r>
      <w:r>
        <w:rPr>
          <w:rFonts w:ascii="宋体" w:hAnsi="宋体"/>
          <w:color w:val="000000"/>
          <w:sz w:val="24"/>
        </w:rPr>
        <w:t>成交供应商</w:t>
      </w:r>
      <w:r>
        <w:rPr>
          <w:rFonts w:hint="eastAsia" w:ascii="宋体" w:hAnsi="宋体"/>
          <w:sz w:val="24"/>
        </w:rPr>
        <w:t>未能按照有关规定与用户单位签订采购合同的；</w:t>
      </w:r>
    </w:p>
    <w:p>
      <w:pPr>
        <w:pStyle w:val="8"/>
        <w:ind w:left="420" w:firstLine="0"/>
        <w:rPr>
          <w:rFonts w:hint="eastAsia" w:ascii="宋体" w:hAnsi="宋体"/>
          <w:sz w:val="24"/>
        </w:rPr>
      </w:pPr>
      <w:r>
        <w:rPr>
          <w:rFonts w:hint="eastAsia" w:ascii="宋体" w:hAnsi="宋体"/>
          <w:sz w:val="24"/>
        </w:rPr>
        <w:t>22.2.6未能按中标产品、型号、配置等及时供货的；</w:t>
      </w:r>
    </w:p>
    <w:p>
      <w:pPr>
        <w:pStyle w:val="8"/>
        <w:ind w:left="420" w:firstLine="0"/>
        <w:rPr>
          <w:rFonts w:hint="eastAsia" w:ascii="宋体" w:hAnsi="宋体"/>
          <w:sz w:val="24"/>
        </w:rPr>
      </w:pPr>
      <w:r>
        <w:rPr>
          <w:rFonts w:hint="eastAsia" w:ascii="宋体" w:hAnsi="宋体"/>
          <w:sz w:val="24"/>
        </w:rPr>
        <w:t>22.2.7拒绝接受有关部门监督检查的；</w:t>
      </w:r>
    </w:p>
    <w:p>
      <w:pPr>
        <w:pStyle w:val="8"/>
        <w:ind w:left="420" w:firstLine="0"/>
        <w:rPr>
          <w:rFonts w:hint="eastAsia" w:ascii="宋体" w:hAnsi="宋体"/>
          <w:sz w:val="24"/>
        </w:rPr>
      </w:pPr>
      <w:r>
        <w:rPr>
          <w:rFonts w:hint="eastAsia" w:ascii="宋体" w:hAnsi="宋体"/>
          <w:sz w:val="24"/>
        </w:rPr>
        <w:t>22.2.8存在法律、法规规定的其它损害招标人或用户单位利益或社会公共利益的情形的。</w:t>
      </w:r>
    </w:p>
    <w:p>
      <w:pPr>
        <w:snapToGrid w:val="0"/>
        <w:ind w:firstLine="472" w:firstLineChars="196"/>
        <w:rPr>
          <w:rFonts w:hint="eastAsia" w:ascii="宋体" w:hAnsi="宋体"/>
          <w:b/>
          <w:bCs/>
          <w:sz w:val="24"/>
        </w:rPr>
      </w:pPr>
      <w:r>
        <w:rPr>
          <w:rFonts w:hint="eastAsia" w:ascii="宋体" w:hAnsi="宋体"/>
          <w:b/>
          <w:bCs/>
          <w:sz w:val="24"/>
        </w:rPr>
        <w:t>23.相关责任</w:t>
      </w:r>
    </w:p>
    <w:p>
      <w:pPr>
        <w:pStyle w:val="8"/>
        <w:ind w:firstLine="480" w:firstLineChars="200"/>
        <w:rPr>
          <w:rFonts w:hint="eastAsia" w:ascii="宋体" w:hAnsi="宋体"/>
          <w:sz w:val="24"/>
        </w:rPr>
      </w:pPr>
      <w:r>
        <w:rPr>
          <w:rFonts w:hint="eastAsia" w:ascii="宋体" w:hAnsi="宋体"/>
          <w:sz w:val="24"/>
        </w:rPr>
        <w:t>23.1用户单位不签订合同，给</w:t>
      </w:r>
      <w:r>
        <w:rPr>
          <w:rFonts w:ascii="宋体" w:hAnsi="宋体"/>
          <w:color w:val="000000"/>
          <w:sz w:val="24"/>
        </w:rPr>
        <w:t>成交供应商</w:t>
      </w:r>
      <w:r>
        <w:rPr>
          <w:rFonts w:hint="eastAsia" w:ascii="宋体" w:hAnsi="宋体"/>
          <w:sz w:val="24"/>
        </w:rPr>
        <w:t>造成损失的，由采购单位承担。</w:t>
      </w:r>
    </w:p>
    <w:p>
      <w:pPr>
        <w:pStyle w:val="8"/>
        <w:ind w:firstLine="480" w:firstLineChars="200"/>
        <w:rPr>
          <w:rFonts w:hint="eastAsia" w:ascii="宋体" w:hAnsi="宋体"/>
          <w:sz w:val="24"/>
        </w:rPr>
      </w:pPr>
      <w:r>
        <w:rPr>
          <w:rFonts w:hint="eastAsia" w:ascii="宋体" w:hAnsi="宋体"/>
          <w:sz w:val="24"/>
        </w:rPr>
        <w:t>23.2成交供应商无正当理由弃标或在法定时间内不签订合同或未按有关规定提交履约保证金的，将取消中标资格，并按《中华人民共和国政府采购法》、《诸暨市招投标市场不良行为记录暂行规定》等有关规定予以处理。</w:t>
      </w:r>
    </w:p>
    <w:p>
      <w:pPr>
        <w:snapToGrid w:val="0"/>
        <w:ind w:firstLine="472" w:firstLineChars="196"/>
        <w:rPr>
          <w:rFonts w:hint="eastAsia" w:ascii="宋体" w:hAnsi="宋体"/>
          <w:b/>
          <w:bCs/>
          <w:sz w:val="24"/>
        </w:rPr>
      </w:pPr>
      <w:r>
        <w:rPr>
          <w:rFonts w:ascii="宋体" w:hAnsi="宋体"/>
          <w:b/>
          <w:bCs/>
          <w:sz w:val="24"/>
        </w:rPr>
        <w:t>2</w:t>
      </w:r>
      <w:r>
        <w:rPr>
          <w:rFonts w:hint="eastAsia" w:ascii="宋体" w:hAnsi="宋体"/>
          <w:b/>
          <w:bCs/>
          <w:sz w:val="24"/>
        </w:rPr>
        <w:t>4.合同备案</w:t>
      </w:r>
    </w:p>
    <w:p>
      <w:pPr>
        <w:ind w:firstLine="480" w:firstLineChars="200"/>
        <w:rPr>
          <w:rFonts w:hint="eastAsia" w:ascii="宋体" w:hAnsi="宋体"/>
          <w:sz w:val="24"/>
        </w:rPr>
      </w:pPr>
      <w:r>
        <w:rPr>
          <w:rFonts w:hint="eastAsia" w:ascii="宋体" w:hAnsi="宋体"/>
          <w:sz w:val="24"/>
        </w:rPr>
        <w:t>采购人应当自采购合同签订之日起七个工作日内，通过政采云系统上传合同进行备案。如成交供应商未办理“浙江省政府采购供应商”注册手续，请在合同备案前及时进行注册，否则不予办理合同备案。</w:t>
      </w:r>
    </w:p>
    <w:p>
      <w:pPr>
        <w:snapToGrid w:val="0"/>
        <w:ind w:firstLine="472" w:firstLineChars="196"/>
        <w:rPr>
          <w:rFonts w:ascii="宋体" w:hAnsi="宋体"/>
          <w:b/>
          <w:bCs/>
          <w:sz w:val="24"/>
        </w:rPr>
      </w:pPr>
      <w:r>
        <w:rPr>
          <w:rFonts w:ascii="宋体" w:hAnsi="宋体"/>
          <w:b/>
          <w:bCs/>
          <w:sz w:val="24"/>
        </w:rPr>
        <w:t>2</w:t>
      </w:r>
      <w:r>
        <w:rPr>
          <w:rFonts w:hint="eastAsia" w:ascii="宋体" w:hAnsi="宋体"/>
          <w:b/>
          <w:bCs/>
          <w:sz w:val="24"/>
        </w:rPr>
        <w:t>5.</w:t>
      </w:r>
      <w:r>
        <w:rPr>
          <w:rFonts w:ascii="宋体" w:hAnsi="宋体"/>
          <w:b/>
          <w:bCs/>
          <w:sz w:val="24"/>
        </w:rPr>
        <w:t xml:space="preserve"> </w:t>
      </w:r>
      <w:r>
        <w:rPr>
          <w:rFonts w:hint="eastAsia" w:ascii="宋体" w:hAnsi="宋体"/>
          <w:b/>
          <w:bCs/>
          <w:sz w:val="24"/>
        </w:rPr>
        <w:t>合同主要条款</w:t>
      </w:r>
    </w:p>
    <w:p>
      <w:pPr>
        <w:ind w:left="425"/>
        <w:rPr>
          <w:rFonts w:ascii="宋体" w:hAnsi="宋体"/>
          <w:sz w:val="24"/>
        </w:rPr>
      </w:pPr>
      <w:r>
        <w:rPr>
          <w:rFonts w:ascii="宋体" w:hAnsi="宋体"/>
          <w:sz w:val="24"/>
        </w:rPr>
        <w:t>2</w:t>
      </w:r>
      <w:r>
        <w:rPr>
          <w:rFonts w:hint="eastAsia" w:ascii="宋体" w:hAnsi="宋体"/>
          <w:sz w:val="24"/>
        </w:rPr>
        <w:t>5.1</w:t>
      </w:r>
      <w:r>
        <w:rPr>
          <w:rFonts w:ascii="宋体" w:hAnsi="宋体"/>
          <w:sz w:val="24"/>
        </w:rPr>
        <w:t xml:space="preserve"> </w:t>
      </w:r>
      <w:r>
        <w:rPr>
          <w:rFonts w:hint="eastAsia" w:ascii="宋体" w:hAnsi="宋体"/>
          <w:sz w:val="24"/>
        </w:rPr>
        <w:t>供货要求</w:t>
      </w:r>
    </w:p>
    <w:p>
      <w:pPr>
        <w:ind w:firstLine="480" w:firstLineChars="200"/>
        <w:rPr>
          <w:rFonts w:ascii="宋体" w:hAnsi="宋体"/>
          <w:color w:val="auto"/>
          <w:sz w:val="24"/>
        </w:rPr>
      </w:pPr>
      <w:r>
        <w:rPr>
          <w:rFonts w:ascii="宋体" w:hAnsi="宋体"/>
          <w:color w:val="auto"/>
          <w:sz w:val="24"/>
        </w:rPr>
        <w:t>2</w:t>
      </w:r>
      <w:r>
        <w:rPr>
          <w:rFonts w:hint="eastAsia" w:ascii="宋体" w:hAnsi="宋体"/>
          <w:color w:val="auto"/>
          <w:sz w:val="24"/>
        </w:rPr>
        <w:t>5.1.1供货时间：成交供应商应在合同签订后按工期完工（除不可抗力因素外），具体见本标书第四章具体要求。供货地点：</w:t>
      </w:r>
      <w:r>
        <w:rPr>
          <w:rFonts w:ascii="宋体" w:hAnsi="宋体"/>
          <w:color w:val="auto"/>
          <w:sz w:val="24"/>
        </w:rPr>
        <w:t>业主单位指定地点</w:t>
      </w:r>
      <w:r>
        <w:rPr>
          <w:rFonts w:hint="eastAsia" w:ascii="宋体" w:hAnsi="宋体"/>
          <w:color w:val="auto"/>
          <w:sz w:val="24"/>
        </w:rPr>
        <w:t>。</w:t>
      </w:r>
    </w:p>
    <w:p>
      <w:pPr>
        <w:ind w:firstLine="424" w:firstLineChars="177"/>
        <w:rPr>
          <w:rFonts w:ascii="宋体" w:hAnsi="宋体"/>
          <w:color w:val="auto"/>
          <w:sz w:val="24"/>
        </w:rPr>
      </w:pPr>
      <w:r>
        <w:rPr>
          <w:rFonts w:ascii="宋体" w:hAnsi="宋体"/>
          <w:color w:val="auto"/>
          <w:sz w:val="24"/>
        </w:rPr>
        <w:t>2</w:t>
      </w:r>
      <w:r>
        <w:rPr>
          <w:rFonts w:hint="eastAsia" w:ascii="宋体" w:hAnsi="宋体"/>
          <w:color w:val="auto"/>
          <w:sz w:val="24"/>
        </w:rPr>
        <w:t>5.1.2成交供应商提供的设备必须符合本采购文件的具体要求，如有不符，用户单位有权要求调货，所造成的损失由成交供应商承担。</w:t>
      </w:r>
    </w:p>
    <w:p>
      <w:pPr>
        <w:ind w:firstLine="424" w:firstLineChars="177"/>
        <w:rPr>
          <w:rFonts w:ascii="宋体" w:hAnsi="宋体"/>
          <w:color w:val="auto"/>
          <w:sz w:val="24"/>
        </w:rPr>
      </w:pPr>
      <w:r>
        <w:rPr>
          <w:rFonts w:ascii="宋体" w:hAnsi="宋体"/>
          <w:color w:val="auto"/>
          <w:sz w:val="24"/>
        </w:rPr>
        <w:t>2</w:t>
      </w:r>
      <w:r>
        <w:rPr>
          <w:rFonts w:hint="eastAsia" w:ascii="宋体" w:hAnsi="宋体"/>
          <w:color w:val="auto"/>
          <w:sz w:val="24"/>
        </w:rPr>
        <w:t>5.1.3</w:t>
      </w:r>
      <w:r>
        <w:rPr>
          <w:rFonts w:hint="eastAsia" w:ascii="宋体" w:hAnsi="宋体"/>
          <w:bCs/>
          <w:color w:val="auto"/>
          <w:sz w:val="24"/>
        </w:rPr>
        <w:t>如采购文件中的采购设备已停产，须由成交供应商书面提出更换要求，经用户单位和代理机构同时认可，并报相关部门审批同意后，方可更换替代性能参数指标比原采购产品高的其它产品，但产品成交报价不变。</w:t>
      </w:r>
    </w:p>
    <w:p>
      <w:pPr>
        <w:ind w:left="425"/>
        <w:rPr>
          <w:rFonts w:ascii="宋体" w:hAnsi="宋体"/>
          <w:color w:val="auto"/>
          <w:sz w:val="24"/>
        </w:rPr>
      </w:pPr>
      <w:r>
        <w:rPr>
          <w:rFonts w:ascii="宋体" w:hAnsi="宋体"/>
          <w:color w:val="auto"/>
          <w:sz w:val="24"/>
        </w:rPr>
        <w:t>2</w:t>
      </w:r>
      <w:r>
        <w:rPr>
          <w:rFonts w:hint="eastAsia" w:ascii="宋体" w:hAnsi="宋体"/>
          <w:color w:val="auto"/>
          <w:sz w:val="24"/>
        </w:rPr>
        <w:t>5.2质量要求</w:t>
      </w:r>
    </w:p>
    <w:p>
      <w:pPr>
        <w:ind w:firstLine="480" w:firstLineChars="200"/>
        <w:rPr>
          <w:rFonts w:ascii="宋体" w:hAnsi="宋体"/>
          <w:color w:val="auto"/>
          <w:sz w:val="24"/>
        </w:rPr>
      </w:pPr>
      <w:r>
        <w:rPr>
          <w:rFonts w:ascii="宋体" w:hAnsi="宋体"/>
          <w:color w:val="auto"/>
          <w:sz w:val="24"/>
        </w:rPr>
        <w:t>2</w:t>
      </w:r>
      <w:r>
        <w:rPr>
          <w:rFonts w:hint="eastAsia" w:ascii="宋体" w:hAnsi="宋体"/>
          <w:color w:val="auto"/>
          <w:sz w:val="24"/>
        </w:rPr>
        <w:t>5.2.1成交供应商应确保产品质量，所有产品均需符合国家产品的有关质量标准和产品厂家的出厂标准，提供原厂质保书、合格证、文档资料等有关文件，并保证产品是全新的、未使用过的。</w:t>
      </w:r>
    </w:p>
    <w:p>
      <w:pPr>
        <w:ind w:firstLine="480" w:firstLineChars="200"/>
        <w:rPr>
          <w:rFonts w:ascii="宋体" w:hAnsi="宋体"/>
          <w:color w:val="auto"/>
          <w:sz w:val="24"/>
        </w:rPr>
      </w:pPr>
      <w:r>
        <w:rPr>
          <w:rFonts w:ascii="宋体" w:hAnsi="宋体"/>
          <w:color w:val="auto"/>
          <w:sz w:val="24"/>
        </w:rPr>
        <w:t>2</w:t>
      </w:r>
      <w:r>
        <w:rPr>
          <w:rFonts w:hint="eastAsia" w:ascii="宋体" w:hAnsi="宋体"/>
          <w:color w:val="auto"/>
          <w:sz w:val="24"/>
        </w:rPr>
        <w:t>5.2.2成交供应商应保证设备经正确安装、正常运转和保养在其使用寿命内应具有满意的性能。</w:t>
      </w:r>
    </w:p>
    <w:p>
      <w:pPr>
        <w:ind w:firstLine="480" w:firstLineChars="200"/>
        <w:rPr>
          <w:rFonts w:ascii="宋体" w:hAnsi="宋体"/>
          <w:color w:val="auto"/>
          <w:sz w:val="24"/>
        </w:rPr>
      </w:pPr>
      <w:r>
        <w:rPr>
          <w:rFonts w:ascii="宋体" w:hAnsi="宋体"/>
          <w:color w:val="auto"/>
          <w:sz w:val="24"/>
        </w:rPr>
        <w:t>2</w:t>
      </w:r>
      <w:r>
        <w:rPr>
          <w:rFonts w:hint="eastAsia" w:ascii="宋体" w:hAnsi="宋体"/>
          <w:color w:val="auto"/>
          <w:sz w:val="24"/>
        </w:rPr>
        <w:t>5.2.3原装进口产品（设备）交货时须提供中文保修卡、装箱单、商检证明</w:t>
      </w:r>
      <w:r>
        <w:rPr>
          <w:rFonts w:ascii="宋体" w:hAnsi="宋体"/>
          <w:color w:val="auto"/>
          <w:sz w:val="24"/>
        </w:rPr>
        <w:t>或报关单</w:t>
      </w:r>
      <w:r>
        <w:rPr>
          <w:rFonts w:hint="eastAsia" w:ascii="宋体" w:hAnsi="宋体"/>
          <w:color w:val="auto"/>
          <w:sz w:val="24"/>
        </w:rPr>
        <w:t>等资料。制造编号与包装箱编号应一致。</w:t>
      </w:r>
    </w:p>
    <w:p>
      <w:pPr>
        <w:ind w:firstLine="480" w:firstLineChars="200"/>
        <w:rPr>
          <w:rFonts w:ascii="宋体" w:hAnsi="宋体"/>
          <w:color w:val="auto"/>
          <w:sz w:val="24"/>
        </w:rPr>
      </w:pPr>
      <w:r>
        <w:rPr>
          <w:rFonts w:ascii="宋体" w:hAnsi="宋体"/>
          <w:color w:val="auto"/>
          <w:sz w:val="24"/>
        </w:rPr>
        <w:t>2</w:t>
      </w:r>
      <w:r>
        <w:rPr>
          <w:rFonts w:hint="eastAsia" w:ascii="宋体" w:hAnsi="宋体"/>
          <w:color w:val="auto"/>
          <w:sz w:val="24"/>
        </w:rPr>
        <w:t>5.2.4如发生质量异议，按《中华人民共和国产品质量法》、《中华人民共和国消费者权益保护法》等有关规定处理。</w:t>
      </w:r>
    </w:p>
    <w:p>
      <w:pPr>
        <w:ind w:firstLine="480" w:firstLineChars="200"/>
        <w:rPr>
          <w:rFonts w:hint="eastAsia" w:ascii="宋体" w:hAnsi="宋体"/>
          <w:sz w:val="24"/>
        </w:rPr>
      </w:pPr>
      <w:r>
        <w:rPr>
          <w:rFonts w:ascii="宋体" w:hAnsi="宋体"/>
          <w:sz w:val="24"/>
        </w:rPr>
        <w:t>2</w:t>
      </w:r>
      <w:r>
        <w:rPr>
          <w:rFonts w:hint="eastAsia" w:ascii="宋体" w:hAnsi="宋体"/>
          <w:sz w:val="24"/>
        </w:rPr>
        <w:t>5.3</w:t>
      </w:r>
      <w:r>
        <w:rPr>
          <w:rFonts w:ascii="宋体" w:hAnsi="宋体"/>
          <w:sz w:val="24"/>
        </w:rPr>
        <w:t xml:space="preserve"> </w:t>
      </w:r>
      <w:r>
        <w:rPr>
          <w:rFonts w:hint="eastAsia" w:ascii="宋体" w:hAnsi="宋体"/>
          <w:sz w:val="24"/>
        </w:rPr>
        <w:t>转包</w:t>
      </w:r>
    </w:p>
    <w:p>
      <w:pPr>
        <w:ind w:firstLine="480" w:firstLineChars="200"/>
        <w:rPr>
          <w:rFonts w:ascii="宋体" w:hAnsi="宋体"/>
          <w:sz w:val="24"/>
        </w:rPr>
      </w:pPr>
      <w:r>
        <w:rPr>
          <w:rFonts w:hint="eastAsia" w:ascii="宋体" w:hAnsi="宋体"/>
          <w:sz w:val="24"/>
        </w:rPr>
        <w:t>成交供应商不得将中标标的转包给其他供应商，否则视为违约，并将追究其违约责任，用户单位有权解除采购合同，所造成的损失由成交供应商承担。</w:t>
      </w:r>
    </w:p>
    <w:p>
      <w:pPr>
        <w:ind w:firstLine="480" w:firstLineChars="200"/>
        <w:rPr>
          <w:rFonts w:ascii="宋体" w:hAnsi="宋体"/>
          <w:sz w:val="24"/>
        </w:rPr>
      </w:pPr>
      <w:r>
        <w:rPr>
          <w:rFonts w:ascii="宋体" w:hAnsi="宋体"/>
          <w:sz w:val="24"/>
        </w:rPr>
        <w:t>2</w:t>
      </w:r>
      <w:r>
        <w:rPr>
          <w:rFonts w:hint="eastAsia" w:ascii="宋体" w:hAnsi="宋体"/>
          <w:sz w:val="24"/>
        </w:rPr>
        <w:t>5.4</w:t>
      </w:r>
      <w:r>
        <w:rPr>
          <w:rFonts w:ascii="宋体" w:hAnsi="宋体"/>
          <w:sz w:val="24"/>
        </w:rPr>
        <w:t xml:space="preserve"> </w:t>
      </w:r>
      <w:r>
        <w:rPr>
          <w:rFonts w:hint="eastAsia" w:ascii="宋体" w:hAnsi="宋体"/>
          <w:sz w:val="24"/>
        </w:rPr>
        <w:t>验收</w:t>
      </w:r>
    </w:p>
    <w:p>
      <w:pPr>
        <w:ind w:firstLine="480" w:firstLineChars="200"/>
        <w:rPr>
          <w:rFonts w:ascii="宋体" w:hAnsi="宋体"/>
          <w:sz w:val="24"/>
        </w:rPr>
      </w:pPr>
      <w:r>
        <w:rPr>
          <w:rFonts w:hint="eastAsia" w:ascii="宋体" w:hAnsi="宋体"/>
          <w:sz w:val="24"/>
        </w:rPr>
        <w:t>采购产品由用户单位组织验收，具体按照《诸暨市政府采购合同履约和验收管理暂行规定》执行。</w:t>
      </w:r>
    </w:p>
    <w:p>
      <w:pPr>
        <w:ind w:firstLine="480" w:firstLineChars="200"/>
        <w:rPr>
          <w:rFonts w:hint="eastAsia" w:ascii="宋体" w:hAnsi="宋体"/>
          <w:sz w:val="24"/>
        </w:rPr>
      </w:pPr>
      <w:r>
        <w:rPr>
          <w:rFonts w:ascii="宋体" w:hAnsi="宋体"/>
          <w:sz w:val="24"/>
        </w:rPr>
        <w:t>2</w:t>
      </w:r>
      <w:r>
        <w:rPr>
          <w:rFonts w:hint="eastAsia" w:ascii="宋体" w:hAnsi="宋体"/>
          <w:sz w:val="24"/>
        </w:rPr>
        <w:t>5.5付款方式</w:t>
      </w:r>
    </w:p>
    <w:p>
      <w:pPr>
        <w:ind w:firstLine="480" w:firstLineChars="200"/>
        <w:rPr>
          <w:rFonts w:hint="eastAsia" w:ascii="宋体" w:hAnsi="宋体"/>
          <w:sz w:val="24"/>
        </w:rPr>
      </w:pPr>
      <w:r>
        <w:rPr>
          <w:rFonts w:hint="eastAsia" w:ascii="宋体" w:hAnsi="宋体"/>
          <w:sz w:val="24"/>
        </w:rPr>
        <w:t>验收合格的，成交供应商以中标价按标的结算。市财政资金管理部门凭成交供应商提供的合同，及开具的税务发票，将中标款直接拨入成交供应商开户银行。</w:t>
      </w:r>
    </w:p>
    <w:p>
      <w:pPr>
        <w:ind w:firstLine="480" w:firstLineChars="200"/>
        <w:rPr>
          <w:rFonts w:ascii="宋体" w:hAnsi="宋体"/>
          <w:sz w:val="24"/>
        </w:rPr>
      </w:pPr>
      <w:r>
        <w:rPr>
          <w:rFonts w:ascii="宋体" w:hAnsi="宋体"/>
          <w:sz w:val="24"/>
        </w:rPr>
        <w:t>2</w:t>
      </w:r>
      <w:r>
        <w:rPr>
          <w:rFonts w:hint="eastAsia" w:ascii="宋体" w:hAnsi="宋体"/>
          <w:sz w:val="24"/>
        </w:rPr>
        <w:t>5.6产品变更</w:t>
      </w:r>
    </w:p>
    <w:p>
      <w:pPr>
        <w:ind w:firstLine="480" w:firstLineChars="200"/>
        <w:rPr>
          <w:rFonts w:ascii="宋体" w:hAnsi="宋体"/>
          <w:sz w:val="24"/>
        </w:rPr>
      </w:pPr>
      <w:r>
        <w:rPr>
          <w:rFonts w:hint="eastAsia" w:ascii="宋体" w:hAnsi="宋体"/>
          <w:sz w:val="24"/>
        </w:rPr>
        <w:t>政府采购合同履行中，用户单位根据实际情况，需要增减与合同标的相同的货物、工程或者服务的，须在不改变合同其他条款的前提下，可以与中标供应商协商签订补充合同，但所有补充合同的采购金额不得超过原合同采购金额的百分之十，增减产品的价格为相应中标产品的价格，且事先须向相关部门审核备案。</w:t>
      </w:r>
    </w:p>
    <w:p>
      <w:pPr>
        <w:ind w:firstLine="480" w:firstLineChars="200"/>
        <w:rPr>
          <w:rFonts w:ascii="宋体" w:hAnsi="宋体"/>
          <w:sz w:val="24"/>
        </w:rPr>
      </w:pPr>
      <w:r>
        <w:rPr>
          <w:rFonts w:ascii="宋体" w:hAnsi="宋体"/>
          <w:sz w:val="24"/>
        </w:rPr>
        <w:t>2</w:t>
      </w:r>
      <w:r>
        <w:rPr>
          <w:rFonts w:hint="eastAsia" w:ascii="宋体" w:hAnsi="宋体"/>
          <w:sz w:val="24"/>
        </w:rPr>
        <w:t>5.7维护保修</w:t>
      </w:r>
    </w:p>
    <w:p>
      <w:pPr>
        <w:ind w:firstLine="480" w:firstLineChars="200"/>
        <w:rPr>
          <w:rFonts w:hint="eastAsia" w:ascii="宋体" w:hAnsi="宋体"/>
          <w:sz w:val="24"/>
        </w:rPr>
      </w:pPr>
      <w:r>
        <w:rPr>
          <w:rFonts w:hint="eastAsia" w:ascii="宋体" w:hAnsi="宋体"/>
          <w:sz w:val="24"/>
        </w:rPr>
        <w:t>成交供应商必须按厂方提供的质保单或保修单所列的服务以及谈判响应文件承诺的其他质量保证措施做好售后服务。</w:t>
      </w:r>
    </w:p>
    <w:p>
      <w:pPr>
        <w:ind w:firstLine="480" w:firstLineChars="200"/>
        <w:rPr>
          <w:rFonts w:ascii="宋体" w:hAnsi="宋体"/>
          <w:sz w:val="24"/>
        </w:rPr>
      </w:pPr>
      <w:r>
        <w:rPr>
          <w:rFonts w:ascii="宋体" w:hAnsi="宋体"/>
          <w:sz w:val="24"/>
        </w:rPr>
        <w:t>2</w:t>
      </w:r>
      <w:r>
        <w:rPr>
          <w:rFonts w:hint="eastAsia" w:ascii="宋体" w:hAnsi="宋体"/>
          <w:sz w:val="24"/>
        </w:rPr>
        <w:t>5.8</w:t>
      </w:r>
      <w:r>
        <w:rPr>
          <w:rFonts w:ascii="宋体" w:hAnsi="宋体"/>
          <w:sz w:val="24"/>
        </w:rPr>
        <w:t xml:space="preserve"> </w:t>
      </w:r>
      <w:r>
        <w:rPr>
          <w:rFonts w:hint="eastAsia" w:ascii="宋体" w:hAnsi="宋体"/>
          <w:sz w:val="24"/>
        </w:rPr>
        <w:t>违约责任</w:t>
      </w:r>
    </w:p>
    <w:p>
      <w:pPr>
        <w:ind w:firstLine="480" w:firstLineChars="200"/>
        <w:rPr>
          <w:rFonts w:ascii="宋体" w:hAnsi="宋体"/>
          <w:sz w:val="24"/>
        </w:rPr>
      </w:pPr>
      <w:r>
        <w:rPr>
          <w:rFonts w:ascii="宋体" w:hAnsi="宋体"/>
          <w:sz w:val="24"/>
        </w:rPr>
        <w:t>2</w:t>
      </w:r>
      <w:r>
        <w:rPr>
          <w:rFonts w:hint="eastAsia" w:ascii="宋体" w:hAnsi="宋体"/>
          <w:sz w:val="24"/>
        </w:rPr>
        <w:t>5.8.1</w:t>
      </w:r>
      <w:r>
        <w:rPr>
          <w:rFonts w:ascii="宋体" w:hAnsi="宋体"/>
          <w:sz w:val="24"/>
        </w:rPr>
        <w:t xml:space="preserve"> </w:t>
      </w:r>
      <w:r>
        <w:rPr>
          <w:rFonts w:hint="eastAsia" w:ascii="宋体" w:hAnsi="宋体"/>
          <w:sz w:val="24"/>
        </w:rPr>
        <w:t>成交供应商不能在合同规定时间供货的，每逾期一天，扣中标金额</w:t>
      </w:r>
      <w:r>
        <w:rPr>
          <w:rFonts w:ascii="宋体" w:hAnsi="宋体"/>
          <w:sz w:val="24"/>
        </w:rPr>
        <w:t>0.5%</w:t>
      </w:r>
      <w:r>
        <w:rPr>
          <w:rFonts w:hint="eastAsia" w:ascii="宋体" w:hAnsi="宋体"/>
          <w:sz w:val="24"/>
        </w:rPr>
        <w:t>的违约金；延迟十五日以上，将取消中标资格，履约保证金不予退还。</w:t>
      </w:r>
    </w:p>
    <w:p>
      <w:pPr>
        <w:ind w:firstLine="480" w:firstLineChars="200"/>
        <w:rPr>
          <w:rFonts w:ascii="宋体" w:hAnsi="宋体"/>
          <w:sz w:val="24"/>
        </w:rPr>
      </w:pPr>
      <w:r>
        <w:rPr>
          <w:rFonts w:ascii="宋体" w:hAnsi="宋体"/>
          <w:sz w:val="24"/>
        </w:rPr>
        <w:t>2</w:t>
      </w:r>
      <w:r>
        <w:rPr>
          <w:rFonts w:hint="eastAsia" w:ascii="宋体" w:hAnsi="宋体"/>
          <w:sz w:val="24"/>
        </w:rPr>
        <w:t>5.8.2成交供应商未能正确履行合同，则须承担相关违约责任，采购单位有权要求调换或者无条件退货，所造成的损失均由成交供应商承担。</w:t>
      </w:r>
    </w:p>
    <w:p>
      <w:pPr>
        <w:ind w:firstLine="480" w:firstLineChars="200"/>
        <w:rPr>
          <w:rFonts w:hint="eastAsia"/>
          <w:sz w:val="24"/>
        </w:rPr>
      </w:pPr>
      <w:r>
        <w:rPr>
          <w:rFonts w:ascii="宋体" w:hAnsi="宋体"/>
          <w:sz w:val="24"/>
        </w:rPr>
        <w:t>2</w:t>
      </w:r>
      <w:r>
        <w:rPr>
          <w:rFonts w:hint="eastAsia" w:ascii="宋体" w:hAnsi="宋体"/>
          <w:sz w:val="24"/>
        </w:rPr>
        <w:t>5.8.3用户单位未能在规定时间内验收完毕的，承担相关违约责任，造成的损失由</w:t>
      </w:r>
      <w:r>
        <w:rPr>
          <w:rFonts w:hint="eastAsia"/>
          <w:sz w:val="24"/>
        </w:rPr>
        <w:t>用户单位承担。</w:t>
      </w:r>
    </w:p>
    <w:p>
      <w:pPr>
        <w:pStyle w:val="3"/>
        <w:spacing w:before="0" w:after="0" w:line="240" w:lineRule="auto"/>
        <w:ind w:firstLine="562" w:firstLineChars="200"/>
        <w:jc w:val="center"/>
        <w:rPr>
          <w:rFonts w:hint="eastAsia" w:ascii="宋体" w:hAnsi="宋体" w:eastAsia="宋体"/>
          <w:sz w:val="28"/>
          <w:szCs w:val="28"/>
        </w:rPr>
      </w:pPr>
      <w:bookmarkStart w:id="5" w:name="_Toc339459646"/>
      <w:bookmarkStart w:id="6" w:name="_Toc352165696"/>
      <w:bookmarkStart w:id="7" w:name="_Toc125344511"/>
      <w:r>
        <w:rPr>
          <w:rFonts w:hint="eastAsia" w:ascii="宋体" w:hAnsi="宋体" w:eastAsia="宋体"/>
          <w:sz w:val="28"/>
          <w:szCs w:val="28"/>
        </w:rPr>
        <w:t>七、不良行为记录</w:t>
      </w:r>
      <w:bookmarkEnd w:id="5"/>
      <w:bookmarkEnd w:id="6"/>
    </w:p>
    <w:p>
      <w:pPr>
        <w:ind w:firstLine="480" w:firstLineChars="200"/>
        <w:rPr>
          <w:rFonts w:hint="eastAsia" w:ascii="宋体" w:hAnsi="宋体"/>
          <w:sz w:val="24"/>
          <w:szCs w:val="24"/>
        </w:rPr>
      </w:pPr>
      <w:r>
        <w:rPr>
          <w:rFonts w:hint="eastAsia" w:ascii="宋体" w:hAnsi="宋体"/>
          <w:sz w:val="24"/>
          <w:szCs w:val="24"/>
        </w:rPr>
        <w:t>投标人在采购活动中出现下列违规行为的将记入诸暨市政府采购不良行为记录，并在记录时限内暂停其诸暨市域范围内政府采购交易资格，同时不良行为在诸暨市公共资源交易中心网站公示。</w:t>
      </w:r>
    </w:p>
    <w:tbl>
      <w:tblPr>
        <w:tblStyle w:val="9"/>
        <w:tblW w:w="8706"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
        <w:gridCol w:w="6433"/>
        <w:gridCol w:w="1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947" w:type="dxa"/>
            <w:noWrap w:val="0"/>
            <w:vAlign w:val="top"/>
          </w:tcPr>
          <w:p>
            <w:pPr>
              <w:jc w:val="center"/>
              <w:rPr>
                <w:rFonts w:hint="eastAsia" w:ascii="宋体" w:hAnsi="宋体"/>
                <w:b/>
                <w:bCs/>
                <w:sz w:val="24"/>
                <w:szCs w:val="24"/>
              </w:rPr>
            </w:pPr>
            <w:r>
              <w:rPr>
                <w:rFonts w:hint="eastAsia" w:ascii="宋体" w:hAnsi="宋体"/>
                <w:b/>
                <w:bCs/>
                <w:sz w:val="24"/>
                <w:szCs w:val="24"/>
              </w:rPr>
              <w:t>序号</w:t>
            </w:r>
          </w:p>
        </w:tc>
        <w:tc>
          <w:tcPr>
            <w:tcW w:w="6433" w:type="dxa"/>
            <w:noWrap w:val="0"/>
            <w:vAlign w:val="center"/>
          </w:tcPr>
          <w:p>
            <w:pPr>
              <w:jc w:val="center"/>
              <w:rPr>
                <w:rFonts w:hint="eastAsia" w:ascii="宋体" w:hAnsi="宋体"/>
                <w:b/>
                <w:bCs/>
                <w:sz w:val="24"/>
                <w:szCs w:val="24"/>
              </w:rPr>
            </w:pPr>
            <w:r>
              <w:rPr>
                <w:rFonts w:hint="eastAsia" w:ascii="宋体" w:hAnsi="宋体"/>
                <w:b/>
                <w:bCs/>
                <w:sz w:val="24"/>
                <w:szCs w:val="24"/>
              </w:rPr>
              <w:t>不良行为</w:t>
            </w:r>
          </w:p>
        </w:tc>
        <w:tc>
          <w:tcPr>
            <w:tcW w:w="1326" w:type="dxa"/>
            <w:noWrap w:val="0"/>
            <w:vAlign w:val="top"/>
          </w:tcPr>
          <w:p>
            <w:pPr>
              <w:jc w:val="center"/>
              <w:rPr>
                <w:rFonts w:hint="eastAsia" w:ascii="宋体" w:hAnsi="宋体"/>
                <w:b/>
                <w:bCs/>
                <w:sz w:val="24"/>
                <w:szCs w:val="24"/>
              </w:rPr>
            </w:pPr>
            <w:r>
              <w:rPr>
                <w:rFonts w:hint="eastAsia" w:ascii="宋体" w:hAnsi="宋体"/>
                <w:b/>
                <w:bCs/>
                <w:sz w:val="24"/>
                <w:szCs w:val="24"/>
              </w:rPr>
              <w:t>记录时限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947" w:type="dxa"/>
            <w:noWrap w:val="0"/>
            <w:vAlign w:val="center"/>
          </w:tcPr>
          <w:p>
            <w:pPr>
              <w:jc w:val="center"/>
              <w:rPr>
                <w:rFonts w:hint="eastAsia" w:ascii="宋体" w:hAnsi="宋体"/>
                <w:sz w:val="24"/>
                <w:szCs w:val="24"/>
              </w:rPr>
            </w:pPr>
            <w:r>
              <w:rPr>
                <w:rFonts w:hint="eastAsia" w:ascii="宋体" w:hAnsi="宋体"/>
                <w:sz w:val="24"/>
                <w:szCs w:val="24"/>
              </w:rPr>
              <w:t>1</w:t>
            </w:r>
          </w:p>
        </w:tc>
        <w:tc>
          <w:tcPr>
            <w:tcW w:w="6433" w:type="dxa"/>
            <w:noWrap w:val="0"/>
            <w:vAlign w:val="center"/>
          </w:tcPr>
          <w:p>
            <w:pPr>
              <w:autoSpaceDE/>
              <w:autoSpaceDN/>
              <w:adjustRightInd/>
              <w:rPr>
                <w:rFonts w:hint="eastAsia" w:ascii="宋体" w:hAnsi="宋体"/>
                <w:sz w:val="24"/>
                <w:szCs w:val="24"/>
              </w:rPr>
            </w:pPr>
            <w:r>
              <w:rPr>
                <w:rFonts w:hint="eastAsia" w:ascii="宋体" w:hAnsi="宋体"/>
                <w:sz w:val="24"/>
                <w:szCs w:val="24"/>
              </w:rPr>
              <w:t>在招标采购过程中，与采购人进行协商谈判的</w:t>
            </w:r>
          </w:p>
        </w:tc>
        <w:tc>
          <w:tcPr>
            <w:tcW w:w="1326" w:type="dxa"/>
            <w:noWrap w:val="0"/>
            <w:vAlign w:val="center"/>
          </w:tcPr>
          <w:p>
            <w:pPr>
              <w:jc w:val="center"/>
              <w:rPr>
                <w:rFonts w:hint="eastAsia" w:ascii="宋体" w:hAnsi="宋体"/>
                <w:sz w:val="24"/>
                <w:szCs w:val="24"/>
              </w:rPr>
            </w:pPr>
            <w:r>
              <w:rPr>
                <w:rFonts w:hint="eastAsia" w:ascii="宋体" w:hAnsi="宋体"/>
                <w:sz w:val="24"/>
                <w:szCs w:val="24"/>
              </w:rPr>
              <w:t>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947" w:type="dxa"/>
            <w:noWrap w:val="0"/>
            <w:vAlign w:val="center"/>
          </w:tcPr>
          <w:p>
            <w:pPr>
              <w:jc w:val="center"/>
              <w:rPr>
                <w:rFonts w:hint="eastAsia" w:ascii="宋体" w:hAnsi="宋体"/>
                <w:sz w:val="24"/>
                <w:szCs w:val="24"/>
              </w:rPr>
            </w:pPr>
            <w:r>
              <w:rPr>
                <w:rFonts w:hint="eastAsia" w:ascii="宋体" w:hAnsi="宋体"/>
                <w:sz w:val="24"/>
                <w:szCs w:val="24"/>
              </w:rPr>
              <w:t>2</w:t>
            </w:r>
          </w:p>
        </w:tc>
        <w:tc>
          <w:tcPr>
            <w:tcW w:w="6433" w:type="dxa"/>
            <w:noWrap w:val="0"/>
            <w:vAlign w:val="center"/>
          </w:tcPr>
          <w:p>
            <w:pPr>
              <w:autoSpaceDE/>
              <w:autoSpaceDN/>
              <w:adjustRightInd/>
              <w:rPr>
                <w:rFonts w:hint="eastAsia" w:ascii="宋体" w:hAnsi="宋体"/>
                <w:sz w:val="24"/>
                <w:szCs w:val="24"/>
              </w:rPr>
            </w:pPr>
            <w:r>
              <w:rPr>
                <w:rFonts w:hint="eastAsia" w:ascii="宋体" w:hAnsi="宋体"/>
                <w:sz w:val="24"/>
                <w:szCs w:val="24"/>
              </w:rPr>
              <w:t>投标有效期内撤回其谈判响应文件的</w:t>
            </w:r>
          </w:p>
        </w:tc>
        <w:tc>
          <w:tcPr>
            <w:tcW w:w="1326" w:type="dxa"/>
            <w:noWrap w:val="0"/>
            <w:vAlign w:val="center"/>
          </w:tcPr>
          <w:p>
            <w:pPr>
              <w:jc w:val="center"/>
              <w:rPr>
                <w:rFonts w:hint="eastAsia" w:ascii="宋体" w:hAnsi="宋体"/>
                <w:sz w:val="24"/>
                <w:szCs w:val="24"/>
              </w:rPr>
            </w:pPr>
            <w:r>
              <w:rPr>
                <w:rFonts w:hint="eastAsia" w:ascii="宋体" w:hAnsi="宋体"/>
                <w:sz w:val="24"/>
                <w:szCs w:val="24"/>
              </w:rPr>
              <w:t>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947" w:type="dxa"/>
            <w:noWrap w:val="0"/>
            <w:vAlign w:val="center"/>
          </w:tcPr>
          <w:p>
            <w:pPr>
              <w:jc w:val="center"/>
              <w:rPr>
                <w:rFonts w:hint="eastAsia" w:ascii="宋体" w:hAnsi="宋体"/>
                <w:sz w:val="24"/>
                <w:szCs w:val="24"/>
              </w:rPr>
            </w:pPr>
            <w:r>
              <w:rPr>
                <w:rFonts w:hint="eastAsia" w:ascii="宋体" w:hAnsi="宋体"/>
                <w:sz w:val="24"/>
                <w:szCs w:val="24"/>
              </w:rPr>
              <w:t>3</w:t>
            </w:r>
          </w:p>
        </w:tc>
        <w:tc>
          <w:tcPr>
            <w:tcW w:w="6433" w:type="dxa"/>
            <w:noWrap w:val="0"/>
            <w:vAlign w:val="center"/>
          </w:tcPr>
          <w:p>
            <w:pPr>
              <w:autoSpaceDE/>
              <w:autoSpaceDN/>
              <w:adjustRightInd/>
              <w:rPr>
                <w:rFonts w:hint="eastAsia" w:ascii="宋体" w:hAnsi="宋体"/>
                <w:sz w:val="24"/>
                <w:szCs w:val="24"/>
              </w:rPr>
            </w:pPr>
            <w:r>
              <w:rPr>
                <w:rFonts w:hint="eastAsia" w:ascii="宋体" w:hAnsi="宋体"/>
                <w:sz w:val="24"/>
                <w:szCs w:val="24"/>
              </w:rPr>
              <w:t>拒绝有关部门监督检查或提供虚假情况的</w:t>
            </w:r>
          </w:p>
        </w:tc>
        <w:tc>
          <w:tcPr>
            <w:tcW w:w="1326" w:type="dxa"/>
            <w:noWrap w:val="0"/>
            <w:vAlign w:val="center"/>
          </w:tcPr>
          <w:p>
            <w:pPr>
              <w:jc w:val="center"/>
              <w:rPr>
                <w:rFonts w:hint="eastAsia" w:ascii="宋体" w:hAnsi="宋体"/>
                <w:sz w:val="24"/>
                <w:szCs w:val="24"/>
              </w:rPr>
            </w:pPr>
            <w:r>
              <w:rPr>
                <w:rFonts w:hint="eastAsia" w:ascii="宋体" w:hAnsi="宋体"/>
                <w:sz w:val="24"/>
                <w:szCs w:val="24"/>
              </w:rPr>
              <w:t>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947" w:type="dxa"/>
            <w:noWrap w:val="0"/>
            <w:vAlign w:val="center"/>
          </w:tcPr>
          <w:p>
            <w:pPr>
              <w:jc w:val="center"/>
              <w:rPr>
                <w:rFonts w:hint="eastAsia" w:ascii="宋体" w:hAnsi="宋体"/>
                <w:sz w:val="24"/>
                <w:szCs w:val="24"/>
              </w:rPr>
            </w:pPr>
            <w:r>
              <w:rPr>
                <w:rFonts w:hint="eastAsia" w:ascii="宋体" w:hAnsi="宋体"/>
                <w:sz w:val="24"/>
                <w:szCs w:val="24"/>
              </w:rPr>
              <w:t>4</w:t>
            </w:r>
          </w:p>
        </w:tc>
        <w:tc>
          <w:tcPr>
            <w:tcW w:w="6433" w:type="dxa"/>
            <w:noWrap w:val="0"/>
            <w:vAlign w:val="center"/>
          </w:tcPr>
          <w:p>
            <w:pPr>
              <w:autoSpaceDE/>
              <w:autoSpaceDN/>
              <w:adjustRightInd/>
              <w:rPr>
                <w:rFonts w:hint="eastAsia" w:ascii="宋体" w:hAnsi="宋体"/>
                <w:sz w:val="24"/>
                <w:szCs w:val="24"/>
              </w:rPr>
            </w:pPr>
            <w:r>
              <w:rPr>
                <w:rFonts w:hint="eastAsia" w:ascii="宋体" w:hAnsi="宋体"/>
                <w:sz w:val="24"/>
                <w:szCs w:val="24"/>
              </w:rPr>
              <w:t>不积极配合采购单位做好标的验收工作的</w:t>
            </w:r>
          </w:p>
        </w:tc>
        <w:tc>
          <w:tcPr>
            <w:tcW w:w="1326" w:type="dxa"/>
            <w:noWrap w:val="0"/>
            <w:vAlign w:val="center"/>
          </w:tcPr>
          <w:p>
            <w:pPr>
              <w:jc w:val="center"/>
              <w:rPr>
                <w:rFonts w:hint="eastAsia" w:ascii="宋体" w:hAnsi="宋体"/>
                <w:sz w:val="24"/>
                <w:szCs w:val="24"/>
              </w:rPr>
            </w:pPr>
            <w:r>
              <w:rPr>
                <w:rFonts w:hint="eastAsia" w:ascii="宋体" w:hAnsi="宋体"/>
                <w:sz w:val="24"/>
                <w:szCs w:val="24"/>
              </w:rPr>
              <w:t>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947" w:type="dxa"/>
            <w:noWrap w:val="0"/>
            <w:vAlign w:val="center"/>
          </w:tcPr>
          <w:p>
            <w:pPr>
              <w:jc w:val="center"/>
              <w:rPr>
                <w:rFonts w:hint="eastAsia" w:ascii="宋体" w:hAnsi="宋体"/>
                <w:sz w:val="24"/>
                <w:szCs w:val="24"/>
              </w:rPr>
            </w:pPr>
            <w:r>
              <w:rPr>
                <w:rFonts w:hint="eastAsia" w:ascii="宋体" w:hAnsi="宋体"/>
                <w:sz w:val="24"/>
                <w:szCs w:val="24"/>
              </w:rPr>
              <w:t>5</w:t>
            </w:r>
          </w:p>
        </w:tc>
        <w:tc>
          <w:tcPr>
            <w:tcW w:w="6433" w:type="dxa"/>
            <w:noWrap w:val="0"/>
            <w:vAlign w:val="center"/>
          </w:tcPr>
          <w:p>
            <w:pPr>
              <w:autoSpaceDE/>
              <w:autoSpaceDN/>
              <w:adjustRightInd/>
              <w:rPr>
                <w:rFonts w:hint="eastAsia" w:ascii="宋体" w:hAnsi="宋体"/>
                <w:sz w:val="24"/>
                <w:szCs w:val="24"/>
              </w:rPr>
            </w:pPr>
            <w:r>
              <w:rPr>
                <w:rFonts w:hint="eastAsia" w:ascii="宋体" w:hAnsi="宋体"/>
                <w:sz w:val="24"/>
                <w:szCs w:val="24"/>
              </w:rPr>
              <w:t>在有关部门的监督检查或考核中被通报批评或处以警告及以上处罚的</w:t>
            </w:r>
          </w:p>
        </w:tc>
        <w:tc>
          <w:tcPr>
            <w:tcW w:w="1326" w:type="dxa"/>
            <w:noWrap w:val="0"/>
            <w:vAlign w:val="center"/>
          </w:tcPr>
          <w:p>
            <w:pPr>
              <w:jc w:val="center"/>
              <w:rPr>
                <w:rFonts w:hint="eastAsia" w:ascii="宋体" w:hAnsi="宋体"/>
                <w:sz w:val="24"/>
                <w:szCs w:val="24"/>
              </w:rPr>
            </w:pPr>
            <w:r>
              <w:rPr>
                <w:rFonts w:hint="eastAsia" w:ascii="宋体" w:hAnsi="宋体"/>
                <w:sz w:val="24"/>
                <w:szCs w:val="24"/>
              </w:rPr>
              <w:t>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947" w:type="dxa"/>
            <w:noWrap w:val="0"/>
            <w:vAlign w:val="center"/>
          </w:tcPr>
          <w:p>
            <w:pPr>
              <w:jc w:val="center"/>
              <w:rPr>
                <w:rFonts w:hint="eastAsia" w:ascii="宋体" w:hAnsi="宋体"/>
                <w:sz w:val="24"/>
                <w:szCs w:val="24"/>
              </w:rPr>
            </w:pPr>
            <w:r>
              <w:rPr>
                <w:rFonts w:hint="eastAsia" w:ascii="宋体" w:hAnsi="宋体"/>
                <w:sz w:val="24"/>
                <w:szCs w:val="24"/>
              </w:rPr>
              <w:t>6</w:t>
            </w:r>
          </w:p>
        </w:tc>
        <w:tc>
          <w:tcPr>
            <w:tcW w:w="6433" w:type="dxa"/>
            <w:noWrap w:val="0"/>
            <w:vAlign w:val="center"/>
          </w:tcPr>
          <w:p>
            <w:pPr>
              <w:autoSpaceDE/>
              <w:autoSpaceDN/>
              <w:adjustRightInd/>
              <w:rPr>
                <w:rFonts w:hint="eastAsia" w:ascii="宋体" w:hAnsi="宋体"/>
                <w:sz w:val="24"/>
                <w:szCs w:val="24"/>
              </w:rPr>
            </w:pPr>
            <w:r>
              <w:rPr>
                <w:rFonts w:hint="eastAsia" w:ascii="宋体" w:hAnsi="宋体"/>
                <w:sz w:val="24"/>
                <w:szCs w:val="24"/>
              </w:rPr>
              <w:t>不遵守投标会场纪律，无理取闹，扰乱交易秩序的</w:t>
            </w:r>
          </w:p>
        </w:tc>
        <w:tc>
          <w:tcPr>
            <w:tcW w:w="1326" w:type="dxa"/>
            <w:noWrap w:val="0"/>
            <w:vAlign w:val="center"/>
          </w:tcPr>
          <w:p>
            <w:pPr>
              <w:jc w:val="center"/>
              <w:rPr>
                <w:rFonts w:hint="eastAsia" w:ascii="宋体" w:hAnsi="宋体"/>
                <w:sz w:val="24"/>
                <w:szCs w:val="24"/>
              </w:rPr>
            </w:pPr>
            <w:r>
              <w:rPr>
                <w:rFonts w:hint="eastAsia" w:ascii="宋体" w:hAnsi="宋体"/>
                <w:sz w:val="24"/>
                <w:szCs w:val="24"/>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947" w:type="dxa"/>
            <w:noWrap w:val="0"/>
            <w:vAlign w:val="center"/>
          </w:tcPr>
          <w:p>
            <w:pPr>
              <w:jc w:val="center"/>
              <w:rPr>
                <w:rFonts w:hint="eastAsia" w:ascii="宋体" w:hAnsi="宋体"/>
                <w:sz w:val="24"/>
                <w:szCs w:val="24"/>
              </w:rPr>
            </w:pPr>
            <w:r>
              <w:rPr>
                <w:rFonts w:hint="eastAsia" w:ascii="宋体" w:hAnsi="宋体"/>
                <w:sz w:val="24"/>
                <w:szCs w:val="24"/>
              </w:rPr>
              <w:t>7</w:t>
            </w:r>
          </w:p>
        </w:tc>
        <w:tc>
          <w:tcPr>
            <w:tcW w:w="6433" w:type="dxa"/>
            <w:noWrap w:val="0"/>
            <w:vAlign w:val="center"/>
          </w:tcPr>
          <w:p>
            <w:pPr>
              <w:autoSpaceDE/>
              <w:autoSpaceDN/>
              <w:adjustRightInd/>
              <w:rPr>
                <w:rFonts w:hint="eastAsia" w:ascii="宋体" w:hAnsi="宋体"/>
                <w:sz w:val="24"/>
                <w:szCs w:val="24"/>
              </w:rPr>
            </w:pPr>
            <w:r>
              <w:rPr>
                <w:rFonts w:hint="eastAsia" w:ascii="宋体" w:hAnsi="宋体"/>
                <w:sz w:val="24"/>
                <w:szCs w:val="24"/>
              </w:rPr>
              <w:t>中标后无正当理由放弃中标，或在规定时间内不与采购人签订政府采购合同，或在签订合同时提出附加条件或更改合同实质性内容，或拒不提交所要求的履约保证金的</w:t>
            </w:r>
          </w:p>
        </w:tc>
        <w:tc>
          <w:tcPr>
            <w:tcW w:w="1326" w:type="dxa"/>
            <w:noWrap w:val="0"/>
            <w:vAlign w:val="center"/>
          </w:tcPr>
          <w:p>
            <w:pPr>
              <w:jc w:val="center"/>
              <w:rPr>
                <w:rFonts w:hint="eastAsia" w:ascii="宋体" w:hAnsi="宋体"/>
                <w:sz w:val="24"/>
                <w:szCs w:val="24"/>
              </w:rPr>
            </w:pPr>
            <w:r>
              <w:rPr>
                <w:rFonts w:hint="eastAsia" w:ascii="宋体" w:hAnsi="宋体"/>
                <w:sz w:val="24"/>
                <w:szCs w:val="24"/>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947" w:type="dxa"/>
            <w:noWrap w:val="0"/>
            <w:vAlign w:val="center"/>
          </w:tcPr>
          <w:p>
            <w:pPr>
              <w:jc w:val="center"/>
              <w:rPr>
                <w:rFonts w:hint="eastAsia" w:ascii="宋体" w:hAnsi="宋体"/>
                <w:sz w:val="24"/>
                <w:szCs w:val="24"/>
              </w:rPr>
            </w:pPr>
            <w:r>
              <w:rPr>
                <w:rFonts w:hint="eastAsia" w:ascii="宋体" w:hAnsi="宋体"/>
                <w:sz w:val="24"/>
                <w:szCs w:val="24"/>
              </w:rPr>
              <w:t>8</w:t>
            </w:r>
          </w:p>
        </w:tc>
        <w:tc>
          <w:tcPr>
            <w:tcW w:w="6433" w:type="dxa"/>
            <w:noWrap w:val="0"/>
            <w:vAlign w:val="center"/>
          </w:tcPr>
          <w:p>
            <w:pPr>
              <w:autoSpaceDE/>
              <w:autoSpaceDN/>
              <w:adjustRightInd/>
              <w:rPr>
                <w:rFonts w:hint="eastAsia" w:ascii="宋体" w:hAnsi="宋体"/>
                <w:sz w:val="24"/>
                <w:szCs w:val="24"/>
              </w:rPr>
            </w:pPr>
            <w:r>
              <w:rPr>
                <w:rFonts w:hint="eastAsia" w:ascii="宋体" w:hAnsi="宋体"/>
                <w:sz w:val="24"/>
                <w:szCs w:val="24"/>
              </w:rPr>
              <w:t>虚假投诉、恶意投诉和不按程序、规定时间进行质疑投诉而影响采购工作正常进行或造成不良影响的</w:t>
            </w:r>
          </w:p>
        </w:tc>
        <w:tc>
          <w:tcPr>
            <w:tcW w:w="1326" w:type="dxa"/>
            <w:noWrap w:val="0"/>
            <w:vAlign w:val="center"/>
          </w:tcPr>
          <w:p>
            <w:pPr>
              <w:jc w:val="center"/>
              <w:rPr>
                <w:rFonts w:hint="eastAsia" w:ascii="宋体" w:hAnsi="宋体"/>
                <w:sz w:val="24"/>
                <w:szCs w:val="24"/>
              </w:rPr>
            </w:pPr>
            <w:r>
              <w:rPr>
                <w:rFonts w:hint="eastAsia" w:ascii="宋体" w:hAnsi="宋体"/>
                <w:sz w:val="24"/>
                <w:szCs w:val="24"/>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947" w:type="dxa"/>
            <w:noWrap w:val="0"/>
            <w:vAlign w:val="center"/>
          </w:tcPr>
          <w:p>
            <w:pPr>
              <w:jc w:val="center"/>
              <w:rPr>
                <w:rFonts w:hint="eastAsia" w:ascii="宋体" w:hAnsi="宋体"/>
                <w:sz w:val="24"/>
                <w:szCs w:val="24"/>
              </w:rPr>
            </w:pPr>
            <w:r>
              <w:rPr>
                <w:rFonts w:hint="eastAsia" w:ascii="宋体" w:hAnsi="宋体"/>
                <w:sz w:val="24"/>
                <w:szCs w:val="24"/>
              </w:rPr>
              <w:t>9</w:t>
            </w:r>
          </w:p>
        </w:tc>
        <w:tc>
          <w:tcPr>
            <w:tcW w:w="6433" w:type="dxa"/>
            <w:noWrap w:val="0"/>
            <w:vAlign w:val="center"/>
          </w:tcPr>
          <w:p>
            <w:pPr>
              <w:autoSpaceDE/>
              <w:autoSpaceDN/>
              <w:adjustRightInd/>
              <w:rPr>
                <w:rFonts w:hint="eastAsia" w:ascii="宋体" w:hAnsi="宋体"/>
                <w:sz w:val="24"/>
                <w:szCs w:val="24"/>
              </w:rPr>
            </w:pPr>
            <w:r>
              <w:rPr>
                <w:rFonts w:hint="eastAsia" w:ascii="宋体" w:hAnsi="宋体"/>
                <w:sz w:val="24"/>
                <w:szCs w:val="24"/>
              </w:rPr>
              <w:t>不按照与采购人订立的合同履行义务（包括提供标的、售后服务、技术支持等），严重违反合同规定和廉政合同要求的</w:t>
            </w:r>
          </w:p>
        </w:tc>
        <w:tc>
          <w:tcPr>
            <w:tcW w:w="1326" w:type="dxa"/>
            <w:noWrap w:val="0"/>
            <w:vAlign w:val="center"/>
          </w:tcPr>
          <w:p>
            <w:pPr>
              <w:jc w:val="center"/>
              <w:rPr>
                <w:rFonts w:hint="eastAsia" w:ascii="宋体" w:hAnsi="宋体"/>
                <w:sz w:val="24"/>
                <w:szCs w:val="24"/>
              </w:rPr>
            </w:pPr>
            <w:r>
              <w:rPr>
                <w:rFonts w:hint="eastAsia" w:ascii="宋体" w:hAnsi="宋体"/>
                <w:sz w:val="24"/>
                <w:szCs w:val="24"/>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947" w:type="dxa"/>
            <w:noWrap w:val="0"/>
            <w:vAlign w:val="center"/>
          </w:tcPr>
          <w:p>
            <w:pPr>
              <w:jc w:val="center"/>
              <w:rPr>
                <w:rFonts w:hint="eastAsia" w:ascii="宋体" w:hAnsi="宋体"/>
                <w:sz w:val="24"/>
                <w:szCs w:val="24"/>
              </w:rPr>
            </w:pPr>
            <w:r>
              <w:rPr>
                <w:rFonts w:hint="eastAsia" w:ascii="宋体" w:hAnsi="宋体"/>
                <w:sz w:val="24"/>
                <w:szCs w:val="24"/>
              </w:rPr>
              <w:t>10</w:t>
            </w:r>
          </w:p>
        </w:tc>
        <w:tc>
          <w:tcPr>
            <w:tcW w:w="6433" w:type="dxa"/>
            <w:noWrap w:val="0"/>
            <w:vAlign w:val="center"/>
          </w:tcPr>
          <w:p>
            <w:pPr>
              <w:autoSpaceDE/>
              <w:autoSpaceDN/>
              <w:adjustRightInd/>
              <w:rPr>
                <w:rFonts w:hint="eastAsia" w:ascii="宋体" w:hAnsi="宋体"/>
                <w:sz w:val="24"/>
                <w:szCs w:val="24"/>
              </w:rPr>
            </w:pPr>
            <w:r>
              <w:rPr>
                <w:rFonts w:hint="eastAsia" w:ascii="宋体" w:hAnsi="宋体"/>
                <w:sz w:val="24"/>
                <w:szCs w:val="24"/>
              </w:rPr>
              <w:t>项目负责人不到位，或擅自变换项目负责人，或不认真履行职责造成采购人损失的</w:t>
            </w:r>
          </w:p>
        </w:tc>
        <w:tc>
          <w:tcPr>
            <w:tcW w:w="1326" w:type="dxa"/>
            <w:noWrap w:val="0"/>
            <w:vAlign w:val="center"/>
          </w:tcPr>
          <w:p>
            <w:pPr>
              <w:jc w:val="center"/>
              <w:rPr>
                <w:rFonts w:hint="eastAsia" w:ascii="宋体" w:hAnsi="宋体"/>
                <w:sz w:val="24"/>
                <w:szCs w:val="24"/>
              </w:rPr>
            </w:pPr>
            <w:r>
              <w:rPr>
                <w:rFonts w:hint="eastAsia" w:ascii="宋体" w:hAnsi="宋体"/>
                <w:sz w:val="24"/>
                <w:szCs w:val="24"/>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947" w:type="dxa"/>
            <w:noWrap w:val="0"/>
            <w:vAlign w:val="center"/>
          </w:tcPr>
          <w:p>
            <w:pPr>
              <w:jc w:val="center"/>
              <w:rPr>
                <w:rFonts w:hint="eastAsia" w:ascii="宋体" w:hAnsi="宋体"/>
                <w:sz w:val="24"/>
                <w:szCs w:val="24"/>
              </w:rPr>
            </w:pPr>
            <w:r>
              <w:rPr>
                <w:rFonts w:hint="eastAsia" w:ascii="宋体" w:hAnsi="宋体"/>
                <w:sz w:val="24"/>
                <w:szCs w:val="24"/>
              </w:rPr>
              <w:t>11</w:t>
            </w:r>
          </w:p>
        </w:tc>
        <w:tc>
          <w:tcPr>
            <w:tcW w:w="6433" w:type="dxa"/>
            <w:noWrap w:val="0"/>
            <w:vAlign w:val="center"/>
          </w:tcPr>
          <w:p>
            <w:pPr>
              <w:autoSpaceDE/>
              <w:autoSpaceDN/>
              <w:adjustRightInd/>
              <w:rPr>
                <w:rFonts w:hint="eastAsia" w:ascii="宋体" w:hAnsi="宋体"/>
                <w:sz w:val="24"/>
                <w:szCs w:val="24"/>
              </w:rPr>
            </w:pPr>
            <w:r>
              <w:rPr>
                <w:rFonts w:hint="eastAsia" w:ascii="宋体" w:hAnsi="宋体"/>
                <w:sz w:val="24"/>
                <w:szCs w:val="24"/>
              </w:rPr>
              <w:t>发生经营状况重大变化以及重要担保、重大合同纠纷或诉讼、信用等级和资质变化等可能影响履约能力的重大事项，未及时向市公共资源交易中心提供书面报告，因而造成采购人损失的</w:t>
            </w:r>
          </w:p>
        </w:tc>
        <w:tc>
          <w:tcPr>
            <w:tcW w:w="1326" w:type="dxa"/>
            <w:noWrap w:val="0"/>
            <w:vAlign w:val="center"/>
          </w:tcPr>
          <w:p>
            <w:pPr>
              <w:jc w:val="center"/>
              <w:rPr>
                <w:rFonts w:hint="eastAsia" w:ascii="宋体" w:hAnsi="宋体"/>
                <w:sz w:val="24"/>
                <w:szCs w:val="24"/>
              </w:rPr>
            </w:pPr>
            <w:r>
              <w:rPr>
                <w:rFonts w:hint="eastAsia" w:ascii="宋体" w:hAnsi="宋体"/>
                <w:sz w:val="24"/>
                <w:szCs w:val="24"/>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947" w:type="dxa"/>
            <w:noWrap w:val="0"/>
            <w:vAlign w:val="center"/>
          </w:tcPr>
          <w:p>
            <w:pPr>
              <w:jc w:val="center"/>
              <w:rPr>
                <w:rFonts w:hint="eastAsia" w:ascii="宋体" w:hAnsi="宋体"/>
                <w:sz w:val="24"/>
                <w:szCs w:val="24"/>
              </w:rPr>
            </w:pPr>
            <w:r>
              <w:rPr>
                <w:rFonts w:hint="eastAsia" w:ascii="宋体" w:hAnsi="宋体"/>
                <w:sz w:val="24"/>
                <w:szCs w:val="24"/>
              </w:rPr>
              <w:t>12</w:t>
            </w:r>
          </w:p>
        </w:tc>
        <w:tc>
          <w:tcPr>
            <w:tcW w:w="6433" w:type="dxa"/>
            <w:noWrap w:val="0"/>
            <w:vAlign w:val="center"/>
          </w:tcPr>
          <w:p>
            <w:pPr>
              <w:autoSpaceDE/>
              <w:autoSpaceDN/>
              <w:adjustRightInd/>
              <w:rPr>
                <w:rFonts w:hint="eastAsia" w:ascii="宋体" w:hAnsi="宋体"/>
                <w:sz w:val="24"/>
                <w:szCs w:val="24"/>
              </w:rPr>
            </w:pPr>
            <w:r>
              <w:rPr>
                <w:rFonts w:hint="eastAsia" w:ascii="宋体" w:hAnsi="宋体"/>
                <w:sz w:val="24"/>
                <w:szCs w:val="24"/>
              </w:rPr>
              <w:t>与采购人、其他供应商或者采购代理机构相互串通的</w:t>
            </w:r>
          </w:p>
        </w:tc>
        <w:tc>
          <w:tcPr>
            <w:tcW w:w="1326" w:type="dxa"/>
            <w:noWrap w:val="0"/>
            <w:vAlign w:val="center"/>
          </w:tcPr>
          <w:p>
            <w:pPr>
              <w:jc w:val="center"/>
              <w:rPr>
                <w:rFonts w:hint="eastAsia" w:ascii="宋体" w:hAnsi="宋体"/>
                <w:sz w:val="24"/>
                <w:szCs w:val="24"/>
              </w:rPr>
            </w:pPr>
            <w:r>
              <w:rPr>
                <w:rFonts w:hint="eastAsia" w:ascii="宋体" w:hAnsi="宋体"/>
                <w:sz w:val="24"/>
                <w:szCs w:val="24"/>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947" w:type="dxa"/>
            <w:noWrap w:val="0"/>
            <w:vAlign w:val="center"/>
          </w:tcPr>
          <w:p>
            <w:pPr>
              <w:jc w:val="center"/>
              <w:rPr>
                <w:rFonts w:hint="eastAsia" w:ascii="宋体" w:hAnsi="宋体"/>
                <w:sz w:val="24"/>
                <w:szCs w:val="24"/>
              </w:rPr>
            </w:pPr>
            <w:r>
              <w:rPr>
                <w:rFonts w:hint="eastAsia" w:ascii="宋体" w:hAnsi="宋体"/>
                <w:sz w:val="24"/>
                <w:szCs w:val="24"/>
              </w:rPr>
              <w:t>13</w:t>
            </w:r>
          </w:p>
        </w:tc>
        <w:tc>
          <w:tcPr>
            <w:tcW w:w="6433" w:type="dxa"/>
            <w:noWrap w:val="0"/>
            <w:vAlign w:val="center"/>
          </w:tcPr>
          <w:p>
            <w:pPr>
              <w:autoSpaceDE/>
              <w:autoSpaceDN/>
              <w:adjustRightInd/>
              <w:rPr>
                <w:rFonts w:hint="eastAsia" w:ascii="宋体" w:hAnsi="宋体"/>
                <w:sz w:val="24"/>
                <w:szCs w:val="24"/>
              </w:rPr>
            </w:pPr>
            <w:r>
              <w:rPr>
                <w:rFonts w:hint="eastAsia" w:ascii="宋体" w:hAnsi="宋体"/>
                <w:sz w:val="24"/>
                <w:szCs w:val="24"/>
              </w:rPr>
              <w:t>采取不正当手段排挤其他供应商，进行不公平竞争的</w:t>
            </w:r>
          </w:p>
        </w:tc>
        <w:tc>
          <w:tcPr>
            <w:tcW w:w="1326" w:type="dxa"/>
            <w:noWrap w:val="0"/>
            <w:vAlign w:val="center"/>
          </w:tcPr>
          <w:p>
            <w:pPr>
              <w:jc w:val="center"/>
              <w:rPr>
                <w:rFonts w:hint="eastAsia" w:ascii="宋体" w:hAnsi="宋体"/>
                <w:sz w:val="24"/>
                <w:szCs w:val="24"/>
              </w:rPr>
            </w:pPr>
            <w:r>
              <w:rPr>
                <w:rFonts w:hint="eastAsia" w:ascii="宋体" w:hAnsi="宋体"/>
                <w:sz w:val="24"/>
                <w:szCs w:val="24"/>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947" w:type="dxa"/>
            <w:noWrap w:val="0"/>
            <w:vAlign w:val="center"/>
          </w:tcPr>
          <w:p>
            <w:pPr>
              <w:jc w:val="center"/>
              <w:rPr>
                <w:rFonts w:hint="eastAsia" w:ascii="宋体" w:hAnsi="宋体"/>
                <w:sz w:val="24"/>
                <w:szCs w:val="24"/>
              </w:rPr>
            </w:pPr>
            <w:r>
              <w:rPr>
                <w:rFonts w:hint="eastAsia" w:ascii="宋体" w:hAnsi="宋体"/>
                <w:sz w:val="24"/>
                <w:szCs w:val="24"/>
              </w:rPr>
              <w:t>14</w:t>
            </w:r>
          </w:p>
        </w:tc>
        <w:tc>
          <w:tcPr>
            <w:tcW w:w="6433" w:type="dxa"/>
            <w:noWrap w:val="0"/>
            <w:vAlign w:val="center"/>
          </w:tcPr>
          <w:p>
            <w:pPr>
              <w:autoSpaceDE/>
              <w:autoSpaceDN/>
              <w:adjustRightInd/>
              <w:rPr>
                <w:rFonts w:hint="eastAsia" w:ascii="宋体" w:hAnsi="宋体"/>
                <w:sz w:val="24"/>
                <w:szCs w:val="24"/>
              </w:rPr>
            </w:pPr>
            <w:r>
              <w:rPr>
                <w:rFonts w:hint="eastAsia" w:ascii="宋体" w:hAnsi="宋体"/>
                <w:sz w:val="24"/>
                <w:szCs w:val="24"/>
              </w:rPr>
              <w:t>中标后与采购人另行订立背离合同实质内容的协议的</w:t>
            </w:r>
          </w:p>
        </w:tc>
        <w:tc>
          <w:tcPr>
            <w:tcW w:w="1326" w:type="dxa"/>
            <w:noWrap w:val="0"/>
            <w:vAlign w:val="center"/>
          </w:tcPr>
          <w:p>
            <w:pPr>
              <w:jc w:val="center"/>
              <w:rPr>
                <w:rFonts w:hint="eastAsia" w:ascii="宋体" w:hAnsi="宋体"/>
                <w:sz w:val="24"/>
                <w:szCs w:val="24"/>
              </w:rPr>
            </w:pPr>
            <w:r>
              <w:rPr>
                <w:rFonts w:hint="eastAsia" w:ascii="宋体" w:hAnsi="宋体"/>
                <w:sz w:val="24"/>
                <w:szCs w:val="24"/>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947" w:type="dxa"/>
            <w:noWrap w:val="0"/>
            <w:vAlign w:val="center"/>
          </w:tcPr>
          <w:p>
            <w:pPr>
              <w:jc w:val="center"/>
              <w:rPr>
                <w:rFonts w:hint="eastAsia" w:ascii="宋体" w:hAnsi="宋体"/>
                <w:sz w:val="24"/>
                <w:szCs w:val="24"/>
              </w:rPr>
            </w:pPr>
            <w:r>
              <w:rPr>
                <w:rFonts w:hint="eastAsia" w:ascii="宋体" w:hAnsi="宋体"/>
                <w:sz w:val="24"/>
                <w:szCs w:val="24"/>
              </w:rPr>
              <w:t>15</w:t>
            </w:r>
          </w:p>
        </w:tc>
        <w:tc>
          <w:tcPr>
            <w:tcW w:w="6433" w:type="dxa"/>
            <w:noWrap w:val="0"/>
            <w:vAlign w:val="center"/>
          </w:tcPr>
          <w:p>
            <w:pPr>
              <w:autoSpaceDE/>
              <w:autoSpaceDN/>
              <w:adjustRightInd/>
              <w:rPr>
                <w:rFonts w:hint="eastAsia" w:ascii="宋体" w:hAnsi="宋体"/>
                <w:sz w:val="24"/>
                <w:szCs w:val="24"/>
              </w:rPr>
            </w:pPr>
            <w:r>
              <w:rPr>
                <w:rFonts w:hint="eastAsia" w:ascii="宋体" w:hAnsi="宋体"/>
                <w:sz w:val="24"/>
                <w:szCs w:val="24"/>
              </w:rPr>
              <w:t>事先有承诺，而事后违反承诺内容的</w:t>
            </w:r>
          </w:p>
        </w:tc>
        <w:tc>
          <w:tcPr>
            <w:tcW w:w="1326" w:type="dxa"/>
            <w:noWrap w:val="0"/>
            <w:vAlign w:val="center"/>
          </w:tcPr>
          <w:p>
            <w:pPr>
              <w:jc w:val="center"/>
              <w:rPr>
                <w:rFonts w:hint="eastAsia" w:ascii="宋体" w:hAnsi="宋体"/>
                <w:sz w:val="24"/>
                <w:szCs w:val="24"/>
              </w:rPr>
            </w:pPr>
            <w:r>
              <w:rPr>
                <w:rFonts w:hint="eastAsia" w:ascii="宋体" w:hAnsi="宋体"/>
                <w:sz w:val="24"/>
                <w:szCs w:val="24"/>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947" w:type="dxa"/>
            <w:noWrap w:val="0"/>
            <w:vAlign w:val="center"/>
          </w:tcPr>
          <w:p>
            <w:pPr>
              <w:jc w:val="center"/>
              <w:rPr>
                <w:rFonts w:hint="eastAsia" w:ascii="宋体" w:hAnsi="宋体"/>
                <w:sz w:val="24"/>
                <w:szCs w:val="24"/>
              </w:rPr>
            </w:pPr>
            <w:r>
              <w:rPr>
                <w:rFonts w:hint="eastAsia" w:ascii="宋体" w:hAnsi="宋体"/>
                <w:sz w:val="24"/>
                <w:szCs w:val="24"/>
              </w:rPr>
              <w:t>16</w:t>
            </w:r>
          </w:p>
        </w:tc>
        <w:tc>
          <w:tcPr>
            <w:tcW w:w="6433" w:type="dxa"/>
            <w:noWrap w:val="0"/>
            <w:vAlign w:val="center"/>
          </w:tcPr>
          <w:p>
            <w:pPr>
              <w:autoSpaceDE/>
              <w:autoSpaceDN/>
              <w:adjustRightInd/>
              <w:rPr>
                <w:rFonts w:hint="eastAsia" w:ascii="宋体" w:hAnsi="宋体"/>
                <w:sz w:val="24"/>
                <w:szCs w:val="24"/>
              </w:rPr>
            </w:pPr>
            <w:r>
              <w:rPr>
                <w:rFonts w:hint="eastAsia" w:ascii="宋体" w:hAnsi="宋体"/>
                <w:sz w:val="24"/>
                <w:szCs w:val="24"/>
              </w:rPr>
              <w:t>将中标项目转包或违反规定进行分包的</w:t>
            </w:r>
          </w:p>
        </w:tc>
        <w:tc>
          <w:tcPr>
            <w:tcW w:w="1326" w:type="dxa"/>
            <w:noWrap w:val="0"/>
            <w:vAlign w:val="center"/>
          </w:tcPr>
          <w:p>
            <w:pPr>
              <w:jc w:val="center"/>
              <w:rPr>
                <w:rFonts w:hint="eastAsia" w:ascii="宋体" w:hAnsi="宋体"/>
                <w:sz w:val="24"/>
                <w:szCs w:val="24"/>
              </w:rPr>
            </w:pPr>
            <w:r>
              <w:rPr>
                <w:rFonts w:hint="eastAsia" w:ascii="宋体" w:hAnsi="宋体"/>
                <w:sz w:val="24"/>
                <w:szCs w:val="24"/>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947" w:type="dxa"/>
            <w:noWrap w:val="0"/>
            <w:vAlign w:val="center"/>
          </w:tcPr>
          <w:p>
            <w:pPr>
              <w:jc w:val="center"/>
              <w:rPr>
                <w:rFonts w:hint="eastAsia" w:ascii="宋体" w:hAnsi="宋体"/>
                <w:sz w:val="24"/>
                <w:szCs w:val="24"/>
              </w:rPr>
            </w:pPr>
            <w:r>
              <w:rPr>
                <w:rFonts w:hint="eastAsia" w:ascii="宋体" w:hAnsi="宋体"/>
                <w:sz w:val="24"/>
                <w:szCs w:val="24"/>
              </w:rPr>
              <w:t>17</w:t>
            </w:r>
          </w:p>
        </w:tc>
        <w:tc>
          <w:tcPr>
            <w:tcW w:w="6433" w:type="dxa"/>
            <w:noWrap w:val="0"/>
            <w:vAlign w:val="center"/>
          </w:tcPr>
          <w:p>
            <w:pPr>
              <w:autoSpaceDE/>
              <w:autoSpaceDN/>
              <w:adjustRightInd/>
              <w:rPr>
                <w:rFonts w:hint="eastAsia" w:ascii="宋体" w:hAnsi="宋体"/>
                <w:sz w:val="24"/>
                <w:szCs w:val="24"/>
              </w:rPr>
            </w:pPr>
            <w:r>
              <w:rPr>
                <w:rFonts w:hint="eastAsia" w:ascii="宋体" w:hAnsi="宋体"/>
                <w:sz w:val="24"/>
                <w:szCs w:val="24"/>
              </w:rPr>
              <w:t>以他人名义投标或允许他人以自己名义投标，或者以其他方式弄虚作假的</w:t>
            </w:r>
          </w:p>
        </w:tc>
        <w:tc>
          <w:tcPr>
            <w:tcW w:w="1326" w:type="dxa"/>
            <w:noWrap w:val="0"/>
            <w:vAlign w:val="center"/>
          </w:tcPr>
          <w:p>
            <w:pPr>
              <w:jc w:val="center"/>
              <w:rPr>
                <w:rFonts w:hint="eastAsia" w:ascii="宋体" w:hAnsi="宋体"/>
                <w:sz w:val="24"/>
                <w:szCs w:val="24"/>
              </w:rPr>
            </w:pPr>
            <w:r>
              <w:rPr>
                <w:rFonts w:hint="eastAsia" w:ascii="宋体" w:hAnsi="宋体"/>
                <w:sz w:val="24"/>
                <w:szCs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 w:hRule="atLeast"/>
        </w:trPr>
        <w:tc>
          <w:tcPr>
            <w:tcW w:w="947" w:type="dxa"/>
            <w:noWrap w:val="0"/>
            <w:vAlign w:val="center"/>
          </w:tcPr>
          <w:p>
            <w:pPr>
              <w:jc w:val="center"/>
              <w:rPr>
                <w:rFonts w:hint="eastAsia" w:ascii="宋体" w:hAnsi="宋体"/>
                <w:sz w:val="24"/>
                <w:szCs w:val="24"/>
              </w:rPr>
            </w:pPr>
            <w:r>
              <w:rPr>
                <w:rFonts w:hint="eastAsia" w:ascii="宋体" w:hAnsi="宋体"/>
                <w:sz w:val="24"/>
                <w:szCs w:val="24"/>
              </w:rPr>
              <w:t>18</w:t>
            </w:r>
          </w:p>
        </w:tc>
        <w:tc>
          <w:tcPr>
            <w:tcW w:w="6433" w:type="dxa"/>
            <w:noWrap w:val="0"/>
            <w:vAlign w:val="center"/>
          </w:tcPr>
          <w:p>
            <w:pPr>
              <w:autoSpaceDE/>
              <w:autoSpaceDN/>
              <w:adjustRightInd/>
              <w:rPr>
                <w:rFonts w:hint="eastAsia" w:ascii="宋体" w:hAnsi="宋体"/>
                <w:sz w:val="24"/>
                <w:szCs w:val="24"/>
              </w:rPr>
            </w:pPr>
            <w:r>
              <w:rPr>
                <w:rFonts w:hint="eastAsia" w:ascii="宋体" w:hAnsi="宋体"/>
                <w:sz w:val="24"/>
                <w:szCs w:val="24"/>
              </w:rPr>
              <w:t>未按照采购合同约定及时提供全部货物的，或无故拖延工期的</w:t>
            </w:r>
          </w:p>
        </w:tc>
        <w:tc>
          <w:tcPr>
            <w:tcW w:w="1326" w:type="dxa"/>
            <w:noWrap w:val="0"/>
            <w:vAlign w:val="center"/>
          </w:tcPr>
          <w:p>
            <w:pPr>
              <w:jc w:val="center"/>
              <w:rPr>
                <w:rFonts w:hint="eastAsia" w:ascii="宋体" w:hAnsi="宋体"/>
                <w:sz w:val="24"/>
                <w:szCs w:val="24"/>
              </w:rPr>
            </w:pPr>
            <w:r>
              <w:rPr>
                <w:rFonts w:hint="eastAsia" w:ascii="宋体" w:hAnsi="宋体"/>
                <w:sz w:val="24"/>
                <w:szCs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947" w:type="dxa"/>
            <w:noWrap w:val="0"/>
            <w:vAlign w:val="center"/>
          </w:tcPr>
          <w:p>
            <w:pPr>
              <w:jc w:val="center"/>
              <w:rPr>
                <w:rFonts w:hint="eastAsia" w:ascii="宋体" w:hAnsi="宋体"/>
                <w:sz w:val="24"/>
                <w:szCs w:val="24"/>
              </w:rPr>
            </w:pPr>
            <w:r>
              <w:rPr>
                <w:rFonts w:hint="eastAsia" w:ascii="宋体" w:hAnsi="宋体"/>
                <w:sz w:val="24"/>
                <w:szCs w:val="24"/>
              </w:rPr>
              <w:t>19</w:t>
            </w:r>
          </w:p>
        </w:tc>
        <w:tc>
          <w:tcPr>
            <w:tcW w:w="6433" w:type="dxa"/>
            <w:noWrap w:val="0"/>
            <w:vAlign w:val="center"/>
          </w:tcPr>
          <w:p>
            <w:pPr>
              <w:autoSpaceDE/>
              <w:autoSpaceDN/>
              <w:adjustRightInd/>
              <w:rPr>
                <w:rFonts w:hint="eastAsia" w:ascii="宋体" w:hAnsi="宋体"/>
                <w:sz w:val="24"/>
                <w:szCs w:val="24"/>
              </w:rPr>
            </w:pPr>
            <w:r>
              <w:rPr>
                <w:rFonts w:hint="eastAsia" w:ascii="宋体" w:hAnsi="宋体"/>
                <w:sz w:val="24"/>
                <w:szCs w:val="24"/>
              </w:rPr>
              <w:t>无故不提供中标要求的型号、配置等产品的，或有拆换、调换、截留产品零部件和备品备件的行为的</w:t>
            </w:r>
          </w:p>
        </w:tc>
        <w:tc>
          <w:tcPr>
            <w:tcW w:w="1326" w:type="dxa"/>
            <w:noWrap w:val="0"/>
            <w:vAlign w:val="center"/>
          </w:tcPr>
          <w:p>
            <w:pPr>
              <w:jc w:val="center"/>
              <w:rPr>
                <w:rFonts w:hint="eastAsia" w:ascii="宋体" w:hAnsi="宋体"/>
                <w:sz w:val="24"/>
                <w:szCs w:val="24"/>
              </w:rPr>
            </w:pPr>
            <w:r>
              <w:rPr>
                <w:rFonts w:hint="eastAsia" w:ascii="宋体" w:hAnsi="宋体"/>
                <w:sz w:val="24"/>
                <w:szCs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947" w:type="dxa"/>
            <w:noWrap w:val="0"/>
            <w:vAlign w:val="center"/>
          </w:tcPr>
          <w:p>
            <w:pPr>
              <w:jc w:val="center"/>
              <w:rPr>
                <w:rFonts w:hint="eastAsia" w:ascii="宋体" w:hAnsi="宋体"/>
                <w:sz w:val="24"/>
                <w:szCs w:val="24"/>
              </w:rPr>
            </w:pPr>
            <w:r>
              <w:rPr>
                <w:rFonts w:hint="eastAsia" w:ascii="宋体" w:hAnsi="宋体"/>
                <w:sz w:val="24"/>
                <w:szCs w:val="24"/>
              </w:rPr>
              <w:t>20</w:t>
            </w:r>
          </w:p>
        </w:tc>
        <w:tc>
          <w:tcPr>
            <w:tcW w:w="6433" w:type="dxa"/>
            <w:noWrap w:val="0"/>
            <w:vAlign w:val="center"/>
          </w:tcPr>
          <w:p>
            <w:pPr>
              <w:autoSpaceDE/>
              <w:autoSpaceDN/>
              <w:adjustRightInd/>
              <w:rPr>
                <w:rFonts w:hint="eastAsia" w:ascii="宋体" w:hAnsi="宋体"/>
                <w:sz w:val="24"/>
                <w:szCs w:val="24"/>
              </w:rPr>
            </w:pPr>
            <w:r>
              <w:rPr>
                <w:rFonts w:hint="eastAsia" w:ascii="宋体" w:hAnsi="宋体"/>
                <w:sz w:val="24"/>
                <w:szCs w:val="24"/>
              </w:rPr>
              <w:t>为获取自身利益，向采购人及其他有利害关系的单位或个人提供不正当利益的</w:t>
            </w:r>
          </w:p>
        </w:tc>
        <w:tc>
          <w:tcPr>
            <w:tcW w:w="1326" w:type="dxa"/>
            <w:noWrap w:val="0"/>
            <w:vAlign w:val="center"/>
          </w:tcPr>
          <w:p>
            <w:pPr>
              <w:jc w:val="center"/>
              <w:rPr>
                <w:rFonts w:hint="eastAsia" w:ascii="宋体" w:hAnsi="宋体"/>
                <w:sz w:val="24"/>
                <w:szCs w:val="24"/>
              </w:rPr>
            </w:pPr>
            <w:r>
              <w:rPr>
                <w:rFonts w:hint="eastAsia" w:ascii="宋体" w:hAnsi="宋体"/>
                <w:sz w:val="24"/>
                <w:szCs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947" w:type="dxa"/>
            <w:noWrap w:val="0"/>
            <w:vAlign w:val="center"/>
          </w:tcPr>
          <w:p>
            <w:pPr>
              <w:jc w:val="center"/>
              <w:rPr>
                <w:rFonts w:hint="eastAsia" w:ascii="宋体" w:hAnsi="宋体"/>
                <w:sz w:val="24"/>
                <w:szCs w:val="24"/>
              </w:rPr>
            </w:pPr>
            <w:r>
              <w:rPr>
                <w:rFonts w:hint="eastAsia" w:ascii="宋体" w:hAnsi="宋体"/>
                <w:sz w:val="24"/>
                <w:szCs w:val="24"/>
              </w:rPr>
              <w:t>21</w:t>
            </w:r>
          </w:p>
        </w:tc>
        <w:tc>
          <w:tcPr>
            <w:tcW w:w="6433" w:type="dxa"/>
            <w:noWrap w:val="0"/>
            <w:vAlign w:val="center"/>
          </w:tcPr>
          <w:p>
            <w:pPr>
              <w:autoSpaceDE/>
              <w:autoSpaceDN/>
              <w:adjustRightInd/>
              <w:rPr>
                <w:rFonts w:hint="eastAsia" w:ascii="宋体" w:hAnsi="宋体"/>
                <w:sz w:val="24"/>
                <w:szCs w:val="24"/>
              </w:rPr>
            </w:pPr>
            <w:r>
              <w:rPr>
                <w:rFonts w:hint="eastAsia" w:ascii="宋体" w:hAnsi="宋体"/>
                <w:sz w:val="24"/>
                <w:szCs w:val="24"/>
              </w:rPr>
              <w:t>提供假冒伪劣产品或走私物品的</w:t>
            </w:r>
          </w:p>
        </w:tc>
        <w:tc>
          <w:tcPr>
            <w:tcW w:w="1326" w:type="dxa"/>
            <w:noWrap w:val="0"/>
            <w:vAlign w:val="center"/>
          </w:tcPr>
          <w:p>
            <w:pPr>
              <w:jc w:val="center"/>
              <w:rPr>
                <w:rFonts w:hint="eastAsia" w:ascii="宋体" w:hAnsi="宋体"/>
                <w:sz w:val="24"/>
                <w:szCs w:val="24"/>
              </w:rPr>
            </w:pPr>
            <w:r>
              <w:rPr>
                <w:rFonts w:hint="eastAsia" w:ascii="宋体" w:hAnsi="宋体"/>
                <w:sz w:val="24"/>
                <w:szCs w:val="24"/>
              </w:rPr>
              <w:t>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947" w:type="dxa"/>
            <w:noWrap w:val="0"/>
            <w:vAlign w:val="center"/>
          </w:tcPr>
          <w:p>
            <w:pPr>
              <w:jc w:val="center"/>
              <w:rPr>
                <w:rFonts w:hint="eastAsia" w:ascii="宋体" w:hAnsi="宋体"/>
                <w:sz w:val="24"/>
                <w:szCs w:val="24"/>
              </w:rPr>
            </w:pPr>
            <w:r>
              <w:rPr>
                <w:rFonts w:hint="eastAsia" w:ascii="宋体" w:hAnsi="宋体"/>
                <w:sz w:val="24"/>
                <w:szCs w:val="24"/>
              </w:rPr>
              <w:t>22</w:t>
            </w:r>
          </w:p>
        </w:tc>
        <w:tc>
          <w:tcPr>
            <w:tcW w:w="6433" w:type="dxa"/>
            <w:noWrap w:val="0"/>
            <w:vAlign w:val="center"/>
          </w:tcPr>
          <w:p>
            <w:pPr>
              <w:autoSpaceDE/>
              <w:autoSpaceDN/>
              <w:adjustRightInd/>
              <w:rPr>
                <w:rFonts w:hint="eastAsia" w:ascii="宋体" w:hAnsi="宋体"/>
                <w:sz w:val="24"/>
                <w:szCs w:val="24"/>
              </w:rPr>
            </w:pPr>
            <w:r>
              <w:rPr>
                <w:rFonts w:hint="eastAsia" w:ascii="宋体" w:hAnsi="宋体"/>
                <w:sz w:val="24"/>
                <w:szCs w:val="24"/>
              </w:rPr>
              <w:t>擅自变更、中止、终止或解除政府采购合同的</w:t>
            </w:r>
          </w:p>
        </w:tc>
        <w:tc>
          <w:tcPr>
            <w:tcW w:w="1326" w:type="dxa"/>
            <w:noWrap w:val="0"/>
            <w:vAlign w:val="center"/>
          </w:tcPr>
          <w:p>
            <w:pPr>
              <w:jc w:val="center"/>
              <w:rPr>
                <w:rFonts w:hint="eastAsia" w:ascii="宋体" w:hAnsi="宋体"/>
                <w:sz w:val="24"/>
                <w:szCs w:val="24"/>
              </w:rPr>
            </w:pPr>
            <w:r>
              <w:rPr>
                <w:rFonts w:hint="eastAsia" w:ascii="宋体" w:hAnsi="宋体"/>
                <w:sz w:val="24"/>
                <w:szCs w:val="24"/>
              </w:rPr>
              <w:t>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947" w:type="dxa"/>
            <w:noWrap w:val="0"/>
            <w:vAlign w:val="center"/>
          </w:tcPr>
          <w:p>
            <w:pPr>
              <w:jc w:val="center"/>
              <w:rPr>
                <w:rFonts w:hint="eastAsia" w:ascii="宋体" w:hAnsi="宋体"/>
                <w:sz w:val="24"/>
                <w:szCs w:val="24"/>
              </w:rPr>
            </w:pPr>
            <w:r>
              <w:rPr>
                <w:rFonts w:hint="eastAsia" w:ascii="宋体" w:hAnsi="宋体"/>
                <w:sz w:val="24"/>
                <w:szCs w:val="24"/>
              </w:rPr>
              <w:t>23</w:t>
            </w:r>
          </w:p>
        </w:tc>
        <w:tc>
          <w:tcPr>
            <w:tcW w:w="6433" w:type="dxa"/>
            <w:noWrap w:val="0"/>
            <w:vAlign w:val="center"/>
          </w:tcPr>
          <w:p>
            <w:pPr>
              <w:autoSpaceDE/>
              <w:autoSpaceDN/>
              <w:adjustRightInd/>
              <w:rPr>
                <w:rFonts w:hint="eastAsia" w:ascii="宋体" w:hAnsi="宋体"/>
                <w:sz w:val="24"/>
                <w:szCs w:val="24"/>
              </w:rPr>
            </w:pPr>
            <w:r>
              <w:rPr>
                <w:rFonts w:hint="eastAsia" w:ascii="宋体" w:hAnsi="宋体"/>
                <w:sz w:val="24"/>
                <w:szCs w:val="24"/>
              </w:rPr>
              <w:t>向有关人员行贿或者提供不正当利益谋取中标的</w:t>
            </w:r>
          </w:p>
        </w:tc>
        <w:tc>
          <w:tcPr>
            <w:tcW w:w="1326" w:type="dxa"/>
            <w:noWrap w:val="0"/>
            <w:vAlign w:val="center"/>
          </w:tcPr>
          <w:p>
            <w:pPr>
              <w:jc w:val="center"/>
              <w:rPr>
                <w:rFonts w:hint="eastAsia" w:ascii="宋体" w:hAnsi="宋体"/>
                <w:sz w:val="24"/>
                <w:szCs w:val="24"/>
              </w:rPr>
            </w:pPr>
            <w:r>
              <w:rPr>
                <w:rFonts w:hint="eastAsia" w:ascii="宋体" w:hAnsi="宋体"/>
                <w:sz w:val="24"/>
                <w:szCs w:val="24"/>
              </w:rPr>
              <w:t>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947" w:type="dxa"/>
            <w:noWrap w:val="0"/>
            <w:vAlign w:val="center"/>
          </w:tcPr>
          <w:p>
            <w:pPr>
              <w:jc w:val="center"/>
              <w:rPr>
                <w:rFonts w:hint="eastAsia" w:ascii="宋体" w:hAnsi="宋体"/>
                <w:sz w:val="24"/>
                <w:szCs w:val="24"/>
              </w:rPr>
            </w:pPr>
            <w:r>
              <w:rPr>
                <w:rFonts w:hint="eastAsia" w:ascii="宋体" w:hAnsi="宋体"/>
                <w:sz w:val="24"/>
                <w:szCs w:val="24"/>
              </w:rPr>
              <w:t>24</w:t>
            </w:r>
          </w:p>
        </w:tc>
        <w:tc>
          <w:tcPr>
            <w:tcW w:w="6433" w:type="dxa"/>
            <w:noWrap w:val="0"/>
            <w:vAlign w:val="center"/>
          </w:tcPr>
          <w:p>
            <w:pPr>
              <w:autoSpaceDE/>
              <w:autoSpaceDN/>
              <w:adjustRightInd/>
              <w:rPr>
                <w:rFonts w:hint="eastAsia" w:ascii="宋体" w:hAnsi="宋体"/>
                <w:sz w:val="24"/>
                <w:szCs w:val="24"/>
              </w:rPr>
            </w:pPr>
            <w:r>
              <w:rPr>
                <w:rFonts w:hint="eastAsia" w:ascii="宋体" w:hAnsi="宋体"/>
                <w:sz w:val="24"/>
                <w:szCs w:val="24"/>
              </w:rPr>
              <w:t>在政府采购活动期间，对管理机构、采购人、其他投标人、评标专家、中介机构等政府采购相关机构和人员，采取诋毁、诽谤、胁迫、暴力等不正当手段的</w:t>
            </w:r>
          </w:p>
        </w:tc>
        <w:tc>
          <w:tcPr>
            <w:tcW w:w="1326" w:type="dxa"/>
            <w:noWrap w:val="0"/>
            <w:vAlign w:val="center"/>
          </w:tcPr>
          <w:p>
            <w:pPr>
              <w:jc w:val="center"/>
              <w:rPr>
                <w:rFonts w:hint="eastAsia" w:ascii="宋体" w:hAnsi="宋体"/>
                <w:sz w:val="24"/>
                <w:szCs w:val="24"/>
              </w:rPr>
            </w:pPr>
            <w:r>
              <w:rPr>
                <w:rFonts w:hint="eastAsia" w:ascii="宋体" w:hAnsi="宋体"/>
                <w:sz w:val="24"/>
                <w:szCs w:val="24"/>
              </w:rPr>
              <w:t>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947" w:type="dxa"/>
            <w:noWrap w:val="0"/>
            <w:vAlign w:val="center"/>
          </w:tcPr>
          <w:p>
            <w:pPr>
              <w:jc w:val="center"/>
              <w:rPr>
                <w:rFonts w:hint="eastAsia" w:ascii="宋体" w:hAnsi="宋体"/>
                <w:sz w:val="24"/>
                <w:szCs w:val="24"/>
              </w:rPr>
            </w:pPr>
            <w:r>
              <w:rPr>
                <w:rFonts w:hint="eastAsia" w:ascii="宋体" w:hAnsi="宋体"/>
                <w:sz w:val="24"/>
                <w:szCs w:val="24"/>
              </w:rPr>
              <w:t>25</w:t>
            </w:r>
          </w:p>
        </w:tc>
        <w:tc>
          <w:tcPr>
            <w:tcW w:w="6433" w:type="dxa"/>
            <w:noWrap w:val="0"/>
            <w:vAlign w:val="center"/>
          </w:tcPr>
          <w:p>
            <w:pPr>
              <w:autoSpaceDE/>
              <w:autoSpaceDN/>
              <w:adjustRightInd/>
              <w:rPr>
                <w:rFonts w:hint="eastAsia" w:ascii="宋体" w:hAnsi="宋体"/>
                <w:sz w:val="24"/>
                <w:szCs w:val="24"/>
              </w:rPr>
            </w:pPr>
            <w:r>
              <w:rPr>
                <w:rFonts w:hint="eastAsia" w:ascii="宋体" w:hAnsi="宋体"/>
                <w:sz w:val="24"/>
                <w:szCs w:val="24"/>
              </w:rPr>
              <w:t>诸暨市公共资源交易管理委员会办公室认定的其他违反政府采购管理的行为</w:t>
            </w:r>
          </w:p>
        </w:tc>
        <w:tc>
          <w:tcPr>
            <w:tcW w:w="1326" w:type="dxa"/>
            <w:noWrap w:val="0"/>
            <w:vAlign w:val="center"/>
          </w:tcPr>
          <w:p>
            <w:pPr>
              <w:jc w:val="center"/>
              <w:rPr>
                <w:rFonts w:hint="eastAsia" w:ascii="宋体" w:hAnsi="宋体"/>
                <w:sz w:val="24"/>
                <w:szCs w:val="24"/>
              </w:rPr>
            </w:pPr>
            <w:r>
              <w:rPr>
                <w:rFonts w:hint="eastAsia" w:ascii="宋体" w:hAnsi="宋体"/>
                <w:sz w:val="24"/>
                <w:szCs w:val="24"/>
              </w:rPr>
              <w:t>酌情处理</w:t>
            </w:r>
          </w:p>
        </w:tc>
      </w:tr>
    </w:tbl>
    <w:p>
      <w:pPr>
        <w:pStyle w:val="3"/>
        <w:spacing w:before="0" w:after="0" w:line="240" w:lineRule="auto"/>
        <w:jc w:val="center"/>
        <w:rPr>
          <w:rFonts w:hint="eastAsia" w:ascii="宋体" w:hAnsi="宋体" w:eastAsia="宋体"/>
          <w:sz w:val="28"/>
          <w:szCs w:val="28"/>
        </w:rPr>
      </w:pPr>
      <w:r>
        <w:rPr>
          <w:rFonts w:hint="eastAsia" w:ascii="宋体" w:hAnsi="宋体" w:eastAsia="宋体"/>
          <w:sz w:val="28"/>
          <w:szCs w:val="28"/>
        </w:rPr>
        <w:t>八、监督和解释</w:t>
      </w:r>
      <w:bookmarkEnd w:id="7"/>
    </w:p>
    <w:p>
      <w:pPr>
        <w:ind w:firstLine="482" w:firstLineChars="200"/>
        <w:rPr>
          <w:rFonts w:hint="eastAsia" w:ascii="宋体" w:hAnsi="宋体"/>
          <w:sz w:val="24"/>
        </w:rPr>
      </w:pPr>
      <w:r>
        <w:rPr>
          <w:rFonts w:ascii="宋体" w:hAnsi="宋体"/>
          <w:b/>
          <w:bCs/>
          <w:sz w:val="24"/>
        </w:rPr>
        <w:t>2</w:t>
      </w:r>
      <w:r>
        <w:rPr>
          <w:rFonts w:hint="eastAsia" w:ascii="宋体" w:hAnsi="宋体"/>
          <w:b/>
          <w:bCs/>
          <w:sz w:val="24"/>
        </w:rPr>
        <w:t>6.</w:t>
      </w:r>
      <w:r>
        <w:rPr>
          <w:rFonts w:hint="eastAsia" w:ascii="宋体" w:hAnsi="宋体"/>
          <w:sz w:val="24"/>
        </w:rPr>
        <w:t>本采购文件的解释权属于采购单位和诸暨广和工程管理服务有限公司。</w:t>
      </w:r>
    </w:p>
    <w:p>
      <w:pPr>
        <w:spacing w:line="360" w:lineRule="exact"/>
        <w:ind w:firstLine="480" w:firstLineChars="200"/>
        <w:rPr>
          <w:rFonts w:hint="eastAsia" w:ascii="宋体" w:hAnsi="宋体"/>
          <w:sz w:val="24"/>
        </w:rPr>
      </w:pPr>
    </w:p>
    <w:p>
      <w:pPr>
        <w:spacing w:line="360" w:lineRule="exact"/>
        <w:ind w:firstLine="480" w:firstLineChars="200"/>
        <w:rPr>
          <w:rFonts w:hint="eastAsia" w:ascii="宋体" w:hAnsi="宋体"/>
          <w:sz w:val="24"/>
        </w:rPr>
      </w:pPr>
    </w:p>
    <w:p>
      <w:pPr>
        <w:spacing w:line="360" w:lineRule="exact"/>
        <w:ind w:firstLine="480" w:firstLineChars="200"/>
        <w:rPr>
          <w:rFonts w:hint="eastAsia" w:ascii="宋体" w:hAnsi="宋体"/>
          <w:sz w:val="24"/>
        </w:rPr>
      </w:pPr>
    </w:p>
    <w:p>
      <w:pPr>
        <w:spacing w:line="360" w:lineRule="exact"/>
        <w:rPr>
          <w:rFonts w:hint="eastAsia" w:ascii="宋体" w:hAnsi="宋体"/>
          <w:sz w:val="24"/>
        </w:rPr>
      </w:pPr>
    </w:p>
    <w:p>
      <w:pPr>
        <w:spacing w:line="360" w:lineRule="exact"/>
        <w:rPr>
          <w:rFonts w:hint="eastAsia" w:ascii="宋体" w:hAnsi="宋体"/>
          <w:sz w:val="24"/>
        </w:rPr>
      </w:pPr>
    </w:p>
    <w:p>
      <w:pPr>
        <w:pStyle w:val="2"/>
        <w:numPr>
          <w:ilvl w:val="0"/>
          <w:numId w:val="3"/>
        </w:numPr>
        <w:spacing w:line="500" w:lineRule="exact"/>
        <w:jc w:val="center"/>
        <w:rPr>
          <w:rFonts w:hint="eastAsia"/>
        </w:rPr>
      </w:pPr>
      <w:r>
        <w:rPr>
          <w:rFonts w:hint="eastAsia"/>
        </w:rPr>
        <w:t xml:space="preserve">  </w:t>
      </w:r>
      <w:bookmarkStart w:id="8" w:name="_Toc125344512"/>
      <w:r>
        <w:rPr>
          <w:rFonts w:hint="eastAsia"/>
        </w:rPr>
        <w:t>采购需求</w:t>
      </w:r>
      <w:bookmarkEnd w:id="8"/>
      <w:r>
        <w:rPr>
          <w:rFonts w:hint="eastAsia"/>
        </w:rPr>
        <w:t xml:space="preserve"> </w:t>
      </w:r>
    </w:p>
    <w:p>
      <w:pPr>
        <w:pStyle w:val="3"/>
        <w:spacing w:line="500" w:lineRule="exact"/>
        <w:jc w:val="left"/>
        <w:rPr>
          <w:rFonts w:hint="eastAsia" w:ascii="黑体" w:hAnsi="黑体"/>
          <w:b w:val="0"/>
        </w:rPr>
      </w:pPr>
      <w:r>
        <w:rPr>
          <w:rFonts w:hint="eastAsia" w:ascii="黑体" w:hAnsi="黑体"/>
          <w:b w:val="0"/>
        </w:rPr>
        <w:t>一、民政救助一站式结算系统升级改造项目</w:t>
      </w:r>
    </w:p>
    <w:p>
      <w:pPr>
        <w:spacing w:before="0" w:after="0"/>
        <w:outlineLvl w:val="2"/>
        <w:rPr>
          <w:rFonts w:hint="eastAsia" w:ascii="宋体" w:hAnsi="宋体"/>
          <w:b/>
          <w:bCs/>
          <w:sz w:val="24"/>
          <w:szCs w:val="24"/>
        </w:rPr>
      </w:pPr>
      <w:bookmarkStart w:id="9" w:name="_Toc15474729"/>
      <w:bookmarkStart w:id="10" w:name="_Toc360361828"/>
      <w:bookmarkStart w:id="11" w:name="_Toc221954969"/>
      <w:r>
        <w:rPr>
          <w:rFonts w:hint="eastAsia" w:ascii="宋体" w:hAnsi="宋体"/>
          <w:b/>
          <w:bCs/>
          <w:sz w:val="24"/>
          <w:szCs w:val="24"/>
        </w:rPr>
        <w:t>1、项目背景</w:t>
      </w:r>
      <w:bookmarkEnd w:id="9"/>
      <w:bookmarkEnd w:id="10"/>
    </w:p>
    <w:p>
      <w:pPr>
        <w:ind w:firstLine="480" w:firstLineChars="200"/>
        <w:rPr>
          <w:rFonts w:hint="eastAsia"/>
          <w:sz w:val="24"/>
          <w:szCs w:val="24"/>
        </w:rPr>
      </w:pPr>
      <w:r>
        <w:rPr>
          <w:rFonts w:hint="eastAsia"/>
          <w:sz w:val="24"/>
          <w:szCs w:val="24"/>
        </w:rPr>
        <w:t>为方便符合条件的救助对象在定点医疗机构治疗，开展医疗救助即时结报工作，进一步提供医疗救助效率，方便困难群众及时得到医疗救助，缓解困难群众医疗费垫付难的问题，诸暨市医疗保障局启动了民政救助一站式结算系统升级改造项目。</w:t>
      </w:r>
    </w:p>
    <w:p>
      <w:pPr>
        <w:ind w:firstLine="480" w:firstLineChars="200"/>
        <w:rPr>
          <w:rFonts w:hint="eastAsia"/>
          <w:sz w:val="24"/>
          <w:szCs w:val="24"/>
        </w:rPr>
      </w:pPr>
      <w:r>
        <w:rPr>
          <w:rFonts w:hint="eastAsia"/>
          <w:sz w:val="24"/>
          <w:szCs w:val="24"/>
        </w:rPr>
        <w:t>项目将根据《诸暨市人民政府办公室关于进一步完善城乡困难人员大病医疗救助制度的意见》（诸政办发〔2013〕154号）等文件对于大病医疗救助对象标准和大病医疗救助标准等要求，对诸暨市现有的医保系统进行改造调整，对原有的待遇结算报销模式以及医保交易进行更新改造，实现诸暨市民政救助一站式结算。</w:t>
      </w:r>
    </w:p>
    <w:bookmarkEnd w:id="11"/>
    <w:p>
      <w:pPr>
        <w:spacing w:before="0" w:after="0"/>
        <w:outlineLvl w:val="2"/>
        <w:rPr>
          <w:rFonts w:hint="eastAsia" w:ascii="宋体" w:hAnsi="宋体" w:cs="Times New Roman"/>
          <w:b/>
          <w:bCs/>
          <w:sz w:val="24"/>
          <w:szCs w:val="24"/>
        </w:rPr>
      </w:pPr>
      <w:bookmarkStart w:id="12" w:name="_Toc360361829"/>
      <w:bookmarkStart w:id="13" w:name="_Toc15474730"/>
      <w:r>
        <w:rPr>
          <w:rFonts w:hint="eastAsia" w:ascii="宋体" w:hAnsi="宋体" w:cs="Times New Roman"/>
          <w:b/>
          <w:bCs/>
          <w:sz w:val="24"/>
          <w:szCs w:val="24"/>
        </w:rPr>
        <w:t>2、建设</w:t>
      </w:r>
      <w:bookmarkEnd w:id="12"/>
      <w:r>
        <w:rPr>
          <w:rFonts w:hint="eastAsia" w:ascii="宋体" w:hAnsi="宋体" w:cs="Times New Roman"/>
          <w:b/>
          <w:bCs/>
          <w:sz w:val="24"/>
          <w:szCs w:val="24"/>
        </w:rPr>
        <w:t>目标</w:t>
      </w:r>
      <w:bookmarkEnd w:id="13"/>
    </w:p>
    <w:p>
      <w:pPr>
        <w:ind w:firstLine="480" w:firstLineChars="200"/>
        <w:rPr>
          <w:rFonts w:hint="eastAsia"/>
          <w:sz w:val="24"/>
          <w:szCs w:val="24"/>
        </w:rPr>
      </w:pPr>
      <w:bookmarkStart w:id="14" w:name="_Toc24307"/>
      <w:r>
        <w:rPr>
          <w:rFonts w:hint="eastAsia"/>
          <w:sz w:val="24"/>
          <w:szCs w:val="24"/>
        </w:rPr>
        <w:t>本次系统建设将本着让各类救助对象的医疗费用结算按先医保后补助再医疗救助的顺序结算基本医疗、大病医疗保险补助和医疗救助费用的建设思路。实现医疗救助“一卡通”，简化报销程序。</w:t>
      </w:r>
    </w:p>
    <w:p>
      <w:pPr>
        <w:spacing w:before="0" w:after="0"/>
        <w:outlineLvl w:val="2"/>
        <w:rPr>
          <w:rFonts w:hint="eastAsia" w:ascii="宋体" w:hAnsi="宋体" w:cs="Times New Roman"/>
          <w:b/>
          <w:bCs/>
          <w:sz w:val="24"/>
          <w:szCs w:val="24"/>
        </w:rPr>
      </w:pPr>
      <w:bookmarkStart w:id="15" w:name="_Toc360361830"/>
      <w:bookmarkStart w:id="16" w:name="_Toc15474731"/>
      <w:r>
        <w:rPr>
          <w:rFonts w:hint="eastAsia" w:ascii="宋体" w:hAnsi="宋体" w:cs="Times New Roman"/>
          <w:b/>
          <w:bCs/>
          <w:sz w:val="24"/>
          <w:szCs w:val="24"/>
        </w:rPr>
        <w:t>3、总体设计</w:t>
      </w:r>
      <w:bookmarkEnd w:id="15"/>
      <w:bookmarkEnd w:id="16"/>
    </w:p>
    <w:p>
      <w:pPr>
        <w:ind w:firstLine="480" w:firstLineChars="200"/>
        <w:rPr>
          <w:rFonts w:hint="eastAsia"/>
          <w:sz w:val="24"/>
          <w:szCs w:val="24"/>
        </w:rPr>
      </w:pPr>
      <w:r>
        <w:rPr>
          <w:rFonts w:hint="eastAsia"/>
          <w:sz w:val="24"/>
          <w:szCs w:val="24"/>
        </w:rPr>
        <w:t>本次诸暨市医保改造将围绕民政救助为核心业务展开相应各模块的增加和接口更改，其中医保系统需要增加人员查询、特困救助、报销结算、异地就医救助、月结算、月结算审核及相应的月结算报表开发等内容。同时为了使民政救助人员可以在医疗机构享受“一站式”服务，医保系统还需要对与HIS端的接口交易进行改造，增加相应的民政救助交易类型等。</w:t>
      </w:r>
    </w:p>
    <w:p>
      <w:pPr>
        <w:spacing w:before="0" w:after="0"/>
        <w:outlineLvl w:val="2"/>
        <w:rPr>
          <w:rFonts w:hint="eastAsia" w:ascii="宋体" w:hAnsi="宋体" w:cs="Times New Roman"/>
          <w:b/>
          <w:bCs/>
          <w:sz w:val="24"/>
          <w:szCs w:val="24"/>
        </w:rPr>
      </w:pPr>
      <w:bookmarkStart w:id="17" w:name="_Toc453946102"/>
      <w:bookmarkStart w:id="18" w:name="_Toc360361834"/>
      <w:bookmarkStart w:id="19" w:name="_Toc15474732"/>
      <w:r>
        <w:rPr>
          <w:rFonts w:hint="eastAsia" w:ascii="宋体" w:hAnsi="宋体" w:cs="Times New Roman"/>
          <w:b/>
          <w:bCs/>
          <w:sz w:val="24"/>
          <w:szCs w:val="24"/>
        </w:rPr>
        <w:t>4、建设内容</w:t>
      </w:r>
      <w:bookmarkEnd w:id="14"/>
      <w:bookmarkEnd w:id="17"/>
      <w:bookmarkEnd w:id="18"/>
      <w:bookmarkEnd w:id="19"/>
    </w:p>
    <w:p>
      <w:pPr>
        <w:ind w:firstLine="480" w:firstLineChars="200"/>
        <w:rPr>
          <w:rFonts w:hint="eastAsia"/>
          <w:sz w:val="24"/>
          <w:szCs w:val="24"/>
        </w:rPr>
      </w:pPr>
      <w:r>
        <w:rPr>
          <w:rFonts w:hint="eastAsia"/>
          <w:sz w:val="24"/>
          <w:szCs w:val="24"/>
        </w:rPr>
        <w:t>医保系统改造项目将基于医保数据库和医保实时交易平台，围绕本次建设目标和建设原则，结合政策文件的要求开展建设。</w:t>
      </w:r>
    </w:p>
    <w:p>
      <w:pPr>
        <w:ind w:firstLine="480" w:firstLineChars="200"/>
        <w:rPr>
          <w:rFonts w:hint="eastAsia"/>
          <w:sz w:val="24"/>
          <w:szCs w:val="24"/>
        </w:rPr>
      </w:pPr>
      <w:r>
        <w:rPr>
          <w:rFonts w:hint="eastAsia"/>
          <w:sz w:val="24"/>
          <w:szCs w:val="24"/>
        </w:rPr>
        <w:t>本项目的建设内容包括：</w:t>
      </w:r>
    </w:p>
    <w:p>
      <w:pPr>
        <w:spacing w:before="0" w:after="0"/>
        <w:ind w:firstLine="480" w:firstLineChars="200"/>
        <w:rPr>
          <w:rFonts w:hint="eastAsia"/>
          <w:sz w:val="24"/>
          <w:szCs w:val="24"/>
        </w:rPr>
      </w:pPr>
      <w:bookmarkStart w:id="20" w:name="_Toc15474733"/>
      <w:bookmarkStart w:id="21" w:name="_Toc453946103"/>
      <w:bookmarkStart w:id="22" w:name="_Toc360361835"/>
      <w:r>
        <w:rPr>
          <w:rFonts w:hint="eastAsia"/>
          <w:sz w:val="24"/>
          <w:szCs w:val="24"/>
        </w:rPr>
        <w:t>（1</w:t>
      </w:r>
      <w:r>
        <w:rPr>
          <w:rFonts w:hint="eastAsia"/>
          <w:b w:val="0"/>
          <w:sz w:val="24"/>
          <w:szCs w:val="24"/>
        </w:rPr>
        <w:t>）</w:t>
      </w:r>
      <w:r>
        <w:rPr>
          <w:rFonts w:hint="eastAsia"/>
          <w:sz w:val="24"/>
          <w:szCs w:val="24"/>
        </w:rPr>
        <w:t>新增模块</w:t>
      </w:r>
      <w:bookmarkEnd w:id="20"/>
      <w:bookmarkEnd w:id="21"/>
      <w:bookmarkEnd w:id="22"/>
    </w:p>
    <w:p>
      <w:pPr>
        <w:ind w:firstLine="480" w:firstLineChars="200"/>
        <w:rPr>
          <w:rFonts w:hint="eastAsia"/>
          <w:sz w:val="24"/>
          <w:szCs w:val="24"/>
        </w:rPr>
      </w:pPr>
      <w:r>
        <w:rPr>
          <w:rFonts w:hint="eastAsia"/>
          <w:sz w:val="24"/>
          <w:szCs w:val="24"/>
        </w:rPr>
        <w:t>人员查询模块：提供民政局查询人员性质，人员历史报销记录，人员报销累计信息等。</w:t>
      </w:r>
    </w:p>
    <w:p>
      <w:pPr>
        <w:ind w:firstLine="480" w:firstLineChars="200"/>
        <w:rPr>
          <w:rFonts w:hint="eastAsia"/>
          <w:sz w:val="24"/>
          <w:szCs w:val="24"/>
        </w:rPr>
      </w:pPr>
      <w:r>
        <w:rPr>
          <w:rFonts w:hint="eastAsia"/>
          <w:sz w:val="24"/>
          <w:szCs w:val="24"/>
        </w:rPr>
        <w:t>特困人员登记模块：登记、取消、修改人员性质以及开始结束时间。</w:t>
      </w:r>
    </w:p>
    <w:p>
      <w:pPr>
        <w:ind w:firstLine="480" w:firstLineChars="200"/>
        <w:rPr>
          <w:rFonts w:hint="eastAsia"/>
          <w:sz w:val="24"/>
          <w:szCs w:val="24"/>
        </w:rPr>
      </w:pPr>
      <w:r>
        <w:rPr>
          <w:rFonts w:hint="eastAsia"/>
          <w:sz w:val="24"/>
          <w:szCs w:val="24"/>
        </w:rPr>
        <w:t>报销结算模块：当报销人员是异地就医，需要通过中心报销来计算报销费用。此模块只能报销特困人员费用，与医保中心报销模块不一样，医保中心报销模块不会去计算民政救助金额。</w:t>
      </w:r>
    </w:p>
    <w:p>
      <w:pPr>
        <w:ind w:firstLine="480" w:firstLineChars="200"/>
        <w:rPr>
          <w:rFonts w:hint="eastAsia"/>
          <w:sz w:val="24"/>
          <w:szCs w:val="24"/>
        </w:rPr>
      </w:pPr>
      <w:r>
        <w:rPr>
          <w:rFonts w:hint="eastAsia"/>
          <w:sz w:val="24"/>
          <w:szCs w:val="24"/>
        </w:rPr>
        <w:t>异地就医报销救助结算：当报销人员是异地就医刷卡时，业务人员选择已经报销明细，进行二次报销。</w:t>
      </w:r>
    </w:p>
    <w:p>
      <w:pPr>
        <w:ind w:firstLine="480" w:firstLineChars="200"/>
        <w:rPr>
          <w:rFonts w:hint="eastAsia"/>
          <w:sz w:val="24"/>
          <w:szCs w:val="24"/>
        </w:rPr>
      </w:pPr>
      <w:r>
        <w:rPr>
          <w:rFonts w:hint="eastAsia"/>
          <w:sz w:val="24"/>
          <w:szCs w:val="24"/>
        </w:rPr>
        <w:t>月结算:结算每月实时刷卡应付给医疗机构的金额。</w:t>
      </w:r>
    </w:p>
    <w:p>
      <w:pPr>
        <w:ind w:firstLine="480" w:firstLineChars="200"/>
        <w:rPr>
          <w:rFonts w:hint="eastAsia"/>
          <w:sz w:val="24"/>
          <w:szCs w:val="24"/>
        </w:rPr>
      </w:pPr>
      <w:r>
        <w:rPr>
          <w:rFonts w:hint="eastAsia"/>
          <w:sz w:val="24"/>
          <w:szCs w:val="24"/>
        </w:rPr>
        <w:t>月结算审核:审核月结算金额后进入拨付流程。</w:t>
      </w:r>
    </w:p>
    <w:p>
      <w:pPr>
        <w:spacing w:before="0" w:after="0"/>
        <w:ind w:firstLine="480" w:firstLineChars="200"/>
        <w:rPr>
          <w:rFonts w:hint="eastAsia" w:ascii="Times New Roman" w:hAnsi="Times New Roman" w:eastAsia="宋体" w:cs="Times New Roman"/>
          <w:sz w:val="24"/>
          <w:szCs w:val="24"/>
        </w:rPr>
      </w:pPr>
      <w:bookmarkStart w:id="23" w:name="_Toc453946104"/>
      <w:bookmarkStart w:id="24" w:name="_Toc360361836"/>
      <w:bookmarkStart w:id="25" w:name="_Toc15474734"/>
      <w:r>
        <w:rPr>
          <w:rFonts w:hint="eastAsia"/>
          <w:sz w:val="24"/>
          <w:szCs w:val="24"/>
        </w:rPr>
        <w:t>（2）</w:t>
      </w:r>
      <w:r>
        <w:rPr>
          <w:rFonts w:hint="eastAsia" w:ascii="Times New Roman" w:hAnsi="Times New Roman" w:eastAsia="宋体" w:cs="Times New Roman"/>
          <w:sz w:val="24"/>
          <w:szCs w:val="24"/>
        </w:rPr>
        <w:t>报表统计</w:t>
      </w:r>
      <w:bookmarkEnd w:id="23"/>
      <w:bookmarkEnd w:id="24"/>
      <w:bookmarkEnd w:id="25"/>
    </w:p>
    <w:p>
      <w:pPr>
        <w:ind w:firstLine="480" w:firstLineChars="200"/>
        <w:rPr>
          <w:rFonts w:hint="eastAsia"/>
          <w:sz w:val="24"/>
          <w:szCs w:val="24"/>
        </w:rPr>
      </w:pPr>
      <w:r>
        <w:rPr>
          <w:rFonts w:hint="eastAsia"/>
          <w:sz w:val="24"/>
          <w:szCs w:val="24"/>
        </w:rPr>
        <w:t>月结算报表：根据业务需求和民政救助需求，本次诸暨医保系统需要增加月结算报表功能，以便更直观地进行月度数据汇总和展现。</w:t>
      </w:r>
    </w:p>
    <w:p>
      <w:pPr>
        <w:ind w:firstLine="480" w:firstLineChars="200"/>
        <w:rPr>
          <w:rFonts w:hint="eastAsia"/>
          <w:sz w:val="24"/>
          <w:szCs w:val="24"/>
        </w:rPr>
      </w:pPr>
      <w:r>
        <w:rPr>
          <w:rFonts w:hint="eastAsia"/>
          <w:sz w:val="24"/>
          <w:szCs w:val="24"/>
        </w:rPr>
        <w:t>月结算汇总表：根据业务需求，本次同时需要在诸暨医保系统增加月结算汇总表功能，更加充分利用信息化手段实现直观地数据展现。</w:t>
      </w:r>
    </w:p>
    <w:p>
      <w:pPr>
        <w:spacing w:before="0" w:after="0"/>
        <w:ind w:firstLine="480" w:firstLineChars="200"/>
        <w:rPr>
          <w:rFonts w:hint="eastAsia" w:ascii="Times New Roman" w:hAnsi="Times New Roman" w:eastAsia="宋体" w:cs="Times New Roman"/>
          <w:sz w:val="24"/>
          <w:szCs w:val="24"/>
        </w:rPr>
      </w:pPr>
      <w:bookmarkStart w:id="26" w:name="_Toc453946106"/>
      <w:bookmarkStart w:id="27" w:name="_Toc15474735"/>
      <w:bookmarkStart w:id="28" w:name="_Toc360361837"/>
      <w:bookmarkStart w:id="29" w:name="_Toc453946105"/>
      <w:r>
        <w:rPr>
          <w:rFonts w:hint="eastAsia" w:ascii="Times New Roman" w:hAnsi="Times New Roman" w:eastAsia="宋体" w:cs="Times New Roman"/>
          <w:sz w:val="24"/>
          <w:szCs w:val="24"/>
        </w:rPr>
        <w:t>（3）前台模块修改</w:t>
      </w:r>
      <w:bookmarkEnd w:id="26"/>
      <w:bookmarkEnd w:id="27"/>
      <w:bookmarkEnd w:id="28"/>
    </w:p>
    <w:p>
      <w:pPr>
        <w:ind w:firstLine="480" w:firstLineChars="200"/>
        <w:rPr>
          <w:rFonts w:hint="eastAsia"/>
          <w:sz w:val="24"/>
          <w:szCs w:val="24"/>
        </w:rPr>
      </w:pPr>
      <w:r>
        <w:rPr>
          <w:rFonts w:hint="eastAsia"/>
          <w:sz w:val="24"/>
          <w:szCs w:val="24"/>
        </w:rPr>
        <w:t>单边账处理模块修改，不允许民政救助系统的对相关报销数据作废。</w:t>
      </w:r>
    </w:p>
    <w:p>
      <w:pPr>
        <w:spacing w:before="0" w:after="0"/>
        <w:ind w:firstLine="480" w:firstLineChars="200"/>
        <w:rPr>
          <w:rFonts w:hint="eastAsia" w:ascii="Times New Roman" w:hAnsi="Times New Roman" w:eastAsia="宋体" w:cs="Times New Roman"/>
          <w:sz w:val="24"/>
          <w:szCs w:val="24"/>
        </w:rPr>
      </w:pPr>
      <w:bookmarkStart w:id="30" w:name="_Toc360361838"/>
      <w:bookmarkStart w:id="31" w:name="_Toc15474736"/>
      <w:r>
        <w:rPr>
          <w:rFonts w:hint="eastAsia" w:ascii="Times New Roman" w:hAnsi="Times New Roman" w:eastAsia="宋体" w:cs="Times New Roman"/>
          <w:sz w:val="24"/>
          <w:szCs w:val="24"/>
        </w:rPr>
        <w:t>（4）中心算法修改</w:t>
      </w:r>
      <w:bookmarkEnd w:id="29"/>
      <w:bookmarkEnd w:id="30"/>
      <w:bookmarkEnd w:id="31"/>
    </w:p>
    <w:p>
      <w:pPr>
        <w:spacing w:before="0" w:after="0"/>
        <w:ind w:firstLine="480" w:firstLineChars="200"/>
        <w:rPr>
          <w:rFonts w:hint="eastAsia"/>
          <w:sz w:val="24"/>
          <w:szCs w:val="24"/>
        </w:rPr>
      </w:pPr>
      <w:bookmarkStart w:id="32" w:name="_Toc15474737"/>
      <w:r>
        <w:rPr>
          <w:rFonts w:hint="eastAsia"/>
          <w:sz w:val="24"/>
          <w:szCs w:val="24"/>
        </w:rPr>
        <w:t>A、民政救助算法原则</w:t>
      </w:r>
      <w:bookmarkEnd w:id="32"/>
    </w:p>
    <w:p>
      <w:pPr>
        <w:ind w:firstLine="480" w:firstLineChars="200"/>
        <w:rPr>
          <w:rFonts w:hint="eastAsia"/>
          <w:sz w:val="24"/>
          <w:szCs w:val="24"/>
        </w:rPr>
      </w:pPr>
      <w:r>
        <w:rPr>
          <w:rFonts w:hint="eastAsia"/>
          <w:sz w:val="24"/>
          <w:szCs w:val="24"/>
        </w:rPr>
        <w:t>各类救助对象在定点医疗机构发生的符合《浙江省基本医疗保险、工伤保险和生育保险药品目录》、《浙江省基本医疗保险医疗服务项目目录》范围内城镇职工医疗保险、城乡居民基本医疗保险的医疗费用，在扣除基本医疗保险报销、城乡居民大病保险报销之后，对其个人自负部分纳入救助范围，不限病种。</w:t>
      </w:r>
    </w:p>
    <w:p>
      <w:pPr>
        <w:spacing w:before="0" w:after="0"/>
        <w:ind w:firstLine="480" w:firstLineChars="200"/>
        <w:rPr>
          <w:rFonts w:hint="eastAsia" w:ascii="Times New Roman" w:hAnsi="Times New Roman" w:cs="Times New Roman"/>
          <w:sz w:val="24"/>
          <w:szCs w:val="24"/>
        </w:rPr>
      </w:pPr>
      <w:bookmarkStart w:id="33" w:name="_Toc15474738"/>
      <w:r>
        <w:rPr>
          <w:rFonts w:hint="eastAsia" w:ascii="Times New Roman" w:hAnsi="Times New Roman" w:cs="Times New Roman"/>
          <w:sz w:val="24"/>
          <w:szCs w:val="24"/>
        </w:rPr>
        <w:t>B、民政救助算法内容</w:t>
      </w:r>
      <w:bookmarkEnd w:id="33"/>
    </w:p>
    <w:p>
      <w:pPr>
        <w:ind w:firstLine="480" w:firstLineChars="200"/>
        <w:rPr>
          <w:rFonts w:hint="eastAsia"/>
          <w:sz w:val="24"/>
          <w:szCs w:val="24"/>
        </w:rPr>
      </w:pPr>
      <w:r>
        <w:rPr>
          <w:rFonts w:hint="eastAsia"/>
          <w:sz w:val="24"/>
          <w:szCs w:val="24"/>
        </w:rPr>
        <w:t>1.门诊、住院、特病算法修改，增加民政救助算法。</w:t>
      </w:r>
    </w:p>
    <w:p>
      <w:pPr>
        <w:ind w:firstLine="480" w:firstLineChars="200"/>
        <w:rPr>
          <w:rFonts w:hint="eastAsia"/>
          <w:sz w:val="24"/>
          <w:szCs w:val="24"/>
        </w:rPr>
      </w:pPr>
      <w:r>
        <w:rPr>
          <w:rFonts w:hint="eastAsia"/>
          <w:sz w:val="24"/>
          <w:szCs w:val="24"/>
        </w:rPr>
        <w:t>2.修改数据库表结构，增加人员民政救助字段、民政救助支付累计字段。</w:t>
      </w:r>
    </w:p>
    <w:p>
      <w:pPr>
        <w:ind w:firstLine="480" w:firstLineChars="200"/>
        <w:rPr>
          <w:rFonts w:hint="eastAsia"/>
          <w:sz w:val="24"/>
          <w:szCs w:val="24"/>
        </w:rPr>
      </w:pPr>
      <w:r>
        <w:rPr>
          <w:rFonts w:hint="eastAsia"/>
          <w:sz w:val="24"/>
          <w:szCs w:val="24"/>
        </w:rPr>
        <w:t>3.计算时增加判断，在不更改中心报销金额各项数值的情况下，记录民政救助金额。</w:t>
      </w:r>
    </w:p>
    <w:p>
      <w:pPr>
        <w:spacing w:before="0" w:after="0"/>
        <w:ind w:firstLine="480" w:firstLineChars="200"/>
        <w:rPr>
          <w:rFonts w:hint="eastAsia" w:ascii="Times New Roman" w:hAnsi="Times New Roman" w:eastAsia="宋体" w:cs="Times New Roman"/>
          <w:sz w:val="24"/>
          <w:szCs w:val="24"/>
        </w:rPr>
      </w:pPr>
      <w:bookmarkStart w:id="34" w:name="_Toc453946107"/>
      <w:bookmarkStart w:id="35" w:name="_Toc360361839"/>
      <w:bookmarkStart w:id="36" w:name="_Toc15474739"/>
      <w:r>
        <w:rPr>
          <w:rFonts w:hint="eastAsia"/>
          <w:b w:val="0"/>
          <w:sz w:val="24"/>
          <w:szCs w:val="24"/>
        </w:rPr>
        <w:t>（</w:t>
      </w:r>
      <w:r>
        <w:rPr>
          <w:rFonts w:hint="eastAsia" w:ascii="Times New Roman" w:hAnsi="Times New Roman" w:eastAsia="宋体" w:cs="Times New Roman"/>
          <w:sz w:val="24"/>
          <w:szCs w:val="24"/>
        </w:rPr>
        <w:t>5</w:t>
      </w:r>
      <w:r>
        <w:rPr>
          <w:rFonts w:hint="eastAsia"/>
          <w:sz w:val="24"/>
          <w:szCs w:val="24"/>
        </w:rPr>
        <w:t>）</w:t>
      </w:r>
      <w:r>
        <w:rPr>
          <w:rFonts w:hint="eastAsia" w:ascii="Times New Roman" w:hAnsi="Times New Roman" w:eastAsia="宋体" w:cs="Times New Roman"/>
          <w:sz w:val="24"/>
          <w:szCs w:val="24"/>
        </w:rPr>
        <w:t>医保交易修改</w:t>
      </w:r>
      <w:bookmarkEnd w:id="34"/>
      <w:bookmarkEnd w:id="35"/>
      <w:bookmarkEnd w:id="36"/>
    </w:p>
    <w:p>
      <w:pPr>
        <w:ind w:firstLine="480" w:firstLineChars="200"/>
        <w:rPr>
          <w:rFonts w:hint="eastAsia"/>
          <w:sz w:val="24"/>
          <w:szCs w:val="24"/>
        </w:rPr>
      </w:pPr>
      <w:r>
        <w:rPr>
          <w:rFonts w:hint="eastAsia"/>
          <w:sz w:val="24"/>
          <w:szCs w:val="24"/>
        </w:rPr>
        <w:t>由于医疗机构与医保系统的人员信息、参保状态、民政救助人群信息及医保报销、民政救助报销等数据需要实时交互，此次诸暨市在医保系统新增民政救助模块，根据业务需求，需要同时对医保交易进行更改，以确保数据读取准确，业务操作能够实时正常完成。</w:t>
      </w:r>
    </w:p>
    <w:p>
      <w:pPr>
        <w:ind w:firstLine="480" w:firstLineChars="200"/>
        <w:rPr>
          <w:rFonts w:hint="eastAsia"/>
          <w:sz w:val="24"/>
          <w:szCs w:val="24"/>
        </w:rPr>
      </w:pPr>
      <w:r>
        <w:rPr>
          <w:rFonts w:hint="eastAsia"/>
          <w:sz w:val="24"/>
          <w:szCs w:val="24"/>
        </w:rPr>
        <w:t>本次涉及到的交易包括读卡、结算、退费、作废、对账等</w:t>
      </w:r>
      <w:bookmarkStart w:id="37" w:name="_Toc453946108"/>
      <w:bookmarkStart w:id="38" w:name="_Toc396833233"/>
      <w:r>
        <w:rPr>
          <w:rFonts w:hint="eastAsia"/>
          <w:sz w:val="24"/>
          <w:szCs w:val="24"/>
        </w:rPr>
        <w:t>。</w:t>
      </w:r>
    </w:p>
    <w:p>
      <w:pPr>
        <w:spacing w:before="0" w:after="0"/>
        <w:ind w:firstLine="480" w:firstLineChars="200"/>
        <w:rPr>
          <w:rFonts w:hint="eastAsia" w:ascii="Times New Roman" w:hAnsi="Times New Roman" w:eastAsia="宋体" w:cs="Times New Roman"/>
          <w:sz w:val="24"/>
          <w:szCs w:val="24"/>
        </w:rPr>
      </w:pPr>
      <w:bookmarkStart w:id="39" w:name="_Toc15474740"/>
      <w:r>
        <w:rPr>
          <w:rFonts w:hint="eastAsia"/>
          <w:sz w:val="24"/>
          <w:szCs w:val="24"/>
        </w:rPr>
        <w:t>（</w:t>
      </w:r>
      <w:r>
        <w:rPr>
          <w:rFonts w:hint="eastAsia"/>
          <w:b w:val="0"/>
          <w:sz w:val="24"/>
          <w:szCs w:val="24"/>
        </w:rPr>
        <w:t>6）</w:t>
      </w:r>
      <w:bookmarkEnd w:id="39"/>
      <w:bookmarkStart w:id="40" w:name="_Toc15474750"/>
      <w:bookmarkStart w:id="41" w:name="_Toc360361840"/>
      <w:r>
        <w:rPr>
          <w:rFonts w:hint="eastAsia" w:ascii="Times New Roman" w:hAnsi="Times New Roman" w:eastAsia="宋体" w:cs="Times New Roman"/>
          <w:sz w:val="24"/>
          <w:szCs w:val="24"/>
        </w:rPr>
        <w:t>联调测试</w:t>
      </w:r>
      <w:bookmarkEnd w:id="37"/>
      <w:bookmarkEnd w:id="40"/>
      <w:bookmarkEnd w:id="41"/>
    </w:p>
    <w:bookmarkEnd w:id="38"/>
    <w:p>
      <w:pPr>
        <w:ind w:firstLine="480" w:firstLineChars="200"/>
        <w:rPr>
          <w:rFonts w:hint="eastAsia"/>
          <w:sz w:val="24"/>
          <w:szCs w:val="24"/>
        </w:rPr>
      </w:pPr>
      <w:r>
        <w:rPr>
          <w:rFonts w:hint="eastAsia"/>
          <w:sz w:val="24"/>
          <w:szCs w:val="24"/>
        </w:rPr>
        <w:t>与HIS端接口主要功能是实现诸暨市参保人员及民政救助人员可以在医疗机构享受到医保报销或民政救助报销的“一站式”服务。</w:t>
      </w:r>
    </w:p>
    <w:p>
      <w:pPr>
        <w:ind w:firstLine="480" w:firstLineChars="200"/>
        <w:rPr>
          <w:rFonts w:hint="eastAsia"/>
          <w:sz w:val="24"/>
          <w:szCs w:val="24"/>
        </w:rPr>
      </w:pPr>
      <w:r>
        <w:rPr>
          <w:rFonts w:hint="eastAsia"/>
          <w:sz w:val="24"/>
          <w:szCs w:val="24"/>
        </w:rPr>
        <w:t>本次新增模块后需要重新与HIS端接口做联调测试，以确保数据传输无误性，保证后期业务精确完整。</w:t>
      </w:r>
    </w:p>
    <w:p>
      <w:pPr>
        <w:pStyle w:val="3"/>
        <w:spacing w:line="500" w:lineRule="exact"/>
        <w:jc w:val="left"/>
        <w:rPr>
          <w:rFonts w:hint="eastAsia" w:ascii="黑体" w:hAnsi="黑体" w:eastAsia="黑体"/>
          <w:b w:val="0"/>
          <w:sz w:val="32"/>
          <w:szCs w:val="32"/>
        </w:rPr>
      </w:pPr>
      <w:r>
        <w:rPr>
          <w:rFonts w:hint="eastAsia" w:ascii="黑体" w:hAnsi="黑体" w:eastAsia="黑体"/>
          <w:b w:val="0"/>
          <w:sz w:val="32"/>
          <w:szCs w:val="32"/>
        </w:rPr>
        <w:t>二、医保业务管理系统适应性改造</w:t>
      </w:r>
    </w:p>
    <w:p>
      <w:pPr>
        <w:outlineLvl w:val="2"/>
        <w:rPr>
          <w:rFonts w:ascii="宋体" w:hAnsi="宋体"/>
          <w:b/>
          <w:bCs/>
          <w:sz w:val="24"/>
          <w:szCs w:val="24"/>
        </w:rPr>
      </w:pPr>
      <w:bookmarkStart w:id="42" w:name="_Toc2176084"/>
      <w:r>
        <w:rPr>
          <w:rFonts w:hint="eastAsia" w:ascii="宋体" w:hAnsi="宋体"/>
          <w:b/>
          <w:bCs/>
          <w:sz w:val="24"/>
          <w:szCs w:val="24"/>
        </w:rPr>
        <w:t>1、项目概述</w:t>
      </w:r>
      <w:bookmarkEnd w:id="42"/>
    </w:p>
    <w:p>
      <w:pPr>
        <w:ind w:firstLine="480" w:firstLineChars="200"/>
        <w:rPr>
          <w:rFonts w:ascii="宋体" w:hAnsi="宋体"/>
          <w:sz w:val="24"/>
          <w:szCs w:val="24"/>
        </w:rPr>
      </w:pPr>
      <w:r>
        <w:rPr>
          <w:rFonts w:hint="eastAsia" w:ascii="宋体" w:hAnsi="宋体"/>
          <w:sz w:val="24"/>
          <w:szCs w:val="24"/>
        </w:rPr>
        <w:t>经过二十多年的改革与发展，目前诸暨市已经基本建立了全民医保体系，形成了全民多层次医疗保障体系。自2018年以来，全国各地积极整合与医保相关的职能，组建统一的医疗保障部门，在新的医保管理体制下，诸暨市医疗保障事业也将步入新的发展时代。</w:t>
      </w:r>
    </w:p>
    <w:p>
      <w:pPr>
        <w:ind w:firstLine="480" w:firstLineChars="200"/>
        <w:rPr>
          <w:rFonts w:ascii="宋体" w:hAnsi="宋体"/>
          <w:sz w:val="24"/>
          <w:szCs w:val="24"/>
        </w:rPr>
      </w:pPr>
      <w:r>
        <w:rPr>
          <w:rFonts w:hint="eastAsia" w:ascii="宋体" w:hAnsi="宋体"/>
          <w:sz w:val="24"/>
          <w:szCs w:val="24"/>
        </w:rPr>
        <w:t>目前，诸暨市医保业务由原社会保险管理系统承担，而绍兴人力资源和社会保障局于“互联网+绍兴人社”集中系统第一批上线区域为越城区、柯桥区和上虞区，第二批上线区域为诸暨市、嵊州市、新昌县。</w:t>
      </w:r>
    </w:p>
    <w:p>
      <w:pPr>
        <w:ind w:firstLine="480" w:firstLineChars="200"/>
        <w:rPr>
          <w:rFonts w:ascii="宋体" w:hAnsi="宋体"/>
          <w:sz w:val="24"/>
          <w:szCs w:val="24"/>
        </w:rPr>
      </w:pPr>
      <w:r>
        <w:rPr>
          <w:rFonts w:hint="eastAsia" w:ascii="宋体" w:hAnsi="宋体"/>
          <w:sz w:val="24"/>
          <w:szCs w:val="24"/>
        </w:rPr>
        <w:t>为确保养老保险、工伤保险和失业保险实现市级集中后，诸暨市医疗保障工作能够有条不紊的继续运作，继续满足诸暨市参保人员对医保（含生育）业务的办理需求，维持公众对医保的获得感和满意度，诸暨市在绍兴市“互联网+人社”上线前完成诸暨市医保业务管理系统与原社会保险管理系统的分开，并可以单独运行，同时实现与税务局、绍兴市人社局对接改造，满足诸暨市医保局的相关经办需求，维持诸暨市医保局业务经办能力和效率。</w:t>
      </w:r>
    </w:p>
    <w:p>
      <w:pPr>
        <w:outlineLvl w:val="2"/>
        <w:rPr>
          <w:rFonts w:ascii="宋体" w:hAnsi="宋体"/>
          <w:b/>
          <w:bCs/>
          <w:sz w:val="24"/>
          <w:szCs w:val="24"/>
        </w:rPr>
      </w:pPr>
      <w:bookmarkStart w:id="43" w:name="_Toc2176085"/>
      <w:r>
        <w:rPr>
          <w:rFonts w:hint="eastAsia" w:ascii="宋体" w:hAnsi="宋体"/>
          <w:b/>
          <w:bCs/>
          <w:sz w:val="24"/>
          <w:szCs w:val="24"/>
        </w:rPr>
        <w:t>2、建设内容</w:t>
      </w:r>
      <w:bookmarkEnd w:id="43"/>
    </w:p>
    <w:p>
      <w:pPr>
        <w:ind w:firstLine="480" w:firstLineChars="200"/>
        <w:rPr>
          <w:rFonts w:ascii="宋体" w:hAnsi="宋体"/>
          <w:sz w:val="24"/>
          <w:szCs w:val="24"/>
        </w:rPr>
      </w:pPr>
      <w:r>
        <w:rPr>
          <w:rFonts w:hint="eastAsia" w:ascii="宋体" w:hAnsi="宋体"/>
          <w:sz w:val="24"/>
          <w:szCs w:val="24"/>
        </w:rPr>
        <w:t>本着充分利旧的原则，养老、工伤和失业保险市级集中后，为维持诸暨市医保和生育保险的业务现状，对诸暨市原社会保险管理系统进行本地化业务系统改造，保留原系统中原有的医保和生育保险的业务，保持医保经办业务期和社保业务期的同步，办理各项业务时绍兴市“互联网</w:t>
      </w:r>
      <w:r>
        <w:rPr>
          <w:rFonts w:ascii="宋体" w:hAnsi="宋体"/>
          <w:sz w:val="24"/>
          <w:szCs w:val="24"/>
        </w:rPr>
        <w:t>+</w:t>
      </w:r>
      <w:r>
        <w:rPr>
          <w:rFonts w:hint="eastAsia" w:ascii="宋体" w:hAnsi="宋体"/>
          <w:sz w:val="24"/>
          <w:szCs w:val="24"/>
        </w:rPr>
        <w:t>人社</w:t>
      </w:r>
      <w:r>
        <w:rPr>
          <w:rFonts w:ascii="宋体" w:hAnsi="宋体"/>
          <w:sz w:val="24"/>
          <w:szCs w:val="24"/>
        </w:rPr>
        <w:t>系统</w:t>
      </w:r>
      <w:r>
        <w:rPr>
          <w:rFonts w:hint="eastAsia" w:ascii="宋体" w:hAnsi="宋体"/>
          <w:sz w:val="24"/>
          <w:szCs w:val="24"/>
        </w:rPr>
        <w:t>”</w:t>
      </w:r>
      <w:r>
        <w:rPr>
          <w:rFonts w:ascii="宋体" w:hAnsi="宋体"/>
          <w:sz w:val="24"/>
          <w:szCs w:val="24"/>
        </w:rPr>
        <w:t>只关联养老、失业、工伤</w:t>
      </w:r>
      <w:r>
        <w:rPr>
          <w:rFonts w:hint="eastAsia" w:ascii="宋体" w:hAnsi="宋体"/>
          <w:sz w:val="24"/>
          <w:szCs w:val="24"/>
        </w:rPr>
        <w:t>参保和待遇管理等功能</w:t>
      </w:r>
      <w:r>
        <w:rPr>
          <w:rFonts w:ascii="宋体" w:hAnsi="宋体"/>
          <w:sz w:val="24"/>
          <w:szCs w:val="24"/>
        </w:rPr>
        <w:t>，</w:t>
      </w:r>
      <w:r>
        <w:rPr>
          <w:rFonts w:hint="eastAsia" w:ascii="宋体" w:hAnsi="宋体"/>
          <w:sz w:val="24"/>
          <w:szCs w:val="24"/>
        </w:rPr>
        <w:t>而诸暨市原社会保险管理系统</w:t>
      </w:r>
      <w:r>
        <w:rPr>
          <w:rFonts w:ascii="宋体" w:hAnsi="宋体"/>
          <w:sz w:val="24"/>
          <w:szCs w:val="24"/>
        </w:rPr>
        <w:t>只关联医保和生育</w:t>
      </w:r>
      <w:r>
        <w:rPr>
          <w:rFonts w:hint="eastAsia" w:ascii="宋体" w:hAnsi="宋体"/>
          <w:sz w:val="24"/>
          <w:szCs w:val="24"/>
        </w:rPr>
        <w:t>参保和待遇管理等功能。</w:t>
      </w:r>
    </w:p>
    <w:p>
      <w:pPr>
        <w:ind w:firstLine="480" w:firstLineChars="200"/>
        <w:rPr>
          <w:rFonts w:ascii="宋体" w:hAnsi="宋体"/>
          <w:sz w:val="24"/>
          <w:szCs w:val="24"/>
        </w:rPr>
      </w:pPr>
      <w:r>
        <w:rPr>
          <w:rFonts w:hint="eastAsia" w:ascii="宋体" w:hAnsi="宋体"/>
          <w:sz w:val="24"/>
          <w:szCs w:val="24"/>
        </w:rPr>
        <w:t>本次诸暨市医保信息系统适应性升级改造将在原社会保险管理系统基础上进行，主要内容包括网上申报系统改造和原社会保险管理系统改造两部分内容。</w:t>
      </w:r>
    </w:p>
    <w:p>
      <w:pPr>
        <w:outlineLvl w:val="2"/>
        <w:rPr>
          <w:rFonts w:ascii="宋体" w:hAnsi="宋体"/>
          <w:b/>
          <w:bCs/>
          <w:sz w:val="24"/>
          <w:szCs w:val="24"/>
        </w:rPr>
      </w:pPr>
      <w:r>
        <w:rPr>
          <w:rFonts w:hint="eastAsia" w:ascii="宋体" w:hAnsi="宋体"/>
          <w:b/>
          <w:bCs/>
          <w:sz w:val="24"/>
          <w:szCs w:val="24"/>
        </w:rPr>
        <w:t>3、</w:t>
      </w:r>
      <w:bookmarkStart w:id="44" w:name="_Toc2176086"/>
      <w:r>
        <w:rPr>
          <w:rFonts w:hint="eastAsia" w:ascii="宋体" w:hAnsi="宋体"/>
          <w:b/>
          <w:bCs/>
          <w:sz w:val="24"/>
          <w:szCs w:val="24"/>
        </w:rPr>
        <w:t>网上申报系统改造</w:t>
      </w:r>
      <w:bookmarkEnd w:id="44"/>
      <w:r>
        <w:rPr>
          <w:rFonts w:hint="eastAsia" w:ascii="宋体" w:hAnsi="宋体"/>
          <w:b/>
          <w:bCs/>
          <w:sz w:val="24"/>
          <w:szCs w:val="24"/>
        </w:rPr>
        <w:t>要求</w:t>
      </w:r>
    </w:p>
    <w:p>
      <w:pPr>
        <w:ind w:firstLine="480" w:firstLineChars="200"/>
        <w:rPr>
          <w:rFonts w:ascii="宋体" w:hAnsi="宋体"/>
          <w:sz w:val="24"/>
          <w:szCs w:val="24"/>
        </w:rPr>
      </w:pPr>
      <w:r>
        <w:rPr>
          <w:rFonts w:hint="eastAsia" w:ascii="宋体" w:hAnsi="宋体"/>
          <w:sz w:val="24"/>
          <w:szCs w:val="24"/>
        </w:rPr>
        <w:t>绍兴市“互联网+人社”系统上线后，不能给企业增加负担和使用操作不便利，诸暨市企业端登录网上申报系统的入口地址、登录方式、账号密码均保持不变，单位在绍兴市人社局建设的互联网+网上申报系统中进行业务申报后，由诸暨市医保业务系统对其中的两险（医保、生育）进行参保登记审核，并将审核结果反馈给绍兴市人社局建设的互联网+网上申报系统中，供企业查看医保、生育的参保登记审核结果。。</w:t>
      </w:r>
    </w:p>
    <w:p>
      <w:pPr>
        <w:ind w:firstLine="480" w:firstLineChars="200"/>
        <w:rPr>
          <w:rFonts w:ascii="宋体" w:hAnsi="宋体"/>
          <w:sz w:val="24"/>
          <w:szCs w:val="24"/>
        </w:rPr>
      </w:pPr>
      <w:r>
        <w:rPr>
          <w:rFonts w:hint="eastAsia" w:ascii="宋体" w:hAnsi="宋体"/>
          <w:sz w:val="24"/>
          <w:szCs w:val="24"/>
        </w:rPr>
        <w:t>因此，诸暨市再次部署市级互联网+网上申报系统，具体升级内容包括：</w:t>
      </w:r>
    </w:p>
    <w:p>
      <w:pPr>
        <w:ind w:firstLine="480" w:firstLineChars="200"/>
        <w:rPr>
          <w:rFonts w:ascii="宋体" w:hAnsi="宋体"/>
          <w:sz w:val="24"/>
          <w:szCs w:val="24"/>
        </w:rPr>
      </w:pPr>
      <w:bookmarkStart w:id="45" w:name="_Toc2176087"/>
      <w:r>
        <w:rPr>
          <w:rFonts w:hint="eastAsia" w:ascii="宋体" w:hAnsi="宋体"/>
          <w:sz w:val="24"/>
          <w:szCs w:val="24"/>
        </w:rPr>
        <w:t>（1）企业端网上申报升级改造</w:t>
      </w:r>
      <w:bookmarkEnd w:id="45"/>
    </w:p>
    <w:p>
      <w:pPr>
        <w:ind w:firstLine="480" w:firstLineChars="200"/>
        <w:rPr>
          <w:rFonts w:ascii="宋体" w:hAnsi="宋体"/>
          <w:sz w:val="24"/>
          <w:szCs w:val="24"/>
        </w:rPr>
      </w:pPr>
      <w:r>
        <w:rPr>
          <w:rFonts w:hint="eastAsia" w:ascii="宋体" w:hAnsi="宋体"/>
          <w:sz w:val="24"/>
          <w:szCs w:val="24"/>
        </w:rPr>
        <w:t>原网上申报的参保登记功能是根据人社部门要求实现的，因此需要对绍兴市人社局建设的互联网+网上申报系统的参保登记功能进行升级，增加诸暨市医保、生育的参保登记功能，并可输入医保业务部门规定的相应信息项。</w:t>
      </w:r>
    </w:p>
    <w:p>
      <w:pPr>
        <w:ind w:firstLine="480" w:firstLineChars="200"/>
        <w:rPr>
          <w:rFonts w:ascii="宋体" w:hAnsi="宋体"/>
          <w:sz w:val="24"/>
          <w:szCs w:val="24"/>
        </w:rPr>
      </w:pPr>
      <w:r>
        <w:rPr>
          <w:rFonts w:hint="eastAsia" w:ascii="宋体" w:hAnsi="宋体"/>
          <w:sz w:val="24"/>
          <w:szCs w:val="24"/>
        </w:rPr>
        <w:t>（2）</w:t>
      </w:r>
      <w:bookmarkStart w:id="46" w:name="_Toc2176088"/>
      <w:r>
        <w:rPr>
          <w:rFonts w:hint="eastAsia" w:ascii="宋体" w:hAnsi="宋体"/>
          <w:sz w:val="24"/>
          <w:szCs w:val="24"/>
        </w:rPr>
        <w:t>网上申报服务端升级改造</w:t>
      </w:r>
      <w:bookmarkEnd w:id="46"/>
    </w:p>
    <w:p>
      <w:pPr>
        <w:ind w:firstLine="480" w:firstLineChars="200"/>
        <w:rPr>
          <w:rFonts w:ascii="宋体" w:hAnsi="宋体"/>
          <w:sz w:val="24"/>
          <w:szCs w:val="24"/>
        </w:rPr>
      </w:pPr>
      <w:r>
        <w:rPr>
          <w:rFonts w:hint="eastAsia" w:ascii="宋体" w:hAnsi="宋体"/>
          <w:sz w:val="24"/>
          <w:szCs w:val="24"/>
        </w:rPr>
        <w:t>对绍兴市人社局建设的互联网+网上申报系统所对接的是人社业务系统，该系统中无医保相关信息，因此为实现医保局网上申报系统功能，需要对根据诸暨市医保业务系统对对绍兴市人社局建设的互联网+网上申报进行升级改造，在不影响单位使用的情况下，对网上申报系统的服务端进行升级改造，新增与诸暨市医保局业务系统的对接功能，包括医保业务数据的抽取、信息处理过程的编写等，将诸暨市医保业务合并至绍兴市人社网上申报系统中。</w:t>
      </w:r>
    </w:p>
    <w:p>
      <w:pPr>
        <w:ind w:firstLine="480" w:firstLineChars="200"/>
        <w:rPr>
          <w:rFonts w:ascii="宋体" w:hAnsi="宋体"/>
          <w:sz w:val="24"/>
          <w:szCs w:val="24"/>
        </w:rPr>
      </w:pPr>
      <w:r>
        <w:rPr>
          <w:rFonts w:hint="eastAsia" w:ascii="宋体" w:hAnsi="宋体"/>
          <w:sz w:val="24"/>
          <w:szCs w:val="24"/>
        </w:rPr>
        <w:t>（3）新增网上申报接口平台</w:t>
      </w:r>
    </w:p>
    <w:p>
      <w:pPr>
        <w:ind w:firstLine="480" w:firstLineChars="200"/>
        <w:rPr>
          <w:rFonts w:hint="eastAsia" w:ascii="宋体" w:hAnsi="宋体"/>
          <w:sz w:val="24"/>
          <w:szCs w:val="24"/>
        </w:rPr>
      </w:pPr>
      <w:r>
        <w:rPr>
          <w:rFonts w:hint="eastAsia" w:ascii="宋体" w:hAnsi="宋体"/>
          <w:sz w:val="24"/>
          <w:szCs w:val="24"/>
        </w:rPr>
        <w:t>因绍兴市人社局建设的互联网+网上申报系统数据集中存放于绍兴市，同时因社保与医保的业务分离，因此原网上申报系统采用的业务数据通过数据库同步至网上申报数据库的模式将发生改变，为使得企业通过绍兴市人社局建设的互联网+网上申报系统能够查询诸暨市医保业务信息，需要新增诸暨市网上申报接口平台，使绍兴市的互联网+网上申报系统通过该接口平台能够实时访问并查询诸暨市医保业务信息，同时该接口平台还需要实现医保参保单位信息接口、医保参保人员信息接口等接口功能。</w:t>
      </w:r>
    </w:p>
    <w:p>
      <w:pPr>
        <w:ind w:firstLine="480" w:firstLineChars="200"/>
        <w:rPr>
          <w:rFonts w:ascii="宋体" w:hAnsi="宋体"/>
          <w:sz w:val="24"/>
          <w:szCs w:val="24"/>
        </w:rPr>
      </w:pPr>
      <w:bookmarkStart w:id="47" w:name="_Toc2176089"/>
      <w:r>
        <w:rPr>
          <w:rFonts w:hint="eastAsia" w:ascii="宋体" w:hAnsi="宋体"/>
          <w:sz w:val="24"/>
          <w:szCs w:val="24"/>
        </w:rPr>
        <w:t>（4）业务系统中网上申报审核功能升级改造</w:t>
      </w:r>
      <w:bookmarkEnd w:id="47"/>
    </w:p>
    <w:p>
      <w:pPr>
        <w:ind w:firstLine="480" w:firstLineChars="200"/>
        <w:rPr>
          <w:rFonts w:ascii="宋体" w:hAnsi="宋体"/>
          <w:sz w:val="24"/>
          <w:szCs w:val="24"/>
        </w:rPr>
      </w:pPr>
      <w:r>
        <w:rPr>
          <w:rFonts w:hint="eastAsia" w:ascii="宋体" w:hAnsi="宋体"/>
          <w:sz w:val="24"/>
          <w:szCs w:val="24"/>
        </w:rPr>
        <w:t>对原医保局业务系统中的网上申报审核功能进行升级改造，根据医保业务系统中的业务规则，对网上申报所提交的数据进行审核，并将审核结果反馈至网上申报系统中。</w:t>
      </w:r>
    </w:p>
    <w:p>
      <w:pPr>
        <w:ind w:firstLine="480" w:firstLineChars="200"/>
        <w:rPr>
          <w:rFonts w:ascii="宋体" w:hAnsi="宋体"/>
          <w:sz w:val="24"/>
          <w:szCs w:val="24"/>
        </w:rPr>
      </w:pPr>
      <w:r>
        <w:rPr>
          <w:rFonts w:hint="eastAsia" w:ascii="宋体" w:hAnsi="宋体"/>
          <w:sz w:val="24"/>
          <w:szCs w:val="24"/>
        </w:rPr>
        <w:t>对后台</w:t>
      </w:r>
      <w:r>
        <w:rPr>
          <w:rFonts w:ascii="宋体" w:hAnsi="宋体"/>
          <w:sz w:val="24"/>
          <w:szCs w:val="24"/>
        </w:rPr>
        <w:t>审核系统</w:t>
      </w:r>
      <w:r>
        <w:rPr>
          <w:rFonts w:hint="eastAsia" w:ascii="宋体" w:hAnsi="宋体"/>
          <w:sz w:val="24"/>
          <w:szCs w:val="24"/>
        </w:rPr>
        <w:t>进行修改</w:t>
      </w:r>
      <w:r>
        <w:rPr>
          <w:rFonts w:ascii="宋体" w:hAnsi="宋体"/>
          <w:sz w:val="24"/>
          <w:szCs w:val="24"/>
        </w:rPr>
        <w:t>，职工新增、续保、险种增加、险种减少模块控制只能参加两险</w:t>
      </w:r>
      <w:r>
        <w:rPr>
          <w:rFonts w:hint="eastAsia" w:ascii="宋体" w:hAnsi="宋体"/>
          <w:sz w:val="24"/>
          <w:szCs w:val="24"/>
        </w:rPr>
        <w:t>；同时，</w:t>
      </w:r>
      <w:r>
        <w:rPr>
          <w:rFonts w:ascii="宋体" w:hAnsi="宋体"/>
          <w:sz w:val="24"/>
          <w:szCs w:val="24"/>
        </w:rPr>
        <w:t>放开目前必须参加</w:t>
      </w:r>
      <w:r>
        <w:rPr>
          <w:rFonts w:hint="eastAsia" w:ascii="宋体" w:hAnsi="宋体"/>
          <w:sz w:val="24"/>
          <w:szCs w:val="24"/>
        </w:rPr>
        <w:t>五</w:t>
      </w:r>
      <w:r>
        <w:rPr>
          <w:rFonts w:ascii="宋体" w:hAnsi="宋体"/>
          <w:sz w:val="24"/>
          <w:szCs w:val="24"/>
        </w:rPr>
        <w:t>险</w:t>
      </w:r>
      <w:r>
        <w:rPr>
          <w:rFonts w:hint="eastAsia" w:ascii="宋体" w:hAnsi="宋体"/>
          <w:sz w:val="24"/>
          <w:szCs w:val="24"/>
        </w:rPr>
        <w:t>的</w:t>
      </w:r>
      <w:r>
        <w:rPr>
          <w:rFonts w:ascii="宋体" w:hAnsi="宋体"/>
          <w:sz w:val="24"/>
          <w:szCs w:val="24"/>
        </w:rPr>
        <w:t>控制。</w:t>
      </w:r>
    </w:p>
    <w:p>
      <w:pPr>
        <w:ind w:firstLine="480" w:firstLineChars="200"/>
        <w:rPr>
          <w:rFonts w:ascii="宋体" w:hAnsi="宋体"/>
          <w:sz w:val="24"/>
          <w:szCs w:val="24"/>
        </w:rPr>
      </w:pPr>
      <w:bookmarkStart w:id="48" w:name="_Toc2176090"/>
      <w:r>
        <w:rPr>
          <w:rFonts w:hint="eastAsia" w:ascii="宋体" w:hAnsi="宋体"/>
          <w:sz w:val="24"/>
          <w:szCs w:val="24"/>
        </w:rPr>
        <w:t>（5）与市“互联网+人社”系统的接口</w:t>
      </w:r>
      <w:bookmarkEnd w:id="48"/>
    </w:p>
    <w:p>
      <w:pPr>
        <w:ind w:firstLine="480" w:firstLineChars="200"/>
        <w:rPr>
          <w:rFonts w:ascii="宋体" w:hAnsi="宋体"/>
          <w:sz w:val="24"/>
          <w:szCs w:val="24"/>
        </w:rPr>
      </w:pPr>
      <w:r>
        <w:rPr>
          <w:rFonts w:ascii="宋体" w:hAnsi="宋体"/>
          <w:sz w:val="24"/>
          <w:szCs w:val="24"/>
        </w:rPr>
        <w:t>与</w:t>
      </w:r>
      <w:r>
        <w:rPr>
          <w:rFonts w:hint="eastAsia" w:ascii="宋体" w:hAnsi="宋体"/>
          <w:sz w:val="24"/>
          <w:szCs w:val="24"/>
        </w:rPr>
        <w:t>绍兴市“互联网+人社”</w:t>
      </w:r>
      <w:r>
        <w:rPr>
          <w:rFonts w:ascii="宋体" w:hAnsi="宋体"/>
          <w:sz w:val="24"/>
          <w:szCs w:val="24"/>
        </w:rPr>
        <w:t>系统做接口，</w:t>
      </w:r>
      <w:r>
        <w:rPr>
          <w:rFonts w:hint="eastAsia" w:ascii="宋体" w:hAnsi="宋体"/>
          <w:sz w:val="24"/>
          <w:szCs w:val="24"/>
        </w:rPr>
        <w:t>通过调用绍兴市人社局提供的网上申报接口平台</w:t>
      </w:r>
      <w:r>
        <w:rPr>
          <w:rFonts w:ascii="宋体" w:hAnsi="宋体"/>
          <w:sz w:val="24"/>
          <w:szCs w:val="24"/>
        </w:rPr>
        <w:t>获取</w:t>
      </w:r>
      <w:r>
        <w:rPr>
          <w:rFonts w:hint="eastAsia" w:ascii="宋体" w:hAnsi="宋体"/>
          <w:sz w:val="24"/>
          <w:szCs w:val="24"/>
        </w:rPr>
        <w:t>诸暨市企业办理的申报业务，并</w:t>
      </w:r>
      <w:r>
        <w:rPr>
          <w:rFonts w:ascii="宋体" w:hAnsi="宋体"/>
          <w:sz w:val="24"/>
          <w:szCs w:val="24"/>
        </w:rPr>
        <w:t>，</w:t>
      </w:r>
      <w:r>
        <w:rPr>
          <w:rFonts w:hint="eastAsia" w:ascii="宋体" w:hAnsi="宋体"/>
          <w:sz w:val="24"/>
          <w:szCs w:val="24"/>
        </w:rPr>
        <w:t>将诸暨市医保业务系统对两险的审核结果通过接口平台返回给绍兴市人社网上申报系统</w:t>
      </w:r>
      <w:r>
        <w:rPr>
          <w:rFonts w:ascii="宋体" w:hAnsi="宋体"/>
          <w:sz w:val="24"/>
          <w:szCs w:val="24"/>
        </w:rPr>
        <w:t>。</w:t>
      </w:r>
    </w:p>
    <w:p>
      <w:pPr>
        <w:outlineLvl w:val="2"/>
        <w:rPr>
          <w:rFonts w:ascii="宋体" w:hAnsi="宋体"/>
          <w:b/>
          <w:bCs/>
          <w:sz w:val="24"/>
          <w:szCs w:val="24"/>
        </w:rPr>
      </w:pPr>
      <w:bookmarkStart w:id="49" w:name="_Toc2176091"/>
      <w:r>
        <w:rPr>
          <w:rFonts w:hint="eastAsia" w:ascii="宋体" w:hAnsi="宋体"/>
          <w:b/>
          <w:bCs/>
          <w:sz w:val="24"/>
          <w:szCs w:val="24"/>
        </w:rPr>
        <w:t>4.原社会保险管理系统改造</w:t>
      </w:r>
      <w:bookmarkEnd w:id="49"/>
      <w:r>
        <w:rPr>
          <w:rFonts w:hint="eastAsia" w:ascii="宋体" w:hAnsi="宋体"/>
          <w:b/>
          <w:bCs/>
          <w:sz w:val="24"/>
          <w:szCs w:val="24"/>
        </w:rPr>
        <w:t>要求</w:t>
      </w:r>
    </w:p>
    <w:p>
      <w:pPr>
        <w:ind w:firstLine="480" w:firstLineChars="200"/>
        <w:rPr>
          <w:rFonts w:ascii="宋体" w:hAnsi="宋体"/>
          <w:sz w:val="24"/>
          <w:szCs w:val="24"/>
        </w:rPr>
      </w:pPr>
      <w:r>
        <w:rPr>
          <w:rFonts w:hint="eastAsia" w:ascii="宋体" w:hAnsi="宋体"/>
          <w:sz w:val="24"/>
          <w:szCs w:val="24"/>
        </w:rPr>
        <w:t>本次将根据业务要求对业务系统单位和个人相关模块，确保绍兴“互联网+人社”系统上线后，诸暨市医保(含生育</w:t>
      </w:r>
      <w:r>
        <w:rPr>
          <w:rFonts w:ascii="宋体" w:hAnsi="宋体"/>
          <w:sz w:val="24"/>
          <w:szCs w:val="24"/>
        </w:rPr>
        <w:t>)</w:t>
      </w:r>
      <w:r>
        <w:rPr>
          <w:rFonts w:hint="eastAsia" w:ascii="宋体" w:hAnsi="宋体"/>
          <w:sz w:val="24"/>
          <w:szCs w:val="24"/>
        </w:rPr>
        <w:t>等业务能正常运行，确保参保人正常享受医保服务。</w:t>
      </w:r>
    </w:p>
    <w:p>
      <w:pPr>
        <w:ind w:firstLine="480" w:firstLineChars="200"/>
        <w:rPr>
          <w:rFonts w:ascii="宋体" w:hAnsi="宋体"/>
          <w:sz w:val="24"/>
          <w:szCs w:val="24"/>
        </w:rPr>
      </w:pPr>
      <w:bookmarkStart w:id="50" w:name="_Toc2176092"/>
      <w:r>
        <w:rPr>
          <w:rFonts w:hint="eastAsia" w:ascii="宋体" w:hAnsi="宋体"/>
          <w:sz w:val="24"/>
          <w:szCs w:val="24"/>
        </w:rPr>
        <w:t>（1）单位参保管理</w:t>
      </w:r>
      <w:bookmarkEnd w:id="50"/>
    </w:p>
    <w:p>
      <w:pPr>
        <w:ind w:firstLine="480" w:firstLineChars="200"/>
        <w:rPr>
          <w:rFonts w:ascii="宋体" w:hAnsi="宋体"/>
          <w:sz w:val="24"/>
          <w:szCs w:val="24"/>
        </w:rPr>
      </w:pPr>
      <w:r>
        <w:rPr>
          <w:rFonts w:hint="eastAsia" w:ascii="宋体" w:hAnsi="宋体"/>
          <w:sz w:val="24"/>
          <w:szCs w:val="24"/>
        </w:rPr>
        <w:t>需要对单位参保管理模块进行改造和拆分，涉及模块具体包括：</w:t>
      </w:r>
    </w:p>
    <w:p>
      <w:pPr>
        <w:numPr>
          <w:ilvl w:val="0"/>
          <w:numId w:val="4"/>
        </w:numPr>
        <w:rPr>
          <w:rFonts w:ascii="宋体" w:hAnsi="宋体"/>
          <w:sz w:val="24"/>
          <w:szCs w:val="24"/>
        </w:rPr>
      </w:pPr>
      <w:r>
        <w:rPr>
          <w:rFonts w:hint="eastAsia" w:ascii="宋体" w:hAnsi="宋体"/>
          <w:sz w:val="24"/>
          <w:szCs w:val="24"/>
        </w:rPr>
        <w:t>单位信息综合查询</w:t>
      </w:r>
    </w:p>
    <w:p>
      <w:pPr>
        <w:numPr>
          <w:ilvl w:val="0"/>
          <w:numId w:val="4"/>
        </w:numPr>
        <w:rPr>
          <w:rFonts w:ascii="宋体" w:hAnsi="宋体"/>
          <w:sz w:val="24"/>
          <w:szCs w:val="24"/>
        </w:rPr>
      </w:pPr>
      <w:r>
        <w:rPr>
          <w:rFonts w:hint="eastAsia" w:ascii="宋体" w:hAnsi="宋体"/>
          <w:sz w:val="24"/>
          <w:szCs w:val="24"/>
        </w:rPr>
        <w:t>单位档案登记</w:t>
      </w:r>
    </w:p>
    <w:p>
      <w:pPr>
        <w:numPr>
          <w:ilvl w:val="0"/>
          <w:numId w:val="4"/>
        </w:numPr>
        <w:rPr>
          <w:rFonts w:ascii="宋体" w:hAnsi="宋体"/>
          <w:sz w:val="24"/>
          <w:szCs w:val="24"/>
        </w:rPr>
      </w:pPr>
      <w:r>
        <w:rPr>
          <w:rFonts w:hint="eastAsia" w:ascii="宋体" w:hAnsi="宋体"/>
          <w:sz w:val="24"/>
          <w:szCs w:val="24"/>
        </w:rPr>
        <w:t>单位参保申报</w:t>
      </w:r>
    </w:p>
    <w:p>
      <w:pPr>
        <w:numPr>
          <w:ilvl w:val="0"/>
          <w:numId w:val="4"/>
        </w:numPr>
        <w:rPr>
          <w:rFonts w:ascii="宋体" w:hAnsi="宋体"/>
          <w:sz w:val="24"/>
          <w:szCs w:val="24"/>
        </w:rPr>
      </w:pPr>
      <w:r>
        <w:rPr>
          <w:rFonts w:hint="eastAsia" w:ascii="宋体" w:hAnsi="宋体"/>
          <w:sz w:val="24"/>
          <w:szCs w:val="24"/>
        </w:rPr>
        <w:t>单位基本信息变更</w:t>
      </w:r>
    </w:p>
    <w:p>
      <w:pPr>
        <w:numPr>
          <w:ilvl w:val="0"/>
          <w:numId w:val="4"/>
        </w:numPr>
        <w:rPr>
          <w:rFonts w:ascii="宋体" w:hAnsi="宋体"/>
          <w:sz w:val="24"/>
          <w:szCs w:val="24"/>
        </w:rPr>
      </w:pPr>
      <w:r>
        <w:rPr>
          <w:rFonts w:hint="eastAsia" w:ascii="宋体" w:hAnsi="宋体"/>
          <w:sz w:val="24"/>
          <w:szCs w:val="24"/>
        </w:rPr>
        <w:t>单位业务信息变更</w:t>
      </w:r>
    </w:p>
    <w:p>
      <w:pPr>
        <w:numPr>
          <w:ilvl w:val="0"/>
          <w:numId w:val="4"/>
        </w:numPr>
        <w:rPr>
          <w:rFonts w:ascii="宋体" w:hAnsi="宋体"/>
          <w:sz w:val="24"/>
          <w:szCs w:val="24"/>
        </w:rPr>
      </w:pPr>
      <w:r>
        <w:rPr>
          <w:rFonts w:hint="eastAsia" w:ascii="宋体" w:hAnsi="宋体"/>
          <w:sz w:val="24"/>
          <w:szCs w:val="24"/>
        </w:rPr>
        <w:t>单位人员分流</w:t>
      </w:r>
    </w:p>
    <w:p>
      <w:pPr>
        <w:numPr>
          <w:ilvl w:val="0"/>
          <w:numId w:val="4"/>
        </w:numPr>
        <w:rPr>
          <w:rFonts w:ascii="宋体" w:hAnsi="宋体"/>
          <w:sz w:val="24"/>
          <w:szCs w:val="24"/>
        </w:rPr>
      </w:pPr>
      <w:r>
        <w:rPr>
          <w:rFonts w:hint="eastAsia" w:ascii="宋体" w:hAnsi="宋体"/>
          <w:sz w:val="24"/>
          <w:szCs w:val="24"/>
        </w:rPr>
        <w:t>事业单位改制</w:t>
      </w:r>
    </w:p>
    <w:p>
      <w:pPr>
        <w:numPr>
          <w:ilvl w:val="0"/>
          <w:numId w:val="4"/>
        </w:numPr>
        <w:rPr>
          <w:rFonts w:ascii="宋体" w:hAnsi="宋体"/>
          <w:sz w:val="24"/>
          <w:szCs w:val="24"/>
        </w:rPr>
      </w:pPr>
      <w:r>
        <w:rPr>
          <w:rFonts w:hint="eastAsia" w:ascii="宋体" w:hAnsi="宋体"/>
          <w:sz w:val="24"/>
          <w:szCs w:val="24"/>
        </w:rPr>
        <w:t>单位参保证明</w:t>
      </w:r>
    </w:p>
    <w:p>
      <w:pPr>
        <w:numPr>
          <w:ilvl w:val="0"/>
          <w:numId w:val="4"/>
        </w:numPr>
        <w:rPr>
          <w:rFonts w:ascii="宋体" w:hAnsi="宋体"/>
          <w:sz w:val="24"/>
          <w:szCs w:val="24"/>
        </w:rPr>
      </w:pPr>
      <w:r>
        <w:rPr>
          <w:rFonts w:hint="eastAsia" w:ascii="宋体" w:hAnsi="宋体"/>
          <w:sz w:val="24"/>
          <w:szCs w:val="24"/>
        </w:rPr>
        <w:t>网报业务审核（对人员新参保审核、人员中断审核、人员再参保、缴费工资申报、人员基础信息变更、单位基础信息变更、单位基本信息变更等网报业务进行审核，做成自动审核。</w:t>
      </w:r>
    </w:p>
    <w:p>
      <w:pPr>
        <w:ind w:firstLine="480" w:firstLineChars="200"/>
        <w:rPr>
          <w:rFonts w:ascii="宋体" w:hAnsi="宋体"/>
          <w:sz w:val="24"/>
          <w:szCs w:val="24"/>
        </w:rPr>
      </w:pPr>
      <w:bookmarkStart w:id="51" w:name="_Toc2176093"/>
      <w:r>
        <w:rPr>
          <w:rFonts w:hint="eastAsia" w:ascii="宋体" w:hAnsi="宋体"/>
          <w:sz w:val="24"/>
          <w:szCs w:val="24"/>
        </w:rPr>
        <w:t>（2）个人参保管理</w:t>
      </w:r>
      <w:bookmarkEnd w:id="51"/>
    </w:p>
    <w:p>
      <w:pPr>
        <w:ind w:firstLine="480" w:firstLineChars="200"/>
        <w:rPr>
          <w:rFonts w:ascii="宋体" w:hAnsi="宋体"/>
          <w:sz w:val="24"/>
          <w:szCs w:val="24"/>
        </w:rPr>
      </w:pPr>
      <w:r>
        <w:rPr>
          <w:rFonts w:hint="eastAsia" w:ascii="宋体" w:hAnsi="宋体"/>
          <w:sz w:val="24"/>
          <w:szCs w:val="24"/>
        </w:rPr>
        <w:t>需要对个人参保管理模块进行改造和拆分，具体包括：</w:t>
      </w:r>
    </w:p>
    <w:p>
      <w:pPr>
        <w:numPr>
          <w:ilvl w:val="0"/>
          <w:numId w:val="5"/>
        </w:numPr>
        <w:rPr>
          <w:rFonts w:ascii="宋体" w:hAnsi="宋体"/>
          <w:sz w:val="24"/>
          <w:szCs w:val="24"/>
        </w:rPr>
      </w:pPr>
      <w:r>
        <w:rPr>
          <w:rFonts w:hint="eastAsia" w:ascii="宋体" w:hAnsi="宋体"/>
          <w:sz w:val="24"/>
          <w:szCs w:val="24"/>
        </w:rPr>
        <w:t>在职职工综合查询</w:t>
      </w:r>
    </w:p>
    <w:p>
      <w:pPr>
        <w:numPr>
          <w:ilvl w:val="0"/>
          <w:numId w:val="5"/>
        </w:numPr>
        <w:rPr>
          <w:rFonts w:ascii="宋体" w:hAnsi="宋体"/>
          <w:sz w:val="24"/>
          <w:szCs w:val="24"/>
        </w:rPr>
      </w:pPr>
      <w:r>
        <w:rPr>
          <w:rFonts w:hint="eastAsia" w:ascii="宋体" w:hAnsi="宋体"/>
          <w:sz w:val="24"/>
          <w:szCs w:val="24"/>
        </w:rPr>
        <w:t>职工档案登记</w:t>
      </w:r>
    </w:p>
    <w:p>
      <w:pPr>
        <w:numPr>
          <w:ilvl w:val="0"/>
          <w:numId w:val="5"/>
        </w:numPr>
        <w:rPr>
          <w:rFonts w:ascii="宋体" w:hAnsi="宋体"/>
          <w:sz w:val="24"/>
          <w:szCs w:val="24"/>
        </w:rPr>
      </w:pPr>
      <w:r>
        <w:rPr>
          <w:rFonts w:hint="eastAsia" w:ascii="宋体" w:hAnsi="宋体"/>
          <w:sz w:val="24"/>
          <w:szCs w:val="24"/>
        </w:rPr>
        <w:t>职工增加</w:t>
      </w:r>
    </w:p>
    <w:p>
      <w:pPr>
        <w:numPr>
          <w:ilvl w:val="0"/>
          <w:numId w:val="5"/>
        </w:numPr>
        <w:rPr>
          <w:rFonts w:ascii="宋体" w:hAnsi="宋体"/>
          <w:sz w:val="24"/>
          <w:szCs w:val="24"/>
        </w:rPr>
      </w:pPr>
      <w:r>
        <w:rPr>
          <w:rFonts w:hint="eastAsia" w:ascii="宋体" w:hAnsi="宋体"/>
          <w:sz w:val="24"/>
          <w:szCs w:val="24"/>
        </w:rPr>
        <w:t>职工减少</w:t>
      </w:r>
    </w:p>
    <w:p>
      <w:pPr>
        <w:numPr>
          <w:ilvl w:val="0"/>
          <w:numId w:val="5"/>
        </w:numPr>
        <w:rPr>
          <w:rFonts w:ascii="宋体" w:hAnsi="宋体"/>
          <w:sz w:val="24"/>
          <w:szCs w:val="24"/>
        </w:rPr>
      </w:pPr>
      <w:r>
        <w:rPr>
          <w:rFonts w:hint="eastAsia" w:ascii="宋体" w:hAnsi="宋体"/>
          <w:sz w:val="24"/>
          <w:szCs w:val="24"/>
        </w:rPr>
        <w:t>职工批量操作导入</w:t>
      </w:r>
    </w:p>
    <w:p>
      <w:pPr>
        <w:numPr>
          <w:ilvl w:val="0"/>
          <w:numId w:val="5"/>
        </w:numPr>
        <w:rPr>
          <w:rFonts w:ascii="宋体" w:hAnsi="宋体"/>
          <w:sz w:val="24"/>
          <w:szCs w:val="24"/>
        </w:rPr>
      </w:pPr>
      <w:r>
        <w:rPr>
          <w:rFonts w:hint="eastAsia" w:ascii="宋体" w:hAnsi="宋体"/>
          <w:sz w:val="24"/>
          <w:szCs w:val="24"/>
        </w:rPr>
        <w:t>职工批量增加</w:t>
      </w:r>
    </w:p>
    <w:p>
      <w:pPr>
        <w:numPr>
          <w:ilvl w:val="0"/>
          <w:numId w:val="5"/>
        </w:numPr>
        <w:rPr>
          <w:rFonts w:ascii="宋体" w:hAnsi="宋体"/>
          <w:sz w:val="24"/>
          <w:szCs w:val="24"/>
        </w:rPr>
      </w:pPr>
      <w:r>
        <w:rPr>
          <w:rFonts w:hint="eastAsia" w:ascii="宋体" w:hAnsi="宋体"/>
          <w:sz w:val="24"/>
          <w:szCs w:val="24"/>
        </w:rPr>
        <w:t>职工批量减少</w:t>
      </w:r>
    </w:p>
    <w:p>
      <w:pPr>
        <w:numPr>
          <w:ilvl w:val="0"/>
          <w:numId w:val="5"/>
        </w:numPr>
        <w:rPr>
          <w:rFonts w:ascii="宋体" w:hAnsi="宋体"/>
          <w:sz w:val="24"/>
          <w:szCs w:val="24"/>
        </w:rPr>
      </w:pPr>
      <w:r>
        <w:rPr>
          <w:rFonts w:hint="eastAsia" w:ascii="宋体" w:hAnsi="宋体"/>
          <w:sz w:val="24"/>
          <w:szCs w:val="24"/>
        </w:rPr>
        <w:t>职工基本信息变更</w:t>
      </w:r>
    </w:p>
    <w:p>
      <w:pPr>
        <w:numPr>
          <w:ilvl w:val="0"/>
          <w:numId w:val="5"/>
        </w:numPr>
        <w:rPr>
          <w:rFonts w:ascii="宋体" w:hAnsi="宋体"/>
          <w:sz w:val="24"/>
          <w:szCs w:val="24"/>
        </w:rPr>
      </w:pPr>
      <w:r>
        <w:rPr>
          <w:rFonts w:hint="eastAsia" w:ascii="宋体" w:hAnsi="宋体"/>
          <w:sz w:val="24"/>
          <w:szCs w:val="24"/>
        </w:rPr>
        <w:t>职工后延登记修改</w:t>
      </w:r>
    </w:p>
    <w:p>
      <w:pPr>
        <w:numPr>
          <w:ilvl w:val="0"/>
          <w:numId w:val="5"/>
        </w:numPr>
        <w:rPr>
          <w:rFonts w:ascii="宋体" w:hAnsi="宋体"/>
          <w:sz w:val="24"/>
          <w:szCs w:val="24"/>
        </w:rPr>
      </w:pPr>
      <w:r>
        <w:rPr>
          <w:rFonts w:hint="eastAsia" w:ascii="宋体" w:hAnsi="宋体"/>
          <w:sz w:val="24"/>
          <w:szCs w:val="24"/>
        </w:rPr>
        <w:t>人员合并</w:t>
      </w:r>
    </w:p>
    <w:p>
      <w:pPr>
        <w:numPr>
          <w:ilvl w:val="0"/>
          <w:numId w:val="5"/>
        </w:numPr>
        <w:rPr>
          <w:rFonts w:ascii="宋体" w:hAnsi="宋体"/>
          <w:sz w:val="24"/>
          <w:szCs w:val="24"/>
        </w:rPr>
      </w:pPr>
      <w:r>
        <w:rPr>
          <w:rFonts w:hint="eastAsia" w:ascii="宋体" w:hAnsi="宋体"/>
          <w:sz w:val="24"/>
          <w:szCs w:val="24"/>
        </w:rPr>
        <w:t>自谋职业者银行扣款协议维护</w:t>
      </w:r>
    </w:p>
    <w:p>
      <w:pPr>
        <w:numPr>
          <w:ilvl w:val="0"/>
          <w:numId w:val="5"/>
        </w:numPr>
        <w:rPr>
          <w:rFonts w:ascii="宋体" w:hAnsi="宋体"/>
          <w:sz w:val="24"/>
          <w:szCs w:val="24"/>
        </w:rPr>
      </w:pPr>
      <w:r>
        <w:rPr>
          <w:rFonts w:hint="eastAsia" w:ascii="宋体" w:hAnsi="宋体"/>
          <w:sz w:val="24"/>
          <w:szCs w:val="24"/>
        </w:rPr>
        <w:t>职工终止恢复</w:t>
      </w:r>
    </w:p>
    <w:p>
      <w:pPr>
        <w:numPr>
          <w:ilvl w:val="0"/>
          <w:numId w:val="5"/>
        </w:numPr>
        <w:rPr>
          <w:rFonts w:ascii="宋体" w:hAnsi="宋体"/>
          <w:sz w:val="24"/>
          <w:szCs w:val="24"/>
        </w:rPr>
      </w:pPr>
      <w:r>
        <w:rPr>
          <w:rFonts w:hint="eastAsia" w:ascii="宋体" w:hAnsi="宋体"/>
          <w:sz w:val="24"/>
          <w:szCs w:val="24"/>
        </w:rPr>
        <w:t>在职职工基本信息变更</w:t>
      </w:r>
    </w:p>
    <w:p>
      <w:pPr>
        <w:numPr>
          <w:ilvl w:val="0"/>
          <w:numId w:val="5"/>
        </w:numPr>
        <w:rPr>
          <w:rFonts w:ascii="宋体" w:hAnsi="宋体"/>
          <w:sz w:val="24"/>
          <w:szCs w:val="24"/>
        </w:rPr>
      </w:pPr>
      <w:r>
        <w:rPr>
          <w:rFonts w:hint="eastAsia" w:ascii="宋体" w:hAnsi="宋体"/>
          <w:sz w:val="24"/>
          <w:szCs w:val="24"/>
        </w:rPr>
        <w:t>在职人员参保证明打印</w:t>
      </w:r>
    </w:p>
    <w:p>
      <w:pPr>
        <w:numPr>
          <w:ilvl w:val="0"/>
          <w:numId w:val="5"/>
        </w:numPr>
        <w:rPr>
          <w:rFonts w:ascii="宋体" w:hAnsi="宋体"/>
          <w:sz w:val="24"/>
          <w:szCs w:val="24"/>
        </w:rPr>
      </w:pPr>
      <w:r>
        <w:rPr>
          <w:rFonts w:hint="eastAsia" w:ascii="宋体" w:hAnsi="宋体"/>
          <w:sz w:val="24"/>
          <w:szCs w:val="24"/>
        </w:rPr>
        <w:t>职工减少（个体）</w:t>
      </w:r>
    </w:p>
    <w:p>
      <w:pPr>
        <w:numPr>
          <w:ilvl w:val="0"/>
          <w:numId w:val="5"/>
        </w:numPr>
        <w:rPr>
          <w:rFonts w:ascii="宋体" w:hAnsi="宋体"/>
          <w:sz w:val="24"/>
          <w:szCs w:val="24"/>
        </w:rPr>
      </w:pPr>
      <w:r>
        <w:rPr>
          <w:rFonts w:hint="eastAsia" w:ascii="宋体" w:hAnsi="宋体"/>
          <w:sz w:val="24"/>
          <w:szCs w:val="24"/>
        </w:rPr>
        <w:t>本地转移</w:t>
      </w:r>
    </w:p>
    <w:p>
      <w:pPr>
        <w:numPr>
          <w:ilvl w:val="0"/>
          <w:numId w:val="5"/>
        </w:numPr>
        <w:rPr>
          <w:rFonts w:ascii="宋体" w:hAnsi="宋体"/>
          <w:sz w:val="24"/>
          <w:szCs w:val="24"/>
        </w:rPr>
      </w:pPr>
      <w:r>
        <w:rPr>
          <w:rFonts w:hint="eastAsia" w:ascii="宋体" w:hAnsi="宋体"/>
          <w:sz w:val="24"/>
          <w:szCs w:val="24"/>
        </w:rPr>
        <w:t>协议缴费人员档案变更</w:t>
      </w:r>
    </w:p>
    <w:p>
      <w:pPr>
        <w:numPr>
          <w:ilvl w:val="0"/>
          <w:numId w:val="5"/>
        </w:numPr>
        <w:rPr>
          <w:rFonts w:ascii="宋体" w:hAnsi="宋体"/>
          <w:sz w:val="24"/>
          <w:szCs w:val="24"/>
        </w:rPr>
      </w:pPr>
      <w:r>
        <w:rPr>
          <w:rFonts w:hint="eastAsia" w:ascii="宋体" w:hAnsi="宋体"/>
          <w:sz w:val="24"/>
          <w:szCs w:val="24"/>
        </w:rPr>
        <w:t>协议缴费人员到期批量中断</w:t>
      </w:r>
    </w:p>
    <w:p>
      <w:pPr>
        <w:numPr>
          <w:ilvl w:val="0"/>
          <w:numId w:val="5"/>
        </w:numPr>
        <w:rPr>
          <w:rFonts w:ascii="宋体" w:hAnsi="宋体"/>
          <w:sz w:val="24"/>
          <w:szCs w:val="24"/>
        </w:rPr>
      </w:pPr>
      <w:r>
        <w:rPr>
          <w:rFonts w:hint="eastAsia" w:ascii="宋体" w:hAnsi="宋体"/>
          <w:sz w:val="24"/>
          <w:szCs w:val="24"/>
        </w:rPr>
        <w:t>协议缴费人员档案查询</w:t>
      </w:r>
    </w:p>
    <w:p>
      <w:pPr>
        <w:numPr>
          <w:ilvl w:val="0"/>
          <w:numId w:val="5"/>
        </w:numPr>
        <w:rPr>
          <w:rFonts w:ascii="宋体" w:hAnsi="宋体"/>
          <w:sz w:val="24"/>
          <w:szCs w:val="24"/>
        </w:rPr>
      </w:pPr>
      <w:r>
        <w:rPr>
          <w:rFonts w:hint="eastAsia" w:ascii="宋体" w:hAnsi="宋体"/>
          <w:sz w:val="24"/>
          <w:szCs w:val="24"/>
        </w:rPr>
        <w:t>机关事业人员批量中断</w:t>
      </w:r>
    </w:p>
    <w:p>
      <w:pPr>
        <w:numPr>
          <w:ilvl w:val="0"/>
          <w:numId w:val="5"/>
        </w:numPr>
        <w:rPr>
          <w:rFonts w:ascii="宋体" w:hAnsi="宋体"/>
          <w:sz w:val="24"/>
          <w:szCs w:val="24"/>
        </w:rPr>
      </w:pPr>
      <w:bookmarkStart w:id="52" w:name="_Toc2176094"/>
      <w:r>
        <w:rPr>
          <w:rFonts w:hint="eastAsia" w:ascii="宋体" w:hAnsi="宋体"/>
          <w:sz w:val="24"/>
          <w:szCs w:val="24"/>
        </w:rPr>
        <w:t>缴费工资管理</w:t>
      </w:r>
      <w:bookmarkEnd w:id="52"/>
    </w:p>
    <w:p>
      <w:pPr>
        <w:numPr>
          <w:ilvl w:val="0"/>
          <w:numId w:val="5"/>
        </w:numPr>
        <w:ind w:firstLine="480" w:firstLineChars="0"/>
        <w:rPr>
          <w:rFonts w:ascii="宋体" w:hAnsi="宋体"/>
          <w:sz w:val="24"/>
          <w:szCs w:val="24"/>
        </w:rPr>
      </w:pPr>
      <w:r>
        <w:rPr>
          <w:rFonts w:hint="eastAsia" w:ascii="宋体" w:hAnsi="宋体"/>
          <w:sz w:val="24"/>
          <w:szCs w:val="24"/>
        </w:rPr>
        <w:t>对缴费工资管理进行新增，具体包括：</w:t>
      </w:r>
    </w:p>
    <w:p>
      <w:pPr>
        <w:numPr>
          <w:ilvl w:val="0"/>
          <w:numId w:val="5"/>
        </w:numPr>
        <w:rPr>
          <w:rFonts w:ascii="宋体" w:hAnsi="宋体"/>
          <w:sz w:val="24"/>
          <w:szCs w:val="24"/>
        </w:rPr>
      </w:pPr>
      <w:r>
        <w:rPr>
          <w:rFonts w:hint="eastAsia" w:ascii="宋体" w:hAnsi="宋体"/>
          <w:sz w:val="24"/>
          <w:szCs w:val="24"/>
        </w:rPr>
        <w:t>单位缴费工资批量申报</w:t>
      </w:r>
    </w:p>
    <w:p>
      <w:pPr>
        <w:numPr>
          <w:ilvl w:val="0"/>
          <w:numId w:val="5"/>
        </w:numPr>
        <w:rPr>
          <w:rFonts w:ascii="宋体" w:hAnsi="宋体"/>
          <w:sz w:val="24"/>
          <w:szCs w:val="24"/>
        </w:rPr>
      </w:pPr>
      <w:r>
        <w:rPr>
          <w:rFonts w:hint="eastAsia" w:ascii="宋体" w:hAnsi="宋体"/>
          <w:sz w:val="24"/>
          <w:szCs w:val="24"/>
        </w:rPr>
        <w:t>单位缴费工资申报（年）</w:t>
      </w:r>
    </w:p>
    <w:p>
      <w:pPr>
        <w:numPr>
          <w:ilvl w:val="0"/>
          <w:numId w:val="5"/>
        </w:numPr>
        <w:rPr>
          <w:rFonts w:ascii="宋体" w:hAnsi="宋体"/>
          <w:sz w:val="24"/>
          <w:szCs w:val="24"/>
        </w:rPr>
      </w:pPr>
      <w:r>
        <w:rPr>
          <w:rFonts w:hint="eastAsia" w:ascii="宋体" w:hAnsi="宋体"/>
          <w:sz w:val="24"/>
          <w:szCs w:val="24"/>
        </w:rPr>
        <w:t>单位缴费工资未申报数据查询</w:t>
      </w:r>
    </w:p>
    <w:p>
      <w:pPr>
        <w:numPr>
          <w:ilvl w:val="0"/>
          <w:numId w:val="5"/>
        </w:numPr>
        <w:rPr>
          <w:rFonts w:ascii="宋体" w:hAnsi="宋体"/>
          <w:sz w:val="24"/>
          <w:szCs w:val="24"/>
        </w:rPr>
      </w:pPr>
      <w:bookmarkStart w:id="53" w:name="_Toc2176095"/>
      <w:r>
        <w:rPr>
          <w:rFonts w:hint="eastAsia" w:ascii="宋体" w:hAnsi="宋体"/>
          <w:sz w:val="24"/>
          <w:szCs w:val="24"/>
        </w:rPr>
        <w:t>基金征集管理</w:t>
      </w:r>
      <w:bookmarkEnd w:id="53"/>
    </w:p>
    <w:p>
      <w:pPr>
        <w:numPr>
          <w:ilvl w:val="0"/>
          <w:numId w:val="5"/>
        </w:numPr>
        <w:ind w:firstLine="480" w:firstLineChars="0"/>
        <w:rPr>
          <w:rFonts w:ascii="宋体" w:hAnsi="宋体"/>
          <w:sz w:val="24"/>
          <w:szCs w:val="24"/>
        </w:rPr>
      </w:pPr>
      <w:r>
        <w:rPr>
          <w:rFonts w:hint="eastAsia" w:ascii="宋体" w:hAnsi="宋体"/>
          <w:sz w:val="24"/>
          <w:szCs w:val="24"/>
        </w:rPr>
        <w:t>需要对基金征集管理模块进行改造和拆分，具体包括：</w:t>
      </w:r>
    </w:p>
    <w:p>
      <w:pPr>
        <w:numPr>
          <w:ilvl w:val="0"/>
          <w:numId w:val="5"/>
        </w:numPr>
        <w:rPr>
          <w:rFonts w:ascii="宋体" w:hAnsi="宋体"/>
          <w:sz w:val="24"/>
          <w:szCs w:val="24"/>
        </w:rPr>
      </w:pPr>
      <w:r>
        <w:rPr>
          <w:rFonts w:hint="eastAsia" w:ascii="宋体" w:hAnsi="宋体"/>
          <w:sz w:val="24"/>
          <w:szCs w:val="24"/>
        </w:rPr>
        <w:t>职工补缴</w:t>
      </w:r>
    </w:p>
    <w:p>
      <w:pPr>
        <w:numPr>
          <w:ilvl w:val="0"/>
          <w:numId w:val="5"/>
        </w:numPr>
        <w:rPr>
          <w:rFonts w:ascii="宋体" w:hAnsi="宋体"/>
          <w:sz w:val="24"/>
          <w:szCs w:val="24"/>
        </w:rPr>
      </w:pPr>
      <w:r>
        <w:rPr>
          <w:rFonts w:hint="eastAsia" w:ascii="宋体" w:hAnsi="宋体"/>
          <w:sz w:val="24"/>
          <w:szCs w:val="24"/>
        </w:rPr>
        <w:t>职工欠缴补缴</w:t>
      </w:r>
    </w:p>
    <w:p>
      <w:pPr>
        <w:numPr>
          <w:ilvl w:val="0"/>
          <w:numId w:val="5"/>
        </w:numPr>
        <w:rPr>
          <w:rFonts w:ascii="宋体" w:hAnsi="宋体"/>
          <w:sz w:val="24"/>
          <w:szCs w:val="24"/>
        </w:rPr>
      </w:pPr>
      <w:r>
        <w:rPr>
          <w:rFonts w:hint="eastAsia" w:ascii="宋体" w:hAnsi="宋体"/>
          <w:sz w:val="24"/>
          <w:szCs w:val="24"/>
        </w:rPr>
        <w:t>职工特殊补缴</w:t>
      </w:r>
    </w:p>
    <w:p>
      <w:pPr>
        <w:numPr>
          <w:ilvl w:val="0"/>
          <w:numId w:val="5"/>
        </w:numPr>
        <w:rPr>
          <w:rFonts w:ascii="宋体" w:hAnsi="宋体"/>
          <w:sz w:val="24"/>
          <w:szCs w:val="24"/>
        </w:rPr>
      </w:pPr>
      <w:r>
        <w:rPr>
          <w:rFonts w:hint="eastAsia" w:ascii="宋体" w:hAnsi="宋体"/>
          <w:sz w:val="24"/>
          <w:szCs w:val="24"/>
        </w:rPr>
        <w:t>职工欠缴核销</w:t>
      </w:r>
    </w:p>
    <w:p>
      <w:pPr>
        <w:numPr>
          <w:ilvl w:val="0"/>
          <w:numId w:val="5"/>
        </w:numPr>
        <w:rPr>
          <w:rFonts w:ascii="宋体" w:hAnsi="宋体"/>
          <w:sz w:val="24"/>
          <w:szCs w:val="24"/>
        </w:rPr>
      </w:pPr>
      <w:r>
        <w:rPr>
          <w:rFonts w:hint="eastAsia" w:ascii="宋体" w:hAnsi="宋体"/>
          <w:sz w:val="24"/>
          <w:szCs w:val="24"/>
        </w:rPr>
        <w:t>单位欠缴核销</w:t>
      </w:r>
    </w:p>
    <w:p>
      <w:pPr>
        <w:numPr>
          <w:ilvl w:val="0"/>
          <w:numId w:val="5"/>
        </w:numPr>
        <w:rPr>
          <w:rFonts w:ascii="宋体" w:hAnsi="宋体"/>
          <w:sz w:val="24"/>
          <w:szCs w:val="24"/>
        </w:rPr>
      </w:pPr>
      <w:r>
        <w:rPr>
          <w:rFonts w:hint="eastAsia" w:ascii="宋体" w:hAnsi="宋体"/>
          <w:sz w:val="24"/>
          <w:szCs w:val="24"/>
        </w:rPr>
        <w:t>基金退还</w:t>
      </w:r>
    </w:p>
    <w:p>
      <w:pPr>
        <w:numPr>
          <w:ilvl w:val="0"/>
          <w:numId w:val="5"/>
        </w:numPr>
        <w:rPr>
          <w:rFonts w:ascii="宋体" w:hAnsi="宋体"/>
          <w:sz w:val="24"/>
          <w:szCs w:val="24"/>
        </w:rPr>
      </w:pPr>
      <w:r>
        <w:rPr>
          <w:rFonts w:hint="eastAsia" w:ascii="宋体" w:hAnsi="宋体"/>
          <w:sz w:val="24"/>
          <w:szCs w:val="24"/>
        </w:rPr>
        <w:t>基金退还审核</w:t>
      </w:r>
    </w:p>
    <w:p>
      <w:pPr>
        <w:numPr>
          <w:ilvl w:val="0"/>
          <w:numId w:val="5"/>
        </w:numPr>
        <w:rPr>
          <w:rFonts w:ascii="宋体" w:hAnsi="宋体"/>
          <w:sz w:val="24"/>
          <w:szCs w:val="24"/>
        </w:rPr>
      </w:pPr>
      <w:r>
        <w:rPr>
          <w:rFonts w:hint="eastAsia" w:ascii="宋体" w:hAnsi="宋体"/>
          <w:sz w:val="24"/>
          <w:szCs w:val="24"/>
        </w:rPr>
        <w:t>暂存户缴费</w:t>
      </w:r>
    </w:p>
    <w:p>
      <w:pPr>
        <w:numPr>
          <w:ilvl w:val="0"/>
          <w:numId w:val="5"/>
        </w:numPr>
        <w:rPr>
          <w:rFonts w:ascii="宋体" w:hAnsi="宋体"/>
          <w:sz w:val="24"/>
          <w:szCs w:val="24"/>
        </w:rPr>
      </w:pPr>
      <w:r>
        <w:rPr>
          <w:rFonts w:hint="eastAsia" w:ascii="宋体" w:hAnsi="宋体"/>
          <w:sz w:val="24"/>
          <w:szCs w:val="24"/>
        </w:rPr>
        <w:t>暂存户到帐</w:t>
      </w:r>
    </w:p>
    <w:p>
      <w:pPr>
        <w:numPr>
          <w:ilvl w:val="0"/>
          <w:numId w:val="5"/>
        </w:numPr>
        <w:rPr>
          <w:rFonts w:ascii="宋体" w:hAnsi="宋体"/>
          <w:sz w:val="24"/>
          <w:szCs w:val="24"/>
        </w:rPr>
      </w:pPr>
      <w:r>
        <w:rPr>
          <w:rFonts w:hint="eastAsia" w:ascii="宋体" w:hAnsi="宋体"/>
          <w:sz w:val="24"/>
          <w:szCs w:val="24"/>
        </w:rPr>
        <w:t>职工缴费工资调整</w:t>
      </w:r>
    </w:p>
    <w:p>
      <w:pPr>
        <w:numPr>
          <w:ilvl w:val="0"/>
          <w:numId w:val="5"/>
        </w:numPr>
        <w:rPr>
          <w:rFonts w:ascii="宋体" w:hAnsi="宋体"/>
          <w:sz w:val="24"/>
          <w:szCs w:val="24"/>
        </w:rPr>
      </w:pPr>
      <w:r>
        <w:rPr>
          <w:rFonts w:hint="eastAsia" w:ascii="宋体" w:hAnsi="宋体"/>
          <w:sz w:val="24"/>
          <w:szCs w:val="24"/>
        </w:rPr>
        <w:t>单位职工批量补缴</w:t>
      </w:r>
    </w:p>
    <w:p>
      <w:pPr>
        <w:numPr>
          <w:ilvl w:val="0"/>
          <w:numId w:val="5"/>
        </w:numPr>
        <w:rPr>
          <w:rFonts w:ascii="宋体" w:hAnsi="宋体"/>
          <w:sz w:val="24"/>
          <w:szCs w:val="24"/>
        </w:rPr>
      </w:pPr>
      <w:r>
        <w:rPr>
          <w:rFonts w:hint="eastAsia" w:ascii="宋体" w:hAnsi="宋体"/>
          <w:sz w:val="24"/>
          <w:szCs w:val="24"/>
        </w:rPr>
        <w:t>缴费工资批量调整</w:t>
      </w:r>
    </w:p>
    <w:p>
      <w:pPr>
        <w:numPr>
          <w:ilvl w:val="0"/>
          <w:numId w:val="5"/>
        </w:numPr>
        <w:rPr>
          <w:rFonts w:ascii="宋体" w:hAnsi="宋体"/>
          <w:sz w:val="24"/>
          <w:szCs w:val="24"/>
        </w:rPr>
      </w:pPr>
      <w:r>
        <w:rPr>
          <w:rFonts w:hint="eastAsia" w:ascii="宋体" w:hAnsi="宋体"/>
          <w:sz w:val="24"/>
          <w:szCs w:val="24"/>
        </w:rPr>
        <w:t>单位征缴基金调整</w:t>
      </w:r>
    </w:p>
    <w:p>
      <w:pPr>
        <w:numPr>
          <w:ilvl w:val="0"/>
          <w:numId w:val="5"/>
        </w:numPr>
        <w:rPr>
          <w:rFonts w:ascii="宋体" w:hAnsi="宋体"/>
          <w:sz w:val="24"/>
          <w:szCs w:val="24"/>
        </w:rPr>
      </w:pPr>
      <w:r>
        <w:rPr>
          <w:rFonts w:hint="eastAsia" w:ascii="宋体" w:hAnsi="宋体"/>
          <w:sz w:val="24"/>
          <w:szCs w:val="24"/>
        </w:rPr>
        <w:t>自由职业者缴费</w:t>
      </w:r>
    </w:p>
    <w:p>
      <w:pPr>
        <w:numPr>
          <w:ilvl w:val="0"/>
          <w:numId w:val="5"/>
        </w:numPr>
        <w:rPr>
          <w:rFonts w:ascii="宋体" w:hAnsi="宋体"/>
          <w:sz w:val="24"/>
          <w:szCs w:val="24"/>
        </w:rPr>
      </w:pPr>
      <w:r>
        <w:rPr>
          <w:rFonts w:hint="eastAsia" w:ascii="宋体" w:hAnsi="宋体"/>
          <w:sz w:val="24"/>
          <w:szCs w:val="24"/>
        </w:rPr>
        <w:t>单位应缴基金直接部分到帐</w:t>
      </w:r>
    </w:p>
    <w:p>
      <w:pPr>
        <w:ind w:firstLine="480" w:firstLineChars="200"/>
        <w:rPr>
          <w:rFonts w:ascii="宋体" w:hAnsi="宋体"/>
          <w:sz w:val="24"/>
          <w:szCs w:val="24"/>
        </w:rPr>
      </w:pPr>
      <w:bookmarkStart w:id="54" w:name="_Toc2176096"/>
      <w:r>
        <w:rPr>
          <w:rFonts w:hint="eastAsia" w:ascii="宋体" w:hAnsi="宋体"/>
          <w:sz w:val="24"/>
          <w:szCs w:val="24"/>
        </w:rPr>
        <w:t>（3）个人账户管理</w:t>
      </w:r>
      <w:bookmarkEnd w:id="54"/>
    </w:p>
    <w:p>
      <w:pPr>
        <w:ind w:firstLine="480" w:firstLineChars="200"/>
        <w:rPr>
          <w:rFonts w:ascii="宋体" w:hAnsi="宋体"/>
          <w:sz w:val="24"/>
          <w:szCs w:val="24"/>
        </w:rPr>
      </w:pPr>
      <w:r>
        <w:rPr>
          <w:rFonts w:hint="eastAsia" w:ascii="宋体" w:hAnsi="宋体"/>
          <w:sz w:val="24"/>
          <w:szCs w:val="24"/>
        </w:rPr>
        <w:t>需要对个人账户管理模块进行改造和拆分，具体包括：</w:t>
      </w:r>
    </w:p>
    <w:p>
      <w:pPr>
        <w:numPr>
          <w:ilvl w:val="0"/>
          <w:numId w:val="6"/>
        </w:numPr>
        <w:rPr>
          <w:rFonts w:ascii="宋体" w:hAnsi="宋体"/>
          <w:sz w:val="24"/>
          <w:szCs w:val="24"/>
        </w:rPr>
      </w:pPr>
      <w:r>
        <w:rPr>
          <w:rFonts w:hint="eastAsia" w:ascii="宋体" w:hAnsi="宋体"/>
          <w:sz w:val="24"/>
          <w:szCs w:val="24"/>
        </w:rPr>
        <w:t>终止一次性支付</w:t>
      </w:r>
    </w:p>
    <w:p>
      <w:pPr>
        <w:numPr>
          <w:ilvl w:val="0"/>
          <w:numId w:val="6"/>
        </w:numPr>
        <w:rPr>
          <w:rFonts w:ascii="宋体" w:hAnsi="宋体"/>
          <w:sz w:val="24"/>
          <w:szCs w:val="24"/>
        </w:rPr>
      </w:pPr>
      <w:r>
        <w:rPr>
          <w:rFonts w:hint="eastAsia" w:ascii="宋体" w:hAnsi="宋体"/>
          <w:sz w:val="24"/>
          <w:szCs w:val="24"/>
        </w:rPr>
        <w:t>终止一次性支付审核</w:t>
      </w:r>
    </w:p>
    <w:p>
      <w:pPr>
        <w:numPr>
          <w:ilvl w:val="0"/>
          <w:numId w:val="6"/>
        </w:numPr>
        <w:rPr>
          <w:rFonts w:ascii="宋体" w:hAnsi="宋体"/>
          <w:sz w:val="24"/>
          <w:szCs w:val="24"/>
        </w:rPr>
      </w:pPr>
      <w:r>
        <w:rPr>
          <w:rFonts w:hint="eastAsia" w:ascii="宋体" w:hAnsi="宋体"/>
          <w:sz w:val="24"/>
          <w:szCs w:val="24"/>
        </w:rPr>
        <w:t>基金异地转入审核</w:t>
      </w:r>
    </w:p>
    <w:p>
      <w:pPr>
        <w:numPr>
          <w:ilvl w:val="0"/>
          <w:numId w:val="6"/>
        </w:numPr>
        <w:rPr>
          <w:rFonts w:ascii="宋体" w:hAnsi="宋体"/>
          <w:sz w:val="24"/>
          <w:szCs w:val="24"/>
        </w:rPr>
      </w:pPr>
      <w:r>
        <w:rPr>
          <w:rFonts w:hint="eastAsia" w:ascii="宋体" w:hAnsi="宋体"/>
          <w:sz w:val="24"/>
          <w:szCs w:val="24"/>
        </w:rPr>
        <w:t>统帐前账户维护</w:t>
      </w:r>
    </w:p>
    <w:p>
      <w:pPr>
        <w:numPr>
          <w:ilvl w:val="0"/>
          <w:numId w:val="6"/>
        </w:numPr>
        <w:rPr>
          <w:rFonts w:ascii="宋体" w:hAnsi="宋体"/>
          <w:sz w:val="24"/>
          <w:szCs w:val="24"/>
        </w:rPr>
      </w:pPr>
      <w:r>
        <w:rPr>
          <w:rFonts w:hint="eastAsia" w:ascii="宋体" w:hAnsi="宋体"/>
          <w:sz w:val="24"/>
          <w:szCs w:val="24"/>
        </w:rPr>
        <w:t>转出审核数据查询</w:t>
      </w:r>
    </w:p>
    <w:p>
      <w:pPr>
        <w:numPr>
          <w:ilvl w:val="0"/>
          <w:numId w:val="6"/>
        </w:numPr>
        <w:rPr>
          <w:rFonts w:ascii="宋体" w:hAnsi="宋体"/>
          <w:sz w:val="24"/>
          <w:szCs w:val="24"/>
        </w:rPr>
      </w:pPr>
      <w:r>
        <w:rPr>
          <w:rFonts w:hint="eastAsia" w:ascii="宋体" w:hAnsi="宋体"/>
          <w:sz w:val="24"/>
          <w:szCs w:val="24"/>
        </w:rPr>
        <w:t>批量打印转移联系单</w:t>
      </w:r>
    </w:p>
    <w:p>
      <w:pPr>
        <w:numPr>
          <w:ilvl w:val="0"/>
          <w:numId w:val="6"/>
        </w:numPr>
        <w:rPr>
          <w:rFonts w:ascii="宋体" w:hAnsi="宋体"/>
          <w:sz w:val="24"/>
          <w:szCs w:val="24"/>
        </w:rPr>
      </w:pPr>
      <w:r>
        <w:rPr>
          <w:rFonts w:hint="eastAsia" w:ascii="宋体" w:hAnsi="宋体"/>
          <w:sz w:val="24"/>
          <w:szCs w:val="24"/>
        </w:rPr>
        <w:t>在职终止人员导出</w:t>
      </w:r>
    </w:p>
    <w:p>
      <w:pPr>
        <w:numPr>
          <w:ilvl w:val="0"/>
          <w:numId w:val="6"/>
        </w:numPr>
        <w:rPr>
          <w:rFonts w:ascii="宋体" w:hAnsi="宋体"/>
          <w:sz w:val="24"/>
          <w:szCs w:val="24"/>
        </w:rPr>
      </w:pPr>
      <w:r>
        <w:rPr>
          <w:rFonts w:hint="eastAsia" w:ascii="宋体" w:hAnsi="宋体"/>
          <w:sz w:val="24"/>
          <w:szCs w:val="24"/>
        </w:rPr>
        <w:t>基金异地转出</w:t>
      </w:r>
    </w:p>
    <w:p>
      <w:pPr>
        <w:numPr>
          <w:ilvl w:val="0"/>
          <w:numId w:val="6"/>
        </w:numPr>
        <w:rPr>
          <w:rFonts w:ascii="宋体" w:hAnsi="宋体"/>
          <w:sz w:val="24"/>
          <w:szCs w:val="24"/>
        </w:rPr>
      </w:pPr>
      <w:r>
        <w:rPr>
          <w:rFonts w:hint="eastAsia" w:ascii="宋体" w:hAnsi="宋体"/>
          <w:sz w:val="24"/>
          <w:szCs w:val="24"/>
        </w:rPr>
        <w:t>基金异地转出审核</w:t>
      </w:r>
    </w:p>
    <w:p>
      <w:pPr>
        <w:numPr>
          <w:ilvl w:val="0"/>
          <w:numId w:val="6"/>
        </w:numPr>
        <w:rPr>
          <w:rFonts w:ascii="宋体" w:hAnsi="宋体"/>
          <w:sz w:val="24"/>
          <w:szCs w:val="24"/>
        </w:rPr>
      </w:pPr>
      <w:r>
        <w:rPr>
          <w:rFonts w:hint="eastAsia" w:ascii="宋体" w:hAnsi="宋体"/>
          <w:sz w:val="24"/>
          <w:szCs w:val="24"/>
        </w:rPr>
        <w:t>缴费信息修改(高权限)</w:t>
      </w:r>
    </w:p>
    <w:p>
      <w:pPr>
        <w:numPr>
          <w:ilvl w:val="0"/>
          <w:numId w:val="6"/>
        </w:numPr>
        <w:rPr>
          <w:rFonts w:ascii="宋体" w:hAnsi="宋体"/>
          <w:sz w:val="24"/>
          <w:szCs w:val="24"/>
        </w:rPr>
      </w:pPr>
      <w:r>
        <w:rPr>
          <w:rFonts w:hint="eastAsia" w:ascii="宋体" w:hAnsi="宋体"/>
          <w:sz w:val="24"/>
          <w:szCs w:val="24"/>
        </w:rPr>
        <w:t>缴费信息修改(低权限)</w:t>
      </w:r>
    </w:p>
    <w:p>
      <w:pPr>
        <w:numPr>
          <w:ilvl w:val="0"/>
          <w:numId w:val="6"/>
        </w:numPr>
        <w:rPr>
          <w:rFonts w:ascii="宋体" w:hAnsi="宋体"/>
          <w:sz w:val="24"/>
          <w:szCs w:val="24"/>
        </w:rPr>
      </w:pPr>
      <w:r>
        <w:rPr>
          <w:rFonts w:hint="eastAsia" w:ascii="宋体" w:hAnsi="宋体"/>
          <w:sz w:val="24"/>
          <w:szCs w:val="24"/>
        </w:rPr>
        <w:t>缴费视同到帐</w:t>
      </w:r>
    </w:p>
    <w:p>
      <w:pPr>
        <w:numPr>
          <w:ilvl w:val="0"/>
          <w:numId w:val="6"/>
        </w:numPr>
        <w:rPr>
          <w:rFonts w:ascii="宋体" w:hAnsi="宋体"/>
          <w:sz w:val="24"/>
          <w:szCs w:val="24"/>
        </w:rPr>
      </w:pPr>
      <w:r>
        <w:rPr>
          <w:rFonts w:hint="eastAsia" w:ascii="宋体" w:hAnsi="宋体"/>
          <w:sz w:val="24"/>
          <w:szCs w:val="24"/>
        </w:rPr>
        <w:t>基金转入到帐处理</w:t>
      </w:r>
    </w:p>
    <w:p>
      <w:pPr>
        <w:numPr>
          <w:ilvl w:val="0"/>
          <w:numId w:val="6"/>
        </w:numPr>
        <w:rPr>
          <w:rFonts w:ascii="宋体" w:hAnsi="宋体"/>
          <w:sz w:val="24"/>
          <w:szCs w:val="24"/>
        </w:rPr>
      </w:pPr>
      <w:r>
        <w:rPr>
          <w:rFonts w:hint="eastAsia" w:ascii="宋体" w:hAnsi="宋体"/>
          <w:sz w:val="24"/>
          <w:szCs w:val="24"/>
        </w:rPr>
        <w:t>批量打印转移联系单</w:t>
      </w:r>
    </w:p>
    <w:p>
      <w:pPr>
        <w:numPr>
          <w:ilvl w:val="0"/>
          <w:numId w:val="6"/>
        </w:numPr>
        <w:rPr>
          <w:rFonts w:ascii="宋体" w:hAnsi="宋体"/>
          <w:sz w:val="24"/>
          <w:szCs w:val="24"/>
        </w:rPr>
      </w:pPr>
      <w:r>
        <w:rPr>
          <w:rFonts w:hint="eastAsia" w:ascii="宋体" w:hAnsi="宋体"/>
          <w:sz w:val="24"/>
          <w:szCs w:val="24"/>
        </w:rPr>
        <w:t>终止一次性支付(低权限)</w:t>
      </w:r>
    </w:p>
    <w:p>
      <w:pPr>
        <w:numPr>
          <w:ilvl w:val="0"/>
          <w:numId w:val="6"/>
        </w:numPr>
        <w:rPr>
          <w:rFonts w:ascii="宋体" w:hAnsi="宋体"/>
          <w:sz w:val="24"/>
          <w:szCs w:val="24"/>
        </w:rPr>
      </w:pPr>
      <w:r>
        <w:rPr>
          <w:rFonts w:hint="eastAsia" w:ascii="宋体" w:hAnsi="宋体"/>
          <w:sz w:val="24"/>
          <w:szCs w:val="24"/>
        </w:rPr>
        <w:t>退休人员终止结算</w:t>
      </w:r>
    </w:p>
    <w:p>
      <w:pPr>
        <w:ind w:firstLine="480" w:firstLineChars="200"/>
        <w:rPr>
          <w:rFonts w:ascii="宋体" w:hAnsi="宋体"/>
          <w:sz w:val="24"/>
          <w:szCs w:val="24"/>
        </w:rPr>
      </w:pPr>
      <w:bookmarkStart w:id="55" w:name="_Toc2176097"/>
      <w:r>
        <w:rPr>
          <w:rFonts w:hint="eastAsia" w:ascii="宋体" w:hAnsi="宋体"/>
          <w:sz w:val="24"/>
          <w:szCs w:val="24"/>
        </w:rPr>
        <w:t>（4）退休待遇管理</w:t>
      </w:r>
      <w:bookmarkEnd w:id="55"/>
    </w:p>
    <w:p>
      <w:pPr>
        <w:ind w:firstLine="480" w:firstLineChars="200"/>
        <w:rPr>
          <w:rFonts w:ascii="宋体" w:hAnsi="宋体"/>
          <w:sz w:val="24"/>
          <w:szCs w:val="24"/>
        </w:rPr>
      </w:pPr>
      <w:r>
        <w:rPr>
          <w:rFonts w:hint="eastAsia" w:ascii="宋体" w:hAnsi="宋体"/>
          <w:sz w:val="24"/>
          <w:szCs w:val="24"/>
        </w:rPr>
        <w:t>新增医保退休待遇管理，具体如下：</w:t>
      </w:r>
    </w:p>
    <w:p>
      <w:pPr>
        <w:numPr>
          <w:ilvl w:val="0"/>
          <w:numId w:val="7"/>
        </w:numPr>
        <w:rPr>
          <w:rFonts w:ascii="宋体" w:hAnsi="宋体"/>
          <w:sz w:val="24"/>
          <w:szCs w:val="24"/>
        </w:rPr>
      </w:pPr>
      <w:r>
        <w:rPr>
          <w:rFonts w:hint="eastAsia" w:ascii="宋体" w:hAnsi="宋体"/>
          <w:sz w:val="24"/>
          <w:szCs w:val="24"/>
        </w:rPr>
        <w:t>企业医保退休待遇核定</w:t>
      </w:r>
    </w:p>
    <w:p>
      <w:pPr>
        <w:numPr>
          <w:ilvl w:val="0"/>
          <w:numId w:val="7"/>
        </w:numPr>
        <w:rPr>
          <w:rFonts w:ascii="宋体" w:hAnsi="宋体"/>
          <w:sz w:val="24"/>
          <w:szCs w:val="24"/>
        </w:rPr>
      </w:pPr>
      <w:r>
        <w:rPr>
          <w:rFonts w:hint="eastAsia" w:ascii="宋体" w:hAnsi="宋体"/>
          <w:sz w:val="24"/>
          <w:szCs w:val="24"/>
        </w:rPr>
        <w:t>企业医保退休待遇审核</w:t>
      </w:r>
    </w:p>
    <w:p>
      <w:pPr>
        <w:ind w:firstLine="480" w:firstLineChars="200"/>
        <w:rPr>
          <w:rFonts w:ascii="宋体" w:hAnsi="宋体"/>
          <w:sz w:val="24"/>
          <w:szCs w:val="24"/>
        </w:rPr>
      </w:pPr>
      <w:bookmarkStart w:id="56" w:name="_Toc2176098"/>
      <w:r>
        <w:rPr>
          <w:rFonts w:hint="eastAsia" w:ascii="宋体" w:hAnsi="宋体"/>
          <w:sz w:val="24"/>
          <w:szCs w:val="24"/>
        </w:rPr>
        <w:t>（5）月结算管理</w:t>
      </w:r>
      <w:bookmarkEnd w:id="56"/>
    </w:p>
    <w:p>
      <w:pPr>
        <w:ind w:firstLine="480" w:firstLineChars="200"/>
        <w:rPr>
          <w:rFonts w:ascii="宋体" w:hAnsi="宋体"/>
          <w:sz w:val="24"/>
          <w:szCs w:val="24"/>
        </w:rPr>
      </w:pPr>
      <w:r>
        <w:rPr>
          <w:rFonts w:hint="eastAsia" w:ascii="宋体" w:hAnsi="宋体"/>
          <w:sz w:val="24"/>
          <w:szCs w:val="24"/>
        </w:rPr>
        <w:t>修改月结功能模块，确保系统只产生医保和生育保险的应征数据，单位台账也只产生两险数据，同时取消到龄中断等控制。</w:t>
      </w:r>
    </w:p>
    <w:p>
      <w:pPr>
        <w:ind w:firstLine="480" w:firstLineChars="200"/>
        <w:rPr>
          <w:rFonts w:ascii="宋体" w:hAnsi="宋体"/>
          <w:sz w:val="24"/>
          <w:szCs w:val="24"/>
        </w:rPr>
      </w:pPr>
      <w:bookmarkStart w:id="57" w:name="_Toc2176099"/>
      <w:r>
        <w:rPr>
          <w:rFonts w:hint="eastAsia" w:ascii="宋体" w:hAnsi="宋体"/>
          <w:sz w:val="24"/>
          <w:szCs w:val="24"/>
        </w:rPr>
        <w:t>（6）医保业务报表</w:t>
      </w:r>
      <w:bookmarkEnd w:id="57"/>
    </w:p>
    <w:p>
      <w:pPr>
        <w:ind w:firstLine="480" w:firstLineChars="200"/>
        <w:rPr>
          <w:rFonts w:ascii="宋体" w:hAnsi="宋体"/>
          <w:sz w:val="24"/>
          <w:szCs w:val="24"/>
        </w:rPr>
      </w:pPr>
      <w:r>
        <w:rPr>
          <w:rFonts w:hint="eastAsia" w:ascii="宋体" w:hAnsi="宋体"/>
          <w:sz w:val="24"/>
          <w:szCs w:val="24"/>
        </w:rPr>
        <w:t>单位参保证明、个人参保证明、职工花名册等业务报表都需统一修改格式。</w:t>
      </w:r>
    </w:p>
    <w:p>
      <w:pPr>
        <w:ind w:firstLine="480" w:firstLineChars="200"/>
        <w:rPr>
          <w:rFonts w:ascii="宋体" w:hAnsi="宋体"/>
          <w:sz w:val="24"/>
          <w:szCs w:val="24"/>
        </w:rPr>
      </w:pPr>
      <w:bookmarkStart w:id="58" w:name="_Toc2176100"/>
      <w:r>
        <w:rPr>
          <w:rFonts w:hint="eastAsia" w:ascii="宋体" w:hAnsi="宋体"/>
          <w:sz w:val="24"/>
          <w:szCs w:val="24"/>
        </w:rPr>
        <w:t>（7）基金财务管理</w:t>
      </w:r>
      <w:bookmarkEnd w:id="58"/>
    </w:p>
    <w:p>
      <w:pPr>
        <w:numPr>
          <w:ilvl w:val="0"/>
          <w:numId w:val="8"/>
        </w:numPr>
        <w:rPr>
          <w:rFonts w:ascii="宋体" w:hAnsi="宋体"/>
          <w:sz w:val="24"/>
          <w:szCs w:val="24"/>
        </w:rPr>
      </w:pPr>
      <w:r>
        <w:rPr>
          <w:rFonts w:hint="eastAsia" w:ascii="宋体" w:hAnsi="宋体"/>
          <w:sz w:val="24"/>
          <w:szCs w:val="24"/>
        </w:rPr>
        <w:t>地税未对应单位到账</w:t>
      </w:r>
    </w:p>
    <w:p>
      <w:pPr>
        <w:numPr>
          <w:ilvl w:val="0"/>
          <w:numId w:val="8"/>
        </w:numPr>
        <w:rPr>
          <w:rFonts w:ascii="宋体" w:hAnsi="宋体"/>
          <w:sz w:val="24"/>
          <w:szCs w:val="24"/>
        </w:rPr>
      </w:pPr>
      <w:r>
        <w:rPr>
          <w:rFonts w:hint="eastAsia" w:ascii="宋体" w:hAnsi="宋体"/>
          <w:sz w:val="24"/>
          <w:szCs w:val="24"/>
        </w:rPr>
        <w:t>灵活就业基金到账</w:t>
      </w:r>
    </w:p>
    <w:p>
      <w:pPr>
        <w:numPr>
          <w:ilvl w:val="0"/>
          <w:numId w:val="8"/>
        </w:numPr>
        <w:rPr>
          <w:rFonts w:ascii="宋体" w:hAnsi="宋体"/>
          <w:sz w:val="24"/>
          <w:szCs w:val="24"/>
        </w:rPr>
      </w:pPr>
      <w:r>
        <w:rPr>
          <w:rFonts w:hint="eastAsia" w:ascii="宋体" w:hAnsi="宋体"/>
          <w:sz w:val="24"/>
          <w:szCs w:val="24"/>
        </w:rPr>
        <w:t>地税单户取数</w:t>
      </w:r>
    </w:p>
    <w:p>
      <w:pPr>
        <w:numPr>
          <w:ilvl w:val="0"/>
          <w:numId w:val="8"/>
        </w:numPr>
        <w:rPr>
          <w:rFonts w:ascii="宋体" w:hAnsi="宋体"/>
          <w:sz w:val="24"/>
          <w:szCs w:val="24"/>
        </w:rPr>
      </w:pPr>
      <w:r>
        <w:rPr>
          <w:rFonts w:hint="eastAsia" w:ascii="宋体" w:hAnsi="宋体"/>
          <w:sz w:val="24"/>
          <w:szCs w:val="24"/>
        </w:rPr>
        <w:t>单位直接到帐</w:t>
      </w:r>
    </w:p>
    <w:p>
      <w:pPr>
        <w:numPr>
          <w:ilvl w:val="0"/>
          <w:numId w:val="8"/>
        </w:numPr>
        <w:rPr>
          <w:rFonts w:ascii="宋体" w:hAnsi="宋体"/>
          <w:sz w:val="24"/>
          <w:szCs w:val="24"/>
        </w:rPr>
      </w:pPr>
      <w:r>
        <w:rPr>
          <w:rFonts w:hint="eastAsia" w:ascii="宋体" w:hAnsi="宋体"/>
          <w:sz w:val="24"/>
          <w:szCs w:val="24"/>
        </w:rPr>
        <w:t>基金财务到帐</w:t>
      </w:r>
    </w:p>
    <w:p>
      <w:pPr>
        <w:numPr>
          <w:ilvl w:val="0"/>
          <w:numId w:val="8"/>
        </w:numPr>
        <w:rPr>
          <w:rFonts w:ascii="宋体" w:hAnsi="宋体"/>
          <w:sz w:val="24"/>
          <w:szCs w:val="24"/>
        </w:rPr>
      </w:pPr>
      <w:r>
        <w:rPr>
          <w:rFonts w:hint="eastAsia" w:ascii="宋体" w:hAnsi="宋体"/>
          <w:sz w:val="24"/>
          <w:szCs w:val="24"/>
        </w:rPr>
        <w:t>基金财务支付</w:t>
      </w:r>
    </w:p>
    <w:p>
      <w:pPr>
        <w:numPr>
          <w:ilvl w:val="0"/>
          <w:numId w:val="8"/>
        </w:numPr>
        <w:rPr>
          <w:rFonts w:ascii="宋体" w:hAnsi="宋体"/>
          <w:sz w:val="24"/>
          <w:szCs w:val="24"/>
        </w:rPr>
      </w:pPr>
      <w:r>
        <w:rPr>
          <w:rFonts w:hint="eastAsia" w:ascii="宋体" w:hAnsi="宋体"/>
          <w:sz w:val="24"/>
          <w:szCs w:val="24"/>
        </w:rPr>
        <w:t>异地转入基金到账</w:t>
      </w:r>
    </w:p>
    <w:p>
      <w:pPr>
        <w:numPr>
          <w:ilvl w:val="0"/>
          <w:numId w:val="8"/>
        </w:numPr>
        <w:rPr>
          <w:rFonts w:ascii="宋体" w:hAnsi="宋体"/>
          <w:sz w:val="24"/>
          <w:szCs w:val="24"/>
        </w:rPr>
      </w:pPr>
      <w:r>
        <w:rPr>
          <w:rFonts w:hint="eastAsia" w:ascii="宋体" w:hAnsi="宋体"/>
          <w:sz w:val="24"/>
          <w:szCs w:val="24"/>
        </w:rPr>
        <w:t>地税返回基金到账</w:t>
      </w:r>
    </w:p>
    <w:p>
      <w:pPr>
        <w:numPr>
          <w:ilvl w:val="0"/>
          <w:numId w:val="8"/>
        </w:numPr>
        <w:rPr>
          <w:rFonts w:ascii="宋体" w:hAnsi="宋体"/>
          <w:sz w:val="24"/>
          <w:szCs w:val="24"/>
        </w:rPr>
      </w:pPr>
      <w:r>
        <w:rPr>
          <w:rFonts w:hint="eastAsia" w:ascii="宋体" w:hAnsi="宋体"/>
          <w:sz w:val="24"/>
          <w:szCs w:val="24"/>
        </w:rPr>
        <w:t>地税批量未对应到账</w:t>
      </w:r>
    </w:p>
    <w:p>
      <w:pPr>
        <w:numPr>
          <w:ilvl w:val="0"/>
          <w:numId w:val="8"/>
        </w:numPr>
        <w:rPr>
          <w:rFonts w:ascii="宋体" w:hAnsi="宋体"/>
          <w:sz w:val="24"/>
          <w:szCs w:val="24"/>
        </w:rPr>
      </w:pPr>
      <w:r>
        <w:rPr>
          <w:rFonts w:hint="eastAsia" w:ascii="宋体" w:hAnsi="宋体"/>
          <w:sz w:val="24"/>
          <w:szCs w:val="24"/>
        </w:rPr>
        <w:t>地税实到数据及单位到账情况查询</w:t>
      </w:r>
    </w:p>
    <w:p>
      <w:pPr>
        <w:numPr>
          <w:ilvl w:val="0"/>
          <w:numId w:val="8"/>
        </w:numPr>
        <w:rPr>
          <w:rFonts w:ascii="宋体" w:hAnsi="宋体"/>
          <w:sz w:val="24"/>
          <w:szCs w:val="24"/>
        </w:rPr>
      </w:pPr>
      <w:r>
        <w:rPr>
          <w:rFonts w:hint="eastAsia" w:ascii="宋体" w:hAnsi="宋体"/>
          <w:sz w:val="24"/>
          <w:szCs w:val="24"/>
        </w:rPr>
        <w:t>职工花名册</w:t>
      </w:r>
    </w:p>
    <w:p>
      <w:pPr>
        <w:numPr>
          <w:ilvl w:val="0"/>
          <w:numId w:val="8"/>
        </w:numPr>
        <w:rPr>
          <w:rFonts w:ascii="宋体" w:hAnsi="宋体"/>
          <w:sz w:val="24"/>
          <w:szCs w:val="24"/>
        </w:rPr>
      </w:pPr>
      <w:r>
        <w:rPr>
          <w:rFonts w:hint="eastAsia" w:ascii="宋体" w:hAnsi="宋体"/>
          <w:sz w:val="24"/>
          <w:szCs w:val="24"/>
        </w:rPr>
        <w:t>月度缴费清册</w:t>
      </w:r>
    </w:p>
    <w:p>
      <w:pPr>
        <w:numPr>
          <w:ilvl w:val="0"/>
          <w:numId w:val="8"/>
        </w:numPr>
        <w:rPr>
          <w:rFonts w:ascii="宋体" w:hAnsi="宋体"/>
          <w:sz w:val="24"/>
          <w:szCs w:val="24"/>
        </w:rPr>
      </w:pPr>
      <w:r>
        <w:rPr>
          <w:rFonts w:hint="eastAsia" w:ascii="宋体" w:hAnsi="宋体"/>
          <w:sz w:val="24"/>
          <w:szCs w:val="24"/>
        </w:rPr>
        <w:t>单位剩余基金查询</w:t>
      </w:r>
    </w:p>
    <w:p>
      <w:pPr>
        <w:numPr>
          <w:ilvl w:val="0"/>
          <w:numId w:val="8"/>
        </w:numPr>
        <w:rPr>
          <w:rFonts w:ascii="宋体" w:hAnsi="宋体"/>
          <w:sz w:val="24"/>
          <w:szCs w:val="24"/>
        </w:rPr>
      </w:pPr>
      <w:r>
        <w:rPr>
          <w:rFonts w:hint="eastAsia" w:ascii="宋体" w:hAnsi="宋体"/>
          <w:sz w:val="24"/>
          <w:szCs w:val="24"/>
        </w:rPr>
        <w:t>地税发送情况查询（单位）</w:t>
      </w:r>
    </w:p>
    <w:p>
      <w:pPr>
        <w:numPr>
          <w:ilvl w:val="0"/>
          <w:numId w:val="8"/>
        </w:numPr>
        <w:rPr>
          <w:rFonts w:ascii="宋体" w:hAnsi="宋体"/>
          <w:sz w:val="24"/>
          <w:szCs w:val="24"/>
        </w:rPr>
      </w:pPr>
      <w:r>
        <w:rPr>
          <w:rFonts w:hint="eastAsia" w:ascii="宋体" w:hAnsi="宋体"/>
          <w:sz w:val="24"/>
          <w:szCs w:val="24"/>
        </w:rPr>
        <w:t>地税发送情况查询（个人）</w:t>
      </w:r>
    </w:p>
    <w:p>
      <w:pPr>
        <w:numPr>
          <w:ilvl w:val="0"/>
          <w:numId w:val="8"/>
        </w:numPr>
        <w:rPr>
          <w:rFonts w:ascii="宋体" w:hAnsi="宋体"/>
          <w:sz w:val="24"/>
          <w:szCs w:val="24"/>
        </w:rPr>
      </w:pPr>
      <w:r>
        <w:rPr>
          <w:rFonts w:hint="eastAsia" w:ascii="宋体" w:hAnsi="宋体"/>
          <w:sz w:val="24"/>
          <w:szCs w:val="24"/>
        </w:rPr>
        <w:t>单位交换码查询</w:t>
      </w:r>
    </w:p>
    <w:p>
      <w:pPr>
        <w:numPr>
          <w:ilvl w:val="0"/>
          <w:numId w:val="8"/>
        </w:numPr>
        <w:rPr>
          <w:rFonts w:ascii="宋体" w:hAnsi="宋体"/>
          <w:sz w:val="24"/>
          <w:szCs w:val="24"/>
        </w:rPr>
      </w:pPr>
      <w:r>
        <w:rPr>
          <w:rFonts w:hint="eastAsia" w:ascii="宋体" w:hAnsi="宋体"/>
          <w:sz w:val="24"/>
          <w:szCs w:val="24"/>
        </w:rPr>
        <w:t>个人交换码查询</w:t>
      </w:r>
    </w:p>
    <w:p>
      <w:pPr>
        <w:numPr>
          <w:ilvl w:val="0"/>
          <w:numId w:val="8"/>
        </w:numPr>
        <w:rPr>
          <w:rFonts w:ascii="宋体" w:hAnsi="宋体"/>
          <w:sz w:val="24"/>
          <w:szCs w:val="24"/>
        </w:rPr>
      </w:pPr>
      <w:bookmarkStart w:id="59" w:name="_Toc2176101"/>
      <w:r>
        <w:rPr>
          <w:rFonts w:hint="eastAsia" w:ascii="宋体" w:hAnsi="宋体"/>
          <w:sz w:val="24"/>
          <w:szCs w:val="24"/>
        </w:rPr>
        <w:t>参数设置管理</w:t>
      </w:r>
      <w:bookmarkEnd w:id="59"/>
    </w:p>
    <w:p>
      <w:pPr>
        <w:numPr>
          <w:ilvl w:val="0"/>
          <w:numId w:val="8"/>
        </w:numPr>
        <w:rPr>
          <w:rFonts w:ascii="宋体" w:hAnsi="宋体"/>
          <w:sz w:val="24"/>
          <w:szCs w:val="24"/>
        </w:rPr>
      </w:pPr>
      <w:r>
        <w:rPr>
          <w:rFonts w:hint="eastAsia" w:ascii="宋体" w:hAnsi="宋体"/>
          <w:sz w:val="24"/>
          <w:szCs w:val="24"/>
        </w:rPr>
        <w:t>年度参数、缴费比例参数、费率参数等。</w:t>
      </w:r>
    </w:p>
    <w:p>
      <w:pPr>
        <w:ind w:firstLine="480" w:firstLineChars="200"/>
        <w:rPr>
          <w:rFonts w:ascii="宋体" w:hAnsi="宋体"/>
          <w:sz w:val="24"/>
          <w:szCs w:val="24"/>
        </w:rPr>
      </w:pPr>
      <w:bookmarkStart w:id="60" w:name="_Toc2176102"/>
      <w:r>
        <w:rPr>
          <w:rFonts w:hint="eastAsia" w:ascii="宋体" w:hAnsi="宋体"/>
          <w:sz w:val="24"/>
          <w:szCs w:val="24"/>
        </w:rPr>
        <w:t>（8）接口改造</w:t>
      </w:r>
      <w:bookmarkEnd w:id="60"/>
    </w:p>
    <w:p>
      <w:pPr>
        <w:numPr>
          <w:ilvl w:val="0"/>
          <w:numId w:val="9"/>
        </w:numPr>
        <w:rPr>
          <w:rFonts w:ascii="宋体" w:hAnsi="宋体"/>
          <w:b w:val="0"/>
          <w:sz w:val="24"/>
          <w:szCs w:val="24"/>
        </w:rPr>
      </w:pPr>
      <w:bookmarkStart w:id="61" w:name="_Toc2176103"/>
      <w:r>
        <w:rPr>
          <w:rFonts w:hint="eastAsia" w:ascii="宋体" w:hAnsi="宋体"/>
          <w:b w:val="0"/>
          <w:sz w:val="24"/>
          <w:szCs w:val="24"/>
        </w:rPr>
        <w:t>与税务系统的对接改造</w:t>
      </w:r>
      <w:bookmarkEnd w:id="61"/>
    </w:p>
    <w:p>
      <w:pPr>
        <w:numPr>
          <w:ilvl w:val="0"/>
          <w:numId w:val="9"/>
        </w:numPr>
        <w:rPr>
          <w:rFonts w:ascii="宋体" w:hAnsi="宋体"/>
          <w:b w:val="0"/>
          <w:sz w:val="24"/>
          <w:szCs w:val="24"/>
        </w:rPr>
      </w:pPr>
      <w:bookmarkStart w:id="62" w:name="_Toc2176104"/>
      <w:r>
        <w:rPr>
          <w:rFonts w:hint="eastAsia" w:ascii="宋体" w:hAnsi="宋体"/>
          <w:b w:val="0"/>
          <w:sz w:val="24"/>
          <w:szCs w:val="24"/>
        </w:rPr>
        <w:t>与全民参保登记系统的对接改造</w:t>
      </w:r>
      <w:bookmarkEnd w:id="62"/>
    </w:p>
    <w:p>
      <w:pPr>
        <w:numPr>
          <w:ilvl w:val="0"/>
          <w:numId w:val="9"/>
        </w:numPr>
        <w:rPr>
          <w:rFonts w:ascii="宋体" w:hAnsi="宋体"/>
          <w:b w:val="0"/>
          <w:sz w:val="24"/>
          <w:szCs w:val="24"/>
        </w:rPr>
      </w:pPr>
      <w:bookmarkStart w:id="63" w:name="_Toc2176105"/>
      <w:r>
        <w:rPr>
          <w:rFonts w:hint="eastAsia" w:ascii="宋体" w:hAnsi="宋体"/>
          <w:b w:val="0"/>
          <w:sz w:val="24"/>
          <w:szCs w:val="24"/>
        </w:rPr>
        <w:t>与市“互联网</w:t>
      </w:r>
      <w:r>
        <w:rPr>
          <w:rFonts w:ascii="宋体" w:hAnsi="宋体"/>
          <w:b w:val="0"/>
          <w:sz w:val="24"/>
          <w:szCs w:val="24"/>
        </w:rPr>
        <w:t>+人社”系统</w:t>
      </w:r>
      <w:r>
        <w:rPr>
          <w:rFonts w:hint="eastAsia" w:ascii="宋体" w:hAnsi="宋体"/>
          <w:b w:val="0"/>
          <w:sz w:val="24"/>
          <w:szCs w:val="24"/>
        </w:rPr>
        <w:t>对接的接口</w:t>
      </w:r>
      <w:bookmarkEnd w:id="63"/>
    </w:p>
    <w:p>
      <w:pPr>
        <w:numPr>
          <w:ilvl w:val="0"/>
          <w:numId w:val="9"/>
        </w:numPr>
        <w:rPr>
          <w:rFonts w:ascii="宋体" w:hAnsi="宋体"/>
          <w:b w:val="0"/>
          <w:sz w:val="24"/>
          <w:szCs w:val="24"/>
        </w:rPr>
      </w:pPr>
      <w:bookmarkStart w:id="64" w:name="_Toc2176106"/>
      <w:r>
        <w:rPr>
          <w:rFonts w:hint="eastAsia" w:ascii="宋体" w:hAnsi="宋体"/>
          <w:b w:val="0"/>
          <w:sz w:val="24"/>
          <w:szCs w:val="24"/>
        </w:rPr>
        <w:t>其他接口</w:t>
      </w:r>
      <w:bookmarkEnd w:id="64"/>
    </w:p>
    <w:p>
      <w:pPr>
        <w:pStyle w:val="3"/>
        <w:spacing w:line="500" w:lineRule="exact"/>
        <w:jc w:val="left"/>
        <w:rPr>
          <w:rFonts w:hint="eastAsia" w:ascii="黑体" w:hAnsi="黑体"/>
          <w:b w:val="0"/>
          <w:sz w:val="32"/>
          <w:szCs w:val="32"/>
        </w:rPr>
      </w:pPr>
      <w:r>
        <w:rPr>
          <w:rFonts w:hint="eastAsia" w:ascii="黑体" w:hAnsi="黑体"/>
          <w:b w:val="0"/>
          <w:sz w:val="32"/>
          <w:szCs w:val="32"/>
        </w:rPr>
        <w:t>三、诸暨市长三角异地门诊结算项目</w:t>
      </w:r>
    </w:p>
    <w:p>
      <w:pPr>
        <w:spacing w:before="0" w:after="0"/>
        <w:outlineLvl w:val="2"/>
        <w:rPr>
          <w:rFonts w:ascii="宋体" w:hAnsi="宋体"/>
          <w:b/>
          <w:bCs/>
          <w:sz w:val="24"/>
          <w:szCs w:val="24"/>
        </w:rPr>
      </w:pPr>
      <w:r>
        <w:rPr>
          <w:rFonts w:hint="eastAsia" w:ascii="宋体" w:hAnsi="宋体"/>
          <w:b/>
          <w:bCs/>
          <w:sz w:val="24"/>
          <w:szCs w:val="24"/>
        </w:rPr>
        <w:t>1、项目背景</w:t>
      </w:r>
    </w:p>
    <w:p>
      <w:pPr>
        <w:ind w:firstLine="480" w:firstLineChars="200"/>
        <w:rPr>
          <w:rFonts w:hint="eastAsia"/>
          <w:sz w:val="24"/>
          <w:szCs w:val="24"/>
        </w:rPr>
      </w:pPr>
      <w:r>
        <w:rPr>
          <w:rFonts w:hint="eastAsia"/>
          <w:sz w:val="24"/>
          <w:szCs w:val="24"/>
        </w:rPr>
        <w:t>随着当今社会人口流动性日益增加，人们对于异地就医需求大大增长，特别是在人员流通非常频繁的长三角地区，参保人员由于退休后随子女在异地安置，出于工作、学习需要长期居住异地，在就医时种种不便更加突显。为有效落实党中央、国务院关于加快推进长三角地区更高质量一体化发展的重大发展战略，促进长三角地区医疗保险的协作融合，更好地保障人民群众的基本医保权益，为参保人员提供更加高效、便捷的就医结算服务，由上海市牵头组织长三角三省一市开展跨省异地就医门诊医疗费用直接结算试点工作。</w:t>
      </w:r>
    </w:p>
    <w:p>
      <w:pPr>
        <w:spacing w:before="0" w:after="0"/>
        <w:ind w:firstLine="480" w:firstLineChars="200"/>
        <w:rPr>
          <w:sz w:val="24"/>
          <w:szCs w:val="24"/>
        </w:rPr>
      </w:pPr>
      <w:r>
        <w:rPr>
          <w:rFonts w:hint="eastAsia"/>
          <w:sz w:val="24"/>
          <w:szCs w:val="24"/>
        </w:rPr>
        <w:t>因此，为实现诸暨市与浙江省社会保障“一卡通”异地就医平台对接，支撑长三角地区跨省异地就医联网结算业务，结合本地异地就医业务发展需要，有必要对诸暨市社保系统进行升级改造。</w:t>
      </w:r>
    </w:p>
    <w:p>
      <w:pPr>
        <w:spacing w:before="0" w:after="0"/>
        <w:outlineLvl w:val="2"/>
        <w:rPr>
          <w:rFonts w:hint="eastAsia" w:ascii="宋体" w:hAnsi="宋体"/>
          <w:b/>
          <w:bCs/>
          <w:sz w:val="24"/>
          <w:szCs w:val="24"/>
        </w:rPr>
      </w:pPr>
      <w:r>
        <w:rPr>
          <w:rFonts w:hint="eastAsia" w:ascii="宋体" w:hAnsi="宋体"/>
          <w:b/>
          <w:bCs/>
          <w:sz w:val="24"/>
          <w:szCs w:val="24"/>
        </w:rPr>
        <w:t>2、建设内容</w:t>
      </w:r>
    </w:p>
    <w:p>
      <w:pPr>
        <w:ind w:firstLine="480" w:firstLineChars="200"/>
        <w:rPr>
          <w:sz w:val="24"/>
          <w:szCs w:val="24"/>
        </w:rPr>
      </w:pPr>
      <w:r>
        <w:rPr>
          <w:rFonts w:hint="eastAsia"/>
          <w:sz w:val="24"/>
          <w:szCs w:val="24"/>
        </w:rPr>
        <w:t>为落实国家长三角区域一体化战略部署，深化与沪苏皖医保部门合作，实现长三角异地门诊直接刷卡结算。</w:t>
      </w:r>
    </w:p>
    <w:p>
      <w:pPr>
        <w:ind w:firstLine="480" w:firstLineChars="200"/>
        <w:rPr>
          <w:sz w:val="24"/>
          <w:szCs w:val="24"/>
        </w:rPr>
      </w:pPr>
      <w:r>
        <w:rPr>
          <w:rFonts w:hint="eastAsia"/>
          <w:sz w:val="24"/>
          <w:szCs w:val="24"/>
        </w:rPr>
        <w:t>本次诸暨市长三角门诊结算改造项目主要建设目标如下：</w:t>
      </w:r>
      <w:r>
        <w:rPr>
          <w:sz w:val="24"/>
          <w:szCs w:val="24"/>
        </w:rPr>
        <w:t>根据长三角异地就医接口规范进行异地就医接口</w:t>
      </w:r>
      <w:r>
        <w:rPr>
          <w:rFonts w:hint="eastAsia"/>
          <w:sz w:val="24"/>
          <w:szCs w:val="24"/>
        </w:rPr>
        <w:t>系统开发</w:t>
      </w:r>
      <w:r>
        <w:rPr>
          <w:sz w:val="24"/>
          <w:szCs w:val="24"/>
        </w:rPr>
        <w:t>，包括异地就医接口升级改造以及新增异地就医交易接口，实现长三角异地交易的业务功能；升级医保业务系统</w:t>
      </w:r>
      <w:r>
        <w:rPr>
          <w:rFonts w:hint="eastAsia"/>
          <w:sz w:val="24"/>
          <w:szCs w:val="24"/>
        </w:rPr>
        <w:t>及医保结算系统</w:t>
      </w:r>
      <w:r>
        <w:rPr>
          <w:sz w:val="24"/>
          <w:szCs w:val="24"/>
        </w:rPr>
        <w:t>，包括</w:t>
      </w:r>
      <w:r>
        <w:rPr>
          <w:rFonts w:hint="eastAsia"/>
          <w:sz w:val="24"/>
          <w:szCs w:val="24"/>
        </w:rPr>
        <w:t>医保结算系统</w:t>
      </w:r>
      <w:r>
        <w:rPr>
          <w:sz w:val="24"/>
          <w:szCs w:val="24"/>
        </w:rPr>
        <w:t>核心算法升级</w:t>
      </w:r>
      <w:r>
        <w:rPr>
          <w:rFonts w:hint="eastAsia"/>
          <w:sz w:val="24"/>
          <w:szCs w:val="24"/>
        </w:rPr>
        <w:t>开发以实现长三角异地门诊刷卡</w:t>
      </w:r>
      <w:r>
        <w:rPr>
          <w:sz w:val="24"/>
          <w:szCs w:val="24"/>
        </w:rPr>
        <w:t>，系统功能模块新增调整等</w:t>
      </w:r>
      <w:r>
        <w:rPr>
          <w:rFonts w:hint="eastAsia"/>
          <w:sz w:val="24"/>
          <w:szCs w:val="24"/>
        </w:rPr>
        <w:t>；</w:t>
      </w:r>
      <w:r>
        <w:rPr>
          <w:sz w:val="24"/>
          <w:szCs w:val="24"/>
        </w:rPr>
        <w:t>系统联调，对开发改造后的系统平台进行应用联调测试，对长三角异地就医实时交易流程进行端到端的测试。</w:t>
      </w:r>
    </w:p>
    <w:p>
      <w:pPr>
        <w:outlineLvl w:val="2"/>
        <w:rPr>
          <w:rFonts w:hint="eastAsia" w:ascii="宋体" w:hAnsi="宋体"/>
          <w:b/>
          <w:bCs/>
          <w:sz w:val="24"/>
          <w:szCs w:val="24"/>
        </w:rPr>
      </w:pPr>
      <w:r>
        <w:rPr>
          <w:rFonts w:hint="eastAsia" w:ascii="宋体" w:hAnsi="宋体"/>
          <w:b/>
          <w:bCs/>
          <w:sz w:val="24"/>
          <w:szCs w:val="24"/>
        </w:rPr>
        <w:t>3、异地就医交易接口改造要求</w:t>
      </w:r>
    </w:p>
    <w:p>
      <w:pPr>
        <w:ind w:firstLine="480" w:firstLineChars="200"/>
        <w:rPr>
          <w:rFonts w:hint="eastAsia"/>
          <w:sz w:val="24"/>
          <w:szCs w:val="24"/>
        </w:rPr>
      </w:pPr>
      <w:r>
        <w:rPr>
          <w:rFonts w:hint="eastAsia"/>
          <w:sz w:val="24"/>
          <w:szCs w:val="24"/>
        </w:rPr>
        <w:t>随着新政策出台、业务管理规范化和精细化要求的提升，需要对原有省市交易接口进行扩展和完善，对省内异地就医交易接口进行升级，同时新增异地就医交易接口。</w:t>
      </w:r>
    </w:p>
    <w:p>
      <w:pPr>
        <w:ind w:firstLine="482" w:firstLineChars="200"/>
        <w:rPr>
          <w:rFonts w:hint="eastAsia"/>
          <w:b/>
          <w:bCs/>
          <w:sz w:val="24"/>
          <w:szCs w:val="24"/>
        </w:rPr>
      </w:pPr>
      <w:r>
        <w:rPr>
          <w:rFonts w:hint="eastAsia"/>
          <w:b/>
          <w:bCs/>
          <w:sz w:val="24"/>
          <w:szCs w:val="24"/>
        </w:rPr>
        <w:t>（1）异地就医交易接口升级</w:t>
      </w:r>
    </w:p>
    <w:p>
      <w:pPr>
        <w:ind w:firstLine="480" w:firstLineChars="200"/>
        <w:rPr>
          <w:rFonts w:hint="eastAsia"/>
          <w:sz w:val="24"/>
          <w:szCs w:val="24"/>
        </w:rPr>
      </w:pPr>
      <w:r>
        <w:rPr>
          <w:rFonts w:hint="eastAsia"/>
          <w:sz w:val="24"/>
          <w:szCs w:val="24"/>
        </w:rPr>
        <w:t>为了满足长三角异地实时结算的管理需求，实现长三角异地就医医疗费用的智能审核，需要扩充指标、一些业务指标要进行适应性调整：</w:t>
      </w:r>
    </w:p>
    <w:p>
      <w:pPr>
        <w:numPr>
          <w:ilvl w:val="0"/>
          <w:numId w:val="10"/>
        </w:numPr>
        <w:ind w:left="0" w:firstLine="420"/>
        <w:rPr>
          <w:rFonts w:hint="eastAsia"/>
          <w:sz w:val="24"/>
          <w:szCs w:val="24"/>
        </w:rPr>
      </w:pPr>
      <w:r>
        <w:rPr>
          <w:rFonts w:hint="eastAsia"/>
          <w:sz w:val="24"/>
          <w:szCs w:val="24"/>
        </w:rPr>
        <w:t>新开通的交易</w:t>
      </w:r>
    </w:p>
    <w:p>
      <w:pPr>
        <w:numPr>
          <w:ilvl w:val="0"/>
          <w:numId w:val="10"/>
        </w:numPr>
        <w:ind w:left="0" w:firstLine="420"/>
        <w:rPr>
          <w:rFonts w:hint="eastAsia"/>
          <w:sz w:val="24"/>
          <w:szCs w:val="24"/>
        </w:rPr>
      </w:pPr>
      <w:r>
        <w:rPr>
          <w:rFonts w:hint="eastAsia"/>
          <w:sz w:val="24"/>
          <w:szCs w:val="24"/>
        </w:rPr>
        <w:t>新增指标项的交易</w:t>
      </w:r>
    </w:p>
    <w:p>
      <w:pPr>
        <w:ind w:firstLine="482" w:firstLineChars="200"/>
        <w:rPr>
          <w:rFonts w:hint="eastAsia"/>
          <w:b/>
          <w:bCs/>
          <w:sz w:val="24"/>
          <w:szCs w:val="24"/>
        </w:rPr>
      </w:pPr>
      <w:r>
        <w:rPr>
          <w:rFonts w:hint="eastAsia"/>
          <w:b/>
          <w:bCs/>
          <w:sz w:val="24"/>
          <w:szCs w:val="24"/>
        </w:rPr>
        <w:t>（2）增加新的异地就医交易接口</w:t>
      </w:r>
    </w:p>
    <w:p>
      <w:pPr>
        <w:ind w:firstLine="480" w:firstLineChars="200"/>
        <w:rPr>
          <w:rFonts w:hint="eastAsia"/>
          <w:sz w:val="24"/>
          <w:szCs w:val="24"/>
        </w:rPr>
      </w:pPr>
      <w:r>
        <w:rPr>
          <w:rFonts w:hint="eastAsia"/>
          <w:sz w:val="24"/>
          <w:szCs w:val="24"/>
        </w:rPr>
        <w:t>根据长三角异地就医的建设要求，以及诸暨市医保业务管理系统需要，本次项目需要新增的交易接口如下：</w:t>
      </w:r>
    </w:p>
    <w:p>
      <w:pPr>
        <w:numPr>
          <w:ilvl w:val="0"/>
          <w:numId w:val="10"/>
        </w:numPr>
        <w:ind w:left="0" w:firstLine="420"/>
        <w:rPr>
          <w:rFonts w:hint="eastAsia"/>
          <w:sz w:val="24"/>
          <w:szCs w:val="24"/>
        </w:rPr>
      </w:pPr>
      <w:r>
        <w:rPr>
          <w:rFonts w:hint="eastAsia"/>
          <w:sz w:val="24"/>
          <w:szCs w:val="24"/>
        </w:rPr>
        <w:t>费用调整/还款信息下载(新增交易)</w:t>
      </w:r>
    </w:p>
    <w:p>
      <w:pPr>
        <w:numPr>
          <w:ilvl w:val="0"/>
          <w:numId w:val="10"/>
        </w:numPr>
        <w:ind w:left="0" w:firstLine="420"/>
        <w:rPr>
          <w:rFonts w:hint="eastAsia"/>
          <w:sz w:val="24"/>
          <w:szCs w:val="24"/>
        </w:rPr>
      </w:pPr>
      <w:r>
        <w:rPr>
          <w:rFonts w:hint="eastAsia"/>
          <w:sz w:val="24"/>
          <w:szCs w:val="24"/>
        </w:rPr>
        <w:t>跨省门诊清算对应结算明细下载(新增交易)</w:t>
      </w:r>
    </w:p>
    <w:p>
      <w:pPr>
        <w:numPr>
          <w:ilvl w:val="0"/>
          <w:numId w:val="10"/>
        </w:numPr>
        <w:ind w:left="0" w:firstLine="420"/>
        <w:rPr>
          <w:rFonts w:hint="eastAsia"/>
          <w:sz w:val="24"/>
          <w:szCs w:val="24"/>
        </w:rPr>
      </w:pPr>
      <w:r>
        <w:rPr>
          <w:rFonts w:hint="eastAsia"/>
          <w:sz w:val="24"/>
          <w:szCs w:val="24"/>
        </w:rPr>
        <w:t>外省住院信息上传(新增交易)</w:t>
      </w:r>
    </w:p>
    <w:p>
      <w:pPr>
        <w:numPr>
          <w:ilvl w:val="0"/>
          <w:numId w:val="10"/>
        </w:numPr>
        <w:ind w:left="0" w:firstLine="420"/>
        <w:rPr>
          <w:rFonts w:hint="eastAsia"/>
          <w:sz w:val="24"/>
          <w:szCs w:val="24"/>
        </w:rPr>
      </w:pPr>
      <w:r>
        <w:rPr>
          <w:rFonts w:hint="eastAsia"/>
          <w:sz w:val="24"/>
          <w:szCs w:val="24"/>
        </w:rPr>
        <w:t>跨省门诊月结算数据下载(新增交易)</w:t>
      </w:r>
    </w:p>
    <w:p>
      <w:pPr>
        <w:outlineLvl w:val="2"/>
        <w:rPr>
          <w:rFonts w:hint="eastAsia" w:ascii="宋体" w:hAnsi="宋体"/>
          <w:b/>
          <w:bCs/>
          <w:sz w:val="24"/>
          <w:szCs w:val="24"/>
        </w:rPr>
      </w:pPr>
      <w:r>
        <w:rPr>
          <w:rFonts w:hint="eastAsia" w:ascii="宋体" w:hAnsi="宋体"/>
          <w:b/>
          <w:bCs/>
          <w:sz w:val="24"/>
          <w:szCs w:val="24"/>
        </w:rPr>
        <w:t>4、医保业务系统和医保结算系统升级开发</w:t>
      </w:r>
    </w:p>
    <w:p>
      <w:pPr>
        <w:ind w:firstLine="480" w:firstLineChars="200"/>
        <w:rPr>
          <w:rFonts w:hint="eastAsia"/>
          <w:sz w:val="24"/>
          <w:szCs w:val="24"/>
        </w:rPr>
      </w:pPr>
      <w:r>
        <w:rPr>
          <w:rFonts w:hint="eastAsia"/>
          <w:sz w:val="24"/>
          <w:szCs w:val="24"/>
        </w:rPr>
        <w:t>为确保长三角异地就医的接入和省内异地业务的升级改造顺利开展，诸暨市作为统筹地区需进行社保机构业务经办管理信息系统的升级改造，这里就涉及到对诸暨市医保业务系统改造。主要是进行医保算法的改造，跨省费用预结算、跨省费用结算参保地需根据【医疗类别】区分门诊/住院类，并进行不同的待遇结算。</w:t>
      </w:r>
    </w:p>
    <w:p>
      <w:pPr>
        <w:ind w:firstLine="480" w:firstLineChars="200"/>
        <w:rPr>
          <w:rFonts w:hint="eastAsia"/>
          <w:sz w:val="24"/>
          <w:szCs w:val="24"/>
        </w:rPr>
      </w:pPr>
      <w:r>
        <w:rPr>
          <w:rFonts w:hint="eastAsia"/>
          <w:sz w:val="24"/>
          <w:szCs w:val="24"/>
        </w:rPr>
        <w:t>本地医保业务系统进行适应性调整，具体调整内容如下：</w:t>
      </w:r>
    </w:p>
    <w:p>
      <w:pPr>
        <w:numPr>
          <w:ilvl w:val="0"/>
          <w:numId w:val="10"/>
        </w:numPr>
        <w:ind w:left="0" w:firstLine="420"/>
        <w:rPr>
          <w:rFonts w:hint="eastAsia"/>
          <w:sz w:val="24"/>
          <w:szCs w:val="24"/>
        </w:rPr>
      </w:pPr>
      <w:r>
        <w:rPr>
          <w:rFonts w:hint="eastAsia"/>
          <w:sz w:val="24"/>
          <w:szCs w:val="24"/>
        </w:rPr>
        <w:t>社保机构日结算对帐升级</w:t>
      </w:r>
    </w:p>
    <w:p>
      <w:pPr>
        <w:numPr>
          <w:ilvl w:val="0"/>
          <w:numId w:val="10"/>
        </w:numPr>
        <w:ind w:left="0" w:firstLine="420"/>
        <w:rPr>
          <w:rFonts w:hint="eastAsia"/>
          <w:sz w:val="24"/>
          <w:szCs w:val="24"/>
        </w:rPr>
      </w:pPr>
      <w:r>
        <w:rPr>
          <w:rFonts w:hint="eastAsia"/>
          <w:sz w:val="24"/>
          <w:szCs w:val="24"/>
        </w:rPr>
        <w:t>跨省费用明细下载</w:t>
      </w:r>
    </w:p>
    <w:p>
      <w:pPr>
        <w:numPr>
          <w:ilvl w:val="0"/>
          <w:numId w:val="10"/>
        </w:numPr>
        <w:ind w:left="0" w:firstLine="420"/>
        <w:rPr>
          <w:rFonts w:hint="eastAsia"/>
          <w:sz w:val="24"/>
          <w:szCs w:val="24"/>
        </w:rPr>
      </w:pPr>
      <w:r>
        <w:rPr>
          <w:rFonts w:hint="eastAsia"/>
          <w:sz w:val="24"/>
          <w:szCs w:val="24"/>
        </w:rPr>
        <w:t>结算审核扣款下载</w:t>
      </w:r>
    </w:p>
    <w:p>
      <w:pPr>
        <w:numPr>
          <w:ilvl w:val="0"/>
          <w:numId w:val="10"/>
        </w:numPr>
        <w:ind w:left="0" w:firstLine="420"/>
        <w:rPr>
          <w:rFonts w:hint="eastAsia"/>
          <w:sz w:val="24"/>
          <w:szCs w:val="24"/>
        </w:rPr>
      </w:pPr>
      <w:r>
        <w:rPr>
          <w:rFonts w:hint="eastAsia"/>
          <w:sz w:val="24"/>
          <w:szCs w:val="24"/>
        </w:rPr>
        <w:t>明细审核扣款下载</w:t>
      </w:r>
    </w:p>
    <w:p>
      <w:pPr>
        <w:numPr>
          <w:ilvl w:val="0"/>
          <w:numId w:val="10"/>
        </w:numPr>
        <w:ind w:left="0" w:firstLine="420"/>
        <w:rPr>
          <w:rFonts w:hint="eastAsia"/>
          <w:sz w:val="24"/>
          <w:szCs w:val="24"/>
        </w:rPr>
      </w:pPr>
      <w:r>
        <w:rPr>
          <w:rFonts w:hint="eastAsia"/>
          <w:sz w:val="24"/>
          <w:szCs w:val="24"/>
        </w:rPr>
        <w:t>月结算数据下载</w:t>
      </w:r>
    </w:p>
    <w:p>
      <w:pPr>
        <w:numPr>
          <w:ilvl w:val="0"/>
          <w:numId w:val="10"/>
        </w:numPr>
        <w:ind w:left="0" w:firstLine="420"/>
        <w:rPr>
          <w:rFonts w:hint="eastAsia"/>
          <w:sz w:val="24"/>
          <w:szCs w:val="24"/>
        </w:rPr>
      </w:pPr>
      <w:r>
        <w:rPr>
          <w:rFonts w:hint="eastAsia"/>
          <w:sz w:val="24"/>
          <w:szCs w:val="24"/>
        </w:rPr>
        <w:t>县市清算数据下载</w:t>
      </w:r>
    </w:p>
    <w:p>
      <w:pPr>
        <w:numPr>
          <w:ilvl w:val="0"/>
          <w:numId w:val="10"/>
        </w:numPr>
        <w:ind w:left="0" w:firstLine="420"/>
        <w:rPr>
          <w:rFonts w:hint="eastAsia"/>
          <w:sz w:val="24"/>
          <w:szCs w:val="24"/>
        </w:rPr>
      </w:pPr>
      <w:r>
        <w:rPr>
          <w:rFonts w:hint="eastAsia"/>
          <w:sz w:val="24"/>
          <w:szCs w:val="24"/>
        </w:rPr>
        <w:t>县市清算明细数据下载</w:t>
      </w:r>
    </w:p>
    <w:p>
      <w:pPr>
        <w:numPr>
          <w:ilvl w:val="0"/>
          <w:numId w:val="10"/>
        </w:numPr>
        <w:ind w:left="0" w:firstLine="420"/>
        <w:rPr>
          <w:rFonts w:hint="eastAsia"/>
          <w:sz w:val="24"/>
          <w:szCs w:val="24"/>
        </w:rPr>
      </w:pPr>
      <w:r>
        <w:rPr>
          <w:rFonts w:hint="eastAsia"/>
          <w:sz w:val="24"/>
          <w:szCs w:val="24"/>
        </w:rPr>
        <w:t>跨省清算对应结算明细下载</w:t>
      </w:r>
    </w:p>
    <w:p>
      <w:pPr>
        <w:numPr>
          <w:ilvl w:val="0"/>
          <w:numId w:val="10"/>
        </w:numPr>
        <w:ind w:left="0" w:firstLine="420"/>
        <w:rPr>
          <w:rFonts w:hint="eastAsia"/>
          <w:sz w:val="24"/>
          <w:szCs w:val="24"/>
        </w:rPr>
      </w:pPr>
      <w:r>
        <w:rPr>
          <w:rFonts w:hint="eastAsia"/>
          <w:sz w:val="24"/>
          <w:szCs w:val="24"/>
        </w:rPr>
        <w:t>跨省清算对应结算明细下载</w:t>
      </w:r>
    </w:p>
    <w:p>
      <w:pPr>
        <w:numPr>
          <w:ilvl w:val="0"/>
          <w:numId w:val="10"/>
        </w:numPr>
        <w:ind w:left="0" w:firstLine="420"/>
        <w:rPr>
          <w:rFonts w:hint="eastAsia"/>
          <w:sz w:val="24"/>
          <w:szCs w:val="24"/>
        </w:rPr>
      </w:pPr>
      <w:r>
        <w:rPr>
          <w:rFonts w:hint="eastAsia"/>
          <w:sz w:val="24"/>
          <w:szCs w:val="24"/>
        </w:rPr>
        <w:t>新增费用调整/还款信息下载</w:t>
      </w:r>
    </w:p>
    <w:p>
      <w:pPr>
        <w:numPr>
          <w:ilvl w:val="0"/>
          <w:numId w:val="10"/>
        </w:numPr>
        <w:ind w:left="0" w:firstLine="420"/>
        <w:rPr>
          <w:rFonts w:hint="eastAsia"/>
          <w:sz w:val="24"/>
          <w:szCs w:val="24"/>
        </w:rPr>
      </w:pPr>
      <w:r>
        <w:rPr>
          <w:rFonts w:hint="eastAsia"/>
          <w:sz w:val="24"/>
          <w:szCs w:val="24"/>
        </w:rPr>
        <w:t>新增跨省门诊清算对应结算明细下载</w:t>
      </w:r>
    </w:p>
    <w:p>
      <w:pPr>
        <w:numPr>
          <w:ilvl w:val="0"/>
          <w:numId w:val="10"/>
        </w:numPr>
        <w:ind w:left="0" w:firstLine="420"/>
        <w:rPr>
          <w:rFonts w:hint="eastAsia"/>
          <w:sz w:val="24"/>
          <w:szCs w:val="24"/>
        </w:rPr>
      </w:pPr>
      <w:r>
        <w:rPr>
          <w:rFonts w:hint="eastAsia"/>
          <w:sz w:val="24"/>
          <w:szCs w:val="24"/>
        </w:rPr>
        <w:t>新增跨省门诊月结算数据下载</w:t>
      </w:r>
    </w:p>
    <w:p>
      <w:pPr>
        <w:numPr>
          <w:ilvl w:val="0"/>
          <w:numId w:val="10"/>
        </w:numPr>
        <w:ind w:left="0" w:firstLine="420"/>
        <w:rPr>
          <w:rFonts w:hint="eastAsia"/>
          <w:sz w:val="24"/>
          <w:szCs w:val="24"/>
        </w:rPr>
      </w:pPr>
      <w:r>
        <w:rPr>
          <w:rFonts w:hint="eastAsia"/>
          <w:sz w:val="24"/>
          <w:szCs w:val="24"/>
        </w:rPr>
        <w:t>参保地经办机构调用该交易下载本统筹区在外省异地就医发生的费用明细记录。</w:t>
      </w:r>
    </w:p>
    <w:p>
      <w:pPr>
        <w:outlineLvl w:val="2"/>
        <w:rPr>
          <w:rFonts w:hint="eastAsia" w:ascii="宋体" w:hAnsi="宋体"/>
          <w:b/>
          <w:bCs/>
          <w:sz w:val="24"/>
          <w:szCs w:val="24"/>
        </w:rPr>
      </w:pPr>
      <w:r>
        <w:rPr>
          <w:rFonts w:hint="eastAsia" w:ascii="宋体" w:hAnsi="宋体"/>
          <w:b/>
          <w:bCs/>
          <w:sz w:val="24"/>
          <w:szCs w:val="24"/>
        </w:rPr>
        <w:t>5、联调测试</w:t>
      </w:r>
    </w:p>
    <w:p>
      <w:pPr>
        <w:ind w:firstLine="480" w:firstLineChars="200"/>
        <w:rPr>
          <w:rFonts w:hint="eastAsia"/>
          <w:sz w:val="24"/>
          <w:szCs w:val="24"/>
        </w:rPr>
      </w:pPr>
      <w:r>
        <w:rPr>
          <w:rFonts w:hint="eastAsia"/>
          <w:sz w:val="24"/>
          <w:szCs w:val="24"/>
        </w:rPr>
        <w:t>对已开发完成的各级系统平台进行应用联调测试，依照测试案例，对长三角异地就医实时交易流程进行端到端的测试。通过测试进一步验证各级系统平台对长三角异地就医的交易响应时间、数据流转性能、流程的完整性、数据的一致性以及异常和各类出错处理的正确性；查找存在的问题，并进行调整解决。</w:t>
      </w:r>
    </w:p>
    <w:p>
      <w:pPr>
        <w:pStyle w:val="3"/>
        <w:spacing w:before="0" w:after="0" w:line="500" w:lineRule="exact"/>
        <w:jc w:val="left"/>
        <w:rPr>
          <w:rFonts w:hint="eastAsia" w:ascii="黑体" w:hAnsi="黑体" w:cs="Times New Roman"/>
          <w:b w:val="0"/>
          <w:sz w:val="32"/>
          <w:szCs w:val="32"/>
        </w:rPr>
      </w:pPr>
      <w:r>
        <w:rPr>
          <w:rFonts w:hint="eastAsia" w:ascii="黑体" w:hAnsi="黑体"/>
          <w:b/>
        </w:rPr>
        <w:t>三、</w:t>
      </w:r>
      <w:r>
        <w:rPr>
          <w:rFonts w:hint="eastAsia" w:ascii="黑体" w:hAnsi="黑体" w:cs="Times New Roman"/>
          <w:b w:val="0"/>
          <w:sz w:val="32"/>
          <w:szCs w:val="32"/>
        </w:rPr>
        <w:t>服务方式</w:t>
      </w:r>
    </w:p>
    <w:p>
      <w:pPr>
        <w:autoSpaceDE w:val="0"/>
        <w:autoSpaceDN w:val="0"/>
        <w:snapToGrid/>
        <w:spacing w:beforeLines="0" w:afterLines="0" w:line="240" w:lineRule="auto"/>
        <w:rPr>
          <w:rFonts w:hint="eastAsia" w:ascii="Times New Roman" w:hAnsi="Times New Roman" w:cs="Times New Roman"/>
          <w:b w:val="0"/>
          <w:sz w:val="24"/>
          <w:szCs w:val="24"/>
        </w:rPr>
      </w:pPr>
      <w:r>
        <w:rPr>
          <w:rFonts w:hint="eastAsia" w:ascii="Times New Roman" w:hAnsi="Times New Roman" w:cs="Times New Roman"/>
          <w:sz w:val="24"/>
          <w:szCs w:val="24"/>
        </w:rPr>
        <w:t>提供7×24小时支持响应。</w:t>
      </w:r>
    </w:p>
    <w:p>
      <w:pPr>
        <w:pStyle w:val="3"/>
        <w:spacing w:before="0" w:after="0" w:line="500" w:lineRule="exact"/>
        <w:jc w:val="left"/>
        <w:rPr>
          <w:rFonts w:hint="eastAsia" w:ascii="黑体" w:hAnsi="黑体" w:cs="Times New Roman"/>
          <w:b w:val="0"/>
          <w:sz w:val="32"/>
          <w:szCs w:val="32"/>
        </w:rPr>
      </w:pPr>
      <w:r>
        <w:rPr>
          <w:rFonts w:hint="eastAsia" w:ascii="黑体" w:hAnsi="黑体"/>
          <w:b/>
        </w:rPr>
        <w:t>四、</w:t>
      </w:r>
      <w:r>
        <w:rPr>
          <w:rFonts w:hint="eastAsia" w:ascii="黑体" w:hAnsi="黑体" w:cs="Times New Roman"/>
          <w:b w:val="0"/>
          <w:sz w:val="32"/>
          <w:szCs w:val="32"/>
        </w:rPr>
        <w:t>服务时间</w:t>
      </w:r>
    </w:p>
    <w:p>
      <w:pPr>
        <w:autoSpaceDE w:val="0"/>
        <w:autoSpaceDN w:val="0"/>
        <w:snapToGrid/>
        <w:spacing w:beforeLines="0" w:afterLines="0" w:line="240" w:lineRule="auto"/>
        <w:rPr>
          <w:rFonts w:hint="eastAsia"/>
          <w:bCs w:val="0"/>
          <w:sz w:val="24"/>
          <w:szCs w:val="24"/>
        </w:rPr>
      </w:pPr>
      <w:r>
        <w:rPr>
          <w:rFonts w:hint="eastAsia"/>
          <w:sz w:val="24"/>
          <w:szCs w:val="24"/>
        </w:rPr>
        <w:t>2019年12月底完成系统改造和上线工作。</w:t>
      </w:r>
    </w:p>
    <w:p>
      <w:pPr>
        <w:pStyle w:val="3"/>
        <w:spacing w:before="0" w:after="0" w:line="500" w:lineRule="exact"/>
        <w:jc w:val="left"/>
        <w:rPr>
          <w:rFonts w:hint="eastAsia" w:ascii="黑体" w:hAnsi="黑体" w:cs="Times New Roman"/>
          <w:b w:val="0"/>
          <w:sz w:val="32"/>
          <w:szCs w:val="32"/>
        </w:rPr>
      </w:pPr>
      <w:r>
        <w:rPr>
          <w:rFonts w:hint="eastAsia" w:ascii="黑体" w:hAnsi="黑体"/>
          <w:b/>
        </w:rPr>
        <w:t>五、</w:t>
      </w:r>
      <w:r>
        <w:rPr>
          <w:rFonts w:hint="eastAsia" w:ascii="黑体" w:hAnsi="黑体" w:cs="Times New Roman"/>
          <w:b w:val="0"/>
          <w:sz w:val="32"/>
          <w:szCs w:val="32"/>
        </w:rPr>
        <w:t>付款方式</w:t>
      </w:r>
    </w:p>
    <w:p>
      <w:pPr>
        <w:numPr>
          <w:ilvl w:val="0"/>
          <w:numId w:val="0"/>
        </w:numPr>
        <w:spacing w:beforeLines="0" w:afterLines="0" w:line="240" w:lineRule="auto"/>
        <w:rPr>
          <w:rFonts w:hint="eastAsia"/>
          <w:snapToGrid/>
          <w:color w:val="000000"/>
          <w:sz w:val="24"/>
          <w:szCs w:val="24"/>
        </w:rPr>
      </w:pPr>
      <w:r>
        <w:rPr>
          <w:rFonts w:hint="eastAsia"/>
          <w:sz w:val="24"/>
          <w:szCs w:val="24"/>
        </w:rPr>
        <w:t>采购人应在合同签订后五个工作日，向中标人支付合同总价款的9</w:t>
      </w:r>
      <w:r>
        <w:rPr>
          <w:rFonts w:hint="eastAsia"/>
          <w:sz w:val="24"/>
          <w:szCs w:val="24"/>
          <w:lang w:val="en-US" w:eastAsia="zh-CN"/>
        </w:rPr>
        <w:t>5</w:t>
      </w:r>
      <w:r>
        <w:rPr>
          <w:rFonts w:hint="eastAsia"/>
          <w:sz w:val="24"/>
          <w:szCs w:val="24"/>
        </w:rPr>
        <w:t>%货款；剩余</w:t>
      </w:r>
      <w:r>
        <w:rPr>
          <w:rFonts w:hint="eastAsia"/>
          <w:sz w:val="24"/>
          <w:szCs w:val="24"/>
          <w:lang w:val="en-US" w:eastAsia="zh-CN"/>
        </w:rPr>
        <w:t>5</w:t>
      </w:r>
      <w:r>
        <w:rPr>
          <w:rFonts w:hint="eastAsia"/>
          <w:sz w:val="24"/>
          <w:szCs w:val="24"/>
        </w:rPr>
        <w:t>%的合同尾款，在服务期满后五个工作日内向中标人一次性付清。</w:t>
      </w:r>
    </w:p>
    <w:p>
      <w:pPr>
        <w:pStyle w:val="3"/>
        <w:spacing w:before="0" w:after="0" w:line="500" w:lineRule="exact"/>
        <w:jc w:val="left"/>
        <w:rPr>
          <w:rFonts w:hint="eastAsia" w:ascii="黑体" w:hAnsi="黑体"/>
          <w:b w:val="0"/>
          <w:bCs/>
          <w:color w:val="auto"/>
        </w:rPr>
      </w:pPr>
      <w:r>
        <w:rPr>
          <w:rFonts w:hint="eastAsia" w:ascii="黑体" w:hAnsi="黑体"/>
          <w:b/>
        </w:rPr>
        <w:t>六、</w:t>
      </w:r>
      <w:r>
        <w:rPr>
          <w:rFonts w:hint="eastAsia" w:ascii="黑体" w:hAnsi="黑体"/>
          <w:b w:val="0"/>
          <w:bCs/>
          <w:color w:val="auto"/>
        </w:rPr>
        <w:t>最高限价</w:t>
      </w:r>
    </w:p>
    <w:p>
      <w:pPr>
        <w:widowControl w:val="0"/>
        <w:spacing w:beforeLines="0" w:afterLines="0" w:line="240" w:lineRule="auto"/>
        <w:ind w:firstLine="482" w:firstLineChars="200"/>
        <w:jc w:val="both"/>
        <w:rPr>
          <w:rFonts w:hint="eastAsia"/>
          <w:b/>
          <w:bCs/>
          <w:color w:val="000000"/>
          <w:sz w:val="24"/>
          <w:szCs w:val="24"/>
        </w:rPr>
      </w:pPr>
      <w:r>
        <w:rPr>
          <w:rFonts w:hint="eastAsia"/>
          <w:b/>
          <w:bCs/>
          <w:color w:val="000000"/>
          <w:sz w:val="24"/>
          <w:szCs w:val="24"/>
        </w:rPr>
        <w:t>本次采购最高限价为人民币壹佰万元（￥1000000.00）整，任何超过最高限价的报价将被认定为无效报价，价格包含了相关维修保养、安装调试、相关税费等一切费用。</w:t>
      </w:r>
    </w:p>
    <w:p>
      <w:pPr>
        <w:widowControl w:val="0"/>
        <w:spacing w:beforeLines="0" w:afterLines="0" w:line="240" w:lineRule="auto"/>
        <w:ind w:firstLine="482" w:firstLineChars="200"/>
        <w:jc w:val="both"/>
        <w:rPr>
          <w:rFonts w:hint="eastAsia"/>
          <w:b/>
          <w:bCs/>
          <w:color w:val="000000"/>
          <w:sz w:val="24"/>
          <w:szCs w:val="24"/>
        </w:rPr>
      </w:pPr>
    </w:p>
    <w:p>
      <w:pPr>
        <w:widowControl w:val="0"/>
        <w:spacing w:beforeLines="0" w:afterLines="0" w:line="240" w:lineRule="auto"/>
        <w:ind w:firstLine="482" w:firstLineChars="200"/>
        <w:jc w:val="both"/>
        <w:rPr>
          <w:rFonts w:hint="eastAsia"/>
          <w:b/>
          <w:bCs/>
          <w:color w:val="000000"/>
          <w:sz w:val="24"/>
          <w:szCs w:val="24"/>
        </w:rPr>
      </w:pPr>
    </w:p>
    <w:p>
      <w:pPr>
        <w:widowControl w:val="0"/>
        <w:spacing w:beforeLines="0" w:afterLines="0" w:line="240" w:lineRule="auto"/>
        <w:ind w:firstLine="482" w:firstLineChars="200"/>
        <w:jc w:val="both"/>
        <w:rPr>
          <w:rFonts w:hint="eastAsia"/>
          <w:b/>
          <w:bCs/>
          <w:color w:val="000000"/>
          <w:sz w:val="24"/>
          <w:szCs w:val="24"/>
        </w:rPr>
      </w:pPr>
    </w:p>
    <w:p>
      <w:pPr>
        <w:widowControl w:val="0"/>
        <w:spacing w:beforeLines="0" w:afterLines="0" w:line="240" w:lineRule="auto"/>
        <w:ind w:firstLine="482" w:firstLineChars="200"/>
        <w:jc w:val="both"/>
        <w:rPr>
          <w:rFonts w:hint="eastAsia"/>
          <w:b/>
          <w:bCs/>
          <w:color w:val="000000"/>
          <w:sz w:val="24"/>
          <w:szCs w:val="24"/>
        </w:rPr>
      </w:pPr>
    </w:p>
    <w:p>
      <w:pPr>
        <w:widowControl w:val="0"/>
        <w:spacing w:beforeLines="0" w:afterLines="0" w:line="240" w:lineRule="auto"/>
        <w:ind w:firstLine="482" w:firstLineChars="200"/>
        <w:jc w:val="both"/>
        <w:rPr>
          <w:rFonts w:hint="eastAsia"/>
          <w:b/>
          <w:bCs/>
          <w:color w:val="000000"/>
          <w:sz w:val="24"/>
          <w:szCs w:val="24"/>
        </w:rPr>
      </w:pPr>
    </w:p>
    <w:p>
      <w:pPr>
        <w:widowControl w:val="0"/>
        <w:spacing w:beforeLines="0" w:afterLines="0" w:line="240" w:lineRule="auto"/>
        <w:ind w:firstLine="482" w:firstLineChars="200"/>
        <w:jc w:val="both"/>
        <w:rPr>
          <w:rFonts w:hint="eastAsia"/>
          <w:b/>
          <w:bCs/>
          <w:color w:val="000000"/>
          <w:sz w:val="24"/>
          <w:szCs w:val="24"/>
        </w:rPr>
      </w:pPr>
    </w:p>
    <w:p>
      <w:pPr>
        <w:widowControl w:val="0"/>
        <w:spacing w:beforeLines="0" w:afterLines="0" w:line="240" w:lineRule="auto"/>
        <w:ind w:firstLine="482" w:firstLineChars="200"/>
        <w:jc w:val="both"/>
        <w:rPr>
          <w:rFonts w:hint="eastAsia"/>
          <w:b/>
          <w:bCs/>
          <w:color w:val="000000"/>
          <w:sz w:val="24"/>
          <w:szCs w:val="24"/>
        </w:rPr>
      </w:pPr>
    </w:p>
    <w:p>
      <w:pPr>
        <w:widowControl w:val="0"/>
        <w:spacing w:beforeLines="0" w:afterLines="0" w:line="240" w:lineRule="auto"/>
        <w:ind w:firstLine="482" w:firstLineChars="200"/>
        <w:jc w:val="both"/>
        <w:rPr>
          <w:rFonts w:hint="eastAsia"/>
          <w:b/>
          <w:bCs/>
          <w:color w:val="000000"/>
          <w:sz w:val="24"/>
          <w:szCs w:val="24"/>
        </w:rPr>
      </w:pPr>
    </w:p>
    <w:p>
      <w:pPr>
        <w:widowControl w:val="0"/>
        <w:spacing w:beforeLines="0" w:afterLines="0" w:line="240" w:lineRule="auto"/>
        <w:ind w:firstLine="482" w:firstLineChars="200"/>
        <w:jc w:val="both"/>
        <w:rPr>
          <w:rFonts w:hint="eastAsia"/>
          <w:b/>
          <w:bCs/>
          <w:color w:val="000000"/>
          <w:sz w:val="24"/>
          <w:szCs w:val="24"/>
        </w:rPr>
      </w:pPr>
    </w:p>
    <w:p>
      <w:pPr>
        <w:widowControl w:val="0"/>
        <w:spacing w:beforeLines="0" w:afterLines="0" w:line="240" w:lineRule="auto"/>
        <w:ind w:firstLine="482" w:firstLineChars="200"/>
        <w:jc w:val="both"/>
        <w:rPr>
          <w:rFonts w:hint="eastAsia"/>
          <w:b/>
          <w:bCs/>
          <w:color w:val="000000"/>
          <w:sz w:val="24"/>
          <w:szCs w:val="24"/>
        </w:rPr>
      </w:pPr>
    </w:p>
    <w:p>
      <w:pPr>
        <w:widowControl w:val="0"/>
        <w:spacing w:beforeLines="0" w:afterLines="0" w:line="240" w:lineRule="auto"/>
        <w:ind w:firstLine="482" w:firstLineChars="200"/>
        <w:jc w:val="both"/>
        <w:rPr>
          <w:rFonts w:hint="eastAsia"/>
          <w:b/>
          <w:bCs/>
          <w:color w:val="000000"/>
          <w:sz w:val="24"/>
          <w:szCs w:val="24"/>
        </w:rPr>
      </w:pPr>
    </w:p>
    <w:p>
      <w:pPr>
        <w:widowControl w:val="0"/>
        <w:spacing w:beforeLines="0" w:afterLines="0" w:line="240" w:lineRule="auto"/>
        <w:ind w:firstLine="482" w:firstLineChars="200"/>
        <w:jc w:val="both"/>
        <w:rPr>
          <w:rFonts w:hint="eastAsia"/>
          <w:b/>
          <w:bCs/>
          <w:color w:val="000000"/>
          <w:sz w:val="24"/>
          <w:szCs w:val="24"/>
        </w:rPr>
      </w:pPr>
    </w:p>
    <w:p>
      <w:pPr>
        <w:widowControl w:val="0"/>
        <w:spacing w:beforeLines="0" w:afterLines="0" w:line="240" w:lineRule="auto"/>
        <w:ind w:firstLine="482" w:firstLineChars="200"/>
        <w:jc w:val="both"/>
        <w:rPr>
          <w:rFonts w:hint="eastAsia"/>
          <w:b/>
          <w:bCs/>
          <w:color w:val="000000"/>
          <w:sz w:val="24"/>
          <w:szCs w:val="24"/>
        </w:rPr>
      </w:pPr>
    </w:p>
    <w:p>
      <w:pPr>
        <w:widowControl w:val="0"/>
        <w:spacing w:beforeLines="0" w:afterLines="0" w:line="240" w:lineRule="auto"/>
        <w:ind w:firstLine="482" w:firstLineChars="200"/>
        <w:jc w:val="both"/>
        <w:rPr>
          <w:rFonts w:hint="eastAsia"/>
          <w:b/>
          <w:bCs/>
          <w:color w:val="000000"/>
          <w:sz w:val="24"/>
          <w:szCs w:val="24"/>
        </w:rPr>
      </w:pPr>
    </w:p>
    <w:p>
      <w:pPr>
        <w:widowControl w:val="0"/>
        <w:spacing w:beforeLines="0" w:afterLines="0" w:line="240" w:lineRule="auto"/>
        <w:ind w:firstLine="482" w:firstLineChars="200"/>
        <w:jc w:val="both"/>
        <w:rPr>
          <w:rFonts w:hint="eastAsia"/>
          <w:b/>
          <w:bCs/>
          <w:color w:val="000000"/>
          <w:sz w:val="24"/>
          <w:szCs w:val="24"/>
        </w:rPr>
      </w:pPr>
    </w:p>
    <w:p>
      <w:pPr>
        <w:widowControl w:val="0"/>
        <w:spacing w:beforeLines="0" w:afterLines="0" w:line="240" w:lineRule="auto"/>
        <w:ind w:firstLine="482" w:firstLineChars="200"/>
        <w:jc w:val="both"/>
        <w:rPr>
          <w:rFonts w:hint="eastAsia"/>
          <w:b/>
          <w:bCs/>
          <w:color w:val="000000"/>
          <w:sz w:val="24"/>
          <w:szCs w:val="24"/>
        </w:rPr>
      </w:pPr>
    </w:p>
    <w:p>
      <w:pPr>
        <w:widowControl w:val="0"/>
        <w:spacing w:beforeLines="0" w:afterLines="0" w:line="240" w:lineRule="auto"/>
        <w:ind w:firstLine="482" w:firstLineChars="200"/>
        <w:jc w:val="both"/>
        <w:rPr>
          <w:rFonts w:hint="eastAsia"/>
          <w:b/>
          <w:bCs/>
          <w:color w:val="000000"/>
          <w:sz w:val="24"/>
          <w:szCs w:val="24"/>
        </w:rPr>
      </w:pPr>
    </w:p>
    <w:p>
      <w:pPr>
        <w:widowControl w:val="0"/>
        <w:spacing w:beforeLines="0" w:afterLines="0" w:line="240" w:lineRule="auto"/>
        <w:ind w:firstLine="482" w:firstLineChars="200"/>
        <w:jc w:val="both"/>
        <w:rPr>
          <w:rFonts w:hint="eastAsia"/>
          <w:b/>
          <w:bCs/>
          <w:color w:val="000000"/>
          <w:sz w:val="24"/>
          <w:szCs w:val="24"/>
        </w:rPr>
      </w:pPr>
    </w:p>
    <w:p>
      <w:pPr>
        <w:widowControl w:val="0"/>
        <w:spacing w:beforeLines="0" w:afterLines="0" w:line="240" w:lineRule="auto"/>
        <w:ind w:firstLine="482" w:firstLineChars="200"/>
        <w:jc w:val="both"/>
        <w:rPr>
          <w:rFonts w:hint="eastAsia"/>
          <w:b/>
          <w:bCs/>
          <w:color w:val="000000"/>
          <w:sz w:val="24"/>
          <w:szCs w:val="24"/>
        </w:rPr>
      </w:pPr>
    </w:p>
    <w:p>
      <w:pPr>
        <w:pStyle w:val="2"/>
        <w:numPr>
          <w:ilvl w:val="0"/>
          <w:numId w:val="3"/>
        </w:numPr>
        <w:spacing w:line="500" w:lineRule="exact"/>
        <w:jc w:val="center"/>
        <w:rPr>
          <w:rFonts w:hint="eastAsia" w:ascii="Times New Roman" w:hAnsi="Times New Roman" w:eastAsia="宋体"/>
          <w:sz w:val="44"/>
          <w:szCs w:val="21"/>
        </w:rPr>
      </w:pPr>
      <w:r>
        <w:rPr>
          <w:rFonts w:hint="eastAsia" w:ascii="Times New Roman" w:hAnsi="Times New Roman" w:eastAsia="宋体"/>
          <w:sz w:val="44"/>
          <w:szCs w:val="21"/>
        </w:rPr>
        <w:t>应提交的有关格式范例</w:t>
      </w:r>
    </w:p>
    <w:p>
      <w:pPr>
        <w:pStyle w:val="3"/>
        <w:tabs>
          <w:tab w:val="left" w:pos="450"/>
          <w:tab w:val="left" w:pos="2520"/>
          <w:tab w:val="left" w:pos="8280"/>
        </w:tabs>
        <w:spacing w:line="500" w:lineRule="exact"/>
        <w:jc w:val="center"/>
        <w:rPr>
          <w:rFonts w:hint="eastAsia" w:ascii="黑体" w:hAnsi="黑体" w:eastAsia="黑体"/>
          <w:b w:val="0"/>
          <w:sz w:val="32"/>
          <w:szCs w:val="32"/>
        </w:rPr>
      </w:pPr>
    </w:p>
    <w:p>
      <w:pPr>
        <w:pStyle w:val="3"/>
        <w:tabs>
          <w:tab w:val="left" w:pos="450"/>
          <w:tab w:val="left" w:pos="2520"/>
          <w:tab w:val="left" w:pos="8280"/>
        </w:tabs>
        <w:spacing w:line="500" w:lineRule="exact"/>
        <w:jc w:val="center"/>
        <w:rPr>
          <w:rFonts w:hint="eastAsia" w:ascii="黑体" w:hAnsi="黑体" w:eastAsia="黑体"/>
          <w:b w:val="0"/>
          <w:sz w:val="32"/>
          <w:szCs w:val="32"/>
        </w:rPr>
      </w:pPr>
    </w:p>
    <w:p>
      <w:pPr>
        <w:pStyle w:val="3"/>
        <w:tabs>
          <w:tab w:val="left" w:pos="450"/>
          <w:tab w:val="left" w:pos="2520"/>
          <w:tab w:val="left" w:pos="8280"/>
        </w:tabs>
        <w:spacing w:line="500" w:lineRule="exact"/>
        <w:jc w:val="center"/>
        <w:rPr>
          <w:rFonts w:hint="eastAsia" w:ascii="黑体" w:hAnsi="黑体" w:eastAsia="黑体" w:cs="Times New Roman"/>
          <w:b w:val="0"/>
          <w:sz w:val="32"/>
          <w:szCs w:val="32"/>
        </w:rPr>
      </w:pPr>
      <w:r>
        <w:rPr>
          <w:rFonts w:hint="eastAsia" w:ascii="黑体" w:hAnsi="黑体" w:eastAsia="黑体"/>
          <w:b w:val="0"/>
          <w:sz w:val="32"/>
          <w:szCs w:val="32"/>
        </w:rPr>
        <w:t>一、外包装封面格式</w:t>
      </w:r>
    </w:p>
    <w:p>
      <w:pPr>
        <w:widowControl/>
        <w:tabs>
          <w:tab w:val="left" w:pos="275"/>
          <w:tab w:val="left" w:pos="8280"/>
        </w:tabs>
        <w:spacing w:line="360" w:lineRule="auto"/>
        <w:ind w:firstLine="480"/>
        <w:jc w:val="left"/>
        <w:rPr>
          <w:rFonts w:hint="eastAsia" w:ascii="仿宋_GB2312" w:hAnsi="宋体" w:eastAsia="仿宋_GB2312" w:cs="宋体"/>
          <w:b/>
          <w:sz w:val="36"/>
          <w:szCs w:val="36"/>
        </w:rPr>
      </w:pPr>
      <w:r>
        <w:rPr>
          <w:rFonts w:hint="eastAsia" w:ascii="仿宋_GB2312" w:hAnsi="宋体" w:eastAsia="仿宋_GB2312" w:cs="宋体"/>
          <w:b/>
          <w:sz w:val="36"/>
          <w:szCs w:val="36"/>
        </w:rPr>
        <w:tab/>
      </w:r>
    </w:p>
    <w:p>
      <w:pPr>
        <w:widowControl/>
        <w:tabs>
          <w:tab w:val="left" w:pos="275"/>
          <w:tab w:val="left" w:pos="8280"/>
        </w:tabs>
        <w:spacing w:line="360" w:lineRule="auto"/>
        <w:jc w:val="left"/>
        <w:rPr>
          <w:rFonts w:hint="eastAsia" w:ascii="仿宋_GB2312" w:hAnsi="宋体" w:eastAsia="仿宋_GB2312" w:cs="宋体"/>
          <w:b/>
          <w:sz w:val="32"/>
          <w:szCs w:val="32"/>
          <w:u w:val="single"/>
        </w:rPr>
      </w:pPr>
      <w:r>
        <w:rPr>
          <w:rFonts w:hint="eastAsia" w:ascii="仿宋_GB2312" w:hAnsi="宋体" w:eastAsia="仿宋_GB2312" w:cs="宋体"/>
          <w:b/>
          <w:sz w:val="32"/>
          <w:szCs w:val="32"/>
        </w:rPr>
        <w:t>项目名称：</w:t>
      </w:r>
      <w:r>
        <w:rPr>
          <w:rFonts w:hint="eastAsia" w:ascii="仿宋_GB2312" w:hAnsi="宋体" w:eastAsia="仿宋_GB2312" w:cs="宋体"/>
          <w:b/>
          <w:sz w:val="32"/>
          <w:szCs w:val="32"/>
          <w:u w:val="single"/>
        </w:rPr>
        <w:t xml:space="preserve">                                      </w:t>
      </w:r>
    </w:p>
    <w:p>
      <w:pPr>
        <w:widowControl/>
        <w:tabs>
          <w:tab w:val="left" w:pos="275"/>
          <w:tab w:val="left" w:pos="8280"/>
        </w:tabs>
        <w:spacing w:line="360" w:lineRule="auto"/>
        <w:ind w:firstLine="472" w:firstLineChars="147"/>
        <w:jc w:val="left"/>
        <w:rPr>
          <w:rFonts w:hint="eastAsia" w:ascii="仿宋_GB2312" w:hAnsi="宋体" w:eastAsia="仿宋_GB2312" w:cs="宋体"/>
          <w:b/>
          <w:sz w:val="32"/>
          <w:szCs w:val="32"/>
        </w:rPr>
      </w:pPr>
    </w:p>
    <w:p>
      <w:pPr>
        <w:widowControl/>
        <w:tabs>
          <w:tab w:val="left" w:pos="275"/>
          <w:tab w:val="left" w:pos="8280"/>
        </w:tabs>
        <w:spacing w:line="360" w:lineRule="auto"/>
        <w:jc w:val="left"/>
        <w:rPr>
          <w:rFonts w:hint="eastAsia" w:ascii="仿宋_GB2312" w:hAnsi="宋体" w:eastAsia="仿宋_GB2312" w:cs="宋体"/>
          <w:b/>
          <w:sz w:val="36"/>
          <w:szCs w:val="36"/>
        </w:rPr>
      </w:pPr>
      <w:r>
        <w:rPr>
          <w:rFonts w:hint="eastAsia" w:ascii="仿宋_GB2312" w:hAnsi="宋体" w:eastAsia="仿宋_GB2312" w:cs="宋体"/>
          <w:b/>
          <w:sz w:val="32"/>
          <w:szCs w:val="32"/>
        </w:rPr>
        <w:t>项目编号：</w:t>
      </w:r>
      <w:r>
        <w:rPr>
          <w:rFonts w:hint="eastAsia" w:ascii="仿宋_GB2312" w:hAnsi="宋体" w:eastAsia="仿宋_GB2312" w:cs="宋体"/>
          <w:b/>
          <w:sz w:val="32"/>
          <w:szCs w:val="32"/>
          <w:u w:val="single"/>
        </w:rPr>
        <w:t xml:space="preserve">                                      </w:t>
      </w:r>
      <w:r>
        <w:rPr>
          <w:rFonts w:hint="eastAsia" w:ascii="仿宋_GB2312" w:hAnsi="宋体" w:eastAsia="仿宋_GB2312" w:cs="宋体"/>
          <w:b/>
          <w:sz w:val="32"/>
          <w:szCs w:val="32"/>
        </w:rPr>
        <w:t xml:space="preserve">   </w:t>
      </w:r>
    </w:p>
    <w:p>
      <w:pPr>
        <w:widowControl/>
        <w:tabs>
          <w:tab w:val="left" w:pos="765"/>
          <w:tab w:val="left" w:pos="8280"/>
        </w:tabs>
        <w:spacing w:line="360" w:lineRule="auto"/>
        <w:ind w:firstLine="480"/>
        <w:jc w:val="left"/>
        <w:rPr>
          <w:rFonts w:hint="eastAsia" w:ascii="仿宋_GB2312" w:hAnsi="宋体" w:eastAsia="仿宋_GB2312" w:cs="宋体"/>
          <w:b/>
          <w:sz w:val="36"/>
          <w:szCs w:val="36"/>
        </w:rPr>
      </w:pPr>
      <w:r>
        <w:rPr>
          <w:rFonts w:hint="eastAsia" w:ascii="仿宋_GB2312" w:hAnsi="宋体" w:eastAsia="仿宋_GB2312" w:cs="宋体"/>
          <w:b/>
          <w:sz w:val="36"/>
          <w:szCs w:val="36"/>
        </w:rPr>
        <w:tab/>
      </w:r>
    </w:p>
    <w:p>
      <w:pPr>
        <w:widowControl/>
        <w:tabs>
          <w:tab w:val="left" w:pos="765"/>
          <w:tab w:val="left" w:pos="8280"/>
        </w:tabs>
        <w:spacing w:line="360" w:lineRule="auto"/>
        <w:jc w:val="left"/>
        <w:rPr>
          <w:rFonts w:hint="eastAsia" w:ascii="仿宋_GB2312" w:hAnsi="宋体" w:eastAsia="仿宋_GB2312" w:cs="宋体"/>
          <w:b/>
          <w:sz w:val="36"/>
          <w:szCs w:val="36"/>
          <w:u w:val="single"/>
        </w:rPr>
      </w:pPr>
      <w:r>
        <w:rPr>
          <w:rFonts w:hint="eastAsia" w:ascii="仿宋_GB2312" w:hAnsi="宋体" w:eastAsia="仿宋_GB2312" w:cs="宋体"/>
          <w:b/>
          <w:sz w:val="32"/>
          <w:szCs w:val="32"/>
        </w:rPr>
        <w:t>投标人：</w:t>
      </w:r>
      <w:r>
        <w:rPr>
          <w:rFonts w:hint="eastAsia" w:ascii="仿宋_GB2312" w:hAnsi="宋体" w:eastAsia="仿宋_GB2312" w:cs="宋体"/>
          <w:b/>
          <w:sz w:val="32"/>
          <w:szCs w:val="32"/>
          <w:u w:val="single"/>
        </w:rPr>
        <w:t xml:space="preserve">                               （盖公章）</w:t>
      </w:r>
    </w:p>
    <w:p>
      <w:pPr>
        <w:widowControl/>
        <w:tabs>
          <w:tab w:val="left" w:pos="8280"/>
        </w:tabs>
        <w:spacing w:line="360" w:lineRule="auto"/>
        <w:ind w:firstLine="480"/>
        <w:jc w:val="center"/>
        <w:rPr>
          <w:rFonts w:hint="eastAsia" w:ascii="仿宋_GB2312" w:hAnsi="宋体" w:eastAsia="仿宋_GB2312" w:cs="宋体"/>
          <w:b/>
          <w:sz w:val="32"/>
          <w:szCs w:val="32"/>
        </w:rPr>
      </w:pPr>
    </w:p>
    <w:p>
      <w:pPr>
        <w:widowControl/>
        <w:tabs>
          <w:tab w:val="left" w:pos="350"/>
          <w:tab w:val="left" w:pos="8280"/>
        </w:tabs>
        <w:spacing w:line="360" w:lineRule="auto"/>
        <w:jc w:val="left"/>
        <w:rPr>
          <w:rFonts w:hint="eastAsia" w:ascii="仿宋_GB2312" w:hAnsi="宋体" w:eastAsia="仿宋_GB2312" w:cs="宋体"/>
          <w:b/>
          <w:sz w:val="36"/>
          <w:szCs w:val="36"/>
          <w:u w:val="single"/>
        </w:rPr>
      </w:pPr>
      <w:r>
        <w:rPr>
          <w:rFonts w:hint="eastAsia" w:ascii="仿宋_GB2312" w:hAnsi="宋体" w:eastAsia="仿宋_GB2312" w:cs="宋体"/>
          <w:b/>
          <w:sz w:val="32"/>
          <w:szCs w:val="32"/>
        </w:rPr>
        <w:t>法定代表人或委托代理人（签字）：</w:t>
      </w:r>
      <w:r>
        <w:rPr>
          <w:rFonts w:hint="eastAsia" w:ascii="仿宋_GB2312" w:hAnsi="宋体" w:eastAsia="仿宋_GB2312" w:cs="宋体"/>
          <w:b/>
          <w:sz w:val="32"/>
          <w:szCs w:val="32"/>
          <w:u w:val="single"/>
        </w:rPr>
        <w:t xml:space="preserve">        （签字或盖章）</w:t>
      </w:r>
      <w:r>
        <w:rPr>
          <w:rFonts w:hint="eastAsia" w:ascii="仿宋_GB2312" w:hAnsi="宋体" w:eastAsia="仿宋_GB2312" w:cs="宋体"/>
          <w:b/>
          <w:sz w:val="32"/>
          <w:szCs w:val="32"/>
        </w:rPr>
        <w:t xml:space="preserve">   </w:t>
      </w:r>
    </w:p>
    <w:p>
      <w:pPr>
        <w:widowControl/>
        <w:tabs>
          <w:tab w:val="left" w:pos="8280"/>
        </w:tabs>
        <w:spacing w:line="360" w:lineRule="auto"/>
        <w:ind w:firstLine="480"/>
        <w:jc w:val="center"/>
        <w:rPr>
          <w:rFonts w:hint="eastAsia" w:ascii="仿宋_GB2312" w:hAnsi="宋体" w:eastAsia="仿宋_GB2312" w:cs="宋体"/>
          <w:b/>
          <w:sz w:val="32"/>
          <w:szCs w:val="32"/>
        </w:rPr>
      </w:pPr>
    </w:p>
    <w:p>
      <w:pPr>
        <w:widowControl/>
        <w:tabs>
          <w:tab w:val="left" w:pos="8280"/>
        </w:tabs>
        <w:spacing w:line="360" w:lineRule="auto"/>
        <w:ind w:firstLine="480"/>
        <w:jc w:val="center"/>
        <w:rPr>
          <w:rFonts w:hint="eastAsia" w:ascii="仿宋_GB2312" w:hAnsi="宋体" w:eastAsia="仿宋_GB2312" w:cs="宋体"/>
          <w:b/>
          <w:sz w:val="32"/>
          <w:szCs w:val="32"/>
        </w:rPr>
      </w:pPr>
    </w:p>
    <w:p>
      <w:pPr>
        <w:widowControl/>
        <w:tabs>
          <w:tab w:val="left" w:pos="8280"/>
        </w:tabs>
        <w:spacing w:line="360" w:lineRule="auto"/>
        <w:ind w:firstLine="480"/>
        <w:jc w:val="center"/>
        <w:rPr>
          <w:rFonts w:hint="eastAsia" w:ascii="仿宋_GB2312" w:hAnsi="宋体" w:eastAsia="仿宋_GB2312" w:cs="宋体"/>
          <w:b/>
          <w:sz w:val="32"/>
          <w:szCs w:val="32"/>
        </w:rPr>
      </w:pPr>
    </w:p>
    <w:p>
      <w:pPr>
        <w:widowControl/>
        <w:tabs>
          <w:tab w:val="left" w:pos="8280"/>
        </w:tabs>
        <w:spacing w:line="360" w:lineRule="auto"/>
        <w:ind w:firstLine="480"/>
        <w:jc w:val="center"/>
        <w:rPr>
          <w:rFonts w:hint="eastAsia" w:ascii="仿宋_GB2312" w:hAnsi="宋体" w:eastAsia="仿宋_GB2312" w:cs="宋体"/>
          <w:b/>
          <w:sz w:val="32"/>
          <w:szCs w:val="32"/>
        </w:rPr>
      </w:pPr>
    </w:p>
    <w:p>
      <w:pPr>
        <w:widowControl/>
        <w:tabs>
          <w:tab w:val="left" w:pos="350"/>
          <w:tab w:val="left" w:pos="8280"/>
        </w:tabs>
        <w:spacing w:line="360" w:lineRule="auto"/>
        <w:jc w:val="left"/>
        <w:rPr>
          <w:rFonts w:hint="eastAsia" w:ascii="仿宋_GB2312" w:hAnsi="宋体" w:eastAsia="仿宋_GB2312" w:cs="宋体"/>
          <w:b/>
          <w:sz w:val="32"/>
          <w:szCs w:val="32"/>
        </w:rPr>
      </w:pPr>
      <w:r>
        <w:rPr>
          <w:rFonts w:hint="eastAsia" w:ascii="仿宋_GB2312" w:hAnsi="宋体" w:eastAsia="仿宋_GB2312" w:cs="宋体"/>
          <w:b/>
          <w:sz w:val="32"/>
          <w:szCs w:val="32"/>
        </w:rPr>
        <w:t xml:space="preserve">日期：      </w:t>
      </w:r>
      <w:r>
        <w:rPr>
          <w:rFonts w:hint="eastAsia" w:ascii="仿宋_GB2312" w:hAnsi="宋体" w:eastAsia="仿宋_GB2312" w:cs="宋体"/>
          <w:b/>
          <w:sz w:val="36"/>
          <w:szCs w:val="36"/>
        </w:rPr>
        <w:t xml:space="preserve"> </w:t>
      </w:r>
      <w:r>
        <w:rPr>
          <w:rFonts w:hint="eastAsia" w:ascii="仿宋_GB2312" w:hAnsi="宋体" w:eastAsia="仿宋_GB2312" w:cs="宋体"/>
          <w:b/>
          <w:sz w:val="32"/>
          <w:szCs w:val="32"/>
        </w:rPr>
        <w:t>年</w:t>
      </w:r>
      <w:r>
        <w:rPr>
          <w:rFonts w:hint="eastAsia" w:ascii="仿宋_GB2312" w:hAnsi="宋体" w:eastAsia="仿宋_GB2312" w:cs="宋体"/>
          <w:b/>
          <w:sz w:val="36"/>
          <w:szCs w:val="36"/>
        </w:rPr>
        <w:t xml:space="preserve">     </w:t>
      </w:r>
      <w:r>
        <w:rPr>
          <w:rFonts w:hint="eastAsia" w:ascii="仿宋_GB2312" w:hAnsi="宋体" w:eastAsia="仿宋_GB2312" w:cs="宋体"/>
          <w:b/>
          <w:sz w:val="32"/>
          <w:szCs w:val="32"/>
        </w:rPr>
        <w:t>月</w:t>
      </w:r>
      <w:r>
        <w:rPr>
          <w:rFonts w:hint="eastAsia" w:ascii="仿宋_GB2312" w:hAnsi="宋体" w:eastAsia="仿宋_GB2312" w:cs="宋体"/>
          <w:b/>
          <w:sz w:val="36"/>
          <w:szCs w:val="36"/>
        </w:rPr>
        <w:t xml:space="preserve">     </w:t>
      </w:r>
      <w:r>
        <w:rPr>
          <w:rFonts w:hint="eastAsia" w:ascii="仿宋_GB2312" w:hAnsi="宋体" w:eastAsia="仿宋_GB2312" w:cs="宋体"/>
          <w:b/>
          <w:sz w:val="32"/>
          <w:szCs w:val="32"/>
        </w:rPr>
        <w:t>日</w:t>
      </w:r>
    </w:p>
    <w:p>
      <w:pPr>
        <w:pStyle w:val="3"/>
        <w:spacing w:line="500" w:lineRule="exact"/>
        <w:jc w:val="center"/>
        <w:rPr>
          <w:rFonts w:hint="eastAsia" w:ascii="黑体" w:hAnsi="黑体"/>
          <w:b w:val="0"/>
        </w:rPr>
      </w:pPr>
    </w:p>
    <w:p>
      <w:pPr>
        <w:rPr>
          <w:rFonts w:hint="eastAsia" w:ascii="黑体" w:hAnsi="黑体"/>
          <w:b/>
        </w:rPr>
      </w:pPr>
    </w:p>
    <w:p>
      <w:pPr>
        <w:rPr>
          <w:rFonts w:hint="eastAsia" w:ascii="黑体" w:hAnsi="黑体"/>
          <w:b/>
        </w:rPr>
      </w:pPr>
    </w:p>
    <w:p>
      <w:pPr>
        <w:pStyle w:val="3"/>
        <w:spacing w:line="500" w:lineRule="exact"/>
        <w:jc w:val="center"/>
        <w:rPr>
          <w:rFonts w:hint="eastAsia" w:ascii="黑体" w:hAnsi="黑体"/>
          <w:b w:val="0"/>
        </w:rPr>
      </w:pPr>
      <w:r>
        <w:rPr>
          <w:rFonts w:hint="eastAsia" w:ascii="黑体" w:hAnsi="黑体"/>
          <w:b w:val="0"/>
        </w:rPr>
        <w:t>二、投标函（格式）</w:t>
      </w:r>
    </w:p>
    <w:p>
      <w:pPr>
        <w:spacing w:line="660" w:lineRule="exact"/>
        <w:rPr>
          <w:rFonts w:hint="eastAsia" w:ascii="宋体" w:hAnsi="宋体"/>
          <w:spacing w:val="8"/>
          <w:sz w:val="24"/>
          <w:szCs w:val="24"/>
        </w:rPr>
      </w:pPr>
      <w:r>
        <w:rPr>
          <w:rFonts w:hint="eastAsia" w:ascii="宋体" w:hAnsi="宋体"/>
          <w:spacing w:val="8"/>
          <w:sz w:val="24"/>
          <w:szCs w:val="24"/>
        </w:rPr>
        <w:t>致：诸暨广和工程管理服务有限公司</w:t>
      </w:r>
    </w:p>
    <w:p>
      <w:pPr>
        <w:spacing w:line="360" w:lineRule="auto"/>
        <w:ind w:firstLine="384" w:firstLineChars="150"/>
        <w:rPr>
          <w:rFonts w:hint="eastAsia" w:ascii="宋体" w:hAnsi="宋体"/>
          <w:sz w:val="24"/>
          <w:szCs w:val="24"/>
        </w:rPr>
      </w:pPr>
      <w:r>
        <w:rPr>
          <w:rFonts w:hint="eastAsia" w:ascii="宋体" w:hAnsi="宋体"/>
          <w:spacing w:val="8"/>
          <w:sz w:val="24"/>
          <w:szCs w:val="24"/>
        </w:rPr>
        <w:t>根据贵方</w:t>
      </w:r>
      <w:r>
        <w:rPr>
          <w:rFonts w:hint="eastAsia" w:ascii="宋体" w:hAnsi="宋体"/>
          <w:spacing w:val="8"/>
          <w:sz w:val="24"/>
          <w:szCs w:val="24"/>
          <w:u w:val="single"/>
        </w:rPr>
        <w:t xml:space="preserve">                           项目的</w:t>
      </w:r>
      <w:r>
        <w:rPr>
          <w:rFonts w:hint="eastAsia" w:ascii="宋体" w:hAnsi="宋体"/>
          <w:spacing w:val="8"/>
          <w:sz w:val="24"/>
          <w:szCs w:val="24"/>
        </w:rPr>
        <w:t>采购文件（编号：诸广和</w:t>
      </w:r>
      <w:r>
        <w:rPr>
          <w:rFonts w:ascii="宋体" w:hAnsi="宋体"/>
          <w:spacing w:val="8"/>
          <w:sz w:val="24"/>
          <w:szCs w:val="24"/>
        </w:rPr>
        <w:t xml:space="preserve"> </w:t>
      </w:r>
      <w:r>
        <w:rPr>
          <w:rFonts w:hint="eastAsia" w:ascii="宋体" w:hAnsi="宋体"/>
          <w:spacing w:val="8"/>
          <w:sz w:val="24"/>
          <w:szCs w:val="24"/>
        </w:rPr>
        <w:t>2019</w:t>
      </w:r>
      <w:r>
        <w:rPr>
          <w:rFonts w:ascii="宋体" w:hAnsi="宋体"/>
          <w:spacing w:val="8"/>
          <w:sz w:val="24"/>
          <w:szCs w:val="24"/>
        </w:rPr>
        <w:t>-</w:t>
      </w:r>
      <w:r>
        <w:rPr>
          <w:rFonts w:hint="eastAsia" w:ascii="宋体" w:hAnsi="宋体"/>
          <w:spacing w:val="8"/>
          <w:sz w:val="24"/>
          <w:szCs w:val="24"/>
        </w:rPr>
        <w:t>**</w:t>
      </w:r>
      <w:r>
        <w:rPr>
          <w:rFonts w:ascii="宋体" w:hAnsi="宋体"/>
          <w:spacing w:val="8"/>
          <w:sz w:val="24"/>
          <w:szCs w:val="24"/>
        </w:rPr>
        <w:t>-</w:t>
      </w:r>
      <w:r>
        <w:rPr>
          <w:rFonts w:hint="eastAsia" w:ascii="宋体" w:hAnsi="宋体"/>
          <w:spacing w:val="8"/>
          <w:sz w:val="24"/>
          <w:szCs w:val="24"/>
        </w:rPr>
        <w:t xml:space="preserve">**）有关要求， </w:t>
      </w:r>
      <w:r>
        <w:rPr>
          <w:rFonts w:hint="eastAsia" w:ascii="宋体" w:hAnsi="宋体"/>
          <w:spacing w:val="8"/>
          <w:sz w:val="24"/>
          <w:szCs w:val="24"/>
          <w:u w:val="single"/>
        </w:rPr>
        <w:t xml:space="preserve">   　　（投标人全称）       </w:t>
      </w:r>
      <w:r>
        <w:rPr>
          <w:rFonts w:hint="eastAsia" w:ascii="宋体" w:hAnsi="宋体"/>
          <w:spacing w:val="8"/>
          <w:sz w:val="24"/>
          <w:szCs w:val="24"/>
        </w:rPr>
        <w:t>授权</w:t>
      </w:r>
      <w:r>
        <w:rPr>
          <w:rFonts w:hint="eastAsia" w:ascii="宋体" w:hAnsi="宋体"/>
          <w:spacing w:val="8"/>
          <w:sz w:val="24"/>
          <w:szCs w:val="24"/>
          <w:u w:val="single"/>
        </w:rPr>
        <w:t xml:space="preserve">     （委托代理人姓名）   </w:t>
      </w:r>
      <w:r>
        <w:rPr>
          <w:rFonts w:hint="eastAsia" w:ascii="宋体" w:hAnsi="宋体"/>
          <w:sz w:val="24"/>
          <w:szCs w:val="24"/>
        </w:rPr>
        <w:t>为全权代表，参加贵方组织的招标采购活动，并进行投标。为此：</w:t>
      </w:r>
    </w:p>
    <w:p>
      <w:pPr>
        <w:snapToGrid w:val="0"/>
        <w:spacing w:line="360" w:lineRule="auto"/>
        <w:ind w:firstLine="480" w:firstLineChars="200"/>
        <w:rPr>
          <w:rFonts w:hint="eastAsia" w:ascii="宋体" w:hAnsi="宋体"/>
          <w:bCs/>
          <w:sz w:val="24"/>
          <w:szCs w:val="24"/>
        </w:rPr>
      </w:pPr>
      <w:r>
        <w:rPr>
          <w:rFonts w:hint="eastAsia" w:ascii="宋体" w:hAnsi="宋体"/>
          <w:sz w:val="24"/>
          <w:szCs w:val="24"/>
        </w:rPr>
        <w:t>1、我方已详细研读了全部采购文件，包括修改文件（如有的话）以及全部参考资料和有关附件等，</w:t>
      </w:r>
      <w:r>
        <w:rPr>
          <w:rFonts w:hint="eastAsia" w:ascii="宋体" w:hAnsi="宋体"/>
          <w:bCs/>
          <w:sz w:val="24"/>
          <w:szCs w:val="24"/>
        </w:rPr>
        <w:t>完全理解并接受采购文件的各项规定和要求，对采购文件的合理性、合法性不再有异议。</w:t>
      </w:r>
    </w:p>
    <w:p>
      <w:pPr>
        <w:tabs>
          <w:tab w:val="left" w:pos="900"/>
        </w:tabs>
        <w:spacing w:line="360" w:lineRule="auto"/>
        <w:ind w:firstLine="480" w:firstLineChars="200"/>
        <w:rPr>
          <w:rFonts w:hint="eastAsia" w:ascii="宋体" w:hAnsi="宋体"/>
          <w:sz w:val="24"/>
          <w:szCs w:val="24"/>
        </w:rPr>
      </w:pPr>
      <w:r>
        <w:rPr>
          <w:rFonts w:hint="eastAsia" w:ascii="宋体" w:hAnsi="宋体"/>
          <w:sz w:val="24"/>
          <w:szCs w:val="24"/>
        </w:rPr>
        <w:t>2、我方承诺本谈判响应文件在开标之日起至投标有效期满均具有约束力，并严格遵守谈判响应文件中的承诺。</w:t>
      </w:r>
    </w:p>
    <w:p>
      <w:pPr>
        <w:spacing w:line="360" w:lineRule="auto"/>
        <w:ind w:firstLine="480" w:firstLineChars="200"/>
        <w:rPr>
          <w:rFonts w:hint="eastAsia" w:ascii="宋体" w:hAnsi="宋体"/>
          <w:sz w:val="24"/>
          <w:szCs w:val="24"/>
        </w:rPr>
      </w:pPr>
      <w:r>
        <w:rPr>
          <w:rFonts w:hint="eastAsia" w:ascii="宋体" w:hAnsi="宋体"/>
          <w:sz w:val="24"/>
          <w:szCs w:val="24"/>
        </w:rPr>
        <w:t>3、我方承诺已经具备《中华人民共和国政府采购法》及采购文件中规定的参加本项目的供应商资格条件。</w:t>
      </w:r>
    </w:p>
    <w:p>
      <w:pPr>
        <w:snapToGrid w:val="0"/>
        <w:spacing w:line="360" w:lineRule="auto"/>
        <w:ind w:firstLine="480" w:firstLineChars="200"/>
        <w:rPr>
          <w:rFonts w:ascii="宋体" w:hAnsi="宋体"/>
          <w:sz w:val="24"/>
          <w:szCs w:val="24"/>
        </w:rPr>
      </w:pPr>
      <w:r>
        <w:rPr>
          <w:rFonts w:hint="eastAsia" w:ascii="宋体" w:hAnsi="宋体"/>
          <w:sz w:val="24"/>
          <w:szCs w:val="24"/>
        </w:rPr>
        <w:t>4、我方严格按照采购文件的规定报价，并提供采购文件规定的全部谈判响应文件。</w:t>
      </w:r>
    </w:p>
    <w:p>
      <w:pPr>
        <w:spacing w:line="360" w:lineRule="auto"/>
        <w:ind w:firstLine="480" w:firstLineChars="200"/>
        <w:rPr>
          <w:rFonts w:ascii="宋体" w:hAnsi="宋体"/>
          <w:sz w:val="24"/>
          <w:szCs w:val="24"/>
        </w:rPr>
      </w:pPr>
      <w:r>
        <w:rPr>
          <w:rFonts w:hint="eastAsia" w:ascii="宋体" w:hAnsi="宋体"/>
          <w:sz w:val="24"/>
          <w:szCs w:val="24"/>
        </w:rPr>
        <w:t>5、如我方中标，谈判响应文件将作为本项目合同的组成部分，直到合同履行完毕均保持有效，我方将按采购文件及政府采购法律、法规的规定履行合同责任和义务。</w:t>
      </w:r>
    </w:p>
    <w:p>
      <w:pPr>
        <w:spacing w:line="360" w:lineRule="auto"/>
        <w:ind w:firstLine="480" w:firstLineChars="200"/>
        <w:rPr>
          <w:rFonts w:hint="eastAsia" w:ascii="宋体" w:hAnsi="宋体"/>
          <w:sz w:val="24"/>
          <w:szCs w:val="24"/>
        </w:rPr>
      </w:pPr>
      <w:r>
        <w:rPr>
          <w:rFonts w:hint="eastAsia" w:ascii="宋体" w:hAnsi="宋体"/>
          <w:sz w:val="24"/>
          <w:szCs w:val="24"/>
        </w:rPr>
        <w:t>6、我方完全理解贵方不一定接受最低价的投标。</w:t>
      </w:r>
    </w:p>
    <w:p>
      <w:pPr>
        <w:spacing w:line="360" w:lineRule="auto"/>
        <w:ind w:firstLine="480" w:firstLineChars="200"/>
        <w:rPr>
          <w:rFonts w:hint="eastAsia" w:ascii="宋体" w:hAnsi="宋体"/>
          <w:sz w:val="24"/>
          <w:szCs w:val="24"/>
        </w:rPr>
      </w:pPr>
      <w:r>
        <w:rPr>
          <w:rFonts w:hint="eastAsia" w:ascii="宋体" w:hAnsi="宋体"/>
          <w:sz w:val="24"/>
          <w:szCs w:val="24"/>
        </w:rPr>
        <w:t>7、我方同意向贵方提供任何与该项投标有关的一切数据或资料。若贵方需要，我方愿意提供我方作出的一切承诺的证明材料。</w:t>
      </w:r>
    </w:p>
    <w:p>
      <w:pPr>
        <w:spacing w:line="360" w:lineRule="auto"/>
        <w:ind w:firstLine="480" w:firstLineChars="200"/>
        <w:rPr>
          <w:rFonts w:hint="eastAsia" w:ascii="宋体" w:hAnsi="宋体"/>
          <w:sz w:val="24"/>
          <w:szCs w:val="24"/>
        </w:rPr>
      </w:pPr>
      <w:r>
        <w:rPr>
          <w:rFonts w:hint="eastAsia" w:ascii="宋体" w:hAnsi="宋体"/>
          <w:sz w:val="24"/>
          <w:szCs w:val="24"/>
        </w:rPr>
        <w:t>8、与本次投标有关的一切正式往来通讯，请寄：</w:t>
      </w:r>
    </w:p>
    <w:p>
      <w:pPr>
        <w:spacing w:line="360" w:lineRule="auto"/>
        <w:ind w:firstLine="425"/>
        <w:rPr>
          <w:rFonts w:hint="eastAsia" w:ascii="宋体" w:hAnsi="宋体"/>
          <w:sz w:val="24"/>
          <w:szCs w:val="24"/>
          <w:u w:val="single"/>
        </w:rPr>
      </w:pPr>
      <w:r>
        <w:rPr>
          <w:rFonts w:hint="eastAsia" w:ascii="宋体" w:hAnsi="宋体"/>
          <w:sz w:val="24"/>
          <w:szCs w:val="24"/>
        </w:rPr>
        <w:t xml:space="preserve"> 地址：</w:t>
      </w:r>
      <w:r>
        <w:rPr>
          <w:rFonts w:hint="eastAsia" w:ascii="宋体" w:hAnsi="宋体"/>
          <w:sz w:val="24"/>
          <w:szCs w:val="24"/>
          <w:u w:val="single"/>
        </w:rPr>
        <w:t xml:space="preserve">                          </w:t>
      </w:r>
      <w:r>
        <w:rPr>
          <w:rFonts w:hint="eastAsia" w:ascii="宋体" w:hAnsi="宋体"/>
          <w:sz w:val="24"/>
          <w:szCs w:val="24"/>
        </w:rPr>
        <w:t>邮编：</w:t>
      </w:r>
      <w:r>
        <w:rPr>
          <w:rFonts w:hint="eastAsia" w:ascii="宋体" w:hAnsi="宋体"/>
          <w:sz w:val="24"/>
          <w:szCs w:val="24"/>
          <w:u w:val="single"/>
        </w:rPr>
        <w:t xml:space="preserve">                     </w:t>
      </w:r>
    </w:p>
    <w:p>
      <w:pPr>
        <w:spacing w:line="360" w:lineRule="auto"/>
        <w:ind w:firstLine="425"/>
        <w:rPr>
          <w:rFonts w:hint="eastAsia" w:ascii="宋体" w:hAnsi="宋体"/>
          <w:sz w:val="24"/>
          <w:szCs w:val="24"/>
          <w:u w:val="single"/>
        </w:rPr>
      </w:pPr>
      <w:r>
        <w:rPr>
          <w:rFonts w:hint="eastAsia" w:ascii="宋体" w:hAnsi="宋体"/>
          <w:sz w:val="24"/>
          <w:szCs w:val="24"/>
        </w:rPr>
        <w:t xml:space="preserve"> 电话：</w:t>
      </w:r>
      <w:r>
        <w:rPr>
          <w:rFonts w:hint="eastAsia" w:ascii="宋体" w:hAnsi="宋体"/>
          <w:sz w:val="24"/>
          <w:szCs w:val="24"/>
          <w:u w:val="single"/>
        </w:rPr>
        <w:t xml:space="preserve">                          </w:t>
      </w:r>
      <w:r>
        <w:rPr>
          <w:rFonts w:hint="eastAsia" w:ascii="宋体" w:hAnsi="宋体"/>
          <w:sz w:val="24"/>
          <w:szCs w:val="24"/>
        </w:rPr>
        <w:t>传真：</w:t>
      </w:r>
      <w:r>
        <w:rPr>
          <w:rFonts w:hint="eastAsia" w:ascii="宋体" w:hAnsi="宋体"/>
          <w:sz w:val="24"/>
          <w:szCs w:val="24"/>
          <w:u w:val="single"/>
        </w:rPr>
        <w:t xml:space="preserve">                     </w:t>
      </w:r>
    </w:p>
    <w:p>
      <w:pPr>
        <w:spacing w:line="360" w:lineRule="auto"/>
        <w:ind w:firstLine="425"/>
        <w:rPr>
          <w:rFonts w:hint="eastAsia" w:ascii="宋体" w:hAnsi="宋体"/>
          <w:sz w:val="24"/>
          <w:szCs w:val="24"/>
        </w:rPr>
      </w:pPr>
    </w:p>
    <w:p>
      <w:pPr>
        <w:spacing w:line="360" w:lineRule="auto"/>
        <w:ind w:firstLine="425"/>
        <w:rPr>
          <w:rFonts w:hint="eastAsia" w:ascii="宋体" w:hAnsi="宋体"/>
          <w:sz w:val="24"/>
          <w:szCs w:val="24"/>
        </w:rPr>
      </w:pPr>
      <w:r>
        <w:rPr>
          <w:rFonts w:hint="eastAsia" w:ascii="宋体" w:hAnsi="宋体"/>
          <w:sz w:val="24"/>
          <w:szCs w:val="24"/>
        </w:rPr>
        <w:t xml:space="preserve"> 投标人名称：</w:t>
      </w:r>
      <w:r>
        <w:rPr>
          <w:rFonts w:hint="eastAsia" w:ascii="宋体" w:hAnsi="宋体"/>
          <w:sz w:val="24"/>
          <w:szCs w:val="24"/>
          <w:u w:val="single"/>
        </w:rPr>
        <w:t xml:space="preserve">                        </w:t>
      </w:r>
      <w:r>
        <w:rPr>
          <w:rFonts w:hint="eastAsia" w:ascii="宋体" w:hAnsi="宋体"/>
          <w:sz w:val="24"/>
          <w:szCs w:val="24"/>
        </w:rPr>
        <w:t>（公章）</w:t>
      </w:r>
    </w:p>
    <w:p>
      <w:pPr>
        <w:spacing w:line="360" w:lineRule="auto"/>
        <w:ind w:firstLine="425"/>
        <w:rPr>
          <w:rFonts w:hint="eastAsia" w:ascii="宋体" w:hAnsi="宋体"/>
          <w:sz w:val="24"/>
          <w:szCs w:val="24"/>
          <w:u w:val="single"/>
        </w:rPr>
      </w:pPr>
      <w:r>
        <w:rPr>
          <w:rFonts w:hint="eastAsia" w:ascii="宋体" w:hAnsi="宋体"/>
          <w:sz w:val="24"/>
          <w:szCs w:val="24"/>
        </w:rPr>
        <w:t xml:space="preserve"> 法定代表人（或委托代理人）签字或盖章：</w:t>
      </w:r>
      <w:r>
        <w:rPr>
          <w:rFonts w:hint="eastAsia" w:ascii="宋体" w:hAnsi="宋体"/>
          <w:sz w:val="24"/>
          <w:szCs w:val="24"/>
          <w:u w:val="single"/>
        </w:rPr>
        <w:t xml:space="preserve">                        </w:t>
      </w:r>
    </w:p>
    <w:p>
      <w:pPr>
        <w:spacing w:line="360" w:lineRule="auto"/>
        <w:ind w:firstLine="480" w:firstLineChars="200"/>
        <w:rPr>
          <w:rFonts w:hint="eastAsia" w:ascii="黑体" w:hAnsi="黑体"/>
          <w:b/>
        </w:rPr>
      </w:pPr>
      <w:r>
        <w:rPr>
          <w:rFonts w:hint="eastAsia" w:ascii="宋体" w:hAnsi="宋体"/>
          <w:sz w:val="24"/>
          <w:szCs w:val="24"/>
        </w:rPr>
        <w:t>投标日期：</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w:t>
      </w:r>
    </w:p>
    <w:p>
      <w:pPr>
        <w:pStyle w:val="3"/>
        <w:spacing w:line="500" w:lineRule="exact"/>
        <w:jc w:val="center"/>
        <w:rPr>
          <w:rFonts w:hint="eastAsia" w:ascii="黑体" w:hAnsi="黑体"/>
          <w:b w:val="0"/>
        </w:rPr>
      </w:pPr>
    </w:p>
    <w:p>
      <w:pPr>
        <w:pStyle w:val="3"/>
        <w:spacing w:line="500" w:lineRule="exact"/>
        <w:jc w:val="center"/>
        <w:rPr>
          <w:rFonts w:hint="eastAsia" w:ascii="黑体" w:hAnsi="黑体"/>
          <w:b w:val="0"/>
        </w:rPr>
      </w:pPr>
      <w:r>
        <w:rPr>
          <w:rFonts w:hint="eastAsia" w:ascii="黑体" w:hAnsi="黑体"/>
          <w:b w:val="0"/>
        </w:rPr>
        <w:t>三、授权委托书（格式）</w:t>
      </w:r>
    </w:p>
    <w:p>
      <w:pPr>
        <w:spacing w:line="360" w:lineRule="auto"/>
        <w:rPr>
          <w:rFonts w:hint="eastAsia" w:ascii="宋体" w:hAnsi="宋体"/>
          <w:sz w:val="24"/>
          <w:szCs w:val="24"/>
        </w:rPr>
      </w:pPr>
      <w:r>
        <w:rPr>
          <w:rFonts w:hint="eastAsia" w:ascii="宋体" w:hAnsi="宋体"/>
          <w:sz w:val="24"/>
          <w:szCs w:val="24"/>
        </w:rPr>
        <w:t>致：诸暨广和工程管理服务有限公司</w:t>
      </w:r>
    </w:p>
    <w:p>
      <w:pPr>
        <w:spacing w:line="360" w:lineRule="auto"/>
        <w:ind w:firstLine="480" w:firstLineChars="200"/>
        <w:rPr>
          <w:rFonts w:ascii="宋体" w:hAnsi="宋体"/>
          <w:sz w:val="24"/>
          <w:szCs w:val="24"/>
        </w:rPr>
      </w:pPr>
      <w:r>
        <w:rPr>
          <w:rFonts w:hint="eastAsia" w:ascii="宋体" w:hAnsi="宋体"/>
          <w:sz w:val="24"/>
          <w:szCs w:val="24"/>
        </w:rPr>
        <w:t>我</w:t>
      </w:r>
      <w:r>
        <w:rPr>
          <w:rFonts w:ascii="宋体" w:hAnsi="宋体"/>
          <w:sz w:val="24"/>
          <w:szCs w:val="24"/>
          <w:u w:val="single"/>
        </w:rPr>
        <w:t xml:space="preserve">   (</w:t>
      </w:r>
      <w:r>
        <w:rPr>
          <w:rFonts w:hint="eastAsia" w:ascii="宋体" w:hAnsi="宋体"/>
          <w:sz w:val="24"/>
          <w:szCs w:val="24"/>
          <w:u w:val="single"/>
        </w:rPr>
        <w:t>姓名</w:t>
      </w:r>
      <w:r>
        <w:rPr>
          <w:rFonts w:ascii="宋体" w:hAnsi="宋体"/>
          <w:sz w:val="24"/>
          <w:szCs w:val="24"/>
          <w:u w:val="single"/>
        </w:rPr>
        <w:t>)</w:t>
      </w:r>
      <w:r>
        <w:rPr>
          <w:rFonts w:hint="eastAsia" w:ascii="宋体" w:hAnsi="宋体"/>
          <w:sz w:val="24"/>
          <w:szCs w:val="24"/>
          <w:u w:val="single"/>
        </w:rPr>
        <w:t>　</w:t>
      </w:r>
      <w:r>
        <w:rPr>
          <w:rFonts w:hint="eastAsia" w:ascii="宋体" w:hAnsi="宋体"/>
          <w:sz w:val="24"/>
          <w:szCs w:val="24"/>
        </w:rPr>
        <w:t>系</w:t>
      </w:r>
      <w:r>
        <w:rPr>
          <w:rFonts w:ascii="宋体" w:hAnsi="宋体"/>
          <w:sz w:val="24"/>
          <w:szCs w:val="24"/>
          <w:u w:val="single"/>
        </w:rPr>
        <w:t xml:space="preserve">        (</w:t>
      </w:r>
      <w:r>
        <w:rPr>
          <w:rFonts w:hint="eastAsia" w:ascii="宋体" w:hAnsi="宋体"/>
          <w:sz w:val="24"/>
          <w:szCs w:val="24"/>
          <w:u w:val="single"/>
        </w:rPr>
        <w:t>投标人名称</w:t>
      </w:r>
      <w:r>
        <w:rPr>
          <w:rFonts w:ascii="宋体" w:hAnsi="宋体"/>
          <w:sz w:val="24"/>
          <w:szCs w:val="24"/>
          <w:u w:val="single"/>
        </w:rPr>
        <w:t>)</w:t>
      </w:r>
      <w:r>
        <w:rPr>
          <w:rFonts w:hint="eastAsia" w:ascii="宋体" w:hAnsi="宋体"/>
          <w:sz w:val="24"/>
          <w:szCs w:val="24"/>
          <w:u w:val="single"/>
        </w:rPr>
        <w:t>　　　</w:t>
      </w:r>
      <w:r>
        <w:rPr>
          <w:rFonts w:hint="eastAsia" w:ascii="宋体" w:hAnsi="宋体"/>
          <w:sz w:val="24"/>
          <w:szCs w:val="24"/>
        </w:rPr>
        <w:t>的法定代表人，现授权委托本单位在职职工</w:t>
      </w:r>
      <w:r>
        <w:rPr>
          <w:rFonts w:ascii="宋体" w:hAnsi="宋体"/>
          <w:sz w:val="24"/>
          <w:szCs w:val="24"/>
          <w:u w:val="single"/>
        </w:rPr>
        <w:t xml:space="preserve">   (</w:t>
      </w:r>
      <w:r>
        <w:rPr>
          <w:rFonts w:hint="eastAsia" w:ascii="宋体" w:hAnsi="宋体"/>
          <w:sz w:val="24"/>
          <w:szCs w:val="24"/>
          <w:u w:val="single"/>
        </w:rPr>
        <w:t>姓名</w:t>
      </w:r>
      <w:r>
        <w:rPr>
          <w:rFonts w:ascii="宋体" w:hAnsi="宋体"/>
          <w:sz w:val="24"/>
          <w:szCs w:val="24"/>
          <w:u w:val="single"/>
        </w:rPr>
        <w:t>)</w:t>
      </w:r>
      <w:r>
        <w:rPr>
          <w:rFonts w:hint="eastAsia" w:ascii="宋体" w:hAnsi="宋体"/>
          <w:sz w:val="24"/>
          <w:szCs w:val="24"/>
          <w:u w:val="single"/>
        </w:rPr>
        <w:t xml:space="preserve">  　</w:t>
      </w:r>
      <w:r>
        <w:rPr>
          <w:rFonts w:hint="eastAsia" w:ascii="宋体" w:hAnsi="宋体"/>
          <w:sz w:val="24"/>
          <w:szCs w:val="24"/>
        </w:rPr>
        <w:t>以我方的名义参加贵中心组织的</w:t>
      </w:r>
      <w:r>
        <w:rPr>
          <w:rFonts w:hint="eastAsia" w:ascii="宋体" w:hAnsi="宋体"/>
          <w:sz w:val="24"/>
          <w:szCs w:val="24"/>
          <w:u w:val="single"/>
        </w:rPr>
        <w:t>诸暨市</w:t>
      </w:r>
      <w:r>
        <w:rPr>
          <w:rFonts w:ascii="宋体" w:hAnsi="宋体"/>
          <w:sz w:val="24"/>
          <w:szCs w:val="24"/>
          <w:u w:val="single"/>
        </w:rPr>
        <w:t xml:space="preserve">    </w:t>
      </w:r>
      <w:r>
        <w:rPr>
          <w:rFonts w:hint="eastAsia" w:ascii="宋体" w:hAnsi="宋体"/>
          <w:sz w:val="24"/>
          <w:szCs w:val="24"/>
          <w:u w:val="single"/>
        </w:rPr>
        <w:t>　</w:t>
      </w:r>
      <w:r>
        <w:rPr>
          <w:rFonts w:ascii="宋体" w:hAnsi="宋体"/>
          <w:sz w:val="24"/>
          <w:szCs w:val="24"/>
          <w:u w:val="single"/>
        </w:rPr>
        <w:t>(</w:t>
      </w:r>
      <w:r>
        <w:rPr>
          <w:rFonts w:hint="eastAsia" w:ascii="宋体" w:hAnsi="宋体"/>
          <w:sz w:val="24"/>
          <w:szCs w:val="24"/>
          <w:u w:val="single"/>
        </w:rPr>
        <w:t>招标项目</w:t>
      </w:r>
      <w:r>
        <w:rPr>
          <w:rFonts w:ascii="宋体" w:hAnsi="宋体"/>
          <w:sz w:val="24"/>
          <w:szCs w:val="24"/>
          <w:u w:val="single"/>
        </w:rPr>
        <w:t xml:space="preserve">)        </w:t>
      </w:r>
      <w:r>
        <w:rPr>
          <w:rFonts w:hint="eastAsia" w:ascii="宋体" w:hAnsi="宋体"/>
          <w:sz w:val="24"/>
          <w:szCs w:val="24"/>
          <w:u w:val="single"/>
        </w:rPr>
        <w:t>项目</w:t>
      </w:r>
      <w:r>
        <w:rPr>
          <w:rFonts w:hint="eastAsia" w:ascii="宋体" w:hAnsi="宋体"/>
          <w:sz w:val="24"/>
          <w:szCs w:val="24"/>
        </w:rPr>
        <w:t>的投标活动，并代表我方全权办理针对上述项目的投标、开标、评标、签约等具体事务和签署相关文件。</w:t>
      </w:r>
    </w:p>
    <w:p>
      <w:pPr>
        <w:snapToGrid w:val="0"/>
        <w:spacing w:line="360" w:lineRule="auto"/>
        <w:rPr>
          <w:rFonts w:ascii="宋体" w:hAnsi="宋体"/>
          <w:sz w:val="24"/>
          <w:szCs w:val="24"/>
        </w:rPr>
      </w:pPr>
      <w:r>
        <w:rPr>
          <w:rFonts w:ascii="宋体" w:hAnsi="宋体"/>
          <w:sz w:val="24"/>
          <w:szCs w:val="24"/>
        </w:rPr>
        <w:t xml:space="preserve">    </w:t>
      </w:r>
      <w:r>
        <w:rPr>
          <w:rFonts w:hint="eastAsia" w:ascii="宋体" w:hAnsi="宋体"/>
          <w:sz w:val="24"/>
          <w:szCs w:val="24"/>
        </w:rPr>
        <w:t>我方对被授权人的签名事项负全部责任。</w:t>
      </w:r>
    </w:p>
    <w:p>
      <w:pPr>
        <w:snapToGrid w:val="0"/>
        <w:spacing w:line="360" w:lineRule="auto"/>
        <w:ind w:firstLine="480"/>
        <w:rPr>
          <w:rFonts w:ascii="宋体" w:hAnsi="宋体"/>
          <w:sz w:val="24"/>
          <w:szCs w:val="24"/>
        </w:rPr>
      </w:pPr>
      <w:r>
        <w:rPr>
          <w:rFonts w:hint="eastAsia" w:ascii="宋体" w:hAnsi="宋体"/>
          <w:sz w:val="24"/>
          <w:szCs w:val="24"/>
        </w:rPr>
        <w:t>在撤销授权的书面通知以前，本授权书一直有效。被授权人在授权书有效期内签署的所有文件不因授权的撤销而失效。</w:t>
      </w:r>
    </w:p>
    <w:p>
      <w:pPr>
        <w:snapToGrid w:val="0"/>
        <w:spacing w:line="360" w:lineRule="auto"/>
        <w:ind w:firstLine="480"/>
        <w:rPr>
          <w:rFonts w:ascii="宋体" w:hAnsi="宋体"/>
          <w:sz w:val="24"/>
          <w:szCs w:val="24"/>
        </w:rPr>
      </w:pPr>
      <w:r>
        <w:rPr>
          <w:rFonts w:hint="eastAsia" w:ascii="宋体" w:hAnsi="宋体"/>
          <w:sz w:val="24"/>
          <w:szCs w:val="24"/>
        </w:rPr>
        <w:t>被授权人无转委托权，特此委托。</w:t>
      </w:r>
    </w:p>
    <w:p>
      <w:pPr>
        <w:spacing w:line="360" w:lineRule="auto"/>
        <w:rPr>
          <w:rFonts w:hint="eastAsia" w:ascii="宋体" w:hAnsi="宋体"/>
          <w:sz w:val="24"/>
          <w:szCs w:val="24"/>
        </w:rPr>
      </w:pPr>
    </w:p>
    <w:p>
      <w:pPr>
        <w:spacing w:line="360" w:lineRule="auto"/>
        <w:rPr>
          <w:rFonts w:hint="eastAsia" w:ascii="宋体" w:hAnsi="宋体"/>
          <w:sz w:val="24"/>
          <w:szCs w:val="24"/>
        </w:rPr>
      </w:pPr>
    </w:p>
    <w:p>
      <w:pPr>
        <w:spacing w:line="360" w:lineRule="auto"/>
        <w:rPr>
          <w:rFonts w:hint="eastAsia" w:ascii="宋体" w:hAnsi="宋体"/>
          <w:sz w:val="24"/>
          <w:szCs w:val="24"/>
        </w:rPr>
      </w:pPr>
    </w:p>
    <w:p>
      <w:pPr>
        <w:spacing w:line="360" w:lineRule="auto"/>
        <w:rPr>
          <w:rFonts w:hint="eastAsia" w:ascii="宋体" w:hAnsi="宋体"/>
          <w:sz w:val="24"/>
          <w:szCs w:val="24"/>
        </w:rPr>
      </w:pPr>
    </w:p>
    <w:p>
      <w:pPr>
        <w:spacing w:line="360" w:lineRule="auto"/>
        <w:rPr>
          <w:rFonts w:hint="eastAsia" w:ascii="宋体" w:hAnsi="宋体"/>
          <w:sz w:val="24"/>
          <w:szCs w:val="24"/>
        </w:rPr>
      </w:pPr>
    </w:p>
    <w:p>
      <w:pPr>
        <w:spacing w:line="360" w:lineRule="auto"/>
        <w:rPr>
          <w:rFonts w:hint="eastAsia" w:ascii="宋体" w:hAnsi="宋体"/>
          <w:sz w:val="24"/>
          <w:szCs w:val="24"/>
        </w:rPr>
      </w:pPr>
    </w:p>
    <w:p>
      <w:pPr>
        <w:spacing w:line="360" w:lineRule="auto"/>
        <w:rPr>
          <w:rFonts w:hint="eastAsia" w:ascii="宋体" w:hAnsi="宋体"/>
          <w:sz w:val="24"/>
          <w:szCs w:val="24"/>
        </w:rPr>
      </w:pPr>
      <w:r>
        <w:rPr>
          <w:rFonts w:hint="eastAsia" w:ascii="宋体" w:hAnsi="宋体"/>
          <w:sz w:val="24"/>
          <w:szCs w:val="24"/>
        </w:rPr>
        <w:t>法定代表人：</w:t>
      </w:r>
      <w:r>
        <w:rPr>
          <w:rFonts w:ascii="宋体" w:hAnsi="宋体"/>
          <w:sz w:val="24"/>
          <w:szCs w:val="24"/>
          <w:u w:val="single"/>
        </w:rPr>
        <w:t>(</w:t>
      </w:r>
      <w:r>
        <w:rPr>
          <w:rFonts w:hint="eastAsia" w:ascii="宋体" w:hAnsi="宋体"/>
          <w:sz w:val="24"/>
          <w:szCs w:val="24"/>
          <w:u w:val="single"/>
        </w:rPr>
        <w:t>签字或盖章</w:t>
      </w:r>
      <w:r>
        <w:rPr>
          <w:rFonts w:ascii="宋体" w:hAnsi="宋体"/>
          <w:sz w:val="24"/>
          <w:szCs w:val="24"/>
          <w:u w:val="single"/>
        </w:rPr>
        <w:t>)</w:t>
      </w:r>
      <w:r>
        <w:rPr>
          <w:rFonts w:hint="eastAsia" w:ascii="宋体" w:hAnsi="宋体"/>
          <w:sz w:val="24"/>
          <w:szCs w:val="24"/>
        </w:rPr>
        <w:t xml:space="preserve">                   被授权人：</w:t>
      </w:r>
      <w:r>
        <w:rPr>
          <w:rFonts w:ascii="宋体" w:hAnsi="宋体"/>
          <w:sz w:val="24"/>
          <w:szCs w:val="24"/>
          <w:u w:val="single"/>
        </w:rPr>
        <w:t>(</w:t>
      </w:r>
      <w:r>
        <w:rPr>
          <w:rFonts w:hint="eastAsia" w:ascii="宋体" w:hAnsi="宋体"/>
          <w:sz w:val="24"/>
          <w:szCs w:val="24"/>
          <w:u w:val="single"/>
        </w:rPr>
        <w:t>签字或盖章</w:t>
      </w:r>
      <w:r>
        <w:rPr>
          <w:rFonts w:ascii="宋体" w:hAnsi="宋体"/>
          <w:sz w:val="24"/>
          <w:szCs w:val="24"/>
          <w:u w:val="single"/>
        </w:rPr>
        <w:t>)</w:t>
      </w:r>
      <w:r>
        <w:rPr>
          <w:rFonts w:hint="eastAsia" w:ascii="宋体" w:hAnsi="宋体"/>
          <w:sz w:val="24"/>
          <w:szCs w:val="24"/>
          <w:u w:val="single"/>
        </w:rPr>
        <w:t xml:space="preserve"> </w:t>
      </w:r>
      <w:r>
        <w:rPr>
          <w:rFonts w:hint="eastAsia" w:ascii="宋体" w:hAnsi="宋体"/>
          <w:sz w:val="24"/>
          <w:szCs w:val="24"/>
        </w:rPr>
        <w:t xml:space="preserve">　 </w:t>
      </w:r>
    </w:p>
    <w:p>
      <w:pPr>
        <w:spacing w:line="360" w:lineRule="auto"/>
        <w:rPr>
          <w:rFonts w:hint="eastAsia" w:ascii="宋体" w:hAnsi="宋体"/>
          <w:sz w:val="24"/>
          <w:szCs w:val="24"/>
        </w:rPr>
      </w:pPr>
      <w:r>
        <w:rPr>
          <w:rFonts w:hint="eastAsia" w:ascii="宋体" w:hAnsi="宋体"/>
          <w:sz w:val="24"/>
          <w:szCs w:val="24"/>
        </w:rPr>
        <w:t xml:space="preserve"> 职     务：</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 xml:space="preserve"> </w:t>
      </w:r>
      <w:r>
        <w:rPr>
          <w:rFonts w:hint="eastAsia" w:ascii="宋体" w:hAnsi="宋体"/>
          <w:sz w:val="24"/>
          <w:szCs w:val="24"/>
        </w:rPr>
        <w:t xml:space="preserve">                    职  务：</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p>
    <w:p>
      <w:pPr>
        <w:spacing w:line="360" w:lineRule="auto"/>
        <w:ind w:firstLine="3960" w:firstLineChars="1650"/>
        <w:rPr>
          <w:rFonts w:hint="eastAsia" w:ascii="宋体" w:hAnsi="宋体"/>
          <w:sz w:val="24"/>
          <w:szCs w:val="24"/>
        </w:rPr>
      </w:pPr>
      <w:r>
        <w:rPr>
          <w:rFonts w:hint="eastAsia" w:ascii="宋体" w:hAnsi="宋体"/>
          <w:sz w:val="24"/>
          <w:szCs w:val="24"/>
        </w:rPr>
        <w:t>被授权人身份证号码：</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p>
    <w:p>
      <w:pPr>
        <w:spacing w:line="360" w:lineRule="auto"/>
        <w:rPr>
          <w:rFonts w:hint="eastAsia" w:ascii="宋体" w:hAnsi="宋体"/>
          <w:sz w:val="24"/>
          <w:szCs w:val="24"/>
        </w:rPr>
      </w:pPr>
    </w:p>
    <w:p>
      <w:pPr>
        <w:spacing w:line="360" w:lineRule="auto"/>
        <w:rPr>
          <w:rFonts w:hint="eastAsia" w:ascii="宋体" w:hAnsi="宋体"/>
          <w:sz w:val="24"/>
          <w:szCs w:val="24"/>
        </w:rPr>
      </w:pPr>
    </w:p>
    <w:p>
      <w:pPr>
        <w:spacing w:line="360" w:lineRule="auto"/>
        <w:rPr>
          <w:rFonts w:hint="eastAsia" w:ascii="宋体" w:hAnsi="宋体"/>
          <w:sz w:val="24"/>
          <w:szCs w:val="24"/>
        </w:rPr>
      </w:pPr>
    </w:p>
    <w:p>
      <w:pPr>
        <w:spacing w:line="360" w:lineRule="auto"/>
        <w:rPr>
          <w:rFonts w:hint="eastAsia" w:ascii="宋体" w:hAnsi="宋体"/>
          <w:sz w:val="24"/>
          <w:szCs w:val="24"/>
        </w:rPr>
      </w:pPr>
    </w:p>
    <w:p>
      <w:pPr>
        <w:spacing w:line="360" w:lineRule="auto"/>
        <w:ind w:firstLine="4440" w:firstLineChars="1850"/>
        <w:rPr>
          <w:rFonts w:ascii="宋体" w:hAnsi="宋体"/>
          <w:sz w:val="24"/>
          <w:szCs w:val="24"/>
        </w:rPr>
      </w:pPr>
      <w:r>
        <w:rPr>
          <w:rFonts w:hint="eastAsia" w:ascii="宋体" w:hAnsi="宋体"/>
          <w:sz w:val="24"/>
          <w:szCs w:val="24"/>
        </w:rPr>
        <w:t>投标人：</w:t>
      </w:r>
      <w:r>
        <w:rPr>
          <w:rFonts w:ascii="宋体" w:hAnsi="宋体"/>
          <w:sz w:val="24"/>
          <w:szCs w:val="24"/>
          <w:u w:val="single"/>
        </w:rPr>
        <w:t xml:space="preserve">           </w:t>
      </w:r>
      <w:r>
        <w:rPr>
          <w:rFonts w:hint="eastAsia" w:ascii="宋体" w:hAnsi="宋体"/>
          <w:sz w:val="24"/>
          <w:szCs w:val="24"/>
          <w:u w:val="single"/>
        </w:rPr>
        <w:t>　　　</w:t>
      </w:r>
      <w:r>
        <w:rPr>
          <w:rFonts w:ascii="宋体" w:hAnsi="宋体"/>
          <w:sz w:val="24"/>
          <w:szCs w:val="24"/>
          <w:u w:val="single"/>
        </w:rPr>
        <w:t xml:space="preserve"> (</w:t>
      </w:r>
      <w:r>
        <w:rPr>
          <w:rFonts w:hint="eastAsia" w:ascii="宋体" w:hAnsi="宋体"/>
          <w:sz w:val="24"/>
          <w:szCs w:val="24"/>
          <w:u w:val="single"/>
        </w:rPr>
        <w:t>盖章</w:t>
      </w:r>
      <w:r>
        <w:rPr>
          <w:rFonts w:ascii="宋体" w:hAnsi="宋体"/>
          <w:sz w:val="24"/>
          <w:szCs w:val="24"/>
          <w:u w:val="single"/>
        </w:rPr>
        <w:t>)</w:t>
      </w:r>
    </w:p>
    <w:p>
      <w:pPr>
        <w:spacing w:line="360" w:lineRule="auto"/>
        <w:rPr>
          <w:rFonts w:hint="eastAsia" w:ascii="宋体" w:hAnsi="宋体"/>
          <w:sz w:val="24"/>
          <w:szCs w:val="24"/>
        </w:rPr>
      </w:pPr>
    </w:p>
    <w:p>
      <w:pPr>
        <w:spacing w:line="360" w:lineRule="auto"/>
        <w:rPr>
          <w:rFonts w:ascii="宋体" w:hAnsi="宋体"/>
          <w:sz w:val="24"/>
          <w:szCs w:val="24"/>
        </w:rPr>
      </w:pPr>
      <w:r>
        <w:rPr>
          <w:rFonts w:ascii="宋体" w:hAnsi="宋体"/>
          <w:sz w:val="24"/>
          <w:szCs w:val="24"/>
        </w:rPr>
        <w:t xml:space="preserve">                        </w:t>
      </w:r>
      <w:r>
        <w:rPr>
          <w:rFonts w:hint="eastAsia" w:ascii="宋体" w:hAnsi="宋体"/>
          <w:sz w:val="24"/>
          <w:szCs w:val="24"/>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年</w:t>
      </w:r>
      <w:r>
        <w:rPr>
          <w:rFonts w:ascii="宋体" w:hAnsi="宋体"/>
          <w:sz w:val="24"/>
          <w:szCs w:val="24"/>
          <w:u w:val="single"/>
        </w:rPr>
        <w:t xml:space="preserve">    </w:t>
      </w:r>
      <w:r>
        <w:rPr>
          <w:rFonts w:hint="eastAsia" w:ascii="宋体" w:hAnsi="宋体"/>
          <w:sz w:val="24"/>
          <w:szCs w:val="24"/>
        </w:rPr>
        <w:t>月</w:t>
      </w:r>
      <w:r>
        <w:rPr>
          <w:rFonts w:ascii="宋体" w:hAnsi="宋体"/>
          <w:sz w:val="24"/>
          <w:szCs w:val="24"/>
          <w:u w:val="single"/>
        </w:rPr>
        <w:t xml:space="preserve">   </w:t>
      </w:r>
      <w:r>
        <w:rPr>
          <w:rFonts w:hint="eastAsia" w:ascii="宋体" w:hAnsi="宋体"/>
          <w:sz w:val="24"/>
          <w:szCs w:val="24"/>
        </w:rPr>
        <w:t>日</w:t>
      </w:r>
    </w:p>
    <w:p>
      <w:pPr>
        <w:rPr>
          <w:rFonts w:ascii="宋体" w:hAnsi="宋体"/>
          <w:sz w:val="24"/>
          <w:szCs w:val="24"/>
        </w:rPr>
      </w:pPr>
      <w:bookmarkStart w:id="65" w:name="_Toc48672384"/>
      <w:bookmarkStart w:id="66" w:name="_Toc331876394"/>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pStyle w:val="3"/>
        <w:spacing w:line="500" w:lineRule="exact"/>
        <w:jc w:val="center"/>
        <w:rPr>
          <w:rFonts w:hint="eastAsia" w:ascii="黑体" w:hAnsi="黑体"/>
          <w:b w:val="0"/>
        </w:rPr>
      </w:pPr>
      <w:r>
        <w:rPr>
          <w:rFonts w:hint="eastAsia" w:ascii="黑体"/>
          <w:b w:val="0"/>
        </w:rPr>
        <w:t>四、</w:t>
      </w:r>
      <w:bookmarkEnd w:id="65"/>
      <w:bookmarkEnd w:id="66"/>
      <w:r>
        <w:rPr>
          <w:rFonts w:hint="eastAsia" w:ascii="黑体" w:hAnsi="黑体"/>
          <w:b w:val="0"/>
        </w:rPr>
        <w:t>开标一览表（格式）</w:t>
      </w:r>
    </w:p>
    <w:p>
      <w:pPr>
        <w:rPr>
          <w:rFonts w:hint="eastAsia"/>
          <w:sz w:val="28"/>
        </w:rPr>
      </w:pPr>
      <w:r>
        <w:rPr>
          <w:rFonts w:hint="eastAsia"/>
          <w:sz w:val="28"/>
        </w:rPr>
        <w:t>项目名称：</w:t>
      </w:r>
    </w:p>
    <w:p>
      <w:pPr>
        <w:rPr>
          <w:rFonts w:hint="eastAsia"/>
          <w:sz w:val="28"/>
        </w:rPr>
      </w:pPr>
      <w:r>
        <w:rPr>
          <w:rFonts w:hint="eastAsia"/>
          <w:sz w:val="28"/>
        </w:rPr>
        <w:t>项目编号：</w:t>
      </w:r>
    </w:p>
    <w:tbl>
      <w:tblPr>
        <w:tblStyle w:val="9"/>
        <w:tblW w:w="8980" w:type="dxa"/>
        <w:tblInd w:w="1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34"/>
        <w:gridCol w:w="1820"/>
        <w:gridCol w:w="4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trPr>
        <w:tc>
          <w:tcPr>
            <w:tcW w:w="3034" w:type="dxa"/>
            <w:vMerge w:val="restart"/>
            <w:noWrap w:val="0"/>
            <w:vAlign w:val="center"/>
          </w:tcPr>
          <w:p>
            <w:pPr>
              <w:jc w:val="center"/>
              <w:rPr>
                <w:b/>
                <w:sz w:val="28"/>
                <w:szCs w:val="28"/>
              </w:rPr>
            </w:pPr>
            <w:r>
              <w:rPr>
                <w:rFonts w:hint="eastAsia"/>
                <w:b/>
                <w:sz w:val="28"/>
                <w:szCs w:val="28"/>
              </w:rPr>
              <w:t>标的内容</w:t>
            </w:r>
          </w:p>
        </w:tc>
        <w:tc>
          <w:tcPr>
            <w:tcW w:w="5946" w:type="dxa"/>
            <w:gridSpan w:val="2"/>
            <w:noWrap w:val="0"/>
            <w:vAlign w:val="center"/>
          </w:tcPr>
          <w:p>
            <w:pPr>
              <w:jc w:val="center"/>
              <w:rPr>
                <w:b/>
                <w:sz w:val="28"/>
                <w:szCs w:val="28"/>
              </w:rPr>
            </w:pPr>
            <w:r>
              <w:rPr>
                <w:rFonts w:hint="eastAsia"/>
                <w:b/>
                <w:sz w:val="28"/>
                <w:szCs w:val="28"/>
              </w:rPr>
              <w:t>投标总报价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trPr>
        <w:tc>
          <w:tcPr>
            <w:tcW w:w="3034" w:type="dxa"/>
            <w:vMerge w:val="continue"/>
            <w:noWrap w:val="0"/>
            <w:vAlign w:val="center"/>
          </w:tcPr>
          <w:p>
            <w:pPr>
              <w:jc w:val="center"/>
              <w:rPr>
                <w:rFonts w:hint="eastAsia"/>
                <w:b/>
                <w:sz w:val="28"/>
                <w:szCs w:val="28"/>
              </w:rPr>
            </w:pPr>
          </w:p>
        </w:tc>
        <w:tc>
          <w:tcPr>
            <w:tcW w:w="1820" w:type="dxa"/>
            <w:noWrap w:val="0"/>
            <w:vAlign w:val="center"/>
          </w:tcPr>
          <w:p>
            <w:pPr>
              <w:jc w:val="center"/>
              <w:rPr>
                <w:rFonts w:hint="eastAsia"/>
                <w:b/>
                <w:sz w:val="28"/>
                <w:szCs w:val="28"/>
              </w:rPr>
            </w:pPr>
            <w:r>
              <w:rPr>
                <w:rFonts w:hint="eastAsia"/>
                <w:b/>
                <w:sz w:val="28"/>
                <w:szCs w:val="28"/>
              </w:rPr>
              <w:t>小写</w:t>
            </w:r>
          </w:p>
        </w:tc>
        <w:tc>
          <w:tcPr>
            <w:tcW w:w="4126" w:type="dxa"/>
            <w:noWrap w:val="0"/>
            <w:vAlign w:val="center"/>
          </w:tcPr>
          <w:p>
            <w:pPr>
              <w:jc w:val="center"/>
              <w:rPr>
                <w:rFonts w:hint="eastAsia"/>
                <w:b/>
                <w:sz w:val="28"/>
                <w:szCs w:val="28"/>
              </w:rPr>
            </w:pPr>
            <w:r>
              <w:rPr>
                <w:rFonts w:hint="eastAsia"/>
                <w:b/>
                <w:sz w:val="28"/>
                <w:szCs w:val="28"/>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6" w:hRule="atLeast"/>
        </w:trPr>
        <w:tc>
          <w:tcPr>
            <w:tcW w:w="3034" w:type="dxa"/>
            <w:noWrap w:val="0"/>
            <w:vAlign w:val="top"/>
          </w:tcPr>
          <w:p>
            <w:pPr>
              <w:spacing w:line="700" w:lineRule="exact"/>
              <w:jc w:val="center"/>
              <w:rPr>
                <w:rFonts w:hint="eastAsia" w:eastAsia="黑体"/>
                <w:sz w:val="24"/>
                <w:szCs w:val="24"/>
              </w:rPr>
            </w:pPr>
          </w:p>
        </w:tc>
        <w:tc>
          <w:tcPr>
            <w:tcW w:w="1820" w:type="dxa"/>
            <w:noWrap w:val="0"/>
            <w:vAlign w:val="center"/>
          </w:tcPr>
          <w:p>
            <w:pPr>
              <w:spacing w:line="700" w:lineRule="exact"/>
              <w:rPr>
                <w:rFonts w:hint="eastAsia"/>
                <w:sz w:val="24"/>
                <w:szCs w:val="24"/>
              </w:rPr>
            </w:pPr>
            <w:r>
              <w:rPr>
                <w:rFonts w:hint="eastAsia"/>
                <w:sz w:val="24"/>
                <w:szCs w:val="24"/>
              </w:rPr>
              <w:t>￥</w:t>
            </w:r>
          </w:p>
        </w:tc>
        <w:tc>
          <w:tcPr>
            <w:tcW w:w="4126" w:type="dxa"/>
            <w:noWrap w:val="0"/>
            <w:vAlign w:val="center"/>
          </w:tcPr>
          <w:p>
            <w:pPr>
              <w:spacing w:line="700" w:lineRule="exact"/>
              <w:rPr>
                <w:sz w:val="24"/>
                <w:szCs w:val="24"/>
              </w:rPr>
            </w:pPr>
          </w:p>
        </w:tc>
      </w:tr>
    </w:tbl>
    <w:p>
      <w:pPr>
        <w:rPr>
          <w:rFonts w:hint="eastAsia"/>
          <w:sz w:val="28"/>
        </w:rPr>
      </w:pPr>
    </w:p>
    <w:p>
      <w:pPr>
        <w:rPr>
          <w:rFonts w:hint="eastAsia"/>
          <w:sz w:val="28"/>
        </w:rPr>
      </w:pPr>
    </w:p>
    <w:p>
      <w:pPr>
        <w:rPr>
          <w:rFonts w:hint="eastAsia"/>
          <w:sz w:val="28"/>
        </w:rPr>
      </w:pPr>
    </w:p>
    <w:p>
      <w:pPr>
        <w:rPr>
          <w:sz w:val="28"/>
        </w:rPr>
      </w:pPr>
      <w:r>
        <w:rPr>
          <w:rFonts w:hint="eastAsia"/>
          <w:sz w:val="28"/>
        </w:rPr>
        <w:t>投标人（盖章）：</w:t>
      </w:r>
      <w:r>
        <w:rPr>
          <w:sz w:val="28"/>
          <w:u w:val="single"/>
        </w:rPr>
        <w:t xml:space="preserve">                                      </w:t>
      </w:r>
      <w:r>
        <w:rPr>
          <w:sz w:val="28"/>
        </w:rPr>
        <w:t xml:space="preserve">      </w:t>
      </w:r>
    </w:p>
    <w:p>
      <w:pPr>
        <w:rPr>
          <w:rFonts w:hint="eastAsia"/>
          <w:sz w:val="28"/>
        </w:rPr>
      </w:pPr>
    </w:p>
    <w:p>
      <w:pPr>
        <w:rPr>
          <w:sz w:val="28"/>
        </w:rPr>
      </w:pPr>
      <w:r>
        <w:rPr>
          <w:rFonts w:hint="eastAsia"/>
          <w:sz w:val="28"/>
        </w:rPr>
        <w:t>法定代表人或委托代理人（签字或盖章）：</w:t>
      </w:r>
      <w:r>
        <w:rPr>
          <w:sz w:val="28"/>
          <w:u w:val="single"/>
        </w:rPr>
        <w:t xml:space="preserve">                      </w:t>
      </w:r>
      <w:r>
        <w:rPr>
          <w:sz w:val="28"/>
        </w:rPr>
        <w:t xml:space="preserve">       </w:t>
      </w:r>
    </w:p>
    <w:p>
      <w:pPr>
        <w:rPr>
          <w:rFonts w:hint="eastAsia"/>
          <w:sz w:val="28"/>
        </w:rPr>
      </w:pPr>
      <w:r>
        <w:rPr>
          <w:rFonts w:hint="eastAsia"/>
          <w:sz w:val="28"/>
        </w:rPr>
        <w:t>日期：</w:t>
      </w:r>
      <w:r>
        <w:rPr>
          <w:rFonts w:hint="eastAsia"/>
          <w:sz w:val="28"/>
          <w:u w:val="single"/>
        </w:rPr>
        <w:t xml:space="preserve">  </w:t>
      </w:r>
      <w:r>
        <w:rPr>
          <w:sz w:val="28"/>
          <w:u w:val="single"/>
        </w:rPr>
        <w:t xml:space="preserve">    </w:t>
      </w:r>
      <w:r>
        <w:rPr>
          <w:rFonts w:hint="eastAsia"/>
          <w:sz w:val="28"/>
        </w:rPr>
        <w:t>年</w:t>
      </w:r>
      <w:r>
        <w:rPr>
          <w:sz w:val="28"/>
          <w:u w:val="single"/>
        </w:rPr>
        <w:t xml:space="preserve">    </w:t>
      </w:r>
      <w:r>
        <w:rPr>
          <w:rFonts w:hint="eastAsia"/>
          <w:sz w:val="28"/>
        </w:rPr>
        <w:t>月</w:t>
      </w:r>
      <w:r>
        <w:rPr>
          <w:sz w:val="28"/>
          <w:u w:val="single"/>
        </w:rPr>
        <w:t xml:space="preserve">    </w:t>
      </w:r>
      <w:r>
        <w:rPr>
          <w:rFonts w:hint="eastAsia"/>
          <w:sz w:val="28"/>
        </w:rPr>
        <w:t>日</w:t>
      </w:r>
    </w:p>
    <w:p>
      <w:pPr>
        <w:spacing w:line="360" w:lineRule="auto"/>
        <w:ind w:firstLine="480" w:firstLineChars="200"/>
        <w:rPr>
          <w:rFonts w:hint="eastAsia" w:ascii="宋体" w:hAnsi="宋体"/>
          <w:sz w:val="24"/>
          <w:szCs w:val="24"/>
        </w:rPr>
      </w:pPr>
    </w:p>
    <w:p>
      <w:pPr>
        <w:spacing w:line="360" w:lineRule="auto"/>
        <w:ind w:firstLine="480" w:firstLineChars="200"/>
        <w:rPr>
          <w:rFonts w:hint="eastAsia" w:ascii="宋体" w:hAnsi="宋体"/>
          <w:sz w:val="24"/>
          <w:szCs w:val="24"/>
        </w:rPr>
      </w:pPr>
    </w:p>
    <w:p>
      <w:pPr>
        <w:spacing w:line="360" w:lineRule="auto"/>
        <w:ind w:firstLine="480" w:firstLineChars="200"/>
        <w:rPr>
          <w:rFonts w:hint="eastAsia" w:ascii="宋体" w:hAnsi="宋体"/>
          <w:sz w:val="24"/>
          <w:szCs w:val="24"/>
        </w:rPr>
      </w:pPr>
    </w:p>
    <w:p>
      <w:pPr>
        <w:spacing w:line="360" w:lineRule="auto"/>
        <w:ind w:firstLine="480" w:firstLineChars="200"/>
        <w:rPr>
          <w:rFonts w:hint="eastAsia" w:ascii="宋体" w:hAnsi="宋体"/>
          <w:sz w:val="24"/>
          <w:szCs w:val="24"/>
        </w:rPr>
      </w:pPr>
    </w:p>
    <w:p>
      <w:pPr>
        <w:spacing w:line="360" w:lineRule="auto"/>
        <w:ind w:firstLine="480" w:firstLineChars="200"/>
        <w:rPr>
          <w:rFonts w:hint="eastAsia" w:ascii="宋体" w:hAnsi="宋体"/>
          <w:sz w:val="24"/>
          <w:szCs w:val="24"/>
        </w:rPr>
      </w:pPr>
    </w:p>
    <w:p>
      <w:pPr>
        <w:spacing w:line="360" w:lineRule="auto"/>
        <w:ind w:firstLine="480" w:firstLineChars="200"/>
        <w:rPr>
          <w:rFonts w:hint="eastAsia" w:ascii="宋体" w:hAnsi="宋体"/>
          <w:sz w:val="24"/>
          <w:szCs w:val="24"/>
        </w:rPr>
      </w:pPr>
    </w:p>
    <w:p>
      <w:pPr>
        <w:spacing w:line="360" w:lineRule="auto"/>
        <w:ind w:firstLine="480" w:firstLineChars="200"/>
        <w:rPr>
          <w:rFonts w:hint="eastAsia" w:ascii="宋体" w:hAnsi="宋体"/>
          <w:sz w:val="24"/>
          <w:szCs w:val="24"/>
        </w:rPr>
      </w:pPr>
    </w:p>
    <w:p>
      <w:pPr>
        <w:spacing w:line="440" w:lineRule="exact"/>
        <w:jc w:val="center"/>
        <w:rPr>
          <w:rFonts w:hint="eastAsia" w:ascii="黑体" w:eastAsia="黑体"/>
          <w:b/>
          <w:color w:val="auto"/>
          <w:sz w:val="32"/>
          <w:szCs w:val="32"/>
        </w:rPr>
      </w:pPr>
      <w:r>
        <w:rPr>
          <w:rFonts w:hint="eastAsia" w:ascii="黑体" w:eastAsia="黑体"/>
          <w:b/>
          <w:sz w:val="32"/>
        </w:rPr>
        <w:t>五、</w:t>
      </w:r>
      <w:r>
        <w:rPr>
          <w:rFonts w:hint="eastAsia" w:ascii="黑体" w:eastAsia="黑体"/>
          <w:sz w:val="32"/>
          <w:szCs w:val="32"/>
        </w:rPr>
        <w:t>投标承诺书（格式）</w:t>
      </w:r>
    </w:p>
    <w:p>
      <w:pPr>
        <w:spacing w:line="340" w:lineRule="exact"/>
        <w:ind w:firstLine="420" w:firstLineChars="200"/>
        <w:rPr>
          <w:rFonts w:hint="eastAsia"/>
        </w:rPr>
      </w:pPr>
    </w:p>
    <w:p>
      <w:pPr>
        <w:spacing w:line="340" w:lineRule="exact"/>
        <w:ind w:firstLine="420" w:firstLineChars="200"/>
        <w:rPr>
          <w:rFonts w:hint="eastAsia"/>
        </w:rPr>
      </w:pPr>
      <w:r>
        <w:rPr>
          <w:rFonts w:hint="eastAsia"/>
        </w:rPr>
        <w:t>我公司已详细阅读了</w:t>
      </w:r>
      <w:r>
        <w:rPr>
          <w:rFonts w:hint="eastAsia"/>
          <w:u w:val="single"/>
        </w:rPr>
        <w:t xml:space="preserve">                     </w:t>
      </w:r>
      <w:r>
        <w:rPr>
          <w:rFonts w:hint="eastAsia"/>
        </w:rPr>
        <w:t>项目（项目编号：</w:t>
      </w:r>
      <w:r>
        <w:rPr>
          <w:rFonts w:hint="eastAsia"/>
          <w:u w:val="single"/>
        </w:rPr>
        <w:t xml:space="preserve">诸广和         </w:t>
      </w:r>
      <w:r>
        <w:rPr>
          <w:rFonts w:hint="eastAsia"/>
        </w:rPr>
        <w:t>）采购文件，现参加该项目投标，并就有关事项作出如下承诺：</w:t>
      </w:r>
    </w:p>
    <w:p>
      <w:pPr>
        <w:spacing w:line="340" w:lineRule="exact"/>
        <w:ind w:firstLine="420" w:firstLineChars="200"/>
        <w:rPr>
          <w:rFonts w:hint="eastAsia"/>
        </w:rPr>
      </w:pPr>
      <w:r>
        <w:rPr>
          <w:rFonts w:hint="eastAsia"/>
        </w:rPr>
        <w:t>一、我公司在该项目招投标及合同履约过程中，不会出现以下行为，否则我公司愿意接受该行为被记录为不良行为，并在不良行为记录时限内放弃在诸暨市公共资源交易中心投标的资格。</w:t>
      </w:r>
    </w:p>
    <w:p>
      <w:pPr>
        <w:spacing w:line="340" w:lineRule="exact"/>
        <w:ind w:firstLine="420" w:firstLineChars="200"/>
      </w:pPr>
      <w:r>
        <w:rPr>
          <w:rFonts w:hint="eastAsia"/>
        </w:rPr>
        <w:t>（</w:t>
      </w:r>
      <w:r>
        <w:t>1</w:t>
      </w:r>
      <w:r>
        <w:rPr>
          <w:rFonts w:hint="eastAsia"/>
        </w:rPr>
        <w:t>）已报名但无故放弃投标(开标前已有书面说明并证实的除外)一年内累计3次以上的；</w:t>
      </w:r>
    </w:p>
    <w:p>
      <w:pPr>
        <w:spacing w:line="340" w:lineRule="exact"/>
        <w:ind w:firstLine="420" w:firstLineChars="200"/>
        <w:rPr>
          <w:rFonts w:hint="eastAsia"/>
        </w:rPr>
      </w:pPr>
      <w:r>
        <w:rPr>
          <w:rFonts w:hint="eastAsia"/>
        </w:rPr>
        <w:t>（</w:t>
      </w:r>
      <w:r>
        <w:t>2</w:t>
      </w:r>
      <w:r>
        <w:rPr>
          <w:rFonts w:hint="eastAsia"/>
        </w:rPr>
        <w:t>）在招标采购过程中，与采购人进行协商谈判的；</w:t>
      </w:r>
    </w:p>
    <w:p>
      <w:pPr>
        <w:spacing w:line="340" w:lineRule="exact"/>
        <w:ind w:firstLine="420" w:firstLineChars="200"/>
        <w:rPr>
          <w:rFonts w:hint="eastAsia"/>
        </w:rPr>
      </w:pPr>
      <w:r>
        <w:rPr>
          <w:rFonts w:hint="eastAsia"/>
        </w:rPr>
        <w:t>（</w:t>
      </w:r>
      <w:r>
        <w:t>3</w:t>
      </w:r>
      <w:r>
        <w:rPr>
          <w:rFonts w:hint="eastAsia"/>
        </w:rPr>
        <w:t>）投标有效期内撤回其谈判响应文件的；</w:t>
      </w:r>
    </w:p>
    <w:p>
      <w:pPr>
        <w:spacing w:line="340" w:lineRule="exact"/>
        <w:ind w:firstLine="420" w:firstLineChars="200"/>
        <w:rPr>
          <w:rFonts w:hint="eastAsia"/>
        </w:rPr>
      </w:pPr>
      <w:r>
        <w:rPr>
          <w:rFonts w:hint="eastAsia"/>
        </w:rPr>
        <w:t>（4）拒绝有关部门监督检查或提供虚假情况的；</w:t>
      </w:r>
    </w:p>
    <w:p>
      <w:pPr>
        <w:spacing w:line="340" w:lineRule="exact"/>
        <w:ind w:firstLine="420" w:firstLineChars="200"/>
        <w:rPr>
          <w:rFonts w:hint="eastAsia"/>
        </w:rPr>
      </w:pPr>
      <w:r>
        <w:rPr>
          <w:rFonts w:hint="eastAsia"/>
        </w:rPr>
        <w:t>（5）不积极配合采购单位做好标的验收工作的；</w:t>
      </w:r>
    </w:p>
    <w:p>
      <w:pPr>
        <w:spacing w:line="340" w:lineRule="exact"/>
        <w:ind w:firstLine="420" w:firstLineChars="200"/>
        <w:rPr>
          <w:rFonts w:hint="eastAsia"/>
        </w:rPr>
      </w:pPr>
      <w:r>
        <w:rPr>
          <w:rFonts w:hint="eastAsia"/>
        </w:rPr>
        <w:t>（6）在有关部门的监督检查或考核中被通报批评或处以警告及以上处罚的；</w:t>
      </w:r>
    </w:p>
    <w:p>
      <w:pPr>
        <w:spacing w:line="340" w:lineRule="exact"/>
        <w:ind w:firstLine="420" w:firstLineChars="200"/>
      </w:pPr>
      <w:r>
        <w:rPr>
          <w:rFonts w:hint="eastAsia"/>
        </w:rPr>
        <w:t>（7）不遵守投标会场纪律，无理取闹，扰乱交易秩序的；</w:t>
      </w:r>
    </w:p>
    <w:p>
      <w:pPr>
        <w:spacing w:line="340" w:lineRule="exact"/>
        <w:ind w:firstLine="420" w:firstLineChars="200"/>
        <w:rPr>
          <w:rFonts w:hint="eastAsia"/>
        </w:rPr>
      </w:pPr>
      <w:r>
        <w:rPr>
          <w:rFonts w:hint="eastAsia"/>
        </w:rPr>
        <w:t>（8）中标后无正当理由放弃中标，或不与采购人签订政府采购合同，或在签订合同时提出附加条件或更改合同实质性内容，或拒不提交所要求的履约保证金的；</w:t>
      </w:r>
    </w:p>
    <w:p>
      <w:pPr>
        <w:spacing w:line="340" w:lineRule="exact"/>
        <w:ind w:firstLine="420" w:firstLineChars="200"/>
      </w:pPr>
      <w:r>
        <w:rPr>
          <w:rFonts w:hint="eastAsia"/>
        </w:rPr>
        <w:t>（</w:t>
      </w:r>
      <w:r>
        <w:t>9</w:t>
      </w:r>
      <w:r>
        <w:rPr>
          <w:rFonts w:hint="eastAsia"/>
        </w:rPr>
        <w:t>）虚假投诉、恶意投诉影响采购工作正常进行或造成不良影响的；</w:t>
      </w:r>
    </w:p>
    <w:p>
      <w:pPr>
        <w:spacing w:line="340" w:lineRule="exact"/>
        <w:ind w:firstLine="420" w:firstLineChars="200"/>
        <w:rPr>
          <w:rFonts w:hint="eastAsia"/>
        </w:rPr>
      </w:pPr>
      <w:r>
        <w:rPr>
          <w:rFonts w:hint="eastAsia"/>
        </w:rPr>
        <w:t>（</w:t>
      </w:r>
      <w:r>
        <w:t>10</w:t>
      </w:r>
      <w:r>
        <w:rPr>
          <w:rFonts w:hint="eastAsia"/>
        </w:rPr>
        <w:t>）不按照与采购人订立的合同履行义务（包括提供标的、售后服务、技术支持等），严重违反合同规定和廉政合同要求的；</w:t>
      </w:r>
    </w:p>
    <w:p>
      <w:pPr>
        <w:spacing w:line="340" w:lineRule="exact"/>
        <w:ind w:firstLine="420" w:firstLineChars="200"/>
      </w:pPr>
      <w:r>
        <w:rPr>
          <w:rFonts w:hint="eastAsia"/>
        </w:rPr>
        <w:t>（11）项目负责人不到位，或擅自变换项目负责人，或不认真履行职责造成采购人损失的；</w:t>
      </w:r>
    </w:p>
    <w:p>
      <w:pPr>
        <w:spacing w:line="340" w:lineRule="exact"/>
        <w:ind w:firstLine="420" w:firstLineChars="200"/>
        <w:rPr>
          <w:rFonts w:hint="eastAsia"/>
        </w:rPr>
      </w:pPr>
      <w:r>
        <w:rPr>
          <w:rFonts w:hint="eastAsia"/>
        </w:rPr>
        <w:t>（12）发生经营状况重大变化以及重要担保、重大合同纠纷或诉讼、信用等级和资质变化等可能影响履约能力的重大事项，未及时向市公共资源交易中心提供书面报告，因而造成采购人损失的；</w:t>
      </w:r>
    </w:p>
    <w:p>
      <w:pPr>
        <w:spacing w:line="340" w:lineRule="exact"/>
        <w:ind w:firstLine="420" w:firstLineChars="200"/>
        <w:rPr>
          <w:rFonts w:hint="eastAsia"/>
        </w:rPr>
      </w:pPr>
      <w:r>
        <w:rPr>
          <w:rFonts w:hint="eastAsia"/>
        </w:rPr>
        <w:t>（13）与采购人、其他供应商或者采购代理机构相互串通的；</w:t>
      </w:r>
    </w:p>
    <w:p>
      <w:pPr>
        <w:spacing w:line="340" w:lineRule="exact"/>
        <w:ind w:firstLine="420" w:firstLineChars="200"/>
        <w:rPr>
          <w:rFonts w:hint="eastAsia"/>
        </w:rPr>
      </w:pPr>
      <w:r>
        <w:rPr>
          <w:rFonts w:hint="eastAsia"/>
        </w:rPr>
        <w:t>（14）采取不正当手段排挤其他供应商，进行不公平竞争的；</w:t>
      </w:r>
    </w:p>
    <w:p>
      <w:pPr>
        <w:spacing w:line="340" w:lineRule="exact"/>
        <w:ind w:firstLine="420" w:firstLineChars="200"/>
        <w:rPr>
          <w:rFonts w:hint="eastAsia"/>
        </w:rPr>
      </w:pPr>
      <w:r>
        <w:rPr>
          <w:rFonts w:hint="eastAsia"/>
        </w:rPr>
        <w:t>（15）中标后与采购人另行订立背离合同实质内容的协议的；</w:t>
      </w:r>
    </w:p>
    <w:p>
      <w:pPr>
        <w:spacing w:line="340" w:lineRule="exact"/>
        <w:ind w:firstLine="420" w:firstLineChars="200"/>
        <w:rPr>
          <w:rFonts w:hint="eastAsia"/>
        </w:rPr>
      </w:pPr>
      <w:r>
        <w:rPr>
          <w:rFonts w:hint="eastAsia"/>
        </w:rPr>
        <w:t>（</w:t>
      </w:r>
      <w:r>
        <w:t>1</w:t>
      </w:r>
      <w:r>
        <w:rPr>
          <w:rFonts w:hint="eastAsia"/>
        </w:rPr>
        <w:t>6）事先有承诺，而事后违反承诺内容的；</w:t>
      </w:r>
    </w:p>
    <w:p>
      <w:pPr>
        <w:spacing w:line="340" w:lineRule="exact"/>
        <w:ind w:firstLine="420" w:firstLineChars="200"/>
        <w:rPr>
          <w:rFonts w:hint="eastAsia"/>
        </w:rPr>
      </w:pPr>
      <w:r>
        <w:rPr>
          <w:rFonts w:hint="eastAsia"/>
        </w:rPr>
        <w:t>（17）将中标项目转包或违反规定进行分包的；</w:t>
      </w:r>
    </w:p>
    <w:p>
      <w:pPr>
        <w:spacing w:line="340" w:lineRule="exact"/>
        <w:ind w:firstLine="420" w:firstLineChars="200"/>
        <w:rPr>
          <w:rFonts w:hint="eastAsia"/>
        </w:rPr>
      </w:pPr>
      <w:r>
        <w:rPr>
          <w:rFonts w:hint="eastAsia"/>
        </w:rPr>
        <w:t>（18）以他人名义投标或允许他人以自己名义投标，或者以其他方式弄虚作假的；</w:t>
      </w:r>
    </w:p>
    <w:p>
      <w:pPr>
        <w:spacing w:line="340" w:lineRule="exact"/>
        <w:ind w:firstLine="420" w:firstLineChars="200"/>
        <w:rPr>
          <w:rFonts w:hint="eastAsia"/>
        </w:rPr>
      </w:pPr>
      <w:r>
        <w:rPr>
          <w:rFonts w:hint="eastAsia"/>
        </w:rPr>
        <w:t>（19）未按照采购合同约定及时提供全部货物的，或无故拖延工期的；</w:t>
      </w:r>
    </w:p>
    <w:p>
      <w:pPr>
        <w:spacing w:line="340" w:lineRule="exact"/>
        <w:ind w:firstLine="420" w:firstLineChars="200"/>
        <w:rPr>
          <w:rFonts w:hint="eastAsia"/>
        </w:rPr>
      </w:pPr>
      <w:r>
        <w:rPr>
          <w:rFonts w:hint="eastAsia"/>
        </w:rPr>
        <w:t>（20）无故不提供中标要求的型号、配置等产品的，或有拆换、调换、截留产品零部件和备品备件的行为的；</w:t>
      </w:r>
    </w:p>
    <w:p>
      <w:pPr>
        <w:spacing w:line="340" w:lineRule="exact"/>
        <w:ind w:firstLine="420" w:firstLineChars="200"/>
        <w:rPr>
          <w:rFonts w:hint="eastAsia"/>
        </w:rPr>
      </w:pPr>
      <w:r>
        <w:rPr>
          <w:rFonts w:hint="eastAsia"/>
        </w:rPr>
        <w:t>（21）为获取自身利益，向采购人及其他有利害关系的单位或个人提供不正当利益的；</w:t>
      </w:r>
    </w:p>
    <w:p>
      <w:pPr>
        <w:spacing w:line="340" w:lineRule="exact"/>
        <w:ind w:firstLine="420" w:firstLineChars="200"/>
        <w:rPr>
          <w:rFonts w:hint="eastAsia"/>
        </w:rPr>
      </w:pPr>
      <w:r>
        <w:rPr>
          <w:rFonts w:hint="eastAsia"/>
        </w:rPr>
        <w:t>（22）提供假冒伪劣产品或走私物品的；</w:t>
      </w:r>
    </w:p>
    <w:p>
      <w:pPr>
        <w:spacing w:line="340" w:lineRule="exact"/>
        <w:ind w:firstLine="420" w:firstLineChars="200"/>
        <w:rPr>
          <w:rFonts w:hint="eastAsia"/>
        </w:rPr>
      </w:pPr>
      <w:r>
        <w:rPr>
          <w:rFonts w:hint="eastAsia"/>
        </w:rPr>
        <w:t>（23）擅自变更、中止、终止或解除政府采购合同的；</w:t>
      </w:r>
    </w:p>
    <w:p>
      <w:pPr>
        <w:spacing w:line="340" w:lineRule="exact"/>
        <w:ind w:firstLine="420" w:firstLineChars="200"/>
        <w:rPr>
          <w:rFonts w:hint="eastAsia"/>
        </w:rPr>
      </w:pPr>
      <w:r>
        <w:rPr>
          <w:rFonts w:hint="eastAsia"/>
        </w:rPr>
        <w:t>（24）向有关人员行贿或者提供不正当利益谋取中标的；</w:t>
      </w:r>
    </w:p>
    <w:p>
      <w:pPr>
        <w:spacing w:line="340" w:lineRule="exact"/>
        <w:ind w:firstLine="420" w:firstLineChars="200"/>
        <w:rPr>
          <w:rFonts w:hint="eastAsia"/>
        </w:rPr>
      </w:pPr>
      <w:r>
        <w:rPr>
          <w:rFonts w:hint="eastAsia"/>
        </w:rPr>
        <w:t>（25）在政府采购活动期间，对管理机构、采购人、其他投标人、评标专家、中介机构等政府采购相关机构和人员，采取诋毁、诽谤、胁迫、暴力等不正当手段的；</w:t>
      </w:r>
    </w:p>
    <w:p>
      <w:pPr>
        <w:spacing w:line="340" w:lineRule="exact"/>
        <w:ind w:firstLine="420" w:firstLineChars="200"/>
        <w:rPr>
          <w:rFonts w:hint="eastAsia"/>
        </w:rPr>
      </w:pPr>
      <w:r>
        <w:rPr>
          <w:rFonts w:hint="eastAsia"/>
        </w:rPr>
        <w:t>（26）市公管办认定的其他违反政府采购管理的行为。</w:t>
      </w:r>
    </w:p>
    <w:p>
      <w:pPr>
        <w:spacing w:line="340" w:lineRule="exact"/>
        <w:ind w:firstLine="420" w:firstLineChars="200"/>
      </w:pPr>
      <w:r>
        <w:rPr>
          <w:rFonts w:hint="eastAsia"/>
        </w:rPr>
        <w:t>出现（</w:t>
      </w:r>
      <w:r>
        <w:t>1</w:t>
      </w:r>
      <w:r>
        <w:rPr>
          <w:rFonts w:hint="eastAsia"/>
        </w:rPr>
        <w:t>）</w:t>
      </w:r>
      <w:r>
        <w:t>~</w:t>
      </w:r>
      <w:r>
        <w:rPr>
          <w:rFonts w:hint="eastAsia"/>
        </w:rPr>
        <w:t>（6）行为之一，记录时限为6个月；出现（7）</w:t>
      </w:r>
      <w:r>
        <w:t>~</w:t>
      </w:r>
      <w:r>
        <w:rPr>
          <w:rFonts w:hint="eastAsia"/>
        </w:rPr>
        <w:t>（12）行为之一，记录时限为1年；出现（13）</w:t>
      </w:r>
      <w:r>
        <w:t>~</w:t>
      </w:r>
      <w:r>
        <w:rPr>
          <w:rFonts w:hint="eastAsia"/>
        </w:rPr>
        <w:t>（17）行为之一，记录时限为2年；出现（18）</w:t>
      </w:r>
      <w:r>
        <w:t>~</w:t>
      </w:r>
      <w:r>
        <w:rPr>
          <w:rFonts w:hint="eastAsia"/>
        </w:rPr>
        <w:t>（21）行为之一，记录时限为3年；出现（22）</w:t>
      </w:r>
      <w:r>
        <w:t>~</w:t>
      </w:r>
      <w:r>
        <w:rPr>
          <w:rFonts w:hint="eastAsia"/>
        </w:rPr>
        <w:t>（25）行为之一，记录时限为5年；出现（26）行为，酌情处理。时限以被记录为不良行为之日起算，在记录时限内再次被计为不良行为的，记录时限应从上次记录时限截止日起算。</w:t>
      </w:r>
    </w:p>
    <w:p>
      <w:pPr>
        <w:spacing w:line="340" w:lineRule="exact"/>
        <w:ind w:firstLine="420" w:firstLineChars="200"/>
        <w:rPr>
          <w:rFonts w:hint="eastAsia"/>
        </w:rPr>
      </w:pPr>
      <w:r>
        <w:rPr>
          <w:rFonts w:hint="eastAsia"/>
        </w:rPr>
        <w:t>二、我公司及其他利害关系人如对该项目的中标公示有异议，将在采购文件规定的公示期限内提出符合以下条件的有效质疑，否则我公司愿意接受相关部门不予受理的决定。</w:t>
      </w:r>
    </w:p>
    <w:p>
      <w:pPr>
        <w:spacing w:line="340" w:lineRule="exact"/>
        <w:ind w:firstLine="420" w:firstLineChars="200"/>
        <w:rPr>
          <w:rFonts w:hint="eastAsia"/>
        </w:rPr>
      </w:pPr>
      <w:r>
        <w:rPr>
          <w:rFonts w:hint="eastAsia"/>
        </w:rPr>
        <w:t>1、质疑人须为投标人和其他利害关系人；</w:t>
      </w:r>
    </w:p>
    <w:p>
      <w:pPr>
        <w:spacing w:line="340" w:lineRule="exact"/>
        <w:ind w:firstLine="420" w:firstLineChars="200"/>
        <w:rPr>
          <w:rFonts w:hint="eastAsia"/>
        </w:rPr>
      </w:pPr>
      <w:r>
        <w:rPr>
          <w:rFonts w:hint="eastAsia"/>
        </w:rPr>
        <w:t>2、投诉时，应当递交质疑书，质疑书应当包括下列内容：</w:t>
      </w:r>
    </w:p>
    <w:p>
      <w:pPr>
        <w:spacing w:line="340" w:lineRule="exact"/>
        <w:ind w:firstLine="420" w:firstLineChars="200"/>
        <w:rPr>
          <w:rFonts w:hint="eastAsia"/>
        </w:rPr>
      </w:pPr>
      <w:r>
        <w:rPr>
          <w:rFonts w:hint="eastAsia"/>
        </w:rPr>
        <w:t>（</w:t>
      </w:r>
      <w:r>
        <w:t>1</w:t>
      </w:r>
      <w:r>
        <w:rPr>
          <w:rFonts w:hint="eastAsia"/>
        </w:rPr>
        <w:t>）质疑人的名称、地址及有效联系方式；</w:t>
      </w:r>
    </w:p>
    <w:p>
      <w:pPr>
        <w:spacing w:line="340" w:lineRule="exact"/>
        <w:ind w:firstLine="420" w:firstLineChars="200"/>
        <w:rPr>
          <w:rFonts w:hint="eastAsia"/>
        </w:rPr>
      </w:pPr>
      <w:r>
        <w:rPr>
          <w:rFonts w:hint="eastAsia"/>
        </w:rPr>
        <w:t>（</w:t>
      </w:r>
      <w:r>
        <w:t>2</w:t>
      </w:r>
      <w:r>
        <w:rPr>
          <w:rFonts w:hint="eastAsia"/>
        </w:rPr>
        <w:t>）被质疑人的名称、地址及联系方式；</w:t>
      </w:r>
    </w:p>
    <w:p>
      <w:pPr>
        <w:spacing w:line="340" w:lineRule="exact"/>
        <w:ind w:firstLine="420" w:firstLineChars="200"/>
        <w:rPr>
          <w:rFonts w:hint="eastAsia"/>
        </w:rPr>
      </w:pPr>
      <w:r>
        <w:rPr>
          <w:rFonts w:hint="eastAsia"/>
        </w:rPr>
        <w:t>（</w:t>
      </w:r>
      <w:r>
        <w:t>3</w:t>
      </w:r>
      <w:r>
        <w:rPr>
          <w:rFonts w:hint="eastAsia"/>
        </w:rPr>
        <w:t>）质疑事项的基本事实；</w:t>
      </w:r>
    </w:p>
    <w:p>
      <w:pPr>
        <w:spacing w:line="340" w:lineRule="exact"/>
        <w:ind w:firstLine="420" w:firstLineChars="200"/>
        <w:rPr>
          <w:rFonts w:hint="eastAsia"/>
        </w:rPr>
      </w:pPr>
      <w:r>
        <w:rPr>
          <w:rFonts w:hint="eastAsia"/>
        </w:rPr>
        <w:t>（</w:t>
      </w:r>
      <w:r>
        <w:t>4</w:t>
      </w:r>
      <w:r>
        <w:rPr>
          <w:rFonts w:hint="eastAsia"/>
        </w:rPr>
        <w:t>）相关请求及主张；</w:t>
      </w:r>
    </w:p>
    <w:p>
      <w:pPr>
        <w:spacing w:line="340" w:lineRule="exact"/>
        <w:ind w:firstLine="420" w:firstLineChars="200"/>
        <w:rPr>
          <w:rFonts w:hint="eastAsia"/>
        </w:rPr>
      </w:pPr>
      <w:r>
        <w:rPr>
          <w:rFonts w:hint="eastAsia"/>
        </w:rPr>
        <w:t>（</w:t>
      </w:r>
      <w:r>
        <w:t>5</w:t>
      </w:r>
      <w:r>
        <w:rPr>
          <w:rFonts w:hint="eastAsia"/>
        </w:rPr>
        <w:t>）有效线索和相关证明材料；</w:t>
      </w:r>
    </w:p>
    <w:p>
      <w:pPr>
        <w:spacing w:line="340" w:lineRule="exact"/>
        <w:ind w:firstLine="420" w:firstLineChars="200"/>
        <w:rPr>
          <w:rFonts w:hint="eastAsia"/>
        </w:rPr>
      </w:pPr>
      <w:r>
        <w:rPr>
          <w:rFonts w:hint="eastAsia"/>
        </w:rPr>
        <w:t>（</w:t>
      </w:r>
      <w:r>
        <w:t>6</w:t>
      </w:r>
      <w:r>
        <w:rPr>
          <w:rFonts w:hint="eastAsia"/>
        </w:rPr>
        <w:t>）质疑人是法人的，质疑书必须由其法定代表人或者授权代表签字并加盖公章；其他组织或者个人质疑的，质疑书必须由其主要负责人或者质疑人本人签字，并附有效身份证明复印件。</w:t>
      </w:r>
    </w:p>
    <w:p>
      <w:pPr>
        <w:spacing w:line="340" w:lineRule="exact"/>
        <w:ind w:firstLine="723" w:firstLineChars="400"/>
        <w:rPr>
          <w:rFonts w:hint="eastAsia"/>
          <w:b/>
          <w:sz w:val="18"/>
          <w:szCs w:val="18"/>
        </w:rPr>
      </w:pPr>
    </w:p>
    <w:p>
      <w:pPr>
        <w:spacing w:line="340" w:lineRule="exact"/>
        <w:ind w:firstLine="840" w:firstLineChars="400"/>
        <w:rPr>
          <w:rFonts w:hint="eastAsia"/>
        </w:rPr>
      </w:pPr>
    </w:p>
    <w:p>
      <w:pPr>
        <w:spacing w:line="340" w:lineRule="exact"/>
        <w:ind w:firstLine="840" w:firstLineChars="400"/>
        <w:rPr>
          <w:rFonts w:hint="eastAsia"/>
        </w:rPr>
      </w:pPr>
    </w:p>
    <w:p>
      <w:pPr>
        <w:spacing w:line="340" w:lineRule="exact"/>
        <w:ind w:firstLine="840" w:firstLineChars="400"/>
        <w:rPr>
          <w:rFonts w:hint="eastAsia"/>
        </w:rPr>
      </w:pPr>
      <w:r>
        <w:rPr>
          <w:rFonts w:hint="eastAsia"/>
        </w:rPr>
        <w:t>投  标  人（盖章）：</w:t>
      </w:r>
    </w:p>
    <w:p>
      <w:pPr>
        <w:spacing w:line="340" w:lineRule="exact"/>
        <w:ind w:firstLine="840" w:firstLineChars="400"/>
        <w:rPr>
          <w:rFonts w:hint="eastAsia"/>
        </w:rPr>
      </w:pPr>
    </w:p>
    <w:p>
      <w:pPr>
        <w:spacing w:line="340" w:lineRule="exact"/>
        <w:ind w:firstLine="840" w:firstLineChars="400"/>
        <w:rPr>
          <w:rFonts w:hint="eastAsia"/>
        </w:rPr>
      </w:pPr>
      <w:r>
        <w:rPr>
          <w:rFonts w:hint="eastAsia"/>
        </w:rPr>
        <w:t>法定代表人（签字或盖章）：</w:t>
      </w:r>
    </w:p>
    <w:p>
      <w:pPr>
        <w:spacing w:line="340" w:lineRule="exact"/>
        <w:ind w:firstLine="840" w:firstLineChars="400"/>
        <w:rPr>
          <w:rFonts w:hint="eastAsia"/>
        </w:rPr>
      </w:pPr>
    </w:p>
    <w:p>
      <w:pPr>
        <w:spacing w:line="340" w:lineRule="exact"/>
        <w:ind w:firstLine="840" w:firstLineChars="400"/>
        <w:rPr>
          <w:rFonts w:hint="eastAsia"/>
        </w:rPr>
      </w:pPr>
      <w:r>
        <w:rPr>
          <w:rFonts w:hint="eastAsia"/>
        </w:rPr>
        <w:t>日      期：     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multilevel"/>
    <w:tmpl w:val="00000008"/>
    <w:lvl w:ilvl="0" w:tentative="0">
      <w:start w:val="1"/>
      <w:numFmt w:val="decimal"/>
      <w:lvlText w:val="%1、"/>
      <w:lvlJc w:val="left"/>
      <w:pPr>
        <w:tabs>
          <w:tab w:val="left" w:pos="840"/>
        </w:tabs>
        <w:ind w:left="840" w:hanging="360"/>
      </w:p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
    <w:nsid w:val="0000000A"/>
    <w:multiLevelType w:val="singleLevel"/>
    <w:tmpl w:val="0000000A"/>
    <w:lvl w:ilvl="0" w:tentative="0">
      <w:start w:val="3"/>
      <w:numFmt w:val="chineseCounting"/>
      <w:suff w:val="space"/>
      <w:lvlText w:val="第%1章"/>
      <w:lvlJc w:val="left"/>
    </w:lvl>
  </w:abstractNum>
  <w:abstractNum w:abstractNumId="2">
    <w:nsid w:val="08043946"/>
    <w:multiLevelType w:val="singleLevel"/>
    <w:tmpl w:val="08043946"/>
    <w:lvl w:ilvl="0" w:tentative="0">
      <w:start w:val="1"/>
      <w:numFmt w:val="decimal"/>
      <w:pStyle w:val="4"/>
      <w:lvlText w:val="%1."/>
      <w:lvlJc w:val="left"/>
      <w:pPr>
        <w:tabs>
          <w:tab w:val="left" w:pos="360"/>
        </w:tabs>
        <w:ind w:left="360" w:hanging="360"/>
      </w:pPr>
    </w:lvl>
  </w:abstractNum>
  <w:abstractNum w:abstractNumId="3">
    <w:nsid w:val="136B13D4"/>
    <w:multiLevelType w:val="multilevel"/>
    <w:tmpl w:val="136B13D4"/>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4">
    <w:nsid w:val="164E760F"/>
    <w:multiLevelType w:val="multilevel"/>
    <w:tmpl w:val="164E760F"/>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5">
    <w:nsid w:val="42FE4D04"/>
    <w:multiLevelType w:val="multilevel"/>
    <w:tmpl w:val="42FE4D04"/>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
    <w:nsid w:val="63D64943"/>
    <w:multiLevelType w:val="multilevel"/>
    <w:tmpl w:val="63D64943"/>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7">
    <w:nsid w:val="75FC0815"/>
    <w:multiLevelType w:val="multilevel"/>
    <w:tmpl w:val="75FC0815"/>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8">
    <w:nsid w:val="7AE03B59"/>
    <w:multiLevelType w:val="multilevel"/>
    <w:tmpl w:val="7AE03B59"/>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9">
    <w:nsid w:val="7BB47364"/>
    <w:multiLevelType w:val="multilevel"/>
    <w:tmpl w:val="7BB47364"/>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2"/>
  </w:num>
  <w:num w:numId="2">
    <w:abstractNumId w:val="0"/>
  </w:num>
  <w:num w:numId="3">
    <w:abstractNumId w:val="1"/>
  </w:num>
  <w:num w:numId="4">
    <w:abstractNumId w:val="6"/>
  </w:num>
  <w:num w:numId="5">
    <w:abstractNumId w:val="8"/>
  </w:num>
  <w:num w:numId="6">
    <w:abstractNumId w:val="9"/>
  </w:num>
  <w:num w:numId="7">
    <w:abstractNumId w:val="3"/>
  </w:num>
  <w:num w:numId="8">
    <w:abstractNumId w:val="4"/>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B45BE6"/>
    <w:rsid w:val="0B8B33B2"/>
    <w:rsid w:val="1189684C"/>
    <w:rsid w:val="62951218"/>
    <w:rsid w:val="70B45B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jc w:val="both"/>
    </w:pPr>
    <w:rPr>
      <w:rFonts w:ascii="Times New Roman" w:hAnsi="Times New Roman" w:eastAsia="宋体" w:cs="Times New Roman"/>
      <w:color w:val="000000"/>
      <w:sz w:val="21"/>
      <w:szCs w:val="21"/>
      <w:lang w:val="en-US" w:eastAsia="zh-CN" w:bidi="ar-SA"/>
    </w:rPr>
  </w:style>
  <w:style w:type="paragraph" w:styleId="2">
    <w:name w:val="heading 1"/>
    <w:basedOn w:val="1"/>
    <w:next w:val="1"/>
    <w:qFormat/>
    <w:uiPriority w:val="0"/>
    <w:pPr>
      <w:keepNext/>
      <w:keepLines/>
      <w:spacing w:before="340" w:beforeLines="0" w:after="330" w:afterLines="0" w:line="576" w:lineRule="auto"/>
      <w:outlineLvl w:val="0"/>
    </w:pPr>
    <w:rPr>
      <w:rFonts w:eastAsia="宋体"/>
      <w:b/>
      <w:color w:val="000000"/>
      <w:kern w:val="44"/>
      <w:sz w:val="44"/>
      <w:szCs w:val="21"/>
      <w:lang w:val="en-US" w:eastAsia="zh-CN" w:bidi="ar-SA"/>
    </w:rPr>
  </w:style>
  <w:style w:type="paragraph" w:styleId="3">
    <w:name w:val="heading 2"/>
    <w:basedOn w:val="1"/>
    <w:next w:val="1"/>
    <w:qFormat/>
    <w:uiPriority w:val="0"/>
    <w:pPr>
      <w:keepNext/>
      <w:keepLines/>
      <w:autoSpaceDE/>
      <w:autoSpaceDN/>
      <w:adjustRightInd/>
      <w:spacing w:before="260" w:beforeLines="0" w:after="260" w:afterLines="0" w:line="415" w:lineRule="auto"/>
      <w:outlineLvl w:val="1"/>
    </w:pPr>
    <w:rPr>
      <w:rFonts w:ascii="Arial" w:hAnsi="Arial" w:eastAsia="黑体"/>
      <w:b/>
      <w:bCs/>
      <w:color w:val="auto"/>
      <w:kern w:val="2"/>
      <w:sz w:val="32"/>
      <w:szCs w:val="32"/>
    </w:rPr>
  </w:style>
  <w:style w:type="character" w:default="1" w:styleId="10">
    <w:name w:val="Default Paragraph Font"/>
    <w:semiHidden/>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4">
    <w:name w:val="List Number"/>
    <w:basedOn w:val="1"/>
    <w:qFormat/>
    <w:uiPriority w:val="0"/>
    <w:pPr>
      <w:numPr>
        <w:ilvl w:val="0"/>
        <w:numId w:val="1"/>
      </w:numPr>
    </w:pPr>
  </w:style>
  <w:style w:type="paragraph" w:styleId="5">
    <w:name w:val="Normal Indent"/>
    <w:basedOn w:val="1"/>
    <w:qFormat/>
    <w:uiPriority w:val="0"/>
    <w:pPr>
      <w:autoSpaceDE/>
      <w:autoSpaceDN/>
      <w:adjustRightInd/>
      <w:ind w:firstLine="420"/>
    </w:pPr>
    <w:rPr>
      <w:rFonts w:eastAsia="宋体"/>
      <w:kern w:val="2"/>
      <w:sz w:val="21"/>
      <w:lang w:val="en-US" w:eastAsia="zh-CN" w:bidi="ar-SA"/>
    </w:rPr>
  </w:style>
  <w:style w:type="paragraph" w:styleId="6">
    <w:name w:val="Body Text Indent"/>
    <w:basedOn w:val="1"/>
    <w:qFormat/>
    <w:uiPriority w:val="0"/>
    <w:pPr>
      <w:spacing w:after="120" w:afterLines="0"/>
      <w:ind w:left="420" w:leftChars="200"/>
    </w:pPr>
  </w:style>
  <w:style w:type="paragraph" w:styleId="7">
    <w:name w:val="Plain Text"/>
    <w:basedOn w:val="1"/>
    <w:qFormat/>
    <w:uiPriority w:val="0"/>
    <w:pPr>
      <w:autoSpaceDE/>
      <w:autoSpaceDN/>
      <w:adjustRightInd/>
    </w:pPr>
    <w:rPr>
      <w:rFonts w:eastAsia="宋体"/>
      <w:kern w:val="2"/>
      <w:sz w:val="24"/>
      <w:lang w:val="en-US" w:eastAsia="zh-CN" w:bidi="ar-SA"/>
    </w:rPr>
  </w:style>
  <w:style w:type="paragraph" w:styleId="8">
    <w:name w:val="Body Text Indent 3"/>
    <w:basedOn w:val="1"/>
    <w:qFormat/>
    <w:uiPriority w:val="0"/>
    <w:pPr>
      <w:autoSpaceDE/>
      <w:autoSpaceDN/>
      <w:adjustRightInd/>
      <w:ind w:firstLine="435"/>
    </w:pPr>
    <w:rPr>
      <w:color w:val="auto"/>
      <w:kern w:val="2"/>
      <w:szCs w:val="24"/>
    </w:rPr>
  </w:style>
  <w:style w:type="character" w:styleId="11">
    <w:name w:val="Hyperlink"/>
    <w:qFormat/>
    <w:uiPriority w:val="0"/>
    <w:rPr>
      <w:color w:val="0000FF"/>
      <w:u w:val="single"/>
    </w:rPr>
  </w:style>
  <w:style w:type="paragraph" w:customStyle="1" w:styleId="12">
    <w:name w:val="正文段"/>
    <w:basedOn w:val="1"/>
    <w:qFormat/>
    <w:uiPriority w:val="0"/>
    <w:pPr>
      <w:widowControl/>
      <w:autoSpaceDE/>
      <w:autoSpaceDN/>
      <w:adjustRightInd/>
      <w:snapToGrid w:val="0"/>
      <w:spacing w:after="156" w:afterLines="50"/>
      <w:ind w:firstLine="200" w:firstLineChars="200"/>
    </w:pPr>
    <w:rPr>
      <w:color w:val="auto"/>
      <w:sz w:val="24"/>
      <w:szCs w:val="20"/>
    </w:rPr>
  </w:style>
  <w:style w:type="paragraph" w:customStyle="1" w:styleId="13">
    <w:name w:val="p0 paragraphindent"/>
    <w:qFormat/>
    <w:uiPriority w:val="0"/>
    <w:pPr>
      <w:spacing w:before="100" w:beforeAutospacing="1" w:after="100" w:afterAutospacing="1"/>
    </w:pPr>
    <w:rPr>
      <w:rFonts w:ascii="宋体" w:hAnsi="宋体" w:eastAsia="宋体" w:cs="宋体"/>
      <w:sz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2019-10-14T06:10:00Z</dcterms:created>
  <dc:creator>Administrator</dc:creator>
  <cp:lastModifiedBy>Administrator</cp:lastModifiedBy>
  <dcterms:modified xsi:type="dcterms:W3CDTF">2019-10-14T06:18:54Z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