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诸暨市中心血库医疗器械采购</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诸广和2022-08-05</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诸暨市中心血库</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诸暨广和工程管理服务有限公司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诸暨市中心血库</w:t>
      </w:r>
      <w:r>
        <w:rPr>
          <w:rFonts w:hint="eastAsia" w:ascii="宋体" w:hAnsi="宋体" w:eastAsia="宋体" w:cs="宋体"/>
          <w:sz w:val="24"/>
          <w:szCs w:val="24"/>
          <w:u w:val="single"/>
        </w:rPr>
        <w:t>彩色多普勒超声仪采购</w:t>
      </w:r>
      <w:r>
        <w:rPr>
          <w:rFonts w:hint="eastAsia" w:ascii="宋体" w:hAnsi="宋体" w:eastAsia="宋体" w:cs="宋体"/>
          <w:sz w:val="24"/>
          <w:szCs w:val="24"/>
        </w:rPr>
        <w:t>招标项目的潜在投标人应在浙江政府采购网“政府采购云平台”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"https://www.zcygov.cn/）获取（下载）招标文件，并于2021年" </w:instrText>
      </w:r>
      <w:r>
        <w:rPr>
          <w:rFonts w:hint="eastAsia" w:ascii="宋体" w:hAnsi="宋体" w:eastAsia="宋体" w:cs="宋体"/>
          <w:sz w:val="24"/>
          <w:szCs w:val="24"/>
        </w:rPr>
        <w:fldChar w:fldCharType="separate"/>
      </w:r>
      <w:r>
        <w:rPr>
          <w:rStyle w:val="76"/>
          <w:rFonts w:hint="eastAsia" w:ascii="宋体" w:hAnsi="宋体" w:eastAsia="宋体" w:cs="宋体"/>
          <w:snapToGrid/>
          <w:color w:val="auto"/>
          <w:kern w:val="2"/>
          <w:sz w:val="24"/>
          <w:szCs w:val="24"/>
        </w:rPr>
        <w:t>获取（下载）招标文件，并于</w:t>
      </w:r>
      <w:r>
        <w:rPr>
          <w:rFonts w:hint="eastAsia" w:ascii="宋体" w:hAnsi="宋体" w:eastAsia="宋体" w:cs="宋体"/>
          <w:sz w:val="24"/>
          <w:szCs w:val="24"/>
          <w:u w:val="single"/>
          <w:lang w:eastAsia="zh-CN"/>
        </w:rPr>
        <w:t>2022年8月25日9点30分</w:t>
      </w:r>
      <w:r>
        <w:rPr>
          <w:rFonts w:hint="eastAsia" w:ascii="宋体" w:hAnsi="宋体" w:eastAsia="宋体" w:cs="宋体"/>
          <w:sz w:val="24"/>
          <w:szCs w:val="24"/>
          <w:u w:val="single"/>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w:t>
      </w:r>
    </w:p>
    <w:p>
      <w:pPr>
        <w:spacing w:line="240" w:lineRule="auto"/>
        <w:rPr>
          <w:rFonts w:hint="eastAsia" w:ascii="宋体" w:hAnsi="宋体" w:eastAsia="宋体" w:cs="宋体"/>
          <w:b/>
          <w:sz w:val="24"/>
          <w:szCs w:val="24"/>
        </w:rPr>
      </w:pPr>
      <w:r>
        <w:rPr>
          <w:rFonts w:hint="eastAsia" w:ascii="宋体" w:hAnsi="宋体" w:eastAsia="宋体" w:cs="宋体"/>
          <w:b/>
          <w:sz w:val="24"/>
          <w:szCs w:val="24"/>
        </w:rPr>
        <w:t xml:space="preserve">一、项目基本情况                                            </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项目编号：</w:t>
      </w:r>
      <w:r>
        <w:rPr>
          <w:rFonts w:hint="eastAsia" w:ascii="宋体" w:hAnsi="宋体" w:eastAsia="宋体" w:cs="宋体"/>
          <w:sz w:val="24"/>
          <w:szCs w:val="24"/>
          <w:lang w:eastAsia="zh-CN"/>
        </w:rPr>
        <w:t>诸广和2022-08-05</w:t>
      </w:r>
      <w:r>
        <w:rPr>
          <w:rFonts w:hint="eastAsia" w:ascii="宋体" w:hAnsi="宋体" w:eastAsia="宋体" w:cs="宋体"/>
          <w:sz w:val="24"/>
          <w:szCs w:val="24"/>
        </w:rPr>
        <w:t xml:space="preserve"> </w:t>
      </w:r>
    </w:p>
    <w:p>
      <w:pPr>
        <w:spacing w:line="240" w:lineRule="auto"/>
        <w:ind w:firstLine="480"/>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sz w:val="24"/>
          <w:szCs w:val="24"/>
          <w:lang w:eastAsia="zh-CN"/>
        </w:rPr>
        <w:t>诸暨市中心血库医疗器械采购</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spacing w:line="240" w:lineRule="auto"/>
        <w:ind w:firstLine="480"/>
        <w:rPr>
          <w:rFonts w:hint="eastAsia" w:ascii="宋体" w:hAnsi="宋体" w:eastAsia="宋体" w:cs="宋体"/>
          <w:sz w:val="24"/>
          <w:szCs w:val="24"/>
          <w:lang w:val="en-US" w:eastAsia="zh-CN"/>
        </w:rPr>
      </w:pPr>
      <w:r>
        <w:rPr>
          <w:rFonts w:hint="eastAsia" w:ascii="宋体" w:hAnsi="宋体" w:eastAsia="宋体" w:cs="宋体"/>
          <w:b/>
          <w:sz w:val="24"/>
          <w:szCs w:val="24"/>
        </w:rPr>
        <w:t>预算金额（元）：</w:t>
      </w:r>
      <w:r>
        <w:rPr>
          <w:rFonts w:hint="eastAsia" w:ascii="宋体" w:hAnsi="宋体" w:eastAsia="宋体" w:cs="宋体"/>
          <w:sz w:val="24"/>
          <w:szCs w:val="24"/>
          <w:lang w:val="en-US" w:eastAsia="zh-CN"/>
        </w:rPr>
        <w:t>441000</w:t>
      </w:r>
    </w:p>
    <w:p>
      <w:pPr>
        <w:spacing w:line="240" w:lineRule="auto"/>
        <w:ind w:firstLine="482" w:firstLineChars="200"/>
        <w:rPr>
          <w:rFonts w:hint="eastAsia" w:ascii="宋体" w:hAnsi="宋体" w:eastAsia="宋体" w:cs="宋体"/>
          <w:sz w:val="24"/>
          <w:szCs w:val="24"/>
          <w:lang w:val="en-US"/>
        </w:rPr>
      </w:pPr>
      <w:r>
        <w:rPr>
          <w:rFonts w:hint="eastAsia" w:ascii="宋体" w:hAnsi="宋体" w:eastAsia="宋体" w:cs="宋体"/>
          <w:b/>
          <w:sz w:val="24"/>
          <w:szCs w:val="24"/>
        </w:rPr>
        <w:t>最高限价（元）：</w:t>
      </w:r>
      <w:r>
        <w:rPr>
          <w:rFonts w:hint="eastAsia" w:ascii="宋体" w:hAnsi="宋体" w:eastAsia="宋体" w:cs="宋体"/>
          <w:sz w:val="24"/>
          <w:szCs w:val="24"/>
          <w:vertAlign w:val="baseline"/>
          <w:lang w:val="en-US" w:eastAsia="zh-CN"/>
        </w:rPr>
        <w:t>307000  134000</w:t>
      </w:r>
    </w:p>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宋体" w:hAnsi="宋体" w:eastAsia="宋体" w:cs="宋体"/>
          <w:sz w:val="24"/>
          <w:szCs w:val="24"/>
          <w:lang w:val="en-US"/>
        </w:rPr>
      </w:pPr>
      <w:r>
        <w:rPr>
          <w:rFonts w:hint="eastAsia" w:ascii="宋体" w:hAnsi="宋体" w:eastAsia="宋体" w:cs="宋体"/>
          <w:b/>
          <w:color w:val="auto"/>
          <w:sz w:val="24"/>
          <w:szCs w:val="24"/>
        </w:rPr>
        <w:t>采购需求：</w:t>
      </w:r>
      <w:r>
        <w:rPr>
          <w:rFonts w:hint="eastAsia" w:ascii="宋体" w:hAnsi="宋体" w:eastAsia="宋体" w:cs="宋体"/>
          <w:sz w:val="24"/>
          <w:szCs w:val="24"/>
          <w:lang w:eastAsia="zh-CN"/>
        </w:rPr>
        <w:t>诸暨市中心血库</w:t>
      </w:r>
      <w:r>
        <w:rPr>
          <w:rFonts w:hint="eastAsia" w:ascii="宋体" w:hAnsi="宋体" w:eastAsia="宋体" w:cs="宋体"/>
          <w:sz w:val="24"/>
          <w:szCs w:val="24"/>
        </w:rPr>
        <w:t>医疗器械采购，</w:t>
      </w:r>
      <w:r>
        <w:rPr>
          <w:rFonts w:hint="eastAsia" w:ascii="宋体" w:hAnsi="宋体" w:eastAsia="宋体" w:cs="宋体"/>
          <w:sz w:val="24"/>
          <w:szCs w:val="24"/>
          <w:lang w:val="en-US" w:eastAsia="zh-CN"/>
        </w:rPr>
        <w:t>本项目</w:t>
      </w:r>
      <w:r>
        <w:rPr>
          <w:rFonts w:hint="eastAsia" w:ascii="宋体" w:hAnsi="宋体" w:eastAsia="宋体" w:cs="宋体"/>
          <w:sz w:val="24"/>
          <w:szCs w:val="24"/>
        </w:rPr>
        <w:t>共</w:t>
      </w:r>
      <w:r>
        <w:rPr>
          <w:rFonts w:hint="eastAsia" w:ascii="宋体" w:hAnsi="宋体" w:eastAsia="宋体" w:cs="宋体"/>
          <w:sz w:val="24"/>
          <w:szCs w:val="24"/>
          <w:lang w:val="en-US" w:eastAsia="zh-CN"/>
        </w:rPr>
        <w:t>分2</w:t>
      </w:r>
      <w:r>
        <w:rPr>
          <w:rFonts w:hint="eastAsia" w:ascii="宋体" w:hAnsi="宋体" w:eastAsia="宋体" w:cs="宋体"/>
          <w:sz w:val="24"/>
          <w:szCs w:val="24"/>
        </w:rPr>
        <w:t>个标的，</w:t>
      </w:r>
      <w:r>
        <w:rPr>
          <w:rFonts w:hint="eastAsia" w:ascii="宋体" w:hAnsi="宋体" w:eastAsia="宋体" w:cs="宋体"/>
          <w:sz w:val="24"/>
          <w:szCs w:val="24"/>
          <w:lang w:eastAsia="zh-CN"/>
        </w:rPr>
        <w:t>标一最高限价为</w:t>
      </w:r>
      <w:r>
        <w:rPr>
          <w:rFonts w:hint="eastAsia" w:ascii="宋体" w:hAnsi="宋体" w:eastAsia="宋体" w:cs="宋体"/>
          <w:sz w:val="24"/>
          <w:szCs w:val="24"/>
          <w:lang w:val="en-US" w:eastAsia="zh-CN"/>
        </w:rPr>
        <w:t>30.7万元，标二最高限价为13.4万元，预算总金额为44.1万元。详见采购需求。</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合同履约期限：</w:t>
      </w:r>
      <w:r>
        <w:rPr>
          <w:rFonts w:hint="eastAsia" w:ascii="宋体" w:hAnsi="宋体" w:eastAsia="宋体" w:cs="宋体"/>
          <w:snapToGrid w:val="0"/>
          <w:kern w:val="28"/>
          <w:sz w:val="24"/>
          <w:szCs w:val="24"/>
        </w:rPr>
        <w:t>合同签订后1个月内完成供货。</w:t>
      </w:r>
    </w:p>
    <w:p>
      <w:pPr>
        <w:pStyle w:val="8"/>
        <w:spacing w:line="240" w:lineRule="auto"/>
        <w:ind w:firstLine="480"/>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172823123"/>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72823124"/>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pPr>
        <w:spacing w:line="240" w:lineRule="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spacing w:line="240" w:lineRule="auto"/>
        <w:ind w:firstLine="480"/>
        <w:rPr>
          <w:rFonts w:hint="eastAsia" w:ascii="宋体" w:hAnsi="宋体" w:eastAsia="宋体" w:cs="宋体"/>
          <w:bCs/>
          <w:sz w:val="24"/>
          <w:szCs w:val="24"/>
        </w:rPr>
      </w:pPr>
      <w:r>
        <w:rPr>
          <w:rFonts w:hint="eastAsia" w:ascii="宋体" w:hAnsi="宋体" w:eastAsia="宋体" w:cs="宋体"/>
          <w:bCs/>
          <w:sz w:val="24"/>
          <w:szCs w:val="24"/>
        </w:rPr>
        <w:t>1. 满足《中华人民共和国政府采购法》第二十二条规定；</w:t>
      </w:r>
    </w:p>
    <w:p>
      <w:pPr>
        <w:spacing w:line="240" w:lineRule="auto"/>
        <w:ind w:firstLine="480"/>
        <w:rPr>
          <w:rFonts w:hint="eastAsia" w:ascii="宋体" w:hAnsi="宋体" w:eastAsia="宋体" w:cs="宋体"/>
          <w:bCs/>
          <w:sz w:val="24"/>
          <w:szCs w:val="24"/>
        </w:rPr>
      </w:pPr>
      <w:r>
        <w:rPr>
          <w:rFonts w:hint="eastAsia" w:ascii="宋体" w:hAnsi="宋体" w:eastAsia="宋体" w:cs="宋体"/>
          <w:bCs/>
          <w:sz w:val="24"/>
          <w:szCs w:val="24"/>
        </w:rPr>
        <w:t>2.未被“信用中国”（www.creditchina.gov.cn)、中国政府采购网（www.ccgp.gov.cn）列入失信被执行人、重大税收违法案件当事人名单、政府采购严重违法失信行为记录名单。</w:t>
      </w:r>
    </w:p>
    <w:p>
      <w:pPr>
        <w:spacing w:line="240" w:lineRule="auto"/>
        <w:rPr>
          <w:rFonts w:hint="eastAsia" w:ascii="宋体" w:hAnsi="宋体" w:eastAsia="宋体" w:cs="宋体"/>
          <w:bCs/>
          <w:sz w:val="24"/>
          <w:szCs w:val="24"/>
        </w:rPr>
      </w:pPr>
      <w:r>
        <w:rPr>
          <w:rFonts w:hint="eastAsia" w:ascii="宋体" w:hAnsi="宋体" w:eastAsia="宋体" w:cs="宋体"/>
          <w:bCs/>
          <w:sz w:val="24"/>
          <w:szCs w:val="24"/>
        </w:rPr>
        <w:t xml:space="preserve">    3.落实政府采购政策需满足的资格要求：</w:t>
      </w:r>
    </w:p>
    <w:p>
      <w:pPr>
        <w:spacing w:line="240" w:lineRule="auto"/>
        <w:ind w:firstLine="480" w:firstLineChars="200"/>
        <w:rPr>
          <w:rFonts w:hint="eastAsia" w:ascii="宋体" w:hAnsi="宋体" w:eastAsia="宋体" w:cs="宋体"/>
          <w:bCs/>
          <w:sz w:val="24"/>
          <w:szCs w:val="24"/>
        </w:rPr>
      </w:pPr>
      <w:sdt>
        <w:sdtPr>
          <w:rPr>
            <w:rFonts w:hint="eastAsia" w:ascii="宋体" w:hAnsi="宋体" w:eastAsia="宋体" w:cs="宋体"/>
            <w:bCs/>
            <w:sz w:val="24"/>
            <w:szCs w:val="24"/>
          </w:rPr>
          <w:id w:val="172823120"/>
        </w:sdtPr>
        <w:sdtEndPr>
          <w:rPr>
            <w:rFonts w:hint="eastAsia" w:ascii="宋体" w:hAnsi="宋体" w:eastAsia="宋体" w:cs="宋体"/>
            <w:bCs/>
            <w:sz w:val="24"/>
            <w:szCs w:val="24"/>
          </w:rPr>
        </w:sdtEndPr>
        <w:sdtContent>
          <w:r>
            <w:rPr>
              <w:rFonts w:hint="eastAsia" w:ascii="宋体" w:hAnsi="宋体" w:eastAsia="宋体" w:cs="宋体"/>
              <w:bCs/>
              <w:sz w:val="24"/>
              <w:szCs w:val="24"/>
            </w:rPr>
            <w:sym w:font="Wingdings" w:char="F0FE"/>
          </w:r>
        </w:sdtContent>
      </w:sdt>
      <w:r>
        <w:rPr>
          <w:rFonts w:hint="eastAsia" w:ascii="宋体" w:hAnsi="宋体" w:eastAsia="宋体" w:cs="宋体"/>
          <w:bCs/>
          <w:sz w:val="24"/>
          <w:szCs w:val="24"/>
        </w:rPr>
        <w:t>无；</w:t>
      </w:r>
    </w:p>
    <w:p>
      <w:pPr>
        <w:spacing w:line="240" w:lineRule="auto"/>
        <w:ind w:firstLine="480"/>
        <w:rPr>
          <w:rFonts w:hint="eastAsia" w:ascii="宋体" w:hAnsi="宋体" w:eastAsia="宋体" w:cs="宋体"/>
          <w:bCs/>
          <w:sz w:val="24"/>
          <w:szCs w:val="24"/>
        </w:rPr>
      </w:pPr>
      <w:sdt>
        <w:sdtPr>
          <w:rPr>
            <w:rFonts w:hint="eastAsia" w:ascii="宋体" w:hAnsi="宋体" w:eastAsia="宋体" w:cs="宋体"/>
            <w:bCs/>
            <w:sz w:val="24"/>
            <w:szCs w:val="24"/>
          </w:rPr>
          <w:id w:val="172823121"/>
        </w:sdtPr>
        <w:sdtEndPr>
          <w:rPr>
            <w:rFonts w:hint="eastAsia" w:ascii="宋体" w:hAnsi="宋体" w:eastAsia="宋体" w:cs="宋体"/>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专门面向中小企业。</w:t>
      </w:r>
    </w:p>
    <w:p>
      <w:pPr>
        <w:spacing w:line="240" w:lineRule="auto"/>
        <w:ind w:firstLine="480"/>
        <w:rPr>
          <w:rFonts w:hint="eastAsia" w:ascii="宋体" w:hAnsi="宋体" w:eastAsia="宋体" w:cs="宋体"/>
          <w:bCs/>
          <w:sz w:val="24"/>
          <w:szCs w:val="24"/>
        </w:rPr>
      </w:pPr>
      <w:r>
        <w:rPr>
          <w:rFonts w:hint="eastAsia" w:ascii="宋体" w:hAnsi="宋体" w:eastAsia="宋体" w:cs="宋体"/>
          <w:bCs/>
          <w:sz w:val="24"/>
          <w:szCs w:val="24"/>
        </w:rPr>
        <w:t>4.本项目的特定资格要求：</w:t>
      </w:r>
      <w:bookmarkStart w:id="401" w:name="_GoBack"/>
      <w:r>
        <w:rPr>
          <w:rFonts w:hint="eastAsia" w:ascii="宋体" w:hAnsi="宋体" w:eastAsia="宋体" w:cs="宋体"/>
          <w:bCs/>
          <w:sz w:val="24"/>
          <w:szCs w:val="24"/>
        </w:rPr>
        <w:t>具有所投标的相应国家规定必备的资质、资格</w:t>
      </w:r>
      <w:bookmarkEnd w:id="401"/>
      <w:r>
        <w:rPr>
          <w:rFonts w:hint="eastAsia" w:ascii="宋体" w:hAnsi="宋体" w:eastAsia="宋体" w:cs="宋体"/>
          <w:bCs/>
          <w:sz w:val="24"/>
          <w:szCs w:val="24"/>
        </w:rPr>
        <w:t>。</w:t>
      </w:r>
    </w:p>
    <w:p>
      <w:pPr>
        <w:spacing w:line="240" w:lineRule="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pStyle w:val="34"/>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u w:val="single"/>
        </w:rPr>
        <w:t>2022年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日至2022年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日</w:t>
      </w:r>
      <w:r>
        <w:rPr>
          <w:rFonts w:hint="eastAsia" w:ascii="宋体" w:hAnsi="宋体" w:eastAsia="宋体" w:cs="宋体"/>
          <w:sz w:val="24"/>
          <w:szCs w:val="24"/>
        </w:rPr>
        <w:t>，每天上午00:00至12:00 ，下午12:00至23:59（北京时间，线上获取法定节假日均可）。招标文件发布截止时间之后有潜在供应商提出要求获取招标文件的，允许获取。</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napToGrid w:val="0"/>
          <w:sz w:val="24"/>
          <w:szCs w:val="24"/>
        </w:rPr>
        <w:t>浙江政府采购网（http://zfcg.czt.zj.gov.cn/）</w:t>
      </w:r>
      <w:r>
        <w:rPr>
          <w:rFonts w:hint="eastAsia" w:ascii="宋体" w:hAnsi="宋体" w:eastAsia="宋体" w:cs="宋体"/>
          <w:sz w:val="24"/>
          <w:szCs w:val="24"/>
        </w:rPr>
        <w:t xml:space="preserve"> </w:t>
      </w:r>
    </w:p>
    <w:p>
      <w:pPr>
        <w:spacing w:line="240" w:lineRule="auto"/>
        <w:ind w:firstLine="482" w:firstLineChars="200"/>
        <w:rPr>
          <w:rFonts w:hint="eastAsia" w:ascii="宋体" w:hAnsi="宋体" w:eastAsia="宋体" w:cs="宋体"/>
          <w:snapToGrid w:val="0"/>
          <w:sz w:val="24"/>
          <w:szCs w:val="24"/>
        </w:rPr>
      </w:pPr>
      <w:r>
        <w:rPr>
          <w:rFonts w:hint="eastAsia" w:ascii="宋体" w:hAnsi="宋体" w:eastAsia="宋体" w:cs="宋体"/>
          <w:b/>
          <w:sz w:val="24"/>
          <w:szCs w:val="24"/>
        </w:rPr>
        <w:t>方式：</w:t>
      </w:r>
      <w:r>
        <w:rPr>
          <w:rFonts w:hint="eastAsia" w:ascii="宋体" w:hAnsi="宋体" w:eastAsia="宋体" w:cs="宋体"/>
          <w:snapToGrid w:val="0"/>
          <w:sz w:val="24"/>
          <w:szCs w:val="24"/>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24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售价：</w:t>
      </w:r>
      <w:r>
        <w:rPr>
          <w:rFonts w:hint="eastAsia" w:ascii="宋体" w:hAnsi="宋体" w:eastAsia="宋体" w:cs="宋体"/>
          <w:snapToGrid w:val="0"/>
          <w:sz w:val="24"/>
          <w:szCs w:val="24"/>
        </w:rPr>
        <w:t>0 元。</w:t>
      </w:r>
      <w:r>
        <w:rPr>
          <w:rFonts w:hint="eastAsia" w:ascii="宋体" w:hAnsi="宋体" w:eastAsia="宋体" w:cs="宋体"/>
          <w:sz w:val="24"/>
          <w:szCs w:val="24"/>
        </w:rPr>
        <w:tab/>
      </w:r>
    </w:p>
    <w:p>
      <w:pPr>
        <w:spacing w:line="240" w:lineRule="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pStyle w:val="34"/>
        <w:spacing w:line="240" w:lineRule="auto"/>
        <w:ind w:firstLine="482" w:firstLineChars="200"/>
        <w:rPr>
          <w:rFonts w:hint="eastAsia" w:ascii="宋体" w:hAnsi="宋体" w:eastAsia="宋体" w:cs="宋体"/>
          <w:sz w:val="24"/>
          <w:szCs w:val="24"/>
        </w:rPr>
      </w:pPr>
      <w:r>
        <w:rPr>
          <w:rFonts w:hint="eastAsia" w:ascii="宋体" w:hAnsi="宋体" w:eastAsia="宋体" w:cs="宋体"/>
          <w:b/>
          <w:snapToGrid/>
          <w:sz w:val="24"/>
          <w:szCs w:val="24"/>
        </w:rPr>
        <w:t>提交投标文件截止时间及开标时间：</w:t>
      </w:r>
      <w:r>
        <w:rPr>
          <w:rFonts w:hint="eastAsia" w:ascii="宋体" w:hAnsi="宋体" w:eastAsia="宋体" w:cs="宋体"/>
          <w:sz w:val="24"/>
          <w:szCs w:val="24"/>
        </w:rPr>
        <w:t>投标人应于</w:t>
      </w:r>
      <w:r>
        <w:rPr>
          <w:rFonts w:hint="eastAsia" w:ascii="宋体" w:hAnsi="宋体" w:eastAsia="宋体" w:cs="宋体"/>
          <w:sz w:val="24"/>
          <w:szCs w:val="24"/>
          <w:lang w:eastAsia="zh-CN"/>
        </w:rPr>
        <w:t>2022年8月25日9点30分</w:t>
      </w:r>
      <w:r>
        <w:rPr>
          <w:rFonts w:hint="eastAsia" w:ascii="宋体" w:hAnsi="宋体" w:eastAsia="宋体" w:cs="宋体"/>
          <w:sz w:val="24"/>
          <w:szCs w:val="24"/>
        </w:rPr>
        <w:t>（北京时间）前按照电子投标要求将电子加密标书上传到政府采购云平台，逾期或未上传成功的将导致无法投标或投标无效。</w:t>
      </w:r>
    </w:p>
    <w:p>
      <w:pPr>
        <w:pStyle w:val="34"/>
        <w:spacing w:line="240" w:lineRule="auto"/>
        <w:ind w:firstLine="482" w:firstLineChars="200"/>
        <w:rPr>
          <w:rFonts w:hint="eastAsia" w:ascii="宋体" w:hAnsi="宋体" w:eastAsia="宋体" w:cs="宋体"/>
          <w:sz w:val="24"/>
          <w:szCs w:val="24"/>
        </w:rPr>
      </w:pPr>
      <w:r>
        <w:rPr>
          <w:rFonts w:hint="eastAsia" w:ascii="宋体" w:hAnsi="宋体" w:eastAsia="宋体" w:cs="宋体"/>
          <w:b/>
          <w:snapToGrid/>
          <w:sz w:val="24"/>
          <w:szCs w:val="24"/>
        </w:rPr>
        <w:t>开标地点：</w:t>
      </w:r>
      <w:r>
        <w:rPr>
          <w:rFonts w:hint="eastAsia" w:ascii="宋体" w:hAnsi="宋体" w:eastAsia="宋体" w:cs="宋体"/>
          <w:sz w:val="24"/>
          <w:szCs w:val="24"/>
        </w:rPr>
        <w:t>政府采购云平台（www.zcygov.cn）。所有投标人均须准时在“政府采购云平台”在线参加。</w:t>
      </w:r>
    </w:p>
    <w:p>
      <w:pPr>
        <w:spacing w:line="240" w:lineRule="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spacing w:line="240" w:lineRule="auto"/>
        <w:rPr>
          <w:rFonts w:hint="eastAsia" w:ascii="宋体" w:hAnsi="宋体" w:eastAsia="宋体" w:cs="宋体"/>
          <w:b/>
          <w:sz w:val="24"/>
          <w:szCs w:val="24"/>
        </w:rPr>
      </w:pPr>
      <w:r>
        <w:rPr>
          <w:rFonts w:hint="eastAsia" w:ascii="宋体" w:hAnsi="宋体" w:eastAsia="宋体" w:cs="宋体"/>
          <w:b/>
          <w:sz w:val="24"/>
          <w:szCs w:val="24"/>
        </w:rPr>
        <w:t>六、其他补充事宜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40" w:lineRule="auto"/>
        <w:ind w:firstLine="480" w:firstLineChars="200"/>
        <w:rPr>
          <w:rFonts w:ascii="仿宋_GB2312" w:hAnsi="仿宋" w:eastAsia="仿宋_GB2312"/>
          <w:sz w:val="24"/>
        </w:rPr>
      </w:pPr>
      <w:r>
        <w:rPr>
          <w:rFonts w:hint="eastAsia" w:ascii="宋体" w:hAnsi="宋体" w:eastAsia="宋体" w:cs="宋体"/>
          <w:sz w:val="24"/>
          <w:szCs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eastAsia="宋体" w:cs="宋体"/>
          <w:b/>
          <w:bCs/>
          <w:sz w:val="24"/>
          <w:szCs w:val="24"/>
        </w:rPr>
        <w:t>备份投标文件的制作、递交详见招标文件第二部分第15点—“备份投标文件”；</w:t>
      </w:r>
      <w:r>
        <w:rPr>
          <w:rFonts w:hint="eastAsia" w:ascii="宋体" w:hAnsi="宋体" w:eastAsia="宋体" w:cs="宋体"/>
          <w:sz w:val="24"/>
          <w:szCs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pStyle w:val="58"/>
        <w:spacing w:before="0" w:beforeAutospacing="0" w:after="0" w:afterAutospacing="0"/>
        <w:ind w:firstLine="480" w:firstLineChars="2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rPr>
        <w:t xml:space="preserve"> </w:t>
      </w:r>
      <w:r>
        <w:rPr>
          <w:rFonts w:hint="default" w:ascii="宋体" w:hAnsi="宋体" w:eastAsia="宋体" w:cs="Times New Roman"/>
          <w:color w:val="auto"/>
          <w:highlight w:val="none"/>
          <w:lang w:val="en-US" w:eastAsia="zh-CN"/>
        </w:rPr>
        <w:t>1、</w:t>
      </w:r>
      <w:r>
        <w:rPr>
          <w:rFonts w:hint="default" w:ascii="宋体" w:hAnsi="宋体" w:eastAsia="宋体" w:cs="Times New Roman"/>
          <w:color w:val="auto"/>
          <w:highlight w:val="none"/>
          <w:lang w:val="en-US"/>
        </w:rPr>
        <w:t>采购单位联系人：</w:t>
      </w:r>
      <w:r>
        <w:rPr>
          <w:rFonts w:hint="eastAsia" w:ascii="宋体" w:hAnsi="宋体" w:eastAsia="宋体" w:cs="Times New Roman"/>
          <w:color w:val="auto"/>
          <w:highlight w:val="none"/>
          <w:lang w:val="en-US" w:eastAsia="zh-CN"/>
        </w:rPr>
        <w:t>陈国栋</w:t>
      </w:r>
      <w:r>
        <w:rPr>
          <w:rFonts w:hint="default" w:ascii="宋体" w:hAnsi="宋体" w:eastAsia="宋体" w:cs="Times New Roman"/>
          <w:color w:val="auto"/>
          <w:highlight w:val="none"/>
          <w:lang w:val="en-US" w:eastAsia="zh-CN"/>
        </w:rPr>
        <w:t xml:space="preserve">   </w:t>
      </w:r>
      <w:r>
        <w:rPr>
          <w:rFonts w:hint="default" w:ascii="宋体" w:hAnsi="宋体" w:eastAsia="宋体" w:cs="Times New Roman"/>
          <w:color w:val="auto"/>
          <w:highlight w:val="none"/>
          <w:lang w:val="en-US"/>
        </w:rPr>
        <w:t>采购单位联系电话：</w:t>
      </w:r>
      <w:r>
        <w:rPr>
          <w:rFonts w:hint="eastAsia" w:ascii="宋体" w:hAnsi="宋体" w:eastAsia="宋体" w:cs="Times New Roman"/>
          <w:color w:val="auto"/>
          <w:highlight w:val="none"/>
          <w:lang w:val="en-US" w:eastAsia="zh-CN"/>
        </w:rPr>
        <w:t>13336712386</w:t>
      </w:r>
      <w:r>
        <w:rPr>
          <w:rFonts w:hint="default" w:ascii="宋体" w:hAnsi="宋体" w:eastAsia="宋体" w:cs="Times New Roman"/>
          <w:color w:val="auto"/>
          <w:highlight w:val="none"/>
          <w:lang w:val="en-US"/>
        </w:rPr>
        <w:t xml:space="preserve">  </w:t>
      </w:r>
      <w:r>
        <w:rPr>
          <w:rFonts w:hint="default" w:ascii="宋体" w:hAnsi="宋体" w:eastAsia="宋体" w:cs="Times New Roman"/>
          <w:color w:val="auto"/>
          <w:highlight w:val="none"/>
          <w:lang w:val="en-US"/>
        </w:rPr>
        <w:br w:type="textWrapping"/>
      </w:r>
      <w:r>
        <w:rPr>
          <w:rFonts w:hint="default" w:ascii="宋体" w:hAnsi="宋体" w:eastAsia="宋体" w:cs="Times New Roman"/>
          <w:color w:val="auto"/>
          <w:highlight w:val="none"/>
          <w:lang w:val="en-US"/>
        </w:rPr>
        <w:t>采购单位地址：</w:t>
      </w:r>
      <w:r>
        <w:rPr>
          <w:rFonts w:hint="default" w:ascii="宋体" w:hAnsi="宋体" w:eastAsia="宋体" w:cs="Times New Roman"/>
          <w:color w:val="auto"/>
          <w:highlight w:val="none"/>
          <w:lang w:val="en-US" w:eastAsia="zh-CN"/>
        </w:rPr>
        <w:t>诸暨市</w:t>
      </w:r>
      <w:r>
        <w:rPr>
          <w:rFonts w:hint="eastAsia" w:ascii="宋体" w:hAnsi="宋体" w:eastAsia="宋体" w:cs="Times New Roman"/>
          <w:color w:val="auto"/>
          <w:highlight w:val="none"/>
          <w:lang w:val="en-US" w:eastAsia="zh-CN"/>
        </w:rPr>
        <w:t>中心血库</w:t>
      </w:r>
      <w:r>
        <w:rPr>
          <w:rFonts w:hint="default" w:ascii="宋体" w:hAnsi="宋体" w:eastAsia="宋体" w:cs="Times New Roman"/>
          <w:color w:val="auto"/>
          <w:highlight w:val="none"/>
          <w:lang w:val="en-US"/>
        </w:rPr>
        <w:t>  </w:t>
      </w:r>
      <w:r>
        <w:rPr>
          <w:rFonts w:hint="default" w:ascii="宋体" w:hAnsi="宋体" w:eastAsia="宋体" w:cs="Times New Roman"/>
          <w:color w:val="auto"/>
          <w:highlight w:val="none"/>
          <w:lang w:val="en-US"/>
        </w:rPr>
        <w:br w:type="textWrapping"/>
      </w:r>
      <w:r>
        <w:rPr>
          <w:rFonts w:hint="eastAsia" w:ascii="宋体" w:hAnsi="宋体" w:eastAsia="宋体" w:cs="Times New Roman"/>
          <w:color w:val="auto"/>
          <w:highlight w:val="none"/>
          <w:lang w:val="en-US" w:eastAsia="zh-CN"/>
        </w:rPr>
        <w:t xml:space="preserve">    </w:t>
      </w:r>
      <w:r>
        <w:rPr>
          <w:rFonts w:hint="default" w:ascii="宋体" w:hAnsi="宋体" w:eastAsia="宋体" w:cs="Times New Roman"/>
          <w:color w:val="auto"/>
          <w:highlight w:val="none"/>
          <w:lang w:val="en-US"/>
        </w:rPr>
        <w:t>质疑联系人：</w:t>
      </w:r>
      <w:r>
        <w:rPr>
          <w:rFonts w:hint="eastAsia" w:ascii="宋体" w:hAnsi="宋体" w:eastAsia="宋体" w:cs="Times New Roman"/>
          <w:color w:val="auto"/>
          <w:highlight w:val="none"/>
          <w:lang w:val="en-US" w:eastAsia="zh-CN"/>
        </w:rPr>
        <w:t>王力</w:t>
      </w:r>
      <w:r>
        <w:rPr>
          <w:rFonts w:hint="default"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lang w:val="en-US" w:eastAsia="zh-CN"/>
        </w:rPr>
        <w:t xml:space="preserve">   </w:t>
      </w:r>
      <w:r>
        <w:rPr>
          <w:rFonts w:hint="default" w:ascii="宋体" w:hAnsi="宋体" w:eastAsia="宋体" w:cs="Times New Roman"/>
          <w:color w:val="auto"/>
          <w:highlight w:val="none"/>
          <w:lang w:val="en-US"/>
        </w:rPr>
        <w:t>质疑联系方式：</w:t>
      </w:r>
      <w:r>
        <w:rPr>
          <w:rFonts w:hint="eastAsia" w:cs="Times New Roman"/>
          <w:color w:val="auto"/>
          <w:highlight w:val="none"/>
          <w:lang w:val="en-US" w:eastAsia="zh-CN"/>
        </w:rPr>
        <w:t>0575-</w:t>
      </w:r>
      <w:r>
        <w:rPr>
          <w:rFonts w:hint="eastAsia" w:ascii="宋体" w:hAnsi="宋体" w:eastAsia="宋体" w:cs="Times New Roman"/>
          <w:color w:val="auto"/>
          <w:highlight w:val="none"/>
          <w:lang w:val="en-US" w:eastAsia="zh-CN"/>
        </w:rPr>
        <w:t>87185026</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2、代理机构</w:t>
      </w:r>
      <w:r>
        <w:rPr>
          <w:rFonts w:hint="default" w:ascii="宋体" w:hAnsi="宋体" w:eastAsia="宋体" w:cs="Times New Roman"/>
          <w:color w:val="auto"/>
          <w:highlight w:val="none"/>
          <w:lang w:val="en-US"/>
        </w:rPr>
        <w:t>联系人：</w:t>
      </w:r>
      <w:r>
        <w:rPr>
          <w:rFonts w:hint="eastAsia" w:ascii="宋体" w:hAnsi="宋体" w:eastAsia="宋体" w:cs="Times New Roman"/>
          <w:color w:val="auto"/>
          <w:highlight w:val="none"/>
          <w:lang w:val="en-US"/>
        </w:rPr>
        <w:t>徐招红   代理机构</w:t>
      </w:r>
      <w:r>
        <w:rPr>
          <w:rFonts w:hint="default" w:ascii="宋体" w:hAnsi="宋体" w:eastAsia="宋体" w:cs="Times New Roman"/>
          <w:color w:val="auto"/>
          <w:highlight w:val="none"/>
          <w:lang w:val="en-US"/>
        </w:rPr>
        <w:t>联系电话：</w:t>
      </w:r>
      <w:r>
        <w:rPr>
          <w:rFonts w:hint="eastAsia" w:ascii="宋体" w:hAnsi="宋体" w:eastAsia="宋体" w:cs="Times New Roman"/>
          <w:color w:val="auto"/>
          <w:highlight w:val="none"/>
          <w:lang w:val="en-US" w:eastAsia="zh-CN"/>
        </w:rPr>
        <w:t>05</w:t>
      </w:r>
      <w:r>
        <w:rPr>
          <w:rFonts w:hint="default" w:ascii="宋体" w:hAnsi="宋体" w:eastAsia="宋体" w:cs="Times New Roman"/>
          <w:color w:val="auto"/>
          <w:highlight w:val="none"/>
          <w:lang w:val="en-US"/>
        </w:rPr>
        <w:t>75-</w:t>
      </w:r>
      <w:r>
        <w:rPr>
          <w:rFonts w:hint="eastAsia" w:ascii="宋体" w:hAnsi="宋体" w:eastAsia="宋体" w:cs="Times New Roman"/>
          <w:color w:val="auto"/>
          <w:highlight w:val="none"/>
          <w:lang w:val="en-US"/>
        </w:rPr>
        <w:t>87911619</w:t>
      </w:r>
    </w:p>
    <w:p>
      <w:pPr>
        <w:pStyle w:val="58"/>
        <w:spacing w:before="0" w:beforeAutospacing="0" w:after="0" w:afterAutospacing="0"/>
        <w:ind w:left="479" w:leftChars="228" w:firstLine="0" w:firstLineChars="0"/>
        <w:rPr>
          <w:rFonts w:hint="default"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手机：</w:t>
      </w:r>
      <w:r>
        <w:rPr>
          <w:rFonts w:hint="eastAsia" w:ascii="宋体" w:hAnsi="宋体" w:eastAsia="宋体" w:cs="Times New Roman"/>
          <w:color w:val="auto"/>
          <w:highlight w:val="none"/>
          <w:lang w:val="en-US"/>
        </w:rPr>
        <w:t>17858166756</w:t>
      </w:r>
      <w:r>
        <w:rPr>
          <w:rFonts w:hint="default" w:ascii="宋体" w:hAnsi="宋体" w:eastAsia="宋体" w:cs="Times New Roman"/>
          <w:color w:val="auto"/>
          <w:highlight w:val="none"/>
          <w:lang w:val="en-US"/>
        </w:rPr>
        <w:br w:type="textWrapping"/>
      </w:r>
      <w:r>
        <w:rPr>
          <w:rFonts w:hint="default" w:ascii="宋体" w:hAnsi="宋体" w:eastAsia="宋体" w:cs="Times New Roman"/>
          <w:color w:val="auto"/>
          <w:highlight w:val="none"/>
          <w:lang w:val="en-US"/>
        </w:rPr>
        <w:t>传真:0575-</w:t>
      </w:r>
      <w:r>
        <w:rPr>
          <w:rFonts w:hint="eastAsia" w:ascii="宋体" w:hAnsi="宋体" w:eastAsia="宋体" w:cs="Times New Roman"/>
          <w:color w:val="auto"/>
          <w:highlight w:val="none"/>
          <w:lang w:val="en-US"/>
        </w:rPr>
        <w:t>87911619</w:t>
      </w:r>
      <w:r>
        <w:rPr>
          <w:rFonts w:hint="default" w:ascii="宋体" w:hAnsi="宋体" w:eastAsia="宋体" w:cs="Times New Roman"/>
          <w:color w:val="auto"/>
          <w:highlight w:val="none"/>
          <w:lang w:val="en-US"/>
        </w:rPr>
        <w:br w:type="textWrapping"/>
      </w:r>
      <w:r>
        <w:rPr>
          <w:rFonts w:hint="eastAsia" w:ascii="宋体" w:hAnsi="宋体" w:eastAsia="宋体" w:cs="Times New Roman"/>
          <w:color w:val="auto"/>
          <w:highlight w:val="none"/>
          <w:lang w:val="en-US"/>
        </w:rPr>
        <w:t>邮箱：286276670@qq.com</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default" w:ascii="宋体" w:hAnsi="宋体" w:eastAsia="宋体" w:cs="Times New Roman"/>
          <w:color w:val="auto"/>
          <w:highlight w:val="none"/>
          <w:lang w:val="en-US"/>
        </w:rPr>
        <w:t>代理机构单位办公地址：</w:t>
      </w:r>
      <w:r>
        <w:rPr>
          <w:rFonts w:hint="eastAsia" w:ascii="宋体" w:hAnsi="宋体" w:eastAsia="宋体" w:cs="Times New Roman"/>
          <w:color w:val="auto"/>
          <w:highlight w:val="none"/>
          <w:lang w:val="en-US"/>
        </w:rPr>
        <w:t>诸暨市东旺路218号永业大厦8楼</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质疑联系人：赵堡英          质疑联系方式：</w:t>
      </w:r>
      <w:r>
        <w:rPr>
          <w:rFonts w:hint="default" w:ascii="宋体" w:hAnsi="宋体" w:eastAsia="宋体" w:cs="Times New Roman"/>
          <w:color w:val="auto"/>
          <w:highlight w:val="none"/>
          <w:lang w:val="en-US"/>
        </w:rPr>
        <w:t>0575-</w:t>
      </w:r>
      <w:r>
        <w:rPr>
          <w:rFonts w:hint="eastAsia" w:ascii="宋体" w:hAnsi="宋体" w:eastAsia="宋体" w:cs="Times New Roman"/>
          <w:color w:val="auto"/>
          <w:highlight w:val="none"/>
          <w:lang w:val="en-US"/>
        </w:rPr>
        <w:t>87911619</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3、同级政府采购监督管理部门名称：诸暨市财政局政府采购监管科</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联系人：吕康玮 </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监督投诉电话：0575-87111685</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地址：诸暨市人民中路356号</w:t>
      </w:r>
    </w:p>
    <w:p>
      <w:pPr>
        <w:pStyle w:val="58"/>
        <w:spacing w:before="0" w:beforeAutospacing="0" w:after="0" w:afterAutospacing="0"/>
        <w:ind w:firstLine="480" w:firstLineChars="200"/>
        <w:rPr>
          <w:rFonts w:hint="eastAsia" w:ascii="宋体" w:hAnsi="宋体" w:eastAsia="宋体" w:cs="Times New Roman"/>
          <w:color w:val="auto"/>
          <w:highlight w:val="none"/>
          <w:lang w:val="en-US"/>
        </w:rPr>
      </w:pPr>
      <w:r>
        <w:rPr>
          <w:rFonts w:hint="eastAsia" w:ascii="宋体" w:hAnsi="宋体" w:eastAsia="宋体" w:cs="Times New Roman"/>
          <w:color w:val="auto"/>
          <w:highlight w:val="none"/>
          <w:lang w:val="en-US"/>
        </w:rPr>
        <w:t>4.若对项目采购电子交易系统操作有疑问，可登录政府采购云平台（https://www.zcygov.cn/），点击右侧咨询小采，获取采小蜜智能服务管家帮助，或拨打服务热线400-881-7190获取热线服务帮助。</w:t>
      </w:r>
    </w:p>
    <w:p>
      <w:pPr>
        <w:keepNext w:val="0"/>
        <w:keepLines w:val="0"/>
        <w:pageBreakBefore w:val="0"/>
        <w:kinsoku/>
        <w:wordWrap/>
        <w:overflowPunct/>
        <w:topLinePunct w:val="0"/>
        <w:bidi w:val="0"/>
        <w:snapToGrid/>
        <w:spacing w:line="240" w:lineRule="auto"/>
        <w:ind w:firstLine="420" w:firstLineChars="200"/>
        <w:textAlignment w:val="auto"/>
        <w:rPr>
          <w:rFonts w:ascii="宋体" w:cs="宋体"/>
          <w:color w:val="auto"/>
          <w:sz w:val="21"/>
          <w:szCs w:val="21"/>
          <w:highlight w:val="none"/>
        </w:rPr>
      </w:pPr>
      <w:r>
        <w:rPr>
          <w:rFonts w:hint="eastAsia" w:ascii="宋体" w:hAnsi="宋体" w:eastAsia="宋体" w:cs="Times New Roman"/>
          <w:color w:val="auto"/>
          <w:highlight w:val="none"/>
          <w:lang w:val="en-US"/>
        </w:rPr>
        <w:t>CA问题联系电话（人工）：汇信CA 400-888-4636；天谷CA 400-087-8198。</w:t>
      </w: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sz w:val="24"/>
                <w:szCs w:val="24"/>
              </w:rPr>
            </w:pPr>
            <w:r>
              <w:rPr>
                <w:rFonts w:hint="eastAsia" w:ascii="宋体" w:hAnsi="宋体" w:eastAsia="宋体" w:cs="宋体"/>
                <w:kern w:val="0"/>
                <w:sz w:val="24"/>
                <w:szCs w:val="24"/>
                <w:lang w:val="zh-CN"/>
              </w:rPr>
              <w:t>本项目采用</w:t>
            </w:r>
            <w:r>
              <w:rPr>
                <w:rFonts w:hint="eastAsia" w:ascii="宋体" w:hAnsi="宋体" w:eastAsia="宋体" w:cs="宋体"/>
                <w:b/>
                <w:kern w:val="0"/>
                <w:sz w:val="24"/>
                <w:szCs w:val="24"/>
                <w:u w:val="singl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有关本项目实施所需的所有费用（含税费）均计入报价。</w:t>
            </w:r>
          </w:p>
          <w:p>
            <w:pPr>
              <w:snapToGrid w:val="0"/>
              <w:spacing w:line="240" w:lineRule="auto"/>
              <w:jc w:val="left"/>
              <w:rPr>
                <w:rFonts w:hint="eastAsia" w:ascii="宋体" w:hAnsi="宋体" w:eastAsia="宋体" w:cs="宋体"/>
                <w:kern w:val="0"/>
                <w:sz w:val="24"/>
                <w:szCs w:val="24"/>
                <w:lang w:val="zh-CN"/>
              </w:rPr>
            </w:pPr>
            <w:r>
              <w:rPr>
                <w:rFonts w:hint="eastAsia" w:ascii="宋体" w:hAnsi="宋体" w:eastAsia="宋体" w:cs="宋体"/>
                <w:sz w:val="24"/>
                <w:szCs w:val="24"/>
              </w:rPr>
              <w:t>开标一览表（报价表）是报价的唯一载体</w:t>
            </w:r>
            <w:r>
              <w:rPr>
                <w:rFonts w:hint="eastAsia" w:ascii="宋体" w:hAnsi="宋体" w:eastAsia="宋体" w:cs="宋体"/>
                <w:kern w:val="0"/>
                <w:sz w:val="24"/>
                <w:szCs w:val="24"/>
                <w:lang w:val="zh-CN"/>
              </w:rPr>
              <w:t>。投标文件中价格全部采用人民币报价。</w:t>
            </w:r>
          </w:p>
          <w:p>
            <w:pPr>
              <w:snapToGrid w:val="0"/>
              <w:spacing w:line="24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pPr>
              <w:snapToGrid w:val="0"/>
              <w:spacing w:line="240" w:lineRule="auto"/>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pPr>
              <w:pStyle w:val="255"/>
              <w:numPr>
                <w:ilvl w:val="0"/>
                <w:numId w:val="1"/>
              </w:numPr>
              <w:snapToGrid w:val="0"/>
              <w:spacing w:line="240" w:lineRule="auto"/>
              <w:ind w:firstLineChars="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投标文件出现不是唯一的、有选择性投标报价的；</w:t>
            </w:r>
          </w:p>
          <w:p>
            <w:pPr>
              <w:pStyle w:val="255"/>
              <w:numPr>
                <w:ilvl w:val="0"/>
                <w:numId w:val="1"/>
              </w:numPr>
              <w:snapToGrid w:val="0"/>
              <w:spacing w:line="240" w:lineRule="auto"/>
              <w:ind w:firstLineChars="0"/>
              <w:jc w:val="left"/>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投标报价超过招标文件中规定的预算金额或者最高限价的;</w:t>
            </w:r>
          </w:p>
          <w:p>
            <w:pPr>
              <w:pStyle w:val="255"/>
              <w:numPr>
                <w:ilvl w:val="0"/>
                <w:numId w:val="1"/>
              </w:numPr>
              <w:spacing w:line="240" w:lineRule="auto"/>
              <w:ind w:firstLineChars="0"/>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5"/>
              <w:numPr>
                <w:ilvl w:val="0"/>
                <w:numId w:val="1"/>
              </w:numPr>
              <w:spacing w:line="240" w:lineRule="auto"/>
              <w:ind w:firstLineChars="0"/>
              <w:rPr>
                <w:rFonts w:hint="eastAsia" w:ascii="宋体" w:hAnsi="宋体" w:eastAsia="宋体" w:cs="宋体"/>
                <w:bCs/>
                <w:kern w:val="0"/>
                <w:sz w:val="24"/>
                <w:szCs w:val="24"/>
                <w:lang w:val="zh-CN"/>
              </w:rPr>
            </w:pPr>
            <w:r>
              <w:rPr>
                <w:rFonts w:hint="eastAsia" w:ascii="宋体" w:hAnsi="宋体" w:eastAsia="宋体" w:cs="宋体"/>
                <w:bCs/>
                <w:kern w:val="0"/>
                <w:sz w:val="24"/>
                <w:szCs w:val="24"/>
              </w:rPr>
              <w:t>投标人对根据修正原则修正后的报价不确认的</w:t>
            </w: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276331357"/>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60"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2"/>
              </w:numPr>
              <w:snapToGrid w:val="0"/>
              <w:spacing w:line="240" w:lineRule="auto"/>
              <w:ind w:firstLineChars="0"/>
              <w:rPr>
                <w:rFonts w:hint="eastAsia" w:ascii="宋体" w:hAnsi="宋体" w:eastAsia="宋体" w:cs="宋体"/>
                <w:sz w:val="24"/>
                <w:szCs w:val="24"/>
              </w:rPr>
            </w:pPr>
            <w:r>
              <w:rPr>
                <w:rFonts w:hint="eastAsia" w:ascii="宋体" w:hAnsi="宋体" w:eastAsia="宋体" w:cs="宋体"/>
                <w:sz w:val="24"/>
                <w:szCs w:val="24"/>
              </w:rPr>
              <w:t>符合参加政府采购活动应当具备的一般条件的承诺函；</w:t>
            </w:r>
          </w:p>
          <w:p>
            <w:pPr>
              <w:pStyle w:val="255"/>
              <w:numPr>
                <w:ilvl w:val="0"/>
                <w:numId w:val="2"/>
              </w:numPr>
              <w:spacing w:line="240" w:lineRule="auto"/>
              <w:ind w:firstLineChars="0"/>
              <w:rPr>
                <w:rFonts w:hint="eastAsia" w:ascii="宋体" w:hAnsi="宋体" w:eastAsia="宋体" w:cs="宋体"/>
                <w:b/>
                <w:snapToGrid w:val="0"/>
                <w:kern w:val="0"/>
                <w:sz w:val="24"/>
                <w:szCs w:val="24"/>
              </w:rPr>
            </w:pPr>
            <w:r>
              <w:rPr>
                <w:rFonts w:hint="eastAsia" w:ascii="宋体" w:hAnsi="宋体" w:eastAsia="宋体" w:cs="宋体"/>
                <w:sz w:val="24"/>
                <w:szCs w:val="24"/>
              </w:rPr>
              <w:t>本项目的特定资格要求：</w:t>
            </w:r>
            <w:r>
              <w:rPr>
                <w:rFonts w:hint="eastAsia" w:ascii="宋体" w:hAnsi="宋体" w:eastAsia="宋体" w:cs="宋体"/>
                <w:bCs/>
                <w:sz w:val="24"/>
                <w:szCs w:val="24"/>
              </w:rPr>
              <w:t>具有所投标的相应国家规定必备的资质、资格。</w:t>
            </w:r>
          </w:p>
          <w:p>
            <w:pPr>
              <w:spacing w:line="240" w:lineRule="auto"/>
              <w:rPr>
                <w:rFonts w:hint="eastAsia" w:ascii="宋体" w:hAnsi="宋体" w:eastAsia="宋体" w:cs="宋体"/>
                <w:b/>
                <w:snapToGrid w:val="0"/>
                <w:kern w:val="0"/>
                <w:sz w:val="24"/>
                <w:szCs w:val="24"/>
              </w:rPr>
            </w:pPr>
            <w:r>
              <w:rPr>
                <w:rFonts w:hint="eastAsia" w:ascii="宋体" w:hAnsi="宋体" w:eastAsia="宋体" w:cs="宋体"/>
                <w:b/>
                <w:kern w:val="0"/>
                <w:sz w:val="24"/>
                <w:szCs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4"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60"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3"/>
              </w:numPr>
              <w:snapToGrid w:val="0"/>
              <w:spacing w:line="240" w:lineRule="auto"/>
              <w:ind w:firstLineChars="0"/>
              <w:rPr>
                <w:rFonts w:hint="eastAsia" w:ascii="宋体" w:hAnsi="宋体" w:eastAsia="宋体" w:cs="宋体"/>
                <w:sz w:val="24"/>
                <w:szCs w:val="24"/>
                <w:lang w:val="zh-CN"/>
              </w:rPr>
            </w:pPr>
            <w:r>
              <w:rPr>
                <w:rFonts w:hint="eastAsia" w:ascii="宋体" w:hAnsi="宋体" w:eastAsia="宋体" w:cs="宋体"/>
                <w:sz w:val="24"/>
                <w:szCs w:val="24"/>
              </w:rPr>
              <w:t>投标函；</w:t>
            </w:r>
          </w:p>
          <w:p>
            <w:pPr>
              <w:pStyle w:val="255"/>
              <w:numPr>
                <w:ilvl w:val="0"/>
                <w:numId w:val="3"/>
              </w:numPr>
              <w:snapToGrid w:val="0"/>
              <w:spacing w:line="240" w:lineRule="auto"/>
              <w:ind w:firstLineChars="0"/>
              <w:rPr>
                <w:rFonts w:hint="eastAsia" w:ascii="宋体" w:hAnsi="宋体" w:eastAsia="宋体" w:cs="宋体"/>
                <w:sz w:val="24"/>
                <w:szCs w:val="24"/>
                <w:lang w:val="zh-CN"/>
              </w:rPr>
            </w:pPr>
            <w:r>
              <w:rPr>
                <w:rFonts w:hint="eastAsia" w:ascii="宋体" w:hAnsi="宋体" w:eastAsia="宋体" w:cs="宋体"/>
                <w:sz w:val="24"/>
                <w:szCs w:val="24"/>
              </w:rPr>
              <w:t>授权委托书或法定代表人（单位负责人、自然人本人）身份证明；</w:t>
            </w:r>
          </w:p>
          <w:p>
            <w:pPr>
              <w:pStyle w:val="255"/>
              <w:numPr>
                <w:ilvl w:val="0"/>
                <w:numId w:val="3"/>
              </w:numPr>
              <w:snapToGrid w:val="0"/>
              <w:spacing w:line="240" w:lineRule="auto"/>
              <w:ind w:firstLineChars="0"/>
              <w:rPr>
                <w:rFonts w:hint="eastAsia" w:ascii="宋体" w:hAnsi="宋体" w:eastAsia="宋体" w:cs="宋体"/>
                <w:sz w:val="24"/>
                <w:szCs w:val="24"/>
                <w:lang w:val="zh-CN"/>
              </w:rPr>
            </w:pPr>
            <w:r>
              <w:rPr>
                <w:rFonts w:hint="eastAsia" w:ascii="宋体" w:hAnsi="宋体" w:eastAsia="宋体" w:cs="宋体"/>
                <w:sz w:val="24"/>
                <w:szCs w:val="24"/>
              </w:rPr>
              <w:t>符合性审查资料；</w:t>
            </w:r>
          </w:p>
          <w:p>
            <w:pPr>
              <w:pStyle w:val="255"/>
              <w:numPr>
                <w:ilvl w:val="0"/>
                <w:numId w:val="3"/>
              </w:numPr>
              <w:snapToGrid w:val="0"/>
              <w:spacing w:line="240" w:lineRule="auto"/>
              <w:ind w:firstLineChars="0"/>
              <w:rPr>
                <w:rFonts w:hint="eastAsia" w:ascii="宋体" w:hAnsi="宋体" w:eastAsia="宋体" w:cs="宋体"/>
                <w:sz w:val="24"/>
                <w:szCs w:val="24"/>
                <w:lang w:val="zh-CN"/>
              </w:rPr>
            </w:pPr>
            <w:r>
              <w:rPr>
                <w:rFonts w:hint="eastAsia" w:ascii="宋体" w:hAnsi="宋体" w:eastAsia="宋体" w:cs="宋体"/>
                <w:sz w:val="24"/>
                <w:szCs w:val="24"/>
              </w:rPr>
              <w:t>商务技术偏离表；</w:t>
            </w:r>
          </w:p>
          <w:p>
            <w:pPr>
              <w:pStyle w:val="255"/>
              <w:numPr>
                <w:ilvl w:val="0"/>
                <w:numId w:val="3"/>
              </w:numPr>
              <w:snapToGrid w:val="0"/>
              <w:spacing w:line="240" w:lineRule="auto"/>
              <w:ind w:firstLineChars="0"/>
              <w:rPr>
                <w:rFonts w:hint="eastAsia" w:ascii="宋体" w:hAnsi="宋体" w:eastAsia="宋体" w:cs="宋体"/>
                <w:sz w:val="24"/>
                <w:szCs w:val="24"/>
                <w:lang w:val="zh-CN"/>
              </w:rPr>
            </w:pPr>
            <w:r>
              <w:rPr>
                <w:rFonts w:hint="eastAsia" w:ascii="宋体" w:hAnsi="宋体" w:eastAsia="宋体" w:cs="宋体"/>
                <w:sz w:val="24"/>
                <w:szCs w:val="24"/>
                <w:lang w:val="zh-CN"/>
              </w:rPr>
              <w:t>政府采购供应商廉洁自律承诺书。</w:t>
            </w:r>
          </w:p>
          <w:p>
            <w:pPr>
              <w:spacing w:line="240" w:lineRule="auto"/>
              <w:rPr>
                <w:rFonts w:hint="eastAsia" w:ascii="宋体" w:hAnsi="宋体" w:eastAsia="宋体" w:cs="宋体"/>
                <w:sz w:val="24"/>
                <w:szCs w:val="24"/>
                <w:lang w:val="zh-CN"/>
              </w:rPr>
            </w:pPr>
            <w:r>
              <w:rPr>
                <w:rFonts w:hint="eastAsia" w:ascii="宋体" w:hAnsi="宋体" w:eastAsia="宋体" w:cs="宋体"/>
                <w:b/>
                <w:kern w:val="0"/>
                <w:sz w:val="24"/>
                <w:szCs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60"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4"/>
              </w:numPr>
              <w:snapToGrid w:val="0"/>
              <w:spacing w:line="240" w:lineRule="auto"/>
              <w:ind w:firstLineChars="0"/>
              <w:rPr>
                <w:rFonts w:hint="eastAsia" w:ascii="宋体" w:hAnsi="宋体" w:eastAsia="宋体" w:cs="宋体"/>
                <w:sz w:val="24"/>
                <w:szCs w:val="24"/>
              </w:rPr>
            </w:pPr>
            <w:r>
              <w:rPr>
                <w:rFonts w:hint="eastAsia" w:ascii="宋体" w:hAnsi="宋体" w:eastAsia="宋体" w:cs="宋体"/>
                <w:sz w:val="24"/>
                <w:szCs w:val="24"/>
              </w:rPr>
              <w:t>开标一览表（报价表）；</w:t>
            </w:r>
          </w:p>
          <w:p>
            <w:pPr>
              <w:pStyle w:val="255"/>
              <w:numPr>
                <w:ilvl w:val="0"/>
                <w:numId w:val="4"/>
              </w:numPr>
              <w:snapToGrid w:val="0"/>
              <w:spacing w:line="240" w:lineRule="auto"/>
              <w:ind w:firstLineChars="0"/>
              <w:rPr>
                <w:rFonts w:hint="eastAsia" w:ascii="宋体" w:hAnsi="宋体" w:eastAsia="宋体" w:cs="宋体"/>
                <w:sz w:val="24"/>
                <w:szCs w:val="24"/>
              </w:rPr>
            </w:pPr>
            <w:r>
              <w:rPr>
                <w:rFonts w:hint="eastAsia" w:ascii="宋体" w:hAnsi="宋体" w:eastAsia="宋体" w:cs="宋体"/>
                <w:sz w:val="24"/>
                <w:szCs w:val="24"/>
              </w:rPr>
              <w:t>中小企业声明函（如需）。</w:t>
            </w:r>
          </w:p>
          <w:p>
            <w:pPr>
              <w:spacing w:line="240" w:lineRule="auto"/>
              <w:rPr>
                <w:rFonts w:hint="eastAsia" w:ascii="宋体" w:hAnsi="宋体" w:eastAsia="宋体" w:cs="宋体"/>
                <w:b/>
                <w:sz w:val="24"/>
                <w:szCs w:val="24"/>
              </w:rPr>
            </w:pPr>
            <w:r>
              <w:rPr>
                <w:rFonts w:hint="eastAsia" w:ascii="宋体" w:hAnsi="宋体" w:eastAsia="宋体" w:cs="宋体"/>
                <w:b/>
                <w:sz w:val="24"/>
                <w:szCs w:val="24"/>
              </w:rPr>
              <w:t>投标文件含有采购人不能接受的附加条件的，</w:t>
            </w:r>
            <w:r>
              <w:rPr>
                <w:rFonts w:hint="eastAsia" w:ascii="宋体" w:hAnsi="宋体" w:eastAsia="宋体" w:cs="宋体"/>
                <w:b/>
                <w:kern w:val="0"/>
                <w:sz w:val="24"/>
                <w:szCs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21296641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639946486"/>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80543601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sdtContent>
            </w:sdt>
            <w:r>
              <w:rPr>
                <w:rFonts w:hint="eastAsia" w:ascii="宋体" w:hAnsi="宋体" w:eastAsia="宋体" w:cs="宋体"/>
                <w:kern w:val="0"/>
                <w:sz w:val="24"/>
                <w:szCs w:val="24"/>
              </w:rPr>
              <w:t xml:space="preserve"> A不要求提供</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z w:val="24"/>
                <w:szCs w:val="24"/>
              </w:rPr>
            </w:pPr>
            <w:sdt>
              <w:sdtPr>
                <w:rPr>
                  <w:rFonts w:hint="eastAsia" w:ascii="宋体" w:hAnsi="宋体" w:eastAsia="宋体" w:cs="宋体"/>
                  <w:kern w:val="0"/>
                  <w:sz w:val="24"/>
                  <w:szCs w:val="24"/>
                </w:rPr>
                <w:id w:val="-1859348549"/>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FF0000"/>
                <w:sz w:val="24"/>
                <w:szCs w:val="24"/>
              </w:rPr>
            </w:pPr>
            <w:r>
              <w:rPr>
                <w:rFonts w:hint="eastAsia" w:ascii="宋体" w:hAnsi="宋体" w:eastAsia="宋体" w:cs="宋体"/>
                <w:sz w:val="24"/>
                <w:szCs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本项目不收取投标保证金。</w:t>
            </w:r>
          </w:p>
          <w:p>
            <w:pPr>
              <w:snapToGrid w:val="0"/>
              <w:spacing w:line="240" w:lineRule="auto"/>
              <w:rPr>
                <w:rFonts w:hint="eastAsia" w:ascii="宋体" w:hAnsi="宋体" w:eastAsia="宋体" w:cs="宋体"/>
                <w:sz w:val="24"/>
                <w:szCs w:val="24"/>
              </w:rPr>
            </w:pPr>
            <w:r>
              <w:rPr>
                <w:rFonts w:hint="eastAsia" w:ascii="宋体" w:hAnsi="宋体" w:eastAsia="宋体" w:cs="宋体"/>
                <w:kern w:val="0"/>
                <w:sz w:val="24"/>
                <w:szCs w:val="24"/>
              </w:rPr>
              <w:t>签订合同时，中标供应商须向采购人缴纳中标价</w:t>
            </w:r>
            <w:r>
              <w:rPr>
                <w:rFonts w:hint="eastAsia" w:ascii="宋体" w:hAnsi="宋体" w:eastAsia="宋体" w:cs="宋体"/>
                <w:kern w:val="0"/>
                <w:sz w:val="24"/>
                <w:szCs w:val="24"/>
                <w:u w:val="single"/>
              </w:rPr>
              <w:t>1%</w:t>
            </w:r>
            <w:r>
              <w:rPr>
                <w:rFonts w:hint="eastAsia" w:ascii="宋体" w:hAnsi="宋体" w:eastAsia="宋体" w:cs="宋体"/>
                <w:kern w:val="0"/>
                <w:sz w:val="24"/>
                <w:szCs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bCs/>
                <w:sz w:val="24"/>
                <w:szCs w:val="24"/>
              </w:rPr>
            </w:pPr>
            <w:sdt>
              <w:sdtPr>
                <w:rPr>
                  <w:rFonts w:hint="eastAsia" w:ascii="宋体" w:hAnsi="宋体" w:eastAsia="宋体" w:cs="宋体"/>
                  <w:kern w:val="0"/>
                  <w:sz w:val="24"/>
                  <w:szCs w:val="24"/>
                </w:rPr>
                <w:id w:val="118727868"/>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A</w:t>
            </w:r>
            <w:r>
              <w:rPr>
                <w:rFonts w:hint="eastAsia" w:ascii="宋体" w:hAnsi="宋体" w:eastAsia="宋体" w:cs="宋体"/>
                <w:sz w:val="24"/>
                <w:szCs w:val="24"/>
              </w:rPr>
              <w:t>货物类，</w:t>
            </w:r>
            <w:r>
              <w:rPr>
                <w:rFonts w:hint="eastAsia" w:ascii="宋体" w:hAnsi="宋体" w:eastAsia="宋体" w:cs="宋体"/>
                <w:color w:val="auto"/>
                <w:sz w:val="24"/>
                <w:szCs w:val="24"/>
                <w:highlight w:val="none"/>
              </w:rPr>
              <w:t>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标的：</w:t>
            </w:r>
            <w:r>
              <w:rPr>
                <w:rFonts w:hint="eastAsia" w:ascii="宋体" w:hAnsi="宋体" w:eastAsia="宋体" w:cs="宋体"/>
                <w:kern w:val="0"/>
                <w:sz w:val="24"/>
                <w:szCs w:val="24"/>
                <w:u w:val="single"/>
              </w:rPr>
              <w:t xml:space="preserve"> 一至</w:t>
            </w:r>
            <w:r>
              <w:rPr>
                <w:rFonts w:hint="eastAsia" w:ascii="宋体" w:hAnsi="宋体" w:eastAsia="宋体" w:cs="宋体"/>
                <w:kern w:val="0"/>
                <w:sz w:val="24"/>
                <w:szCs w:val="24"/>
                <w:u w:val="single"/>
                <w:lang w:eastAsia="zh-CN"/>
              </w:rPr>
              <w:t>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工业</w:t>
            </w:r>
            <w:r>
              <w:rPr>
                <w:rFonts w:hint="eastAsia" w:ascii="宋体" w:hAnsi="宋体" w:eastAsia="宋体" w:cs="宋体"/>
                <w:kern w:val="0"/>
                <w:sz w:val="24"/>
                <w:szCs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760" w:type="dxa"/>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240" w:lineRule="auto"/>
              <w:rPr>
                <w:rFonts w:hint="eastAsia" w:ascii="宋体" w:hAnsi="宋体" w:eastAsia="宋体" w:cs="宋体"/>
                <w:sz w:val="24"/>
                <w:szCs w:val="24"/>
              </w:rPr>
            </w:pPr>
            <w:r>
              <w:rPr>
                <w:rFonts w:hint="eastAsia" w:ascii="宋体" w:hAnsi="宋体" w:eastAsia="宋体" w:cs="宋体"/>
                <w:snapToGrid w:val="0"/>
                <w:kern w:val="28"/>
                <w:sz w:val="24"/>
                <w:szCs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spacing w:line="240" w:lineRule="auto"/>
              <w:rPr>
                <w:rFonts w:hint="eastAsia" w:ascii="宋体" w:hAnsi="宋体" w:eastAsia="宋体" w:cs="宋体"/>
                <w:kern w:val="28"/>
                <w:sz w:val="24"/>
                <w:szCs w:val="24"/>
              </w:rPr>
            </w:pPr>
            <w:r>
              <w:rPr>
                <w:rFonts w:hint="eastAsia" w:ascii="宋体" w:hAnsi="宋体" w:eastAsia="宋体" w:cs="宋体"/>
                <w:b/>
                <w:color w:val="auto"/>
                <w:sz w:val="24"/>
                <w:szCs w:val="24"/>
                <w:highlight w:val="none"/>
                <w:lang w:eastAsia="zh-CN"/>
              </w:rPr>
              <w:t>诸暨广和工程管理服务有限公司</w:t>
            </w:r>
            <w:r>
              <w:rPr>
                <w:rFonts w:hint="eastAsia" w:ascii="宋体" w:hAnsi="宋体" w:eastAsia="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ascii="宋体" w:hAnsi="宋体" w:eastAsia="宋体" w:cs="宋体"/>
                <w:b/>
                <w:color w:val="auto"/>
                <w:sz w:val="24"/>
                <w:szCs w:val="24"/>
                <w:highlight w:val="none"/>
                <w:lang w:eastAsia="zh-CN"/>
              </w:rPr>
              <w:t>286276670@qq.com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512"/>
              <w:keepNext w:val="0"/>
              <w:keepLines w:val="0"/>
              <w:pageBreakBefore w:val="0"/>
              <w:widowControl w:val="0"/>
              <w:kinsoku/>
              <w:wordWrap/>
              <w:overflowPunct/>
              <w:topLinePunct w:val="0"/>
              <w:autoSpaceDE/>
              <w:autoSpaceDN/>
              <w:bidi w:val="0"/>
              <w:spacing w:line="240" w:lineRule="auto"/>
              <w:ind w:left="0" w:leftChars="0" w:firstLine="480" w:firstLineChars="200"/>
              <w:jc w:val="left"/>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1、招标代理服务费由中标人支付，具体收费标准按国家发改委【2011】534号文件和国家计委【2002】1980号文件执行，收费基数为合同总金额。招标代理服务费=中标金额*1.5%。</w:t>
            </w:r>
          </w:p>
          <w:tbl>
            <w:tblPr>
              <w:tblStyle w:val="62"/>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服务类型     中标金额（万元）</w:t>
                  </w:r>
                </w:p>
              </w:tc>
              <w:tc>
                <w:tcPr>
                  <w:tcW w:w="1065" w:type="dxa"/>
                  <w:noWrap w:val="0"/>
                  <w:vAlign w:val="center"/>
                </w:tcPr>
                <w:p>
                  <w:pPr>
                    <w:pStyle w:val="58"/>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货物招标</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服务招标</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100以下</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1.5％</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1.5％</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100—500</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0.8％</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500—1000</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0.8％</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0.45％</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1000—5000</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0.5％</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0.25％</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5000—10000</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0.25％</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0.1％</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10000——100000</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0.05％</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0.05％</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1000000以上</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0.01％</w:t>
                  </w:r>
                </w:p>
              </w:tc>
              <w:tc>
                <w:tcPr>
                  <w:tcW w:w="1065"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0.01％</w:t>
                  </w:r>
                </w:p>
              </w:tc>
              <w:tc>
                <w:tcPr>
                  <w:tcW w:w="1050" w:type="dxa"/>
                  <w:noWrap w:val="0"/>
                  <w:vAlign w:val="center"/>
                </w:tcPr>
                <w:p>
                  <w:pPr>
                    <w:keepNext w:val="0"/>
                    <w:keepLines w:val="0"/>
                    <w:widowControl/>
                    <w:suppressLineNumbers w:val="0"/>
                    <w:spacing w:line="240" w:lineRule="auto"/>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0.01％</w:t>
                  </w:r>
                </w:p>
              </w:tc>
            </w:tr>
          </w:tbl>
          <w:p>
            <w:pPr>
              <w:pStyle w:val="512"/>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注：招标代理服务收费按差额定率累进法计算。</w:t>
            </w:r>
          </w:p>
          <w:p>
            <w:pPr>
              <w:spacing w:line="240" w:lineRule="auto"/>
              <w:rPr>
                <w:rFonts w:hint="eastAsia" w:ascii="宋体" w:hAnsi="宋体" w:eastAsia="宋体" w:cs="宋体"/>
                <w:snapToGrid w:val="0"/>
                <w:kern w:val="28"/>
                <w:sz w:val="24"/>
                <w:szCs w:val="24"/>
              </w:rPr>
            </w:pPr>
            <w:r>
              <w:rPr>
                <w:rFonts w:hint="eastAsia" w:ascii="宋体" w:hAnsi="宋体" w:eastAsia="宋体" w:cs="宋体"/>
                <w:snapToGrid w:val="0"/>
                <w:color w:val="auto"/>
                <w:spacing w:val="0"/>
                <w:kern w:val="28"/>
                <w:sz w:val="24"/>
                <w:szCs w:val="24"/>
                <w:highlight w:val="none"/>
                <w:lang w:val="en-US" w:eastAsia="zh-CN" w:bidi="ar-SA"/>
              </w:rPr>
              <w:t>2、代理费缴纳账户：诸暨广和工程管理服务有限公司，开户行：农业银行诸暨浣江支行，账号：19531901040008168。</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240" w:lineRule="auto"/>
        <w:ind w:firstLine="2884" w:firstLineChars="1197"/>
        <w:outlineLvl w:val="0"/>
        <w:rPr>
          <w:rFonts w:hint="eastAsia" w:ascii="宋体" w:hAnsi="宋体" w:eastAsia="宋体" w:cs="宋体"/>
          <w:b/>
          <w:sz w:val="24"/>
          <w:szCs w:val="24"/>
        </w:rPr>
      </w:pPr>
      <w:r>
        <w:rPr>
          <w:rFonts w:hint="eastAsia" w:ascii="宋体" w:hAnsi="宋体" w:eastAsia="宋体" w:cs="宋体"/>
          <w:b/>
          <w:sz w:val="24"/>
          <w:szCs w:val="24"/>
        </w:rPr>
        <w:t>一、总则</w:t>
      </w:r>
    </w:p>
    <w:p>
      <w:pPr>
        <w:snapToGrid w:val="0"/>
        <w:spacing w:line="24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adjustRightInd/>
        <w:spacing w:line="24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“采购代理机构”系指招标公告中载明的本项目的采购代理机构。</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2.6“电子交易平台”是指本项目政府采购活动所依托的政府采购云平台（https://www.zcygov.cn/）。</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sz w:val="24"/>
            <w:szCs w:val="24"/>
          </w:rPr>
          <w:id w:val="512970236"/>
        </w:sdtPr>
        <w:sdtEndPr>
          <w:rPr>
            <w:rFonts w:hint="eastAsia" w:ascii="宋体" w:hAnsi="宋体" w:eastAsia="宋体" w:cs="宋体"/>
            <w:sz w:val="24"/>
            <w:szCs w:val="24"/>
          </w:rPr>
        </w:sdtEndPr>
        <w:sdtContent>
          <w:sdt>
            <w:sdtPr>
              <w:rPr>
                <w:rFonts w:hint="eastAsia" w:ascii="宋体" w:hAnsi="宋体" w:eastAsia="宋体" w:cs="宋体"/>
                <w:kern w:val="0"/>
                <w:sz w:val="24"/>
                <w:szCs w:val="24"/>
              </w:rPr>
              <w:id w:val="-1828113808"/>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sdtContent>
      </w:sdt>
      <w:r>
        <w:rPr>
          <w:rFonts w:hint="eastAsia" w:ascii="宋体" w:hAnsi="宋体" w:eastAsia="宋体" w:cs="宋体"/>
          <w:sz w:val="24"/>
          <w:szCs w:val="24"/>
        </w:rPr>
        <w:t>” 系指适用本项目的要求，“</w:t>
      </w:r>
      <w:sdt>
        <w:sdtPr>
          <w:rPr>
            <w:rFonts w:hint="eastAsia" w:ascii="宋体" w:hAnsi="宋体" w:eastAsia="宋体" w:cs="宋体"/>
            <w:sz w:val="24"/>
            <w:szCs w:val="24"/>
          </w:rPr>
          <w:id w:val="404888855"/>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系指不适用本项目的要求。</w:t>
      </w:r>
    </w:p>
    <w:p>
      <w:pPr>
        <w:spacing w:line="24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pPr>
        <w:spacing w:line="24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 修缮、装修类项目采购建材的，采购人应将绿色建筑和绿色建材性能、指标等作为实质性条件纳入招标文件和合同。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在政府采购活动中，投标人提供的货物、工程或者服务符合下列情形的，享受中小企业扶持政策：</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3.3.2.1在货物采购项目中，货物由中小企业制造，即货物由中小企业生产且使用该中小企业商号或者注册商标；</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3.3.2.2在工程采购项目中，工程由中小企业承建，即工程施工单位为中小企业；</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3.3.2.3在服务采购项目中，服务由中小企业承接，即提供服务的人员为中小企业依照《中华人民共和国民法典》订立劳动合同的从业人员。</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3.3.7中小企业享受扶持政策获得政府采购合同的，小微企业不得将合同分包给大中型企业，中型企业不得将合同分包给大型企业。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3.3.8采购人严格贯彻落实《保障中小企业款项支付条例》，按规定向中小企业支付款项。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3.3.9中小企业信用融资：供应商中标后可在政府采购云平台申请政采贷：操作路径：登录政府采购云平台-金融服务中心-【融资服务】。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240" w:lineRule="auto"/>
        <w:rPr>
          <w:rFonts w:hint="eastAsia" w:ascii="宋体" w:hAnsi="宋体" w:eastAsia="宋体" w:cs="宋体"/>
          <w:sz w:val="24"/>
          <w:szCs w:val="24"/>
        </w:rPr>
      </w:pPr>
      <w:r>
        <w:rPr>
          <w:rFonts w:hint="eastAsia" w:ascii="宋体" w:hAnsi="宋体" w:eastAsia="宋体" w:cs="宋体"/>
          <w:b/>
          <w:sz w:val="24"/>
          <w:szCs w:val="24"/>
        </w:rPr>
        <w:t>4. 询问、质疑、投诉</w:t>
      </w:r>
    </w:p>
    <w:p>
      <w:pPr>
        <w:spacing w:line="24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4.1供应商询问</w:t>
      </w:r>
    </w:p>
    <w:p>
      <w:pPr>
        <w:autoSpaceDE w:val="0"/>
        <w:autoSpaceDN w:val="0"/>
        <w:spacing w:line="24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24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4.2供应商质疑</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4.2</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4.2</w:t>
      </w:r>
      <w:r>
        <w:rPr>
          <w:rFonts w:hint="eastAsia" w:ascii="宋体" w:hAnsi="宋体" w:eastAsia="宋体" w:cs="宋体"/>
          <w:sz w:val="24"/>
          <w:szCs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8"/>
        <w:spacing w:line="24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4.2.2.1对招标文件提出质疑的，质疑期限为供应商获得招标文件之日或者招标文件公告期限届满之日起计算。</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4.2.2.2对采购过程提出质疑的，质疑期限为各采购程序环节结束之日起计算。对同一采购程序环节的质疑，供应商须一次性提出。</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4.2.2.3对采购结果提出质疑的，质疑期限自采购结果公告期限届满之日起计算。</w:t>
      </w:r>
    </w:p>
    <w:p>
      <w:pPr>
        <w:pStyle w:val="34"/>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4.2.2.4针对采购文件中特定资格条件、采购需求、评分办法提出的质疑，应向采购人提出；对采购文件中其他内容、采购过程、采购结果提出的质疑，应向采购代理机构提出。</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w:t>
      </w:r>
      <w:r>
        <w:rPr>
          <w:rFonts w:hint="eastAsia" w:ascii="宋体" w:hAnsi="宋体" w:eastAsia="宋体" w:cs="宋体"/>
          <w:sz w:val="24"/>
          <w:szCs w:val="24"/>
        </w:rPr>
        <w:t>供应商提出质疑应当提交质疑函和必要的证明材料。质疑函应当包括下列内容：</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4.2.3.1供应商的姓名或者名称、地址、邮编、联系人及联系电话；</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4.2.3.2质疑项目的名称、编号；</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4.2.3.3具体、明确的质疑事项和与质疑事项相关的请求；</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4.2.3.4事实依据；</w:t>
      </w:r>
    </w:p>
    <w:p>
      <w:pPr>
        <w:pStyle w:val="34"/>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4.2.3.5必要的法律依据；</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4.2.</w:t>
      </w:r>
      <w:r>
        <w:rPr>
          <w:rFonts w:hint="eastAsia" w:ascii="宋体" w:hAnsi="宋体" w:eastAsia="宋体" w:cs="宋体"/>
          <w:sz w:val="24"/>
          <w:szCs w:val="24"/>
        </w:rPr>
        <w:t>3.6提出质疑的日期。</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4.2.5询问或者质疑事项可能影响采购结果的，采购人应当暂停签订合同，已经签订合同的，应当中止履行合同。</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4.3质疑供应商投诉</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4.3.2供应商投诉的事项不得超出已质疑事项的范围，基于质疑答复内容提出的投诉事项除外。</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4.3.3供应商投诉应当有明确的请求和必要的证明材料。</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4.3.5 以联合体形式参加政府采购活动的，其投诉应当由组成联合体的所有供应商共同提出。投诉书范本及制作说明详见附件3。</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24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 xml:space="preserve">     二、招标文件的构成、澄清、补充、修改</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5.1.1招标公告；</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5.1.2投标人须知；</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5.1.3采购需求；</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5.1.4评标办法；</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4"/>
        <w:tabs>
          <w:tab w:val="left" w:pos="84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5.1.6应提交的有关格式范例。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澄清、补充、修改的内容为招标文件的组成部分</w:t>
      </w:r>
      <w:r>
        <w:rPr>
          <w:rFonts w:hint="eastAsia" w:ascii="宋体" w:hAnsi="宋体" w:eastAsia="宋体" w:cs="宋体"/>
          <w:sz w:val="24"/>
          <w:szCs w:val="24"/>
        </w:rPr>
        <w:t>。</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6. 招标文件的澄清、补充、修改</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6.1已获取招标文件的潜在投标人，若有问题需要澄清，应于投标截止时间前，以书面形式向采购代理机构提出。</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6.3当招标文件与澄清、补充、修改就同一内容表述不一致的以最后发出的文件或公告为准。</w:t>
      </w:r>
    </w:p>
    <w:p>
      <w:pPr>
        <w:adjustRightInd/>
        <w:spacing w:line="24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三、投标</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24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详见招标公告中获取招标文件的时间期限、地点、方式及招标文件售价。</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4"/>
        <w:spacing w:line="240" w:lineRule="auto"/>
        <w:rPr>
          <w:rFonts w:hint="eastAsia" w:ascii="宋体" w:hAnsi="宋体" w:eastAsia="宋体" w:cs="宋体"/>
          <w:b/>
          <w:sz w:val="24"/>
          <w:szCs w:val="24"/>
        </w:rPr>
      </w:pPr>
      <w:r>
        <w:rPr>
          <w:rFonts w:hint="eastAsia" w:ascii="宋体" w:hAnsi="宋体" w:eastAsia="宋体" w:cs="宋体"/>
          <w:b/>
          <w:kern w:val="28"/>
          <w:sz w:val="24"/>
          <w:szCs w:val="24"/>
        </w:rPr>
        <w:t>9.投标保证金</w:t>
      </w:r>
    </w:p>
    <w:p>
      <w:pPr>
        <w:pStyle w:val="8"/>
        <w:spacing w:line="24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24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11.1资格文件：</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11.1.1符合参加政府采购活动应当具备的一般条件的承诺函；</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11.1.2落实政府采购政策需满足的资格要求（如需）；</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11.1.3本项目的特定资格要求（如需）。</w:t>
      </w:r>
    </w:p>
    <w:p>
      <w:pPr>
        <w:snapToGrid w:val="0"/>
        <w:spacing w:line="24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11.</w:t>
      </w:r>
      <w:r>
        <w:rPr>
          <w:rFonts w:hint="eastAsia" w:ascii="宋体" w:hAnsi="宋体" w:eastAsia="宋体" w:cs="宋体"/>
          <w:b/>
          <w:bCs/>
          <w:sz w:val="24"/>
          <w:szCs w:val="24"/>
        </w:rPr>
        <w:t>2</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商务技术</w:t>
      </w:r>
      <w:r>
        <w:rPr>
          <w:rFonts w:hint="eastAsia" w:ascii="宋体" w:hAnsi="宋体" w:eastAsia="宋体" w:cs="宋体"/>
          <w:b/>
          <w:bCs/>
          <w:sz w:val="24"/>
          <w:szCs w:val="24"/>
          <w:lang w:val="zh-CN"/>
        </w:rPr>
        <w:t>文件：</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11.2.2授权委托书或法定代表人（单位负责人、自然人本人）身份证明；</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11.2.3联合协议（如需）；</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11.2.4分包意向协议（如需）；</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11.2.5符合性审查资料；</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11.2.6评标标准相应的商务技术资料（如需）；</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11.2.7商务技术偏离表；</w:t>
      </w:r>
    </w:p>
    <w:p>
      <w:pPr>
        <w:snapToGrid w:val="0"/>
        <w:spacing w:line="24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政府采购供应商廉洁自律承诺书；</w:t>
      </w:r>
    </w:p>
    <w:p>
      <w:pPr>
        <w:snapToGrid w:val="0"/>
        <w:spacing w:line="240" w:lineRule="auto"/>
        <w:ind w:firstLine="482" w:firstLineChars="200"/>
        <w:rPr>
          <w:rFonts w:hint="eastAsia" w:ascii="宋体" w:hAnsi="宋体" w:eastAsia="宋体" w:cs="宋体"/>
          <w:b/>
          <w:bCs/>
          <w:sz w:val="24"/>
          <w:szCs w:val="24"/>
          <w:u w:val="single"/>
          <w:lang w:val="zh-CN"/>
        </w:rPr>
      </w:pPr>
      <w:r>
        <w:rPr>
          <w:rFonts w:hint="eastAsia" w:ascii="宋体" w:hAnsi="宋体" w:eastAsia="宋体" w:cs="宋体"/>
          <w:b/>
          <w:bCs/>
          <w:kern w:val="0"/>
          <w:sz w:val="24"/>
          <w:szCs w:val="24"/>
          <w:lang w:val="zh-CN"/>
        </w:rPr>
        <w:t>11.</w:t>
      </w:r>
      <w:r>
        <w:rPr>
          <w:rFonts w:hint="eastAsia" w:ascii="宋体" w:hAnsi="宋体" w:eastAsia="宋体" w:cs="宋体"/>
          <w:b/>
          <w:bCs/>
          <w:kern w:val="0"/>
          <w:sz w:val="24"/>
          <w:szCs w:val="24"/>
        </w:rPr>
        <w:t>3</w:t>
      </w:r>
      <w:r>
        <w:rPr>
          <w:rFonts w:hint="eastAsia" w:ascii="宋体" w:hAnsi="宋体" w:eastAsia="宋体" w:cs="宋体"/>
          <w:b/>
          <w:bCs/>
          <w:sz w:val="24"/>
          <w:szCs w:val="24"/>
        </w:rPr>
        <w:t xml:space="preserve">报价文件： </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11.3.1开标一览表（报价表）；</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11.3.2中小企业声明函（如需）。</w:t>
      </w:r>
    </w:p>
    <w:p>
      <w:pPr>
        <w:spacing w:line="24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11.4投标文件含有采购人不能接受的附加条件的，投标无效；投标人提供虚假材料投标的，投标无效。</w:t>
      </w:r>
    </w:p>
    <w:p>
      <w:pPr>
        <w:pStyle w:val="128"/>
        <w:snapToGrid w:val="0"/>
        <w:spacing w:before="0" w:line="240" w:lineRule="auto"/>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投标文件的编制</w:t>
      </w:r>
    </w:p>
    <w:p>
      <w:pPr>
        <w:spacing w:line="24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12.4投标人应充分考虑完成平台注册、申领CA证书等所需时间，如未在“政府采购云平台”系统内完成相关流程，而引起的投标或响应无效的责任自负。</w:t>
      </w:r>
    </w:p>
    <w:p>
      <w:pPr>
        <w:snapToGrid w:val="0"/>
        <w:spacing w:line="240" w:lineRule="auto"/>
        <w:rPr>
          <w:rFonts w:hint="eastAsia" w:ascii="宋体" w:hAnsi="宋体" w:eastAsia="宋体" w:cs="宋体"/>
          <w:b/>
          <w:sz w:val="24"/>
          <w:szCs w:val="24"/>
        </w:rPr>
      </w:pPr>
      <w:r>
        <w:rPr>
          <w:rFonts w:hint="eastAsia" w:ascii="宋体" w:hAnsi="宋体" w:eastAsia="宋体" w:cs="宋体"/>
          <w:b/>
          <w:sz w:val="24"/>
          <w:szCs w:val="24"/>
        </w:rPr>
        <w:t>13.投标文件的签署、盖章</w:t>
      </w:r>
    </w:p>
    <w:p>
      <w:pPr>
        <w:pStyle w:val="128"/>
        <w:snapToGrid w:val="0"/>
        <w:spacing w:before="0" w:line="240" w:lineRule="auto"/>
        <w:ind w:firstLine="480"/>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pPr>
        <w:pStyle w:val="128"/>
        <w:spacing w:before="0"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14. 投标文件的提交、补充、修改、撤回</w:t>
      </w:r>
    </w:p>
    <w:p>
      <w:pPr>
        <w:pStyle w:val="128"/>
        <w:spacing w:line="240" w:lineRule="auto"/>
        <w:ind w:firstLine="480"/>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line="240" w:lineRule="auto"/>
        <w:ind w:firstLine="480"/>
        <w:rPr>
          <w:rFonts w:hint="eastAsia" w:ascii="宋体" w:hAnsi="宋体" w:eastAsia="宋体" w:cs="宋体"/>
          <w:color w:val="FF0000"/>
          <w:sz w:val="24"/>
          <w:szCs w:val="24"/>
          <w:u w:val="single"/>
        </w:rPr>
      </w:pPr>
      <w:r>
        <w:rPr>
          <w:rFonts w:hint="eastAsia" w:ascii="宋体" w:hAnsi="宋体" w:eastAsia="宋体" w:cs="宋体"/>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24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4"/>
        <w:spacing w:line="24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15.1投标人在电子交易平台传输递交投标文件后，还可以在投标截止时间前向</w:t>
      </w:r>
      <w:r>
        <w:rPr>
          <w:rFonts w:hint="eastAsia" w:hAnsi="宋体" w:cs="宋体"/>
          <w:b/>
          <w:color w:val="auto"/>
          <w:sz w:val="24"/>
          <w:szCs w:val="24"/>
          <w:highlight w:val="none"/>
          <w:lang w:eastAsia="zh-CN"/>
        </w:rPr>
        <w:t>诸暨广和工程管理服务有限公司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286276670@qq.com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sz w:val="24"/>
          <w:szCs w:val="24"/>
        </w:rPr>
        <w:t>递交备份投标文件1份，</w:t>
      </w:r>
      <w:r>
        <w:rPr>
          <w:rFonts w:hint="eastAsia" w:ascii="宋体" w:hAnsi="宋体" w:eastAsia="宋体" w:cs="宋体"/>
          <w:b/>
          <w:sz w:val="24"/>
          <w:szCs w:val="24"/>
        </w:rPr>
        <w:t>但采购人、采购代理机构不强制或变相强制投标人提交备份投标文件。</w:t>
      </w:r>
    </w:p>
    <w:p>
      <w:pPr>
        <w:pStyle w:val="34"/>
        <w:spacing w:line="24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w:t>
      </w:r>
      <w:r>
        <w:rPr>
          <w:rFonts w:hint="eastAsia" w:ascii="宋体" w:hAnsi="宋体" w:eastAsia="宋体" w:cs="宋体"/>
          <w:b/>
          <w:sz w:val="24"/>
          <w:szCs w:val="24"/>
        </w:rPr>
        <w:t xml:space="preserve"> </w:t>
      </w:r>
    </w:p>
    <w:p>
      <w:pPr>
        <w:pStyle w:val="34"/>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15.3采购代理机构将拒绝接受逾期送达的备份投标文件。</w:t>
      </w:r>
    </w:p>
    <w:p>
      <w:pPr>
        <w:pStyle w:val="34"/>
        <w:spacing w:line="24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15.4投标人仅提交备份投标文件，没有在电子交易平台传输递交投标文件的，投标无效。</w:t>
      </w:r>
    </w:p>
    <w:p>
      <w:pPr>
        <w:pStyle w:val="34"/>
        <w:spacing w:line="24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15.5投标文件如有补充、修改，备份投标文件应同步调整并再次提交，采购代理机构以最新备份投标文件为准。</w:t>
      </w:r>
    </w:p>
    <w:p>
      <w:pPr>
        <w:pStyle w:val="128"/>
        <w:spacing w:before="0"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16.投标文件的无效处理</w:t>
      </w:r>
    </w:p>
    <w:p>
      <w:pPr>
        <w:pStyle w:val="26"/>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有招标文件第四部分第4.2项规定的情形之一的，投标无效。</w:t>
      </w:r>
    </w:p>
    <w:p>
      <w:pPr>
        <w:pStyle w:val="128"/>
        <w:spacing w:before="0"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17.投标有效期</w:t>
      </w:r>
    </w:p>
    <w:p>
      <w:pPr>
        <w:spacing w:line="24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17.1投标有效期为从提交投标文件的截止之日起90天。★</w:t>
      </w:r>
      <w:r>
        <w:rPr>
          <w:rFonts w:hint="eastAsia" w:ascii="宋体" w:hAnsi="宋体" w:eastAsia="宋体" w:cs="宋体"/>
          <w:b/>
          <w:sz w:val="24"/>
          <w:szCs w:val="24"/>
        </w:rPr>
        <w:t>投标人的投标文件中承诺的投标有效期少于招标文件中载明的投标有效期的，投标无效。</w:t>
      </w:r>
    </w:p>
    <w:p>
      <w:pPr>
        <w:pStyle w:val="128"/>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17.2投标文件合格投递后，自投标截止日期起，在投标有效期内有效。</w:t>
      </w:r>
    </w:p>
    <w:p>
      <w:pPr>
        <w:pStyle w:val="128"/>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line="240" w:lineRule="auto"/>
        <w:ind w:firstLine="1446" w:firstLineChars="600"/>
        <w:rPr>
          <w:rFonts w:hint="eastAsia" w:ascii="宋体" w:hAnsi="宋体" w:eastAsia="宋体" w:cs="宋体"/>
          <w:b/>
          <w:sz w:val="24"/>
          <w:szCs w:val="24"/>
        </w:rPr>
      </w:pPr>
      <w:r>
        <w:rPr>
          <w:rFonts w:hint="eastAsia" w:ascii="宋体" w:hAnsi="宋体" w:eastAsia="宋体" w:cs="宋体"/>
          <w:b/>
          <w:sz w:val="24"/>
          <w:szCs w:val="24"/>
        </w:rPr>
        <w:t>四、开标、资格审查与信用信息查询</w:t>
      </w:r>
    </w:p>
    <w:p>
      <w:pPr>
        <w:pStyle w:val="555"/>
        <w:spacing w:before="0" w:line="24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18.开标</w:t>
      </w:r>
      <w:r>
        <w:rPr>
          <w:rFonts w:hint="eastAsia" w:ascii="宋体" w:hAnsi="宋体" w:eastAsia="宋体" w:cs="宋体"/>
          <w:sz w:val="24"/>
          <w:szCs w:val="24"/>
        </w:rPr>
        <w:t xml:space="preserve"> </w:t>
      </w:r>
    </w:p>
    <w:p>
      <w:pPr>
        <w:pStyle w:val="555"/>
        <w:spacing w:before="0" w:line="24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18.1采购代理机构按照招标文件规定的时间通过电子交易平台组织开标，所有投标人均应当准时在线参加。投标人不足3家的，不得开标。</w:t>
      </w:r>
    </w:p>
    <w:p>
      <w:pPr>
        <w:pStyle w:val="555"/>
        <w:spacing w:before="0" w:line="240" w:lineRule="auto"/>
        <w:ind w:left="0" w:firstLine="240" w:firstLineChars="100"/>
        <w:contextualSpacing/>
        <w:rPr>
          <w:rFonts w:hint="eastAsia" w:ascii="宋体" w:hAnsi="宋体" w:eastAsia="宋体" w:cs="宋体"/>
          <w:sz w:val="24"/>
          <w:szCs w:val="24"/>
        </w:rPr>
      </w:pPr>
      <w:r>
        <w:rPr>
          <w:rFonts w:hint="eastAsia" w:ascii="宋体" w:hAnsi="宋体" w:eastAsia="宋体" w:cs="宋体"/>
          <w:sz w:val="24"/>
          <w:szCs w:val="24"/>
        </w:rPr>
        <w:t>　18.2开标时，电子交易平台按开标时间自动提取所有投标文件。采购代理机构依托电子交易平台发起开始解密指令，投标人按照平台提示在招标文件规定时间内完成在线解密。</w:t>
      </w:r>
    </w:p>
    <w:p>
      <w:pPr>
        <w:pStyle w:val="555"/>
        <w:spacing w:before="0" w:line="240" w:lineRule="auto"/>
        <w:ind w:left="0" w:firstLine="240" w:firstLineChars="100"/>
        <w:contextualSpacing/>
        <w:rPr>
          <w:rFonts w:hint="eastAsia" w:ascii="宋体" w:hAnsi="宋体" w:eastAsia="宋体" w:cs="宋体"/>
          <w:b/>
          <w:sz w:val="24"/>
          <w:szCs w:val="24"/>
        </w:rPr>
      </w:pPr>
      <w:r>
        <w:rPr>
          <w:rFonts w:hint="eastAsia" w:ascii="宋体" w:hAnsi="宋体" w:eastAsia="宋体" w:cs="宋体"/>
          <w:sz w:val="24"/>
          <w:szCs w:val="24"/>
        </w:rPr>
        <w:t>　18.3</w:t>
      </w:r>
      <w:r>
        <w:rPr>
          <w:rFonts w:hint="eastAsia" w:ascii="宋体" w:hAnsi="宋体" w:eastAsia="宋体" w:cs="宋体"/>
          <w:b/>
          <w:sz w:val="24"/>
          <w:szCs w:val="24"/>
        </w:rPr>
        <w:t>投标文件未按时解密，投标人提供了备份投标文件的，经投标人同意后以备份投标文件作为依据，否则视为投标文件撤回。投标文件已按时解密的，备份投标文件自动失效。</w:t>
      </w:r>
    </w:p>
    <w:p>
      <w:pPr>
        <w:pStyle w:val="555"/>
        <w:spacing w:before="0" w:line="24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pPr>
        <w:pStyle w:val="128"/>
        <w:spacing w:before="0"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19.1开标后，采购人或采购代理机构将依法对投标人的资格进行审查。</w:t>
      </w:r>
    </w:p>
    <w:p>
      <w:pPr>
        <w:snapToGrid w:val="0"/>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19.2</w:t>
      </w:r>
      <w:r>
        <w:rPr>
          <w:rFonts w:hint="eastAsia" w:ascii="宋体" w:hAnsi="宋体" w:eastAsia="宋体" w:cs="宋体"/>
          <w:sz w:val="24"/>
          <w:szCs w:val="24"/>
        </w:rPr>
        <w:t>采购人或采购代理机构依据法律法规和招标文件的规定，对投标人的基本资格条件、特定资格条件进行审查。</w:t>
      </w:r>
    </w:p>
    <w:p>
      <w:pPr>
        <w:pStyle w:val="128"/>
        <w:spacing w:before="0"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19.3投标人未按照招标文件要求提供与</w:t>
      </w:r>
      <w:r>
        <w:rPr>
          <w:rFonts w:hint="eastAsia" w:ascii="宋体" w:hAnsi="宋体" w:eastAsia="宋体" w:cs="宋体"/>
          <w:sz w:val="24"/>
          <w:szCs w:val="24"/>
        </w:rPr>
        <w:t>基本资格条件、特定资格条件相应的</w:t>
      </w:r>
      <w:r>
        <w:rPr>
          <w:rFonts w:hint="eastAsia" w:ascii="宋体" w:hAnsi="宋体" w:eastAsia="宋体" w:cs="宋体"/>
          <w:kern w:val="0"/>
          <w:sz w:val="24"/>
          <w:szCs w:val="24"/>
        </w:rPr>
        <w:t>有效资格证明材料的，视为投标人不具备招标文件中规定的资格要求，其投标无效。</w:t>
      </w:r>
    </w:p>
    <w:p>
      <w:pPr>
        <w:pStyle w:val="128"/>
        <w:spacing w:before="0"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19.4对未通过资格审查的投标人，采购人或采购代理机构告知其未通过的原因。</w:t>
      </w:r>
    </w:p>
    <w:p>
      <w:pPr>
        <w:pStyle w:val="128"/>
        <w:spacing w:before="0" w:line="240" w:lineRule="auto"/>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rPr>
        <w:t>5合格投标人不足3家的，不再评标。</w:t>
      </w:r>
    </w:p>
    <w:p>
      <w:pPr>
        <w:pStyle w:val="128"/>
        <w:spacing w:before="0"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pPr>
        <w:pStyle w:val="128"/>
        <w:spacing w:before="0" w:line="24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20.1信用信息查询渠道及截止时间：采购代理机构将通过“信用中国”网站(www.creditchina.gov.cn)、中国政府采购网(www.ccgp.gov.cn)渠道查询投标人投标截止时间当天的信用记录。</w:t>
      </w:r>
    </w:p>
    <w:p>
      <w:pPr>
        <w:pStyle w:val="128"/>
        <w:spacing w:before="0" w:line="24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20.2信用信息查询记录和证据留存的具体方式：现场查询的投标人的信用记录、查询结果经确认后将与采购文件一起存档。</w:t>
      </w:r>
    </w:p>
    <w:p>
      <w:pPr>
        <w:pStyle w:val="128"/>
        <w:spacing w:before="0" w:line="240" w:lineRule="auto"/>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20.3信用信息的使用规则：经查询列入失信被执行人名单、重大税收违法案件当事人名单、政府采购严重违法失信行为记录名单的投标人将被拒绝参与政府采购活动。</w:t>
      </w:r>
    </w:p>
    <w:p>
      <w:pPr>
        <w:pStyle w:val="128"/>
        <w:spacing w:before="0" w:line="240" w:lineRule="auto"/>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pPr>
        <w:snapToGrid w:val="0"/>
        <w:spacing w:line="24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五、评标</w:t>
      </w:r>
    </w:p>
    <w:p>
      <w:pPr>
        <w:spacing w:line="240" w:lineRule="auto"/>
        <w:rPr>
          <w:rFonts w:hint="eastAsia" w:ascii="宋体" w:hAnsi="宋体" w:eastAsia="宋体" w:cs="宋体"/>
          <w:b/>
          <w:sz w:val="24"/>
          <w:szCs w:val="24"/>
        </w:rPr>
      </w:pPr>
      <w:bookmarkStart w:id="13" w:name="_Toc91899903"/>
      <w:r>
        <w:rPr>
          <w:rFonts w:hint="eastAsia" w:ascii="宋体" w:hAnsi="宋体" w:eastAsia="宋体" w:cs="宋体"/>
          <w:b/>
          <w:sz w:val="24"/>
          <w:szCs w:val="24"/>
        </w:rPr>
        <w:t>21.</w:t>
      </w:r>
      <w:r>
        <w:rPr>
          <w:rFonts w:hint="eastAsia" w:ascii="宋体" w:hAnsi="宋体" w:eastAsia="宋体" w:cs="宋体"/>
          <w:sz w:val="24"/>
          <w:szCs w:val="24"/>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sz w:val="24"/>
          <w:szCs w:val="24"/>
        </w:rPr>
        <w:t>详见招标文件第四部分评标办法。</w:t>
      </w:r>
    </w:p>
    <w:p>
      <w:pPr>
        <w:snapToGrid w:val="0"/>
        <w:spacing w:line="24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六、定标</w:t>
      </w:r>
    </w:p>
    <w:p>
      <w:pPr>
        <w:pStyle w:val="26"/>
        <w:spacing w:line="24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确定中标供应商</w:t>
      </w:r>
    </w:p>
    <w:p>
      <w:pPr>
        <w:pStyle w:val="128"/>
        <w:snapToGrid w:val="0"/>
        <w:spacing w:before="0" w:line="240" w:lineRule="auto"/>
        <w:ind w:firstLine="480"/>
        <w:rPr>
          <w:rFonts w:hint="eastAsia" w:ascii="宋体" w:hAnsi="宋体" w:eastAsia="宋体" w:cs="宋体"/>
          <w:b/>
          <w:sz w:val="24"/>
          <w:szCs w:val="24"/>
        </w:rPr>
      </w:pPr>
      <w:r>
        <w:rPr>
          <w:rFonts w:hint="eastAsia" w:ascii="宋体" w:hAnsi="宋体" w:eastAsia="宋体" w:cs="宋体"/>
          <w:sz w:val="24"/>
          <w:szCs w:val="24"/>
        </w:rPr>
        <w:t>采购人将自收到评审报告之日起5个工作日内通过电子交易平台在评审报告推荐的中标候选人中确定中标供应商，并将结果确认书面提交给采购代理机构。</w:t>
      </w:r>
    </w:p>
    <w:p>
      <w:pPr>
        <w:pStyle w:val="128"/>
        <w:snapToGrid w:val="0"/>
        <w:spacing w:before="0"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23. 中标通知与中标结果公告</w:t>
      </w:r>
    </w:p>
    <w:p>
      <w:pPr>
        <w:widowControl/>
        <w:shd w:val="clear" w:color="auto" w:fill="FFFFFF"/>
        <w:spacing w:line="24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23.1自中标人确定之日起2个工作日内，采购代理机构通过电子交易平台向中标人发出中标通知书，同时编制发布采购结果公告。</w:t>
      </w:r>
    </w:p>
    <w:p>
      <w:pPr>
        <w:widowControl/>
        <w:shd w:val="clear" w:color="auto" w:fill="FFFFFF"/>
        <w:spacing w:line="240" w:lineRule="auto"/>
        <w:ind w:firstLine="480"/>
        <w:jc w:val="left"/>
        <w:rPr>
          <w:rFonts w:hint="eastAsia" w:ascii="宋体" w:hAnsi="宋体" w:eastAsia="宋体" w:cs="宋体"/>
          <w:sz w:val="24"/>
          <w:szCs w:val="24"/>
        </w:rPr>
      </w:pPr>
      <w:r>
        <w:rPr>
          <w:rFonts w:hint="eastAsia" w:ascii="宋体" w:hAnsi="宋体" w:eastAsia="宋体" w:cs="宋体"/>
          <w:sz w:val="24"/>
          <w:szCs w:val="24"/>
        </w:rPr>
        <w:t>23.2公告期限为1个工作日。</w:t>
      </w:r>
    </w:p>
    <w:p>
      <w:pPr>
        <w:snapToGrid w:val="0"/>
        <w:spacing w:line="240" w:lineRule="auto"/>
        <w:ind w:left="120" w:leftChars="57" w:firstLine="361" w:firstLineChars="150"/>
        <w:jc w:val="center"/>
        <w:rPr>
          <w:rFonts w:hint="eastAsia" w:ascii="宋体" w:hAnsi="宋体" w:eastAsia="宋体" w:cs="宋体"/>
          <w:b/>
          <w:sz w:val="24"/>
          <w:szCs w:val="24"/>
        </w:rPr>
      </w:pPr>
      <w:r>
        <w:rPr>
          <w:rFonts w:hint="eastAsia" w:ascii="宋体" w:hAnsi="宋体" w:eastAsia="宋体" w:cs="宋体"/>
          <w:b/>
          <w:sz w:val="24"/>
          <w:szCs w:val="24"/>
        </w:rPr>
        <w:t>七、合同授予</w:t>
      </w:r>
    </w:p>
    <w:p>
      <w:pPr>
        <w:pStyle w:val="26"/>
        <w:spacing w:line="24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pPr>
        <w:pStyle w:val="26"/>
        <w:spacing w:line="24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pPr>
        <w:widowControl/>
        <w:shd w:val="clear" w:color="auto" w:fill="FFFFFF"/>
        <w:spacing w:line="24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采购人与中标人应当在中标通知书发出之日起三十日内，按照招标文件确定的事项签订政府采购合同，并在合同签订之日起2个工作日内依法发布合同公告。</w:t>
      </w:r>
    </w:p>
    <w:p>
      <w:pPr>
        <w:pStyle w:val="128"/>
        <w:snapToGrid w:val="0"/>
        <w:spacing w:before="0" w:line="24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line="240" w:lineRule="auto"/>
        <w:ind w:firstLine="480"/>
        <w:rPr>
          <w:rFonts w:hint="eastAsia" w:ascii="宋体" w:hAnsi="宋体" w:eastAsia="宋体" w:cs="宋体"/>
          <w:kern w:val="0"/>
          <w:sz w:val="24"/>
          <w:szCs w:val="24"/>
        </w:rPr>
      </w:pPr>
      <w:r>
        <w:rPr>
          <w:rFonts w:hint="eastAsia" w:ascii="宋体" w:hAnsi="宋体" w:eastAsia="宋体" w:cs="宋体"/>
          <w:sz w:val="24"/>
          <w:szCs w:val="24"/>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25.4如签订合同并生效后，供应商无故拒绝或延期，除按照合同条款处理外，将上报政府采购监管部门予以处理。</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25.5中标供应商拒绝与采购人签订合同的，采购人应当重新开展政府采购活动。</w:t>
      </w:r>
    </w:p>
    <w:p>
      <w:pPr>
        <w:pStyle w:val="128"/>
        <w:snapToGrid w:val="0"/>
        <w:spacing w:before="0" w:after="120" w:line="240" w:lineRule="auto"/>
        <w:ind w:firstLine="480"/>
        <w:rPr>
          <w:rFonts w:hint="eastAsia" w:ascii="宋体" w:hAnsi="宋体" w:eastAsia="宋体" w:cs="宋体"/>
          <w:sz w:val="24"/>
          <w:szCs w:val="24"/>
        </w:rPr>
      </w:pPr>
      <w:r>
        <w:rPr>
          <w:rFonts w:hint="eastAsia" w:ascii="宋体" w:hAnsi="宋体" w:eastAsia="宋体" w:cs="宋体"/>
          <w:sz w:val="24"/>
          <w:szCs w:val="24"/>
        </w:rPr>
        <w:t>25.6采购合同由采购人与中标供应商根据招标文件、投标文件等内容签订并公告。</w:t>
      </w:r>
    </w:p>
    <w:p>
      <w:pPr>
        <w:pStyle w:val="26"/>
        <w:spacing w:line="24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pPr>
        <w:tabs>
          <w:tab w:val="left" w:pos="0"/>
        </w:tabs>
        <w:spacing w:line="240" w:lineRule="auto"/>
        <w:ind w:firstLine="482"/>
        <w:rPr>
          <w:rFonts w:hint="eastAsia" w:ascii="宋体" w:hAnsi="宋体" w:eastAsia="宋体" w:cs="宋体"/>
          <w:b/>
          <w:sz w:val="24"/>
          <w:szCs w:val="24"/>
        </w:rPr>
      </w:pPr>
      <w:r>
        <w:rPr>
          <w:rFonts w:hint="eastAsia" w:ascii="宋体" w:hAnsi="宋体" w:eastAsia="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。履约保证金的数额不得超过政府采购合同金额的1%。鼓励和支持供应商以银行、保险公司出具的保函形式提供履约保证金。</w:t>
      </w:r>
      <w:r>
        <w:rPr>
          <w:rFonts w:hint="eastAsia" w:ascii="宋体" w:hAnsi="宋体" w:eastAsia="宋体" w:cs="宋体"/>
          <w:b/>
          <w:sz w:val="24"/>
          <w:szCs w:val="24"/>
        </w:rPr>
        <w:t>采购人不得拒收履约保函。</w:t>
      </w:r>
    </w:p>
    <w:p>
      <w:pPr>
        <w:tabs>
          <w:tab w:val="left" w:pos="0"/>
        </w:tabs>
        <w:spacing w:line="240" w:lineRule="auto"/>
        <w:ind w:firstLine="482"/>
        <w:rPr>
          <w:rFonts w:hint="eastAsia" w:ascii="宋体" w:hAnsi="宋体" w:eastAsia="宋体" w:cs="宋体"/>
          <w:b/>
          <w:sz w:val="24"/>
          <w:szCs w:val="24"/>
        </w:rPr>
      </w:pPr>
      <w:r>
        <w:rPr>
          <w:rFonts w:hint="eastAsia" w:ascii="宋体" w:hAnsi="宋体" w:eastAsia="宋体" w:cs="宋体"/>
          <w:kern w:val="0"/>
          <w:sz w:val="24"/>
          <w:szCs w:val="24"/>
        </w:rPr>
        <w:t>供应商可登录政府采购云平台-【金融服务】—【我的项目】—【已备案合同】以保函形式提供。政府采购云平台金融专线400-903-9583。</w:t>
      </w:r>
    </w:p>
    <w:p>
      <w:pPr>
        <w:snapToGrid w:val="0"/>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八、电子交易活动的中止</w:t>
      </w:r>
    </w:p>
    <w:p>
      <w:pPr>
        <w:pStyle w:val="128"/>
        <w:snapToGrid w:val="0"/>
        <w:spacing w:before="0" w:line="240" w:lineRule="auto"/>
        <w:ind w:firstLine="0" w:firstLineChars="0"/>
        <w:rPr>
          <w:rFonts w:hint="eastAsia" w:ascii="宋体" w:hAnsi="宋体" w:eastAsia="宋体" w:cs="宋体"/>
          <w:sz w:val="24"/>
          <w:szCs w:val="24"/>
        </w:rPr>
      </w:pPr>
      <w:r>
        <w:rPr>
          <w:rFonts w:hint="eastAsia" w:ascii="宋体" w:hAnsi="宋体" w:eastAsia="宋体" w:cs="宋体"/>
          <w:b/>
          <w:bCs/>
          <w:sz w:val="24"/>
          <w:szCs w:val="24"/>
        </w:rPr>
        <w:t xml:space="preserve">27. </w:t>
      </w:r>
      <w:r>
        <w:rPr>
          <w:rFonts w:hint="eastAsia" w:ascii="宋体" w:hAnsi="宋体" w:eastAsia="宋体" w:cs="宋体"/>
          <w:b/>
          <w:sz w:val="24"/>
          <w:szCs w:val="24"/>
        </w:rPr>
        <w:t>电子交易活动的中止。</w:t>
      </w:r>
      <w:r>
        <w:rPr>
          <w:rFonts w:hint="eastAsia" w:ascii="宋体" w:hAnsi="宋体" w:eastAsia="宋体" w:cs="宋体"/>
          <w:sz w:val="24"/>
          <w:szCs w:val="24"/>
        </w:rPr>
        <w:t>采购过程中出现以下情形，导致电子交易平台无法正常运行，或者无法保证电子交易的公平、公正和安全时，采购代理机构可中止电子交易活动：</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 xml:space="preserve">27.1电子交易平台发生故障而无法登录访问的； </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27.2电子交易平台应用或数据库出现错误，不能进行正常操作的；</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27.3电子交易平台发现严重安全漏洞，有潜在泄密危险的；</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 xml:space="preserve">27.4病毒发作导致不能进行正常操作的； </w:t>
      </w:r>
    </w:p>
    <w:p>
      <w:pPr>
        <w:pStyle w:val="128"/>
        <w:snapToGrid w:val="0"/>
        <w:spacing w:before="0" w:line="240" w:lineRule="auto"/>
        <w:ind w:firstLine="480"/>
        <w:rPr>
          <w:rFonts w:hint="eastAsia" w:ascii="宋体" w:hAnsi="宋体" w:eastAsia="宋体" w:cs="宋体"/>
          <w:sz w:val="24"/>
          <w:szCs w:val="24"/>
        </w:rPr>
      </w:pPr>
      <w:r>
        <w:rPr>
          <w:rFonts w:hint="eastAsia" w:ascii="宋体" w:hAnsi="宋体" w:eastAsia="宋体" w:cs="宋体"/>
          <w:sz w:val="24"/>
          <w:szCs w:val="24"/>
        </w:rPr>
        <w:t>27.5其他无法保证电子交易的公平、公正和安全的情况。</w:t>
      </w:r>
    </w:p>
    <w:p>
      <w:pPr>
        <w:pStyle w:val="128"/>
        <w:snapToGrid w:val="0"/>
        <w:spacing w:before="0" w:line="240" w:lineRule="auto"/>
        <w:ind w:firstLine="0" w:firstLineChars="0"/>
        <w:rPr>
          <w:rFonts w:hint="eastAsia" w:ascii="宋体" w:hAnsi="宋体" w:eastAsia="宋体" w:cs="宋体"/>
          <w:sz w:val="24"/>
          <w:szCs w:val="24"/>
        </w:rPr>
      </w:pPr>
      <w:r>
        <w:rPr>
          <w:rFonts w:hint="eastAsia" w:ascii="宋体" w:hAnsi="宋体" w:eastAsia="宋体" w:cs="宋体"/>
          <w:b/>
          <w:bCs/>
          <w:sz w:val="24"/>
          <w:szCs w:val="24"/>
        </w:rPr>
        <w:t>28.</w:t>
      </w:r>
      <w:r>
        <w:rPr>
          <w:rFonts w:hint="eastAsia" w:ascii="宋体" w:hAnsi="宋体" w:eastAsia="宋体" w:cs="宋体"/>
          <w:sz w:val="24"/>
          <w:szCs w:val="24"/>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240" w:lineRule="auto"/>
        <w:ind w:left="120" w:leftChars="57" w:firstLine="361" w:firstLineChars="150"/>
        <w:jc w:val="center"/>
        <w:rPr>
          <w:rFonts w:hint="eastAsia" w:ascii="宋体" w:hAnsi="宋体" w:eastAsia="宋体" w:cs="宋体"/>
          <w:b/>
          <w:sz w:val="24"/>
          <w:szCs w:val="24"/>
        </w:rPr>
      </w:pPr>
      <w:r>
        <w:rPr>
          <w:rFonts w:hint="eastAsia" w:ascii="宋体" w:hAnsi="宋体" w:eastAsia="宋体" w:cs="宋体"/>
          <w:b/>
          <w:sz w:val="24"/>
          <w:szCs w:val="24"/>
        </w:rPr>
        <w:t>九、验收</w:t>
      </w:r>
    </w:p>
    <w:p>
      <w:pPr>
        <w:pStyle w:val="26"/>
        <w:spacing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29.验收</w:t>
      </w:r>
    </w:p>
    <w:p>
      <w:pPr>
        <w:tabs>
          <w:tab w:val="left" w:pos="0"/>
        </w:tabs>
        <w:spacing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24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240" w:lineRule="auto"/>
        <w:ind w:firstLine="480"/>
        <w:rPr>
          <w:rFonts w:hint="eastAsia" w:ascii="宋体" w:hAnsi="宋体" w:eastAsia="宋体" w:cs="宋体"/>
          <w:sz w:val="24"/>
          <w:szCs w:val="24"/>
        </w:rPr>
      </w:pPr>
      <w:r>
        <w:rPr>
          <w:rFonts w:hint="eastAsia" w:ascii="宋体" w:hAnsi="宋体" w:eastAsia="宋体" w:cs="宋体"/>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240" w:lineRule="auto"/>
        <w:ind w:firstLine="480"/>
        <w:rPr>
          <w:rFonts w:hint="eastAsia" w:ascii="宋体" w:hAnsi="宋体" w:eastAsia="宋体" w:cs="宋体"/>
          <w:kern w:val="0"/>
          <w:sz w:val="24"/>
          <w:szCs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29768"/>
      <w:bookmarkEnd w:id="14"/>
      <w:bookmarkStart w:id="15" w:name="_Hlt75236290"/>
      <w:bookmarkEnd w:id="15"/>
      <w:bookmarkStart w:id="16" w:name="_Hlt75236011"/>
      <w:bookmarkEnd w:id="16"/>
      <w:bookmarkStart w:id="17" w:name="_Hlt74714665"/>
      <w:bookmarkEnd w:id="17"/>
      <w:bookmarkStart w:id="18" w:name="_Hlt68403820"/>
      <w:bookmarkEnd w:id="18"/>
      <w:bookmarkStart w:id="19" w:name="_Hlt68073093"/>
      <w:bookmarkEnd w:id="19"/>
      <w:bookmarkStart w:id="20" w:name="_Hlt68072998"/>
      <w:bookmarkEnd w:id="20"/>
      <w:bookmarkStart w:id="21" w:name="_Hlt75236101"/>
      <w:bookmarkEnd w:id="21"/>
      <w:bookmarkStart w:id="22" w:name="_Hlt68057669"/>
      <w:bookmarkEnd w:id="22"/>
      <w:bookmarkStart w:id="23" w:name="_Hlt74707468"/>
      <w:bookmarkEnd w:id="23"/>
      <w:bookmarkStart w:id="24" w:name="_Hlt74730295"/>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（一）设备参数</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产品要求中有参考品牌、型号的仅作为投标方案参考，但投标产品品牌、型号至少应与参考品牌、型号相当。除参考品牌、型号以外，欢迎其它能满足本项目技术需求且性能与参考品牌、型号相当的产品参加。</w:t>
      </w:r>
    </w:p>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标一</w:t>
      </w:r>
      <w:r>
        <w:rPr>
          <w:rFonts w:hint="eastAsia" w:ascii="宋体" w:hAnsi="宋体" w:eastAsia="宋体" w:cs="宋体"/>
          <w:b/>
          <w:bCs/>
          <w:sz w:val="24"/>
          <w:szCs w:val="24"/>
          <w:lang w:val="en-US" w:eastAsia="zh-CN"/>
        </w:rPr>
        <w:t>设备参数要求：</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医用低温箱</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453"/>
        <w:gridCol w:w="5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参数名称</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温度范围</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零下20℃~-30℃（每档1度，环境温度5℃~35℃）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有效容积</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504L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外箱尺寸（W×D×H）</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793×770×1806mm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内箱尺寸（W×D×H）</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649×614×1262mm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净重</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154Kg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额定输入功率</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312W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外部材料</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eastAsia="zh-CN"/>
              </w:rPr>
              <w:t>喷涂钢板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内部材料</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喷涂钢板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外门</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喷涂钢板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外门锁扣</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测定孔</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30mm,1处（背面）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压缩机</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全封闭型（输出400W)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制冷剂</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R404A（环保型）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安全装置</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高、低温报警，断电报警，温度控制传感器异常报警，压缩机传感器异常报警，压缩机温度异常报警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标准配置</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钥匙1套，网架6层6个，抽屉盒12个，除霜铲1个，尼龙夹子大小各1个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电源参数</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（V/Hz)：220/50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温控方式</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电脑板温控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温度显示</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LED数字式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脚轮</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止动底角</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外门锁扣</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锁扣个数</w:t>
            </w:r>
            <w:r>
              <w:rPr>
                <w:rFonts w:hint="eastAsia" w:ascii="宋体" w:hAnsi="宋体" w:eastAsia="宋体" w:cs="宋体"/>
                <w:sz w:val="24"/>
                <w:szCs w:val="24"/>
                <w:lang w:val="en-US" w:eastAsia="zh-CN"/>
              </w:rPr>
              <w:t>:</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搁板是否可调</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抽屉</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报警系统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远程报警接点</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温度报警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高低温报警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过滤网脏报警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断电报警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电池寿命报警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传感器故障报警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医疗器械注册证</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其他参数</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直冷系统，精确微电脑控制，箱内温度恒定控制在-20～-30℃范围内</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内置蓄电池，发生断电后，按BUZZER键，显示当前箱内温度5秒钟电源断开后，一旦恢复供电，设备会恢复至断电前设置</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三种报警方式( 声音蜂鸣报警、灯光闪烁报警、远程信号报警)</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三种报警模式( 高低温报警、断电报警、传感器故障报警)</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安全门锁设计，防止随意开启</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大屏幕数字温度显示，便于观察</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脚轮方便使用</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可追加普通挂锁，可保护箱内物品安全</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sz w:val="24"/>
          <w:szCs w:val="24"/>
          <w:lang w:val="en-US" w:eastAsia="zh-CN"/>
        </w:rPr>
        <w:t>2、全自动生化分析仪</w:t>
      </w:r>
      <w:r>
        <w:rPr>
          <w:rFonts w:hint="eastAsia" w:ascii="宋体" w:hAnsi="宋体" w:eastAsia="宋体" w:cs="宋体"/>
          <w:b/>
          <w:bCs/>
          <w:i w:val="0"/>
          <w:iCs w:val="0"/>
          <w:caps w:val="0"/>
          <w:color w:val="000000"/>
          <w:spacing w:val="0"/>
          <w:kern w:val="0"/>
          <w:sz w:val="24"/>
          <w:szCs w:val="24"/>
          <w:lang w:val="en-US" w:eastAsia="zh-CN" w:bidi="ar"/>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37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参数名称</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操作系统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全中文图形化界面，7英寸彩色高清触摸操作，方便工作人员操作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分析项目</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ALT、HGB，乳糜血识别，样品溶血四项联检，同时定量出四项结果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通道</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4通道，可同时检测4个样本（每个样本检测4项）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检测速度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循环检测，可任意添加样本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样本量</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全血30ul；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波长</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340nm—540nm；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分析方法</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速率法，比色法、比浊法；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检测样本类型</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末梢血、静脉血、血清、血浆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加样系统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高精度吸样探针，机械臂全自动加样，无需手工加样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液位感应</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精准数字液位探测，随时跟踪报警功能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恒温系统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反应区温控精度37℃ ± 0.1℃，实时温度显示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恒温系统从常温升高至37°C需要的时间</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转氨酶试剂保护</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标配制冷单元，转氨酶试剂在使用中始终在2-8°C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预装单人份试剂</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无需现场配备，无需预热即可使用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数据存储</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机器可保存10万个检测结果、随时查询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重量</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≤7kg. 方便携带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占用台面空间(长×宽)</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≤34cm×21cm。节省空间、方便台面放置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工作环境温度</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0-45℃</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抗颠簸设计</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仪器能很好的适应在流动采血车上正常使用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提手</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标配防滑提手，方便携带移动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电源</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AC 220v/50Hz；</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b/>
          <w:bCs/>
          <w:i w:val="0"/>
          <w:iCs w:val="0"/>
          <w:caps w:val="0"/>
          <w:color w:val="000000"/>
          <w:spacing w:val="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3、生物安全柜</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159"/>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参数名称</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气流模式</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30%外排，70%循环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外部尺寸≥（L×D×H） 1383mm×775mm×2295mm；内部尺寸≥（L×D×H） 1210mm×600mm×660mm；台面距离地面高度：750mm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平均下降风速：0.33±0.025m/s； 平均吸入口风速0.53±0.025m/s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系统排风总量</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 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额定功率</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1800W（包含操作区插座负载500W）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噪音等级</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≤65dB（A）；照明：≥1000lx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过滤效率</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0.3μm颗粒过滤效率≥99.999%，0.12μm颗粒过滤效率≥99.9995%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安全性</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（1）人员安全性：用碘化钾（KI）法测试，前窗操作口的保护因子应不小于1×105 ；（2）产品安全性：菌落数≤5CFU/次；（3）交叉污染安全性：菌落数≤2CFU/次；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外形设计</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柜体采用10°倾斜角设计，安全柜裸露工作区三侧壁板采用优质304#不锈钢一体化结构，内部可清洗部位采用8mm大圆角处理，不留死角；工作区采用四面（左右二侧、后部、底部）负压环绕设计；工作台面材质为优质304#不锈钢，盆状式设计，即使实验有废液溢出，也不会流入积液槽中，便于清理；配有搁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福马脚轮设计</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脚轮与支架一体化设计，安全柜既可通过脚轮安全移动，也可以通过调节脚轮支脚进行固定和调平；柜体和支架可分离，支架高度可订制修改；安全柜过滤器和风机的维修、更换，都可在安全柜的前侧进行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窗玻璃采用双层夹胶防爆安全玻璃；高亮度LCD显示屏,实时动态显示操作区的下降气流流速和流入气流流速，显示安全柜的整体运行时间，UV灯的运行时间，操作区的温度和湿度，送风和排风过滤器的阻力，显示过滤器的使用时间并由条码显示过滤器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电动控制前窗玻璃门，可同时采用脚踏控制、按键控制或遥控控制，玻璃门升降到安全操作高度时，自动停止升降；安全柜的所有按键操作，都可通过遥控控制实现；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具有预约定时功能，能自动设定安全柜定时开机、关机及紫外灯消毒时间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气密性检测</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安全柜内加压500Pa，保持30min后气压不低于450Pa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前窗气流隔断设计</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防止气流通过前窗侧壁及上侧进行泄露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风机</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当安全柜在正常运行而不调整电机的速度控制，经过滤器的风压下降50%时，风机的排气量下降不超过10%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报警系统</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玻璃门不在安全高度报警：玻璃门安全高度为200mm，当安全柜前侧高于或低于安全高度时，安全柜会声光报警；（2）过滤器压力超高报警：当过滤器的阻力变大，安全柜会声光报警；（3）过滤器失效更换报警：当过滤器寿命使用到期后，会有过滤器更换声光报警；（4）气流波动报警：当安全柜的气流波动超过标称值的20%时，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6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安全的连锁保护设计</w:t>
            </w:r>
          </w:p>
        </w:tc>
        <w:tc>
          <w:tcPr>
            <w:tcW w:w="5850" w:type="dxa"/>
            <w:noWrap w:val="0"/>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（1）安全柜风机与玻璃门互锁：当安全柜玻璃门落到最底部时，安全柜风机自动关闭；（2）紫外灯与安全柜玻璃门、风机及照明灯互锁：当玻璃落到底部且照明灯不开启时，紫外灯才能开启。</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4、立式灭菌器设备参数 </w:t>
      </w:r>
    </w:p>
    <w:tbl>
      <w:tblPr>
        <w:tblStyle w:val="62"/>
        <w:tblW w:w="851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2138"/>
        <w:gridCol w:w="5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序号</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参数名称</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r>
              <w:rPr>
                <w:rFonts w:hint="eastAsia" w:ascii="宋体" w:hAnsi="宋体" w:eastAsia="宋体" w:cs="宋体"/>
                <w:sz w:val="24"/>
                <w:szCs w:val="24"/>
                <w:lang w:eastAsia="zh-CN"/>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06Cr19Ni10不锈钢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★设计压力：</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0.34MPa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设计温度：</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8年（16000次灭菌循环）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主体保温：</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10mm粘胶纤维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★测试接口：</w:t>
            </w:r>
          </w:p>
        </w:tc>
        <w:tc>
          <w:tcPr>
            <w:tcW w:w="5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标准Rc1、G1/2A验证口，可特制其它尺寸测试接口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门数量：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门板：</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拉伸门板，06Cr19Ni10不锈钢材质，材料厚度≥2.5mm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★门结构：</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多点联动压合式结构，安全可靠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★开关门方式：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翻盖式自动门，一键式开关门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★安全联锁：</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压力安全联锁装置：通过省级技术监督部门鉴定，门只有关闭到位，电源才能接通加热产生蒸汽；内室有压力，门无法打开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★门密封方式：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自胀式密封胶圈，采用透明医用硅橡胶模压而成。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蒸汽产生方式：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主体内加热，直接产生饱和蒸汽，无需外接蒸汽源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量程：-0.1～0.5MPa  精度等级：1.6级以上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排汽阀开启温度：</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可根据用户要求对具体灭菌程序进行单独设定。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冷凝系统：</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内置蒸汽冷凝系统，灭菌结束后对内腔排出的水和蒸汽进行冷却处理，实现蒸汽无外排。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高低水位检测：</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灭菌室内配备高低水位检测装置，保证设备正常运行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集气瓶：</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设备外接集气瓶，收集蒸汽和冷凝水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操作方式：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面板感应式操作；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控制方式：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采用PLC控制,模块化设计的专用灭菌器控制器；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界面显示：</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液晶显示屏：</w:t>
            </w:r>
            <w:r>
              <w:rPr>
                <w:rStyle w:val="959"/>
                <w:rFonts w:hint="eastAsia" w:ascii="宋体" w:hAnsi="宋体" w:eastAsia="宋体" w:cs="宋体"/>
                <w:sz w:val="24"/>
                <w:szCs w:val="24"/>
                <w:lang w:val="en-US" w:eastAsia="zh-CN" w:bidi="ar"/>
              </w:rPr>
              <w:t>5.0</w:t>
            </w:r>
            <w:r>
              <w:rPr>
                <w:rFonts w:hint="eastAsia" w:ascii="宋体" w:hAnsi="宋体" w:eastAsia="宋体" w:cs="宋体"/>
                <w:i w:val="0"/>
                <w:iCs w:val="0"/>
                <w:color w:val="000000"/>
                <w:kern w:val="0"/>
                <w:sz w:val="24"/>
                <w:szCs w:val="24"/>
                <w:u w:val="none"/>
                <w:lang w:val="en-US" w:eastAsia="zh-CN" w:bidi="ar"/>
              </w:rPr>
              <w:t>英寸液晶屏显示，显示温度、压力、报警信息、支持多语言切换、支持无线通讯功能；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流程控制：</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对于非液体程序，置换、脉动、升温、灭菌、排汽全过程自动控制；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周期计数器</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六位数字显示，显示设备运行的周期次数；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★延时启动功能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具有延时启动功能，可按设定时间自动运行，预约时间设定范围0～99小时59分钟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★传感器故障自检及保护功能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设备自动检测传感器故障，并声光指示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报警显示</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出现故障时，LED数字显示报警代码，声光报警显示，蜂鸣报警30S，可随时被消除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★排汽模式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可设定排汽阀开启的温度和时间，具有快排、慢排、不排3种排汽方式，避免液体灭菌时液体的溢出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可根据需要设定保温功能，实现液体培养基灭菌、培养基灭菌-保温功能；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保温温度可设定范围40℃～100℃；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保温时间可设定范围0～160小时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固体琼脂熔解功能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可通过调整参数，实现琼脂熔解、琼脂熔解-保温功能；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熔解温度可设定范围60～100℃；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熔解时间可设定范围0～9999分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水位检测报警功能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灭菌器内水位未达到规定水位，低水位报警，自动切断加热电源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温度指示器</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A级精度温度传感器采集温度，显示精确度0.1℃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温控模式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单温度控制，可选配双温度控制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自校准功能</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拥有一套完善的后台自校准系统，实现压力、温度等系统参数的校准，在不拆分仪器的情况下，使用权限工具可进行现场调节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多级密码权限管理，只有输入正确密码，才能不同权限，进行参数修改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安全保护</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超温自动保护装置：超过设定温度，系统自动切断加热电源；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防干烧保护装置：水位过低时，系统自动切断加热电源；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超压自动泄放装置：超过安全阀开启压力，安全阀开启泄压；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过流保护装置：设备电流过载时，过流保护开关动作，系统自动切断电源；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程序名称：</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设有医用程序、实验室程序、自定义程序三大类，共108个程序可供选择和设定。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医用程序包括裸露器械、包装程序、橡胶程序，共3个程序；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实验室程序包括固体类、固体废弃物、培养基、液体、琼脂程序共5个；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自定义程序可储存100个不同参数的程序。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可实现对医疗器械、实验室器皿、培养基、非密闭液体或制剂、与血液或体液可能接触的材料的灭菌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right"/>
        </w:trPr>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参数范围</w:t>
            </w:r>
          </w:p>
        </w:tc>
        <w:tc>
          <w:tcPr>
            <w:tcW w:w="5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灭菌温度设定范围：105℃～138℃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溶解温度设定范围：60℃～100℃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灭菌时间可设范围：0～9999分钟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干燥时间可设范围：0～9999分钟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脉动次数可设范围：1～6次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排汽阀开启温度范围：</w:t>
            </w:r>
            <w:r>
              <w:rPr>
                <w:rStyle w:val="959"/>
                <w:rFonts w:hint="eastAsia" w:ascii="宋体" w:hAnsi="宋体" w:eastAsia="宋体" w:cs="宋体"/>
                <w:sz w:val="24"/>
                <w:szCs w:val="24"/>
                <w:lang w:val="en-US" w:eastAsia="zh-CN" w:bidi="ar"/>
              </w:rPr>
              <w:t>45</w:t>
            </w:r>
            <w:r>
              <w:rPr>
                <w:rFonts w:hint="eastAsia" w:ascii="宋体" w:hAnsi="宋体" w:eastAsia="宋体" w:cs="宋体"/>
                <w:i w:val="0"/>
                <w:iCs w:val="0"/>
                <w:color w:val="000000"/>
                <w:kern w:val="0"/>
                <w:sz w:val="24"/>
                <w:szCs w:val="24"/>
                <w:u w:val="none"/>
                <w:lang w:val="en-US" w:eastAsia="zh-CN" w:bidi="ar"/>
              </w:rPr>
              <w:t>℃～</w:t>
            </w:r>
            <w:r>
              <w:rPr>
                <w:rStyle w:val="959"/>
                <w:rFonts w:hint="eastAsia" w:ascii="宋体" w:hAnsi="宋体" w:eastAsia="宋体" w:cs="宋体"/>
                <w:sz w:val="24"/>
                <w:szCs w:val="24"/>
                <w:lang w:val="en-US" w:eastAsia="zh-CN" w:bidi="ar"/>
              </w:rPr>
              <w:t>134</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保温温度可设定范围：40℃～100℃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保温时间可设定范围：0～160小时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预约时间可设定范围：0～160小时</w:t>
            </w:r>
          </w:p>
        </w:tc>
      </w:tr>
    </w:tbl>
    <w:p>
      <w:pPr>
        <w:keepNext w:val="0"/>
        <w:keepLines w:val="0"/>
        <w:pageBreakBefore w:val="0"/>
        <w:kinsoku/>
        <w:wordWrap/>
        <w:overflowPunct/>
        <w:topLinePunct w:val="0"/>
        <w:autoSpaceDE/>
        <w:autoSpaceDN/>
        <w:bidi w:val="0"/>
        <w:adjustRightInd/>
        <w:snapToGrid/>
        <w:spacing w:line="240" w:lineRule="auto"/>
        <w:ind w:firstLine="482" w:firstLineChars="200"/>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标二</w:t>
      </w:r>
      <w:r>
        <w:rPr>
          <w:rFonts w:hint="eastAsia" w:ascii="宋体" w:hAnsi="宋体" w:eastAsia="宋体" w:cs="宋体"/>
          <w:b/>
          <w:bCs/>
          <w:sz w:val="24"/>
          <w:szCs w:val="24"/>
          <w:lang w:val="en-US" w:eastAsia="zh-CN"/>
        </w:rPr>
        <w:t>设备参数要求：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1、采血车专用冷冻离心机主要技术参数：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（1）微机变频控制系统，高清IPS电容触摸屏，液晶显示；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（2）采用大功率交流变频电机驱动，配置高精度测速系统；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（3）25组程序存储空间，9档加减速度控制，停机无回荡功能，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★（4）采用原装进口压缩机组，制冷加热双回路设计，精确控温，离心温度在2-6℃之间，和质控监测值差值在0.5℃以内（提供生产厂商授权及进口报关单）；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（5）运行中可随时更改参数，无需停机；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（6）采用弹簧悬挂式平衡系统，不平衡量可达15克；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（7）具有故障自动诊断系统，针对超速、超温、电子门盖等多重保护，确保仪器安全使用；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★（8）水平转子最高转速（max.speed)：5000r/min</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★（9）水平转子最大相对离心力(max.rcf)：3630×g</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（10）噪音（Noise）：≤50dB</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（11）升速时间：＜35s    降速时间：＜45s（制动模式）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（12）转速精度 Speed Accuracy：±10 r/min</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★（13）外形尺寸 Dimension（mm）：深≤450，宽≤350，高度≤430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★（14）容量配置：5mlx24支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★（15）容量配置：8mlx16支；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2、血液保存箱主要技术参数：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1.外部尺寸(W×D×H)： 800x832x1,810 mm (31.5"x32.8"x71.3")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2.内部尺寸(W×D×H)： 640x550x1,240 mm (25.2"x21.7"x48.8")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3.重量： 185kg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4.有效容积： 425L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5.耗电量(220V,50Hz)： 310W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6.存血量： 120袋 (450毫升)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7.外部材料： 彩色涂层钢板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8.内部材料：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9.隔热层： 硬质聚亚胺酯原位整体发泡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10.门： 三层吸热玻璃门，带自关闭装置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11.内门： 5</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12.门锁：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13.搁架： 4层漆包钢丝搁架，1块不锈钢板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14.脚轮： 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15.压缩机： 全封闭型 (160W)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16.制冷剂： HFC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17.制冷性能： 4℃±1℃ (室温35℃)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18.制冷方式： 强制空气循环制冷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19.除霜方式： 自动式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20.温度控制： 微电脑温控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21.温度报警： 视听双重警报 (高温6℃，低温2℃时)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22.断电报警： 视听双重警报 (9小时)，高效可充电式电池 (Ni-Cd)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23.门未关报警： 指示灯报警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24.远程报警接口： 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25.灯： 15W荧光灯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26.检测孔：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附件： 30天用记录纸，门锁钥匙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配置清单：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4层漆包钢丝搁架，1块不锈钢板，钥匙1套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售后服务及其他</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设备验</w:t>
      </w:r>
      <w:r>
        <w:rPr>
          <w:rFonts w:hint="eastAsia" w:ascii="宋体" w:hAnsi="宋体" w:eastAsia="宋体" w:cs="宋体"/>
          <w:sz w:val="24"/>
          <w:szCs w:val="24"/>
          <w:highlight w:val="none"/>
        </w:rPr>
        <w:t>收合格后整机保修三年，投标文件中必须提供原厂出具的保修承诺书。保修后免收维修费，保证零配件供应5年以上。</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维修响应时间2小时，24小时内到达用户现场进行维修。</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提供用户中文操作手册和维修手册。免费提供软件升级。</w:t>
      </w:r>
      <w:r>
        <w:rPr>
          <w:rFonts w:hint="eastAsia" w:ascii="宋体" w:hAnsi="宋体" w:eastAsia="宋体" w:cs="宋体"/>
          <w:sz w:val="24"/>
          <w:szCs w:val="24"/>
          <w:highlight w:val="none"/>
        </w:rPr>
        <w:tab/>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提供详细的配置清单及配件、消耗品的报价清单(投标文件中必须提供)。</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免费提供操作和维修培训，提供操作规程（电子版）。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 xml:space="preserve">安装及验收要求 </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到货期：合同签订后1个月内。</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安装地点：</w:t>
      </w:r>
      <w:r>
        <w:rPr>
          <w:rFonts w:hint="eastAsia" w:ascii="宋体" w:hAnsi="宋体" w:eastAsia="宋体" w:cs="宋体"/>
          <w:sz w:val="24"/>
          <w:szCs w:val="24"/>
          <w:highlight w:val="none"/>
          <w:lang w:eastAsia="zh-CN"/>
        </w:rPr>
        <w:t>业主指定地点</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安装完成时间：接用户通知后2个工作日内全部调试完成。 </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安装标准：符合国家有关安全技术规范和技术标准。 </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验收标准：应与产品原始样本技术数据及标书技术文件一致，符合国家有关技术规范和技术标准。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 xml:space="preserve"> 其他要求</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1、带“★”号项为实质性响应要求，如不满足将作无效投标处理。</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★2、投标文件中未作明确规定，但国家有明确规定需具有与投标产品相应的医疗器械注册证及登记表的，必须在投标文件中提供相应证表（复印件加盖投标人公章），未提供作无效投标处理。</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（1）公开对外宣传的带有技术参数的产品彩页（彩页中实质性响应的技术要求必须明确体现），为应标而临时打印的无效。</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（2）可在投标人官网查询产品技术参数（提供官网截图、网址等信息）。</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（3）投标产品省内用户联系方式（供评委联系核实产品技术参数）。</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（4）评委认可的其他有效证明材料。</w:t>
      </w: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★4、任何不低于最高限价的报价将被视为无效报价。</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付款方式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合同签订后支付合同金额的</w:t>
      </w:r>
      <w:r>
        <w:rPr>
          <w:rFonts w:hint="eastAsia" w:ascii="宋体" w:hAnsi="宋体" w:eastAsia="宋体" w:cs="宋体"/>
          <w:sz w:val="24"/>
          <w:szCs w:val="24"/>
          <w:lang w:val="en-US" w:eastAsia="zh-CN"/>
        </w:rPr>
        <w:t>40%作为预付款，</w:t>
      </w:r>
      <w:r>
        <w:rPr>
          <w:rFonts w:hint="eastAsia" w:ascii="宋体" w:hAnsi="宋体" w:eastAsia="宋体" w:cs="宋体"/>
          <w:sz w:val="24"/>
          <w:szCs w:val="24"/>
        </w:rPr>
        <w:t>设备供货、安装完成，验收合格后支付中标金额的</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采购人未按约定向中标人支付合同款项，应向中标人支付逾期利息，利率为合同签订时一年期货款市场报价利率。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Cs/>
          <w:sz w:val="24"/>
          <w:szCs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w:t>
      </w:r>
      <w:r>
        <w:rPr>
          <w:rFonts w:ascii="仿宋_GB2312" w:hAnsi="仿宋" w:eastAsia="仿宋_GB2312" w:cs="Arial"/>
          <w:b/>
          <w:kern w:val="0"/>
          <w:sz w:val="24"/>
        </w:rPr>
        <w:t>最低评标价法</w:t>
      </w:r>
      <w:r>
        <w:rPr>
          <w:rFonts w:hint="eastAsia" w:ascii="仿宋_GB2312" w:hAnsi="仿宋" w:eastAsia="仿宋_GB2312" w:cs="Arial"/>
          <w:b/>
          <w:kern w:val="0"/>
          <w:sz w:val="24"/>
        </w:rPr>
        <w:t>。</w:t>
      </w:r>
      <w:r>
        <w:rPr>
          <w:rFonts w:ascii="仿宋_GB2312" w:hAnsi="仿宋" w:eastAsia="仿宋_GB2312" w:cs="Arial"/>
          <w:kern w:val="0"/>
          <w:sz w:val="24"/>
        </w:rPr>
        <w:t>是指投标文件满足招标文件全部实质性要求，且投标报价最低的投标人为中标候选人的评标方法。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 w:eastAsia="仿宋_GB2312" w:cs="Arial"/>
          <w:kern w:val="0"/>
          <w:sz w:val="24"/>
        </w:rPr>
        <w:t>满足招标文件全部实质性要求，且投标报价最低的投标人为中标候选人。</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28"/>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.1投标文件报价出现前后不一致的，按照下列规定修正：</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.1.1投标文件中开标一览表(报价表)内容与投标文件中相应内容不一致的，以开标一览表(报价表)为准;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w:t>
      </w:r>
      <w:r>
        <w:rPr>
          <w:rFonts w:hint="eastAsia" w:ascii="仿宋_GB2312" w:hAnsi="仿宋" w:eastAsia="仿宋_GB2312" w:cs="Arial"/>
          <w:kern w:val="0"/>
          <w:szCs w:val="24"/>
        </w:rPr>
        <w:t>2</w:t>
      </w:r>
      <w:r>
        <w:rPr>
          <w:rFonts w:ascii="仿宋_GB2312" w:hAnsi="仿宋" w:eastAsia="仿宋_GB2312" w:cs="Arial"/>
          <w:kern w:val="0"/>
          <w:szCs w:val="24"/>
        </w:rPr>
        <w:t>.1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投标报价超过招标文件中规定的预算金额或者最高限价的，投标无效。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3排序与推荐。</w:t>
      </w:r>
      <w:r>
        <w:rPr>
          <w:rFonts w:ascii="仿宋_GB2312" w:hAnsi="仿宋" w:eastAsia="仿宋_GB2312" w:cs="Arial"/>
          <w:kern w:val="0"/>
          <w:sz w:val="24"/>
        </w:rPr>
        <w:t>采用最低评标价法的，评标结果按投标报价由低到高顺序排列。</w:t>
      </w:r>
      <w:r>
        <w:rPr>
          <w:rFonts w:hint="eastAsia" w:ascii="仿宋_GB2312" w:hAnsi="仿宋" w:eastAsia="仿宋_GB2312" w:cs="Arial"/>
          <w:kern w:val="0"/>
          <w:sz w:val="24"/>
        </w:rPr>
        <w:t>本项目只推荐</w:t>
      </w:r>
      <w:r>
        <w:rPr>
          <w:rFonts w:ascii="仿宋_GB2312" w:hAnsi="仿宋" w:eastAsia="仿宋_GB2312" w:cs="Arial"/>
          <w:kern w:val="0"/>
          <w:sz w:val="24"/>
        </w:rPr>
        <w:t>投标文件满足招标文件全部实质性要求且投标报价最低的投标人为的中标候选人</w:t>
      </w:r>
      <w:r>
        <w:rPr>
          <w:rFonts w:hint="eastAsia" w:ascii="仿宋_GB2312" w:hAnsi="仿宋" w:eastAsia="仿宋_GB2312" w:cs="Arial"/>
          <w:kern w:val="0"/>
          <w:sz w:val="24"/>
        </w:rPr>
        <w:t>。</w:t>
      </w:r>
    </w:p>
    <w:p>
      <w:pPr>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4</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6"/>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699"/>
        <w:jc w:val="center"/>
        <w:rPr>
          <w:rFonts w:ascii="仿宋" w:hAnsi="仿宋" w:eastAsia="仿宋"/>
          <w:szCs w:val="24"/>
        </w:rPr>
      </w:pPr>
    </w:p>
    <w:p>
      <w:pPr>
        <w:pStyle w:val="26"/>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6"/>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6"/>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w:t>
      </w:r>
      <w:r>
        <w:rPr>
          <w:rFonts w:hint="eastAsia"/>
          <w:lang w:eastAsia="zh-CN"/>
        </w:rPr>
        <w:t>诸暨广和工程管理服务有限公司</w:t>
      </w:r>
      <w:r>
        <w:rPr>
          <w:rFonts w:hint="eastAsia"/>
        </w:rPr>
        <w:t>以招标文件（编号：诸</w:t>
      </w:r>
      <w:r>
        <w:rPr>
          <w:rFonts w:hint="eastAsia"/>
          <w:lang w:eastAsia="zh-CN"/>
        </w:rPr>
        <w:t>广和</w:t>
      </w:r>
      <w:r>
        <w:rPr>
          <w:rFonts w:hint="eastAsia"/>
        </w:rPr>
        <w:t>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6"/>
        <w:rPr>
          <w:lang w:val="en-US"/>
        </w:rPr>
      </w:pPr>
    </w:p>
    <w:p/>
    <w:p>
      <w:pPr>
        <w:pStyle w:val="6"/>
        <w:rPr>
          <w:lang w:val="en-US"/>
        </w:rPr>
      </w:pPr>
    </w:p>
    <w:p/>
    <w:p>
      <w:pPr>
        <w:pStyle w:val="6"/>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6"/>
        <w:rPr>
          <w:lang w:val="en-US"/>
        </w:rPr>
      </w:pPr>
    </w:p>
    <w:p/>
    <w:p>
      <w:pPr>
        <w:pStyle w:val="6"/>
        <w:rPr>
          <w:lang w:val="en-US"/>
        </w:rPr>
      </w:pPr>
    </w:p>
    <w:p/>
    <w:p>
      <w:pPr>
        <w:pStyle w:val="6"/>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
        <w:rPr>
          <w:lang w:val="en-US"/>
        </w:rPr>
      </w:pPr>
    </w:p>
    <w:p/>
    <w:p>
      <w:pPr>
        <w:pStyle w:val="6"/>
        <w:rPr>
          <w:lang w:val="en-US"/>
        </w:rPr>
      </w:pPr>
    </w:p>
    <w:p/>
    <w:p>
      <w:pPr>
        <w:pStyle w:val="6"/>
        <w:rPr>
          <w:lang w:val="en-US"/>
        </w:rPr>
      </w:pPr>
    </w:p>
    <w:p/>
    <w:p>
      <w:pPr>
        <w:pStyle w:val="6"/>
        <w:rPr>
          <w:lang w:val="en-US"/>
        </w:rPr>
      </w:pPr>
    </w:p>
    <w:p/>
    <w:p>
      <w:pPr>
        <w:pStyle w:val="6"/>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6"/>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6"/>
        <w:rPr>
          <w:rFonts w:cs="仿宋_GB2312"/>
          <w:kern w:val="0"/>
        </w:rPr>
      </w:pPr>
    </w:p>
    <w:p>
      <w:pPr>
        <w:rPr>
          <w:rFonts w:ascii="仿宋_GB2312" w:hAnsi="仿宋" w:eastAsia="仿宋_GB2312" w:cs="仿宋_GB2312"/>
          <w:b/>
          <w:kern w:val="0"/>
          <w:sz w:val="32"/>
          <w:szCs w:val="32"/>
        </w:rPr>
      </w:pPr>
    </w:p>
    <w:p>
      <w:pPr>
        <w:pStyle w:val="6"/>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4"/>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941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17"/>
        <w:gridCol w:w="1843"/>
        <w:gridCol w:w="1721"/>
        <w:gridCol w:w="863"/>
        <w:gridCol w:w="775"/>
        <w:gridCol w:w="73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right"/>
        </w:trPr>
        <w:tc>
          <w:tcPr>
            <w:tcW w:w="74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72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6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77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315"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right"/>
        </w:trPr>
        <w:tc>
          <w:tcPr>
            <w:tcW w:w="741"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721" w:type="dxa"/>
            <w:vAlign w:val="center"/>
          </w:tcPr>
          <w:p>
            <w:pPr>
              <w:snapToGrid w:val="0"/>
              <w:spacing w:line="360" w:lineRule="auto"/>
              <w:jc w:val="center"/>
              <w:rPr>
                <w:rFonts w:ascii="仿宋_GB2312" w:hAnsi="仿宋" w:eastAsia="仿宋_GB2312" w:cs="仿宋_GB2312"/>
                <w:sz w:val="24"/>
              </w:rPr>
            </w:pPr>
          </w:p>
        </w:tc>
        <w:tc>
          <w:tcPr>
            <w:tcW w:w="863" w:type="dxa"/>
            <w:vAlign w:val="center"/>
          </w:tcPr>
          <w:p>
            <w:pPr>
              <w:snapToGrid w:val="0"/>
              <w:spacing w:line="360" w:lineRule="auto"/>
              <w:jc w:val="center"/>
              <w:rPr>
                <w:rFonts w:ascii="仿宋_GB2312" w:hAnsi="仿宋" w:eastAsia="仿宋_GB2312" w:cs="仿宋_GB2312"/>
                <w:sz w:val="24"/>
              </w:rPr>
            </w:pPr>
          </w:p>
        </w:tc>
        <w:tc>
          <w:tcPr>
            <w:tcW w:w="775" w:type="dxa"/>
            <w:vAlign w:val="center"/>
          </w:tcPr>
          <w:p>
            <w:pPr>
              <w:spacing w:line="360" w:lineRule="auto"/>
              <w:jc w:val="center"/>
              <w:rPr>
                <w:rFonts w:ascii="仿宋_GB2312" w:hAnsi="仿宋" w:eastAsia="仿宋_GB2312" w:cs="仿宋_GB2312"/>
                <w:sz w:val="24"/>
              </w:rPr>
            </w:pPr>
          </w:p>
        </w:tc>
        <w:tc>
          <w:tcPr>
            <w:tcW w:w="737" w:type="dxa"/>
            <w:vAlign w:val="center"/>
          </w:tcPr>
          <w:p>
            <w:pPr>
              <w:spacing w:line="360" w:lineRule="auto"/>
              <w:jc w:val="center"/>
              <w:rPr>
                <w:rFonts w:ascii="仿宋_GB2312" w:hAnsi="仿宋" w:eastAsia="仿宋_GB2312" w:cs="仿宋_GB2312"/>
                <w:sz w:val="24"/>
              </w:rPr>
            </w:pPr>
          </w:p>
        </w:tc>
        <w:tc>
          <w:tcPr>
            <w:tcW w:w="13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741"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721" w:type="dxa"/>
            <w:vAlign w:val="center"/>
          </w:tcPr>
          <w:p>
            <w:pPr>
              <w:snapToGrid w:val="0"/>
              <w:spacing w:line="360" w:lineRule="auto"/>
              <w:jc w:val="center"/>
              <w:rPr>
                <w:rFonts w:ascii="仿宋_GB2312" w:hAnsi="仿宋" w:eastAsia="仿宋_GB2312" w:cs="仿宋_GB2312"/>
                <w:sz w:val="24"/>
              </w:rPr>
            </w:pPr>
          </w:p>
        </w:tc>
        <w:tc>
          <w:tcPr>
            <w:tcW w:w="863" w:type="dxa"/>
            <w:vAlign w:val="center"/>
          </w:tcPr>
          <w:p>
            <w:pPr>
              <w:snapToGrid w:val="0"/>
              <w:spacing w:line="360" w:lineRule="auto"/>
              <w:jc w:val="center"/>
              <w:rPr>
                <w:rFonts w:ascii="仿宋_GB2312" w:hAnsi="仿宋" w:eastAsia="仿宋_GB2312" w:cs="仿宋_GB2312"/>
                <w:sz w:val="24"/>
              </w:rPr>
            </w:pPr>
          </w:p>
        </w:tc>
        <w:tc>
          <w:tcPr>
            <w:tcW w:w="775" w:type="dxa"/>
            <w:vAlign w:val="center"/>
          </w:tcPr>
          <w:p>
            <w:pPr>
              <w:spacing w:line="360" w:lineRule="auto"/>
              <w:jc w:val="center"/>
              <w:rPr>
                <w:rFonts w:ascii="仿宋_GB2312" w:hAnsi="仿宋" w:eastAsia="仿宋_GB2312" w:cs="仿宋_GB2312"/>
                <w:sz w:val="24"/>
              </w:rPr>
            </w:pPr>
          </w:p>
        </w:tc>
        <w:tc>
          <w:tcPr>
            <w:tcW w:w="737" w:type="dxa"/>
            <w:vAlign w:val="center"/>
          </w:tcPr>
          <w:p>
            <w:pPr>
              <w:spacing w:line="360" w:lineRule="auto"/>
              <w:jc w:val="center"/>
              <w:rPr>
                <w:rFonts w:ascii="仿宋_GB2312" w:hAnsi="仿宋" w:eastAsia="仿宋_GB2312" w:cs="仿宋_GB2312"/>
                <w:sz w:val="24"/>
              </w:rPr>
            </w:pPr>
          </w:p>
        </w:tc>
        <w:tc>
          <w:tcPr>
            <w:tcW w:w="13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741"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721" w:type="dxa"/>
            <w:vAlign w:val="center"/>
          </w:tcPr>
          <w:p>
            <w:pPr>
              <w:snapToGrid w:val="0"/>
              <w:spacing w:line="360" w:lineRule="auto"/>
              <w:jc w:val="center"/>
              <w:rPr>
                <w:rFonts w:ascii="仿宋_GB2312" w:hAnsi="仿宋" w:eastAsia="仿宋_GB2312" w:cs="仿宋_GB2312"/>
                <w:sz w:val="24"/>
              </w:rPr>
            </w:pPr>
          </w:p>
        </w:tc>
        <w:tc>
          <w:tcPr>
            <w:tcW w:w="863" w:type="dxa"/>
            <w:vAlign w:val="center"/>
          </w:tcPr>
          <w:p>
            <w:pPr>
              <w:snapToGrid w:val="0"/>
              <w:spacing w:line="360" w:lineRule="auto"/>
              <w:jc w:val="center"/>
              <w:rPr>
                <w:rFonts w:ascii="仿宋_GB2312" w:hAnsi="仿宋" w:eastAsia="仿宋_GB2312" w:cs="仿宋_GB2312"/>
                <w:sz w:val="24"/>
              </w:rPr>
            </w:pPr>
          </w:p>
        </w:tc>
        <w:tc>
          <w:tcPr>
            <w:tcW w:w="775" w:type="dxa"/>
            <w:vAlign w:val="center"/>
          </w:tcPr>
          <w:p>
            <w:pPr>
              <w:spacing w:line="360" w:lineRule="auto"/>
              <w:jc w:val="center"/>
              <w:rPr>
                <w:rFonts w:ascii="仿宋_GB2312" w:hAnsi="仿宋" w:eastAsia="仿宋_GB2312" w:cs="仿宋_GB2312"/>
                <w:sz w:val="24"/>
              </w:rPr>
            </w:pPr>
          </w:p>
        </w:tc>
        <w:tc>
          <w:tcPr>
            <w:tcW w:w="737" w:type="dxa"/>
            <w:vAlign w:val="center"/>
          </w:tcPr>
          <w:p>
            <w:pPr>
              <w:spacing w:line="360" w:lineRule="auto"/>
              <w:jc w:val="center"/>
              <w:rPr>
                <w:rFonts w:ascii="仿宋_GB2312" w:hAnsi="仿宋" w:eastAsia="仿宋_GB2312" w:cs="仿宋_GB2312"/>
                <w:sz w:val="24"/>
              </w:rPr>
            </w:pPr>
          </w:p>
        </w:tc>
        <w:tc>
          <w:tcPr>
            <w:tcW w:w="13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741"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721" w:type="dxa"/>
            <w:vAlign w:val="center"/>
          </w:tcPr>
          <w:p>
            <w:pPr>
              <w:snapToGrid w:val="0"/>
              <w:spacing w:line="360" w:lineRule="auto"/>
              <w:jc w:val="center"/>
              <w:rPr>
                <w:rFonts w:ascii="仿宋_GB2312" w:hAnsi="仿宋" w:eastAsia="仿宋_GB2312" w:cs="仿宋_GB2312"/>
                <w:sz w:val="24"/>
              </w:rPr>
            </w:pPr>
          </w:p>
        </w:tc>
        <w:tc>
          <w:tcPr>
            <w:tcW w:w="863" w:type="dxa"/>
            <w:vAlign w:val="center"/>
          </w:tcPr>
          <w:p>
            <w:pPr>
              <w:snapToGrid w:val="0"/>
              <w:spacing w:line="360" w:lineRule="auto"/>
              <w:jc w:val="center"/>
              <w:rPr>
                <w:rFonts w:ascii="仿宋_GB2312" w:hAnsi="仿宋" w:eastAsia="仿宋_GB2312" w:cs="仿宋_GB2312"/>
                <w:sz w:val="24"/>
              </w:rPr>
            </w:pPr>
          </w:p>
        </w:tc>
        <w:tc>
          <w:tcPr>
            <w:tcW w:w="775" w:type="dxa"/>
            <w:vAlign w:val="center"/>
          </w:tcPr>
          <w:p>
            <w:pPr>
              <w:spacing w:line="360" w:lineRule="auto"/>
              <w:jc w:val="center"/>
              <w:rPr>
                <w:rFonts w:ascii="仿宋_GB2312" w:hAnsi="仿宋" w:eastAsia="仿宋_GB2312" w:cs="仿宋_GB2312"/>
                <w:sz w:val="24"/>
              </w:rPr>
            </w:pPr>
          </w:p>
        </w:tc>
        <w:tc>
          <w:tcPr>
            <w:tcW w:w="737" w:type="dxa"/>
            <w:vAlign w:val="center"/>
          </w:tcPr>
          <w:p>
            <w:pPr>
              <w:spacing w:line="360" w:lineRule="auto"/>
              <w:jc w:val="center"/>
              <w:rPr>
                <w:rFonts w:ascii="仿宋_GB2312" w:hAnsi="仿宋" w:eastAsia="仿宋_GB2312" w:cs="仿宋_GB2312"/>
                <w:sz w:val="24"/>
              </w:rPr>
            </w:pPr>
          </w:p>
        </w:tc>
        <w:tc>
          <w:tcPr>
            <w:tcW w:w="13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741"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721" w:type="dxa"/>
            <w:vAlign w:val="center"/>
          </w:tcPr>
          <w:p>
            <w:pPr>
              <w:snapToGrid w:val="0"/>
              <w:spacing w:line="360" w:lineRule="auto"/>
              <w:jc w:val="center"/>
              <w:rPr>
                <w:rFonts w:ascii="仿宋_GB2312" w:hAnsi="仿宋" w:eastAsia="仿宋_GB2312" w:cs="仿宋_GB2312"/>
                <w:sz w:val="24"/>
              </w:rPr>
            </w:pPr>
          </w:p>
        </w:tc>
        <w:tc>
          <w:tcPr>
            <w:tcW w:w="863" w:type="dxa"/>
            <w:vAlign w:val="center"/>
          </w:tcPr>
          <w:p>
            <w:pPr>
              <w:snapToGrid w:val="0"/>
              <w:spacing w:line="360" w:lineRule="auto"/>
              <w:jc w:val="center"/>
              <w:rPr>
                <w:rFonts w:ascii="仿宋_GB2312" w:hAnsi="仿宋" w:eastAsia="仿宋_GB2312" w:cs="仿宋_GB2312"/>
                <w:sz w:val="24"/>
              </w:rPr>
            </w:pPr>
          </w:p>
        </w:tc>
        <w:tc>
          <w:tcPr>
            <w:tcW w:w="775" w:type="dxa"/>
            <w:vAlign w:val="center"/>
          </w:tcPr>
          <w:p>
            <w:pPr>
              <w:spacing w:line="360" w:lineRule="auto"/>
              <w:jc w:val="center"/>
              <w:rPr>
                <w:rFonts w:ascii="仿宋_GB2312" w:hAnsi="仿宋" w:eastAsia="仿宋_GB2312" w:cs="仿宋_GB2312"/>
                <w:sz w:val="24"/>
              </w:rPr>
            </w:pPr>
          </w:p>
        </w:tc>
        <w:tc>
          <w:tcPr>
            <w:tcW w:w="737" w:type="dxa"/>
            <w:vAlign w:val="center"/>
          </w:tcPr>
          <w:p>
            <w:pPr>
              <w:spacing w:line="360" w:lineRule="auto"/>
              <w:jc w:val="center"/>
              <w:rPr>
                <w:rFonts w:ascii="仿宋_GB2312" w:hAnsi="仿宋" w:eastAsia="仿宋_GB2312" w:cs="仿宋_GB2312"/>
                <w:sz w:val="24"/>
              </w:rPr>
            </w:pPr>
          </w:p>
        </w:tc>
        <w:tc>
          <w:tcPr>
            <w:tcW w:w="13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right"/>
        </w:trPr>
        <w:tc>
          <w:tcPr>
            <w:tcW w:w="572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3690"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right"/>
        </w:trPr>
        <w:tc>
          <w:tcPr>
            <w:tcW w:w="572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3690"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jc w:val="righ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jc w:val="righ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6"/>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397" w:name="_Toc164085800"/>
    <w:bookmarkStart w:id="398" w:name="_Toc36110187"/>
    <w:bookmarkStart w:id="399" w:name="_Toc13184514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诸暨</w:t>
    </w:r>
    <w:r>
      <w:rPr>
        <w:rFonts w:hint="eastAsia"/>
        <w:lang w:eastAsia="zh-CN"/>
      </w:rPr>
      <w:t>广和工程管理服务有限公司</w:t>
    </w:r>
    <w:r>
      <w:t>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eastAsia="zh-CN"/>
      </w:rPr>
      <w:t>广和工程管理服务有限公司</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诸暨</w:t>
    </w:r>
    <w:r>
      <w:rPr>
        <w:rFonts w:hint="eastAsia"/>
        <w:lang w:eastAsia="zh-CN"/>
      </w:rPr>
      <w:t>广和工程管理服务有限公司</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诸暨</w:t>
    </w:r>
    <w:r>
      <w:rPr>
        <w:rFonts w:hint="eastAsia"/>
        <w:lang w:eastAsia="zh-CN"/>
      </w:rPr>
      <w:t>广和工程管理服务有限公司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465744"/>
    <w:multiLevelType w:val="singleLevel"/>
    <w:tmpl w:val="4E465744"/>
    <w:lvl w:ilvl="0" w:tentative="0">
      <w:start w:val="1"/>
      <w:numFmt w:val="chineseCounting"/>
      <w:suff w:val="nothing"/>
      <w:lvlText w:val="%1、"/>
      <w:lvlJc w:val="left"/>
      <w:rPr>
        <w:rFonts w:hint="eastAsia"/>
      </w:rPr>
    </w:lvl>
  </w:abstractNum>
  <w:abstractNum w:abstractNumId="3">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zYTU0OTY1MmEwMjQ1NjBkZmU3MzIwMDVmZTBkODg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BC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81"/>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01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C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0"/>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2F4"/>
    <w:rsid w:val="001A1475"/>
    <w:rsid w:val="001A1F0E"/>
    <w:rsid w:val="001A3335"/>
    <w:rsid w:val="001A473A"/>
    <w:rsid w:val="001A4ED9"/>
    <w:rsid w:val="001A53A7"/>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5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53"/>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35"/>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AE"/>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6D34"/>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1997"/>
    <w:rsid w:val="0034257E"/>
    <w:rsid w:val="003429A1"/>
    <w:rsid w:val="003429FC"/>
    <w:rsid w:val="00343079"/>
    <w:rsid w:val="00343127"/>
    <w:rsid w:val="00343320"/>
    <w:rsid w:val="00343A0E"/>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56"/>
    <w:rsid w:val="00351391"/>
    <w:rsid w:val="003519CD"/>
    <w:rsid w:val="00351A3A"/>
    <w:rsid w:val="003528B3"/>
    <w:rsid w:val="0035455F"/>
    <w:rsid w:val="003547F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9"/>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029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99B"/>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1C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C4"/>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2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2DBC"/>
    <w:rsid w:val="004434DF"/>
    <w:rsid w:val="0044354B"/>
    <w:rsid w:val="0044493E"/>
    <w:rsid w:val="00444A1F"/>
    <w:rsid w:val="00444FC6"/>
    <w:rsid w:val="00445874"/>
    <w:rsid w:val="00445C38"/>
    <w:rsid w:val="0044686B"/>
    <w:rsid w:val="004475F7"/>
    <w:rsid w:val="00447C09"/>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AAF"/>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C29"/>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1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1A0"/>
    <w:rsid w:val="00574DA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EA5"/>
    <w:rsid w:val="00592825"/>
    <w:rsid w:val="00592CC3"/>
    <w:rsid w:val="00594437"/>
    <w:rsid w:val="00594B70"/>
    <w:rsid w:val="00596CFA"/>
    <w:rsid w:val="00596E5B"/>
    <w:rsid w:val="00596EC6"/>
    <w:rsid w:val="005975CE"/>
    <w:rsid w:val="005A0088"/>
    <w:rsid w:val="005A04F6"/>
    <w:rsid w:val="005A14F0"/>
    <w:rsid w:val="005A1604"/>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15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45"/>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9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485"/>
    <w:rsid w:val="00616595"/>
    <w:rsid w:val="006166AD"/>
    <w:rsid w:val="006169D7"/>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1E"/>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00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9B"/>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20"/>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C4"/>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DEC"/>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710"/>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33"/>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95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BE4"/>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89"/>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79"/>
    <w:rsid w:val="008F1E3D"/>
    <w:rsid w:val="008F235C"/>
    <w:rsid w:val="008F290B"/>
    <w:rsid w:val="008F2F11"/>
    <w:rsid w:val="008F3369"/>
    <w:rsid w:val="008F33A6"/>
    <w:rsid w:val="008F35EC"/>
    <w:rsid w:val="008F3F52"/>
    <w:rsid w:val="008F4FE8"/>
    <w:rsid w:val="008F4FED"/>
    <w:rsid w:val="008F5D5A"/>
    <w:rsid w:val="008F6200"/>
    <w:rsid w:val="008F62F8"/>
    <w:rsid w:val="008F6893"/>
    <w:rsid w:val="008F7292"/>
    <w:rsid w:val="008F76C0"/>
    <w:rsid w:val="009000DC"/>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0BA"/>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A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D8"/>
    <w:rsid w:val="00982E75"/>
    <w:rsid w:val="00983213"/>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5B"/>
    <w:rsid w:val="009B4368"/>
    <w:rsid w:val="009B4D4C"/>
    <w:rsid w:val="009B66F5"/>
    <w:rsid w:val="009B7505"/>
    <w:rsid w:val="009C0020"/>
    <w:rsid w:val="009C03F7"/>
    <w:rsid w:val="009C10DA"/>
    <w:rsid w:val="009C136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5A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57"/>
    <w:rsid w:val="009F56C0"/>
    <w:rsid w:val="009F5C76"/>
    <w:rsid w:val="00A000C5"/>
    <w:rsid w:val="00A007B4"/>
    <w:rsid w:val="00A00930"/>
    <w:rsid w:val="00A00CA0"/>
    <w:rsid w:val="00A00E00"/>
    <w:rsid w:val="00A01221"/>
    <w:rsid w:val="00A012A8"/>
    <w:rsid w:val="00A012F1"/>
    <w:rsid w:val="00A016FF"/>
    <w:rsid w:val="00A01886"/>
    <w:rsid w:val="00A01902"/>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50"/>
    <w:rsid w:val="00A36CF6"/>
    <w:rsid w:val="00A37309"/>
    <w:rsid w:val="00A37329"/>
    <w:rsid w:val="00A37558"/>
    <w:rsid w:val="00A3786A"/>
    <w:rsid w:val="00A4008C"/>
    <w:rsid w:val="00A402A8"/>
    <w:rsid w:val="00A40685"/>
    <w:rsid w:val="00A40E2F"/>
    <w:rsid w:val="00A41819"/>
    <w:rsid w:val="00A41C9A"/>
    <w:rsid w:val="00A41D73"/>
    <w:rsid w:val="00A42406"/>
    <w:rsid w:val="00A43132"/>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573B9"/>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074"/>
    <w:rsid w:val="00AC6D24"/>
    <w:rsid w:val="00AC6E18"/>
    <w:rsid w:val="00AC7F64"/>
    <w:rsid w:val="00AD1065"/>
    <w:rsid w:val="00AD14C5"/>
    <w:rsid w:val="00AD159E"/>
    <w:rsid w:val="00AD211B"/>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808"/>
    <w:rsid w:val="00B00D91"/>
    <w:rsid w:val="00B00E84"/>
    <w:rsid w:val="00B01DC4"/>
    <w:rsid w:val="00B01DD9"/>
    <w:rsid w:val="00B01F0E"/>
    <w:rsid w:val="00B02AFD"/>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7F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7B5"/>
    <w:rsid w:val="00B87F1C"/>
    <w:rsid w:val="00B90D8D"/>
    <w:rsid w:val="00B91263"/>
    <w:rsid w:val="00B91B61"/>
    <w:rsid w:val="00B92DB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AC"/>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2F71"/>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60E"/>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B7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7C"/>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FF8"/>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C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1F6"/>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C6"/>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B9"/>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7A"/>
    <w:rsid w:val="00DB6F96"/>
    <w:rsid w:val="00DB71B9"/>
    <w:rsid w:val="00DB7662"/>
    <w:rsid w:val="00DB7E46"/>
    <w:rsid w:val="00DC1395"/>
    <w:rsid w:val="00DC32FC"/>
    <w:rsid w:val="00DC3D89"/>
    <w:rsid w:val="00DC4567"/>
    <w:rsid w:val="00DC4D6C"/>
    <w:rsid w:val="00DC4F47"/>
    <w:rsid w:val="00DC5059"/>
    <w:rsid w:val="00DC555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4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F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0F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67"/>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C96"/>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FF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BF"/>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3DE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BA635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BF673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C25700"/>
    <w:rsid w:val="21D56769"/>
    <w:rsid w:val="21E52EF3"/>
    <w:rsid w:val="21FB5D7B"/>
    <w:rsid w:val="220B1C3D"/>
    <w:rsid w:val="221D1D20"/>
    <w:rsid w:val="22334A87"/>
    <w:rsid w:val="227F208B"/>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23AF2"/>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1B2837"/>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D6EE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56EC5"/>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261E6"/>
    <w:rsid w:val="460E7DA5"/>
    <w:rsid w:val="46422483"/>
    <w:rsid w:val="4659254A"/>
    <w:rsid w:val="465B0637"/>
    <w:rsid w:val="465E3F0D"/>
    <w:rsid w:val="466A16E6"/>
    <w:rsid w:val="46893F2B"/>
    <w:rsid w:val="46C4686E"/>
    <w:rsid w:val="470E4A6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1A3DDE"/>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5D10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2"/>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513"/>
    <w:next w:val="2"/>
    <w:qFormat/>
    <w:uiPriority w:val="0"/>
    <w:pPr>
      <w:adjustRightInd/>
      <w:ind w:firstLine="200" w:firstLineChars="200"/>
    </w:pPr>
    <w:rPr>
      <w:rFonts w:ascii="Arial" w:hAnsi="Arial"/>
      <w:spacing w:val="-5"/>
      <w:kern w:val="0"/>
      <w:sz w:val="24"/>
      <w:szCs w:val="20"/>
    </w:rPr>
  </w:style>
  <w:style w:type="paragraph" w:customStyle="1" w:styleId="513">
    <w:name w:val="表格"/>
    <w:basedOn w:val="1"/>
    <w:qFormat/>
    <w:uiPriority w:val="0"/>
    <w:pPr>
      <w:snapToGrid w:val="0"/>
      <w:ind w:firstLine="42" w:firstLineChars="21"/>
    </w:pPr>
    <w:rPr>
      <w:rFonts w:ascii="宋体" w:hAnsi="宋体"/>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69"/>
    <w:semiHidden/>
    <w:unhideWhenUsed/>
    <w:uiPriority w:val="99"/>
    <w:rPr>
      <w:color w:val="605E5C"/>
      <w:shd w:val="clear" w:color="auto" w:fill="E1DFDD"/>
    </w:rPr>
  </w:style>
  <w:style w:type="paragraph" w:customStyle="1" w:styleId="962">
    <w:name w:val="列出段落6"/>
    <w:basedOn w:val="1"/>
    <w:uiPriority w:val="0"/>
    <w:pPr>
      <w:adjustRightInd/>
      <w:ind w:firstLine="420" w:firstLineChars="200"/>
    </w:pPr>
    <w:rPr>
      <w:rFonts w:ascii="Calibri" w:hAnsi="Calibri"/>
      <w:szCs w:val="22"/>
    </w:rPr>
  </w:style>
  <w:style w:type="paragraph" w:customStyle="1" w:styleId="963">
    <w:name w:val="列表段落2"/>
    <w:basedOn w:val="1"/>
    <w:qFormat/>
    <w:uiPriority w:val="34"/>
    <w:pPr>
      <w:autoSpaceDE w:val="0"/>
      <w:autoSpaceDN w:val="0"/>
      <w:ind w:firstLine="420"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2B8C-1D5B-4EFD-87A3-AF003CDFC38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30410</Words>
  <Characters>32570</Characters>
  <Lines>320</Lines>
  <Paragraphs>90</Paragraphs>
  <TotalTime>23</TotalTime>
  <ScaleCrop>false</ScaleCrop>
  <LinksUpToDate>false</LinksUpToDate>
  <CharactersWithSpaces>37710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玥</dc:creator>
  <cp:lastModifiedBy>章YF</cp:lastModifiedBy>
  <cp:lastPrinted>2022-07-22T07:03:00Z</cp:lastPrinted>
  <dcterms:modified xsi:type="dcterms:W3CDTF">2022-08-05T00:53:14Z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50DF15BD0292406483C2FFF7F02DDD5A</vt:lpwstr>
  </property>
</Properties>
</file>