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left="420" w:hanging="420"/>
        <w:jc w:val="center"/>
        <w:rPr>
          <w:rFonts w:ascii="宋体" w:hAnsi="宋体" w:cs="宋体"/>
          <w:b/>
          <w:color w:val="auto"/>
          <w:sz w:val="44"/>
          <w:szCs w:val="44"/>
        </w:rPr>
      </w:pPr>
    </w:p>
    <w:p>
      <w:pPr>
        <w:keepNext w:val="0"/>
        <w:keepLines w:val="0"/>
        <w:pageBreakBefore w:val="0"/>
        <w:widowControl w:val="0"/>
        <w:kinsoku/>
        <w:wordWrap/>
        <w:overflowPunct/>
        <w:topLinePunct w:val="0"/>
        <w:autoSpaceDE/>
        <w:autoSpaceDN/>
        <w:bidi w:val="0"/>
        <w:adjustRightInd w:val="0"/>
        <w:snapToGrid/>
        <w:ind w:left="420" w:hanging="420"/>
        <w:jc w:val="center"/>
        <w:textAlignment w:val="auto"/>
        <w:rPr>
          <w:rFonts w:hint="eastAsia" w:ascii="仿宋" w:hAnsi="仿宋" w:eastAsia="仿宋" w:cs="仿宋"/>
          <w:b/>
          <w:sz w:val="36"/>
          <w:szCs w:val="36"/>
          <w:lang w:eastAsia="zh-CN"/>
        </w:rPr>
      </w:pPr>
      <w:r>
        <w:rPr>
          <w:rFonts w:hint="eastAsia" w:ascii="仿宋" w:hAnsi="仿宋" w:eastAsia="仿宋" w:cs="仿宋"/>
          <w:b/>
          <w:sz w:val="36"/>
          <w:szCs w:val="36"/>
          <w:lang w:eastAsia="zh-CN"/>
        </w:rPr>
        <w:t>40个高层住宅建筑600台电梯安装“电瓶车管控系统”</w:t>
      </w:r>
    </w:p>
    <w:p>
      <w:pPr>
        <w:keepNext w:val="0"/>
        <w:keepLines w:val="0"/>
        <w:pageBreakBefore w:val="0"/>
        <w:widowControl w:val="0"/>
        <w:kinsoku/>
        <w:wordWrap/>
        <w:overflowPunct/>
        <w:topLinePunct w:val="0"/>
        <w:autoSpaceDE/>
        <w:autoSpaceDN/>
        <w:bidi w:val="0"/>
        <w:adjustRightInd w:val="0"/>
        <w:snapToGrid/>
        <w:ind w:left="420" w:hanging="420"/>
        <w:jc w:val="center"/>
        <w:textAlignment w:val="auto"/>
        <w:rPr>
          <w:rFonts w:hint="eastAsia" w:ascii="仿宋" w:hAnsi="仿宋" w:eastAsia="仿宋" w:cs="仿宋"/>
          <w:b/>
          <w:sz w:val="36"/>
          <w:szCs w:val="36"/>
          <w:lang w:eastAsia="zh-CN"/>
        </w:rPr>
      </w:pPr>
      <w:r>
        <w:rPr>
          <w:rFonts w:hint="eastAsia" w:ascii="仿宋" w:hAnsi="仿宋" w:eastAsia="仿宋" w:cs="仿宋"/>
          <w:b/>
          <w:sz w:val="36"/>
          <w:szCs w:val="36"/>
          <w:lang w:eastAsia="zh-CN"/>
        </w:rPr>
        <w:t>采购项目</w:t>
      </w:r>
    </w:p>
    <w:p>
      <w:pPr>
        <w:autoSpaceDE/>
        <w:autoSpaceDN/>
        <w:spacing w:before="312" w:beforeLines="100"/>
        <w:ind w:left="420" w:hanging="42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编号：诸广顺2022-0</w:t>
      </w:r>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lang w:eastAsia="zh-CN"/>
        </w:rPr>
        <w:t>-2</w:t>
      </w:r>
      <w:r>
        <w:rPr>
          <w:rFonts w:hint="eastAsia" w:ascii="仿宋" w:hAnsi="仿宋" w:eastAsia="仿宋" w:cs="仿宋"/>
          <w:b/>
          <w:color w:val="auto"/>
          <w:sz w:val="32"/>
          <w:szCs w:val="32"/>
          <w:lang w:val="en-US" w:eastAsia="zh-CN"/>
        </w:rPr>
        <w:t>8</w:t>
      </w:r>
      <w:r>
        <w:rPr>
          <w:rFonts w:hint="eastAsia" w:ascii="仿宋" w:hAnsi="仿宋" w:eastAsia="仿宋" w:cs="仿宋"/>
          <w:b/>
          <w:color w:val="auto"/>
          <w:sz w:val="32"/>
          <w:szCs w:val="32"/>
        </w:rPr>
        <w:t>）</w:t>
      </w:r>
    </w:p>
    <w:p>
      <w:pPr>
        <w:autoSpaceDE/>
        <w:autoSpaceDN/>
        <w:jc w:val="center"/>
        <w:rPr>
          <w:rFonts w:hint="eastAsia" w:ascii="仿宋" w:hAnsi="仿宋" w:eastAsia="仿宋" w:cs="仿宋"/>
          <w:color w:val="auto"/>
        </w:rPr>
      </w:pPr>
    </w:p>
    <w:p>
      <w:pPr>
        <w:autoSpaceDE/>
        <w:autoSpaceDN/>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招</w:t>
      </w:r>
    </w:p>
    <w:p>
      <w:pPr>
        <w:autoSpaceDE/>
        <w:autoSpaceDN/>
        <w:jc w:val="center"/>
        <w:rPr>
          <w:rFonts w:hint="eastAsia" w:ascii="仿宋" w:hAnsi="仿宋" w:eastAsia="仿宋" w:cs="仿宋"/>
          <w:b/>
          <w:bCs/>
          <w:color w:val="auto"/>
          <w:sz w:val="28"/>
          <w:szCs w:val="28"/>
        </w:rPr>
      </w:pPr>
    </w:p>
    <w:p>
      <w:pPr>
        <w:autoSpaceDE/>
        <w:autoSpaceDN/>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标</w:t>
      </w:r>
    </w:p>
    <w:p>
      <w:pPr>
        <w:autoSpaceDE/>
        <w:autoSpaceDN/>
        <w:jc w:val="center"/>
        <w:rPr>
          <w:rFonts w:hint="eastAsia" w:ascii="仿宋" w:hAnsi="仿宋" w:eastAsia="仿宋" w:cs="仿宋"/>
          <w:b/>
          <w:bCs/>
          <w:color w:val="auto"/>
          <w:sz w:val="28"/>
          <w:szCs w:val="28"/>
        </w:rPr>
      </w:pPr>
    </w:p>
    <w:p>
      <w:pPr>
        <w:autoSpaceDE/>
        <w:autoSpaceDN/>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文</w:t>
      </w:r>
    </w:p>
    <w:p>
      <w:pPr>
        <w:autoSpaceDE/>
        <w:autoSpaceDN/>
        <w:jc w:val="center"/>
        <w:rPr>
          <w:rFonts w:hint="eastAsia" w:ascii="仿宋" w:hAnsi="仿宋" w:eastAsia="仿宋" w:cs="仿宋"/>
          <w:b/>
          <w:bCs/>
          <w:color w:val="auto"/>
          <w:sz w:val="28"/>
          <w:szCs w:val="28"/>
        </w:rPr>
      </w:pPr>
    </w:p>
    <w:p>
      <w:pPr>
        <w:autoSpaceDE/>
        <w:autoSpaceDN/>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件</w:t>
      </w:r>
    </w:p>
    <w:p>
      <w:pPr>
        <w:pStyle w:val="15"/>
        <w:snapToGrid w:val="0"/>
        <w:spacing w:before="120" w:after="120" w:line="360" w:lineRule="auto"/>
        <w:rPr>
          <w:rFonts w:hint="eastAsia" w:ascii="仿宋" w:hAnsi="仿宋" w:eastAsia="仿宋" w:cs="仿宋"/>
          <w:b/>
          <w:bCs/>
          <w:w w:val="95"/>
          <w:kern w:val="0"/>
          <w:sz w:val="30"/>
          <w:szCs w:val="30"/>
        </w:rPr>
      </w:pPr>
    </w:p>
    <w:p>
      <w:pPr>
        <w:pStyle w:val="3"/>
        <w:rPr>
          <w:rFonts w:hint="eastAsia" w:ascii="仿宋" w:hAnsi="仿宋" w:eastAsia="仿宋" w:cs="仿宋"/>
        </w:rPr>
      </w:pPr>
    </w:p>
    <w:p>
      <w:pPr>
        <w:pStyle w:val="15"/>
        <w:keepNext w:val="0"/>
        <w:keepLines w:val="0"/>
        <w:pageBreakBefore w:val="0"/>
        <w:widowControl w:val="0"/>
        <w:kinsoku/>
        <w:wordWrap/>
        <w:overflowPunct/>
        <w:topLinePunct w:val="0"/>
        <w:autoSpaceDE/>
        <w:autoSpaceDN/>
        <w:bidi w:val="0"/>
        <w:adjustRightInd/>
        <w:snapToGrid w:val="0"/>
        <w:spacing w:before="120" w:after="120" w:line="360" w:lineRule="auto"/>
        <w:ind w:firstLine="1526" w:firstLineChars="500"/>
        <w:jc w:val="both"/>
        <w:textAlignment w:val="auto"/>
        <w:rPr>
          <w:rFonts w:hint="eastAsia" w:ascii="仿宋" w:hAnsi="仿宋" w:eastAsia="仿宋" w:cs="仿宋"/>
          <w:b/>
          <w:bCs/>
          <w:i w:val="0"/>
          <w:iCs w:val="0"/>
          <w:w w:val="95"/>
          <w:kern w:val="0"/>
          <w:sz w:val="32"/>
          <w:szCs w:val="32"/>
        </w:rPr>
      </w:pPr>
      <w:r>
        <w:rPr>
          <w:rFonts w:hint="eastAsia" w:ascii="仿宋" w:hAnsi="仿宋" w:eastAsia="仿宋" w:cs="仿宋"/>
          <w:b/>
          <w:bCs/>
          <w:i w:val="0"/>
          <w:iCs w:val="0"/>
          <w:w w:val="95"/>
          <w:kern w:val="0"/>
          <w:sz w:val="32"/>
          <w:szCs w:val="32"/>
        </w:rPr>
        <w:t>采  购 单 位：诸暨广电信息技术有限公司</w:t>
      </w:r>
    </w:p>
    <w:p>
      <w:pPr>
        <w:pStyle w:val="15"/>
        <w:keepNext w:val="0"/>
        <w:keepLines w:val="0"/>
        <w:pageBreakBefore w:val="0"/>
        <w:widowControl w:val="0"/>
        <w:kinsoku/>
        <w:wordWrap/>
        <w:overflowPunct/>
        <w:topLinePunct w:val="0"/>
        <w:autoSpaceDE/>
        <w:autoSpaceDN/>
        <w:bidi w:val="0"/>
        <w:adjustRightInd/>
        <w:snapToGrid w:val="0"/>
        <w:spacing w:before="120" w:after="120" w:line="360" w:lineRule="auto"/>
        <w:ind w:firstLine="1526" w:firstLineChars="500"/>
        <w:jc w:val="both"/>
        <w:textAlignment w:val="auto"/>
        <w:rPr>
          <w:rFonts w:hint="eastAsia" w:ascii="仿宋" w:hAnsi="仿宋" w:eastAsia="仿宋" w:cs="仿宋"/>
          <w:b/>
          <w:bCs/>
          <w:i w:val="0"/>
          <w:iCs w:val="0"/>
          <w:w w:val="95"/>
          <w:kern w:val="0"/>
          <w:sz w:val="32"/>
          <w:szCs w:val="32"/>
        </w:rPr>
      </w:pPr>
      <w:r>
        <w:rPr>
          <w:rFonts w:hint="eastAsia" w:ascii="仿宋" w:hAnsi="仿宋" w:eastAsia="仿宋" w:cs="仿宋"/>
          <w:b/>
          <w:bCs/>
          <w:i w:val="0"/>
          <w:iCs w:val="0"/>
          <w:w w:val="95"/>
          <w:kern w:val="0"/>
          <w:sz w:val="32"/>
          <w:szCs w:val="32"/>
        </w:rPr>
        <w:t>采购代理机构：诸暨市广顺工程管理服务有限公司</w:t>
      </w:r>
    </w:p>
    <w:p>
      <w:pPr>
        <w:jc w:val="center"/>
        <w:rPr>
          <w:rFonts w:hint="eastAsia" w:ascii="仿宋" w:hAnsi="仿宋" w:eastAsia="仿宋" w:cs="仿宋"/>
          <w:b/>
          <w:color w:val="auto"/>
          <w:sz w:val="44"/>
          <w:szCs w:val="44"/>
        </w:rPr>
      </w:pPr>
      <w:r>
        <w:rPr>
          <w:rFonts w:hint="eastAsia" w:ascii="仿宋" w:hAnsi="仿宋" w:eastAsia="仿宋" w:cs="仿宋"/>
          <w:b/>
          <w:bCs/>
          <w:color w:val="auto"/>
          <w:w w:val="95"/>
          <w:sz w:val="32"/>
          <w:szCs w:val="32"/>
        </w:rPr>
        <w:t>二〇二二年</w:t>
      </w:r>
      <w:r>
        <w:rPr>
          <w:rFonts w:hint="eastAsia" w:ascii="仿宋" w:hAnsi="仿宋" w:eastAsia="仿宋" w:cs="仿宋"/>
          <w:b/>
          <w:bCs/>
          <w:color w:val="auto"/>
          <w:w w:val="95"/>
          <w:sz w:val="32"/>
          <w:szCs w:val="32"/>
          <w:lang w:val="en-US" w:eastAsia="zh-CN"/>
        </w:rPr>
        <w:t>九</w:t>
      </w:r>
      <w:r>
        <w:rPr>
          <w:rFonts w:hint="eastAsia" w:ascii="仿宋" w:hAnsi="仿宋" w:eastAsia="仿宋" w:cs="仿宋"/>
          <w:b/>
          <w:bCs/>
          <w:color w:val="auto"/>
          <w:w w:val="95"/>
          <w:sz w:val="32"/>
          <w:szCs w:val="32"/>
        </w:rPr>
        <w:t>月</w:t>
      </w:r>
    </w:p>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br w:type="page"/>
      </w: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目录</w:t>
      </w:r>
    </w:p>
    <w:p>
      <w:pPr>
        <w:jc w:val="center"/>
        <w:rPr>
          <w:rFonts w:hint="eastAsia" w:ascii="仿宋" w:hAnsi="仿宋" w:eastAsia="仿宋" w:cs="仿宋"/>
          <w:b/>
          <w:color w:val="auto"/>
          <w:sz w:val="44"/>
          <w:szCs w:val="44"/>
        </w:rPr>
      </w:pPr>
    </w:p>
    <w:p>
      <w:pPr>
        <w:jc w:val="center"/>
        <w:rPr>
          <w:rFonts w:hint="eastAsia" w:ascii="仿宋" w:hAnsi="仿宋" w:eastAsia="仿宋" w:cs="仿宋"/>
          <w:color w:val="auto"/>
        </w:rPr>
      </w:pPr>
    </w:p>
    <w:p>
      <w:pPr>
        <w:snapToGrid w:val="0"/>
        <w:spacing w:line="48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第一章    招标公告</w:t>
      </w:r>
    </w:p>
    <w:p>
      <w:pPr>
        <w:snapToGrid w:val="0"/>
        <w:spacing w:line="48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投标须知</w:t>
      </w:r>
    </w:p>
    <w:p>
      <w:pPr>
        <w:snapToGrid w:val="0"/>
        <w:spacing w:line="48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第三章    评标办法及评分标准</w:t>
      </w:r>
    </w:p>
    <w:p>
      <w:pPr>
        <w:snapToGrid w:val="0"/>
        <w:spacing w:line="48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第四章    </w:t>
      </w:r>
      <w:r>
        <w:rPr>
          <w:rFonts w:hint="eastAsia" w:ascii="仿宋" w:hAnsi="仿宋" w:eastAsia="仿宋" w:cs="仿宋"/>
          <w:b/>
          <w:color w:val="auto"/>
          <w:sz w:val="36"/>
          <w:szCs w:val="36"/>
          <w:lang w:val="en-US" w:eastAsia="zh-CN"/>
        </w:rPr>
        <w:t>采购</w:t>
      </w:r>
      <w:r>
        <w:rPr>
          <w:rFonts w:hint="eastAsia" w:ascii="仿宋" w:hAnsi="仿宋" w:eastAsia="仿宋" w:cs="仿宋"/>
          <w:b/>
          <w:color w:val="auto"/>
          <w:sz w:val="36"/>
          <w:szCs w:val="36"/>
        </w:rPr>
        <w:t>需求</w:t>
      </w:r>
    </w:p>
    <w:p>
      <w:pPr>
        <w:snapToGrid w:val="0"/>
        <w:spacing w:line="48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第五章    诸暨市采购合同</w:t>
      </w:r>
    </w:p>
    <w:p>
      <w:pPr>
        <w:snapToGrid w:val="0"/>
        <w:spacing w:line="48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第六章    应提交的有关格式范例</w:t>
      </w:r>
    </w:p>
    <w:p>
      <w:pPr>
        <w:snapToGrid w:val="0"/>
        <w:spacing w:line="48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请各位投标人详细阅读招标文件各项条款</w:t>
      </w:r>
    </w:p>
    <w:p>
      <w:pPr>
        <w:snapToGrid w:val="0"/>
        <w:spacing w:line="480" w:lineRule="auto"/>
        <w:ind w:firstLine="1807" w:firstLineChars="500"/>
        <w:jc w:val="left"/>
        <w:rPr>
          <w:rFonts w:hint="eastAsia" w:ascii="仿宋" w:hAnsi="仿宋" w:eastAsia="仿宋" w:cs="仿宋"/>
          <w:b/>
          <w:color w:val="auto"/>
          <w:sz w:val="36"/>
          <w:szCs w:val="36"/>
        </w:rPr>
      </w:pPr>
    </w:p>
    <w:p>
      <w:pPr>
        <w:pStyle w:val="4"/>
        <w:spacing w:before="0" w:after="0" w:line="240" w:lineRule="auto"/>
        <w:jc w:val="center"/>
        <w:rPr>
          <w:rFonts w:hint="eastAsia" w:ascii="仿宋" w:hAnsi="仿宋" w:eastAsia="仿宋" w:cs="仿宋"/>
          <w:sz w:val="36"/>
          <w:szCs w:val="36"/>
        </w:rPr>
        <w:sectPr>
          <w:headerReference r:id="rId4" w:type="first"/>
          <w:footerReference r:id="rId6" w:type="first"/>
          <w:headerReference r:id="rId3" w:type="default"/>
          <w:footerReference r:id="rId5" w:type="even"/>
          <w:pgSz w:w="11906" w:h="16838"/>
          <w:pgMar w:top="1247" w:right="1134" w:bottom="1247" w:left="1134" w:header="851" w:footer="907" w:gutter="0"/>
          <w:pgBorders>
            <w:top w:val="none" w:sz="0" w:space="0"/>
            <w:left w:val="none" w:sz="0" w:space="0"/>
            <w:bottom w:val="none" w:sz="0" w:space="0"/>
            <w:right w:val="none" w:sz="0" w:space="0"/>
          </w:pgBorders>
          <w:pgNumType w:fmt="decimal" w:start="0"/>
          <w:cols w:space="720" w:num="1"/>
          <w:titlePg/>
          <w:docGrid w:type="lines" w:linePitch="312" w:charSpace="0"/>
        </w:sectPr>
      </w:pPr>
      <w:bookmarkStart w:id="0" w:name="_Toc125344501"/>
    </w:p>
    <w:p>
      <w:pPr>
        <w:pStyle w:val="4"/>
        <w:spacing w:before="0" w:after="0" w:line="240" w:lineRule="auto"/>
        <w:jc w:val="center"/>
        <w:rPr>
          <w:rFonts w:hint="eastAsia" w:ascii="仿宋" w:hAnsi="仿宋" w:eastAsia="仿宋" w:cs="仿宋"/>
          <w:sz w:val="36"/>
          <w:szCs w:val="36"/>
        </w:rPr>
      </w:pPr>
      <w:r>
        <w:rPr>
          <w:rFonts w:hint="eastAsia" w:ascii="仿宋" w:hAnsi="仿宋" w:eastAsia="仿宋" w:cs="仿宋"/>
          <w:sz w:val="36"/>
          <w:szCs w:val="36"/>
        </w:rPr>
        <w:t>第一章  招标公告</w:t>
      </w:r>
      <w:bookmarkEnd w:id="0"/>
    </w:p>
    <w:p>
      <w:pPr>
        <w:spacing w:line="240" w:lineRule="exact"/>
        <w:jc w:val="center"/>
        <w:rPr>
          <w:rFonts w:hint="eastAsia" w:ascii="仿宋" w:hAnsi="仿宋" w:eastAsia="仿宋" w:cs="仿宋"/>
          <w:color w:val="auto"/>
          <w:sz w:val="28"/>
          <w:szCs w:val="28"/>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9286" w:type="dxa"/>
          </w:tcPr>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auto"/>
              </w:rPr>
            </w:pPr>
            <w:r>
              <w:rPr>
                <w:rFonts w:hint="eastAsia" w:ascii="仿宋" w:hAnsi="仿宋" w:eastAsia="仿宋" w:cs="仿宋"/>
                <w:color w:val="auto"/>
                <w:shd w:val="clear" w:color="auto" w:fill="FFFFFF"/>
              </w:rPr>
              <w:t>项目概况</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rPr>
            </w:pPr>
            <w:r>
              <w:rPr>
                <w:rFonts w:hint="eastAsia" w:ascii="仿宋" w:hAnsi="仿宋" w:eastAsia="仿宋" w:cs="仿宋"/>
                <w:bCs/>
                <w:sz w:val="24"/>
                <w:u w:val="single"/>
                <w:lang w:eastAsia="zh-CN"/>
              </w:rPr>
              <w:t>40个高层住宅建筑600台电梯安装“电瓶车管控系统”采购项目</w:t>
            </w:r>
            <w:r>
              <w:rPr>
                <w:rFonts w:hint="eastAsia" w:ascii="仿宋" w:hAnsi="仿宋" w:eastAsia="仿宋" w:cs="仿宋"/>
                <w:color w:val="auto"/>
                <w:shd w:val="clear" w:color="auto" w:fill="FFFFFF"/>
              </w:rPr>
              <w:t>招标项目的潜在投标人应在</w:t>
            </w:r>
            <w:r>
              <w:rPr>
                <w:rFonts w:hint="eastAsia" w:ascii="仿宋" w:hAnsi="仿宋" w:eastAsia="仿宋" w:cs="仿宋"/>
                <w:color w:val="auto"/>
                <w:shd w:val="clear" w:color="auto" w:fill="FFFFFF"/>
                <w:lang w:val="en-US" w:eastAsia="zh-CN"/>
              </w:rPr>
              <w:t>浙江政府采购网</w:t>
            </w:r>
            <w:r>
              <w:rPr>
                <w:rFonts w:hint="eastAsia" w:ascii="仿宋" w:hAnsi="仿宋" w:eastAsia="仿宋" w:cs="仿宋"/>
                <w:color w:val="auto"/>
              </w:rPr>
              <w:t>（https://zfcg.czt.zj.gov.cn）</w:t>
            </w:r>
            <w:r>
              <w:rPr>
                <w:rFonts w:hint="eastAsia" w:ascii="仿宋" w:hAnsi="仿宋" w:eastAsia="仿宋" w:cs="仿宋"/>
                <w:color w:val="auto"/>
                <w:shd w:val="clear" w:color="auto" w:fill="FFFFFF"/>
              </w:rPr>
              <w:t>获取（下载）招标文件，并于</w:t>
            </w:r>
            <w:r>
              <w:rPr>
                <w:rFonts w:hint="eastAsia" w:ascii="仿宋" w:hAnsi="仿宋" w:eastAsia="仿宋" w:cs="仿宋"/>
                <w:color w:val="auto"/>
                <w:u w:val="single"/>
                <w:shd w:val="clear" w:color="auto" w:fill="FFFFFF"/>
                <w:lang w:eastAsia="zh-CN"/>
              </w:rPr>
              <w:t>2022年</w:t>
            </w:r>
            <w:r>
              <w:rPr>
                <w:rFonts w:hint="eastAsia" w:ascii="仿宋" w:hAnsi="仿宋" w:eastAsia="仿宋" w:cs="仿宋"/>
                <w:color w:val="auto"/>
                <w:u w:val="single"/>
                <w:shd w:val="clear" w:color="auto" w:fill="FFFFFF"/>
                <w:lang w:val="en-US" w:eastAsia="zh-CN"/>
              </w:rPr>
              <w:t>10</w:t>
            </w:r>
            <w:r>
              <w:rPr>
                <w:rFonts w:hint="eastAsia" w:ascii="仿宋" w:hAnsi="仿宋" w:eastAsia="仿宋" w:cs="仿宋"/>
                <w:color w:val="auto"/>
                <w:u w:val="single"/>
                <w:shd w:val="clear" w:color="auto" w:fill="FFFFFF"/>
                <w:lang w:eastAsia="zh-CN"/>
              </w:rPr>
              <w:t>月</w:t>
            </w:r>
            <w:r>
              <w:rPr>
                <w:rFonts w:hint="eastAsia" w:ascii="仿宋" w:hAnsi="仿宋" w:eastAsia="仿宋" w:cs="仿宋"/>
                <w:color w:val="auto"/>
                <w:u w:val="single"/>
                <w:shd w:val="clear" w:color="auto" w:fill="FFFFFF"/>
                <w:lang w:val="en-US" w:eastAsia="zh-CN"/>
              </w:rPr>
              <w:t>24</w:t>
            </w:r>
            <w:r>
              <w:rPr>
                <w:rFonts w:hint="eastAsia" w:ascii="仿宋" w:hAnsi="仿宋" w:eastAsia="仿宋" w:cs="仿宋"/>
                <w:color w:val="auto"/>
                <w:u w:val="single"/>
                <w:shd w:val="clear" w:color="auto" w:fill="FFFFFF"/>
                <w:lang w:eastAsia="zh-CN"/>
              </w:rPr>
              <w:t>日14:</w:t>
            </w:r>
            <w:r>
              <w:rPr>
                <w:rFonts w:hint="eastAsia" w:ascii="仿宋" w:hAnsi="仿宋" w:eastAsia="仿宋" w:cs="仿宋"/>
                <w:color w:val="auto"/>
                <w:u w:val="single"/>
                <w:shd w:val="clear" w:color="auto" w:fill="FFFFFF"/>
                <w:lang w:val="en-US" w:eastAsia="zh-CN"/>
              </w:rPr>
              <w:t>0</w:t>
            </w:r>
            <w:r>
              <w:rPr>
                <w:rFonts w:hint="eastAsia" w:ascii="仿宋" w:hAnsi="仿宋" w:eastAsia="仿宋" w:cs="仿宋"/>
                <w:color w:val="auto"/>
                <w:u w:val="single"/>
                <w:shd w:val="clear" w:color="auto" w:fill="FFFFFF"/>
                <w:lang w:eastAsia="zh-CN"/>
              </w:rPr>
              <w:t>0时</w:t>
            </w:r>
            <w:r>
              <w:rPr>
                <w:rFonts w:hint="eastAsia" w:ascii="仿宋" w:hAnsi="仿宋" w:eastAsia="仿宋" w:cs="仿宋"/>
                <w:color w:val="auto"/>
                <w:shd w:val="clear" w:color="auto" w:fill="FFFFFF"/>
              </w:rPr>
              <w:t>（北京时间）前递交（上传）投标文件。</w:t>
            </w:r>
          </w:p>
        </w:tc>
      </w:tr>
    </w:tbl>
    <w:p>
      <w:pPr>
        <w:pStyle w:val="15"/>
        <w:snapToGrid w:val="0"/>
        <w:spacing w:before="120" w:after="120"/>
        <w:rPr>
          <w:rFonts w:hint="eastAsia" w:ascii="仿宋" w:hAnsi="仿宋" w:eastAsia="仿宋" w:cs="仿宋"/>
          <w:color w:val="auto"/>
          <w:kern w:val="0"/>
        </w:rPr>
      </w:pPr>
    </w:p>
    <w:p>
      <w:pPr>
        <w:pStyle w:val="2"/>
        <w:spacing w:before="0" w:after="0" w:line="440" w:lineRule="exact"/>
        <w:ind w:firstLine="482" w:firstLineChars="200"/>
        <w:jc w:val="left"/>
        <w:rPr>
          <w:rFonts w:hint="eastAsia" w:ascii="仿宋" w:hAnsi="仿宋" w:eastAsia="仿宋" w:cs="仿宋"/>
          <w:bCs w:val="0"/>
          <w:color w:val="auto"/>
          <w:kern w:val="0"/>
          <w:sz w:val="24"/>
          <w:szCs w:val="24"/>
        </w:rPr>
      </w:pPr>
      <w:bookmarkStart w:id="1" w:name="_Toc35393790"/>
      <w:bookmarkStart w:id="2" w:name="_Toc28359079"/>
      <w:bookmarkStart w:id="3" w:name="_Toc35393621"/>
      <w:bookmarkStart w:id="4" w:name="_Toc28359002"/>
      <w:bookmarkStart w:id="5" w:name="_Hlk24379207"/>
      <w:r>
        <w:rPr>
          <w:rFonts w:hint="eastAsia" w:ascii="仿宋" w:hAnsi="仿宋" w:eastAsia="仿宋" w:cs="仿宋"/>
          <w:bCs w:val="0"/>
          <w:color w:val="auto"/>
          <w:kern w:val="0"/>
          <w:sz w:val="24"/>
          <w:szCs w:val="24"/>
        </w:rPr>
        <w:t>一、项目基本情况</w:t>
      </w:r>
      <w:bookmarkEnd w:id="1"/>
      <w:bookmarkEnd w:id="2"/>
      <w:bookmarkEnd w:id="3"/>
      <w:bookmarkEnd w:id="4"/>
    </w:p>
    <w:p>
      <w:pPr>
        <w:autoSpaceDE/>
        <w:autoSpaceDN/>
        <w:adjustRightInd/>
        <w:spacing w:line="44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rPr>
        <w:t>项</w:t>
      </w:r>
      <w:r>
        <w:rPr>
          <w:rFonts w:hint="eastAsia" w:ascii="仿宋" w:hAnsi="仿宋" w:eastAsia="仿宋" w:cs="仿宋"/>
          <w:color w:val="auto"/>
          <w:sz w:val="24"/>
          <w:szCs w:val="24"/>
        </w:rPr>
        <w:t>目</w:t>
      </w:r>
      <w:r>
        <w:rPr>
          <w:rFonts w:hint="eastAsia" w:ascii="仿宋" w:hAnsi="仿宋" w:eastAsia="仿宋" w:cs="仿宋"/>
          <w:color w:val="auto"/>
          <w:sz w:val="24"/>
          <w:szCs w:val="24"/>
          <w:lang w:eastAsia="zh-CN"/>
        </w:rPr>
        <w:t>编号：诸广顺2022-0</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28</w:t>
      </w:r>
    </w:p>
    <w:p>
      <w:pPr>
        <w:keepNext w:val="0"/>
        <w:keepLines w:val="0"/>
        <w:pageBreakBefore w:val="0"/>
        <w:widowControl w:val="0"/>
        <w:kinsoku/>
        <w:wordWrap/>
        <w:overflowPunct/>
        <w:topLinePunct w:val="0"/>
        <w:autoSpaceDE/>
        <w:bidi w:val="0"/>
        <w:adjustRightInd/>
        <w:snapToGrid/>
        <w:spacing w:line="360" w:lineRule="exact"/>
        <w:ind w:firstLine="480" w:firstLineChars="200"/>
        <w:jc w:val="left"/>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szCs w:val="24"/>
        </w:rPr>
        <w:t>：</w:t>
      </w:r>
      <w:bookmarkEnd w:id="5"/>
      <w:r>
        <w:rPr>
          <w:rFonts w:hint="eastAsia" w:ascii="仿宋" w:hAnsi="仿宋" w:eastAsia="仿宋" w:cs="仿宋"/>
          <w:bCs/>
          <w:sz w:val="24"/>
          <w:lang w:eastAsia="zh-CN"/>
        </w:rPr>
        <w:t>40个高层住宅建筑600台电梯安装“电瓶车管控系统”采购项目</w:t>
      </w:r>
    </w:p>
    <w:p>
      <w:pPr>
        <w:autoSpaceDE/>
        <w:autoSpaceDN/>
        <w:adjustRightInd/>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color w:val="auto"/>
          <w:sz w:val="24"/>
          <w:lang w:val="en-US" w:eastAsia="zh-CN"/>
        </w:rPr>
        <w:t>164.70</w:t>
      </w:r>
      <w:r>
        <w:rPr>
          <w:rFonts w:hint="eastAsia" w:ascii="仿宋" w:hAnsi="仿宋" w:eastAsia="仿宋" w:cs="仿宋"/>
          <w:color w:val="auto"/>
          <w:sz w:val="24"/>
        </w:rPr>
        <w:t>万元</w:t>
      </w:r>
    </w:p>
    <w:p>
      <w:pPr>
        <w:autoSpaceDE/>
        <w:autoSpaceDN/>
        <w:adjustRightInd/>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最高限价：</w:t>
      </w:r>
      <w:r>
        <w:rPr>
          <w:rFonts w:hint="eastAsia" w:ascii="仿宋" w:hAnsi="仿宋" w:eastAsia="仿宋" w:cs="仿宋"/>
          <w:color w:val="auto"/>
          <w:sz w:val="24"/>
          <w:lang w:val="en-US" w:eastAsia="zh-CN"/>
        </w:rPr>
        <w:t>164.70</w:t>
      </w:r>
      <w:r>
        <w:rPr>
          <w:rFonts w:hint="eastAsia" w:ascii="仿宋" w:hAnsi="仿宋" w:eastAsia="仿宋" w:cs="仿宋"/>
          <w:color w:val="auto"/>
          <w:sz w:val="24"/>
        </w:rPr>
        <w:t>万元</w:t>
      </w:r>
    </w:p>
    <w:p>
      <w:pPr>
        <w:spacing w:line="440" w:lineRule="exact"/>
        <w:ind w:firstLine="480" w:firstLineChars="200"/>
        <w:jc w:val="left"/>
        <w:outlineLvl w:val="0"/>
        <w:rPr>
          <w:rFonts w:hint="eastAsia" w:ascii="仿宋" w:hAnsi="仿宋" w:eastAsia="仿宋" w:cs="仿宋"/>
          <w:color w:val="auto"/>
          <w:kern w:val="2"/>
          <w:sz w:val="24"/>
        </w:rPr>
      </w:pPr>
      <w:r>
        <w:rPr>
          <w:rFonts w:hint="eastAsia" w:ascii="仿宋" w:hAnsi="仿宋" w:eastAsia="仿宋" w:cs="仿宋"/>
          <w:color w:val="auto"/>
          <w:sz w:val="24"/>
          <w:szCs w:val="24"/>
        </w:rPr>
        <w:t>采购需求：</w:t>
      </w:r>
      <w:r>
        <w:rPr>
          <w:rFonts w:hint="eastAsia" w:ascii="仿宋" w:hAnsi="仿宋" w:eastAsia="仿宋" w:cs="仿宋"/>
          <w:color w:val="auto"/>
          <w:sz w:val="24"/>
        </w:rPr>
        <w:t>详见招标文件</w:t>
      </w:r>
      <w:r>
        <w:rPr>
          <w:rFonts w:hint="eastAsia" w:ascii="仿宋" w:hAnsi="仿宋" w:eastAsia="仿宋" w:cs="仿宋"/>
          <w:color w:val="auto"/>
          <w:sz w:val="24"/>
          <w:lang w:val="en-US" w:eastAsia="zh-CN"/>
        </w:rPr>
        <w:t>第四章</w:t>
      </w:r>
      <w:r>
        <w:rPr>
          <w:rFonts w:hint="eastAsia" w:ascii="仿宋" w:hAnsi="仿宋" w:eastAsia="仿宋" w:cs="仿宋"/>
          <w:color w:val="auto"/>
          <w:sz w:val="24"/>
        </w:rPr>
        <w:t>。</w:t>
      </w:r>
    </w:p>
    <w:p>
      <w:pPr>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rPr>
        <w:t>本项目不接受联合体投标。</w:t>
      </w:r>
    </w:p>
    <w:p>
      <w:pPr>
        <w:autoSpaceDE/>
        <w:autoSpaceDN/>
        <w:adjustRightInd/>
        <w:spacing w:line="440" w:lineRule="exact"/>
        <w:ind w:firstLine="482" w:firstLineChars="200"/>
        <w:jc w:val="left"/>
        <w:rPr>
          <w:rFonts w:hint="eastAsia" w:ascii="仿宋" w:hAnsi="仿宋" w:eastAsia="仿宋" w:cs="仿宋"/>
          <w:b/>
          <w:color w:val="auto"/>
          <w:sz w:val="24"/>
          <w:szCs w:val="24"/>
        </w:rPr>
      </w:pPr>
      <w:bookmarkStart w:id="6" w:name="_Toc28359003"/>
      <w:bookmarkStart w:id="7" w:name="_Toc35393791"/>
      <w:bookmarkStart w:id="8" w:name="_Toc28359080"/>
      <w:bookmarkStart w:id="9" w:name="_Toc35393622"/>
      <w:r>
        <w:rPr>
          <w:rFonts w:hint="eastAsia" w:ascii="仿宋" w:hAnsi="仿宋" w:eastAsia="仿宋" w:cs="仿宋"/>
          <w:b/>
          <w:color w:val="auto"/>
          <w:sz w:val="24"/>
          <w:szCs w:val="24"/>
        </w:rPr>
        <w:t>二</w:t>
      </w:r>
      <w:bookmarkEnd w:id="6"/>
      <w:bookmarkEnd w:id="7"/>
      <w:bookmarkEnd w:id="8"/>
      <w:bookmarkEnd w:id="9"/>
      <w:r>
        <w:rPr>
          <w:rFonts w:hint="eastAsia" w:ascii="仿宋" w:hAnsi="仿宋" w:eastAsia="仿宋" w:cs="仿宋"/>
          <w:b/>
          <w:color w:val="auto"/>
          <w:sz w:val="24"/>
          <w:szCs w:val="24"/>
        </w:rPr>
        <w:t>、投标人（供应商）资格要求：</w:t>
      </w:r>
    </w:p>
    <w:p>
      <w:pPr>
        <w:autoSpaceDE/>
        <w:autoSpaceDN/>
        <w:spacing w:line="440" w:lineRule="exact"/>
        <w:ind w:firstLine="480" w:firstLineChars="200"/>
        <w:jc w:val="left"/>
        <w:rPr>
          <w:rFonts w:hint="eastAsia" w:ascii="仿宋" w:hAnsi="仿宋" w:eastAsia="仿宋" w:cs="仿宋"/>
          <w:color w:val="auto"/>
          <w:sz w:val="24"/>
          <w:szCs w:val="24"/>
        </w:rPr>
      </w:pPr>
      <w:bookmarkStart w:id="10" w:name="_Toc35393792"/>
      <w:bookmarkStart w:id="11" w:name="_Toc35393623"/>
      <w:r>
        <w:rPr>
          <w:rFonts w:hint="eastAsia" w:ascii="仿宋" w:hAnsi="仿宋" w:eastAsia="仿宋" w:cs="仿宋"/>
          <w:color w:val="auto"/>
          <w:sz w:val="24"/>
          <w:szCs w:val="24"/>
        </w:rPr>
        <w:t>1、符合《中华人民共和国政府采购法》第二十二条之供应商资格规定；</w:t>
      </w:r>
    </w:p>
    <w:p>
      <w:pPr>
        <w:autoSpaceDE/>
        <w:autoSpaceDN/>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2、具有本项目实施能力且信誉良好的独立法人；</w:t>
      </w:r>
    </w:p>
    <w:p>
      <w:pPr>
        <w:autoSpaceDE/>
        <w:autoSpaceDN/>
        <w:adjustRightInd/>
        <w:spacing w:line="44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rPr>
        <w:t>3、未被“信用中国”（www.creditchina.gov.cn）、中国政府采购网（www.ccgp.gov.cn）列入失信被执行人、重大税收违法案件当事人名单、政府采购严重违法失信行为记录名单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lang w:eastAsia="zh-CN"/>
        </w:rPr>
        <w:t>。</w:t>
      </w:r>
    </w:p>
    <w:p>
      <w:pPr>
        <w:pStyle w:val="2"/>
        <w:spacing w:before="0" w:after="0" w:line="440" w:lineRule="exact"/>
        <w:ind w:firstLine="482" w:firstLineChars="200"/>
        <w:jc w:val="left"/>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rPr>
        <w:t>三、获取招标文件</w:t>
      </w:r>
      <w:bookmarkEnd w:id="10"/>
      <w:bookmarkEnd w:id="11"/>
    </w:p>
    <w:p>
      <w:pPr>
        <w:pStyle w:val="21"/>
        <w:spacing w:before="0" w:beforeAutospacing="0" w:after="0" w:afterAutospacing="0" w:line="440" w:lineRule="exact"/>
        <w:ind w:firstLine="480" w:firstLineChars="200"/>
        <w:rPr>
          <w:rStyle w:val="28"/>
          <w:rFonts w:hint="eastAsia" w:ascii="仿宋" w:hAnsi="仿宋" w:eastAsia="仿宋" w:cs="仿宋"/>
          <w:b w:val="0"/>
          <w:color w:val="auto"/>
          <w:shd w:val="clear" w:color="auto" w:fill="FFFFFF"/>
        </w:rPr>
      </w:pPr>
      <w:r>
        <w:rPr>
          <w:rStyle w:val="28"/>
          <w:rFonts w:hint="eastAsia" w:ascii="仿宋" w:hAnsi="仿宋" w:eastAsia="仿宋" w:cs="仿宋"/>
          <w:b w:val="0"/>
          <w:color w:val="auto"/>
          <w:shd w:val="clear" w:color="auto" w:fill="FFFFFF"/>
        </w:rPr>
        <w:t>时间：</w:t>
      </w:r>
      <w:r>
        <w:rPr>
          <w:rStyle w:val="28"/>
          <w:rFonts w:hint="eastAsia" w:ascii="仿宋" w:hAnsi="仿宋" w:eastAsia="仿宋" w:cs="仿宋"/>
          <w:b w:val="0"/>
          <w:color w:val="auto"/>
          <w:shd w:val="clear" w:color="auto" w:fill="FFFFFF"/>
          <w:lang w:eastAsia="zh-CN"/>
        </w:rPr>
        <w:t>2022年</w:t>
      </w:r>
      <w:r>
        <w:rPr>
          <w:rStyle w:val="28"/>
          <w:rFonts w:hint="eastAsia" w:ascii="仿宋" w:hAnsi="仿宋" w:eastAsia="仿宋" w:cs="仿宋"/>
          <w:b w:val="0"/>
          <w:color w:val="auto"/>
          <w:shd w:val="clear" w:color="auto" w:fill="FFFFFF"/>
          <w:lang w:val="en-US" w:eastAsia="zh-CN"/>
        </w:rPr>
        <w:t>09</w:t>
      </w:r>
      <w:r>
        <w:rPr>
          <w:rStyle w:val="28"/>
          <w:rFonts w:hint="eastAsia" w:ascii="仿宋" w:hAnsi="仿宋" w:eastAsia="仿宋" w:cs="仿宋"/>
          <w:b w:val="0"/>
          <w:color w:val="auto"/>
          <w:shd w:val="clear" w:color="auto" w:fill="FFFFFF"/>
          <w:lang w:eastAsia="zh-CN"/>
        </w:rPr>
        <w:t>月</w:t>
      </w:r>
      <w:r>
        <w:rPr>
          <w:rStyle w:val="28"/>
          <w:rFonts w:hint="eastAsia" w:ascii="仿宋" w:hAnsi="仿宋" w:eastAsia="仿宋" w:cs="仿宋"/>
          <w:b w:val="0"/>
          <w:color w:val="auto"/>
          <w:shd w:val="clear" w:color="auto" w:fill="FFFFFF"/>
          <w:lang w:val="en-US" w:eastAsia="zh-CN"/>
        </w:rPr>
        <w:t>30</w:t>
      </w:r>
      <w:r>
        <w:rPr>
          <w:rStyle w:val="28"/>
          <w:rFonts w:hint="eastAsia" w:ascii="仿宋" w:hAnsi="仿宋" w:eastAsia="仿宋" w:cs="仿宋"/>
          <w:b w:val="0"/>
          <w:color w:val="auto"/>
          <w:shd w:val="clear" w:color="auto" w:fill="FFFFFF"/>
          <w:lang w:eastAsia="zh-CN"/>
        </w:rPr>
        <w:t>日</w:t>
      </w:r>
      <w:r>
        <w:rPr>
          <w:rStyle w:val="28"/>
          <w:rFonts w:hint="eastAsia" w:ascii="仿宋" w:hAnsi="仿宋" w:eastAsia="仿宋" w:cs="仿宋"/>
          <w:b w:val="0"/>
          <w:color w:val="auto"/>
          <w:shd w:val="clear" w:color="auto" w:fill="FFFFFF"/>
        </w:rPr>
        <w:t>至</w:t>
      </w:r>
      <w:r>
        <w:rPr>
          <w:rStyle w:val="28"/>
          <w:rFonts w:hint="eastAsia" w:ascii="仿宋" w:hAnsi="仿宋" w:eastAsia="仿宋" w:cs="仿宋"/>
          <w:b w:val="0"/>
          <w:color w:val="auto"/>
          <w:shd w:val="clear" w:color="auto" w:fill="FFFFFF"/>
          <w:lang w:eastAsia="zh-CN"/>
        </w:rPr>
        <w:t>2022年</w:t>
      </w:r>
      <w:r>
        <w:rPr>
          <w:rStyle w:val="28"/>
          <w:rFonts w:hint="eastAsia" w:ascii="仿宋" w:hAnsi="仿宋" w:eastAsia="仿宋" w:cs="仿宋"/>
          <w:b w:val="0"/>
          <w:color w:val="auto"/>
          <w:shd w:val="clear" w:color="auto" w:fill="FFFFFF"/>
          <w:lang w:val="en-US" w:eastAsia="zh-CN"/>
        </w:rPr>
        <w:t>10</w:t>
      </w:r>
      <w:r>
        <w:rPr>
          <w:rStyle w:val="28"/>
          <w:rFonts w:hint="eastAsia" w:ascii="仿宋" w:hAnsi="仿宋" w:eastAsia="仿宋" w:cs="仿宋"/>
          <w:b w:val="0"/>
          <w:color w:val="auto"/>
          <w:shd w:val="clear" w:color="auto" w:fill="FFFFFF"/>
          <w:lang w:eastAsia="zh-CN"/>
        </w:rPr>
        <w:t>月</w:t>
      </w:r>
      <w:r>
        <w:rPr>
          <w:rStyle w:val="28"/>
          <w:rFonts w:hint="eastAsia" w:ascii="仿宋" w:hAnsi="仿宋" w:eastAsia="仿宋" w:cs="仿宋"/>
          <w:b w:val="0"/>
          <w:color w:val="auto"/>
          <w:shd w:val="clear" w:color="auto" w:fill="FFFFFF"/>
          <w:lang w:val="en-US" w:eastAsia="zh-CN"/>
        </w:rPr>
        <w:t>24</w:t>
      </w:r>
      <w:r>
        <w:rPr>
          <w:rStyle w:val="28"/>
          <w:rFonts w:hint="eastAsia" w:ascii="仿宋" w:hAnsi="仿宋" w:eastAsia="仿宋" w:cs="仿宋"/>
          <w:b w:val="0"/>
          <w:color w:val="auto"/>
          <w:shd w:val="clear" w:color="auto" w:fill="FFFFFF"/>
          <w:lang w:eastAsia="zh-CN"/>
        </w:rPr>
        <w:t>日</w:t>
      </w:r>
      <w:r>
        <w:rPr>
          <w:rStyle w:val="28"/>
          <w:rFonts w:hint="eastAsia" w:ascii="仿宋" w:hAnsi="仿宋" w:eastAsia="仿宋" w:cs="仿宋"/>
          <w:b w:val="0"/>
          <w:color w:val="auto"/>
          <w:shd w:val="clear" w:color="auto" w:fill="FFFFFF"/>
        </w:rPr>
        <w:t>，每天上午00:00至12:00，下午12:00至24:00（北京时间）</w:t>
      </w:r>
    </w:p>
    <w:p>
      <w:pPr>
        <w:pStyle w:val="21"/>
        <w:spacing w:before="0" w:beforeAutospacing="0" w:after="0" w:afterAutospacing="0" w:line="440" w:lineRule="exact"/>
        <w:ind w:firstLine="480" w:firstLineChars="200"/>
        <w:rPr>
          <w:rStyle w:val="28"/>
          <w:rFonts w:hint="eastAsia" w:ascii="仿宋" w:hAnsi="仿宋" w:eastAsia="仿宋" w:cs="仿宋"/>
          <w:b w:val="0"/>
          <w:color w:val="auto"/>
          <w:shd w:val="clear" w:color="auto" w:fill="FFFFFF"/>
        </w:rPr>
      </w:pPr>
      <w:r>
        <w:rPr>
          <w:rStyle w:val="28"/>
          <w:rFonts w:hint="eastAsia" w:ascii="仿宋" w:hAnsi="仿宋" w:eastAsia="仿宋" w:cs="仿宋"/>
          <w:b w:val="0"/>
          <w:color w:val="auto"/>
          <w:shd w:val="clear" w:color="auto" w:fill="FFFFFF"/>
        </w:rPr>
        <w:t>地点：</w:t>
      </w:r>
      <w:r>
        <w:rPr>
          <w:rFonts w:hint="eastAsia" w:ascii="仿宋" w:hAnsi="仿宋" w:eastAsia="仿宋" w:cs="仿宋"/>
          <w:color w:val="auto"/>
          <w:shd w:val="clear" w:color="auto" w:fill="FFFFFF"/>
          <w:lang w:val="en-US" w:eastAsia="zh-CN"/>
        </w:rPr>
        <w:t>浙江政府采购网</w:t>
      </w:r>
      <w:r>
        <w:rPr>
          <w:rFonts w:hint="eastAsia" w:ascii="仿宋" w:hAnsi="仿宋" w:eastAsia="仿宋" w:cs="仿宋"/>
          <w:color w:val="auto"/>
        </w:rPr>
        <w:t>（https://zfcg.czt.zj.gov.cn）</w:t>
      </w:r>
    </w:p>
    <w:p>
      <w:pPr>
        <w:pStyle w:val="21"/>
        <w:spacing w:before="0" w:beforeAutospacing="0" w:after="0" w:afterAutospacing="0" w:line="440" w:lineRule="exact"/>
        <w:ind w:firstLine="480" w:firstLineChars="200"/>
        <w:rPr>
          <w:rStyle w:val="28"/>
          <w:rFonts w:hint="eastAsia" w:ascii="仿宋" w:hAnsi="仿宋" w:eastAsia="仿宋" w:cs="仿宋"/>
          <w:b w:val="0"/>
          <w:color w:val="auto"/>
          <w:shd w:val="clear" w:color="auto" w:fill="FFFFFF"/>
          <w:lang w:eastAsia="zh-CN"/>
        </w:rPr>
      </w:pPr>
      <w:r>
        <w:rPr>
          <w:rStyle w:val="28"/>
          <w:rFonts w:hint="eastAsia" w:ascii="仿宋" w:hAnsi="仿宋" w:eastAsia="仿宋" w:cs="仿宋"/>
          <w:b w:val="0"/>
          <w:bCs w:val="0"/>
          <w:color w:val="auto"/>
          <w:shd w:val="clear" w:color="auto" w:fill="FFFFFF"/>
        </w:rPr>
        <w:t>方式：供应商登录政采云平台https://www.zcygov.cn/在线申请获取采购文件（进入“项目采购”应用，在获取采购文件菜单中选择项</w:t>
      </w:r>
      <w:r>
        <w:rPr>
          <w:rStyle w:val="28"/>
          <w:rFonts w:hint="eastAsia" w:ascii="仿宋" w:hAnsi="仿宋" w:eastAsia="仿宋" w:cs="仿宋"/>
          <w:b w:val="0"/>
          <w:color w:val="auto"/>
          <w:shd w:val="clear" w:color="auto" w:fill="FFFFFF"/>
        </w:rPr>
        <w:t>目，申请获取采购文件）</w:t>
      </w:r>
      <w:r>
        <w:rPr>
          <w:rStyle w:val="28"/>
          <w:rFonts w:hint="eastAsia" w:ascii="仿宋" w:hAnsi="仿宋" w:eastAsia="仿宋" w:cs="仿宋"/>
          <w:b w:val="0"/>
          <w:color w:val="auto"/>
          <w:shd w:val="clear" w:color="auto" w:fill="FFFFFF"/>
          <w:lang w:eastAsia="zh-CN"/>
        </w:rPr>
        <w:t>。</w:t>
      </w:r>
    </w:p>
    <w:p>
      <w:pPr>
        <w:pStyle w:val="21"/>
        <w:spacing w:before="0" w:beforeAutospacing="0" w:after="0" w:afterAutospacing="0" w:line="440" w:lineRule="exact"/>
        <w:ind w:firstLine="480" w:firstLineChars="200"/>
        <w:rPr>
          <w:rStyle w:val="28"/>
          <w:rFonts w:hint="eastAsia" w:ascii="仿宋" w:hAnsi="仿宋" w:eastAsia="仿宋" w:cs="仿宋"/>
          <w:b w:val="0"/>
          <w:color w:val="auto"/>
          <w:shd w:val="clear" w:color="auto" w:fill="FFFFFF"/>
        </w:rPr>
      </w:pPr>
      <w:r>
        <w:rPr>
          <w:rStyle w:val="28"/>
          <w:rFonts w:hint="eastAsia" w:ascii="仿宋" w:hAnsi="仿宋" w:eastAsia="仿宋" w:cs="仿宋"/>
          <w:b w:val="0"/>
          <w:color w:val="auto"/>
          <w:shd w:val="clear" w:color="auto" w:fill="FFFFFF"/>
        </w:rPr>
        <w:t>售价：免费。</w:t>
      </w:r>
    </w:p>
    <w:p>
      <w:pPr>
        <w:pStyle w:val="2"/>
        <w:spacing w:before="0" w:after="0" w:line="440" w:lineRule="exact"/>
        <w:ind w:firstLine="482" w:firstLineChars="200"/>
        <w:jc w:val="left"/>
        <w:rPr>
          <w:rFonts w:hint="eastAsia" w:ascii="仿宋" w:hAnsi="仿宋" w:eastAsia="仿宋" w:cs="仿宋"/>
          <w:bCs w:val="0"/>
          <w:color w:val="auto"/>
          <w:kern w:val="0"/>
          <w:sz w:val="24"/>
          <w:szCs w:val="24"/>
        </w:rPr>
      </w:pPr>
      <w:bookmarkStart w:id="12" w:name="_Toc28359082"/>
      <w:bookmarkStart w:id="13" w:name="_Toc28359005"/>
      <w:bookmarkStart w:id="14" w:name="_Toc35393624"/>
      <w:bookmarkStart w:id="15" w:name="_Toc35393793"/>
      <w:r>
        <w:rPr>
          <w:rFonts w:hint="eastAsia" w:ascii="仿宋" w:hAnsi="仿宋" w:eastAsia="仿宋" w:cs="仿宋"/>
          <w:bCs w:val="0"/>
          <w:color w:val="auto"/>
          <w:kern w:val="0"/>
          <w:sz w:val="24"/>
          <w:szCs w:val="24"/>
        </w:rPr>
        <w:t>四、提交投标文件</w:t>
      </w:r>
      <w:bookmarkEnd w:id="12"/>
      <w:bookmarkEnd w:id="13"/>
      <w:r>
        <w:rPr>
          <w:rFonts w:hint="eastAsia" w:ascii="仿宋" w:hAnsi="仿宋" w:eastAsia="仿宋" w:cs="仿宋"/>
          <w:bCs w:val="0"/>
          <w:color w:val="auto"/>
          <w:kern w:val="0"/>
          <w:sz w:val="24"/>
          <w:szCs w:val="24"/>
        </w:rPr>
        <w:t>截止时间、开标时间和地点</w:t>
      </w:r>
      <w:bookmarkEnd w:id="14"/>
      <w:bookmarkEnd w:id="15"/>
    </w:p>
    <w:p>
      <w:pPr>
        <w:pStyle w:val="21"/>
        <w:spacing w:before="0" w:beforeAutospacing="0" w:after="0" w:afterAutospacing="0" w:line="440" w:lineRule="exact"/>
        <w:ind w:firstLine="480" w:firstLineChars="200"/>
        <w:rPr>
          <w:rStyle w:val="28"/>
          <w:rFonts w:hint="eastAsia" w:ascii="仿宋" w:hAnsi="仿宋" w:eastAsia="仿宋" w:cs="仿宋"/>
          <w:b w:val="0"/>
          <w:color w:val="auto"/>
          <w:shd w:val="clear" w:color="auto" w:fill="FFFFFF"/>
        </w:rPr>
      </w:pPr>
      <w:r>
        <w:rPr>
          <w:rStyle w:val="28"/>
          <w:rFonts w:hint="eastAsia" w:ascii="仿宋" w:hAnsi="仿宋" w:eastAsia="仿宋" w:cs="仿宋"/>
          <w:b w:val="0"/>
          <w:color w:val="auto"/>
          <w:shd w:val="clear" w:color="auto" w:fill="FFFFFF"/>
        </w:rPr>
        <w:t>提交投标文件截止时间：</w:t>
      </w:r>
      <w:r>
        <w:rPr>
          <w:rFonts w:hint="eastAsia" w:ascii="仿宋" w:hAnsi="仿宋" w:eastAsia="仿宋" w:cs="仿宋"/>
          <w:color w:val="auto"/>
          <w:u w:val="single"/>
          <w:shd w:val="clear" w:color="auto" w:fill="FFFFFF"/>
          <w:lang w:eastAsia="zh-CN"/>
        </w:rPr>
        <w:t>2022年</w:t>
      </w:r>
      <w:r>
        <w:rPr>
          <w:rStyle w:val="28"/>
          <w:rFonts w:hint="eastAsia" w:ascii="仿宋" w:hAnsi="仿宋" w:eastAsia="仿宋" w:cs="仿宋"/>
          <w:b w:val="0"/>
          <w:color w:val="auto"/>
          <w:u w:val="single"/>
          <w:shd w:val="clear" w:color="auto" w:fill="FFFFFF"/>
          <w:lang w:val="en-US" w:eastAsia="zh-CN"/>
        </w:rPr>
        <w:t>10</w:t>
      </w:r>
      <w:r>
        <w:rPr>
          <w:rStyle w:val="28"/>
          <w:rFonts w:hint="eastAsia" w:ascii="仿宋" w:hAnsi="仿宋" w:eastAsia="仿宋" w:cs="仿宋"/>
          <w:b w:val="0"/>
          <w:color w:val="auto"/>
          <w:u w:val="single"/>
          <w:shd w:val="clear" w:color="auto" w:fill="FFFFFF"/>
          <w:lang w:eastAsia="zh-CN"/>
        </w:rPr>
        <w:t>月</w:t>
      </w:r>
      <w:r>
        <w:rPr>
          <w:rStyle w:val="28"/>
          <w:rFonts w:hint="eastAsia" w:ascii="仿宋" w:hAnsi="仿宋" w:eastAsia="仿宋" w:cs="仿宋"/>
          <w:b w:val="0"/>
          <w:color w:val="auto"/>
          <w:u w:val="single"/>
          <w:shd w:val="clear" w:color="auto" w:fill="FFFFFF"/>
          <w:lang w:val="en-US" w:eastAsia="zh-CN"/>
        </w:rPr>
        <w:t>24</w:t>
      </w:r>
      <w:r>
        <w:rPr>
          <w:rStyle w:val="28"/>
          <w:rFonts w:hint="eastAsia" w:ascii="仿宋" w:hAnsi="仿宋" w:eastAsia="仿宋" w:cs="仿宋"/>
          <w:b w:val="0"/>
          <w:color w:val="auto"/>
          <w:u w:val="single"/>
          <w:shd w:val="clear" w:color="auto" w:fill="FFFFFF"/>
          <w:lang w:eastAsia="zh-CN"/>
        </w:rPr>
        <w:t>日</w:t>
      </w:r>
      <w:r>
        <w:rPr>
          <w:rFonts w:hint="eastAsia" w:ascii="仿宋" w:hAnsi="仿宋" w:eastAsia="仿宋" w:cs="仿宋"/>
          <w:color w:val="auto"/>
          <w:u w:val="single"/>
          <w:shd w:val="clear" w:color="auto" w:fill="FFFFFF"/>
          <w:lang w:eastAsia="zh-CN"/>
        </w:rPr>
        <w:t>14:</w:t>
      </w:r>
      <w:r>
        <w:rPr>
          <w:rFonts w:hint="eastAsia" w:ascii="仿宋" w:hAnsi="仿宋" w:eastAsia="仿宋" w:cs="仿宋"/>
          <w:color w:val="auto"/>
          <w:u w:val="single"/>
          <w:shd w:val="clear" w:color="auto" w:fill="FFFFFF"/>
          <w:lang w:val="en-US" w:eastAsia="zh-CN"/>
        </w:rPr>
        <w:t>0</w:t>
      </w:r>
      <w:r>
        <w:rPr>
          <w:rFonts w:hint="eastAsia" w:ascii="仿宋" w:hAnsi="仿宋" w:eastAsia="仿宋" w:cs="仿宋"/>
          <w:color w:val="auto"/>
          <w:u w:val="single"/>
          <w:shd w:val="clear" w:color="auto" w:fill="FFFFFF"/>
          <w:lang w:eastAsia="zh-CN"/>
        </w:rPr>
        <w:t>0时</w:t>
      </w:r>
      <w:r>
        <w:rPr>
          <w:rStyle w:val="28"/>
          <w:rFonts w:hint="eastAsia" w:ascii="仿宋" w:hAnsi="仿宋" w:eastAsia="仿宋" w:cs="仿宋"/>
          <w:b w:val="0"/>
          <w:color w:val="auto"/>
          <w:shd w:val="clear" w:color="auto" w:fill="FFFFFF"/>
        </w:rPr>
        <w:t>（北京时间）</w:t>
      </w:r>
    </w:p>
    <w:p>
      <w:pPr>
        <w:pStyle w:val="21"/>
        <w:spacing w:before="0" w:beforeAutospacing="0" w:after="0" w:afterAutospacing="0" w:line="440" w:lineRule="exact"/>
        <w:ind w:firstLine="480" w:firstLineChars="200"/>
        <w:rPr>
          <w:rFonts w:hint="eastAsia" w:ascii="仿宋" w:hAnsi="仿宋" w:eastAsia="仿宋" w:cs="仿宋"/>
          <w:color w:val="auto"/>
        </w:rPr>
      </w:pPr>
      <w:r>
        <w:rPr>
          <w:rStyle w:val="28"/>
          <w:rFonts w:hint="eastAsia" w:ascii="仿宋" w:hAnsi="仿宋" w:eastAsia="仿宋" w:cs="仿宋"/>
          <w:b w:val="0"/>
          <w:color w:val="auto"/>
          <w:shd w:val="clear" w:color="auto" w:fill="FFFFFF"/>
        </w:rPr>
        <w:t>投标地点（网址）：</w:t>
      </w:r>
      <w:r>
        <w:rPr>
          <w:rFonts w:hint="eastAsia" w:ascii="仿宋" w:hAnsi="仿宋" w:eastAsia="仿宋" w:cs="仿宋"/>
          <w:color w:val="auto"/>
        </w:rPr>
        <w:t>政府采购云平台（www.zcygov.cn）。</w:t>
      </w:r>
    </w:p>
    <w:p>
      <w:pPr>
        <w:pStyle w:val="21"/>
        <w:spacing w:before="0" w:beforeAutospacing="0" w:after="0" w:afterAutospacing="0" w:line="440" w:lineRule="exact"/>
        <w:ind w:firstLine="480" w:firstLineChars="200"/>
        <w:rPr>
          <w:rStyle w:val="28"/>
          <w:rFonts w:hint="eastAsia" w:ascii="仿宋" w:hAnsi="仿宋" w:eastAsia="仿宋" w:cs="仿宋"/>
          <w:b w:val="0"/>
          <w:color w:val="auto"/>
          <w:shd w:val="clear" w:color="auto" w:fill="FFFFFF"/>
        </w:rPr>
      </w:pPr>
      <w:r>
        <w:rPr>
          <w:rStyle w:val="28"/>
          <w:rFonts w:hint="eastAsia" w:ascii="仿宋" w:hAnsi="仿宋" w:eastAsia="仿宋" w:cs="仿宋"/>
          <w:b w:val="0"/>
          <w:color w:val="auto"/>
          <w:shd w:val="clear" w:color="auto" w:fill="FFFFFF"/>
        </w:rPr>
        <w:t>开标时间：</w:t>
      </w:r>
      <w:r>
        <w:rPr>
          <w:rFonts w:hint="eastAsia" w:ascii="仿宋" w:hAnsi="仿宋" w:eastAsia="仿宋" w:cs="仿宋"/>
          <w:color w:val="auto"/>
          <w:u w:val="single"/>
          <w:shd w:val="clear" w:color="auto" w:fill="FFFFFF"/>
          <w:lang w:eastAsia="zh-CN"/>
        </w:rPr>
        <w:t>2022年</w:t>
      </w:r>
      <w:r>
        <w:rPr>
          <w:rStyle w:val="28"/>
          <w:rFonts w:hint="eastAsia" w:ascii="仿宋" w:hAnsi="仿宋" w:eastAsia="仿宋" w:cs="仿宋"/>
          <w:b w:val="0"/>
          <w:color w:val="auto"/>
          <w:u w:val="single"/>
          <w:shd w:val="clear" w:color="auto" w:fill="FFFFFF"/>
          <w:lang w:val="en-US" w:eastAsia="zh-CN"/>
        </w:rPr>
        <w:t>10</w:t>
      </w:r>
      <w:r>
        <w:rPr>
          <w:rStyle w:val="28"/>
          <w:rFonts w:hint="eastAsia" w:ascii="仿宋" w:hAnsi="仿宋" w:eastAsia="仿宋" w:cs="仿宋"/>
          <w:b w:val="0"/>
          <w:color w:val="auto"/>
          <w:u w:val="single"/>
          <w:shd w:val="clear" w:color="auto" w:fill="FFFFFF"/>
          <w:lang w:eastAsia="zh-CN"/>
        </w:rPr>
        <w:t>月</w:t>
      </w:r>
      <w:r>
        <w:rPr>
          <w:rStyle w:val="28"/>
          <w:rFonts w:hint="eastAsia" w:ascii="仿宋" w:hAnsi="仿宋" w:eastAsia="仿宋" w:cs="仿宋"/>
          <w:b w:val="0"/>
          <w:color w:val="auto"/>
          <w:u w:val="single"/>
          <w:shd w:val="clear" w:color="auto" w:fill="FFFFFF"/>
          <w:lang w:val="en-US" w:eastAsia="zh-CN"/>
        </w:rPr>
        <w:t>24</w:t>
      </w:r>
      <w:r>
        <w:rPr>
          <w:rStyle w:val="28"/>
          <w:rFonts w:hint="eastAsia" w:ascii="仿宋" w:hAnsi="仿宋" w:eastAsia="仿宋" w:cs="仿宋"/>
          <w:b w:val="0"/>
          <w:color w:val="auto"/>
          <w:u w:val="single"/>
          <w:shd w:val="clear" w:color="auto" w:fill="FFFFFF"/>
          <w:lang w:eastAsia="zh-CN"/>
        </w:rPr>
        <w:t>日</w:t>
      </w:r>
      <w:r>
        <w:rPr>
          <w:rFonts w:hint="eastAsia" w:ascii="仿宋" w:hAnsi="仿宋" w:eastAsia="仿宋" w:cs="仿宋"/>
          <w:color w:val="auto"/>
          <w:u w:val="single"/>
          <w:shd w:val="clear" w:color="auto" w:fill="FFFFFF"/>
          <w:lang w:eastAsia="zh-CN"/>
        </w:rPr>
        <w:t>14:</w:t>
      </w:r>
      <w:r>
        <w:rPr>
          <w:rFonts w:hint="eastAsia" w:ascii="仿宋" w:hAnsi="仿宋" w:eastAsia="仿宋" w:cs="仿宋"/>
          <w:color w:val="auto"/>
          <w:u w:val="single"/>
          <w:shd w:val="clear" w:color="auto" w:fill="FFFFFF"/>
          <w:lang w:val="en-US" w:eastAsia="zh-CN"/>
        </w:rPr>
        <w:t>0</w:t>
      </w:r>
      <w:r>
        <w:rPr>
          <w:rFonts w:hint="eastAsia" w:ascii="仿宋" w:hAnsi="仿宋" w:eastAsia="仿宋" w:cs="仿宋"/>
          <w:color w:val="auto"/>
          <w:u w:val="single"/>
          <w:shd w:val="clear" w:color="auto" w:fill="FFFFFF"/>
          <w:lang w:eastAsia="zh-CN"/>
        </w:rPr>
        <w:t>0时</w:t>
      </w:r>
      <w:r>
        <w:rPr>
          <w:rStyle w:val="28"/>
          <w:rFonts w:hint="eastAsia" w:ascii="仿宋" w:hAnsi="仿宋" w:eastAsia="仿宋" w:cs="仿宋"/>
          <w:b w:val="0"/>
          <w:color w:val="auto"/>
          <w:shd w:val="clear" w:color="auto" w:fill="FFFFFF"/>
        </w:rPr>
        <w:t>（北京时间）</w:t>
      </w:r>
    </w:p>
    <w:p>
      <w:pPr>
        <w:pStyle w:val="21"/>
        <w:spacing w:before="0" w:beforeAutospacing="0" w:after="0" w:afterAutospacing="0" w:line="440" w:lineRule="exact"/>
        <w:ind w:firstLine="480" w:firstLineChars="200"/>
        <w:rPr>
          <w:rStyle w:val="28"/>
          <w:rFonts w:hint="eastAsia" w:ascii="仿宋" w:hAnsi="仿宋" w:eastAsia="仿宋" w:cs="仿宋"/>
          <w:b w:val="0"/>
          <w:color w:val="auto"/>
          <w:shd w:val="clear" w:color="auto" w:fill="FFFFFF"/>
        </w:rPr>
      </w:pPr>
      <w:r>
        <w:rPr>
          <w:rStyle w:val="28"/>
          <w:rFonts w:hint="eastAsia" w:ascii="仿宋" w:hAnsi="仿宋" w:eastAsia="仿宋" w:cs="仿宋"/>
          <w:b w:val="0"/>
          <w:color w:val="auto"/>
          <w:shd w:val="clear" w:color="auto" w:fill="FFFFFF"/>
        </w:rPr>
        <w:t>开标地点（网址）：</w:t>
      </w:r>
      <w:r>
        <w:rPr>
          <w:rStyle w:val="28"/>
          <w:rFonts w:hint="eastAsia" w:ascii="仿宋" w:hAnsi="仿宋" w:eastAsia="仿宋" w:cs="仿宋"/>
          <w:b w:val="0"/>
          <w:bCs w:val="0"/>
          <w:color w:val="auto"/>
          <w:shd w:val="clear" w:color="auto" w:fill="FFFFFF"/>
        </w:rPr>
        <w:t>诸暨市环城北路1号时代商务中心B2幢</w:t>
      </w:r>
      <w:r>
        <w:rPr>
          <w:rStyle w:val="28"/>
          <w:rFonts w:hint="eastAsia" w:ascii="仿宋" w:hAnsi="仿宋" w:eastAsia="仿宋" w:cs="仿宋"/>
          <w:b w:val="0"/>
          <w:bCs w:val="0"/>
          <w:color w:val="auto"/>
          <w:shd w:val="clear" w:color="auto" w:fill="FFFFFF"/>
          <w:lang w:eastAsia="zh-CN"/>
        </w:rPr>
        <w:t>3楼</w:t>
      </w:r>
      <w:r>
        <w:rPr>
          <w:rStyle w:val="28"/>
          <w:rFonts w:hint="eastAsia" w:ascii="仿宋" w:hAnsi="仿宋" w:eastAsia="仿宋" w:cs="仿宋"/>
          <w:b w:val="0"/>
          <w:bCs w:val="0"/>
          <w:color w:val="auto"/>
          <w:shd w:val="clear" w:color="auto" w:fill="FFFFFF"/>
        </w:rPr>
        <w:t>诸暨市广顺工程管理服务有限公司评标室（本项目通过“政府采购云平台（www.zcygov.cn）”实行在线开标）。</w:t>
      </w:r>
    </w:p>
    <w:p>
      <w:pPr>
        <w:pStyle w:val="2"/>
        <w:spacing w:before="0" w:after="0" w:line="440" w:lineRule="exact"/>
        <w:ind w:firstLine="482" w:firstLineChars="200"/>
        <w:jc w:val="left"/>
        <w:rPr>
          <w:rFonts w:hint="eastAsia" w:ascii="仿宋" w:hAnsi="仿宋" w:eastAsia="仿宋" w:cs="仿宋"/>
          <w:bCs w:val="0"/>
          <w:color w:val="auto"/>
          <w:kern w:val="0"/>
          <w:sz w:val="24"/>
          <w:szCs w:val="24"/>
        </w:rPr>
      </w:pPr>
      <w:bookmarkStart w:id="16" w:name="_Toc35393625"/>
      <w:bookmarkStart w:id="17" w:name="_Toc35393794"/>
      <w:bookmarkStart w:id="18" w:name="_Toc28359007"/>
      <w:bookmarkStart w:id="19" w:name="_Toc28359084"/>
      <w:r>
        <w:rPr>
          <w:rFonts w:hint="eastAsia" w:ascii="仿宋" w:hAnsi="仿宋" w:eastAsia="仿宋" w:cs="仿宋"/>
          <w:bCs w:val="0"/>
          <w:color w:val="auto"/>
          <w:kern w:val="0"/>
          <w:sz w:val="24"/>
          <w:szCs w:val="24"/>
        </w:rPr>
        <w:t>五、公告期限</w:t>
      </w:r>
      <w:bookmarkEnd w:id="16"/>
      <w:bookmarkEnd w:id="17"/>
      <w:bookmarkEnd w:id="18"/>
      <w:bookmarkEnd w:id="19"/>
    </w:p>
    <w:p>
      <w:pPr>
        <w:spacing w:line="440" w:lineRule="exact"/>
        <w:ind w:firstLine="480" w:firstLineChars="200"/>
        <w:jc w:val="left"/>
        <w:rPr>
          <w:rStyle w:val="28"/>
          <w:rFonts w:hint="eastAsia" w:ascii="仿宋" w:hAnsi="仿宋" w:eastAsia="仿宋" w:cs="仿宋"/>
          <w:b w:val="0"/>
          <w:color w:val="auto"/>
          <w:sz w:val="24"/>
          <w:szCs w:val="24"/>
          <w:shd w:val="clear" w:color="auto" w:fill="FFFFFF"/>
        </w:rPr>
      </w:pPr>
      <w:r>
        <w:rPr>
          <w:rStyle w:val="28"/>
          <w:rFonts w:hint="eastAsia" w:ascii="仿宋" w:hAnsi="仿宋" w:eastAsia="仿宋" w:cs="仿宋"/>
          <w:b w:val="0"/>
          <w:color w:val="auto"/>
          <w:sz w:val="24"/>
          <w:szCs w:val="24"/>
          <w:shd w:val="clear" w:color="auto" w:fill="FFFFFF"/>
        </w:rPr>
        <w:t>自本公告发布之日起5个工作日。</w:t>
      </w:r>
    </w:p>
    <w:p>
      <w:pPr>
        <w:pStyle w:val="2"/>
        <w:spacing w:before="0" w:after="0" w:line="440" w:lineRule="exact"/>
        <w:ind w:firstLine="482" w:firstLineChars="200"/>
        <w:jc w:val="left"/>
        <w:rPr>
          <w:rFonts w:hint="eastAsia" w:ascii="仿宋" w:hAnsi="仿宋" w:eastAsia="仿宋" w:cs="仿宋"/>
          <w:bCs w:val="0"/>
          <w:color w:val="auto"/>
          <w:kern w:val="0"/>
          <w:sz w:val="24"/>
          <w:szCs w:val="24"/>
        </w:rPr>
      </w:pPr>
      <w:bookmarkStart w:id="20" w:name="_Toc35393795"/>
      <w:bookmarkStart w:id="21" w:name="_Toc35393626"/>
      <w:r>
        <w:rPr>
          <w:rFonts w:hint="eastAsia" w:ascii="仿宋" w:hAnsi="仿宋" w:eastAsia="仿宋" w:cs="仿宋"/>
          <w:bCs w:val="0"/>
          <w:color w:val="auto"/>
          <w:kern w:val="0"/>
          <w:sz w:val="24"/>
          <w:szCs w:val="24"/>
        </w:rPr>
        <w:t>六、其他补充事宜</w:t>
      </w:r>
      <w:bookmarkEnd w:id="20"/>
      <w:bookmarkEnd w:id="21"/>
    </w:p>
    <w:p>
      <w:pPr>
        <w:pStyle w:val="21"/>
        <w:spacing w:before="0" w:beforeAutospacing="0" w:after="0" w:afterAutospacing="0" w:line="440" w:lineRule="exact"/>
        <w:ind w:firstLine="480" w:firstLineChars="200"/>
        <w:rPr>
          <w:rStyle w:val="28"/>
          <w:rFonts w:hint="eastAsia" w:ascii="仿宋" w:hAnsi="仿宋" w:eastAsia="仿宋" w:cs="仿宋"/>
          <w:b w:val="0"/>
          <w:shd w:val="clear" w:color="auto" w:fill="FFFFFF"/>
        </w:rPr>
      </w:pPr>
      <w:r>
        <w:rPr>
          <w:rStyle w:val="28"/>
          <w:rFonts w:hint="eastAsia" w:ascii="仿宋" w:hAnsi="仿宋" w:eastAsia="仿宋" w:cs="仿宋"/>
          <w:b w:val="0"/>
          <w:color w:val="auto"/>
          <w:shd w:val="clear" w:color="auto" w:fill="FFFFFF"/>
        </w:rPr>
        <w:t>1、供应商认为采购文件使自己的权益受到损害的，可以自获取采购文件之日或者采购文件公告期限届满之日（公告期限届满后获取采购文件的，</w:t>
      </w:r>
      <w:r>
        <w:rPr>
          <w:rStyle w:val="28"/>
          <w:rFonts w:hint="eastAsia" w:ascii="仿宋" w:hAnsi="仿宋" w:eastAsia="仿宋" w:cs="仿宋"/>
          <w:b w:val="0"/>
          <w:shd w:val="clear" w:color="auto" w:fill="FFFFFF"/>
        </w:rPr>
        <w:t>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pStyle w:val="15"/>
        <w:adjustRightInd w:val="0"/>
        <w:snapToGrid w:val="0"/>
        <w:spacing w:line="440" w:lineRule="exact"/>
        <w:ind w:firstLine="480" w:firstLineChars="200"/>
        <w:jc w:val="left"/>
        <w:rPr>
          <w:rFonts w:hint="eastAsia" w:ascii="仿宋" w:hAnsi="仿宋" w:eastAsia="仿宋" w:cs="仿宋"/>
          <w:szCs w:val="24"/>
        </w:rPr>
      </w:pPr>
      <w:r>
        <w:rPr>
          <w:rStyle w:val="28"/>
          <w:rFonts w:hint="eastAsia" w:ascii="仿宋" w:hAnsi="仿宋" w:eastAsia="仿宋" w:cs="仿宋"/>
          <w:b w:val="0"/>
          <w:szCs w:val="24"/>
          <w:shd w:val="clear" w:color="auto" w:fill="FFFFFF"/>
        </w:rPr>
        <w:t>2、</w:t>
      </w:r>
      <w:r>
        <w:rPr>
          <w:rFonts w:hint="eastAsia" w:ascii="仿宋" w:hAnsi="仿宋" w:eastAsia="仿宋" w:cs="仿宋"/>
          <w:b/>
          <w:szCs w:val="24"/>
        </w:rPr>
        <w:t>投标人应于开标时间前按照电子投标要求将电子加密标书上传到“政采云”平台，逾期或未上传成功的将导致无法投标或投标无</w:t>
      </w:r>
      <w:r>
        <w:rPr>
          <w:rFonts w:hint="eastAsia" w:ascii="仿宋" w:hAnsi="仿宋" w:eastAsia="仿宋" w:cs="仿宋"/>
          <w:b/>
          <w:kern w:val="0"/>
          <w:szCs w:val="24"/>
        </w:rPr>
        <w:t>效。</w:t>
      </w:r>
      <w:r>
        <w:rPr>
          <w:rFonts w:hint="eastAsia" w:ascii="仿宋" w:hAnsi="仿宋" w:eastAsia="仿宋" w:cs="仿宋"/>
          <w:szCs w:val="24"/>
        </w:rPr>
        <w:t>备注：为确保采购项目顺利实施，避免因政采云上电子投标文件解密失败导致投标方投标无效，投标方可在开标时间前将在政采云平台上最后生成的具备电子签章的备份加密投标文件（文件名后缀为备份文件四字的首字母）以电子邮件方式传送至诸暨市广顺工程管理服务有限公司邮箱（2262785139@qq.com），传送的备份电子投标文件需打包压缩并加密，加密密码由投标方自行保管，如政采云上电子投标文件出现解密失败情况（开标后30分钟内进行解密），投标方可按照自身意愿确认是否同意提供加密密码解密传送至诸暨市广顺工程管理服务有限公司邮箱的备份文件，并以备份文件作为替代电子投标文件，如投标方未按照规定时间前按要求提供有效备份文件，同时政采云上投标文件解密失败的，将导致投标无效。</w:t>
      </w:r>
    </w:p>
    <w:p>
      <w:pPr>
        <w:pStyle w:val="15"/>
        <w:adjustRightInd w:val="0"/>
        <w:snapToGrid w:val="0"/>
        <w:spacing w:line="440" w:lineRule="exact"/>
        <w:ind w:firstLine="482" w:firstLineChars="200"/>
        <w:jc w:val="left"/>
        <w:rPr>
          <w:rFonts w:hint="eastAsia" w:ascii="仿宋" w:hAnsi="仿宋" w:eastAsia="仿宋" w:cs="仿宋"/>
          <w:szCs w:val="24"/>
        </w:rPr>
      </w:pPr>
      <w:r>
        <w:rPr>
          <w:rFonts w:hint="eastAsia" w:ascii="仿宋" w:hAnsi="仿宋" w:eastAsia="仿宋" w:cs="仿宋"/>
          <w:b/>
          <w:kern w:val="0"/>
          <w:szCs w:val="24"/>
          <w:u w:val="single"/>
        </w:rPr>
        <w:t>投标方无需在开标当天到达开标现场对电子投标进行解密，可在公司办公场地在规定时间内对电子投标文件进行解密。</w:t>
      </w:r>
    </w:p>
    <w:p>
      <w:pPr>
        <w:pStyle w:val="15"/>
        <w:adjustRightInd w:val="0"/>
        <w:snapToGrid w:val="0"/>
        <w:spacing w:line="440" w:lineRule="exact"/>
        <w:ind w:firstLine="482" w:firstLineChars="200"/>
        <w:jc w:val="left"/>
        <w:rPr>
          <w:rFonts w:hint="eastAsia" w:ascii="仿宋" w:hAnsi="仿宋" w:eastAsia="仿宋" w:cs="仿宋"/>
          <w:b/>
          <w:szCs w:val="24"/>
        </w:rPr>
      </w:pPr>
      <w:r>
        <w:rPr>
          <w:rFonts w:hint="eastAsia" w:ascii="仿宋" w:hAnsi="仿宋" w:eastAsia="仿宋" w:cs="仿宋"/>
          <w:b/>
          <w:szCs w:val="24"/>
        </w:rPr>
        <w:t>投标人应在开标后30分钟内通过政采云平台完成电子加密投标文件的在线解密工作。若投标人在规定时间内无法解密或解密失败，将导致投标无效或失败。投标人制作电子投标文件和解密投标文件需为同一把CA。同时为减少电子投标的意外事件，制作电子投标文件人员与参加开标人员最好为同一人，预留同一手机号码。</w:t>
      </w:r>
    </w:p>
    <w:p>
      <w:pPr>
        <w:autoSpaceDE/>
        <w:autoSpaceDN/>
        <w:adjustRightInd/>
        <w:spacing w:line="440" w:lineRule="exact"/>
        <w:ind w:firstLine="482" w:firstLineChars="200"/>
        <w:jc w:val="left"/>
        <w:rPr>
          <w:rFonts w:hint="eastAsia" w:ascii="仿宋" w:hAnsi="仿宋" w:eastAsia="仿宋" w:cs="仿宋"/>
          <w:b/>
          <w:color w:val="auto"/>
          <w:sz w:val="24"/>
          <w:szCs w:val="24"/>
        </w:rPr>
      </w:pPr>
    </w:p>
    <w:p>
      <w:pPr>
        <w:autoSpaceDE/>
        <w:autoSpaceDN/>
        <w:adjustRightInd/>
        <w:spacing w:line="44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七、投标保证金：</w:t>
      </w:r>
    </w:p>
    <w:p>
      <w:pPr>
        <w:autoSpaceDE/>
        <w:autoSpaceDN/>
        <w:adjustRightInd/>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p>
      <w:pPr>
        <w:snapToGrid w:val="0"/>
        <w:spacing w:line="440" w:lineRule="exact"/>
        <w:ind w:firstLine="420"/>
        <w:rPr>
          <w:rFonts w:hint="eastAsia" w:ascii="仿宋" w:hAnsi="仿宋" w:eastAsia="仿宋" w:cs="仿宋"/>
          <w:b/>
          <w:color w:val="auto"/>
          <w:sz w:val="24"/>
        </w:rPr>
      </w:pPr>
      <w:bookmarkStart w:id="22" w:name="_Toc125344503"/>
    </w:p>
    <w:p>
      <w:pPr>
        <w:snapToGrid w:val="0"/>
        <w:spacing w:line="440" w:lineRule="exact"/>
        <w:ind w:firstLine="420"/>
        <w:rPr>
          <w:rFonts w:hint="eastAsia" w:ascii="仿宋" w:hAnsi="仿宋" w:eastAsia="仿宋" w:cs="仿宋"/>
          <w:b/>
          <w:color w:val="auto"/>
          <w:sz w:val="24"/>
        </w:rPr>
      </w:pPr>
    </w:p>
    <w:p>
      <w:pPr>
        <w:snapToGrid w:val="0"/>
        <w:spacing w:line="440" w:lineRule="exact"/>
        <w:ind w:firstLine="420"/>
        <w:rPr>
          <w:rFonts w:hint="eastAsia" w:ascii="仿宋" w:hAnsi="仿宋" w:eastAsia="仿宋" w:cs="仿宋"/>
          <w:b/>
          <w:color w:val="auto"/>
          <w:sz w:val="24"/>
        </w:rPr>
      </w:pPr>
      <w:r>
        <w:rPr>
          <w:rFonts w:hint="eastAsia" w:ascii="仿宋" w:hAnsi="仿宋" w:eastAsia="仿宋" w:cs="仿宋"/>
          <w:b/>
          <w:color w:val="auto"/>
          <w:sz w:val="24"/>
        </w:rPr>
        <w:t>八、对本次采购提出询问，请按以下方式联系</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rPr>
      </w:pPr>
      <w:r>
        <w:rPr>
          <w:rFonts w:hint="eastAsia" w:ascii="仿宋" w:hAnsi="仿宋" w:eastAsia="仿宋" w:cs="仿宋"/>
          <w:color w:val="000000"/>
          <w:kern w:val="2"/>
        </w:rPr>
        <w:t>1.采购人信息</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rPr>
      </w:pPr>
      <w:r>
        <w:rPr>
          <w:rFonts w:hint="eastAsia" w:ascii="仿宋" w:hAnsi="仿宋" w:eastAsia="仿宋" w:cs="仿宋"/>
          <w:color w:val="000000"/>
          <w:kern w:val="2"/>
        </w:rPr>
        <w:t>名称：</w:t>
      </w:r>
      <w:r>
        <w:rPr>
          <w:rFonts w:hint="eastAsia" w:ascii="仿宋" w:hAnsi="仿宋" w:eastAsia="仿宋" w:cs="仿宋"/>
        </w:rPr>
        <w:t>诸暨广电信息技术有限公司</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rPr>
      </w:pPr>
      <w:r>
        <w:rPr>
          <w:rFonts w:hint="eastAsia" w:ascii="仿宋" w:hAnsi="仿宋" w:eastAsia="仿宋" w:cs="仿宋"/>
          <w:color w:val="000000"/>
          <w:kern w:val="2"/>
        </w:rPr>
        <w:t>地址：诸暨市暨阳街道江东路39号</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rPr>
      </w:pPr>
      <w:r>
        <w:rPr>
          <w:rFonts w:hint="eastAsia" w:ascii="仿宋" w:hAnsi="仿宋" w:eastAsia="仿宋" w:cs="仿宋"/>
          <w:color w:val="000000"/>
          <w:kern w:val="2"/>
        </w:rPr>
        <w:t>项目联系人：</w:t>
      </w:r>
      <w:r>
        <w:rPr>
          <w:rFonts w:hint="eastAsia" w:ascii="仿宋" w:hAnsi="仿宋" w:eastAsia="仿宋" w:cs="仿宋"/>
        </w:rPr>
        <w:t>商工</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rPr>
      </w:pPr>
      <w:r>
        <w:rPr>
          <w:rFonts w:hint="eastAsia" w:ascii="仿宋" w:hAnsi="仿宋" w:eastAsia="仿宋" w:cs="仿宋"/>
          <w:color w:val="000000"/>
          <w:kern w:val="2"/>
        </w:rPr>
        <w:t>项目联系方式：</w:t>
      </w:r>
      <w:r>
        <w:rPr>
          <w:rFonts w:hint="eastAsia" w:ascii="仿宋" w:hAnsi="仿宋" w:eastAsia="仿宋" w:cs="仿宋"/>
        </w:rPr>
        <w:t>15305755502</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rPr>
      </w:pPr>
      <w:r>
        <w:rPr>
          <w:rFonts w:hint="eastAsia" w:ascii="仿宋" w:hAnsi="仿宋" w:eastAsia="仿宋" w:cs="仿宋"/>
          <w:color w:val="000000"/>
          <w:kern w:val="2"/>
        </w:rPr>
        <w:t>2.采购代理机构信息</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rPr>
      </w:pPr>
      <w:r>
        <w:rPr>
          <w:rFonts w:hint="eastAsia" w:ascii="仿宋" w:hAnsi="仿宋" w:eastAsia="仿宋" w:cs="仿宋"/>
          <w:color w:val="000000"/>
          <w:kern w:val="2"/>
        </w:rPr>
        <w:t>名称：诸暨市广顺工程管理服务有限公司</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rPr>
      </w:pPr>
      <w:r>
        <w:rPr>
          <w:rFonts w:hint="eastAsia" w:ascii="仿宋" w:hAnsi="仿宋" w:eastAsia="仿宋" w:cs="仿宋"/>
          <w:color w:val="000000"/>
          <w:kern w:val="2"/>
        </w:rPr>
        <w:t>地址：诸暨市环城北路1号时代商务中心B2幢3楼</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lang w:val="en-US" w:eastAsia="zh-CN"/>
        </w:rPr>
      </w:pPr>
      <w:r>
        <w:rPr>
          <w:rFonts w:hint="eastAsia" w:ascii="仿宋" w:hAnsi="仿宋" w:eastAsia="仿宋" w:cs="仿宋"/>
          <w:color w:val="000000"/>
          <w:kern w:val="2"/>
        </w:rPr>
        <w:t>项目联系人：</w:t>
      </w:r>
      <w:r>
        <w:rPr>
          <w:rFonts w:hint="eastAsia" w:ascii="仿宋" w:hAnsi="仿宋" w:eastAsia="仿宋" w:cs="仿宋"/>
          <w:color w:val="000000"/>
          <w:kern w:val="2"/>
          <w:lang w:val="en-US" w:eastAsia="zh-CN"/>
        </w:rPr>
        <w:t>方燕玲</w:t>
      </w:r>
    </w:p>
    <w:p>
      <w:pPr>
        <w:pStyle w:val="21"/>
        <w:shd w:val="clear" w:color="auto" w:fill="FFFFFF"/>
        <w:autoSpaceDE w:val="0"/>
        <w:autoSpaceDN w:val="0"/>
        <w:adjustRightInd w:val="0"/>
        <w:spacing w:before="0" w:beforeAutospacing="0" w:after="0" w:afterAutospacing="0" w:line="500" w:lineRule="atLeast"/>
        <w:ind w:firstLine="482"/>
        <w:rPr>
          <w:rFonts w:hint="eastAsia" w:ascii="仿宋" w:hAnsi="仿宋" w:eastAsia="仿宋" w:cs="仿宋"/>
          <w:color w:val="000000"/>
          <w:kern w:val="2"/>
          <w:lang w:val="en-US" w:eastAsia="zh-CN"/>
        </w:rPr>
      </w:pPr>
      <w:r>
        <w:rPr>
          <w:rFonts w:hint="eastAsia" w:ascii="仿宋" w:hAnsi="仿宋" w:eastAsia="仿宋" w:cs="仿宋"/>
          <w:color w:val="000000"/>
          <w:kern w:val="2"/>
        </w:rPr>
        <w:t>项目联系方式：</w:t>
      </w:r>
      <w:r>
        <w:rPr>
          <w:rFonts w:hint="eastAsia" w:ascii="仿宋" w:hAnsi="仿宋" w:eastAsia="仿宋" w:cs="仿宋"/>
          <w:color w:val="000000"/>
          <w:kern w:val="2"/>
          <w:lang w:val="en-US" w:eastAsia="zh-CN"/>
        </w:rPr>
        <w:t>18857517181</w:t>
      </w:r>
    </w:p>
    <w:p>
      <w:pPr>
        <w:jc w:val="right"/>
        <w:rPr>
          <w:rFonts w:ascii="宋体" w:hAnsi="宋体" w:cs="宋体"/>
          <w:color w:val="auto"/>
          <w:sz w:val="24"/>
          <w:szCs w:val="24"/>
        </w:rPr>
      </w:pPr>
    </w:p>
    <w:p>
      <w:pPr>
        <w:jc w:val="right"/>
        <w:rPr>
          <w:rFonts w:ascii="宋体" w:hAnsi="宋体" w:cs="宋体"/>
          <w:color w:val="auto"/>
          <w:sz w:val="24"/>
          <w:szCs w:val="24"/>
        </w:rPr>
      </w:pPr>
    </w:p>
    <w:p>
      <w:pPr>
        <w:jc w:val="center"/>
        <w:rPr>
          <w:rFonts w:hint="eastAsia" w:ascii="仿宋" w:hAnsi="仿宋" w:eastAsia="仿宋" w:cs="仿宋"/>
          <w:color w:val="auto"/>
          <w:sz w:val="36"/>
          <w:szCs w:val="36"/>
        </w:rPr>
      </w:pPr>
      <w:r>
        <w:rPr>
          <w:rFonts w:hint="eastAsia" w:ascii="宋体" w:hAnsi="宋体" w:cs="宋体"/>
          <w:b/>
          <w:bCs/>
          <w:color w:val="auto"/>
          <w:sz w:val="36"/>
          <w:szCs w:val="36"/>
        </w:rPr>
        <w:br w:type="page"/>
      </w:r>
      <w:r>
        <w:rPr>
          <w:rFonts w:hint="eastAsia" w:ascii="仿宋" w:hAnsi="仿宋" w:eastAsia="仿宋" w:cs="仿宋"/>
          <w:b/>
          <w:bCs/>
          <w:color w:val="auto"/>
          <w:sz w:val="36"/>
          <w:szCs w:val="36"/>
        </w:rPr>
        <w:t>第二章   投标须知</w:t>
      </w:r>
    </w:p>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前  附  表</w:t>
      </w:r>
    </w:p>
    <w:tbl>
      <w:tblPr>
        <w:tblStyle w:val="25"/>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rPr>
                <w:rFonts w:hint="eastAsia" w:ascii="仿宋" w:hAnsi="仿宋" w:eastAsia="仿宋" w:cs="仿宋"/>
                <w:color w:val="auto"/>
                <w:sz w:val="24"/>
                <w:szCs w:val="24"/>
                <w:lang w:eastAsia="zh-CN"/>
              </w:rPr>
            </w:pPr>
            <w:r>
              <w:rPr>
                <w:rFonts w:hint="eastAsia" w:ascii="仿宋" w:hAnsi="仿宋" w:eastAsia="仿宋" w:cs="仿宋"/>
                <w:bCs/>
                <w:sz w:val="24"/>
                <w:lang w:eastAsia="zh-CN"/>
              </w:rPr>
              <w:t>40个高层住宅建筑600台电梯安装“电瓶车管控系统”采购项目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ind w:right="-107" w:rightChars="-51"/>
              <w:rPr>
                <w:rFonts w:hint="eastAsia" w:ascii="仿宋" w:hAnsi="仿宋" w:eastAsia="仿宋" w:cs="仿宋"/>
                <w:szCs w:val="24"/>
              </w:rPr>
            </w:pPr>
            <w:r>
              <w:rPr>
                <w:rFonts w:hint="eastAsia" w:ascii="仿宋" w:hAnsi="仿宋" w:eastAsia="仿宋" w:cs="仿宋"/>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ind w:right="-107" w:rightChars="-51"/>
              <w:rPr>
                <w:rFonts w:hint="eastAsia" w:ascii="仿宋" w:hAnsi="仿宋" w:eastAsia="仿宋" w:cs="仿宋"/>
                <w:szCs w:val="24"/>
              </w:rPr>
            </w:pPr>
            <w:r>
              <w:rPr>
                <w:rFonts w:hint="eastAsia" w:ascii="仿宋" w:hAnsi="仿宋" w:eastAsia="仿宋" w:cs="仿宋"/>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SA"/>
              </w:rPr>
              <w:t>本次采购最高限价为人民币壹佰陆拾肆万柒仟元整（￥1647000.00），任何超过最高限价的报价将被认定为无效报价。（投标报价包含材料、货物运输、配送、验收、送检费、安装、调试、培训、售后服务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 w:hAnsi="仿宋" w:eastAsia="仿宋" w:cs="仿宋"/>
                <w:szCs w:val="24"/>
              </w:rPr>
            </w:pPr>
            <w:r>
              <w:rPr>
                <w:rFonts w:hint="eastAsia" w:ascii="仿宋" w:hAnsi="仿宋" w:eastAsia="仿宋" w:cs="仿宋"/>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本次招标共</w:t>
            </w:r>
            <w:r>
              <w:rPr>
                <w:rFonts w:hint="eastAsia" w:ascii="仿宋" w:hAnsi="仿宋" w:eastAsia="仿宋" w:cs="仿宋"/>
                <w:b/>
                <w:bCs/>
                <w:color w:val="auto"/>
                <w:sz w:val="24"/>
                <w:szCs w:val="24"/>
                <w:u w:val="single"/>
              </w:rPr>
              <w:t>1</w:t>
            </w:r>
            <w:r>
              <w:rPr>
                <w:rFonts w:hint="eastAsia" w:ascii="仿宋" w:hAnsi="仿宋" w:eastAsia="仿宋" w:cs="仿宋"/>
                <w:color w:val="auto"/>
                <w:sz w:val="24"/>
                <w:szCs w:val="24"/>
              </w:rPr>
              <w:t>个标的，采购人将整体择定中标人。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资格审查</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供应商资格采用资格后审方式，依据法律、法规和招标文件规定，采购人或委托采购代理机构对投标人进行资格审查，以确定投标人是否具备投标资格。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9</w:t>
            </w:r>
          </w:p>
        </w:tc>
        <w:tc>
          <w:tcPr>
            <w:tcW w:w="1776" w:type="dxa"/>
            <w:tcBorders>
              <w:top w:val="single" w:color="auto" w:sz="4" w:space="0"/>
              <w:left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招标文件的</w:t>
            </w:r>
          </w:p>
          <w:p>
            <w:pPr>
              <w:pStyle w:val="15"/>
              <w:jc w:val="center"/>
              <w:rPr>
                <w:rFonts w:hint="eastAsia" w:ascii="仿宋" w:hAnsi="仿宋" w:eastAsia="仿宋" w:cs="仿宋"/>
                <w:b/>
                <w:szCs w:val="24"/>
              </w:rPr>
            </w:pPr>
            <w:r>
              <w:rPr>
                <w:rFonts w:hint="eastAsia" w:ascii="仿宋" w:hAnsi="仿宋" w:eastAsia="仿宋" w:cs="仿宋"/>
                <w:szCs w:val="24"/>
              </w:rPr>
              <w:t>获取</w:t>
            </w:r>
          </w:p>
        </w:tc>
        <w:tc>
          <w:tcPr>
            <w:tcW w:w="7589"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10</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（1）营业执照复印件（加盖单位公章）；</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（2）法定代表人授权委托书（格式见</w:t>
            </w: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，法定代表人亲自参加投标的，只需提供</w:t>
            </w:r>
            <w:r>
              <w:rPr>
                <w:rFonts w:hint="eastAsia" w:ascii="仿宋" w:hAnsi="仿宋" w:eastAsia="仿宋" w:cs="仿宋"/>
                <w:color w:val="auto"/>
                <w:sz w:val="24"/>
                <w:szCs w:val="24"/>
                <w:lang w:val="en-US" w:eastAsia="zh-CN"/>
              </w:rPr>
              <w:t>法定代表人</w:t>
            </w:r>
            <w:r>
              <w:rPr>
                <w:rFonts w:hint="eastAsia" w:ascii="仿宋" w:hAnsi="仿宋" w:eastAsia="仿宋" w:cs="仿宋"/>
                <w:color w:val="auto"/>
                <w:sz w:val="24"/>
                <w:szCs w:val="24"/>
              </w:rPr>
              <w:t>身份证复印件)；</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提供自招标公告发布之日起至投标截止日内任意时间的“信用中国”网站（www.creditchina.gov.cn）、中国政府采购网（www.ccgp.gov.cn）投标人信用查询网页截图。（以开标当日采购人或由采购人委托代理机构核实的查询结果为准）</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注册地社保机构出具的近三个月投标人代表社会保障资金缴纳证明材料复印件（加盖单位公章），且该资金必须由投标人缴纳，法定代表人亲自参加投标的只需要提供身份证复印件（加盖单位公章）。</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）其他资格证书。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（1）投标人情况介绍；</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（2）相关资质证明或文件复印件（如有，加盖单位公章）；</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（3）成功案例和业绩证明（如有）；</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（4）对本项目总体要求的理解（如需要）；</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（5）投标详细配置清单和技术偏离表；</w:t>
            </w:r>
          </w:p>
          <w:p>
            <w:pPr>
              <w:keepNext w:val="0"/>
              <w:keepLines w:val="0"/>
              <w:pageBreakBefore w:val="0"/>
              <w:widowControl w:val="0"/>
              <w:tabs>
                <w:tab w:val="left" w:pos="3870"/>
                <w:tab w:val="left" w:pos="4085"/>
              </w:tabs>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（6）招标文件标明的影响投标人资格的其他证明文件（如售后服务承诺，本地化服务能力证明）；</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（7）保证项目质量的技术力量及技术措施（如需要）；</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（8）投标人建议的项目实施、验收方法或方案（如需要）；</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（9）技术服务、技术培训内容和措施（如需要）；</w:t>
            </w:r>
          </w:p>
          <w:p>
            <w:pPr>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（10）投标人需要说明的其他文件和说明。</w:t>
            </w:r>
          </w:p>
          <w:p>
            <w:pPr>
              <w:pStyle w:val="15"/>
              <w:ind w:firstLine="482" w:firstLineChars="200"/>
              <w:rPr>
                <w:rFonts w:hint="eastAsia" w:ascii="仿宋" w:hAnsi="仿宋" w:eastAsia="仿宋" w:cs="仿宋"/>
                <w:b/>
                <w:szCs w:val="24"/>
              </w:rPr>
            </w:pPr>
            <w:r>
              <w:rPr>
                <w:rFonts w:hint="eastAsia" w:ascii="仿宋" w:hAnsi="仿宋" w:eastAsia="仿宋" w:cs="仿宋"/>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报价文件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（1）投标函（格式见</w:t>
            </w: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 xml:space="preserve">）； </w:t>
            </w:r>
          </w:p>
          <w:p>
            <w:pPr>
              <w:tabs>
                <w:tab w:val="left" w:pos="3870"/>
                <w:tab w:val="left" w:pos="4085"/>
              </w:tabs>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（2）开标一览表（格式见</w:t>
            </w: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w:t>
            </w:r>
          </w:p>
          <w:p>
            <w:pPr>
              <w:tabs>
                <w:tab w:val="left" w:pos="3870"/>
                <w:tab w:val="left" w:pos="4085"/>
              </w:tabs>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）投标承诺书（格式见</w:t>
            </w: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w:t>
            </w:r>
          </w:p>
          <w:p>
            <w:pPr>
              <w:tabs>
                <w:tab w:val="left" w:pos="3870"/>
                <w:tab w:val="left" w:pos="4085"/>
              </w:tabs>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）投标人需要说明的其他文件和说明（格式自拟）。</w:t>
            </w:r>
          </w:p>
          <w:p>
            <w:pPr>
              <w:tabs>
                <w:tab w:val="left" w:pos="3870"/>
                <w:tab w:val="left" w:pos="4085"/>
              </w:tabs>
              <w:snapToGrid w:val="0"/>
              <w:jc w:val="left"/>
              <w:rPr>
                <w:rFonts w:hint="eastAsia" w:ascii="仿宋" w:hAnsi="仿宋" w:eastAsia="仿宋" w:cs="仿宋"/>
                <w:b/>
                <w:color w:val="auto"/>
                <w:sz w:val="24"/>
                <w:szCs w:val="24"/>
                <w:lang w:val="en-US" w:eastAsia="zh-CN"/>
              </w:rPr>
            </w:pPr>
            <w:r>
              <w:rPr>
                <w:rFonts w:hint="eastAsia" w:ascii="仿宋" w:hAnsi="仿宋" w:eastAsia="仿宋" w:cs="仿宋"/>
                <w:b/>
                <w:bCs/>
                <w:color w:val="auto"/>
                <w:sz w:val="24"/>
                <w:szCs w:val="24"/>
              </w:rPr>
              <w:t>注：投标函、开标一览表必须加盖</w:t>
            </w:r>
            <w:r>
              <w:rPr>
                <w:rFonts w:hint="eastAsia" w:ascii="仿宋" w:hAnsi="仿宋" w:eastAsia="仿宋" w:cs="仿宋"/>
                <w:b/>
                <w:bCs/>
                <w:color w:val="auto"/>
                <w:sz w:val="24"/>
                <w:szCs w:val="24"/>
                <w:lang w:val="en-US" w:eastAsia="zh-CN"/>
              </w:rPr>
              <w:t>投标人CA签章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 w:hAnsi="仿宋" w:eastAsia="仿宋" w:cs="仿宋"/>
                <w:szCs w:val="24"/>
              </w:rPr>
            </w:pPr>
            <w:r>
              <w:rPr>
                <w:rFonts w:hint="eastAsia" w:ascii="仿宋" w:hAnsi="仿宋" w:eastAsia="仿宋" w:cs="仿宋"/>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 w:hAnsi="仿宋" w:eastAsia="仿宋" w:cs="仿宋"/>
                <w:szCs w:val="24"/>
              </w:rPr>
            </w:pPr>
            <w:r>
              <w:rPr>
                <w:rFonts w:hint="eastAsia" w:ascii="仿宋" w:hAnsi="仿宋" w:eastAsia="仿宋" w:cs="仿宋"/>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 w:hAnsi="仿宋" w:eastAsia="仿宋" w:cs="仿宋"/>
                <w:szCs w:val="24"/>
              </w:rPr>
            </w:pPr>
            <w:r>
              <w:rPr>
                <w:rFonts w:hint="eastAsia" w:ascii="仿宋" w:hAnsi="仿宋" w:eastAsia="仿宋" w:cs="仿宋"/>
                <w:szCs w:val="24"/>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 w:hAnsi="仿宋" w:eastAsia="仿宋" w:cs="仿宋"/>
                <w:szCs w:val="24"/>
              </w:rPr>
            </w:pPr>
            <w:r>
              <w:rPr>
                <w:rFonts w:hint="eastAsia" w:ascii="仿宋" w:hAnsi="仿宋" w:eastAsia="仿宋" w:cs="仿宋"/>
                <w:color w:val="auto"/>
                <w:sz w:val="24"/>
                <w:szCs w:val="24"/>
                <w:highlight w:val="none"/>
              </w:rPr>
              <w:t>签订合同前，中标人需向采购单位缴纳合同金额</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%的履约保证金，项目整体验收合格无任何问题一个月内退回，不计息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投标文件递交截止时间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lang w:eastAsia="zh-CN"/>
              </w:rPr>
              <w:t>2022年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lang w:eastAsia="zh-CN"/>
              </w:rPr>
              <w:t>日14: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投标文件递交地点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lang w:eastAsia="zh-CN"/>
              </w:rPr>
              <w:t>2022年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lang w:eastAsia="zh-CN"/>
              </w:rPr>
              <w:t>日14: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szCs w:val="24"/>
              </w:rPr>
            </w:pPr>
            <w:r>
              <w:rPr>
                <w:rFonts w:hint="eastAsia" w:ascii="仿宋" w:hAnsi="仿宋" w:eastAsia="仿宋" w:cs="仿宋"/>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pStyle w:val="21"/>
              <w:spacing w:before="0" w:beforeAutospacing="0" w:after="0" w:afterAutospacing="0"/>
              <w:rPr>
                <w:rFonts w:hint="eastAsia" w:ascii="仿宋" w:hAnsi="仿宋" w:eastAsia="仿宋" w:cs="仿宋"/>
                <w:color w:val="auto"/>
                <w:kern w:val="2"/>
              </w:rPr>
            </w:pPr>
            <w:r>
              <w:rPr>
                <w:rFonts w:hint="eastAsia" w:ascii="仿宋" w:hAnsi="仿宋" w:eastAsia="仿宋" w:cs="仿宋"/>
                <w:color w:val="auto"/>
                <w:kern w:val="2"/>
              </w:rPr>
              <w:t>诸暨市环城北路1号时代商务中心B2幢</w:t>
            </w:r>
            <w:r>
              <w:rPr>
                <w:rFonts w:hint="eastAsia" w:ascii="仿宋" w:hAnsi="仿宋" w:eastAsia="仿宋" w:cs="仿宋"/>
                <w:color w:val="auto"/>
                <w:kern w:val="2"/>
                <w:lang w:eastAsia="zh-CN"/>
              </w:rPr>
              <w:t>3楼</w:t>
            </w:r>
            <w:r>
              <w:rPr>
                <w:rFonts w:hint="eastAsia" w:ascii="仿宋" w:hAnsi="仿宋" w:eastAsia="仿宋" w:cs="仿宋"/>
                <w:color w:val="auto"/>
                <w:kern w:val="2"/>
              </w:rPr>
              <w:t>诸暨市广顺工程管理服务有限公司评标室（本项目通过“政府采购云平台（www.zcygov.cn）”实行在线开标）。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
                <w:szCs w:val="24"/>
              </w:rPr>
            </w:pPr>
            <w:r>
              <w:rPr>
                <w:rFonts w:hint="eastAsia" w:ascii="仿宋" w:hAnsi="仿宋" w:eastAsia="仿宋" w:cs="仿宋"/>
                <w:szCs w:val="24"/>
              </w:rPr>
              <w:t>质疑与答疑时间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 w:hAnsi="仿宋" w:eastAsia="仿宋" w:cs="仿宋"/>
                <w:szCs w:val="24"/>
              </w:rPr>
            </w:pPr>
            <w:r>
              <w:rPr>
                <w:rStyle w:val="28"/>
                <w:rFonts w:hint="eastAsia" w:ascii="仿宋" w:hAnsi="仿宋" w:eastAsia="仿宋" w:cs="仿宋"/>
                <w:b w:val="0"/>
                <w:szCs w:val="24"/>
                <w:shd w:val="clear" w:color="auto" w:fill="FFFFFF"/>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仿宋" w:hAnsi="仿宋" w:eastAsia="仿宋" w:cs="仿宋"/>
                <w:szCs w:val="24"/>
              </w:rPr>
              <w:t>，逾期提出的，采购代理机构不予受理、答复。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Cs/>
                <w:szCs w:val="24"/>
              </w:rPr>
            </w:pPr>
            <w:r>
              <w:rPr>
                <w:rFonts w:hint="eastAsia" w:ascii="仿宋" w:hAnsi="仿宋" w:eastAsia="仿宋" w:cs="仿宋"/>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 w:hAnsi="仿宋" w:eastAsia="仿宋" w:cs="仿宋"/>
                <w:bCs/>
                <w:szCs w:val="24"/>
              </w:rPr>
            </w:pPr>
            <w:r>
              <w:rPr>
                <w:rFonts w:hint="eastAsia" w:ascii="仿宋" w:hAnsi="仿宋" w:eastAsia="仿宋" w:cs="仿宋"/>
                <w:b/>
                <w:bCs w:val="0"/>
                <w:szCs w:val="24"/>
              </w:rPr>
              <w:t>其他</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b/>
                <w:bCs/>
                <w:color w:val="auto"/>
                <w:sz w:val="24"/>
                <w:szCs w:val="24"/>
              </w:rPr>
              <w:t>特别提醒</w:t>
            </w:r>
            <w:r>
              <w:rPr>
                <w:rFonts w:hint="eastAsia" w:ascii="仿宋" w:hAnsi="仿宋" w:eastAsia="仿宋" w:cs="仿宋"/>
                <w:color w:val="auto"/>
                <w:sz w:val="24"/>
                <w:szCs w:val="24"/>
              </w:rPr>
              <w:t>：</w:t>
            </w:r>
          </w:p>
          <w:p>
            <w:pPr>
              <w:snapToGrid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w:t>
            </w:r>
            <w:r>
              <w:rPr>
                <w:rFonts w:hint="eastAsia" w:ascii="仿宋" w:hAnsi="仿宋" w:eastAsia="仿宋" w:cs="仿宋"/>
                <w:color w:val="auto"/>
                <w:sz w:val="24"/>
                <w:szCs w:val="24"/>
                <w:lang w:val="en-US" w:eastAsia="zh-CN"/>
              </w:rPr>
              <w:t>、</w:t>
            </w:r>
            <w:r>
              <w:rPr>
                <w:rFonts w:hint="eastAsia" w:ascii="仿宋" w:hAnsi="仿宋" w:eastAsia="仿宋" w:cs="仿宋"/>
                <w:b/>
                <w:color w:val="auto"/>
                <w:sz w:val="24"/>
                <w:szCs w:val="24"/>
              </w:rPr>
              <w:t>本项目招标代理费由中标方支付，具体收费标准按国家发改委【2011】534号文件和国家计委【2002】1980号文件执行</w:t>
            </w:r>
            <w:r>
              <w:rPr>
                <w:rFonts w:hint="eastAsia" w:ascii="仿宋" w:hAnsi="仿宋" w:eastAsia="仿宋" w:cs="仿宋"/>
                <w:b/>
                <w:color w:val="auto"/>
                <w:sz w:val="24"/>
                <w:szCs w:val="24"/>
                <w:lang w:eastAsia="zh-CN"/>
              </w:rPr>
              <w:t>；</w:t>
            </w:r>
            <w:r>
              <w:rPr>
                <w:rFonts w:hint="eastAsia" w:ascii="仿宋" w:hAnsi="仿宋" w:eastAsia="仿宋" w:cs="仿宋"/>
                <w:b/>
                <w:bCs/>
                <w:color w:val="auto"/>
                <w:sz w:val="24"/>
                <w:szCs w:val="24"/>
              </w:rPr>
              <w:t>收费基数为</w:t>
            </w:r>
            <w:r>
              <w:rPr>
                <w:rFonts w:hint="eastAsia" w:ascii="仿宋" w:hAnsi="仿宋" w:eastAsia="仿宋" w:cs="仿宋"/>
                <w:b/>
                <w:bCs/>
                <w:color w:val="auto"/>
                <w:sz w:val="24"/>
                <w:szCs w:val="24"/>
                <w:lang w:val="en-US" w:eastAsia="zh-CN"/>
              </w:rPr>
              <w:t>合同</w:t>
            </w:r>
            <w:r>
              <w:rPr>
                <w:rFonts w:hint="eastAsia" w:ascii="仿宋" w:hAnsi="仿宋" w:eastAsia="仿宋" w:cs="仿宋"/>
                <w:b/>
                <w:bCs/>
                <w:color w:val="auto"/>
                <w:sz w:val="24"/>
                <w:szCs w:val="24"/>
              </w:rPr>
              <w:t>总金额</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最高不超过1.5万元；</w:t>
            </w:r>
          </w:p>
          <w:p>
            <w:pPr>
              <w:snapToGrid w:val="0"/>
              <w:rPr>
                <w:rFonts w:hint="eastAsia" w:ascii="仿宋" w:hAnsi="仿宋" w:eastAsia="仿宋" w:cs="仿宋"/>
                <w:b/>
                <w:bCs/>
                <w:color w:val="auto"/>
                <w:sz w:val="24"/>
                <w:szCs w:val="24"/>
              </w:rPr>
            </w:pPr>
            <w:r>
              <w:rPr>
                <w:rFonts w:hint="eastAsia" w:ascii="仿宋" w:hAnsi="仿宋" w:eastAsia="仿宋" w:cs="仿宋"/>
                <w:b/>
                <w:color w:val="auto"/>
                <w:sz w:val="24"/>
                <w:szCs w:val="24"/>
              </w:rPr>
              <w:t>2、</w:t>
            </w:r>
            <w:r>
              <w:rPr>
                <w:rFonts w:hint="eastAsia" w:ascii="仿宋" w:hAnsi="仿宋" w:eastAsia="仿宋" w:cs="仿宋"/>
                <w:b/>
                <w:bCs/>
                <w:color w:val="auto"/>
                <w:sz w:val="24"/>
                <w:szCs w:val="24"/>
              </w:rPr>
              <w:t>以上费用由投标人在报价中一并考虑，在领取中标通知书前付清</w:t>
            </w:r>
            <w:r>
              <w:rPr>
                <w:rFonts w:hint="eastAsia" w:ascii="仿宋" w:hAnsi="仿宋" w:eastAsia="仿宋" w:cs="仿宋"/>
                <w:color w:val="auto"/>
                <w:sz w:val="24"/>
                <w:szCs w:val="24"/>
              </w:rPr>
              <w:t>。</w:t>
            </w:r>
          </w:p>
        </w:tc>
      </w:tr>
    </w:tbl>
    <w:p>
      <w:pPr>
        <w:pStyle w:val="23"/>
        <w:ind w:firstLine="560"/>
        <w:rPr>
          <w:rFonts w:ascii="宋体" w:hAnsi="宋体" w:cs="宋体"/>
          <w:sz w:val="28"/>
          <w:szCs w:val="28"/>
        </w:rPr>
      </w:pPr>
    </w:p>
    <w:p>
      <w:pPr>
        <w:pStyle w:val="2"/>
        <w:pageBreakBefore w:val="0"/>
        <w:widowControl w:val="0"/>
        <w:kinsoku/>
        <w:wordWrap/>
        <w:overflowPunct/>
        <w:topLinePunct w:val="0"/>
        <w:bidi w:val="0"/>
        <w:spacing w:before="0" w:after="0" w:line="360" w:lineRule="exact"/>
        <w:jc w:val="center"/>
        <w:textAlignment w:val="auto"/>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一、总   则</w:t>
      </w:r>
      <w:bookmarkEnd w:id="22"/>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color w:val="auto"/>
        </w:rPr>
      </w:pPr>
      <w:r>
        <w:rPr>
          <w:rFonts w:hint="eastAsia" w:ascii="宋体" w:hAnsi="宋体" w:cs="宋体"/>
          <w:b/>
          <w:bCs/>
          <w:color w:val="auto"/>
          <w:sz w:val="24"/>
        </w:rPr>
        <w:t>1</w:t>
      </w:r>
      <w:r>
        <w:rPr>
          <w:rFonts w:hint="eastAsia" w:ascii="仿宋" w:hAnsi="仿宋" w:eastAsia="仿宋" w:cs="仿宋"/>
          <w:b/>
          <w:bCs/>
          <w:color w:val="auto"/>
          <w:sz w:val="24"/>
        </w:rPr>
        <w:t>.</w:t>
      </w:r>
      <w:r>
        <w:rPr>
          <w:rFonts w:hint="eastAsia" w:ascii="仿宋" w:hAnsi="仿宋" w:eastAsia="仿宋" w:cs="仿宋"/>
          <w:b/>
          <w:color w:val="auto"/>
          <w:sz w:val="24"/>
        </w:rPr>
        <w:t>适用范围</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本招标文件适用于本次所述项目的招标。</w:t>
      </w:r>
    </w:p>
    <w:p>
      <w:pPr>
        <w:pageBreakBefore w:val="0"/>
        <w:widowControl w:val="0"/>
        <w:kinsoku/>
        <w:wordWrap/>
        <w:overflowPunct/>
        <w:topLinePunct w:val="0"/>
        <w:bidi w:val="0"/>
        <w:snapToGrid w:val="0"/>
        <w:spacing w:line="360" w:lineRule="exact"/>
        <w:ind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2.定义</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2.1“采购人”系指组织本次招标的采购单位。</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2.2“采购代理机构”系指诸暨市广顺工程管理服务有限公司。</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2.3“投标人”系指向采购人和采购代理机构提交投标文件的供应商。</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2.4“货物”系指供方按招标文件规定，须向采购人提供的一切设备、保险、税 金、备品备件、工具、手册及其它有关技术资料和材料。</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2.5“服务”系指招标文件规定投标人须承担的安装、调试、技术协助、校准、培训、技术指导以及其他类似的义务。</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2.6“项目”系指投标人按招标文件规定向采购人提供的货物和服务。</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2.7“书面形式”包括信函、传真、电报等。</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pageBreakBefore w:val="0"/>
        <w:widowControl w:val="0"/>
        <w:kinsoku/>
        <w:wordWrap/>
        <w:overflowPunct/>
        <w:topLinePunct w:val="0"/>
        <w:bidi w:val="0"/>
        <w:snapToGrid w:val="0"/>
        <w:spacing w:line="36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3.采购方式</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本次采购采用公开招标方式进行。</w:t>
      </w:r>
    </w:p>
    <w:p>
      <w:pPr>
        <w:pageBreakBefore w:val="0"/>
        <w:widowControl w:val="0"/>
        <w:kinsoku/>
        <w:wordWrap/>
        <w:overflowPunct/>
        <w:topLinePunct w:val="0"/>
        <w:bidi w:val="0"/>
        <w:snapToGrid w:val="0"/>
        <w:spacing w:line="360" w:lineRule="exact"/>
        <w:ind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4.投标人及投标委托有关说明</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投标人代表不是法定代表人，须有法定代表人的授权委托书及投标人为其缴纳的近三个月社保证明。投标人代表是法定代表人的，只需提供法定代表人本人身份证复印件并加盖</w:t>
      </w:r>
      <w:r>
        <w:rPr>
          <w:rFonts w:hint="eastAsia" w:ascii="仿宋" w:hAnsi="仿宋" w:eastAsia="仿宋" w:cs="仿宋"/>
          <w:color w:val="auto"/>
          <w:sz w:val="24"/>
          <w:lang w:val="en-US" w:eastAsia="zh-CN"/>
        </w:rPr>
        <w:t>投标人CA签章</w:t>
      </w:r>
      <w:r>
        <w:rPr>
          <w:rFonts w:hint="eastAsia" w:ascii="仿宋" w:hAnsi="仿宋" w:eastAsia="仿宋" w:cs="仿宋"/>
          <w:color w:val="auto"/>
          <w:sz w:val="24"/>
        </w:rPr>
        <w:t>。</w:t>
      </w:r>
    </w:p>
    <w:p>
      <w:pPr>
        <w:pageBreakBefore w:val="0"/>
        <w:widowControl w:val="0"/>
        <w:kinsoku/>
        <w:wordWrap/>
        <w:overflowPunct/>
        <w:topLinePunct w:val="0"/>
        <w:bidi w:val="0"/>
        <w:snapToGrid w:val="0"/>
        <w:spacing w:line="360" w:lineRule="exact"/>
        <w:ind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5.投标费用</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投标人应自行承担获得招标文件和编制、提交投标文件所涉及的一切费用。不论投标结果如何，投标人均应自行承担所有与投标有关的全部费用。对中标人收取采购代理服务费。</w:t>
      </w:r>
    </w:p>
    <w:p>
      <w:pPr>
        <w:pageBreakBefore w:val="0"/>
        <w:widowControl w:val="0"/>
        <w:kinsoku/>
        <w:wordWrap/>
        <w:overflowPunct/>
        <w:topLinePunct w:val="0"/>
        <w:bidi w:val="0"/>
        <w:snapToGrid w:val="0"/>
        <w:spacing w:line="360" w:lineRule="exact"/>
        <w:ind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6.特别说明：</w:t>
      </w:r>
    </w:p>
    <w:p>
      <w:pPr>
        <w:pStyle w:val="15"/>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rPr>
      </w:pPr>
      <w:r>
        <w:rPr>
          <w:rFonts w:hint="eastAsia" w:ascii="仿宋" w:hAnsi="仿宋" w:eastAsia="仿宋" w:cs="仿宋"/>
        </w:rPr>
        <w:t>6.1投标人应仔细阅读招标文件的所有内容，按照招标文件的要求提交投标文件，并对所提供的全部资料的真实性承担法律责任。</w:t>
      </w:r>
    </w:p>
    <w:p>
      <w:pPr>
        <w:pStyle w:val="15"/>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rPr>
      </w:pPr>
      <w:r>
        <w:rPr>
          <w:rFonts w:hint="eastAsia" w:ascii="仿宋" w:hAnsi="仿宋" w:eastAsia="仿宋" w:cs="仿宋"/>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5"/>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rPr>
      </w:pPr>
      <w:r>
        <w:rPr>
          <w:rFonts w:hint="eastAsia" w:ascii="仿宋" w:hAnsi="仿宋" w:eastAsia="仿宋" w:cs="仿宋"/>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5"/>
        <w:pageBreakBefore w:val="0"/>
        <w:widowControl w:val="0"/>
        <w:kinsoku/>
        <w:wordWrap/>
        <w:overflowPunct/>
        <w:topLinePunct w:val="0"/>
        <w:bidi w:val="0"/>
        <w:snapToGrid w:val="0"/>
        <w:spacing w:line="360" w:lineRule="exact"/>
        <w:ind w:left="2" w:leftChars="1" w:firstLine="480" w:firstLineChars="200"/>
        <w:textAlignment w:val="auto"/>
        <w:rPr>
          <w:rFonts w:hint="eastAsia" w:ascii="仿宋" w:hAnsi="仿宋" w:eastAsia="仿宋" w:cs="仿宋"/>
        </w:rPr>
      </w:pPr>
      <w:r>
        <w:rPr>
          <w:rFonts w:hint="eastAsia" w:ascii="仿宋" w:hAnsi="仿宋" w:eastAsia="仿宋" w:cs="仿宋"/>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pPr>
        <w:pStyle w:val="15"/>
        <w:pageBreakBefore w:val="0"/>
        <w:widowControl w:val="0"/>
        <w:kinsoku/>
        <w:wordWrap/>
        <w:overflowPunct/>
        <w:topLinePunct w:val="0"/>
        <w:bidi w:val="0"/>
        <w:snapToGrid w:val="0"/>
        <w:spacing w:line="360" w:lineRule="exact"/>
        <w:ind w:left="2" w:leftChars="1" w:firstLine="480" w:firstLineChars="200"/>
        <w:textAlignment w:val="auto"/>
        <w:rPr>
          <w:rFonts w:hint="eastAsia" w:ascii="仿宋" w:hAnsi="仿宋" w:eastAsia="仿宋" w:cs="仿宋"/>
        </w:rPr>
      </w:pPr>
      <w:r>
        <w:rPr>
          <w:rFonts w:hint="eastAsia" w:ascii="仿宋" w:hAnsi="仿宋" w:eastAsia="仿宋" w:cs="仿宋"/>
        </w:rPr>
        <w:t>6.5本项目涉及采购货物必须是全新、未使用过的原装合格正品（包括零部件），如安装或配置了软件的，须为正版软件。</w:t>
      </w:r>
    </w:p>
    <w:p>
      <w:pPr>
        <w:pStyle w:val="15"/>
        <w:pageBreakBefore w:val="0"/>
        <w:widowControl w:val="0"/>
        <w:kinsoku/>
        <w:wordWrap/>
        <w:overflowPunct/>
        <w:topLinePunct w:val="0"/>
        <w:bidi w:val="0"/>
        <w:snapToGrid w:val="0"/>
        <w:spacing w:line="360" w:lineRule="exact"/>
        <w:ind w:left="2" w:leftChars="1" w:firstLine="480" w:firstLineChars="200"/>
        <w:textAlignment w:val="auto"/>
        <w:rPr>
          <w:rFonts w:hint="eastAsia" w:ascii="仿宋" w:hAnsi="仿宋" w:eastAsia="仿宋" w:cs="仿宋"/>
        </w:rPr>
      </w:pPr>
      <w:r>
        <w:rPr>
          <w:rFonts w:hint="eastAsia" w:ascii="仿宋" w:hAnsi="仿宋" w:eastAsia="仿宋" w:cs="仿宋"/>
        </w:rPr>
        <w:t>6.6国产的货物及其有关服务必须符合中华人民共和国的设计和制造生产标准或行业标准。招标公告有其他要求的，亦应符合其要求。</w:t>
      </w:r>
    </w:p>
    <w:p>
      <w:pPr>
        <w:pStyle w:val="15"/>
        <w:pageBreakBefore w:val="0"/>
        <w:widowControl w:val="0"/>
        <w:kinsoku/>
        <w:wordWrap/>
        <w:overflowPunct/>
        <w:topLinePunct w:val="0"/>
        <w:bidi w:val="0"/>
        <w:snapToGrid w:val="0"/>
        <w:spacing w:line="360" w:lineRule="exact"/>
        <w:ind w:left="2" w:leftChars="1" w:firstLine="480" w:firstLineChars="200"/>
        <w:textAlignment w:val="auto"/>
        <w:rPr>
          <w:rFonts w:hint="eastAsia" w:ascii="仿宋" w:hAnsi="仿宋" w:eastAsia="仿宋" w:cs="仿宋"/>
        </w:rPr>
      </w:pPr>
      <w:r>
        <w:rPr>
          <w:rFonts w:hint="eastAsia" w:ascii="仿宋" w:hAnsi="仿宋" w:eastAsia="仿宋" w:cs="仿宋"/>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pageBreakBefore w:val="0"/>
        <w:widowControl w:val="0"/>
        <w:kinsoku/>
        <w:wordWrap/>
        <w:overflowPunct/>
        <w:topLinePunct w:val="0"/>
        <w:bidi w:val="0"/>
        <w:snapToGrid w:val="0"/>
        <w:spacing w:line="360" w:lineRule="exact"/>
        <w:ind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7.质疑和投诉</w:t>
      </w:r>
    </w:p>
    <w:p>
      <w:pPr>
        <w:pStyle w:val="15"/>
        <w:pageBreakBefore w:val="0"/>
        <w:widowControl w:val="0"/>
        <w:kinsoku/>
        <w:wordWrap/>
        <w:overflowPunct/>
        <w:topLinePunct w:val="0"/>
        <w:bidi w:val="0"/>
        <w:snapToGrid w:val="0"/>
        <w:spacing w:line="360" w:lineRule="exact"/>
        <w:ind w:left="1" w:firstLine="480" w:firstLineChars="200"/>
        <w:textAlignment w:val="auto"/>
        <w:rPr>
          <w:rFonts w:hint="eastAsia" w:ascii="仿宋" w:hAnsi="仿宋" w:eastAsia="仿宋" w:cs="仿宋"/>
        </w:rPr>
      </w:pPr>
      <w:r>
        <w:rPr>
          <w:rFonts w:hint="eastAsia" w:ascii="仿宋" w:hAnsi="仿宋" w:eastAsia="仿宋" w:cs="仿宋"/>
          <w:bCs/>
        </w:rPr>
        <w:t>7.1投标人认为招标文件、招标过程和中标结果使自己的合法权益受到损害的，应当在知道或者</w:t>
      </w:r>
      <w:r>
        <w:rPr>
          <w:rFonts w:hint="eastAsia" w:ascii="仿宋" w:hAnsi="仿宋" w:eastAsia="仿宋" w:cs="仿宋"/>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逾期提出的，采购代理机构不予受理、答复。</w:t>
      </w:r>
    </w:p>
    <w:p>
      <w:pPr>
        <w:pStyle w:val="3"/>
        <w:pageBreakBefore w:val="0"/>
        <w:widowControl w:val="0"/>
        <w:kinsoku/>
        <w:wordWrap/>
        <w:overflowPunct/>
        <w:topLinePunct w:val="0"/>
        <w:bidi w:val="0"/>
        <w:spacing w:line="36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7.1.1</w:t>
      </w:r>
      <w:r>
        <w:rPr>
          <w:rFonts w:hint="eastAsia" w:ascii="仿宋" w:hAnsi="仿宋" w:eastAsia="仿宋" w:cs="仿宋"/>
          <w:color w:val="000000" w:themeColor="text1"/>
          <w:sz w:val="24"/>
          <w:szCs w:val="24"/>
          <w14:textFill>
            <w14:solidFill>
              <w14:schemeClr w14:val="tx1"/>
            </w14:solidFill>
          </w14:textFill>
        </w:rPr>
        <w:t>对采购文件提出质疑的，为获取采购文件之日或者采购文件公告期限届满之日（在公告期限届满后获取采购文件的，以公告期限届满之日为准）</w:t>
      </w:r>
      <w:r>
        <w:rPr>
          <w:rFonts w:hint="eastAsia" w:ascii="仿宋" w:hAnsi="仿宋" w:eastAsia="仿宋" w:cs="仿宋"/>
          <w:color w:val="000000" w:themeColor="text1"/>
          <w:sz w:val="24"/>
          <w:szCs w:val="24"/>
          <w:lang w:eastAsia="zh-CN"/>
          <w14:textFill>
            <w14:solidFill>
              <w14:schemeClr w14:val="tx1"/>
            </w14:solidFill>
          </w14:textFill>
        </w:rPr>
        <w:t>。</w:t>
      </w:r>
    </w:p>
    <w:p>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left="0" w:lef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7.1.2</w:t>
      </w:r>
      <w:r>
        <w:rPr>
          <w:rFonts w:hint="eastAsia" w:ascii="仿宋" w:hAnsi="仿宋" w:eastAsia="仿宋" w:cs="仿宋"/>
          <w:color w:val="000000" w:themeColor="text1"/>
          <w:sz w:val="24"/>
          <w:szCs w:val="24"/>
          <w14:textFill>
            <w14:solidFill>
              <w14:schemeClr w14:val="tx1"/>
            </w14:solidFill>
          </w14:textFill>
        </w:rPr>
        <w:t>对采购过程提出质疑的，为各采购程序环节结束之日</w:t>
      </w:r>
      <w:r>
        <w:rPr>
          <w:rFonts w:hint="eastAsia" w:ascii="仿宋" w:hAnsi="仿宋" w:eastAsia="仿宋" w:cs="仿宋"/>
          <w:color w:val="000000" w:themeColor="text1"/>
          <w:sz w:val="24"/>
          <w:szCs w:val="24"/>
          <w:lang w:eastAsia="zh-CN"/>
          <w14:textFill>
            <w14:solidFill>
              <w14:schemeClr w14:val="tx1"/>
            </w14:solidFill>
          </w14:textFill>
        </w:rPr>
        <w:t>。</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7.1.3</w:t>
      </w:r>
      <w:r>
        <w:rPr>
          <w:rFonts w:hint="eastAsia" w:ascii="仿宋" w:hAnsi="仿宋" w:eastAsia="仿宋" w:cs="仿宋"/>
          <w:color w:val="000000" w:themeColor="text1"/>
          <w:sz w:val="24"/>
          <w:szCs w:val="24"/>
          <w14:textFill>
            <w14:solidFill>
              <w14:schemeClr w14:val="tx1"/>
            </w14:solidFill>
          </w14:textFill>
        </w:rPr>
        <w:t>对采购结果提出质疑的，为采购结果公告期限届满之日</w:t>
      </w:r>
      <w:r>
        <w:rPr>
          <w:rFonts w:hint="eastAsia" w:ascii="仿宋" w:hAnsi="仿宋" w:eastAsia="仿宋" w:cs="仿宋"/>
          <w:color w:val="000000" w:themeColor="text1"/>
          <w:sz w:val="24"/>
          <w:szCs w:val="24"/>
          <w:lang w:eastAsia="zh-CN"/>
          <w14:textFill>
            <w14:solidFill>
              <w14:schemeClr w14:val="tx1"/>
            </w14:solidFill>
          </w14:textFill>
        </w:rPr>
        <w:t>。</w:t>
      </w:r>
    </w:p>
    <w:p>
      <w:pPr>
        <w:pStyle w:val="15"/>
        <w:pageBreakBefore w:val="0"/>
        <w:widowControl w:val="0"/>
        <w:kinsoku/>
        <w:wordWrap/>
        <w:overflowPunct/>
        <w:topLinePunct w:val="0"/>
        <w:bidi w:val="0"/>
        <w:snapToGrid w:val="0"/>
        <w:spacing w:line="360" w:lineRule="exact"/>
        <w:ind w:left="1" w:firstLine="480" w:firstLineChars="200"/>
        <w:textAlignment w:val="auto"/>
        <w:rPr>
          <w:rFonts w:hint="eastAsia" w:ascii="仿宋" w:hAnsi="仿宋" w:eastAsia="仿宋" w:cs="仿宋"/>
        </w:rPr>
      </w:pPr>
      <w:r>
        <w:rPr>
          <w:rFonts w:hint="eastAsia" w:ascii="仿宋" w:hAnsi="仿宋" w:eastAsia="仿宋" w:cs="仿宋"/>
          <w:bCs/>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rPr>
        <w:t>其来源或线索，便于有关单位调查、答复和处理。</w:t>
      </w:r>
    </w:p>
    <w:p>
      <w:pPr>
        <w:pStyle w:val="15"/>
        <w:pageBreakBefore w:val="0"/>
        <w:widowControl w:val="0"/>
        <w:kinsoku/>
        <w:wordWrap/>
        <w:overflowPunct/>
        <w:topLinePunct w:val="0"/>
        <w:bidi w:val="0"/>
        <w:snapToGrid w:val="0"/>
        <w:spacing w:line="360" w:lineRule="exact"/>
        <w:ind w:left="1" w:firstLine="480" w:firstLineChars="200"/>
        <w:textAlignment w:val="auto"/>
        <w:rPr>
          <w:rFonts w:hint="eastAsia" w:ascii="仿宋" w:hAnsi="仿宋" w:eastAsia="仿宋" w:cs="仿宋"/>
          <w:szCs w:val="24"/>
        </w:rPr>
      </w:pPr>
      <w:r>
        <w:rPr>
          <w:rFonts w:hint="eastAsia" w:ascii="仿宋" w:hAnsi="仿宋" w:eastAsia="仿宋" w:cs="仿宋"/>
        </w:rPr>
        <w:t>7.3</w:t>
      </w:r>
      <w:r>
        <w:rPr>
          <w:rFonts w:hint="eastAsia" w:ascii="仿宋" w:hAnsi="仿宋" w:eastAsia="仿宋" w:cs="仿宋"/>
          <w:szCs w:val="24"/>
        </w:rPr>
        <w:t>采购代理机构与采购人研究后，对认为有必要回答的问题，采购人和采购代理机构将补充（更正）以网上发布公告的形式通知所有投标人，补充（更正）是招标文件的组成部份。</w:t>
      </w:r>
    </w:p>
    <w:p>
      <w:pPr>
        <w:pStyle w:val="15"/>
        <w:pageBreakBefore w:val="0"/>
        <w:widowControl w:val="0"/>
        <w:kinsoku/>
        <w:wordWrap/>
        <w:overflowPunct/>
        <w:topLinePunct w:val="0"/>
        <w:bidi w:val="0"/>
        <w:snapToGrid w:val="0"/>
        <w:spacing w:line="360" w:lineRule="exact"/>
        <w:ind w:left="1" w:firstLine="480" w:firstLineChars="200"/>
        <w:textAlignment w:val="auto"/>
        <w:rPr>
          <w:rFonts w:hint="eastAsia" w:ascii="仿宋" w:hAnsi="仿宋" w:eastAsia="仿宋" w:cs="仿宋"/>
          <w:szCs w:val="24"/>
        </w:rPr>
      </w:pPr>
      <w:r>
        <w:rPr>
          <w:rFonts w:hint="eastAsia" w:ascii="仿宋" w:hAnsi="仿宋" w:eastAsia="仿宋" w:cs="仿宋"/>
          <w:szCs w:val="24"/>
        </w:rPr>
        <w:t>7.4</w:t>
      </w:r>
      <w:r>
        <w:rPr>
          <w:rFonts w:hint="eastAsia" w:ascii="仿宋" w:hAnsi="仿宋" w:eastAsia="仿宋" w:cs="仿宋"/>
          <w:b/>
          <w:u w:val="single"/>
        </w:rPr>
        <w:t>质疑供应商在收到该更正（补充）公告后应于1日内，以书面或传真形式（签署意见并加盖公章）向采购代理机构回函给予确认。过期未回复的，视为默认接受。</w:t>
      </w:r>
    </w:p>
    <w:p>
      <w:pPr>
        <w:pStyle w:val="2"/>
        <w:pageBreakBefore w:val="0"/>
        <w:widowControl w:val="0"/>
        <w:kinsoku/>
        <w:wordWrap/>
        <w:overflowPunct/>
        <w:topLinePunct w:val="0"/>
        <w:bidi w:val="0"/>
        <w:spacing w:before="0" w:after="0" w:line="360" w:lineRule="exact"/>
        <w:jc w:val="center"/>
        <w:textAlignment w:val="auto"/>
        <w:rPr>
          <w:rFonts w:hint="eastAsia" w:ascii="仿宋" w:hAnsi="仿宋" w:eastAsia="仿宋" w:cs="仿宋"/>
          <w:sz w:val="28"/>
          <w:szCs w:val="28"/>
        </w:rPr>
      </w:pPr>
      <w:bookmarkStart w:id="23" w:name="_Toc125344504"/>
      <w:r>
        <w:rPr>
          <w:rFonts w:hint="eastAsia" w:ascii="仿宋" w:hAnsi="仿宋" w:eastAsia="仿宋" w:cs="仿宋"/>
          <w:sz w:val="28"/>
          <w:szCs w:val="28"/>
        </w:rPr>
        <w:t>二、招标文件</w:t>
      </w:r>
      <w:bookmarkEnd w:id="23"/>
    </w:p>
    <w:p>
      <w:pPr>
        <w:pageBreakBefore w:val="0"/>
        <w:widowControl w:val="0"/>
        <w:kinsoku/>
        <w:wordWrap/>
        <w:overflowPunct/>
        <w:topLinePunct w:val="0"/>
        <w:bidi w:val="0"/>
        <w:snapToGrid w:val="0"/>
        <w:spacing w:line="360" w:lineRule="exact"/>
        <w:ind w:firstLine="354" w:firstLineChars="147"/>
        <w:jc w:val="left"/>
        <w:textAlignment w:val="auto"/>
        <w:rPr>
          <w:rFonts w:hint="eastAsia" w:ascii="仿宋" w:hAnsi="仿宋" w:eastAsia="仿宋" w:cs="仿宋"/>
          <w:b/>
          <w:color w:val="auto"/>
          <w:sz w:val="24"/>
        </w:rPr>
      </w:pPr>
      <w:r>
        <w:rPr>
          <w:rFonts w:hint="eastAsia" w:ascii="仿宋" w:hAnsi="仿宋" w:eastAsia="仿宋" w:cs="仿宋"/>
          <w:b/>
          <w:color w:val="auto"/>
          <w:sz w:val="24"/>
        </w:rPr>
        <w:t>8.招标文件的构成。</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本招标文件由以下部份组成：</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8.1招标公告；</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8.2投标须知；</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8.3评标办法及评分标准；</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8.4采购需求；</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8.5应提交的有关格式范例；</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8.6本项目招标文件的澄清、答复、修改、补充的内容。</w:t>
      </w:r>
    </w:p>
    <w:p>
      <w:pPr>
        <w:pageBreakBefore w:val="0"/>
        <w:widowControl w:val="0"/>
        <w:kinsoku/>
        <w:wordWrap/>
        <w:overflowPunct/>
        <w:topLinePunct w:val="0"/>
        <w:bidi w:val="0"/>
        <w:snapToGrid w:val="0"/>
        <w:spacing w:line="360" w:lineRule="exact"/>
        <w:ind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9.投标人的风险</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pageBreakBefore w:val="0"/>
        <w:widowControl w:val="0"/>
        <w:kinsoku/>
        <w:wordWrap/>
        <w:overflowPunct/>
        <w:topLinePunct w:val="0"/>
        <w:bidi w:val="0"/>
        <w:snapToGrid w:val="0"/>
        <w:spacing w:line="360" w:lineRule="exact"/>
        <w:ind w:firstLine="472" w:firstLineChars="196"/>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 xml:space="preserve">10.招标文件的澄清与修改 </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szCs w:val="24"/>
        </w:rPr>
      </w:pPr>
      <w:r>
        <w:rPr>
          <w:rFonts w:hint="eastAsia" w:ascii="仿宋" w:hAnsi="仿宋" w:eastAsia="仿宋" w:cs="仿宋"/>
        </w:rPr>
        <w:t>10.1</w:t>
      </w:r>
      <w:r>
        <w:rPr>
          <w:rFonts w:hint="eastAsia" w:ascii="仿宋" w:hAnsi="仿宋" w:eastAsia="仿宋" w:cs="仿宋"/>
          <w:bCs/>
        </w:rPr>
        <w:t>投标人下载招标文件后，应认真阅读本招标文件的所有内容，发现其中有误或有不合理要求的，投标人必须按前附表规定的时间前以书面形式</w:t>
      </w:r>
      <w:r>
        <w:rPr>
          <w:rFonts w:hint="eastAsia" w:ascii="仿宋" w:hAnsi="仿宋" w:eastAsia="仿宋" w:cs="仿宋"/>
        </w:rPr>
        <w:t>(包括书面文字、传真等)</w:t>
      </w:r>
      <w:r>
        <w:rPr>
          <w:rFonts w:hint="eastAsia" w:ascii="仿宋" w:hAnsi="仿宋" w:eastAsia="仿宋" w:cs="仿宋"/>
          <w:bCs/>
        </w:rPr>
        <w:t>要求采购人澄清</w:t>
      </w:r>
      <w:r>
        <w:rPr>
          <w:rFonts w:hint="eastAsia" w:ascii="仿宋" w:hAnsi="仿宋" w:eastAsia="仿宋" w:cs="仿宋"/>
        </w:rPr>
        <w:t>。逾期提出的，采购人将不予受理。</w:t>
      </w:r>
      <w:r>
        <w:rPr>
          <w:rFonts w:hint="eastAsia" w:ascii="仿宋" w:hAnsi="仿宋" w:eastAsia="仿宋" w:cs="仿宋"/>
          <w:szCs w:val="24"/>
        </w:rPr>
        <w:t>采购代理机构与采购人研究后，对认为有必要回答的问题，采购人将补充（更正内容）以网上发布公告的形式通知所有投标人，补充（更正）内容是招标文件的组成部份。投标人可以通过</w:t>
      </w:r>
      <w:r>
        <w:rPr>
          <w:rFonts w:hint="eastAsia" w:ascii="仿宋" w:hAnsi="仿宋" w:eastAsia="仿宋" w:cs="仿宋"/>
          <w:szCs w:val="24"/>
          <w:lang w:val="en-US" w:eastAsia="zh-CN"/>
        </w:rPr>
        <w:t>浙江政府采购网或</w:t>
      </w:r>
      <w:r>
        <w:rPr>
          <w:rFonts w:hint="eastAsia" w:ascii="仿宋" w:hAnsi="仿宋" w:eastAsia="仿宋" w:cs="仿宋"/>
          <w:szCs w:val="24"/>
        </w:rPr>
        <w:t>诸暨市公共资源交易网自行下载，以确认已阅知该澄清或修改内容，否则，由此导致的风险由投标人自行承担，采购人不承担任何责任。</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szCs w:val="24"/>
        </w:rPr>
      </w:pPr>
      <w:r>
        <w:rPr>
          <w:rFonts w:hint="eastAsia" w:ascii="仿宋" w:hAnsi="仿宋" w:eastAsia="仿宋" w:cs="仿宋"/>
          <w:szCs w:val="24"/>
        </w:rPr>
        <w:t>10.2</w:t>
      </w:r>
      <w:r>
        <w:rPr>
          <w:rFonts w:hint="eastAsia" w:ascii="仿宋" w:hAnsi="仿宋" w:eastAsia="仿宋" w:cs="仿宋"/>
        </w:rPr>
        <w:t>招标文件澄清、答复、修改、补充的内容为招标文件的组成部分。当招标文件与招标文件的答复、澄清、修改、补充公告就同一内容的表述不一致时，以最后发出的文件或公告或通知为准。</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10.4为使投标人在编制投标文件时，把补充公告内容进行研究，采购代理机构可以酌情推迟递交投标文件的截止时间。</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10.5投标人一旦参与本次招标活动，即被视为接受了本招标文件的所有内容，如有任何异议，均须在答疑截止时间前提出。</w:t>
      </w:r>
    </w:p>
    <w:p>
      <w:pPr>
        <w:pStyle w:val="2"/>
        <w:pageBreakBefore w:val="0"/>
        <w:widowControl w:val="0"/>
        <w:kinsoku/>
        <w:wordWrap/>
        <w:overflowPunct/>
        <w:topLinePunct w:val="0"/>
        <w:bidi w:val="0"/>
        <w:spacing w:before="0" w:after="0" w:line="360" w:lineRule="exact"/>
        <w:jc w:val="center"/>
        <w:textAlignment w:val="auto"/>
        <w:rPr>
          <w:rFonts w:hint="eastAsia" w:ascii="仿宋" w:hAnsi="仿宋" w:eastAsia="仿宋" w:cs="仿宋"/>
          <w:sz w:val="28"/>
          <w:szCs w:val="28"/>
        </w:rPr>
      </w:pPr>
      <w:bookmarkStart w:id="24" w:name="_Toc125344505"/>
      <w:r>
        <w:rPr>
          <w:rFonts w:hint="eastAsia" w:ascii="仿宋" w:hAnsi="仿宋" w:eastAsia="仿宋" w:cs="仿宋"/>
          <w:sz w:val="28"/>
          <w:szCs w:val="28"/>
        </w:rPr>
        <w:t>三、投标文件编制</w:t>
      </w:r>
      <w:bookmarkEnd w:id="24"/>
      <w:r>
        <w:rPr>
          <w:rFonts w:hint="eastAsia" w:ascii="仿宋" w:hAnsi="仿宋" w:eastAsia="仿宋" w:cs="仿宋"/>
          <w:sz w:val="28"/>
          <w:szCs w:val="28"/>
        </w:rPr>
        <w:t>和提交</w:t>
      </w:r>
    </w:p>
    <w:p>
      <w:pPr>
        <w:pageBreakBefore w:val="0"/>
        <w:widowControl w:val="0"/>
        <w:kinsoku/>
        <w:wordWrap/>
        <w:overflowPunct/>
        <w:topLinePunct w:val="0"/>
        <w:bidi w:val="0"/>
        <w:snapToGrid w:val="0"/>
        <w:spacing w:line="360" w:lineRule="exact"/>
        <w:ind w:firstLine="354" w:firstLineChars="147"/>
        <w:jc w:val="lef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11.投标文件的组成</w:t>
      </w:r>
    </w:p>
    <w:p>
      <w:pPr>
        <w:pageBreakBefore w:val="0"/>
        <w:widowControl w:val="0"/>
        <w:kinsoku/>
        <w:wordWrap/>
        <w:overflowPunct/>
        <w:topLinePunct w:val="0"/>
        <w:bidi w:val="0"/>
        <w:snapToGrid w:val="0"/>
        <w:spacing w:line="360" w:lineRule="exact"/>
        <w:ind w:firstLine="360" w:firstLineChars="150"/>
        <w:jc w:val="left"/>
        <w:textAlignment w:val="auto"/>
        <w:rPr>
          <w:rFonts w:hint="eastAsia" w:ascii="仿宋" w:hAnsi="仿宋" w:eastAsia="仿宋" w:cs="仿宋"/>
          <w:color w:val="auto"/>
          <w:sz w:val="24"/>
        </w:rPr>
      </w:pPr>
      <w:r>
        <w:rPr>
          <w:rFonts w:hint="eastAsia" w:ascii="仿宋" w:hAnsi="仿宋" w:eastAsia="仿宋" w:cs="仿宋"/>
          <w:color w:val="auto"/>
          <w:sz w:val="24"/>
        </w:rPr>
        <w:t>投标文件由资格文件、商务技术文件、报价文件三部分组成。详见前附表。</w:t>
      </w:r>
    </w:p>
    <w:p>
      <w:pPr>
        <w:pageBreakBefore w:val="0"/>
        <w:widowControl w:val="0"/>
        <w:kinsoku/>
        <w:wordWrap/>
        <w:overflowPunct/>
        <w:topLinePunct w:val="0"/>
        <w:bidi w:val="0"/>
        <w:snapToGrid w:val="0"/>
        <w:spacing w:line="360" w:lineRule="exact"/>
        <w:ind w:firstLine="354" w:firstLineChars="147"/>
        <w:jc w:val="lef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12.投标文件的语言及计量</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12.2投标计量单位，招标文件已有明确规定的，使用招标文件规定的计量单位；招标文件没有规定的，应采用中华人民共和国法定计量单位（货币单位：人民币元），否则视同未响应。</w:t>
      </w:r>
    </w:p>
    <w:p>
      <w:pPr>
        <w:pageBreakBefore w:val="0"/>
        <w:widowControl w:val="0"/>
        <w:kinsoku/>
        <w:wordWrap/>
        <w:overflowPunct/>
        <w:topLinePunct w:val="0"/>
        <w:bidi w:val="0"/>
        <w:snapToGrid w:val="0"/>
        <w:spacing w:line="360" w:lineRule="exact"/>
        <w:ind w:firstLine="354" w:firstLineChars="147"/>
        <w:jc w:val="lef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13.投标报价</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13.1投标报价应按招标文件中相关附表格式填写。本项目的投标应以人民币计。</w:t>
      </w:r>
    </w:p>
    <w:p>
      <w:pPr>
        <w:pStyle w:val="15"/>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13.2投标报价应包括货款、标准附件、备品备件、专用工具、包装、运输、装卸、保险、税金、货到就位以及安装、调试、培训、保修等一切费用。投标报价（包括单价、总价等）均保留到小数点后两位（如：100.88元）。投标人必须报有合理单价，其将作为设备增减的主要依据。如有漏项，视同已包含在其它项目中，合同总价和单价不做调整。</w:t>
      </w:r>
    </w:p>
    <w:p>
      <w:pPr>
        <w:pStyle w:val="15"/>
        <w:pageBreakBefore w:val="0"/>
        <w:widowControl w:val="0"/>
        <w:kinsoku/>
        <w:wordWrap/>
        <w:overflowPunct/>
        <w:topLinePunct w:val="0"/>
        <w:bidi w:val="0"/>
        <w:snapToGrid w:val="0"/>
        <w:spacing w:line="360" w:lineRule="exact"/>
        <w:ind w:firstLine="482" w:firstLineChars="200"/>
        <w:textAlignment w:val="auto"/>
        <w:rPr>
          <w:rFonts w:hint="eastAsia" w:ascii="仿宋" w:hAnsi="仿宋" w:eastAsia="仿宋" w:cs="仿宋"/>
        </w:rPr>
      </w:pPr>
      <w:r>
        <w:rPr>
          <w:rFonts w:hint="eastAsia" w:ascii="仿宋" w:hAnsi="仿宋" w:eastAsia="仿宋" w:cs="仿宋"/>
          <w:b/>
          <w:bCs/>
        </w:rPr>
        <w:t>13.3投标文件只允许有一个报价，有选择的或有条件的报价将不予接受</w:t>
      </w:r>
      <w:r>
        <w:rPr>
          <w:rFonts w:hint="eastAsia" w:ascii="仿宋" w:hAnsi="仿宋" w:eastAsia="仿宋" w:cs="仿宋"/>
        </w:rPr>
        <w:t>。</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13.4招标文件未列明，而投标人认为必需的费用也需列入报价。</w:t>
      </w:r>
    </w:p>
    <w:p>
      <w:pPr>
        <w:pStyle w:val="15"/>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Cs w:val="24"/>
        </w:rPr>
      </w:pPr>
      <w:r>
        <w:rPr>
          <w:rFonts w:hint="eastAsia" w:ascii="仿宋" w:hAnsi="仿宋" w:eastAsia="仿宋" w:cs="仿宋"/>
        </w:rPr>
        <w:t>13.5</w:t>
      </w:r>
      <w:r>
        <w:rPr>
          <w:rFonts w:hint="eastAsia" w:ascii="仿宋" w:hAnsi="仿宋" w:eastAsia="仿宋" w:cs="仿宋"/>
          <w:szCs w:val="24"/>
        </w:rPr>
        <w:t>中标后，中标人所填写的单价在合同实施期间不因市场变化因素而变动，投标人在计算报价时应考虑一定的风险系数。</w:t>
      </w:r>
    </w:p>
    <w:p>
      <w:pPr>
        <w:pStyle w:val="8"/>
        <w:pageBreakBefore w:val="0"/>
        <w:widowControl w:val="0"/>
        <w:numPr>
          <w:ilvl w:val="0"/>
          <w:numId w:val="0"/>
        </w:numPr>
        <w:tabs>
          <w:tab w:val="left" w:pos="720"/>
          <w:tab w:val="clear" w:pos="360"/>
        </w:tabs>
        <w:kinsoku/>
        <w:wordWrap/>
        <w:overflowPunct/>
        <w:topLinePunct w:val="0"/>
        <w:bidi w:val="0"/>
        <w:snapToGrid w:val="0"/>
        <w:spacing w:line="360" w:lineRule="exact"/>
        <w:ind w:leftChars="147"/>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14.投标文件的有效期</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14.1</w:t>
      </w:r>
      <w:r>
        <w:rPr>
          <w:rFonts w:hint="eastAsia" w:ascii="仿宋" w:hAnsi="仿宋" w:eastAsia="仿宋" w:cs="仿宋"/>
          <w:szCs w:val="21"/>
        </w:rPr>
        <w:t>投标有效期为从投标截止之日算起的日历天数，</w:t>
      </w:r>
      <w:r>
        <w:rPr>
          <w:rFonts w:hint="eastAsia" w:ascii="仿宋" w:hAnsi="仿宋" w:eastAsia="仿宋" w:cs="仿宋"/>
        </w:rPr>
        <w:t>自投标截止日起90天投标书应保持有效。如采购人认为必要，可延长投标有效期。有效期短于这个规定期限的投标将被拒绝。</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14.2在特殊情况下，采购人可与投标人协商延长投标书的有效期，这种要求和答复均以书面形式进行。</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14.3投标人可拒绝接受延期要求，但其投标在原投标有效期满后不再有效。同意延长有效期的投标人不能修改投标文件。</w:t>
      </w:r>
    </w:p>
    <w:p>
      <w:pPr>
        <w:pStyle w:val="15"/>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rPr>
      </w:pPr>
      <w:r>
        <w:rPr>
          <w:rFonts w:hint="eastAsia" w:ascii="仿宋" w:hAnsi="仿宋" w:eastAsia="仿宋" w:cs="仿宋"/>
        </w:rPr>
        <w:t>14.4中标人的投标文件自开标之日起至合同履行完毕止均应保持有效。</w:t>
      </w:r>
    </w:p>
    <w:p>
      <w:pPr>
        <w:pageBreakBefore w:val="0"/>
        <w:widowControl w:val="0"/>
        <w:kinsoku/>
        <w:wordWrap/>
        <w:overflowPunct/>
        <w:topLinePunct w:val="0"/>
        <w:bidi w:val="0"/>
        <w:snapToGrid w:val="0"/>
        <w:spacing w:line="360" w:lineRule="exact"/>
        <w:ind w:firstLine="354" w:firstLineChars="147"/>
        <w:jc w:val="left"/>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15.投标保证金</w:t>
      </w:r>
    </w:p>
    <w:p>
      <w:pPr>
        <w:pageBreakBefore w:val="0"/>
        <w:widowControl w:val="0"/>
        <w:kinsoku/>
        <w:wordWrap/>
        <w:overflowPunct/>
        <w:topLinePunct w:val="0"/>
        <w:bidi w:val="0"/>
        <w:snapToGrid w:val="0"/>
        <w:spacing w:line="360" w:lineRule="exact"/>
        <w:ind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本项目免收投标保证金。</w:t>
      </w:r>
    </w:p>
    <w:p>
      <w:pPr>
        <w:pageBreakBefore w:val="0"/>
        <w:widowControl w:val="0"/>
        <w:kinsoku/>
        <w:wordWrap/>
        <w:overflowPunct/>
        <w:topLinePunct w:val="0"/>
        <w:bidi w:val="0"/>
        <w:snapToGrid w:val="0"/>
        <w:spacing w:line="360" w:lineRule="exact"/>
        <w:ind w:firstLine="472" w:firstLineChars="196"/>
        <w:jc w:val="left"/>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16.投标文件的制作</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16.1投标人应按招标文件前附表规定的内容编制投标文件。</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16.2投标人应按本招标文件规定的格式和顺序编制投标文件并标注页码，投标文件内容不完整、编排混乱导致投标文件被误读、漏读或者查找不到相关内容的，是投标人的责任。</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b/>
          <w:color w:val="auto"/>
          <w:u w:val="single"/>
        </w:rPr>
      </w:pPr>
      <w:r>
        <w:rPr>
          <w:rFonts w:hint="eastAsia" w:ascii="仿宋" w:hAnsi="仿宋" w:eastAsia="仿宋" w:cs="仿宋"/>
          <w:color w:val="auto"/>
          <w:sz w:val="24"/>
          <w:szCs w:val="24"/>
        </w:rPr>
        <w:t>16.3投标文件须由投标人在规定位置盖章并由法定代表人或法定代表授权人签署，投标人应写全称。</w:t>
      </w:r>
      <w:r>
        <w:rPr>
          <w:rFonts w:hint="eastAsia" w:ascii="仿宋" w:hAnsi="仿宋" w:eastAsia="仿宋" w:cs="仿宋"/>
          <w:b/>
          <w:color w:val="auto"/>
          <w:sz w:val="24"/>
          <w:szCs w:val="24"/>
        </w:rPr>
        <w:t>电子投标文件中所有加盖公章均采用CA签章。</w:t>
      </w:r>
    </w:p>
    <w:p>
      <w:pPr>
        <w:pageBreakBefore w:val="0"/>
        <w:widowControl w:val="0"/>
        <w:kinsoku/>
        <w:wordWrap/>
        <w:overflowPunct/>
        <w:topLinePunct w:val="0"/>
        <w:bidi w:val="0"/>
        <w:snapToGrid w:val="0"/>
        <w:spacing w:line="360" w:lineRule="exact"/>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16.4投标文件不得涂改，若有修改错漏处，须加盖单位公章。投标文件因表达不清所引起的后果由投标人负责。</w:t>
      </w:r>
    </w:p>
    <w:p>
      <w:pPr>
        <w:pageBreakBefore w:val="0"/>
        <w:widowControl w:val="0"/>
        <w:kinsoku/>
        <w:wordWrap/>
        <w:overflowPunct/>
        <w:topLinePunct w:val="0"/>
        <w:bidi w:val="0"/>
        <w:snapToGrid w:val="0"/>
        <w:spacing w:line="360" w:lineRule="exact"/>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16.5投标人应认真阅读招标文件中所有的内容。如果投标人编制的投标文件实质上不响应招标文件的要求，其投标文件将作无效标处理。</w:t>
      </w:r>
    </w:p>
    <w:p>
      <w:pPr>
        <w:pageBreakBefore w:val="0"/>
        <w:widowControl w:val="0"/>
        <w:kinsoku/>
        <w:wordWrap/>
        <w:overflowPunct/>
        <w:topLinePunct w:val="0"/>
        <w:bidi w:val="0"/>
        <w:snapToGrid w:val="0"/>
        <w:spacing w:line="360" w:lineRule="exact"/>
        <w:ind w:firstLine="354" w:firstLineChars="147"/>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17.投标文件的递交、修改和撤回</w:t>
      </w:r>
    </w:p>
    <w:p>
      <w:pPr>
        <w:pStyle w:val="3"/>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17.1投标人应将投标文件的资格文件、商务技术文件、报价文件分开制作。</w:t>
      </w:r>
      <w:r>
        <w:rPr>
          <w:rFonts w:hint="eastAsia" w:ascii="仿宋" w:hAnsi="仿宋" w:eastAsia="仿宋" w:cs="仿宋"/>
          <w:b/>
          <w:sz w:val="24"/>
          <w:szCs w:val="24"/>
        </w:rPr>
        <w:t>如投标文件商务技术标内容含有报价的内容，将被视作无效标处理。</w:t>
      </w:r>
    </w:p>
    <w:p>
      <w:pPr>
        <w:pStyle w:val="3"/>
        <w:pageBreakBefore w:val="0"/>
        <w:widowControl w:val="0"/>
        <w:kinsoku/>
        <w:wordWrap/>
        <w:overflowPunct/>
        <w:topLinePunct w:val="0"/>
        <w:bidi w:val="0"/>
        <w:snapToGrid w:val="0"/>
        <w:spacing w:line="3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17.2投标人应在开标前在“政采云”上自行加密上传电子投标文件，逾期上传或未按要求上传的投标文件将予以拒收。</w:t>
      </w:r>
    </w:p>
    <w:p>
      <w:pPr>
        <w:pStyle w:val="3"/>
        <w:pageBreakBefore w:val="0"/>
        <w:widowControl w:val="0"/>
        <w:kinsoku/>
        <w:wordWrap/>
        <w:overflowPunct/>
        <w:topLinePunct w:val="0"/>
        <w:bidi w:val="0"/>
        <w:snapToGrid w:val="0"/>
        <w:spacing w:line="3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17.3</w:t>
      </w:r>
      <w:r>
        <w:rPr>
          <w:rFonts w:hint="eastAsia" w:ascii="仿宋" w:hAnsi="仿宋" w:eastAsia="仿宋" w:cs="仿宋"/>
          <w:sz w:val="24"/>
          <w:szCs w:val="24"/>
        </w:rPr>
        <w:t>投标人在投标截止时间之前，可以对已提交的投标文件进行修改或撤回，补充、修改的内容为投标文件的组成部分。</w:t>
      </w:r>
    </w:p>
    <w:p>
      <w:pPr>
        <w:pStyle w:val="3"/>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17.4投标截止时间后，投标人不得撤回、修改投标文件。</w:t>
      </w:r>
    </w:p>
    <w:p>
      <w:pPr>
        <w:pStyle w:val="3"/>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17.5不论投标人中标与否，投标人文件均不得撤回其投标。</w:t>
      </w:r>
    </w:p>
    <w:p>
      <w:pPr>
        <w:pStyle w:val="3"/>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17.6未按时解密视为投标文件撤回。</w:t>
      </w:r>
    </w:p>
    <w:p>
      <w:pPr>
        <w:pageBreakBefore w:val="0"/>
        <w:widowControl w:val="0"/>
        <w:kinsoku/>
        <w:wordWrap/>
        <w:overflowPunct/>
        <w:topLinePunct w:val="0"/>
        <w:bidi w:val="0"/>
        <w:snapToGrid w:val="0"/>
        <w:spacing w:line="360" w:lineRule="exact"/>
        <w:ind w:firstLine="354" w:firstLineChars="147"/>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18.投标无效的情形</w:t>
      </w:r>
    </w:p>
    <w:p>
      <w:pPr>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2"/>
        <w:pageBreakBefore w:val="0"/>
        <w:widowControl w:val="0"/>
        <w:kinsoku/>
        <w:wordWrap/>
        <w:overflowPunct/>
        <w:topLinePunct w:val="0"/>
        <w:bidi w:val="0"/>
        <w:snapToGrid w:val="0"/>
        <w:spacing w:after="0" w:line="360" w:lineRule="exact"/>
        <w:ind w:left="0" w:leftChars="0" w:firstLine="472" w:firstLineChars="196"/>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18.1在符合性审查和资格性审查时，如发现下列情形之一的，投标文件将被视为无效投标：</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18.1.1资格证明文件不全的，或者不符合招标文件标明的资格要求的；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18.1.2未按照招标文件规定要求盖章；</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18.1.3投标文件项目不齐全或者内容虚假的；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18.1.4投标文件的实质性内容未使用中文表述、意思表述不明确、前后矛盾或者使用计量单位不符合招标文件要求的；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18.1.5投标有效期、交货时间、质保期、售后服务承诺等条款不能满足招标文件要求的；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18.1.6投标文件的商务技术标内容含有报价的内容；</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18.1.7投标文件含有采购人不能接受的附加条件的；</w:t>
      </w:r>
    </w:p>
    <w:p>
      <w:pPr>
        <w:pageBreakBefore w:val="0"/>
        <w:widowControl w:val="0"/>
        <w:kinsoku/>
        <w:wordWrap/>
        <w:overflowPunct/>
        <w:topLinePunct w:val="0"/>
        <w:bidi w:val="0"/>
        <w:snapToGrid w:val="0"/>
        <w:spacing w:line="360" w:lineRule="exact"/>
        <w:ind w:left="420" w:firstLine="48" w:firstLineChars="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18.1.8不符合法律、法规或未实质性响应招标文件要求或者投标文件有采购人不能接受的附加条件的。</w:t>
      </w:r>
    </w:p>
    <w:p>
      <w:pPr>
        <w:pStyle w:val="12"/>
        <w:pageBreakBefore w:val="0"/>
        <w:widowControl w:val="0"/>
        <w:kinsoku/>
        <w:wordWrap/>
        <w:overflowPunct/>
        <w:topLinePunct w:val="0"/>
        <w:bidi w:val="0"/>
        <w:snapToGrid w:val="0"/>
        <w:spacing w:after="0"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18.2在商务技术评审时，如发现下列情形之一的，投标文件将被视为无效：</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18.2.1未提供或未如实提供投标货物的技术参数，或者投标文件标明的响应或偏离与事实不符或虚假投标的；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18.2.2明显不符合招标文件要求的规格型号、质量标准，或者与招标文件中标“★”的技术指标、主要功能项目发生实质性偏离的；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18.2.3允许偏离的技术、性能指标或者辅助功能项目发生负偏离达20项（含）以上的；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18.2.4投标技术方案不明确，存在一个或一个以上备选（替代）投标方案的；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18.2.5</w:t>
      </w:r>
      <w:r>
        <w:rPr>
          <w:rFonts w:hint="eastAsia" w:ascii="仿宋" w:hAnsi="仿宋" w:eastAsia="仿宋" w:cs="仿宋"/>
          <w:b/>
          <w:color w:val="auto"/>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2"/>
        <w:pageBreakBefore w:val="0"/>
        <w:widowControl w:val="0"/>
        <w:kinsoku/>
        <w:wordWrap/>
        <w:overflowPunct/>
        <w:topLinePunct w:val="0"/>
        <w:bidi w:val="0"/>
        <w:snapToGrid w:val="0"/>
        <w:spacing w:after="0"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18.3在报价评审时，如发现下列情形之一的，投标文件将被视为无效：</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（1）未采用人民币报价或者未按照招标文件标明的币种报价的；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（2）投标报价超过招标文件中规定的最高限价的；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（3）评标委员会认为投标人的报价明显低于其他通过符合性审查投标人的报价，有可能影响产品质量或者不能诚信履约，且投标人不能证明其报价合理性的；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（4）投标人不接受报价文件中修正后的报价的；</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（5）投标报价具有选择性。</w:t>
      </w:r>
    </w:p>
    <w:p>
      <w:pPr>
        <w:pStyle w:val="12"/>
        <w:pageBreakBefore w:val="0"/>
        <w:widowControl w:val="0"/>
        <w:kinsoku/>
        <w:wordWrap/>
        <w:overflowPunct/>
        <w:topLinePunct w:val="0"/>
        <w:bidi w:val="0"/>
        <w:snapToGrid w:val="0"/>
        <w:spacing w:after="0"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18.4符合招标文件明确规定的其他无效投标条款的。</w:t>
      </w:r>
    </w:p>
    <w:p>
      <w:pPr>
        <w:pStyle w:val="2"/>
        <w:pageBreakBefore w:val="0"/>
        <w:widowControl w:val="0"/>
        <w:kinsoku/>
        <w:wordWrap/>
        <w:overflowPunct/>
        <w:topLinePunct w:val="0"/>
        <w:bidi w:val="0"/>
        <w:spacing w:before="0" w:after="0" w:line="360" w:lineRule="exact"/>
        <w:jc w:val="center"/>
        <w:textAlignment w:val="auto"/>
        <w:rPr>
          <w:rFonts w:hint="eastAsia" w:ascii="仿宋" w:hAnsi="仿宋" w:eastAsia="仿宋" w:cs="仿宋"/>
          <w:sz w:val="28"/>
          <w:szCs w:val="28"/>
        </w:rPr>
      </w:pPr>
      <w:bookmarkStart w:id="25" w:name="_Toc125344507"/>
      <w:r>
        <w:rPr>
          <w:rFonts w:hint="eastAsia" w:ascii="仿宋" w:hAnsi="仿宋" w:eastAsia="仿宋" w:cs="仿宋"/>
          <w:sz w:val="28"/>
          <w:szCs w:val="28"/>
        </w:rPr>
        <w:t>四、开  标</w:t>
      </w:r>
      <w:bookmarkEnd w:id="25"/>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sz w:val="24"/>
        </w:rPr>
        <w:t>19.</w:t>
      </w:r>
      <w:r>
        <w:rPr>
          <w:rFonts w:hint="eastAsia" w:ascii="仿宋" w:hAnsi="仿宋" w:eastAsia="仿宋" w:cs="仿宋"/>
          <w:b/>
          <w:color w:val="auto"/>
          <w:sz w:val="24"/>
        </w:rPr>
        <w:t>开标</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19.1采购代理机构将在前附表规定的时间、地点进行开标。无关人员不得进入开标现场。</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19.2本项目实行电子开评标，投标人无需前往开评标现场，只需在规定时间内在“政采云”平台上上传电子投标文件。 </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20.开标程序</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20.2评标委员会对投标人的资格和商务技术响应文件进行评审；</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20.3对商务技术标有效的投标单位的投标报价在“政采云”平台上予以公开；</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20.4评标委员会对商务技术标有效的投标单位进行投标报价评审，确定投标报价评审有效投标单位；</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20.5对投标报价评审后有效的投标单位计算投标报价分和综合得分；</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20.6确定预中标人。</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bookmarkStart w:id="26" w:name="_Toc125344508"/>
      <w:r>
        <w:rPr>
          <w:rFonts w:hint="eastAsia" w:ascii="仿宋" w:hAnsi="仿宋" w:eastAsia="仿宋" w:cs="仿宋"/>
          <w:b/>
          <w:color w:val="auto"/>
          <w:sz w:val="24"/>
        </w:rPr>
        <w:t>特别说明：</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1、政采云公司如对电子化开标及评审程序有调整的，按调整后的程序操作。</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2、如中标单位投标文件和招标文件要求不一致，且评审过程中未发现的，履约应按有利于采购人的要求执行。</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3、采购过程中出现以下情形，导致电子交易平台无法正常运行，或者无法保证电子交易的公平、公正和安全时，采购组织机构可中止电子交易活动：</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（一）电子交易平台发生故障而无法登录访问的；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（二）电子交易平台应用或数据库出现错误，不能进行正常操作的；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（三）电子交易平台发现严重安全漏洞，有潜在泄密危险的；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（四）病毒发作导致不能进行正常操作的；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（五）其他无法保证电子交易的公平、公正和安全的情况。</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出现前款规定情形，不影响采购公平、公正性的，采购组织机构可以待上述情形消除后继续组织电子交易活动；影响或可能影响采购公平、公正性的，应当重新采购。</w:t>
      </w:r>
    </w:p>
    <w:p>
      <w:pPr>
        <w:pStyle w:val="2"/>
        <w:pageBreakBefore w:val="0"/>
        <w:widowControl w:val="0"/>
        <w:kinsoku/>
        <w:wordWrap/>
        <w:overflowPunct/>
        <w:topLinePunct w:val="0"/>
        <w:bidi w:val="0"/>
        <w:spacing w:before="0"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五、评　标</w:t>
      </w:r>
      <w:bookmarkEnd w:id="26"/>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21.组建评标委员会</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评标委员会按照有关规定组建。</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22.评标原则</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22.1评标委员会必须公平、公正、客观，不带任何倾向性和启发性；</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22.2不得向外界透露任何与评标有关的内容；</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22.3任何单位和个人不得干扰、影响评标的正常进行；</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22.4评标委员会及有关工作人员不得私下与投标人接触。</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ageBreakBefore w:val="0"/>
        <w:widowControl w:val="0"/>
        <w:kinsoku/>
        <w:wordWrap/>
        <w:overflowPunct/>
        <w:topLinePunct w:val="0"/>
        <w:bidi w:val="0"/>
        <w:snapToGrid w:val="0"/>
        <w:spacing w:line="36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ageBreakBefore w:val="0"/>
        <w:widowControl w:val="0"/>
        <w:kinsoku/>
        <w:wordWrap/>
        <w:overflowPunct/>
        <w:topLinePunct w:val="0"/>
        <w:bidi w:val="0"/>
        <w:snapToGrid w:val="0"/>
        <w:spacing w:line="36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非单一产品采购项目，采购人应当根据采购项目技术构成、产品价格比重等合理确定核心产品，并在招标文件中载明。多家投标人提供的核心产品品牌相同的，按前款规定处理。</w:t>
      </w:r>
    </w:p>
    <w:p>
      <w:pPr>
        <w:pageBreakBefore w:val="0"/>
        <w:widowControl w:val="0"/>
        <w:kinsoku/>
        <w:wordWrap/>
        <w:overflowPunct/>
        <w:topLinePunct w:val="0"/>
        <w:bidi w:val="0"/>
        <w:snapToGrid w:val="0"/>
        <w:spacing w:line="360" w:lineRule="exact"/>
        <w:ind w:firstLine="482" w:firstLineChars="200"/>
        <w:jc w:val="left"/>
        <w:textAlignment w:val="auto"/>
        <w:rPr>
          <w:rFonts w:hint="eastAsia" w:ascii="仿宋" w:hAnsi="仿宋" w:eastAsia="仿宋" w:cs="仿宋"/>
          <w:color w:val="auto"/>
          <w:sz w:val="24"/>
        </w:rPr>
      </w:pPr>
      <w:r>
        <w:rPr>
          <w:rFonts w:hint="eastAsia" w:ascii="仿宋" w:hAnsi="仿宋" w:eastAsia="仿宋" w:cs="仿宋"/>
          <w:b/>
          <w:color w:val="auto"/>
          <w:sz w:val="24"/>
        </w:rPr>
        <w:t>22.7</w:t>
      </w:r>
      <w:r>
        <w:rPr>
          <w:rFonts w:hint="eastAsia" w:ascii="仿宋" w:hAnsi="仿宋" w:eastAsia="仿宋" w:cs="仿宋"/>
          <w:color w:val="auto"/>
          <w:sz w:val="24"/>
        </w:rPr>
        <w:t>以联合体形式参加采购活动的，联合体各方不得再单独参加或者与其他供应商另外组成联合体参加同一合同项下的采购活动。</w:t>
      </w:r>
    </w:p>
    <w:p>
      <w:pPr>
        <w:pageBreakBefore w:val="0"/>
        <w:widowControl w:val="0"/>
        <w:kinsoku/>
        <w:wordWrap/>
        <w:overflowPunct/>
        <w:topLinePunct w:val="0"/>
        <w:bidi w:val="0"/>
        <w:snapToGrid w:val="0"/>
        <w:spacing w:line="36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22.8除单一来源采购以外，为采购项目提供整体设计、规范编制或者项目管理、监理、检测等服务的供应商，不得参加本采购项目。</w:t>
      </w:r>
    </w:p>
    <w:p>
      <w:pPr>
        <w:pageBreakBefore w:val="0"/>
        <w:widowControl w:val="0"/>
        <w:kinsoku/>
        <w:wordWrap/>
        <w:overflowPunct/>
        <w:topLinePunct w:val="0"/>
        <w:bidi w:val="0"/>
        <w:snapToGrid w:val="0"/>
        <w:spacing w:line="360" w:lineRule="exact"/>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22.9单位负责人为同一人或者存在直接控股、管理关系的不同供应商，不得参加同一合同项下的采购活动。</w:t>
      </w:r>
    </w:p>
    <w:p>
      <w:pPr>
        <w:pStyle w:val="15"/>
        <w:pageBreakBefore w:val="0"/>
        <w:widowControl w:val="0"/>
        <w:kinsoku/>
        <w:wordWrap/>
        <w:overflowPunct/>
        <w:topLinePunct w:val="0"/>
        <w:bidi w:val="0"/>
        <w:snapToGrid w:val="0"/>
        <w:spacing w:line="360" w:lineRule="exact"/>
        <w:ind w:left="2" w:leftChars="1" w:firstLine="482" w:firstLineChars="200"/>
        <w:textAlignment w:val="auto"/>
        <w:rPr>
          <w:rFonts w:hint="eastAsia" w:ascii="仿宋" w:hAnsi="仿宋" w:eastAsia="仿宋" w:cs="仿宋"/>
          <w:b/>
        </w:rPr>
      </w:pPr>
      <w:r>
        <w:rPr>
          <w:rFonts w:hint="eastAsia" w:ascii="仿宋" w:hAnsi="仿宋" w:eastAsia="仿宋" w:cs="仿宋"/>
          <w:b/>
        </w:rPr>
        <w:t>22.10本项目涉及提供的有关资质证书，若原有资质证书处于年审期间，投标人提供年审证明的可按原资质投标；若投标人正在申报上一级别资质，在未获批准之前，仍按原级别资质投标。</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23.评标程序</w:t>
      </w:r>
    </w:p>
    <w:p>
      <w:pPr>
        <w:pageBreakBefore w:val="0"/>
        <w:widowControl w:val="0"/>
        <w:kinsoku/>
        <w:wordWrap/>
        <w:overflowPunct/>
        <w:topLinePunct w:val="0"/>
        <w:bidi w:val="0"/>
        <w:snapToGrid w:val="0"/>
        <w:spacing w:line="360" w:lineRule="exact"/>
        <w:ind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23.1资格审查</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依据法律、法规和招标文件规定，采购人或采购人代表对投标人进行资格审查，以确定投标人是否具备投标资格。</w:t>
      </w:r>
    </w:p>
    <w:p>
      <w:pPr>
        <w:pageBreakBefore w:val="0"/>
        <w:widowControl w:val="0"/>
        <w:kinsoku/>
        <w:wordWrap/>
        <w:overflowPunct/>
        <w:topLinePunct w:val="0"/>
        <w:bidi w:val="0"/>
        <w:snapToGrid w:val="0"/>
        <w:spacing w:line="360" w:lineRule="exact"/>
        <w:ind w:firstLine="472" w:firstLineChars="196"/>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rPr>
        <w:t>23.2形式审查</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2"/>
          <w:sz w:val="24"/>
          <w:szCs w:val="24"/>
        </w:rPr>
        <w:t>评标委员会对投标人的</w:t>
      </w:r>
      <w:r>
        <w:rPr>
          <w:rFonts w:hint="eastAsia" w:ascii="仿宋" w:hAnsi="仿宋" w:eastAsia="仿宋" w:cs="仿宋"/>
          <w:color w:val="auto"/>
          <w:sz w:val="24"/>
        </w:rPr>
        <w:t>投标文件的完整性、合法性等进行审查。</w:t>
      </w:r>
    </w:p>
    <w:p>
      <w:pPr>
        <w:pageBreakBefore w:val="0"/>
        <w:widowControl w:val="0"/>
        <w:kinsoku/>
        <w:wordWrap/>
        <w:overflowPunct/>
        <w:topLinePunct w:val="0"/>
        <w:bidi w:val="0"/>
        <w:snapToGrid w:val="0"/>
        <w:spacing w:line="360" w:lineRule="exact"/>
        <w:ind w:firstLine="472" w:firstLineChars="196"/>
        <w:textAlignment w:val="auto"/>
        <w:rPr>
          <w:rFonts w:hint="eastAsia" w:ascii="仿宋" w:hAnsi="仿宋" w:eastAsia="仿宋" w:cs="仿宋"/>
          <w:b/>
          <w:bCs/>
          <w:color w:val="auto"/>
          <w:sz w:val="24"/>
          <w:szCs w:val="20"/>
        </w:rPr>
      </w:pPr>
      <w:r>
        <w:rPr>
          <w:rFonts w:hint="eastAsia" w:ascii="仿宋" w:hAnsi="仿宋" w:eastAsia="仿宋" w:cs="仿宋"/>
          <w:b/>
          <w:bCs/>
          <w:color w:val="auto"/>
          <w:sz w:val="24"/>
        </w:rPr>
        <w:t>23.3实质审查与比较</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23.3.2评标委员会将根据投标人的投标文件进行审查、核对,如有疑问,将对投标人进行询标,投标人要向评标委员会澄清有关问题,并最终以“政采云”在线询标或其他有效形式形式进行答复。投标人代表拒绝澄清或者澄清的内容改变了投标文件的实质性内容的，评标委员会有权对该投标文件作出不利于投标人的评判。</w:t>
      </w:r>
    </w:p>
    <w:p>
      <w:pPr>
        <w:pStyle w:val="20"/>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23.3.4如果投标文件实质不响应招标文件的各项要求，评标委员会将予以拒绝，并且不允许投标人通过修改或撤销其不符合要求的差异或保留，使之成为具有响应性的投标。</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23.3.5各投标人的商务技术得分为所有评委的有效评分的算术平均数。</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23.3.6评标委员会完成评标后,评委对各部分得分汇总,计算出本项目最终得分。评标委员会按评标原则推荐中标候选人，同时起草评标报告。</w:t>
      </w:r>
    </w:p>
    <w:p>
      <w:pPr>
        <w:pStyle w:val="20"/>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23.3.7评标委员会对明显不合理的投标报价，有权要求投标人在规定时间内提交说明，投标人不能提供的或提供的材料不能说明问题的，评标委员会可以判定其投标无效。</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ageBreakBefore w:val="0"/>
        <w:widowControl w:val="0"/>
        <w:kinsoku/>
        <w:wordWrap/>
        <w:overflowPunct/>
        <w:topLinePunct w:val="0"/>
        <w:bidi w:val="0"/>
        <w:spacing w:line="360" w:lineRule="exact"/>
        <w:ind w:firstLine="479" w:firstLineChars="199"/>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24.</w:t>
      </w:r>
      <w:r>
        <w:rPr>
          <w:rFonts w:hint="eastAsia" w:ascii="仿宋" w:hAnsi="仿宋" w:eastAsia="仿宋" w:cs="仿宋"/>
          <w:b/>
          <w:bCs/>
          <w:color w:val="auto"/>
          <w:sz w:val="24"/>
          <w:szCs w:val="24"/>
        </w:rPr>
        <w:t>如投标人有下列情形之一的，应按串通投标行为认定，禁止其一至三年内进入浙江浣江传媒集团采购市场，情节严重的移送有关部门依法处理</w:t>
      </w:r>
      <w:r>
        <w:rPr>
          <w:rFonts w:hint="eastAsia" w:ascii="仿宋" w:hAnsi="仿宋" w:eastAsia="仿宋" w:cs="仿宋"/>
          <w:color w:val="auto"/>
          <w:sz w:val="24"/>
          <w:szCs w:val="24"/>
        </w:rPr>
        <w:t>。</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24.1不同投标人的投标文件由同一单位或人员编制；</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24.2不同投标人委托同一单位或个人办理投标事宜；</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24.3不同投标人的投标文件载明的项目管理或联系人员为同一人；</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24.4不同投标人的投标文件异常一致或者投标报价呈规律性差异；</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24.5不同投标人的投标文件遗留其他投标人不属于本投标人参加采购必需的信息资料的；</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24.6不同投标人的授权代表为同一单位的工作人员的；</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24.7不同投标人之间私下达成书面或口头协议，指定一家投标人中标或轮流中标的；</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24.8属于同一集团、协会、商会等组织成员的投标人按照该组织要求协同的投标；</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24.9投标人之间为谋取中标或者排斥特定投标人而采取的其他联合行动；</w:t>
      </w:r>
    </w:p>
    <w:p>
      <w:pPr>
        <w:pageBreakBefore w:val="0"/>
        <w:widowControl w:val="0"/>
        <w:kinsoku/>
        <w:wordWrap/>
        <w:overflowPunct/>
        <w:topLinePunct w:val="0"/>
        <w:bidi w:val="0"/>
        <w:spacing w:line="360" w:lineRule="exact"/>
        <w:ind w:firstLine="477" w:firstLineChars="19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24.10不同投标人与同一投标人联合投标的；</w:t>
      </w:r>
    </w:p>
    <w:p>
      <w:pPr>
        <w:pageBreakBefore w:val="0"/>
        <w:widowControl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szCs w:val="24"/>
        </w:rPr>
        <w:t>24.11法律、法规或规章规定的其他串通行为。</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25.投标文件的澄清</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5"/>
        <w:pageBreakBefore w:val="0"/>
        <w:widowControl w:val="0"/>
        <w:kinsoku/>
        <w:wordWrap/>
        <w:overflowPunct/>
        <w:topLinePunct w:val="0"/>
        <w:bidi w:val="0"/>
        <w:snapToGrid w:val="0"/>
        <w:spacing w:line="360" w:lineRule="exact"/>
        <w:ind w:left="720" w:leftChars="228" w:hanging="241" w:hangingChars="100"/>
        <w:textAlignment w:val="auto"/>
        <w:rPr>
          <w:rFonts w:hint="eastAsia" w:ascii="仿宋" w:hAnsi="仿宋" w:eastAsia="仿宋" w:cs="仿宋"/>
          <w:b/>
        </w:rPr>
      </w:pPr>
      <w:r>
        <w:rPr>
          <w:rFonts w:hint="eastAsia" w:ascii="仿宋" w:hAnsi="仿宋" w:eastAsia="仿宋" w:cs="仿宋"/>
          <w:b/>
        </w:rPr>
        <w:t>26.错误修正</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投标文件报价出现前后不一致的，按照下列规定修正：</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26.1投标文件中开标一览表（报价表）内容与投标文件中相应内容不一致的，以开标一览表（报价表）为准。</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26.2大写金额和小写金额不一致的，以大写金额为准。</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26.3单价金额小数点或者百分比有明显错位的，以开标一览表的总价为准，并修改单价。</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26.4总价金额与按单价汇总金额不一致的，以单价金额计算结果为准。</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同时出现两种以上不一致的，按照上述规定的顺序修正。</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按上述修正错误的原则及方法调整或修正投标文件的投标报价，投标人同意并加盖公章确认，调整后的投标报价对投标人具有约束作用。如果投标人不接受修正后的报价，则其投标将作为无效投标处理。</w:t>
      </w:r>
    </w:p>
    <w:p>
      <w:pPr>
        <w:pStyle w:val="20"/>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27.评标办法。</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rPr>
        <w:t>本项目评标办法是综合评分法，具体评标内容及评分标准等详见《第三章：评标办法及评分标准》。</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28.</w:t>
      </w:r>
      <w:r>
        <w:rPr>
          <w:rFonts w:hint="eastAsia" w:ascii="仿宋" w:hAnsi="仿宋" w:eastAsia="仿宋" w:cs="仿宋"/>
          <w:b/>
          <w:bCs/>
          <w:color w:val="auto"/>
          <w:sz w:val="24"/>
        </w:rPr>
        <w:t>评标过程的保密</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28.1开标后，直到宣布授予中标人合同为止，凡属于审查、澄清、评价和比较投标文件的有关资料和授予合同的信息，采购人、评标委员会成员都不应向投标人或与该过程无关的其他人员泄露。</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28.3中标人确定后，采购人不对未中标人就评标过程以及未能中标原因作出任何解释。未中标人不得向评标委员会或其他有关人员索问评标过程的情况和材料。</w:t>
      </w:r>
    </w:p>
    <w:p>
      <w:pPr>
        <w:pStyle w:val="2"/>
        <w:pageBreakBefore w:val="0"/>
        <w:widowControl w:val="0"/>
        <w:kinsoku/>
        <w:wordWrap/>
        <w:overflowPunct/>
        <w:topLinePunct w:val="0"/>
        <w:bidi w:val="0"/>
        <w:spacing w:before="0" w:after="0" w:line="360" w:lineRule="exact"/>
        <w:jc w:val="center"/>
        <w:textAlignment w:val="auto"/>
        <w:rPr>
          <w:rFonts w:hint="eastAsia" w:ascii="仿宋" w:hAnsi="仿宋" w:eastAsia="仿宋" w:cs="仿宋"/>
          <w:sz w:val="28"/>
          <w:szCs w:val="28"/>
        </w:rPr>
      </w:pPr>
      <w:bookmarkStart w:id="27" w:name="_Toc125344509"/>
      <w:r>
        <w:rPr>
          <w:rFonts w:hint="eastAsia" w:ascii="仿宋" w:hAnsi="仿宋" w:eastAsia="仿宋" w:cs="仿宋"/>
          <w:sz w:val="28"/>
          <w:szCs w:val="28"/>
        </w:rPr>
        <w:t>六、</w:t>
      </w:r>
      <w:bookmarkEnd w:id="27"/>
      <w:r>
        <w:rPr>
          <w:rFonts w:hint="eastAsia" w:ascii="仿宋" w:hAnsi="仿宋" w:eastAsia="仿宋" w:cs="仿宋"/>
          <w:sz w:val="28"/>
          <w:szCs w:val="28"/>
        </w:rPr>
        <w:t>定标</w:t>
      </w:r>
    </w:p>
    <w:p>
      <w:pPr>
        <w:pStyle w:val="20"/>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rPr>
        <w:t>29.确定中标人。本项目由采购人确定中标人。</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29.2第一名中标候选人无正当理由放弃中标成交或被取消中标资格的，将上报诸暨市人民政府国有资产监督管理办公室，诸暨市人民政府国有资产监督管理办公室将按有关法律、法规、制度进行处理。</w:t>
      </w:r>
      <w:r>
        <w:rPr>
          <w:rFonts w:hint="eastAsia" w:ascii="仿宋" w:hAnsi="仿宋" w:eastAsia="仿宋" w:cs="仿宋"/>
          <w:b/>
          <w:color w:val="auto"/>
          <w:sz w:val="24"/>
        </w:rPr>
        <w:t>此标的将另行组织采购</w:t>
      </w:r>
      <w:r>
        <w:rPr>
          <w:rFonts w:hint="eastAsia" w:ascii="仿宋" w:hAnsi="仿宋" w:eastAsia="仿宋" w:cs="仿宋"/>
          <w:color w:val="auto"/>
          <w:sz w:val="24"/>
        </w:rPr>
        <w:t>。</w:t>
      </w:r>
    </w:p>
    <w:p>
      <w:pPr>
        <w:pStyle w:val="20"/>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30.中标通知与中标结果公告</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30.1采购结果经采购人确认后，采购代理机构将于2个工作日内在浙江省政府采购网上发布中标公告，由采购代理机构签发《中标通知书》。《中标通知书》一经发出即发生法律效力。</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ageBreakBefore w:val="0"/>
        <w:widowControl w:val="0"/>
        <w:kinsoku/>
        <w:wordWrap/>
        <w:overflowPunct/>
        <w:topLinePunct w:val="0"/>
        <w:bidi w:val="0"/>
        <w:snapToGrid w:val="0"/>
        <w:spacing w:line="360" w:lineRule="exact"/>
        <w:ind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31.中标无效情形</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中标人存在下列情形之一的，中标无效：</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31.1提供虚假材料谋取中标的；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31.2采取不正当手段诋毁、排挤其他投标人的；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31.3与采购人、其他投标人恶意串通的；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31.4向采购人、采购代理机构行贿或者提供其他不正当利益的；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31.5在招标过程中与采购人进行协商谈判；不按照招标文件和投标文件订立合同或者与采购人另行背离合同实质性内容的协议的；</w:t>
      </w:r>
    </w:p>
    <w:p>
      <w:pPr>
        <w:pStyle w:val="20"/>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31.6拖延、拒签合同的；</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rPr>
        <w:t>31.7存在法律、法规规定的其它损害采购人或采购单位利益或社会公共利益的情形的</w:t>
      </w:r>
      <w:r>
        <w:rPr>
          <w:rFonts w:hint="eastAsia" w:ascii="仿宋" w:hAnsi="仿宋" w:eastAsia="仿宋" w:cs="仿宋"/>
          <w:color w:val="auto"/>
          <w:sz w:val="24"/>
          <w:szCs w:val="24"/>
        </w:rPr>
        <w:t>。</w:t>
      </w:r>
    </w:p>
    <w:p>
      <w:pPr>
        <w:pageBreakBefore w:val="0"/>
        <w:widowControl w:val="0"/>
        <w:kinsoku/>
        <w:wordWrap/>
        <w:overflowPunct/>
        <w:topLinePunct w:val="0"/>
        <w:bidi w:val="0"/>
        <w:snapToGrid w:val="0"/>
        <w:spacing w:line="360" w:lineRule="exact"/>
        <w:ind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32.重新招标</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b/>
          <w:bCs/>
          <w:color w:val="auto"/>
          <w:sz w:val="24"/>
        </w:rPr>
      </w:pPr>
      <w:r>
        <w:rPr>
          <w:rFonts w:hint="eastAsia" w:ascii="仿宋" w:hAnsi="仿宋" w:eastAsia="仿宋" w:cs="仿宋"/>
          <w:color w:val="auto"/>
          <w:sz w:val="24"/>
        </w:rPr>
        <w:t>投标截止时间及评审期间，出现有效供应商不足3家的，本项目流标，重新组织采购。</w:t>
      </w:r>
    </w:p>
    <w:p>
      <w:pPr>
        <w:pStyle w:val="2"/>
        <w:pageBreakBefore w:val="0"/>
        <w:widowControl w:val="0"/>
        <w:kinsoku/>
        <w:wordWrap/>
        <w:overflowPunct/>
        <w:topLinePunct w:val="0"/>
        <w:bidi w:val="0"/>
        <w:spacing w:before="0"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七、授予合同</w:t>
      </w:r>
    </w:p>
    <w:p>
      <w:pPr>
        <w:pageBreakBefore w:val="0"/>
        <w:widowControl w:val="0"/>
        <w:kinsoku/>
        <w:wordWrap/>
        <w:overflowPunct/>
        <w:topLinePunct w:val="0"/>
        <w:bidi w:val="0"/>
        <w:snapToGrid w:val="0"/>
        <w:spacing w:line="360" w:lineRule="exact"/>
        <w:ind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33.签订合同</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33.1中标人须在领取《中标通知书》后30天内，根据《中华人民共和国民法典》等有关规定，依据招标文件和投标文件的有关条款上门与相关用户单位（即采购单位）签订合同。</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33.2招标文件、投标文件和《中标通知书》作为合同签订的依据和主要附件。合同签订时中标人须提供相应的《中标通知书》复印件和售后服务承诺给用户单位，以方便验收货物（或工程）。</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33.3合同一式四份，用户单位和中标人各执贰份。</w:t>
      </w:r>
    </w:p>
    <w:p>
      <w:pPr>
        <w:pageBreakBefore w:val="0"/>
        <w:widowControl w:val="0"/>
        <w:kinsoku/>
        <w:wordWrap/>
        <w:overflowPunct/>
        <w:topLinePunct w:val="0"/>
        <w:bidi w:val="0"/>
        <w:snapToGrid w:val="0"/>
        <w:spacing w:line="360" w:lineRule="exact"/>
        <w:ind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33.4中标人和用户单位不得擅自变更、中止或者终止合同，不得另外订立背离合同实质性内容的其它协议。</w:t>
      </w:r>
    </w:p>
    <w:p>
      <w:pPr>
        <w:pageBreakBefore w:val="0"/>
        <w:widowControl w:val="0"/>
        <w:kinsoku/>
        <w:wordWrap/>
        <w:overflowPunct/>
        <w:topLinePunct w:val="0"/>
        <w:bidi w:val="0"/>
        <w:snapToGrid w:val="0"/>
        <w:spacing w:line="360" w:lineRule="exact"/>
        <w:ind w:firstLine="472" w:firstLineChars="196"/>
        <w:textAlignment w:val="auto"/>
        <w:rPr>
          <w:rFonts w:hint="eastAsia" w:ascii="仿宋" w:hAnsi="仿宋" w:eastAsia="仿宋" w:cs="仿宋"/>
          <w:b/>
          <w:bCs/>
          <w:sz w:val="24"/>
        </w:rPr>
      </w:pPr>
      <w:r>
        <w:rPr>
          <w:rFonts w:hint="eastAsia" w:ascii="仿宋" w:hAnsi="仿宋" w:eastAsia="仿宋" w:cs="仿宋"/>
          <w:b/>
          <w:bCs/>
          <w:sz w:val="24"/>
        </w:rPr>
        <w:t>34.履约保证金</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34.1中标人在签订采购合同前，应按招标文件要求向采购人提交履约保证金，履约保证金作为中标人在履行合同合服务承诺的保证。</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34.2中标人应当以支票、汇票、本票等非现金形式提交。中标人在履行完合同约定事项后，采购人应及时退还履约保证金。履约保证金不计息。</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34.3签订合同后，如中标人不按双方合同约定履约，则没收其全部履约保证金，履约保证金不足以赔偿损失的，按实际损失赔偿。</w:t>
      </w:r>
    </w:p>
    <w:p>
      <w:pPr>
        <w:pageBreakBefore w:val="0"/>
        <w:widowControl w:val="0"/>
        <w:kinsoku/>
        <w:wordWrap/>
        <w:overflowPunct/>
        <w:topLinePunct w:val="0"/>
        <w:bidi w:val="0"/>
        <w:snapToGrid w:val="0"/>
        <w:spacing w:line="360" w:lineRule="exact"/>
        <w:ind w:firstLine="472" w:firstLineChars="196"/>
        <w:textAlignment w:val="auto"/>
        <w:rPr>
          <w:rFonts w:hint="eastAsia" w:ascii="仿宋" w:hAnsi="仿宋" w:eastAsia="仿宋" w:cs="仿宋"/>
          <w:b/>
          <w:bCs/>
          <w:color w:val="auto"/>
          <w:sz w:val="24"/>
        </w:rPr>
      </w:pPr>
      <w:r>
        <w:rPr>
          <w:rFonts w:hint="eastAsia" w:ascii="仿宋" w:hAnsi="仿宋" w:eastAsia="仿宋" w:cs="仿宋"/>
          <w:b/>
          <w:bCs/>
          <w:color w:val="auto"/>
          <w:sz w:val="24"/>
        </w:rPr>
        <w:t>35.合同备案</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采购人应当自采购合同签订之日起七个工作日内，按照有关规定通过政采云系统将采购合同进行网上备案。</w:t>
      </w:r>
    </w:p>
    <w:p>
      <w:pPr>
        <w:pStyle w:val="2"/>
        <w:pageBreakBefore w:val="0"/>
        <w:widowControl w:val="0"/>
        <w:kinsoku/>
        <w:wordWrap/>
        <w:overflowPunct/>
        <w:topLinePunct w:val="0"/>
        <w:bidi w:val="0"/>
        <w:spacing w:before="0" w:after="0" w:line="360" w:lineRule="exact"/>
        <w:jc w:val="center"/>
        <w:textAlignment w:val="auto"/>
        <w:rPr>
          <w:rFonts w:hint="eastAsia" w:ascii="仿宋" w:hAnsi="仿宋" w:eastAsia="仿宋" w:cs="仿宋"/>
          <w:sz w:val="28"/>
          <w:szCs w:val="28"/>
        </w:rPr>
      </w:pPr>
      <w:bookmarkStart w:id="28" w:name="_Toc352165696"/>
      <w:bookmarkStart w:id="29" w:name="_Toc339459646"/>
      <w:bookmarkStart w:id="30" w:name="_Toc125344511"/>
      <w:r>
        <w:rPr>
          <w:rFonts w:hint="eastAsia" w:ascii="仿宋" w:hAnsi="仿宋" w:eastAsia="仿宋" w:cs="仿宋"/>
          <w:sz w:val="28"/>
          <w:szCs w:val="28"/>
        </w:rPr>
        <w:t>八、质疑和投诉</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36.1开标过程中，投标人对开标有异议的，应当在“政采云”平台上及时提出，评审委员应对异常情况制作相关记录。</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36.3质疑投诉的相关规定</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（一）质疑投诉递交的资料需为书面材料。质疑投诉书面材料需法人代表人（或负责人）或授权代表签字并加盖公章。</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（二）质疑投诉属于以下情况之一的，将不予受理：</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(1)质疑投诉人不是所投诉项目的参与者，或者与质疑投诉项目无任何利害关系；</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(2)质疑投诉事项不具体，且未提供有效线索，难以查证；</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(3)未提供书面质疑或者质疑未加盖公章的；投诉人为法人或者其他组织，其投诉书未经法定代表人或者主要负责人签字并加盖公章的；</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(4)已超过招标文件规定质疑投诉提出期限的事项；</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(5)投诉事项已作出处理决定，并且投诉人没有提出新的证据；</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(6)质疑投诉的事项已经进入行政复议或者行政诉讼程序的；投诉事项应先提出质疑而没有提出质疑的；</w:t>
      </w:r>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sz w:val="28"/>
          <w:szCs w:val="28"/>
        </w:rPr>
      </w:pPr>
      <w:r>
        <w:rPr>
          <w:rFonts w:hint="eastAsia" w:ascii="仿宋" w:hAnsi="仿宋" w:eastAsia="仿宋" w:cs="仿宋"/>
          <w:b w:val="0"/>
          <w:bCs w:val="0"/>
          <w:kern w:val="0"/>
          <w:sz w:val="24"/>
          <w:szCs w:val="21"/>
        </w:rPr>
        <w:t>(7)不符合采购相关法律法规等有关规定的投诉。</w:t>
      </w:r>
    </w:p>
    <w:p>
      <w:pPr>
        <w:pStyle w:val="2"/>
        <w:pageBreakBefore w:val="0"/>
        <w:widowControl w:val="0"/>
        <w:kinsoku/>
        <w:wordWrap/>
        <w:overflowPunct/>
        <w:topLinePunct w:val="0"/>
        <w:bidi w:val="0"/>
        <w:spacing w:before="0" w:after="0" w:line="360" w:lineRule="exact"/>
        <w:ind w:firstLine="562" w:firstLineChars="200"/>
        <w:jc w:val="center"/>
        <w:textAlignment w:val="auto"/>
        <w:rPr>
          <w:rFonts w:hint="eastAsia" w:ascii="仿宋" w:hAnsi="仿宋" w:eastAsia="仿宋" w:cs="仿宋"/>
          <w:sz w:val="28"/>
          <w:szCs w:val="28"/>
        </w:rPr>
      </w:pPr>
      <w:r>
        <w:rPr>
          <w:rFonts w:hint="eastAsia" w:ascii="仿宋" w:hAnsi="仿宋" w:eastAsia="仿宋" w:cs="仿宋"/>
          <w:sz w:val="28"/>
          <w:szCs w:val="28"/>
        </w:rPr>
        <w:t>九、不良行为记录</w:t>
      </w:r>
      <w:bookmarkEnd w:id="28"/>
      <w:bookmarkEnd w:id="29"/>
    </w:p>
    <w:p>
      <w:pPr>
        <w:pageBreakBefore w:val="0"/>
        <w:widowControl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投标人在采购活动中出现下列违规行为的将记入</w:t>
      </w:r>
      <w:r>
        <w:rPr>
          <w:rFonts w:hint="eastAsia" w:ascii="仿宋" w:hAnsi="仿宋" w:eastAsia="仿宋" w:cs="仿宋"/>
          <w:sz w:val="24"/>
          <w:szCs w:val="24"/>
        </w:rPr>
        <w:t>浙江浣江传媒集团有限公司</w:t>
      </w:r>
      <w:r>
        <w:rPr>
          <w:rFonts w:hint="eastAsia" w:ascii="仿宋" w:hAnsi="仿宋" w:eastAsia="仿宋" w:cs="仿宋"/>
          <w:color w:val="auto"/>
          <w:sz w:val="24"/>
        </w:rPr>
        <w:t>采购不良行为记录，并在记录时限内暂停其</w:t>
      </w:r>
      <w:r>
        <w:rPr>
          <w:rFonts w:hint="eastAsia" w:ascii="仿宋" w:hAnsi="仿宋" w:eastAsia="仿宋" w:cs="仿宋"/>
          <w:sz w:val="24"/>
          <w:szCs w:val="24"/>
        </w:rPr>
        <w:t>浙江浣江传媒集团有限公司及下属公司范围内采</w:t>
      </w:r>
      <w:r>
        <w:rPr>
          <w:rFonts w:hint="eastAsia" w:ascii="仿宋" w:hAnsi="仿宋" w:eastAsia="仿宋" w:cs="仿宋"/>
          <w:color w:val="auto"/>
          <w:sz w:val="24"/>
        </w:rPr>
        <w:t>购交易资格，同时不良行为在诸暨市公共资源交易中心网站公示。</w:t>
      </w:r>
    </w:p>
    <w:tbl>
      <w:tblPr>
        <w:tblStyle w:val="2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6433"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不良行为</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在招标采购过程中，与采购人进行协商谈判的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投标有效期内撤回其投标文件的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拒绝有关部门监督检查的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不积极配合采购人做好标的验收工作的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在有关部门的监督检查或考核中被通报批评或处以警告及以上处罚的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不遵守投标会场纪律，无理取闹，扰乱交易秩序的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7</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中标后无正当理由放弃中标，或在规定时间内不与采购人签订采购合同，或在签订合同时提出附加条件或更改合同实质性内容，或拒不提交所要求的履约保证金的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8</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虚假投诉、恶意投诉和不按程序、规定时间进行质疑投诉而影响采购工作正常进行或造成不良影响的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9</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不按照与采购人订立的合同履行义务（包括提供标的、售后服务、技术支持等），严重违反合同规定和廉政合同要求的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10</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项目负责人不到位，或擅自变换项目负责人，或不认真履行职责造成采购人损失的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11</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发生经营状况重大变化以及重要担保、重大合同纠纷或诉讼、信用等级和资质变化等可能影响履约能力的重大事项，未及时向</w:t>
            </w:r>
            <w:r>
              <w:rPr>
                <w:rFonts w:hint="eastAsia" w:ascii="仿宋" w:hAnsi="仿宋" w:eastAsia="仿宋" w:cs="仿宋"/>
                <w:sz w:val="24"/>
                <w:szCs w:val="24"/>
              </w:rPr>
              <w:t>浙江浣江传媒集团有限公司</w:t>
            </w:r>
            <w:r>
              <w:rPr>
                <w:rFonts w:hint="eastAsia" w:ascii="仿宋" w:hAnsi="仿宋" w:eastAsia="仿宋" w:cs="仿宋"/>
                <w:color w:val="auto"/>
                <w:sz w:val="24"/>
              </w:rPr>
              <w:t>提供书面报告，因而造成采购人损失的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与采购人、其他供应商或者采购代理机构相互串通的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13</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采取不正当手段排挤其他供应商，进行不公平竞争的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14</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中标后与采购人另行订立背离合同实质内容的协议的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15</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事先有承诺，而事后违反承诺内容的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16</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将中标项目转包或违反规定进行分包的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17</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提供虚假资料参加投标的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18</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以他人名义投标或允许他人以自己名义投标，或者以其他方式弄虚作假的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19</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未按照采购合同约定及时提供全部货物的，或无故拖延工期的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20</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无故不提供中标要求的型号、配置等产品的，或有拆换、调换、截留产品零部件和备品备件的行为的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21</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为获取自身利益，向采购人及其他有利害关系的单位或个人提供不正当利益的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22</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提供假冒伪劣产品或走私物品的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23</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擅自变更、中止、终止或解除采购合同的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24</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向有关人员行贿或者提供不正当利益谋取中标的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25</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在采购活动期间，对管理机构、采购人、其他投标人、评标专家、中介机构等采购相关机构和人员，采取诋毁、诽谤、胁迫、暴力等不正当手段的</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26</w:t>
            </w:r>
          </w:p>
        </w:tc>
        <w:tc>
          <w:tcPr>
            <w:tcW w:w="6433" w:type="dxa"/>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color w:val="auto"/>
                <w:sz w:val="24"/>
              </w:rPr>
            </w:pPr>
            <w:r>
              <w:rPr>
                <w:rFonts w:hint="eastAsia" w:ascii="仿宋" w:hAnsi="仿宋" w:eastAsia="仿宋" w:cs="仿宋"/>
                <w:color w:val="auto"/>
                <w:sz w:val="24"/>
              </w:rPr>
              <w:t>浙江浣江传媒集团有限公司认定的其他违反采购管理的行为</w:t>
            </w:r>
          </w:p>
        </w:tc>
        <w:tc>
          <w:tcPr>
            <w:tcW w:w="1326" w:type="dxa"/>
            <w:vAlign w:val="center"/>
          </w:tcPr>
          <w:p>
            <w:pPr>
              <w:pageBreakBefore w:val="0"/>
              <w:widowControl w:val="0"/>
              <w:kinsoku/>
              <w:wordWrap/>
              <w:overflowPunct/>
              <w:topLinePunct w:val="0"/>
              <w:bidi w:val="0"/>
              <w:spacing w:line="3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酌情处理</w:t>
            </w:r>
          </w:p>
        </w:tc>
      </w:tr>
    </w:tbl>
    <w:p>
      <w:pPr>
        <w:pStyle w:val="2"/>
        <w:pageBreakBefore w:val="0"/>
        <w:widowControl w:val="0"/>
        <w:kinsoku/>
        <w:wordWrap/>
        <w:overflowPunct/>
        <w:topLinePunct w:val="0"/>
        <w:bidi w:val="0"/>
        <w:spacing w:before="0" w:after="0"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十、</w:t>
      </w:r>
      <w:bookmarkEnd w:id="30"/>
      <w:r>
        <w:rPr>
          <w:rFonts w:hint="eastAsia" w:ascii="仿宋" w:hAnsi="仿宋" w:eastAsia="仿宋" w:cs="仿宋"/>
          <w:sz w:val="28"/>
          <w:szCs w:val="28"/>
        </w:rPr>
        <w:t>监督和解释</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37.</w:t>
      </w:r>
      <w:r>
        <w:rPr>
          <w:rFonts w:hint="eastAsia" w:ascii="仿宋" w:hAnsi="仿宋" w:eastAsia="仿宋" w:cs="仿宋"/>
          <w:color w:val="auto"/>
          <w:sz w:val="24"/>
        </w:rPr>
        <w:t>本次招标活动接受浙江浣江传媒集团有限公司的监督。</w:t>
      </w:r>
    </w:p>
    <w:p>
      <w:pPr>
        <w:pageBreakBefore w:val="0"/>
        <w:widowControl w:val="0"/>
        <w:kinsoku/>
        <w:wordWrap/>
        <w:overflowPunct/>
        <w:topLinePunct w:val="0"/>
        <w:bidi w:val="0"/>
        <w:spacing w:line="36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38.</w:t>
      </w:r>
      <w:r>
        <w:rPr>
          <w:rFonts w:hint="eastAsia" w:ascii="仿宋" w:hAnsi="仿宋" w:eastAsia="仿宋" w:cs="仿宋"/>
          <w:color w:val="auto"/>
          <w:sz w:val="24"/>
        </w:rPr>
        <w:t>本招标文件的解释权属于采购单位和诸暨市广顺工程管理服务有限公司。</w:t>
      </w:r>
    </w:p>
    <w:p>
      <w:pPr>
        <w:ind w:firstLine="480" w:firstLineChars="200"/>
        <w:rPr>
          <w:rFonts w:hint="eastAsia" w:ascii="仿宋" w:hAnsi="仿宋" w:eastAsia="仿宋" w:cs="仿宋"/>
          <w:color w:val="auto"/>
          <w:sz w:val="24"/>
        </w:rPr>
      </w:pPr>
    </w:p>
    <w:p>
      <w:pPr>
        <w:ind w:firstLine="480" w:firstLineChars="200"/>
        <w:rPr>
          <w:rFonts w:hint="eastAsia" w:ascii="仿宋" w:hAnsi="仿宋" w:eastAsia="仿宋" w:cs="仿宋"/>
          <w:color w:val="auto"/>
          <w:sz w:val="24"/>
        </w:rPr>
      </w:pPr>
    </w:p>
    <w:p>
      <w:pPr>
        <w:jc w:val="center"/>
        <w:rPr>
          <w:rFonts w:hint="eastAsia" w:ascii="仿宋" w:hAnsi="仿宋" w:eastAsia="仿宋" w:cs="仿宋"/>
          <w:b/>
          <w:bCs/>
          <w:color w:val="auto"/>
          <w:sz w:val="36"/>
          <w:szCs w:val="28"/>
        </w:rPr>
      </w:pPr>
    </w:p>
    <w:p>
      <w:pPr>
        <w:pStyle w:val="4"/>
        <w:rPr>
          <w:rFonts w:hint="eastAsia" w:ascii="仿宋" w:hAnsi="仿宋" w:eastAsia="仿宋" w:cs="仿宋"/>
          <w:b w:val="0"/>
          <w:bCs/>
          <w:sz w:val="36"/>
        </w:rPr>
      </w:pPr>
    </w:p>
    <w:p>
      <w:pPr>
        <w:rPr>
          <w:rFonts w:hint="eastAsia" w:ascii="仿宋" w:hAnsi="仿宋" w:eastAsia="仿宋" w:cs="仿宋"/>
        </w:rPr>
      </w:pPr>
    </w:p>
    <w:p>
      <w:pPr>
        <w:rPr>
          <w:rFonts w:hint="eastAsia" w:ascii="仿宋" w:hAnsi="仿宋" w:eastAsia="仿宋" w:cs="仿宋"/>
          <w:b/>
          <w:bCs/>
          <w:color w:val="auto"/>
          <w:sz w:val="36"/>
          <w:szCs w:val="28"/>
        </w:rPr>
      </w:pPr>
    </w:p>
    <w:p>
      <w:pPr>
        <w:jc w:val="center"/>
        <w:rPr>
          <w:rFonts w:hint="eastAsia" w:ascii="仿宋" w:hAnsi="仿宋" w:eastAsia="仿宋" w:cs="仿宋"/>
          <w:color w:val="auto"/>
          <w:sz w:val="24"/>
        </w:rPr>
      </w:pPr>
      <w:r>
        <w:rPr>
          <w:rFonts w:hint="eastAsia" w:ascii="宋体" w:hAnsi="宋体" w:cs="宋体"/>
          <w:b/>
          <w:bCs/>
          <w:color w:val="auto"/>
          <w:sz w:val="36"/>
          <w:szCs w:val="28"/>
        </w:rPr>
        <w:br w:type="page"/>
      </w:r>
      <w:r>
        <w:rPr>
          <w:rFonts w:hint="eastAsia" w:ascii="仿宋" w:hAnsi="仿宋" w:eastAsia="仿宋" w:cs="仿宋"/>
          <w:b/>
          <w:bCs/>
          <w:color w:val="auto"/>
          <w:sz w:val="36"/>
          <w:szCs w:val="28"/>
        </w:rPr>
        <w:t>第三章   评标办法及评分标准</w:t>
      </w:r>
    </w:p>
    <w:p>
      <w:pPr>
        <w:keepNext w:val="0"/>
        <w:keepLines w:val="0"/>
        <w:pageBreakBefore w:val="0"/>
        <w:widowControl w:val="0"/>
        <w:kinsoku/>
        <w:wordWrap/>
        <w:overflowPunct/>
        <w:topLinePunct w:val="0"/>
        <w:autoSpaceDE/>
        <w:autoSpaceDN w:val="0"/>
        <w:bidi w:val="0"/>
        <w:adjustRightInd/>
        <w:snapToGrid/>
        <w:spacing w:line="360" w:lineRule="exact"/>
        <w:ind w:left="0" w:leftChars="0" w:firstLine="480" w:firstLineChars="200"/>
        <w:jc w:val="left"/>
        <w:textAlignment w:val="auto"/>
        <w:rPr>
          <w:rFonts w:hint="eastAsia" w:ascii="仿宋" w:hAnsi="仿宋" w:eastAsia="仿宋" w:cs="仿宋"/>
          <w:bCs/>
          <w:kern w:val="0"/>
          <w:sz w:val="24"/>
        </w:rPr>
      </w:pPr>
      <w:r>
        <w:rPr>
          <w:rFonts w:hint="eastAsia" w:ascii="仿宋" w:hAnsi="仿宋" w:eastAsia="仿宋" w:cs="仿宋"/>
          <w:bCs/>
          <w:kern w:val="0"/>
          <w:sz w:val="24"/>
        </w:rPr>
        <w:t>1、采用</w:t>
      </w:r>
      <w:r>
        <w:rPr>
          <w:rFonts w:hint="eastAsia" w:ascii="仿宋" w:hAnsi="仿宋" w:eastAsia="仿宋" w:cs="仿宋"/>
          <w:bCs/>
          <w:kern w:val="0"/>
          <w:sz w:val="24"/>
          <w:u w:val="single"/>
        </w:rPr>
        <w:t>　综合评分法　</w:t>
      </w:r>
      <w:r>
        <w:rPr>
          <w:rFonts w:hint="eastAsia" w:ascii="仿宋" w:hAnsi="仿宋" w:eastAsia="仿宋" w:cs="仿宋"/>
          <w:bCs/>
          <w:kern w:val="0"/>
          <w:sz w:val="24"/>
        </w:rPr>
        <w:t>。即在符合招标文件要求的前提下，择定最高得分者为第一中标候选人，即预中标人。</w:t>
      </w:r>
    </w:p>
    <w:p>
      <w:pPr>
        <w:keepNext w:val="0"/>
        <w:keepLines w:val="0"/>
        <w:pageBreakBefore w:val="0"/>
        <w:widowControl w:val="0"/>
        <w:kinsoku/>
        <w:wordWrap/>
        <w:overflowPunct/>
        <w:topLinePunct w:val="0"/>
        <w:autoSpaceDE/>
        <w:autoSpaceDN w:val="0"/>
        <w:bidi w:val="0"/>
        <w:adjustRightInd/>
        <w:snapToGrid/>
        <w:spacing w:line="360" w:lineRule="exact"/>
        <w:ind w:left="0" w:leftChars="0" w:firstLine="480" w:firstLineChars="200"/>
        <w:jc w:val="left"/>
        <w:textAlignment w:val="auto"/>
        <w:rPr>
          <w:rFonts w:hint="eastAsia" w:ascii="仿宋" w:hAnsi="仿宋" w:eastAsia="仿宋" w:cs="仿宋"/>
          <w:bCs/>
          <w:kern w:val="0"/>
          <w:sz w:val="24"/>
        </w:rPr>
      </w:pPr>
      <w:r>
        <w:rPr>
          <w:rFonts w:hint="eastAsia" w:ascii="仿宋" w:hAnsi="仿宋" w:eastAsia="仿宋" w:cs="仿宋"/>
          <w:bCs/>
          <w:kern w:val="0"/>
          <w:sz w:val="24"/>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keepNext w:val="0"/>
        <w:keepLines w:val="0"/>
        <w:pageBreakBefore w:val="0"/>
        <w:widowControl w:val="0"/>
        <w:kinsoku/>
        <w:wordWrap/>
        <w:overflowPunct/>
        <w:topLinePunct w:val="0"/>
        <w:autoSpaceDE/>
        <w:autoSpaceDN w:val="0"/>
        <w:bidi w:val="0"/>
        <w:adjustRightInd/>
        <w:snapToGrid/>
        <w:spacing w:line="360" w:lineRule="exact"/>
        <w:ind w:left="0" w:leftChars="0" w:firstLine="480" w:firstLineChars="200"/>
        <w:jc w:val="left"/>
        <w:textAlignment w:val="auto"/>
        <w:rPr>
          <w:rFonts w:hint="eastAsia" w:ascii="仿宋" w:hAnsi="仿宋" w:eastAsia="仿宋" w:cs="仿宋"/>
          <w:bCs/>
          <w:kern w:val="0"/>
          <w:sz w:val="24"/>
        </w:rPr>
      </w:pPr>
      <w:r>
        <w:rPr>
          <w:rFonts w:hint="eastAsia" w:ascii="仿宋" w:hAnsi="仿宋" w:eastAsia="仿宋" w:cs="仿宋"/>
          <w:bCs/>
          <w:kern w:val="0"/>
          <w:sz w:val="24"/>
        </w:rPr>
        <w:t>3、评分办法</w:t>
      </w:r>
    </w:p>
    <w:p>
      <w:pPr>
        <w:keepNext w:val="0"/>
        <w:keepLines w:val="0"/>
        <w:pageBreakBefore w:val="0"/>
        <w:widowControl w:val="0"/>
        <w:kinsoku/>
        <w:wordWrap/>
        <w:overflowPunct/>
        <w:topLinePunct w:val="0"/>
        <w:autoSpaceDE/>
        <w:autoSpaceDN w:val="0"/>
        <w:bidi w:val="0"/>
        <w:adjustRightInd/>
        <w:snapToGrid/>
        <w:spacing w:line="360" w:lineRule="exact"/>
        <w:ind w:left="0" w:leftChars="0" w:firstLine="480" w:firstLineChars="200"/>
        <w:jc w:val="left"/>
        <w:textAlignment w:val="auto"/>
        <w:rPr>
          <w:rFonts w:hint="eastAsia" w:ascii="仿宋" w:hAnsi="仿宋" w:eastAsia="仿宋" w:cs="仿宋"/>
          <w:bCs/>
          <w:kern w:val="0"/>
          <w:sz w:val="24"/>
        </w:rPr>
      </w:pPr>
      <w:r>
        <w:rPr>
          <w:rFonts w:hint="eastAsia" w:ascii="仿宋" w:hAnsi="仿宋" w:eastAsia="仿宋" w:cs="仿宋"/>
          <w:bCs/>
          <w:kern w:val="0"/>
          <w:sz w:val="24"/>
        </w:rPr>
        <w:t>（1）满分为100分。总得分=商务技术得分+报价得分；</w:t>
      </w:r>
    </w:p>
    <w:p>
      <w:pPr>
        <w:keepNext w:val="0"/>
        <w:keepLines w:val="0"/>
        <w:pageBreakBefore w:val="0"/>
        <w:widowControl w:val="0"/>
        <w:kinsoku/>
        <w:wordWrap/>
        <w:overflowPunct/>
        <w:topLinePunct w:val="0"/>
        <w:autoSpaceDE/>
        <w:autoSpaceDN w:val="0"/>
        <w:bidi w:val="0"/>
        <w:adjustRightInd/>
        <w:snapToGrid/>
        <w:spacing w:line="360" w:lineRule="exact"/>
        <w:ind w:left="0" w:leftChars="0" w:firstLine="480" w:firstLineChars="200"/>
        <w:jc w:val="left"/>
        <w:textAlignment w:val="auto"/>
        <w:rPr>
          <w:rFonts w:hint="eastAsia" w:ascii="仿宋" w:hAnsi="仿宋" w:eastAsia="仿宋" w:cs="仿宋"/>
          <w:bCs/>
          <w:kern w:val="0"/>
          <w:sz w:val="24"/>
        </w:rPr>
      </w:pPr>
      <w:r>
        <w:rPr>
          <w:rFonts w:hint="eastAsia" w:ascii="仿宋" w:hAnsi="仿宋" w:eastAsia="仿宋" w:cs="仿宋"/>
          <w:bCs/>
          <w:kern w:val="0"/>
          <w:sz w:val="24"/>
        </w:rPr>
        <w:t>（2）商务技术得分=商务技术评分，商务技术评分=所有评委的有效评分的算术平均数。</w:t>
      </w:r>
    </w:p>
    <w:p>
      <w:pPr>
        <w:keepNext w:val="0"/>
        <w:keepLines w:val="0"/>
        <w:pageBreakBefore w:val="0"/>
        <w:widowControl w:val="0"/>
        <w:kinsoku/>
        <w:wordWrap/>
        <w:overflowPunct/>
        <w:topLinePunct w:val="0"/>
        <w:autoSpaceDE/>
        <w:autoSpaceDN w:val="0"/>
        <w:bidi w:val="0"/>
        <w:adjustRightInd/>
        <w:snapToGrid/>
        <w:spacing w:line="360" w:lineRule="exact"/>
        <w:ind w:left="0" w:leftChars="0" w:firstLine="480" w:firstLineChars="200"/>
        <w:jc w:val="left"/>
        <w:textAlignment w:val="auto"/>
        <w:rPr>
          <w:rFonts w:hint="eastAsia" w:ascii="仿宋" w:hAnsi="仿宋" w:eastAsia="仿宋" w:cs="仿宋"/>
          <w:bCs/>
          <w:kern w:val="0"/>
          <w:sz w:val="24"/>
        </w:rPr>
      </w:pPr>
      <w:r>
        <w:rPr>
          <w:rFonts w:hint="eastAsia" w:ascii="仿宋" w:hAnsi="仿宋" w:eastAsia="仿宋" w:cs="仿宋"/>
          <w:bCs/>
          <w:kern w:val="0"/>
          <w:sz w:val="24"/>
        </w:rPr>
        <w:t>（3）报价得分=（评标基准价/投标报价）*价格权值*100，评标基准价=通过商务技术评审的最低有效投标报价，价格权值=</w:t>
      </w:r>
      <w:r>
        <w:rPr>
          <w:rFonts w:hint="eastAsia" w:ascii="仿宋" w:hAnsi="仿宋" w:eastAsia="仿宋" w:cs="仿宋"/>
          <w:bCs/>
          <w:kern w:val="0"/>
          <w:sz w:val="24"/>
          <w:lang w:val="en-US" w:eastAsia="zh-CN"/>
        </w:rPr>
        <w:t>3</w:t>
      </w:r>
      <w:r>
        <w:rPr>
          <w:rFonts w:hint="eastAsia" w:ascii="仿宋" w:hAnsi="仿宋" w:eastAsia="仿宋" w:cs="仿宋"/>
          <w:bCs/>
          <w:kern w:val="0"/>
          <w:sz w:val="24"/>
        </w:rPr>
        <w:t>0%；</w:t>
      </w:r>
    </w:p>
    <w:p>
      <w:pPr>
        <w:keepNext w:val="0"/>
        <w:keepLines w:val="0"/>
        <w:pageBreakBefore w:val="0"/>
        <w:kinsoku/>
        <w:wordWrap/>
        <w:overflowPunct/>
        <w:topLinePunct w:val="0"/>
        <w:bidi w:val="0"/>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（4）技术分评分细则（70分）</w:t>
      </w:r>
    </w:p>
    <w:tbl>
      <w:tblPr>
        <w:tblStyle w:val="25"/>
        <w:tblW w:w="9631" w:type="dxa"/>
        <w:jc w:val="center"/>
        <w:tblLayout w:type="fixed"/>
        <w:tblCellMar>
          <w:top w:w="0" w:type="dxa"/>
          <w:left w:w="0" w:type="dxa"/>
          <w:bottom w:w="0" w:type="dxa"/>
          <w:right w:w="0" w:type="dxa"/>
        </w:tblCellMar>
      </w:tblPr>
      <w:tblGrid>
        <w:gridCol w:w="624"/>
        <w:gridCol w:w="2050"/>
        <w:gridCol w:w="733"/>
        <w:gridCol w:w="5493"/>
        <w:gridCol w:w="731"/>
      </w:tblGrid>
      <w:tr>
        <w:tblPrEx>
          <w:tblCellMar>
            <w:top w:w="0" w:type="dxa"/>
            <w:left w:w="0" w:type="dxa"/>
            <w:bottom w:w="0" w:type="dxa"/>
            <w:right w:w="0" w:type="dxa"/>
          </w:tblCellMar>
        </w:tblPrEx>
        <w:trPr>
          <w:trHeight w:val="283"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0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62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得分细则</w:t>
            </w:r>
          </w:p>
        </w:tc>
        <w:tc>
          <w:tcPr>
            <w:tcW w:w="7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满分</w:t>
            </w:r>
          </w:p>
        </w:tc>
      </w:tr>
      <w:tr>
        <w:tblPrEx>
          <w:tblCellMar>
            <w:top w:w="0" w:type="dxa"/>
            <w:left w:w="0" w:type="dxa"/>
            <w:bottom w:w="0" w:type="dxa"/>
            <w:right w:w="0" w:type="dxa"/>
          </w:tblCellMar>
        </w:tblPrEx>
        <w:trPr>
          <w:trHeight w:val="90"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综合实力</w:t>
            </w:r>
          </w:p>
        </w:tc>
        <w:tc>
          <w:tcPr>
            <w:tcW w:w="62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投标人具有计算机软硬件运维服务ISO20000信息技术服务管理体系认证证书、信息系统集成及运维服务ISO27001信息安全管理体系认证证书、信息系统集成及运维服务ISO9001质量管理体系认证证书，每项得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分，合计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投标人具有ITSS信息技术服务运行维护标准成熟度三级及以上资质证书得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（投标文件中提供证书扫描件及相关官网平台截图并加盖投标人</w:t>
            </w:r>
            <w:r>
              <w:rPr>
                <w:rFonts w:hint="eastAsia" w:ascii="仿宋" w:hAnsi="仿宋" w:eastAsia="仿宋" w:cs="仿宋"/>
                <w:b/>
                <w:bCs/>
                <w:color w:val="auto"/>
                <w:sz w:val="24"/>
                <w:szCs w:val="24"/>
                <w:highlight w:val="none"/>
              </w:rPr>
              <w:t>CA签章，</w:t>
            </w:r>
            <w:r>
              <w:rPr>
                <w:rFonts w:hint="eastAsia" w:ascii="仿宋" w:hAnsi="仿宋" w:eastAsia="仿宋" w:cs="仿宋"/>
                <w:b/>
                <w:bCs/>
                <w:color w:val="auto"/>
                <w:sz w:val="24"/>
                <w:szCs w:val="24"/>
                <w:highlight w:val="none"/>
                <w:lang w:val="zh-CN"/>
              </w:rPr>
              <w:t>不提供不得分，所有证书均需在有效期内）</w:t>
            </w:r>
            <w:r>
              <w:rPr>
                <w:rFonts w:hint="eastAsia" w:ascii="仿宋" w:hAnsi="仿宋" w:eastAsia="仿宋" w:cs="仿宋"/>
                <w:color w:val="auto"/>
                <w:sz w:val="24"/>
                <w:szCs w:val="24"/>
                <w:highlight w:val="none"/>
                <w:lang w:val="zh-CN"/>
              </w:rPr>
              <w:t>）</w:t>
            </w:r>
          </w:p>
        </w:tc>
        <w:tc>
          <w:tcPr>
            <w:tcW w:w="7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CellMar>
            <w:top w:w="0" w:type="dxa"/>
            <w:left w:w="0" w:type="dxa"/>
            <w:bottom w:w="0" w:type="dxa"/>
            <w:right w:w="0" w:type="dxa"/>
          </w:tblCellMar>
        </w:tblPrEx>
        <w:trPr>
          <w:trHeight w:val="285"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20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厂商资质</w:t>
            </w:r>
          </w:p>
        </w:tc>
        <w:tc>
          <w:tcPr>
            <w:tcW w:w="62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1、投标产品厂商研发的电梯智慧管理信息系统具有公安部门备案的“信息系统安全等级保护”证明：一级得1分；二级得2分；三级及以上得3分。</w:t>
            </w:r>
          </w:p>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产品厂商研发的电梯智慧管理系统需具备针对抗电强度和接触电流两项指标要求：均需符合GB4793.1-2007通用要求、针对绝缘电阻指标要求：满足≥100MΩ，需提供具有CMA或CNAS标志的国家级检测报告，完全符合得2分，任一项不符不得分。</w:t>
            </w:r>
          </w:p>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3、投标产品厂商研发的电梯智慧管理系统需具有针对电动车阻拦功能的检测，需提供具有CMA及CNAS标志的国家级检测报告，完全符合得1分，否则不得分。</w:t>
            </w:r>
          </w:p>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（投标文件中提供相关证书扫描件并加盖投标人CA签章，不提供不得分，所有证书均需在有效期内。）</w:t>
            </w:r>
            <w:r>
              <w:rPr>
                <w:rFonts w:hint="eastAsia" w:ascii="仿宋" w:hAnsi="仿宋" w:eastAsia="仿宋" w:cs="仿宋"/>
                <w:color w:val="auto"/>
                <w:sz w:val="24"/>
                <w:szCs w:val="24"/>
                <w:highlight w:val="none"/>
                <w:lang w:val="en-US" w:eastAsia="zh-CN"/>
              </w:rPr>
              <w:t>；</w:t>
            </w:r>
          </w:p>
        </w:tc>
        <w:tc>
          <w:tcPr>
            <w:tcW w:w="7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tblPrEx>
          <w:tblCellMar>
            <w:top w:w="0" w:type="dxa"/>
            <w:left w:w="0" w:type="dxa"/>
            <w:bottom w:w="0" w:type="dxa"/>
            <w:right w:w="0" w:type="dxa"/>
          </w:tblCellMar>
        </w:tblPrEx>
        <w:trPr>
          <w:trHeight w:val="493" w:hRule="atLeast"/>
          <w:jc w:val="center"/>
        </w:trPr>
        <w:tc>
          <w:tcPr>
            <w:tcW w:w="62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050"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整体方案设计及技术条件</w:t>
            </w:r>
          </w:p>
        </w:tc>
        <w:tc>
          <w:tcPr>
            <w:tcW w:w="7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bidi w:val="0"/>
              <w:snapToGrid/>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p>
          <w:p>
            <w:pPr>
              <w:keepNext w:val="0"/>
              <w:keepLines w:val="0"/>
              <w:pageBreakBefore w:val="0"/>
              <w:kinsoku/>
              <w:wordWrap/>
              <w:overflowPunct/>
              <w:topLinePunct w:val="0"/>
              <w:autoSpaceDE w:val="0"/>
              <w:bidi w:val="0"/>
              <w:snapToGrid/>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w:t>
            </w:r>
          </w:p>
        </w:tc>
        <w:tc>
          <w:tcPr>
            <w:tcW w:w="54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需求，切实可行，充分满足该项目建设和</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需要；除上述评分标准所提到的参数外，其余各项指标高于招标文件要求的；提供的技术方案完整、可行、合理、先进；方案描述清晰，</w:t>
            </w:r>
            <w:r>
              <w:rPr>
                <w:rFonts w:hint="eastAsia" w:ascii="仿宋" w:hAnsi="仿宋" w:eastAsia="仿宋" w:cs="仿宋"/>
                <w:color w:val="auto"/>
                <w:sz w:val="24"/>
                <w:szCs w:val="24"/>
                <w:highlight w:val="none"/>
                <w:lang w:val="en-US" w:eastAsia="zh-CN"/>
              </w:rPr>
              <w:t>符合</w:t>
            </w:r>
            <w:r>
              <w:rPr>
                <w:rFonts w:hint="eastAsia" w:ascii="仿宋" w:hAnsi="仿宋" w:eastAsia="仿宋" w:cs="仿宋"/>
                <w:color w:val="auto"/>
                <w:sz w:val="24"/>
                <w:szCs w:val="24"/>
                <w:highlight w:val="none"/>
              </w:rPr>
              <w:t>采购人系统现状和业务需求的理解与分析准确，充分考虑用户需求，具有先进的电瓶车管控技术；对设备的供货、安装调试、验收等进行了合理安排和规划；提供关键技术和施工工艺的。针对方案的完整性和优劣进行评分，优秀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分，良的得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分，一般的得0-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分，不提供不得分。</w:t>
            </w:r>
          </w:p>
        </w:tc>
        <w:tc>
          <w:tcPr>
            <w:tcW w:w="7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tblPrEx>
          <w:tblCellMar>
            <w:top w:w="0" w:type="dxa"/>
            <w:left w:w="0" w:type="dxa"/>
            <w:bottom w:w="0" w:type="dxa"/>
            <w:right w:w="0" w:type="dxa"/>
          </w:tblCellMar>
        </w:tblPrEx>
        <w:trPr>
          <w:trHeight w:val="3330" w:hRule="atLeast"/>
          <w:jc w:val="center"/>
        </w:trPr>
        <w:tc>
          <w:tcPr>
            <w:tcW w:w="624" w:type="dxa"/>
            <w:vMerge w:val="continue"/>
            <w:tcBorders>
              <w:top w:val="single" w:color="auto" w:sz="4" w:space="0"/>
              <w:left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p>
        </w:tc>
        <w:tc>
          <w:tcPr>
            <w:tcW w:w="2050" w:type="dxa"/>
            <w:vMerge w:val="continue"/>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bidi w:val="0"/>
              <w:snapToGrid/>
              <w:spacing w:line="360" w:lineRule="exact"/>
              <w:jc w:val="center"/>
              <w:rPr>
                <w:rFonts w:hint="eastAsia" w:ascii="仿宋" w:hAnsi="仿宋" w:eastAsia="仿宋" w:cs="仿宋"/>
                <w:color w:val="auto"/>
                <w:sz w:val="24"/>
                <w:szCs w:val="24"/>
                <w:highlight w:val="none"/>
              </w:rPr>
            </w:pPr>
          </w:p>
        </w:tc>
        <w:tc>
          <w:tcPr>
            <w:tcW w:w="7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c>
          <w:tcPr>
            <w:tcW w:w="54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1.根据投标的产品基本性能配置是否符合招标文件的要求及符合程度进行评价，基本性能满足或高于要求得满分。</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2.打“</w:t>
            </w:r>
            <w:r>
              <w:rPr>
                <w:rFonts w:hint="eastAsia" w:ascii="仿宋" w:hAnsi="仿宋" w:eastAsia="仿宋" w:cs="仿宋"/>
                <w:color w:val="auto"/>
                <w:kern w:val="2"/>
                <w:sz w:val="24"/>
                <w:szCs w:val="24"/>
                <w:highlight w:val="none"/>
              </w:rPr>
              <w:t>★</w:t>
            </w:r>
            <w:r>
              <w:rPr>
                <w:rFonts w:hint="eastAsia" w:ascii="仿宋" w:hAnsi="仿宋" w:eastAsia="仿宋" w:cs="仿宋"/>
                <w:color w:val="auto"/>
                <w:sz w:val="24"/>
                <w:szCs w:val="24"/>
                <w:highlight w:val="none"/>
              </w:rPr>
              <w:t>”号设备性能指标为必须满足招标文件要求，如出现负偏离，则做无效投标处理。</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3.打“▲”号的设备性能指标中，每有一项负偏离的扣3分，扣完为止。</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4.其他设备性能指标中，每有一项负偏离的扣1分，扣完为止。</w:t>
            </w:r>
          </w:p>
        </w:tc>
        <w:tc>
          <w:tcPr>
            <w:tcW w:w="7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r>
      <w:tr>
        <w:tblPrEx>
          <w:tblCellMar>
            <w:top w:w="0" w:type="dxa"/>
            <w:left w:w="0" w:type="dxa"/>
            <w:bottom w:w="0" w:type="dxa"/>
            <w:right w:w="0" w:type="dxa"/>
          </w:tblCellMar>
        </w:tblPrEx>
        <w:trPr>
          <w:trHeight w:val="825" w:hRule="atLeast"/>
          <w:jc w:val="center"/>
        </w:trPr>
        <w:tc>
          <w:tcPr>
            <w:tcW w:w="624"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p>
        </w:tc>
        <w:tc>
          <w:tcPr>
            <w:tcW w:w="2050"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bidi w:val="0"/>
              <w:snapToGrid/>
              <w:spacing w:line="360" w:lineRule="exact"/>
              <w:jc w:val="center"/>
              <w:rPr>
                <w:rFonts w:hint="eastAsia" w:ascii="仿宋" w:hAnsi="仿宋" w:eastAsia="仿宋" w:cs="仿宋"/>
                <w:color w:val="auto"/>
                <w:sz w:val="24"/>
                <w:szCs w:val="24"/>
                <w:highlight w:val="none"/>
              </w:rPr>
            </w:pPr>
          </w:p>
        </w:tc>
        <w:tc>
          <w:tcPr>
            <w:tcW w:w="7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项目团队人员配置</w:t>
            </w:r>
          </w:p>
        </w:tc>
        <w:tc>
          <w:tcPr>
            <w:tcW w:w="54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投标人拟派项目团队人员中：</w:t>
            </w:r>
          </w:p>
          <w:p>
            <w:pPr>
              <w:keepNext w:val="0"/>
              <w:keepLines w:val="0"/>
              <w:pageBreakBefore w:val="0"/>
              <w:widowControl/>
              <w:kinsoku/>
              <w:wordWrap/>
              <w:overflowPunct/>
              <w:topLinePunct w:val="0"/>
              <w:autoSpaceDE w:val="0"/>
              <w:bidi w:val="0"/>
              <w:snapToGrid/>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1.项目经理同时具备系统集成项目管理工程师、PMP项目管理专业资格认证、IT服务项目经理得3分，缺一不得分。</w:t>
            </w:r>
          </w:p>
          <w:p>
            <w:pPr>
              <w:keepNext w:val="0"/>
              <w:keepLines w:val="0"/>
              <w:pageBreakBefore w:val="0"/>
              <w:widowControl/>
              <w:kinsoku/>
              <w:wordWrap/>
              <w:overflowPunct/>
              <w:topLinePunct w:val="0"/>
              <w:autoSpaceDE w:val="0"/>
              <w:bidi w:val="0"/>
              <w:snapToGrid/>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2.项目团队人员具备网络工程师、RHCE认证工程师证书、IT服务工程师每提供一个得1分，最高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keepNext w:val="0"/>
              <w:keepLines w:val="0"/>
              <w:pageBreakBefore w:val="0"/>
              <w:widowControl/>
              <w:kinsoku/>
              <w:wordWrap/>
              <w:overflowPunct/>
              <w:topLinePunct w:val="0"/>
              <w:autoSpaceDE w:val="0"/>
              <w:bidi w:val="0"/>
              <w:snapToGrid/>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3.项目团队人员具备信息通信网络管理员职业技能证书每提供一个得1分，最高3分。</w:t>
            </w:r>
          </w:p>
          <w:p>
            <w:pPr>
              <w:keepNext w:val="0"/>
              <w:keepLines w:val="0"/>
              <w:pageBreakBefore w:val="0"/>
              <w:widowControl/>
              <w:kinsoku/>
              <w:wordWrap/>
              <w:overflowPunct/>
              <w:topLinePunct w:val="0"/>
              <w:autoSpaceDE w:val="0"/>
              <w:bidi w:val="0"/>
              <w:snapToGrid/>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（投标文件中提供以上人员相关证书扫描件及投标人为其缴纳的近三个</w:t>
            </w:r>
            <w:r>
              <w:rPr>
                <w:rFonts w:hint="eastAsia" w:ascii="仿宋" w:hAnsi="仿宋" w:eastAsia="仿宋" w:cs="仿宋"/>
                <w:b/>
                <w:bCs/>
                <w:color w:val="auto"/>
                <w:sz w:val="24"/>
                <w:szCs w:val="24"/>
                <w:highlight w:val="none"/>
                <w:lang w:val="en-US" w:eastAsia="zh-CN"/>
              </w:rPr>
              <w:t>月的</w:t>
            </w:r>
            <w:r>
              <w:rPr>
                <w:rFonts w:hint="eastAsia" w:ascii="仿宋" w:hAnsi="仿宋" w:eastAsia="仿宋" w:cs="仿宋"/>
                <w:b/>
                <w:bCs/>
                <w:color w:val="auto"/>
                <w:sz w:val="24"/>
                <w:szCs w:val="24"/>
                <w:highlight w:val="none"/>
              </w:rPr>
              <w:t>社保证明材料并加盖投标人CA签章，不提供不得分。）</w:t>
            </w:r>
          </w:p>
        </w:tc>
        <w:tc>
          <w:tcPr>
            <w:tcW w:w="7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tc>
      </w:tr>
      <w:tr>
        <w:tblPrEx>
          <w:tblCellMar>
            <w:top w:w="0" w:type="dxa"/>
            <w:left w:w="0" w:type="dxa"/>
            <w:bottom w:w="0" w:type="dxa"/>
            <w:right w:w="0" w:type="dxa"/>
          </w:tblCellMar>
        </w:tblPrEx>
        <w:trPr>
          <w:trHeight w:val="401"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20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bidi w:val="0"/>
              <w:snapToGrid/>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2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投标人需提供7*24小时本地化的服务，投标人营业执照注册地在诸暨的得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分，在绍兴其他地区的得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分，在浙江省内其他地区的得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分，其他不得分。（投标文件中提供营业执照证明材料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加盖投标人CA签章，不提供不得分）</w:t>
            </w:r>
          </w:p>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投标人能提供独立自主的基于客户移动设备的7*24小时的运维服务平台，具备IT运维智慧监控管理平台著作权证书得2分；具备IT运维综合过程管理平台著作权证书得2分；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zh-CN"/>
              </w:rPr>
              <w:t>投标文件中</w:t>
            </w:r>
            <w:r>
              <w:rPr>
                <w:rFonts w:hint="eastAsia" w:ascii="仿宋" w:hAnsi="仿宋" w:eastAsia="仿宋" w:cs="仿宋"/>
                <w:b/>
                <w:bCs/>
                <w:color w:val="auto"/>
                <w:sz w:val="24"/>
                <w:szCs w:val="24"/>
                <w:highlight w:val="none"/>
              </w:rPr>
              <w:t>提供以上相关证书扫描件</w:t>
            </w:r>
            <w:r>
              <w:rPr>
                <w:rFonts w:hint="eastAsia" w:ascii="仿宋" w:hAnsi="仿宋" w:eastAsia="仿宋" w:cs="仿宋"/>
                <w:b/>
                <w:bCs/>
                <w:color w:val="auto"/>
                <w:sz w:val="24"/>
                <w:szCs w:val="24"/>
                <w:highlight w:val="none"/>
                <w:lang w:val="zh-CN"/>
              </w:rPr>
              <w:t>加盖投标人</w:t>
            </w:r>
            <w:r>
              <w:rPr>
                <w:rFonts w:hint="eastAsia" w:ascii="仿宋" w:hAnsi="仿宋" w:eastAsia="仿宋" w:cs="仿宋"/>
                <w:b/>
                <w:bCs/>
                <w:color w:val="auto"/>
                <w:sz w:val="24"/>
                <w:szCs w:val="24"/>
                <w:highlight w:val="none"/>
              </w:rPr>
              <w:t>CA签章，</w:t>
            </w:r>
            <w:r>
              <w:rPr>
                <w:rFonts w:hint="eastAsia" w:ascii="仿宋" w:hAnsi="仿宋" w:eastAsia="仿宋" w:cs="仿宋"/>
                <w:b/>
                <w:bCs/>
                <w:color w:val="auto"/>
                <w:sz w:val="24"/>
                <w:szCs w:val="24"/>
                <w:highlight w:val="none"/>
                <w:lang w:val="zh-CN"/>
              </w:rPr>
              <w:t>不提供不得分。</w:t>
            </w:r>
            <w:r>
              <w:rPr>
                <w:rFonts w:hint="eastAsia" w:ascii="仿宋" w:hAnsi="仿宋" w:eastAsia="仿宋" w:cs="仿宋"/>
                <w:b/>
                <w:bCs/>
                <w:color w:val="auto"/>
                <w:sz w:val="24"/>
                <w:szCs w:val="24"/>
                <w:highlight w:val="none"/>
              </w:rPr>
              <w:t>）</w:t>
            </w:r>
          </w:p>
          <w:p>
            <w:pPr>
              <w:keepNext w:val="0"/>
              <w:keepLines w:val="0"/>
              <w:pageBreakBefore w:val="0"/>
              <w:numPr>
                <w:ilvl w:val="0"/>
                <w:numId w:val="0"/>
              </w:numPr>
              <w:kinsoku/>
              <w:wordWrap/>
              <w:overflowPunct/>
              <w:topLinePunct w:val="0"/>
              <w:autoSpaceDE w:val="0"/>
              <w:bidi w:val="0"/>
              <w:snapToGrid/>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需要对本项目新采购设备提供运维服务平台，运维服务平台需支持Android和iOS，用户在移动设备端可以凭产品序列号直接通过服务平台查看新采购的设备信息及保修状况得2分；报修人员可通过手机微信直接扫描资产标签二维码进行故障报修，同时还可将设备故障照片、拍摄故障视频、语音等附件上传得2分；运维服务平台为本项目提供专用报修二维码，内容需包含服务类型、项目名称、联系人及联系电话，方便用户进行快速报修服务得2分；报修人员通过微信公众号可以实时掌握当前报修服务的进度及服务人员当前位置得2分。</w:t>
            </w:r>
            <w:r>
              <w:rPr>
                <w:rFonts w:hint="eastAsia" w:ascii="仿宋" w:hAnsi="仿宋" w:eastAsia="仿宋" w:cs="仿宋"/>
                <w:b/>
                <w:bCs/>
                <w:color w:val="auto"/>
                <w:sz w:val="24"/>
                <w:szCs w:val="24"/>
                <w:highlight w:val="none"/>
              </w:rPr>
              <w:t>（投标文件中须提供运维服务平台以上功能的截图并加盖</w:t>
            </w:r>
            <w:r>
              <w:rPr>
                <w:rFonts w:hint="eastAsia" w:ascii="仿宋" w:hAnsi="仿宋" w:eastAsia="仿宋" w:cs="仿宋"/>
                <w:b/>
                <w:bCs/>
                <w:color w:val="auto"/>
                <w:sz w:val="24"/>
                <w:szCs w:val="24"/>
                <w:highlight w:val="none"/>
                <w:lang w:val="zh-CN"/>
              </w:rPr>
              <w:t>投标人</w:t>
            </w:r>
            <w:r>
              <w:rPr>
                <w:rFonts w:hint="eastAsia" w:ascii="仿宋" w:hAnsi="仿宋" w:eastAsia="仿宋" w:cs="仿宋"/>
                <w:b/>
                <w:bCs/>
                <w:color w:val="auto"/>
                <w:sz w:val="24"/>
                <w:szCs w:val="24"/>
                <w:highlight w:val="none"/>
              </w:rPr>
              <w:t>CA签章，不提供不得分。</w:t>
            </w:r>
            <w:r>
              <w:rPr>
                <w:rFonts w:hint="eastAsia" w:ascii="仿宋" w:hAnsi="仿宋" w:eastAsia="仿宋" w:cs="仿宋"/>
                <w:color w:val="auto"/>
                <w:sz w:val="24"/>
                <w:szCs w:val="24"/>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4.由于本项目安装点位较为分散，投标人需提供科学合理的实施方案，维护车辆（提供服务车辆行驶证，并且行驶证名称需与投标人名称一致）、维护人员的数量是否充足（提供投标人社保证明）、有常驻的本地化维护队伍综合评分，得0-4分。</w:t>
            </w:r>
            <w:r>
              <w:rPr>
                <w:rFonts w:hint="eastAsia" w:ascii="仿宋" w:hAnsi="仿宋" w:eastAsia="仿宋" w:cs="仿宋"/>
                <w:b/>
                <w:bCs/>
                <w:color w:val="auto"/>
                <w:sz w:val="24"/>
                <w:szCs w:val="24"/>
                <w:highlight w:val="none"/>
                <w:lang w:val="en-US" w:eastAsia="zh-CN" w:bidi="ar-SA"/>
              </w:rPr>
              <w:t>（投标文件中提供以上相关证明加盖投标人CA签章，不提供不得分。）</w:t>
            </w:r>
          </w:p>
        </w:tc>
        <w:tc>
          <w:tcPr>
            <w:tcW w:w="7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分</w:t>
            </w:r>
          </w:p>
        </w:tc>
      </w:tr>
      <w:tr>
        <w:tblPrEx>
          <w:tblCellMar>
            <w:top w:w="0" w:type="dxa"/>
            <w:left w:w="0" w:type="dxa"/>
            <w:bottom w:w="0" w:type="dxa"/>
            <w:right w:w="0" w:type="dxa"/>
          </w:tblCellMar>
        </w:tblPrEx>
        <w:trPr>
          <w:trHeight w:val="401"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20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投标产品演示</w:t>
            </w:r>
          </w:p>
          <w:p>
            <w:pPr>
              <w:keepNext w:val="0"/>
              <w:keepLines w:val="0"/>
              <w:pageBreakBefore w:val="0"/>
              <w:kinsoku/>
              <w:wordWrap/>
              <w:overflowPunct/>
              <w:topLinePunct w:val="0"/>
              <w:bidi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（以MP4视频方式演示，投标人在投标截止时间前将视频文件压缩并加密上传到指定邮箱2262785139@qq.com，在商务技术文件中提供解密密码。视频演示时间不得超过20分钟，评委根据投标所演示的内容进行评分。）</w:t>
            </w:r>
          </w:p>
        </w:tc>
        <w:tc>
          <w:tcPr>
            <w:tcW w:w="62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本次演示时长控制在20分钟，依据演示的完整性与演示效果予于评分。</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1.电梯基本信息采集（0-2分）</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可采集电梯运行方向；当前层站、轿厢门开闭等基本信息；</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2.电梯故障识别功能（0-2分）</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可识别因长时间遮挡门、运行中开门、电梯超速运行等故障情况；</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3.关于电瓶车管控系统的演示（0-6分）</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3.1.具备电动车入梯控制电梯暂停运行，电动车移出电梯后恢复运行功能；</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3.2.视频与电动车入梯人员通话；</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3.3.可在管理平台配置电动车梯控开关；</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3.4.如遇紧急情况可远程恢复电梯运行；</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3.5.后台管理具备统计分析功能，需要对电动车入梯时间、地点进行统计，方便线下安排人员进行管理；</w:t>
            </w:r>
          </w:p>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3.6.后台管理可查看电动车入梯视频回放；</w:t>
            </w:r>
          </w:p>
        </w:tc>
        <w:tc>
          <w:tcPr>
            <w:tcW w:w="7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r>
        <w:tblPrEx>
          <w:tblCellMar>
            <w:top w:w="0" w:type="dxa"/>
            <w:left w:w="0" w:type="dxa"/>
            <w:bottom w:w="0" w:type="dxa"/>
            <w:right w:w="0" w:type="dxa"/>
          </w:tblCellMar>
        </w:tblPrEx>
        <w:trPr>
          <w:trHeight w:val="401"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0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FF0000"/>
                <w:kern w:val="2"/>
                <w:sz w:val="24"/>
                <w:szCs w:val="24"/>
                <w:highlight w:val="yellow"/>
                <w:lang w:val="en-US" w:eastAsia="zh-CN" w:bidi="ar-SA"/>
              </w:rPr>
            </w:pPr>
            <w:r>
              <w:rPr>
                <w:rFonts w:hint="eastAsia" w:ascii="仿宋" w:hAnsi="仿宋" w:eastAsia="仿宋" w:cs="仿宋"/>
                <w:color w:val="auto"/>
                <w:sz w:val="24"/>
                <w:szCs w:val="24"/>
                <w:highlight w:val="none"/>
                <w:lang w:val="en-US" w:eastAsia="zh-CN"/>
              </w:rPr>
              <w:t>平台对接能力</w:t>
            </w:r>
          </w:p>
        </w:tc>
        <w:tc>
          <w:tcPr>
            <w:tcW w:w="622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bidi w:val="0"/>
              <w:snapToGrid/>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保障本次项目顺利实施，投标人所投产品需具有与诸暨市现有智慧电梯监管平台无缝对接能力，投标文件中可提供现有平台厂商出具的接入证明的得5分，不提供或无法无缝对接的得0分。（投标文件中提供以上相关证明加盖投标人CA签章，不提供不得分。）</w:t>
            </w:r>
          </w:p>
        </w:tc>
        <w:tc>
          <w:tcPr>
            <w:tcW w:w="7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val="0"/>
              <w:bidi w:val="0"/>
              <w:snapToGrid/>
              <w:spacing w:line="36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bl>
    <w:p>
      <w:pPr>
        <w:pStyle w:val="32"/>
        <w:keepNext w:val="0"/>
        <w:keepLines w:val="0"/>
        <w:pageBreakBefore w:val="0"/>
        <w:numPr>
          <w:ilvl w:val="0"/>
          <w:numId w:val="0"/>
        </w:numPr>
        <w:kinsoku/>
        <w:wordWrap/>
        <w:overflowPunct/>
        <w:topLinePunct w:val="0"/>
        <w:bidi w:val="0"/>
        <w:spacing w:line="360" w:lineRule="exact"/>
        <w:rPr>
          <w:rFonts w:hint="eastAsia" w:ascii="仿宋" w:hAnsi="仿宋" w:eastAsia="仿宋" w:cs="仿宋"/>
          <w:b/>
          <w:bCs/>
          <w:color w:val="auto"/>
          <w:kern w:val="2"/>
          <w:sz w:val="24"/>
          <w:szCs w:val="24"/>
          <w:highlight w:val="none"/>
          <w:lang w:val="en-US" w:eastAsia="zh-CN" w:bidi="ar"/>
        </w:rPr>
      </w:pPr>
    </w:p>
    <w:p>
      <w:pPr>
        <w:pStyle w:val="32"/>
        <w:keepNext w:val="0"/>
        <w:keepLines w:val="0"/>
        <w:pageBreakBefore w:val="0"/>
        <w:numPr>
          <w:ilvl w:val="0"/>
          <w:numId w:val="0"/>
        </w:numPr>
        <w:kinsoku/>
        <w:wordWrap/>
        <w:overflowPunct/>
        <w:topLinePunct w:val="0"/>
        <w:bidi w:val="0"/>
        <w:spacing w:line="360" w:lineRule="exact"/>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（5）通过资格评审和符合性评审的投标人全部入围进行报价评审。</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仿宋" w:hAnsi="仿宋" w:eastAsia="仿宋" w:cs="仿宋"/>
          <w:sz w:val="36"/>
          <w:szCs w:val="36"/>
        </w:rPr>
      </w:pPr>
      <w:bookmarkStart w:id="31" w:name="_Toc125344513"/>
      <w:r>
        <w:rPr>
          <w:rFonts w:hint="eastAsia" w:ascii="宋体" w:hAnsi="宋体" w:eastAsia="宋体" w:cs="宋体"/>
          <w:sz w:val="36"/>
          <w:szCs w:val="36"/>
        </w:rPr>
        <w:br w:type="page"/>
      </w:r>
      <w:r>
        <w:rPr>
          <w:rFonts w:hint="eastAsia" w:ascii="仿宋" w:hAnsi="仿宋" w:eastAsia="仿宋" w:cs="仿宋"/>
          <w:b/>
          <w:bCs/>
          <w:sz w:val="36"/>
          <w:szCs w:val="36"/>
        </w:rPr>
        <w:t>第四章   采购需求</w:t>
      </w:r>
    </w:p>
    <w:bookmarkEnd w:id="31"/>
    <w:p>
      <w:pPr>
        <w:spacing w:line="324" w:lineRule="auto"/>
        <w:rPr>
          <w:rFonts w:hint="eastAsia" w:ascii="仿宋" w:hAnsi="仿宋" w:eastAsia="仿宋" w:cs="仿宋"/>
          <w:b/>
          <w:color w:val="auto"/>
          <w:sz w:val="28"/>
          <w:szCs w:val="28"/>
        </w:rPr>
      </w:pPr>
      <w:r>
        <w:rPr>
          <w:rFonts w:hint="eastAsia" w:ascii="仿宋" w:hAnsi="仿宋" w:eastAsia="仿宋" w:cs="仿宋"/>
          <w:b/>
          <w:color w:val="auto"/>
          <w:sz w:val="28"/>
          <w:szCs w:val="28"/>
          <w:u w:val="single"/>
        </w:rPr>
        <w:t>注：★为实质性响应项，不满足则投标无效。“▲”是关键技术参数及要求。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color w:val="auto"/>
          <w:sz w:val="28"/>
          <w:szCs w:val="28"/>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（一）云梯系统</w:t>
      </w:r>
    </w:p>
    <w:p>
      <w:pPr>
        <w:keepNext w:val="0"/>
        <w:keepLines w:val="0"/>
        <w:pageBreakBefore w:val="0"/>
        <w:widowControl w:val="0"/>
        <w:kinsoku/>
        <w:wordWrap/>
        <w:overflowPunct/>
        <w:topLinePunct w:val="0"/>
        <w:autoSpaceDE/>
        <w:autoSpaceDN/>
        <w:bidi w:val="0"/>
        <w:adjustRightInd/>
        <w:snapToGrid/>
        <w:spacing w:beforeAutospacing="0" w:after="0" w:afterLines="40" w:afterAutospacing="0" w:line="240" w:lineRule="auto"/>
        <w:ind w:left="798"/>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云梯系统是一个多维度数据采集，对电梯全方位监管的智能化监管平台。</w:t>
      </w:r>
    </w:p>
    <w:p>
      <w:pPr>
        <w:keepNext w:val="0"/>
        <w:keepLines w:val="0"/>
        <w:pageBreakBefore w:val="0"/>
        <w:widowControl w:val="0"/>
        <w:kinsoku/>
        <w:wordWrap/>
        <w:overflowPunct/>
        <w:topLinePunct w:val="0"/>
        <w:autoSpaceDE/>
        <w:autoSpaceDN/>
        <w:bidi w:val="0"/>
        <w:adjustRightInd/>
        <w:snapToGrid/>
        <w:spacing w:beforeAutospacing="0" w:after="0" w:afterLines="40" w:afterAutospacing="0" w:line="240" w:lineRule="auto"/>
        <w:ind w:left="364"/>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该系统主要由智能摄像头+智能感知设备+网络传输通道+软件平台组成。</w:t>
      </w:r>
    </w:p>
    <w:p>
      <w:pPr>
        <w:spacing w:line="245" w:lineRule="auto"/>
        <w:rPr>
          <w:rFonts w:hint="eastAsia" w:ascii="仿宋" w:hAnsi="仿宋" w:eastAsia="仿宋" w:cs="仿宋"/>
          <w:color w:val="auto"/>
          <w:sz w:val="21"/>
          <w:highlight w:val="none"/>
        </w:rPr>
      </w:pPr>
      <w:r>
        <w:rPr>
          <w:rFonts w:hint="eastAsia" w:ascii="仿宋" w:hAnsi="仿宋" w:eastAsia="仿宋" w:cs="仿宋"/>
          <w:color w:val="auto"/>
          <w:highlight w:val="none"/>
        </w:rPr>
        <w:drawing>
          <wp:inline distT="0" distB="0" distL="114300" distR="114300">
            <wp:extent cx="5273675" cy="276225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3675" cy="2762250"/>
                    </a:xfrm>
                    <a:prstGeom prst="rect">
                      <a:avLst/>
                    </a:prstGeom>
                    <a:noFill/>
                    <a:ln>
                      <a:noFill/>
                    </a:ln>
                  </pic:spPr>
                </pic:pic>
              </a:graphicData>
            </a:graphic>
          </wp:inline>
        </w:drawing>
      </w:r>
    </w:p>
    <w:p>
      <w:pPr>
        <w:pageBreakBefore w:val="0"/>
        <w:kinsoku/>
        <w:wordWrap/>
        <w:overflowPunct/>
        <w:topLinePunct w:val="0"/>
        <w:bidi w:val="0"/>
        <w:spacing w:beforeAutospacing="0" w:afterAutospacing="0" w:line="360" w:lineRule="exact"/>
        <w:ind w:left="375"/>
        <w:outlineLvl w:val="1"/>
        <w:rPr>
          <w:rFonts w:hint="eastAsia" w:ascii="仿宋" w:hAnsi="仿宋" w:eastAsia="仿宋" w:cs="仿宋"/>
          <w:spacing w:val="0"/>
          <w:sz w:val="24"/>
          <w:szCs w:val="24"/>
          <w:highlight w:val="none"/>
          <w14:textOutline w14:w="4000" w14:cap="flat" w14:cmpd="sng">
            <w14:solidFill>
              <w14:srgbClr w14:val="000000"/>
            </w14:solidFill>
            <w14:prstDash w14:val="solid"/>
            <w14:miter w14:val="0"/>
          </w14:textOutline>
        </w:rPr>
      </w:pPr>
      <w:r>
        <w:rPr>
          <w:rFonts w:hint="eastAsia" w:ascii="仿宋" w:hAnsi="仿宋" w:eastAsia="仿宋" w:cs="仿宋"/>
          <w:spacing w:val="0"/>
          <w:sz w:val="24"/>
          <w:szCs w:val="24"/>
          <w:highlight w:val="none"/>
          <w14:textOutline w14:w="4000" w14:cap="flat" w14:cmpd="sng">
            <w14:solidFill>
              <w14:srgbClr w14:val="000000"/>
            </w14:solidFill>
            <w14:prstDash w14:val="solid"/>
            <w14:miter w14:val="0"/>
          </w14:textOutline>
        </w:rPr>
        <w:t>1.1</w:t>
      </w:r>
      <w:r>
        <w:rPr>
          <w:rFonts w:hint="eastAsia" w:ascii="仿宋" w:hAnsi="仿宋" w:eastAsia="仿宋" w:cs="仿宋"/>
          <w:spacing w:val="0"/>
          <w:sz w:val="24"/>
          <w:szCs w:val="24"/>
          <w:highlight w:val="none"/>
          <w:lang w:val="en-US" w:eastAsia="zh-CN"/>
          <w14:textOutline w14:w="4000" w14:cap="flat" w14:cmpd="sng">
            <w14:solidFill>
              <w14:srgbClr w14:val="000000"/>
            </w14:solidFill>
            <w14:prstDash w14:val="solid"/>
            <w14:miter w14:val="0"/>
          </w14:textOutline>
        </w:rPr>
        <w:t xml:space="preserve"> </w:t>
      </w:r>
      <w:r>
        <w:rPr>
          <w:rFonts w:hint="eastAsia" w:ascii="仿宋" w:hAnsi="仿宋" w:eastAsia="仿宋" w:cs="仿宋"/>
          <w:spacing w:val="0"/>
          <w:sz w:val="24"/>
          <w:szCs w:val="24"/>
          <w:highlight w:val="none"/>
          <w14:textOutline w14:w="4000" w14:cap="flat" w14:cmpd="sng">
            <w14:solidFill>
              <w14:srgbClr w14:val="000000"/>
            </w14:solidFill>
            <w14:prstDash w14:val="solid"/>
            <w14:miter w14:val="0"/>
          </w14:textOutline>
        </w:rPr>
        <w:t>智能摄像头</w:t>
      </w:r>
    </w:p>
    <w:p>
      <w:pPr>
        <w:pageBreakBefore w:val="0"/>
        <w:kinsoku/>
        <w:wordWrap/>
        <w:overflowPunct/>
        <w:topLinePunct w:val="0"/>
        <w:bidi w:val="0"/>
        <w:spacing w:beforeAutospacing="0" w:afterAutospacing="0" w:line="360" w:lineRule="exact"/>
        <w:ind w:left="362" w:right="502" w:firstLine="42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是云梯系统的核心硬件设备， 内置算力芯片，具备人行轨迹跟踪、人体行为分析、轿内态势感知、电动车识别等视频数据分析能力，对电梯内的情况进行分析判断。</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left="374"/>
        <w:textAlignment w:val="auto"/>
        <w:outlineLvl w:val="9"/>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000" w14:cap="flat" w14:cmpd="sng">
            <w14:solidFill>
              <w14:srgbClr w14:val="000000"/>
            </w14:solidFill>
            <w14:prstDash w14:val="solid"/>
            <w14:miter w14:val="0"/>
          </w14:textOutline>
        </w:rPr>
        <w:t>1.2</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000" w14:cap="flat" w14:cmpd="sng">
            <w14:solidFill>
              <w14:srgbClr w14:val="000000"/>
            </w14:solidFill>
            <w14:prstDash w14:val="solid"/>
            <w14:miter w14:val="0"/>
          </w14:textOutline>
        </w:rPr>
        <w:t>智能感知设备</w:t>
      </w:r>
    </w:p>
    <w:p>
      <w:pPr>
        <w:pageBreakBefore w:val="0"/>
        <w:kinsoku/>
        <w:wordWrap/>
        <w:overflowPunct/>
        <w:topLinePunct w:val="0"/>
        <w:bidi w:val="0"/>
        <w:spacing w:beforeAutospacing="0" w:afterAutospacing="0" w:line="360" w:lineRule="exact"/>
        <w:ind w:left="361" w:right="502" w:firstLine="419"/>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针对电梯行业各种安装场景定制传感器，同时采用标准的工控扩展接口，可支持扩展第三方的设备和传感器。</w:t>
      </w:r>
    </w:p>
    <w:p>
      <w:pPr>
        <w:pageBreakBefore w:val="0"/>
        <w:kinsoku/>
        <w:wordWrap/>
        <w:overflowPunct/>
        <w:topLinePunct w:val="0"/>
        <w:bidi w:val="0"/>
        <w:spacing w:beforeAutospacing="0" w:afterAutospacing="0" w:line="360" w:lineRule="exact"/>
        <w:ind w:left="375"/>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000" w14:cap="flat" w14:cmpd="sng">
            <w14:solidFill>
              <w14:srgbClr w14:val="000000"/>
            </w14:solidFill>
            <w14:prstDash w14:val="solid"/>
            <w14:miter w14:val="0"/>
          </w14:textOutline>
        </w:rPr>
        <w:t>1.3</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000" w14:cap="flat" w14:cmpd="sng">
            <w14:solidFill>
              <w14:srgbClr w14:val="000000"/>
            </w14:solidFill>
            <w14:prstDash w14:val="solid"/>
            <w14:miter w14:val="0"/>
          </w14:textOutline>
        </w:rPr>
        <w:t>网络传输通道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357" w:right="522" w:firstLine="420"/>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针对电梯行业各种安装场景定制的无线网关设备，安装于电梯轿顶或机房，采用4G/5G网络与系统平台进行对接，同时兼容有线网络/VPN/内部网络。</w:t>
      </w:r>
    </w:p>
    <w:p>
      <w:pPr>
        <w:bidi w:val="0"/>
        <w:rPr>
          <w:rFonts w:hint="eastAsia" w:ascii="仿宋" w:hAnsi="仿宋" w:eastAsia="仿宋" w:cs="仿宋"/>
          <w:color w:val="auto"/>
          <w:sz w:val="28"/>
          <w:szCs w:val="28"/>
          <w:highlight w:val="none"/>
        </w:rPr>
      </w:pPr>
      <w:bookmarkStart w:id="32" w:name="_bookmark5"/>
      <w:bookmarkEnd w:id="32"/>
      <w:r>
        <w:rPr>
          <w:rFonts w:hint="eastAsia" w:ascii="仿宋" w:hAnsi="仿宋" w:eastAsia="仿宋" w:cs="仿宋"/>
          <w:b/>
          <w:bCs/>
          <w:color w:val="auto"/>
          <w:sz w:val="28"/>
          <w:szCs w:val="28"/>
          <w:highlight w:val="none"/>
          <w:lang w:val="en-US" w:eastAsia="zh-CN"/>
        </w:rPr>
        <w:t>（二）智能电动车阻拦系统</w:t>
      </w:r>
    </w:p>
    <w:p>
      <w:pPr>
        <w:spacing w:before="78" w:line="365" w:lineRule="auto"/>
        <w:ind w:left="22" w:right="40" w:firstLine="486"/>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智能电动车阻拦子系统基于云梯系统，充分利用AI+视频图像识别技术，通过对视频图像处理，进行精准的识别，具有自主学习与迭代升级的能力。根据用户需求建立不同的数据库模型，增加系统识别的种类，能够确保识别的准确率和 控制的及时性</w:t>
      </w:r>
      <w:r>
        <w:rPr>
          <w:rFonts w:hint="eastAsia" w:ascii="仿宋" w:hAnsi="仿宋" w:eastAsia="仿宋" w:cs="仿宋"/>
          <w:color w:val="auto"/>
          <w:spacing w:val="-5"/>
          <w:sz w:val="24"/>
          <w:szCs w:val="24"/>
          <w:highlight w:val="none"/>
        </w:rPr>
        <w:t>。</w:t>
      </w:r>
    </w:p>
    <w:p>
      <w:pPr>
        <w:spacing w:before="191" w:line="220" w:lineRule="auto"/>
        <w:ind w:left="28"/>
        <w:outlineLvl w:val="1"/>
        <w:rPr>
          <w:rFonts w:hint="eastAsia" w:ascii="仿宋" w:hAnsi="仿宋" w:eastAsia="仿宋" w:cs="仿宋"/>
          <w:color w:val="auto"/>
          <w:sz w:val="28"/>
          <w:szCs w:val="28"/>
          <w:highlight w:val="none"/>
        </w:rPr>
      </w:pPr>
      <w:bookmarkStart w:id="33" w:name="_bookmark6"/>
      <w:bookmarkEnd w:id="33"/>
      <w:r>
        <w:rPr>
          <w:rFonts w:hint="eastAsia" w:ascii="仿宋" w:hAnsi="仿宋" w:eastAsia="仿宋" w:cs="仿宋"/>
          <w:color w:val="auto"/>
          <w:spacing w:val="-12"/>
          <w:sz w:val="28"/>
          <w:szCs w:val="28"/>
          <w:highlight w:val="none"/>
          <w14:textOutline w14:w="5092" w14:cap="flat" w14:cmpd="sng">
            <w14:solidFill>
              <w14:srgbClr w14:val="000000"/>
            </w14:solidFill>
            <w14:prstDash w14:val="solid"/>
            <w14:miter w14:val="0"/>
          </w14:textOutline>
        </w:rPr>
        <w:t>2</w:t>
      </w:r>
      <w:r>
        <w:rPr>
          <w:rFonts w:hint="eastAsia" w:ascii="仿宋" w:hAnsi="仿宋" w:eastAsia="仿宋" w:cs="仿宋"/>
          <w:color w:val="auto"/>
          <w:spacing w:val="-10"/>
          <w:sz w:val="28"/>
          <w:szCs w:val="28"/>
          <w:highlight w:val="none"/>
          <w14:textOutline w14:w="5092" w14:cap="flat" w14:cmpd="sng">
            <w14:solidFill>
              <w14:srgbClr w14:val="000000"/>
            </w14:solidFill>
            <w14:prstDash w14:val="solid"/>
            <w14:miter w14:val="0"/>
          </w14:textOutline>
        </w:rPr>
        <w:t>.1.</w:t>
      </w:r>
      <w:r>
        <w:rPr>
          <w:rFonts w:hint="eastAsia" w:ascii="仿宋" w:hAnsi="仿宋" w:eastAsia="仿宋" w:cs="仿宋"/>
          <w:color w:val="auto"/>
          <w:spacing w:val="-10"/>
          <w:sz w:val="28"/>
          <w:szCs w:val="28"/>
          <w:highlight w:val="none"/>
        </w:rPr>
        <w:t xml:space="preserve"> </w:t>
      </w:r>
      <w:r>
        <w:rPr>
          <w:rFonts w:hint="eastAsia" w:ascii="仿宋" w:hAnsi="仿宋" w:eastAsia="仿宋" w:cs="仿宋"/>
          <w:color w:val="auto"/>
          <w:spacing w:val="-10"/>
          <w:sz w:val="28"/>
          <w:szCs w:val="28"/>
          <w:highlight w:val="none"/>
          <w14:textOutline w14:w="5092" w14:cap="flat" w14:cmpd="sng">
            <w14:solidFill>
              <w14:srgbClr w14:val="000000"/>
            </w14:solidFill>
            <w14:prstDash w14:val="solid"/>
            <w14:miter w14:val="0"/>
          </w14:textOutline>
        </w:rPr>
        <w:t>产品架构</w:t>
      </w:r>
    </w:p>
    <w:p>
      <w:pPr>
        <w:spacing w:before="78" w:line="368" w:lineRule="auto"/>
        <w:ind w:left="25" w:right="40" w:firstLine="483"/>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智能电动车阻拦系统需基于云梯系统，在安装云梯设备的基础上实现系统的无缝对接，提供全方位的软硬件功能和服务。</w:t>
      </w:r>
    </w:p>
    <w:p>
      <w:pPr>
        <w:spacing w:before="134" w:line="220" w:lineRule="auto"/>
        <w:ind w:left="508"/>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系统组成架构图如下：</w:t>
      </w:r>
    </w:p>
    <w:p>
      <w:pP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5308600" cy="2948305"/>
            <wp:effectExtent l="0" t="0" r="6350" b="444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a:stretch>
                      <a:fillRect/>
                    </a:stretch>
                  </pic:blipFill>
                  <pic:spPr>
                    <a:xfrm>
                      <a:off x="0" y="0"/>
                      <a:ext cx="5308600" cy="2948305"/>
                    </a:xfrm>
                    <a:prstGeom prst="rect">
                      <a:avLst/>
                    </a:prstGeom>
                    <a:noFill/>
                    <a:ln>
                      <a:noFill/>
                    </a:ln>
                  </pic:spPr>
                </pic:pic>
              </a:graphicData>
            </a:graphic>
          </wp:inline>
        </w:drawing>
      </w:r>
    </w:p>
    <w:p>
      <w:pPr>
        <w:spacing w:before="78" w:line="364" w:lineRule="auto"/>
        <w:ind w:left="23" w:firstLine="48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通过安装在电梯内的传感器、智能摄像头，采集轿厢的物理、视频数据，在云端建立大数据算法和模型，对数据进行分析、整理、挖掘，保证识别对象的广泛性和识别准确率的精准性。中心平台和移动端对电动车入梯进行统计和管理，云端算法动态更新，未来可支持更多场景和种类的智能电动车阻拦系统功能。</w:t>
      </w:r>
    </w:p>
    <w:p>
      <w:pPr>
        <w:spacing w:before="132" w:line="369" w:lineRule="auto"/>
        <w:ind w:left="29" w:right="40" w:firstLine="497"/>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同时，如果客户有视频回放需求，还可以在后端NVR本地存储提供全天候7*24小时的录像存储、回放，录像保存时间根据用户需求选择硬盘。</w:t>
      </w:r>
    </w:p>
    <w:p>
      <w:pPr>
        <w:spacing w:before="132" w:line="369" w:lineRule="auto"/>
        <w:ind w:left="29" w:right="40" w:firstLine="497"/>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系统功能架构如下：</w:t>
      </w:r>
    </w:p>
    <w:p>
      <w:pPr>
        <w:pStyle w:val="53"/>
        <w:keepNext w:val="0"/>
        <w:keepLines w:val="0"/>
        <w:pageBreakBefore w:val="0"/>
        <w:widowControl w:val="0"/>
        <w:kinsoku/>
        <w:wordWrap/>
        <w:overflowPunct/>
        <w:topLinePunct w:val="0"/>
        <w:autoSpaceDE/>
        <w:autoSpaceDN/>
        <w:bidi w:val="0"/>
        <w:adjustRightInd w:val="0"/>
        <w:snapToGrid/>
        <w:spacing w:line="300" w:lineRule="auto"/>
        <w:ind w:left="0" w:leftChars="0" w:firstLine="0" w:firstLineChars="0"/>
        <w:jc w:val="center"/>
        <w:textAlignment w:val="auto"/>
        <w:rPr>
          <w:rFonts w:hint="eastAsia" w:ascii="仿宋" w:hAnsi="仿宋" w:eastAsia="仿宋" w:cs="仿宋"/>
          <w:color w:val="auto"/>
          <w:spacing w:val="0"/>
          <w:position w:val="0"/>
          <w:highlight w:val="none"/>
        </w:rPr>
      </w:pPr>
      <w:r>
        <w:rPr>
          <w:rFonts w:hint="eastAsia" w:ascii="仿宋" w:hAnsi="仿宋" w:eastAsia="仿宋" w:cs="仿宋"/>
          <w:color w:val="auto"/>
          <w:spacing w:val="0"/>
          <w:position w:val="0"/>
          <w:highlight w:val="none"/>
        </w:rPr>
        <w:drawing>
          <wp:inline distT="0" distB="0" distL="114300" distR="114300">
            <wp:extent cx="5326380" cy="2792095"/>
            <wp:effectExtent l="0" t="0" r="7620" b="825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4"/>
                    <a:stretch>
                      <a:fillRect/>
                    </a:stretch>
                  </pic:blipFill>
                  <pic:spPr>
                    <a:xfrm>
                      <a:off x="0" y="0"/>
                      <a:ext cx="5326380" cy="27920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napToGrid/>
        <w:spacing w:line="300" w:lineRule="auto"/>
        <w:textAlignment w:val="auto"/>
        <w:rPr>
          <w:rFonts w:hint="eastAsia" w:ascii="仿宋" w:hAnsi="仿宋" w:eastAsia="仿宋" w:cs="仿宋"/>
          <w:color w:val="auto"/>
          <w:spacing w:val="0"/>
          <w:position w:val="0"/>
          <w:highlight w:val="none"/>
        </w:rPr>
      </w:pPr>
    </w:p>
    <w:p>
      <w:pPr>
        <w:keepNext w:val="0"/>
        <w:keepLines w:val="0"/>
        <w:pageBreakBefore w:val="0"/>
        <w:widowControl w:val="0"/>
        <w:kinsoku/>
        <w:wordWrap/>
        <w:overflowPunct/>
        <w:topLinePunct w:val="0"/>
        <w:autoSpaceDE/>
        <w:autoSpaceDN/>
        <w:bidi w:val="0"/>
        <w:adjustRightInd w:val="0"/>
        <w:snapToGrid/>
        <w:spacing w:before="244" w:line="400" w:lineRule="exact"/>
        <w:ind w:left="514"/>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87630" cy="168910"/>
            <wp:effectExtent l="0" t="0" r="7620" b="2540"/>
            <wp:docPr id="38" name="IM 25"/>
            <wp:cNvGraphicFramePr/>
            <a:graphic xmlns:a="http://schemas.openxmlformats.org/drawingml/2006/main">
              <a:graphicData uri="http://schemas.openxmlformats.org/drawingml/2006/picture">
                <pic:pic xmlns:pic="http://schemas.openxmlformats.org/drawingml/2006/picture">
                  <pic:nvPicPr>
                    <pic:cNvPr id="38" name="IM 25"/>
                    <pic:cNvPicPr/>
                  </pic:nvPicPr>
                  <pic:blipFill>
                    <a:blip r:embed="rId15"/>
                    <a:stretch>
                      <a:fillRect/>
                    </a:stretch>
                  </pic:blipFill>
                  <pic:spPr>
                    <a:xfrm>
                      <a:off x="0" y="0"/>
                      <a:ext cx="88239"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AI摄像机：采集电梯轿厢环境和电动车入电梯画面上传云端；语音劝阻；</w:t>
      </w:r>
    </w:p>
    <w:p>
      <w:pPr>
        <w:keepNext w:val="0"/>
        <w:keepLines w:val="0"/>
        <w:pageBreakBefore w:val="0"/>
        <w:widowControl w:val="0"/>
        <w:kinsoku/>
        <w:wordWrap/>
        <w:overflowPunct/>
        <w:topLinePunct w:val="0"/>
        <w:bidi w:val="0"/>
        <w:adjustRightInd w:val="0"/>
        <w:snapToGrid/>
        <w:spacing w:before="78" w:line="400" w:lineRule="exact"/>
        <w:ind w:left="924" w:right="64" w:hanging="410"/>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87630" cy="168910"/>
            <wp:effectExtent l="0" t="0" r="7620" b="2540"/>
            <wp:docPr id="39" name="IM 26"/>
            <wp:cNvGraphicFramePr/>
            <a:graphic xmlns:a="http://schemas.openxmlformats.org/drawingml/2006/main">
              <a:graphicData uri="http://schemas.openxmlformats.org/drawingml/2006/picture">
                <pic:pic xmlns:pic="http://schemas.openxmlformats.org/drawingml/2006/picture">
                  <pic:nvPicPr>
                    <pic:cNvPr id="39" name="IM 26"/>
                    <pic:cNvPicPr/>
                  </pic:nvPicPr>
                  <pic:blipFill>
                    <a:blip r:embed="rId16"/>
                    <a:stretch>
                      <a:fillRect/>
                    </a:stretch>
                  </pic:blipFill>
                  <pic:spPr>
                    <a:xfrm>
                      <a:off x="0" y="0"/>
                      <a:ext cx="88239"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智能分析云端：对采集的数据信息进行分析，对电动车入梯情况下发控制、管理和提示指令；</w:t>
      </w:r>
    </w:p>
    <w:p>
      <w:pPr>
        <w:keepNext w:val="0"/>
        <w:keepLines w:val="0"/>
        <w:pageBreakBefore w:val="0"/>
        <w:widowControl w:val="0"/>
        <w:kinsoku/>
        <w:wordWrap/>
        <w:overflowPunct/>
        <w:topLinePunct w:val="0"/>
        <w:autoSpaceDE w:val="0"/>
        <w:autoSpaceDN w:val="0"/>
        <w:bidi w:val="0"/>
        <w:adjustRightInd w:val="0"/>
        <w:snapToGrid/>
        <w:spacing w:before="142" w:line="400" w:lineRule="exact"/>
        <w:ind w:left="850" w:hanging="397"/>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87630" cy="168910"/>
            <wp:effectExtent l="0" t="0" r="7620" b="2540"/>
            <wp:docPr id="40" name="IM 27"/>
            <wp:cNvGraphicFramePr/>
            <a:graphic xmlns:a="http://schemas.openxmlformats.org/drawingml/2006/main">
              <a:graphicData uri="http://schemas.openxmlformats.org/drawingml/2006/picture">
                <pic:pic xmlns:pic="http://schemas.openxmlformats.org/drawingml/2006/picture">
                  <pic:nvPicPr>
                    <pic:cNvPr id="40" name="IM 27"/>
                    <pic:cNvPicPr/>
                  </pic:nvPicPr>
                  <pic:blipFill>
                    <a:blip r:embed="rId17"/>
                    <a:stretch>
                      <a:fillRect/>
                    </a:stretch>
                  </pic:blipFill>
                  <pic:spPr>
                    <a:xfrm>
                      <a:off x="0" y="0"/>
                      <a:ext cx="88239"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智能电动车阻拦系统组件：将智能电动车阻拦系统板连接在电梯内招板与云梯设备之间，通过云梯设备控制电梯门开关。当电动车进入电梯时，控制电梯轿厢门不关闭，直到电动车退出电梯轿厢，或远程恢复电梯正常运行；</w:t>
      </w:r>
    </w:p>
    <w:p>
      <w:pPr>
        <w:keepNext w:val="0"/>
        <w:keepLines w:val="0"/>
        <w:pageBreakBefore w:val="0"/>
        <w:widowControl w:val="0"/>
        <w:kinsoku/>
        <w:wordWrap/>
        <w:overflowPunct/>
        <w:topLinePunct w:val="0"/>
        <w:bidi w:val="0"/>
        <w:adjustRightInd w:val="0"/>
        <w:snapToGrid/>
        <w:spacing w:before="127" w:line="400" w:lineRule="exact"/>
        <w:ind w:left="925" w:right="66" w:hanging="411"/>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87630" cy="168910"/>
            <wp:effectExtent l="0" t="0" r="7620" b="2540"/>
            <wp:docPr id="41" name="IM 28"/>
            <wp:cNvGraphicFramePr/>
            <a:graphic xmlns:a="http://schemas.openxmlformats.org/drawingml/2006/main">
              <a:graphicData uri="http://schemas.openxmlformats.org/drawingml/2006/picture">
                <pic:pic xmlns:pic="http://schemas.openxmlformats.org/drawingml/2006/picture">
                  <pic:nvPicPr>
                    <pic:cNvPr id="41" name="IM 28"/>
                    <pic:cNvPicPr/>
                  </pic:nvPicPr>
                  <pic:blipFill>
                    <a:blip r:embed="rId16"/>
                    <a:stretch>
                      <a:fillRect/>
                    </a:stretch>
                  </pic:blipFill>
                  <pic:spPr>
                    <a:xfrm>
                      <a:off x="0" y="0"/>
                      <a:ext cx="88239"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手机/电脑：接收告警推送信息，并了解查看电梯轿厢情况，对于特殊情况，可通过远程操作恢复电梯正常运行</w:t>
      </w:r>
    </w:p>
    <w:p>
      <w:pPr>
        <w:bidi w:val="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00" w:lineRule="exact"/>
        <w:ind w:left="510"/>
        <w:textAlignment w:val="auto"/>
        <w:rPr>
          <w:rFonts w:hint="eastAsia" w:ascii="仿宋" w:hAnsi="仿宋" w:eastAsia="仿宋" w:cs="仿宋"/>
          <w:color w:val="auto"/>
          <w:spacing w:val="0"/>
          <w:position w:val="0"/>
          <w:sz w:val="21"/>
          <w:highlight w:val="none"/>
        </w:rPr>
      </w:pPr>
      <w:r>
        <w:rPr>
          <w:rFonts w:hint="eastAsia" w:ascii="仿宋" w:hAnsi="仿宋" w:eastAsia="仿宋" w:cs="仿宋"/>
          <w:color w:val="auto"/>
          <w:spacing w:val="0"/>
          <w:position w:val="0"/>
          <w:sz w:val="24"/>
          <w:szCs w:val="24"/>
          <w:highlight w:val="none"/>
        </w:rPr>
        <w:t>系统控制流程如下：</w:t>
      </w:r>
    </w:p>
    <w:p>
      <w:pPr>
        <w:keepNext w:val="0"/>
        <w:keepLines w:val="0"/>
        <w:pageBreakBefore w:val="0"/>
        <w:widowControl w:val="0"/>
        <w:kinsoku/>
        <w:wordWrap/>
        <w:overflowPunct/>
        <w:topLinePunct w:val="0"/>
        <w:autoSpaceDE/>
        <w:autoSpaceDN/>
        <w:bidi w:val="0"/>
        <w:adjustRightInd/>
        <w:snapToGrid/>
        <w:spacing w:before="79" w:line="400" w:lineRule="exact"/>
        <w:ind w:left="22" w:right="66" w:firstLine="496"/>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当电动车入梯时，摄像机进行图片抓取并上传至平台，平台触发告警后，电梯内播放视频和语音提醒电动车用户出梯，并且通过智能电动车阻拦系统板设备控制电梯不关门停止运行；如果电动车车主听到提醒后主动出梯则平台消警，电梯门关闭恢复正常运行；如果电动车未出梯且超过设定的时间，电梯门关闭正常运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pacing w:val="0"/>
          <w:position w:val="0"/>
          <w:highlight w:val="none"/>
        </w:rPr>
      </w:pPr>
      <w:r>
        <w:rPr>
          <w:rFonts w:hint="eastAsia" w:ascii="仿宋" w:hAnsi="仿宋" w:eastAsia="仿宋" w:cs="仿宋"/>
          <w:color w:val="auto"/>
          <w:spacing w:val="0"/>
          <w:position w:val="0"/>
          <w:highlight w:val="none"/>
        </w:rPr>
        <w:drawing>
          <wp:inline distT="0" distB="0" distL="0" distR="0">
            <wp:extent cx="3658870" cy="4210050"/>
            <wp:effectExtent l="0" t="0" r="17780" b="0"/>
            <wp:docPr id="11" name="IM 29"/>
            <wp:cNvGraphicFramePr/>
            <a:graphic xmlns:a="http://schemas.openxmlformats.org/drawingml/2006/main">
              <a:graphicData uri="http://schemas.openxmlformats.org/drawingml/2006/picture">
                <pic:pic xmlns:pic="http://schemas.openxmlformats.org/drawingml/2006/picture">
                  <pic:nvPicPr>
                    <pic:cNvPr id="11" name="IM 29"/>
                    <pic:cNvPicPr/>
                  </pic:nvPicPr>
                  <pic:blipFill>
                    <a:blip r:embed="rId18"/>
                    <a:stretch>
                      <a:fillRect/>
                    </a:stretch>
                  </pic:blipFill>
                  <pic:spPr>
                    <a:xfrm>
                      <a:off x="0" y="0"/>
                      <a:ext cx="3658870" cy="4210050"/>
                    </a:xfrm>
                    <a:prstGeom prst="rect">
                      <a:avLst/>
                    </a:prstGeom>
                  </pic:spPr>
                </pic:pic>
              </a:graphicData>
            </a:graphic>
          </wp:inline>
        </w:drawing>
      </w:r>
    </w:p>
    <w:p>
      <w:pPr>
        <w:spacing w:line="253" w:lineRule="auto"/>
        <w:rPr>
          <w:rFonts w:hint="eastAsia" w:ascii="仿宋" w:hAnsi="仿宋" w:eastAsia="仿宋" w:cs="仿宋"/>
          <w:color w:val="auto"/>
          <w:spacing w:val="0"/>
          <w:position w:val="0"/>
          <w:sz w:val="21"/>
          <w:highlight w:val="none"/>
        </w:rPr>
      </w:pPr>
    </w:p>
    <w:p>
      <w:pPr>
        <w:spacing w:before="91" w:line="220" w:lineRule="auto"/>
        <w:ind w:left="28"/>
        <w:outlineLvl w:val="1"/>
        <w:rPr>
          <w:rFonts w:hint="eastAsia" w:ascii="仿宋" w:hAnsi="仿宋" w:eastAsia="仿宋" w:cs="仿宋"/>
          <w:color w:val="auto"/>
          <w:spacing w:val="0"/>
          <w:position w:val="0"/>
          <w:sz w:val="28"/>
          <w:szCs w:val="28"/>
          <w:highlight w:val="none"/>
        </w:rPr>
      </w:pPr>
      <w:bookmarkStart w:id="34" w:name="_bookmark7"/>
      <w:bookmarkEnd w:id="34"/>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2.2.</w:t>
      </w:r>
      <w:r>
        <w:rPr>
          <w:rFonts w:hint="eastAsia" w:ascii="仿宋" w:hAnsi="仿宋" w:eastAsia="仿宋" w:cs="仿宋"/>
          <w:color w:val="auto"/>
          <w:spacing w:val="0"/>
          <w:position w:val="0"/>
          <w:sz w:val="28"/>
          <w:szCs w:val="28"/>
          <w:highlight w:val="none"/>
        </w:rPr>
        <w:t xml:space="preserve"> </w:t>
      </w:r>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系统参数</w:t>
      </w:r>
    </w:p>
    <w:p>
      <w:pPr>
        <w:rPr>
          <w:rFonts w:hint="eastAsia" w:ascii="仿宋" w:hAnsi="仿宋" w:eastAsia="仿宋" w:cs="仿宋"/>
          <w:color w:val="auto"/>
          <w:spacing w:val="0"/>
          <w:position w:val="0"/>
          <w:highlight w:val="none"/>
        </w:rPr>
      </w:pPr>
    </w:p>
    <w:p>
      <w:pPr>
        <w:spacing w:line="30" w:lineRule="exact"/>
        <w:rPr>
          <w:rFonts w:hint="eastAsia" w:ascii="仿宋" w:hAnsi="仿宋" w:eastAsia="仿宋" w:cs="仿宋"/>
          <w:color w:val="auto"/>
          <w:spacing w:val="0"/>
          <w:position w:val="0"/>
          <w:highlight w:val="none"/>
        </w:rPr>
      </w:pPr>
    </w:p>
    <w:tbl>
      <w:tblPr>
        <w:tblStyle w:val="54"/>
        <w:tblW w:w="83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5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7" w:hRule="atLeast"/>
        </w:trPr>
        <w:tc>
          <w:tcPr>
            <w:tcW w:w="2537" w:type="dxa"/>
            <w:vAlign w:val="top"/>
          </w:tcPr>
          <w:p>
            <w:pPr>
              <w:spacing w:before="254" w:line="220" w:lineRule="auto"/>
              <w:ind w:left="678"/>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14:textOutline w14:w="4356" w14:cap="flat" w14:cmpd="sng">
                  <w14:solidFill>
                    <w14:srgbClr w14:val="000000"/>
                  </w14:solidFill>
                  <w14:prstDash w14:val="solid"/>
                  <w14:miter w14:val="0"/>
                </w14:textOutline>
              </w:rPr>
              <w:t>系统指标项</w:t>
            </w:r>
          </w:p>
        </w:tc>
        <w:tc>
          <w:tcPr>
            <w:tcW w:w="5783" w:type="dxa"/>
            <w:vAlign w:val="top"/>
          </w:tcPr>
          <w:p>
            <w:pPr>
              <w:spacing w:before="253" w:line="220" w:lineRule="auto"/>
              <w:ind w:left="2415"/>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14:textOutline w14:w="4356" w14:cap="flat" w14:cmpd="sng">
                  <w14:solidFill>
                    <w14:srgbClr w14:val="000000"/>
                  </w14:solidFill>
                  <w14:prstDash w14:val="solid"/>
                  <w14:miter w14:val="0"/>
                </w14:textOutline>
              </w:rPr>
              <w:t>参数说明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537" w:type="dxa"/>
            <w:vAlign w:val="top"/>
          </w:tcPr>
          <w:p>
            <w:pPr>
              <w:spacing w:before="193" w:line="220" w:lineRule="auto"/>
              <w:ind w:left="795"/>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输入电压</w:t>
            </w:r>
          </w:p>
        </w:tc>
        <w:tc>
          <w:tcPr>
            <w:tcW w:w="5783" w:type="dxa"/>
            <w:vAlign w:val="top"/>
          </w:tcPr>
          <w:p>
            <w:pPr>
              <w:spacing w:before="193"/>
              <w:ind w:left="223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DC12V~36V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37" w:type="dxa"/>
            <w:vAlign w:val="top"/>
          </w:tcPr>
          <w:p>
            <w:pPr>
              <w:spacing w:before="194" w:line="220" w:lineRule="auto"/>
              <w:ind w:left="795"/>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输入电流</w:t>
            </w:r>
          </w:p>
        </w:tc>
        <w:tc>
          <w:tcPr>
            <w:tcW w:w="5783" w:type="dxa"/>
            <w:vAlign w:val="top"/>
          </w:tcPr>
          <w:p>
            <w:pPr>
              <w:spacing w:before="231" w:line="186" w:lineRule="auto"/>
              <w:ind w:left="254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&lt;100mA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37" w:type="dxa"/>
            <w:vAlign w:val="top"/>
          </w:tcPr>
          <w:p>
            <w:pPr>
              <w:spacing w:before="195" w:line="219" w:lineRule="auto"/>
              <w:ind w:left="558"/>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主控板输出点</w:t>
            </w:r>
          </w:p>
        </w:tc>
        <w:tc>
          <w:tcPr>
            <w:tcW w:w="5783" w:type="dxa"/>
            <w:vAlign w:val="top"/>
          </w:tcPr>
          <w:p>
            <w:pPr>
              <w:spacing w:before="195" w:line="220" w:lineRule="auto"/>
              <w:ind w:left="2613"/>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16路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537" w:type="dxa"/>
            <w:vAlign w:val="top"/>
          </w:tcPr>
          <w:p>
            <w:pPr>
              <w:spacing w:before="195" w:line="220" w:lineRule="auto"/>
              <w:ind w:left="675"/>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输出点特性</w:t>
            </w:r>
          </w:p>
        </w:tc>
        <w:tc>
          <w:tcPr>
            <w:tcW w:w="5783" w:type="dxa"/>
            <w:vAlign w:val="top"/>
          </w:tcPr>
          <w:p>
            <w:pPr>
              <w:spacing w:before="196" w:line="220" w:lineRule="auto"/>
              <w:ind w:left="2537"/>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开关量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25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使用温度</w:t>
            </w:r>
          </w:p>
        </w:tc>
        <w:tc>
          <w:tcPr>
            <w:tcW w:w="5783" w:type="dxa"/>
            <w:vAlign w:val="top"/>
          </w:tcPr>
          <w:p>
            <w:pPr>
              <w:spacing w:before="197" w:line="220" w:lineRule="auto"/>
              <w:ind w:left="2102"/>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-10~60摄氏度</w:t>
            </w:r>
          </w:p>
          <w:p>
            <w:pPr>
              <w:spacing w:before="41" w:line="220" w:lineRule="auto"/>
              <w:ind w:left="1075"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工作环境湿度为RH30%~95%不结露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37" w:type="dxa"/>
            <w:vAlign w:val="top"/>
          </w:tcPr>
          <w:p>
            <w:pPr>
              <w:spacing w:before="191" w:line="220" w:lineRule="auto"/>
              <w:ind w:left="795"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存储温度</w:t>
            </w:r>
          </w:p>
        </w:tc>
        <w:tc>
          <w:tcPr>
            <w:tcW w:w="5783" w:type="dxa"/>
            <w:vAlign w:val="top"/>
          </w:tcPr>
          <w:p>
            <w:pPr>
              <w:spacing w:before="192" w:line="220" w:lineRule="auto"/>
              <w:ind w:left="2054"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-20~70摄氏度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37" w:type="dxa"/>
            <w:vAlign w:val="top"/>
          </w:tcPr>
          <w:p>
            <w:pPr>
              <w:spacing w:before="193" w:line="219" w:lineRule="auto"/>
              <w:ind w:left="801"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外形尺寸</w:t>
            </w:r>
          </w:p>
        </w:tc>
        <w:tc>
          <w:tcPr>
            <w:tcW w:w="5783" w:type="dxa"/>
            <w:vAlign w:val="top"/>
          </w:tcPr>
          <w:p>
            <w:pPr>
              <w:spacing w:before="233" w:line="183" w:lineRule="auto"/>
              <w:ind w:left="2313"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125mm*65mm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37" w:type="dxa"/>
            <w:vAlign w:val="top"/>
          </w:tcPr>
          <w:p>
            <w:pPr>
              <w:spacing w:before="196" w:line="220" w:lineRule="auto"/>
              <w:ind w:left="442"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平均无故障时间</w:t>
            </w:r>
          </w:p>
        </w:tc>
        <w:tc>
          <w:tcPr>
            <w:tcW w:w="5783" w:type="dxa"/>
            <w:vAlign w:val="top"/>
          </w:tcPr>
          <w:p>
            <w:pPr>
              <w:spacing w:before="196" w:line="222" w:lineRule="auto"/>
              <w:ind w:left="2362"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&gt;20000小时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37" w:type="dxa"/>
            <w:vAlign w:val="top"/>
          </w:tcPr>
          <w:p>
            <w:pPr>
              <w:spacing w:before="195" w:line="220" w:lineRule="auto"/>
              <w:ind w:left="555"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平均维修时间</w:t>
            </w:r>
          </w:p>
        </w:tc>
        <w:tc>
          <w:tcPr>
            <w:tcW w:w="5783" w:type="dxa"/>
            <w:vAlign w:val="top"/>
          </w:tcPr>
          <w:p>
            <w:pPr>
              <w:spacing w:before="195" w:line="222" w:lineRule="auto"/>
              <w:ind w:left="2361" w:left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&lt;0.5小时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37" w:type="dxa"/>
            <w:vAlign w:val="top"/>
          </w:tcPr>
          <w:p>
            <w:pPr>
              <w:spacing w:before="197" w:line="255" w:lineRule="auto"/>
              <w:ind w:left="1162" w:leftChars="0" w:right="65" w:rightChars="0" w:hanging="1080" w:firstLine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智能智能电动车阻拦系统</w:t>
            </w:r>
          </w:p>
        </w:tc>
        <w:tc>
          <w:tcPr>
            <w:tcW w:w="5783" w:type="dxa"/>
            <w:vAlign w:val="top"/>
          </w:tcPr>
          <w:p>
            <w:pPr>
              <w:spacing w:before="197" w:line="255" w:lineRule="auto"/>
              <w:ind w:left="2785" w:leftChars="0" w:right="11" w:rightChars="0" w:hanging="2769" w:firstLineChars="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配合云梯设备可实现电动车入智能电动车阻拦系统制功能</w:t>
            </w:r>
          </w:p>
        </w:tc>
      </w:tr>
    </w:tbl>
    <w:p>
      <w:pPr>
        <w:rPr>
          <w:rFonts w:hint="eastAsia" w:ascii="仿宋" w:hAnsi="仿宋" w:eastAsia="仿宋" w:cs="仿宋"/>
          <w:color w:val="auto"/>
          <w:spacing w:val="0"/>
          <w:position w:val="0"/>
          <w:sz w:val="21"/>
          <w:highlight w:val="none"/>
        </w:rPr>
      </w:pPr>
    </w:p>
    <w:p>
      <w:pPr>
        <w:keepNext w:val="0"/>
        <w:keepLines w:val="0"/>
        <w:pageBreakBefore w:val="0"/>
        <w:widowControl w:val="0"/>
        <w:kinsoku/>
        <w:wordWrap/>
        <w:overflowPunct/>
        <w:topLinePunct w:val="0"/>
        <w:autoSpaceDE w:val="0"/>
        <w:autoSpaceDN w:val="0"/>
        <w:bidi w:val="0"/>
        <w:adjustRightInd w:val="0"/>
        <w:snapToGrid/>
        <w:spacing w:before="60" w:line="221" w:lineRule="auto"/>
        <w:ind w:left="28"/>
        <w:textAlignment w:val="auto"/>
        <w:outlineLvl w:val="9"/>
        <w:rPr>
          <w:rFonts w:hint="eastAsia" w:ascii="仿宋" w:hAnsi="仿宋" w:eastAsia="仿宋" w:cs="仿宋"/>
          <w:color w:val="auto"/>
          <w:spacing w:val="0"/>
          <w:position w:val="0"/>
          <w:sz w:val="28"/>
          <w:szCs w:val="28"/>
          <w:highlight w:val="none"/>
        </w:rPr>
      </w:pPr>
      <w:bookmarkStart w:id="35" w:name="_bookmark8"/>
      <w:bookmarkEnd w:id="35"/>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2.3.</w:t>
      </w:r>
      <w:r>
        <w:rPr>
          <w:rFonts w:hint="eastAsia" w:ascii="仿宋" w:hAnsi="仿宋" w:eastAsia="仿宋" w:cs="仿宋"/>
          <w:color w:val="auto"/>
          <w:spacing w:val="0"/>
          <w:position w:val="0"/>
          <w:sz w:val="28"/>
          <w:szCs w:val="28"/>
          <w:highlight w:val="none"/>
        </w:rPr>
        <w:t xml:space="preserve"> </w:t>
      </w:r>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控制方案</w:t>
      </w:r>
    </w:p>
    <w:p>
      <w:pPr>
        <w:spacing w:before="78" w:line="364" w:lineRule="auto"/>
        <w:ind w:left="23" w:firstLine="508"/>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电梯安装智能电动车阻拦系统后，当电动车由1楼及以下楼层进入电梯时，通过安装在轿厢内部的识别装置检测电动车并产生电动车入梯告警信息，控制信号触发开门按钮动作， 实现电梯轿厢门处于常开状态，电动车从高楼层进入电梯 下楼时不进行检测和控制。</w:t>
      </w:r>
    </w:p>
    <w:p>
      <w:pPr>
        <w:keepNext w:val="0"/>
        <w:keepLines w:val="0"/>
        <w:pageBreakBefore w:val="0"/>
        <w:widowControl w:val="0"/>
        <w:kinsoku/>
        <w:wordWrap/>
        <w:overflowPunct/>
        <w:topLinePunct w:val="0"/>
        <w:autoSpaceDE w:val="0"/>
        <w:autoSpaceDN w:val="0"/>
        <w:bidi w:val="0"/>
        <w:adjustRightInd w:val="0"/>
        <w:snapToGrid/>
        <w:spacing w:before="60" w:line="221" w:lineRule="auto"/>
        <w:ind w:left="28"/>
        <w:textAlignment w:val="auto"/>
        <w:outlineLvl w:val="9"/>
        <w:rPr>
          <w:rFonts w:hint="eastAsia" w:ascii="仿宋" w:hAnsi="仿宋" w:eastAsia="仿宋" w:cs="仿宋"/>
          <w:color w:val="auto"/>
          <w:spacing w:val="0"/>
          <w:position w:val="0"/>
          <w:sz w:val="28"/>
          <w:szCs w:val="28"/>
          <w:highlight w:val="none"/>
        </w:rPr>
      </w:pPr>
      <w:bookmarkStart w:id="36" w:name="_bookmark9"/>
      <w:bookmarkEnd w:id="36"/>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2.4.</w:t>
      </w:r>
      <w:r>
        <w:rPr>
          <w:rFonts w:hint="eastAsia" w:ascii="仿宋" w:hAnsi="仿宋" w:eastAsia="仿宋" w:cs="仿宋"/>
          <w:color w:val="auto"/>
          <w:spacing w:val="0"/>
          <w:position w:val="0"/>
          <w:sz w:val="28"/>
          <w:szCs w:val="28"/>
          <w:highlight w:val="none"/>
        </w:rPr>
        <w:t xml:space="preserve"> </w:t>
      </w:r>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用户管理</w:t>
      </w:r>
    </w:p>
    <w:p>
      <w:pPr>
        <w:spacing w:before="78" w:line="364" w:lineRule="auto"/>
        <w:ind w:left="22" w:right="40" w:firstLine="486"/>
        <w:rPr>
          <w:rFonts w:hint="eastAsia" w:ascii="仿宋" w:hAnsi="仿宋" w:eastAsia="仿宋" w:cs="仿宋"/>
          <w:color w:val="auto"/>
          <w:spacing w:val="0"/>
          <w:position w:val="0"/>
          <w:highlight w:val="none"/>
        </w:rPr>
      </w:pPr>
      <w:r>
        <w:rPr>
          <w:rFonts w:hint="eastAsia" w:ascii="仿宋" w:hAnsi="仿宋" w:eastAsia="仿宋" w:cs="仿宋"/>
          <w:color w:val="auto"/>
          <w:spacing w:val="0"/>
          <w:position w:val="0"/>
          <w:sz w:val="24"/>
          <w:szCs w:val="24"/>
          <w:highlight w:val="none"/>
        </w:rPr>
        <w:t>智能电动车阻拦系统使用时，主要通过现场设备控制、内置语音提示、行为视频记录及设备恢复等方式进行管理，系统也可在安装设备时初始配置智能电动车阻拦系统时间长短，以实现电梯自动恢复正常运行，目前自动恢复时间可设置在5分钟以内。以下图示分别为告警消息推送和远程恢复功能界面截图。</w:t>
      </w:r>
    </w:p>
    <w:p>
      <w:pPr>
        <w:spacing w:line="14" w:lineRule="auto"/>
        <w:rPr>
          <w:rFonts w:hint="eastAsia" w:ascii="仿宋" w:hAnsi="仿宋" w:eastAsia="仿宋" w:cs="仿宋"/>
          <w:color w:val="auto"/>
          <w:spacing w:val="0"/>
          <w:position w:val="0"/>
          <w:sz w:val="2"/>
          <w:highlight w:val="none"/>
        </w:rPr>
      </w:pPr>
    </w:p>
    <w:p>
      <w:pPr>
        <w:spacing w:before="68" w:line="186" w:lineRule="auto"/>
        <w:jc w:val="center"/>
        <w:rPr>
          <w:rFonts w:hint="eastAsia" w:ascii="仿宋" w:hAnsi="仿宋" w:eastAsia="仿宋" w:cs="仿宋"/>
          <w:color w:val="auto"/>
          <w:spacing w:val="0"/>
          <w:position w:val="0"/>
          <w:sz w:val="21"/>
          <w:highlight w:val="none"/>
        </w:rPr>
      </w:pPr>
      <w:r>
        <w:rPr>
          <w:rFonts w:hint="eastAsia" w:ascii="仿宋" w:hAnsi="仿宋" w:eastAsia="仿宋" w:cs="仿宋"/>
          <w:color w:val="auto"/>
          <w:spacing w:val="0"/>
          <w:position w:val="0"/>
          <w:highlight w:val="none"/>
        </w:rPr>
        <w:drawing>
          <wp:inline distT="0" distB="0" distL="114300" distR="114300">
            <wp:extent cx="2769235" cy="2665730"/>
            <wp:effectExtent l="0" t="0" r="1206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rcRect l="11375"/>
                    <a:stretch>
                      <a:fillRect/>
                    </a:stretch>
                  </pic:blipFill>
                  <pic:spPr>
                    <a:xfrm>
                      <a:off x="0" y="0"/>
                      <a:ext cx="2769235" cy="26657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before="60" w:line="221" w:lineRule="auto"/>
        <w:ind w:left="28"/>
        <w:textAlignment w:val="auto"/>
        <w:outlineLvl w:val="1"/>
        <w:rPr>
          <w:rFonts w:hint="eastAsia" w:ascii="仿宋" w:hAnsi="仿宋" w:eastAsia="仿宋" w:cs="仿宋"/>
          <w:color w:val="auto"/>
          <w:spacing w:val="0"/>
          <w:position w:val="0"/>
          <w:sz w:val="28"/>
          <w:szCs w:val="28"/>
          <w:highlight w:val="none"/>
        </w:rPr>
      </w:pPr>
      <w:bookmarkStart w:id="37" w:name="_bookmark10"/>
      <w:bookmarkEnd w:id="37"/>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2.5.</w:t>
      </w:r>
      <w:r>
        <w:rPr>
          <w:rFonts w:hint="eastAsia" w:ascii="仿宋" w:hAnsi="仿宋" w:eastAsia="仿宋" w:cs="仿宋"/>
          <w:color w:val="auto"/>
          <w:spacing w:val="0"/>
          <w:position w:val="0"/>
          <w:sz w:val="28"/>
          <w:szCs w:val="28"/>
          <w:highlight w:val="none"/>
        </w:rPr>
        <w:t xml:space="preserve"> </w:t>
      </w:r>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使用说明</w:t>
      </w:r>
    </w:p>
    <w:p>
      <w:pPr>
        <w:spacing w:before="79" w:line="369" w:lineRule="auto"/>
        <w:ind w:left="50" w:right="66" w:firstLine="445"/>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WEB端和APP可对电动车入梯告警数据信息进行全面的记录，物业管理方可以清楚的掌握电动车入梯次数的变化。</w:t>
      </w:r>
    </w:p>
    <w:p>
      <w:pPr>
        <w:spacing w:before="124" w:line="220" w:lineRule="auto"/>
        <w:ind w:left="514"/>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95250" cy="168910"/>
            <wp:effectExtent l="0" t="0" r="0" b="2540"/>
            <wp:docPr id="47" name="IM 32"/>
            <wp:cNvGraphicFramePr/>
            <a:graphic xmlns:a="http://schemas.openxmlformats.org/drawingml/2006/main">
              <a:graphicData uri="http://schemas.openxmlformats.org/drawingml/2006/picture">
                <pic:pic xmlns:pic="http://schemas.openxmlformats.org/drawingml/2006/picture">
                  <pic:nvPicPr>
                    <pic:cNvPr id="47" name="IM 32"/>
                    <pic:cNvPicPr/>
                  </pic:nvPicPr>
                  <pic:blipFill>
                    <a:blip r:embed="rId20"/>
                    <a:stretch>
                      <a:fillRect/>
                    </a:stretch>
                  </pic:blipFill>
                  <pic:spPr>
                    <a:xfrm>
                      <a:off x="0" y="0"/>
                      <a:ext cx="95402"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color w:val="auto"/>
          <w:spacing w:val="0"/>
          <w:position w:val="0"/>
          <w:sz w:val="24"/>
          <w:szCs w:val="24"/>
          <w:highlight w:val="none"/>
          <w14:textOutline w14:w="4356" w14:cap="flat" w14:cmpd="sng">
            <w14:solidFill>
              <w14:srgbClr w14:val="000000"/>
            </w14:solidFill>
            <w14:prstDash w14:val="solid"/>
            <w14:miter w14:val="0"/>
          </w14:textOutline>
        </w:rPr>
        <w:t>电动车入梯统计分析</w:t>
      </w:r>
    </w:p>
    <w:p>
      <w:pPr>
        <w:keepNext w:val="0"/>
        <w:keepLines w:val="0"/>
        <w:pageBreakBefore w:val="0"/>
        <w:widowControl w:val="0"/>
        <w:kinsoku/>
        <w:wordWrap/>
        <w:overflowPunct/>
        <w:topLinePunct w:val="0"/>
        <w:autoSpaceDE w:val="0"/>
        <w:autoSpaceDN w:val="0"/>
        <w:bidi w:val="0"/>
        <w:adjustRightInd w:val="0"/>
        <w:snapToGrid/>
        <w:spacing w:before="78" w:line="400" w:lineRule="exact"/>
        <w:ind w:left="23" w:firstLine="484"/>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登录云梯WEB平台，打开“统计分析——电动车管理”菜单，能看到小区内所有电梯的电动车入梯的统计分析页面。如下图所示，上方柱状图默认展示的是小区内近三天电动车入梯数量Top15的电梯信息，下方列表展示的是近三天所有电动车告警数据及对应的监控视频，根据这些信息能清楚地看到小区内哪部电梯电动车进出次数最多，针对这些电梯所在的楼号单元,物业管理单位可严加防范</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rPr>
        <w:t>防止消防事故的发生。</w:t>
      </w:r>
    </w:p>
    <w:p>
      <w:pPr>
        <w:bidi w:val="0"/>
        <w:rPr>
          <w:rFonts w:hint="eastAsia" w:ascii="仿宋" w:hAnsi="仿宋" w:eastAsia="仿宋" w:cs="仿宋"/>
        </w:rPr>
      </w:pPr>
    </w:p>
    <w:p>
      <w:pPr>
        <w:spacing w:before="103" w:line="4185" w:lineRule="exact"/>
        <w:ind w:firstLine="15"/>
        <w:textAlignment w:val="center"/>
        <w:rPr>
          <w:rFonts w:hint="eastAsia" w:ascii="仿宋" w:hAnsi="仿宋" w:eastAsia="仿宋" w:cs="仿宋"/>
          <w:color w:val="auto"/>
          <w:spacing w:val="0"/>
          <w:position w:val="0"/>
          <w:highlight w:val="none"/>
        </w:rPr>
      </w:pPr>
      <w:r>
        <w:rPr>
          <w:rFonts w:hint="eastAsia" w:ascii="仿宋" w:hAnsi="仿宋" w:eastAsia="仿宋" w:cs="仿宋"/>
          <w:color w:val="auto"/>
          <w:spacing w:val="0"/>
          <w:position w:val="0"/>
          <w:highlight w:val="none"/>
        </w:rPr>
        <w:drawing>
          <wp:inline distT="0" distB="0" distL="0" distR="0">
            <wp:extent cx="5273675" cy="2656840"/>
            <wp:effectExtent l="0" t="0" r="3175" b="10160"/>
            <wp:docPr id="49" name="IM 33"/>
            <wp:cNvGraphicFramePr/>
            <a:graphic xmlns:a="http://schemas.openxmlformats.org/drawingml/2006/main">
              <a:graphicData uri="http://schemas.openxmlformats.org/drawingml/2006/picture">
                <pic:pic xmlns:pic="http://schemas.openxmlformats.org/drawingml/2006/picture">
                  <pic:nvPicPr>
                    <pic:cNvPr id="49" name="IM 33"/>
                    <pic:cNvPicPr/>
                  </pic:nvPicPr>
                  <pic:blipFill>
                    <a:blip r:embed="rId21"/>
                    <a:stretch>
                      <a:fillRect/>
                    </a:stretch>
                  </pic:blipFill>
                  <pic:spPr>
                    <a:xfrm>
                      <a:off x="0" y="0"/>
                      <a:ext cx="5274297" cy="2657347"/>
                    </a:xfrm>
                    <a:prstGeom prst="rect">
                      <a:avLst/>
                    </a:prstGeom>
                  </pic:spPr>
                </pic:pic>
              </a:graphicData>
            </a:graphic>
          </wp:inline>
        </w:drawing>
      </w:r>
    </w:p>
    <w:p>
      <w:pPr>
        <w:spacing w:line="278" w:lineRule="auto"/>
        <w:rPr>
          <w:rFonts w:hint="eastAsia" w:ascii="仿宋" w:hAnsi="仿宋" w:eastAsia="仿宋" w:cs="仿宋"/>
          <w:color w:val="auto"/>
          <w:spacing w:val="0"/>
          <w:position w:val="0"/>
          <w:sz w:val="21"/>
          <w:highlight w:val="none"/>
        </w:rPr>
      </w:pPr>
    </w:p>
    <w:p>
      <w:pPr>
        <w:spacing w:before="78" w:line="363" w:lineRule="auto"/>
        <w:ind w:left="22" w:firstLine="484"/>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如下图所示，上方折线图默认展示的是小区内所有电梯近三天电动车入梯平均时间分布，根据这份折线图数据，能清楚地看到每天每个时间段电动车出入电梯的分布，针对部分入梯高峰时间，物业管理方可以线下安排人员人为的去处理、管控电动车入梯，结合电梯内的智能电动车阻拦系统功能，从多方面阻止电动车入梯，极大地减少电梯安全隐患。智能电动车阻车系统的使用，可从多方面阻止电动车入梯，极大地减少电梯安全隐患。</w:t>
      </w:r>
    </w:p>
    <w:p>
      <w:pPr>
        <w:spacing w:before="113" w:line="4184" w:lineRule="exact"/>
        <w:ind w:firstLine="15"/>
        <w:textAlignment w:val="center"/>
        <w:rPr>
          <w:rFonts w:hint="eastAsia" w:ascii="仿宋" w:hAnsi="仿宋" w:eastAsia="仿宋" w:cs="仿宋"/>
          <w:color w:val="auto"/>
          <w:spacing w:val="0"/>
          <w:position w:val="0"/>
          <w:highlight w:val="none"/>
        </w:rPr>
      </w:pPr>
      <w:r>
        <w:rPr>
          <w:rFonts w:hint="eastAsia" w:ascii="仿宋" w:hAnsi="仿宋" w:eastAsia="仿宋" w:cs="仿宋"/>
          <w:color w:val="auto"/>
          <w:spacing w:val="0"/>
          <w:position w:val="0"/>
          <w:highlight w:val="none"/>
        </w:rPr>
        <w:drawing>
          <wp:inline distT="0" distB="0" distL="0" distR="0">
            <wp:extent cx="5273675" cy="2656840"/>
            <wp:effectExtent l="0" t="0" r="3175" b="10160"/>
            <wp:docPr id="50" name="IM 34"/>
            <wp:cNvGraphicFramePr/>
            <a:graphic xmlns:a="http://schemas.openxmlformats.org/drawingml/2006/main">
              <a:graphicData uri="http://schemas.openxmlformats.org/drawingml/2006/picture">
                <pic:pic xmlns:pic="http://schemas.openxmlformats.org/drawingml/2006/picture">
                  <pic:nvPicPr>
                    <pic:cNvPr id="50" name="IM 34"/>
                    <pic:cNvPicPr/>
                  </pic:nvPicPr>
                  <pic:blipFill>
                    <a:blip r:embed="rId22"/>
                    <a:stretch>
                      <a:fillRect/>
                    </a:stretch>
                  </pic:blipFill>
                  <pic:spPr>
                    <a:xfrm>
                      <a:off x="0" y="0"/>
                      <a:ext cx="5274297" cy="2657347"/>
                    </a:xfrm>
                    <a:prstGeom prst="rect">
                      <a:avLst/>
                    </a:prstGeom>
                  </pic:spPr>
                </pic:pic>
              </a:graphicData>
            </a:graphic>
          </wp:inline>
        </w:drawing>
      </w:r>
    </w:p>
    <w:p>
      <w:pPr>
        <w:spacing w:line="270" w:lineRule="auto"/>
        <w:rPr>
          <w:rFonts w:hint="eastAsia" w:ascii="仿宋" w:hAnsi="仿宋" w:eastAsia="仿宋" w:cs="仿宋"/>
          <w:color w:val="auto"/>
          <w:spacing w:val="0"/>
          <w:position w:val="0"/>
          <w:sz w:val="21"/>
          <w:highlight w:val="none"/>
        </w:rPr>
      </w:pPr>
    </w:p>
    <w:p>
      <w:pPr>
        <w:spacing w:before="78" w:line="220" w:lineRule="auto"/>
        <w:ind w:left="514"/>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95250" cy="168910"/>
            <wp:effectExtent l="0" t="0" r="0" b="2540"/>
            <wp:docPr id="51" name="IM 35"/>
            <wp:cNvGraphicFramePr/>
            <a:graphic xmlns:a="http://schemas.openxmlformats.org/drawingml/2006/main">
              <a:graphicData uri="http://schemas.openxmlformats.org/drawingml/2006/picture">
                <pic:pic xmlns:pic="http://schemas.openxmlformats.org/drawingml/2006/picture">
                  <pic:nvPicPr>
                    <pic:cNvPr id="51" name="IM 35"/>
                    <pic:cNvPicPr/>
                  </pic:nvPicPr>
                  <pic:blipFill>
                    <a:blip r:embed="rId20"/>
                    <a:stretch>
                      <a:fillRect/>
                    </a:stretch>
                  </pic:blipFill>
                  <pic:spPr>
                    <a:xfrm>
                      <a:off x="0" y="0"/>
                      <a:ext cx="95402" cy="169163"/>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color w:val="auto"/>
          <w:spacing w:val="0"/>
          <w:position w:val="0"/>
          <w:sz w:val="24"/>
          <w:szCs w:val="24"/>
          <w:highlight w:val="none"/>
          <w14:textOutline w14:w="4356" w14:cap="flat" w14:cmpd="sng">
            <w14:solidFill>
              <w14:srgbClr w14:val="000000"/>
            </w14:solidFill>
            <w14:prstDash w14:val="solid"/>
            <w14:miter w14:val="0"/>
          </w14:textOutline>
        </w:rPr>
        <w:t>电动车智能电动车阻拦系统功能配置</w:t>
      </w:r>
    </w:p>
    <w:p>
      <w:pPr>
        <w:spacing w:before="79" w:line="369" w:lineRule="auto"/>
        <w:ind w:left="34" w:firstLine="483"/>
        <w:rPr>
          <w:rFonts w:hint="eastAsia" w:ascii="仿宋" w:hAnsi="仿宋" w:eastAsia="仿宋" w:cs="仿宋"/>
          <w:color w:val="auto"/>
          <w:spacing w:val="0"/>
          <w:position w:val="0"/>
          <w:highlight w:val="none"/>
        </w:rPr>
      </w:pPr>
      <w:r>
        <w:rPr>
          <w:rFonts w:hint="eastAsia" w:ascii="仿宋" w:hAnsi="仿宋" w:eastAsia="仿宋" w:cs="仿宋"/>
          <w:color w:val="auto"/>
          <w:spacing w:val="0"/>
          <w:position w:val="0"/>
          <w:sz w:val="24"/>
          <w:szCs w:val="24"/>
          <w:highlight w:val="none"/>
        </w:rPr>
        <w:t>当需要配置电动车智能电动车阻拦系统功能的开关与智能电动车阻拦系统时间时，可以登录云梯平台，点击“功能设置”菜单，功能设置页面如下图所示。</w:t>
      </w:r>
      <w:r>
        <w:rPr>
          <w:rFonts w:hint="eastAsia" w:ascii="仿宋" w:hAnsi="仿宋" w:eastAsia="仿宋" w:cs="仿宋"/>
          <w:color w:val="auto"/>
          <w:spacing w:val="0"/>
          <w:position w:val="0"/>
          <w:highlight w:val="none"/>
        </w:rPr>
        <w:drawing>
          <wp:inline distT="0" distB="0" distL="0" distR="0">
            <wp:extent cx="5273675" cy="2479040"/>
            <wp:effectExtent l="0" t="0" r="3175" b="16510"/>
            <wp:docPr id="53" name="IM 36"/>
            <wp:cNvGraphicFramePr/>
            <a:graphic xmlns:a="http://schemas.openxmlformats.org/drawingml/2006/main">
              <a:graphicData uri="http://schemas.openxmlformats.org/drawingml/2006/picture">
                <pic:pic xmlns:pic="http://schemas.openxmlformats.org/drawingml/2006/picture">
                  <pic:nvPicPr>
                    <pic:cNvPr id="53" name="IM 36"/>
                    <pic:cNvPicPr/>
                  </pic:nvPicPr>
                  <pic:blipFill>
                    <a:blip r:embed="rId23"/>
                    <a:stretch>
                      <a:fillRect/>
                    </a:stretch>
                  </pic:blipFill>
                  <pic:spPr>
                    <a:xfrm>
                      <a:off x="0" y="0"/>
                      <a:ext cx="5274233" cy="2479646"/>
                    </a:xfrm>
                    <a:prstGeom prst="rect">
                      <a:avLst/>
                    </a:prstGeom>
                  </pic:spPr>
                </pic:pic>
              </a:graphicData>
            </a:graphic>
          </wp:inline>
        </w:drawing>
      </w:r>
    </w:p>
    <w:p>
      <w:pPr>
        <w:spacing w:before="78" w:line="369" w:lineRule="auto"/>
        <w:ind w:left="27" w:right="7" w:firstLine="475"/>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搜索需要配置的电梯，点击“智能电动车阻拦系统开关”按钮，在弹窗页面设置完智能电动车阻拦系统开关以及智能电动车阻拦系统时间后点击确定即可。</w:t>
      </w:r>
    </w:p>
    <w:p>
      <w:pPr>
        <w:spacing w:line="14" w:lineRule="exact"/>
        <w:rPr>
          <w:rFonts w:hint="eastAsia" w:ascii="仿宋" w:hAnsi="仿宋" w:eastAsia="仿宋" w:cs="仿宋"/>
          <w:color w:val="auto"/>
          <w:spacing w:val="0"/>
          <w:position w:val="0"/>
          <w:highlight w:val="none"/>
        </w:rPr>
      </w:pPr>
    </w:p>
    <w:tbl>
      <w:tblPr>
        <w:tblStyle w:val="54"/>
        <w:tblW w:w="5692" w:type="dxa"/>
        <w:tblInd w:w="131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69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85" w:hRule="atLeast"/>
        </w:trPr>
        <w:tc>
          <w:tcPr>
            <w:tcW w:w="5692" w:type="dxa"/>
            <w:vAlign w:val="top"/>
          </w:tcPr>
          <w:p>
            <w:pPr>
              <w:spacing w:before="3" w:line="2782" w:lineRule="exact"/>
              <w:ind w:firstLine="3"/>
              <w:textAlignment w:val="center"/>
              <w:rPr>
                <w:rFonts w:hint="eastAsia" w:ascii="仿宋" w:hAnsi="仿宋" w:eastAsia="仿宋" w:cs="仿宋"/>
                <w:color w:val="auto"/>
                <w:spacing w:val="0"/>
                <w:position w:val="0"/>
                <w:highlight w:val="none"/>
              </w:rPr>
            </w:pPr>
            <w:r>
              <w:rPr>
                <w:rFonts w:hint="eastAsia" w:ascii="仿宋" w:hAnsi="仿宋" w:eastAsia="仿宋" w:cs="仿宋"/>
                <w:color w:val="auto"/>
                <w:spacing w:val="0"/>
                <w:position w:val="0"/>
                <w:highlight w:val="none"/>
              </w:rPr>
              <w:drawing>
                <wp:inline distT="0" distB="0" distL="0" distR="0">
                  <wp:extent cx="3602355" cy="1765935"/>
                  <wp:effectExtent l="0" t="0" r="17145" b="5715"/>
                  <wp:docPr id="55" name="IM 37"/>
                  <wp:cNvGraphicFramePr/>
                  <a:graphic xmlns:a="http://schemas.openxmlformats.org/drawingml/2006/main">
                    <a:graphicData uri="http://schemas.openxmlformats.org/drawingml/2006/picture">
                      <pic:pic xmlns:pic="http://schemas.openxmlformats.org/drawingml/2006/picture">
                        <pic:nvPicPr>
                          <pic:cNvPr id="55" name="IM 37"/>
                          <pic:cNvPicPr/>
                        </pic:nvPicPr>
                        <pic:blipFill>
                          <a:blip r:embed="rId24"/>
                          <a:stretch>
                            <a:fillRect/>
                          </a:stretch>
                        </pic:blipFill>
                        <pic:spPr>
                          <a:xfrm>
                            <a:off x="0" y="0"/>
                            <a:ext cx="3602723" cy="1766417"/>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00" w:lineRule="auto"/>
        <w:ind w:left="0" w:right="0"/>
        <w:textAlignment w:val="auto"/>
        <w:rPr>
          <w:rFonts w:hint="eastAsia" w:ascii="仿宋" w:hAnsi="仿宋" w:eastAsia="仿宋" w:cs="仿宋"/>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 w:hAnsi="仿宋" w:eastAsia="仿宋" w:cs="仿宋"/>
          <w:color w:val="auto"/>
          <w:spacing w:val="0"/>
          <w:position w:val="0"/>
          <w:sz w:val="21"/>
          <w:highlight w:val="none"/>
        </w:rPr>
      </w:pPr>
      <w:r>
        <w:rPr>
          <w:rFonts w:hint="eastAsia" w:ascii="仿宋" w:hAnsi="仿宋" w:eastAsia="仿宋" w:cs="仿宋"/>
          <w:color w:val="auto"/>
          <w:spacing w:val="0"/>
          <w:position w:val="0"/>
          <w:sz w:val="24"/>
          <w:szCs w:val="24"/>
          <w:highlight w:val="none"/>
        </w:rPr>
        <w:t>配置项说明</w:t>
      </w:r>
    </w:p>
    <w:p>
      <w:pPr>
        <w:keepNext w:val="0"/>
        <w:keepLines w:val="0"/>
        <w:pageBreakBefore w:val="0"/>
        <w:widowControl w:val="0"/>
        <w:kinsoku/>
        <w:wordWrap/>
        <w:overflowPunct/>
        <w:topLinePunct w:val="0"/>
        <w:autoSpaceDE/>
        <w:autoSpaceDN/>
        <w:bidi w:val="0"/>
        <w:adjustRightInd/>
        <w:snapToGrid/>
        <w:spacing w:line="400" w:lineRule="exact"/>
        <w:ind w:left="0" w:right="0" w:firstLine="485"/>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智能电动车阻拦系统开关：开关打开后，对应电梯开启电动车智能电动车阻拦系统功能；</w:t>
      </w:r>
    </w:p>
    <w:p>
      <w:pPr>
        <w:keepNext w:val="0"/>
        <w:keepLines w:val="0"/>
        <w:pageBreakBefore w:val="0"/>
        <w:widowControl w:val="0"/>
        <w:kinsoku/>
        <w:wordWrap/>
        <w:overflowPunct/>
        <w:topLinePunct w:val="0"/>
        <w:autoSpaceDE/>
        <w:autoSpaceDN/>
        <w:bidi w:val="0"/>
        <w:adjustRightInd/>
        <w:snapToGrid/>
        <w:spacing w:line="400" w:lineRule="exact"/>
        <w:ind w:left="0" w:right="0" w:firstLine="483"/>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智能电动车阻拦系统时间(分钟)：智能电动车阻拦系统时间超过设置时间后，电梯会自动恢复运行。</w:t>
      </w:r>
    </w:p>
    <w:p>
      <w:pPr>
        <w:keepNext w:val="0"/>
        <w:keepLines w:val="0"/>
        <w:pageBreakBefore w:val="0"/>
        <w:widowControl w:val="0"/>
        <w:kinsoku/>
        <w:wordWrap/>
        <w:overflowPunct/>
        <w:topLinePunct w:val="0"/>
        <w:autoSpaceDE/>
        <w:autoSpaceDN/>
        <w:bidi w:val="0"/>
        <w:adjustRightInd/>
        <w:snapToGrid/>
        <w:spacing w:line="300" w:lineRule="auto"/>
        <w:ind w:left="0" w:right="0" w:firstLine="493"/>
        <w:textAlignment w:val="auto"/>
        <w:rPr>
          <w:rFonts w:hint="eastAsia" w:ascii="仿宋" w:hAnsi="仿宋" w:eastAsia="仿宋" w:cs="仿宋"/>
          <w:color w:val="auto"/>
          <w:spacing w:val="0"/>
          <w:position w:val="0"/>
          <w:sz w:val="24"/>
          <w:szCs w:val="24"/>
          <w:highlight w:val="none"/>
          <w:lang w:val="en-US" w:eastAsia="zh-CN"/>
        </w:rPr>
      </w:pPr>
      <w:r>
        <w:rPr>
          <w:rFonts w:hint="eastAsia" w:ascii="仿宋" w:hAnsi="仿宋" w:eastAsia="仿宋" w:cs="仿宋"/>
          <w:color w:val="auto"/>
          <w:spacing w:val="0"/>
          <w:position w:val="0"/>
          <w:sz w:val="24"/>
          <w:szCs w:val="24"/>
          <w:highlight w:val="none"/>
        </w:rPr>
        <w:t>当电梯需紧急恢复开关门时，也可以登录云梯平台，点击“功能设置”菜单，搜索需要配置的电梯，点击“恢复运行”按钮即可恢复电梯正</w:t>
      </w:r>
      <w:bookmarkStart w:id="38" w:name="_bookmark11"/>
      <w:bookmarkEnd w:id="38"/>
      <w:r>
        <w:rPr>
          <w:rFonts w:hint="eastAsia" w:ascii="仿宋" w:hAnsi="仿宋" w:eastAsia="仿宋" w:cs="仿宋"/>
          <w:color w:val="auto"/>
          <w:spacing w:val="0"/>
          <w:position w:val="0"/>
          <w:sz w:val="24"/>
          <w:szCs w:val="24"/>
          <w:highlight w:val="none"/>
          <w:lang w:val="en-US" w:eastAsia="zh-CN"/>
        </w:rPr>
        <w:t>常开关门。</w:t>
      </w:r>
    </w:p>
    <w:p>
      <w:pPr>
        <w:keepNext w:val="0"/>
        <w:keepLines w:val="0"/>
        <w:pageBreakBefore w:val="0"/>
        <w:widowControl w:val="0"/>
        <w:kinsoku/>
        <w:wordWrap/>
        <w:overflowPunct/>
        <w:topLinePunct w:val="0"/>
        <w:autoSpaceDE/>
        <w:autoSpaceDN/>
        <w:bidi w:val="0"/>
        <w:adjustRightInd/>
        <w:snapToGrid/>
        <w:spacing w:line="300" w:lineRule="auto"/>
        <w:ind w:left="0" w:right="0" w:firstLine="493"/>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highlight w:val="none"/>
        </w:rPr>
        <w:drawing>
          <wp:inline distT="0" distB="0" distL="0" distR="0">
            <wp:extent cx="5273675" cy="1506855"/>
            <wp:effectExtent l="0" t="0" r="3175" b="17145"/>
            <wp:docPr id="56" name="IM 38"/>
            <wp:cNvGraphicFramePr/>
            <a:graphic xmlns:a="http://schemas.openxmlformats.org/drawingml/2006/main">
              <a:graphicData uri="http://schemas.openxmlformats.org/drawingml/2006/picture">
                <pic:pic xmlns:pic="http://schemas.openxmlformats.org/drawingml/2006/picture">
                  <pic:nvPicPr>
                    <pic:cNvPr id="56" name="IM 38"/>
                    <pic:cNvPicPr/>
                  </pic:nvPicPr>
                  <pic:blipFill>
                    <a:blip r:embed="rId25"/>
                    <a:stretch>
                      <a:fillRect/>
                    </a:stretch>
                  </pic:blipFill>
                  <pic:spPr>
                    <a:xfrm>
                      <a:off x="0" y="0"/>
                      <a:ext cx="5274233" cy="1507433"/>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0" w:right="0" w:firstLine="493"/>
        <w:textAlignment w:val="auto"/>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line="300" w:lineRule="auto"/>
        <w:ind w:left="0" w:right="0" w:firstLine="493"/>
        <w:textAlignment w:val="auto"/>
        <w:rPr>
          <w:rFonts w:hint="eastAsia" w:ascii="仿宋" w:hAnsi="仿宋" w:eastAsia="仿宋" w:cs="仿宋"/>
          <w:color w:val="auto"/>
          <w:spacing w:val="0"/>
          <w:position w:val="0"/>
          <w:sz w:val="21"/>
          <w:highlight w:val="none"/>
        </w:rPr>
      </w:pPr>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2.6.</w:t>
      </w:r>
      <w:r>
        <w:rPr>
          <w:rFonts w:hint="eastAsia" w:ascii="仿宋" w:hAnsi="仿宋" w:eastAsia="仿宋" w:cs="仿宋"/>
          <w:color w:val="auto"/>
          <w:spacing w:val="0"/>
          <w:position w:val="0"/>
          <w:sz w:val="28"/>
          <w:szCs w:val="28"/>
          <w:highlight w:val="none"/>
        </w:rPr>
        <w:t xml:space="preserve"> </w:t>
      </w:r>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系统特点</w:t>
      </w:r>
    </w:p>
    <w:p>
      <w:pPr>
        <w:keepNext w:val="0"/>
        <w:keepLines w:val="0"/>
        <w:pageBreakBefore w:val="0"/>
        <w:widowControl w:val="0"/>
        <w:kinsoku/>
        <w:wordWrap/>
        <w:overflowPunct/>
        <w:topLinePunct w:val="0"/>
        <w:autoSpaceDE w:val="0"/>
        <w:autoSpaceDN w:val="0"/>
        <w:bidi w:val="0"/>
        <w:adjustRightInd w:val="0"/>
        <w:snapToGrid/>
        <w:spacing w:before="60" w:line="221" w:lineRule="auto"/>
        <w:ind w:left="516"/>
        <w:textAlignment w:val="auto"/>
        <w:rPr>
          <w:rFonts w:hint="eastAsia" w:ascii="仿宋" w:hAnsi="仿宋" w:eastAsia="仿宋" w:cs="仿宋"/>
          <w:color w:val="auto"/>
          <w:spacing w:val="0"/>
          <w:position w:val="0"/>
          <w:sz w:val="21"/>
          <w:highlight w:val="none"/>
        </w:rPr>
      </w:pPr>
      <w:r>
        <w:rPr>
          <w:rFonts w:hint="eastAsia" w:ascii="仿宋" w:hAnsi="仿宋" w:eastAsia="仿宋" w:cs="仿宋"/>
          <w:color w:val="auto"/>
          <w:spacing w:val="0"/>
          <w:position w:val="0"/>
          <w:sz w:val="24"/>
          <w:szCs w:val="24"/>
          <w:highlight w:val="none"/>
        </w:rPr>
        <w:drawing>
          <wp:inline distT="0" distB="0" distL="0" distR="0">
            <wp:extent cx="95250" cy="168910"/>
            <wp:effectExtent l="0" t="0" r="0" b="2540"/>
            <wp:docPr id="57" name="IM 39"/>
            <wp:cNvGraphicFramePr/>
            <a:graphic xmlns:a="http://schemas.openxmlformats.org/drawingml/2006/main">
              <a:graphicData uri="http://schemas.openxmlformats.org/drawingml/2006/picture">
                <pic:pic xmlns:pic="http://schemas.openxmlformats.org/drawingml/2006/picture">
                  <pic:nvPicPr>
                    <pic:cNvPr id="57" name="IM 39"/>
                    <pic:cNvPicPr/>
                  </pic:nvPicPr>
                  <pic:blipFill>
                    <a:blip r:embed="rId20"/>
                    <a:stretch>
                      <a:fillRect/>
                    </a:stretch>
                  </pic:blipFill>
                  <pic:spPr>
                    <a:xfrm>
                      <a:off x="0" y="0"/>
                      <a:ext cx="95402"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color w:val="auto"/>
          <w:spacing w:val="0"/>
          <w:position w:val="0"/>
          <w:sz w:val="24"/>
          <w:szCs w:val="24"/>
          <w:highlight w:val="none"/>
          <w14:textOutline w14:w="4356" w14:cap="flat" w14:cmpd="sng">
            <w14:solidFill>
              <w14:srgbClr w14:val="000000"/>
            </w14:solidFill>
            <w14:prstDash w14:val="solid"/>
            <w14:miter w14:val="0"/>
          </w14:textOutline>
        </w:rPr>
        <w:t>监测精准，防止误报</w:t>
      </w:r>
    </w:p>
    <w:p>
      <w:pPr>
        <w:spacing w:before="78" w:line="366" w:lineRule="auto"/>
        <w:ind w:left="23" w:right="14" w:firstLine="479"/>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采用联网的机器视觉分析识别电动车入梯，具备庞大的数据分析库和自学习功能。准确识别各类电动车的同时有效避免自行车、轮椅、婴儿车、手推车等物体入梯误报。</w:t>
      </w:r>
    </w:p>
    <w:p>
      <w:pPr>
        <w:keepNext w:val="0"/>
        <w:keepLines w:val="0"/>
        <w:pageBreakBefore w:val="0"/>
        <w:widowControl w:val="0"/>
        <w:kinsoku/>
        <w:wordWrap/>
        <w:overflowPunct/>
        <w:topLinePunct w:val="0"/>
        <w:autoSpaceDE w:val="0"/>
        <w:autoSpaceDN w:val="0"/>
        <w:bidi w:val="0"/>
        <w:adjustRightInd w:val="0"/>
        <w:snapToGrid/>
        <w:spacing w:before="60" w:line="221" w:lineRule="auto"/>
        <w:ind w:left="516"/>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95250" cy="168910"/>
            <wp:effectExtent l="0" t="0" r="0" b="2540"/>
            <wp:docPr id="60" name="IM 40"/>
            <wp:cNvGraphicFramePr/>
            <a:graphic xmlns:a="http://schemas.openxmlformats.org/drawingml/2006/main">
              <a:graphicData uri="http://schemas.openxmlformats.org/drawingml/2006/picture">
                <pic:pic xmlns:pic="http://schemas.openxmlformats.org/drawingml/2006/picture">
                  <pic:nvPicPr>
                    <pic:cNvPr id="60" name="IM 40"/>
                    <pic:cNvPicPr/>
                  </pic:nvPicPr>
                  <pic:blipFill>
                    <a:blip r:embed="rId20"/>
                    <a:stretch>
                      <a:fillRect/>
                    </a:stretch>
                  </pic:blipFill>
                  <pic:spPr>
                    <a:xfrm>
                      <a:off x="0" y="0"/>
                      <a:ext cx="95402"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color w:val="auto"/>
          <w:spacing w:val="0"/>
          <w:position w:val="0"/>
          <w:sz w:val="24"/>
          <w:szCs w:val="24"/>
          <w:highlight w:val="none"/>
          <w14:textOutline w14:w="4356" w14:cap="flat" w14:cmpd="sng">
            <w14:solidFill>
              <w14:srgbClr w14:val="000000"/>
            </w14:solidFill>
            <w14:prstDash w14:val="solid"/>
            <w14:miter w14:val="0"/>
          </w14:textOutline>
        </w:rPr>
        <w:t>操控灵活，管理方便</w:t>
      </w:r>
    </w:p>
    <w:p>
      <w:pPr>
        <w:spacing w:before="79" w:line="365" w:lineRule="auto"/>
        <w:ind w:left="23" w:right="16" w:firstLine="48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通过手机APP、电脑WEB端可远程开启、关闭智能电动车阻拦系统功能，并且可根据需要设置阻车时长。电动车入梯发生后，手机APP可及时收到告警消息和告警视频，现场情况尽在掌握中。</w:t>
      </w:r>
    </w:p>
    <w:p>
      <w:pPr>
        <w:keepNext w:val="0"/>
        <w:keepLines w:val="0"/>
        <w:pageBreakBefore w:val="0"/>
        <w:widowControl w:val="0"/>
        <w:kinsoku/>
        <w:wordWrap/>
        <w:overflowPunct/>
        <w:topLinePunct w:val="0"/>
        <w:autoSpaceDE w:val="0"/>
        <w:autoSpaceDN w:val="0"/>
        <w:bidi w:val="0"/>
        <w:adjustRightInd w:val="0"/>
        <w:snapToGrid/>
        <w:spacing w:before="60" w:line="221" w:lineRule="auto"/>
        <w:ind w:left="516"/>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95250" cy="168910"/>
            <wp:effectExtent l="0" t="0" r="0" b="2540"/>
            <wp:docPr id="61" name="IM 41"/>
            <wp:cNvGraphicFramePr/>
            <a:graphic xmlns:a="http://schemas.openxmlformats.org/drawingml/2006/main">
              <a:graphicData uri="http://schemas.openxmlformats.org/drawingml/2006/picture">
                <pic:pic xmlns:pic="http://schemas.openxmlformats.org/drawingml/2006/picture">
                  <pic:nvPicPr>
                    <pic:cNvPr id="61" name="IM 41"/>
                    <pic:cNvPicPr/>
                  </pic:nvPicPr>
                  <pic:blipFill>
                    <a:blip r:embed="rId26"/>
                    <a:stretch>
                      <a:fillRect/>
                    </a:stretch>
                  </pic:blipFill>
                  <pic:spPr>
                    <a:xfrm>
                      <a:off x="0" y="0"/>
                      <a:ext cx="95402"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color w:val="auto"/>
          <w:spacing w:val="0"/>
          <w:position w:val="0"/>
          <w:sz w:val="24"/>
          <w:szCs w:val="24"/>
          <w:highlight w:val="none"/>
          <w14:textOutline w14:w="4356" w14:cap="flat" w14:cmpd="sng">
            <w14:solidFill>
              <w14:srgbClr w14:val="000000"/>
            </w14:solidFill>
            <w14:prstDash w14:val="solid"/>
            <w14:miter w14:val="0"/>
          </w14:textOutline>
        </w:rPr>
        <w:t>视频交互，现场管理</w:t>
      </w:r>
    </w:p>
    <w:p>
      <w:pPr>
        <w:keepNext w:val="0"/>
        <w:keepLines w:val="0"/>
        <w:pageBreakBefore w:val="0"/>
        <w:widowControl w:val="0"/>
        <w:kinsoku/>
        <w:wordWrap/>
        <w:overflowPunct/>
        <w:topLinePunct w:val="0"/>
        <w:autoSpaceDE w:val="0"/>
        <w:autoSpaceDN w:val="0"/>
        <w:bidi w:val="0"/>
        <w:adjustRightInd w:val="0"/>
        <w:snapToGrid/>
        <w:spacing w:line="360" w:lineRule="exact"/>
        <w:ind w:left="0" w:right="0" w:firstLine="482"/>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具备系统可视对讲功能，物业可通过梯内屏幕与乘梯人进行可视对讲，了解情况，管理业主行为，避免发生危险。</w:t>
      </w:r>
    </w:p>
    <w:p>
      <w:pPr>
        <w:keepNext w:val="0"/>
        <w:keepLines w:val="0"/>
        <w:pageBreakBefore w:val="0"/>
        <w:widowControl w:val="0"/>
        <w:kinsoku/>
        <w:wordWrap/>
        <w:overflowPunct/>
        <w:topLinePunct w:val="0"/>
        <w:autoSpaceDE w:val="0"/>
        <w:autoSpaceDN w:val="0"/>
        <w:bidi w:val="0"/>
        <w:adjustRightInd w:val="0"/>
        <w:snapToGrid/>
        <w:spacing w:before="60" w:line="221" w:lineRule="auto"/>
        <w:ind w:left="516"/>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drawing>
          <wp:inline distT="0" distB="0" distL="0" distR="0">
            <wp:extent cx="95250" cy="168910"/>
            <wp:effectExtent l="0" t="0" r="0" b="2540"/>
            <wp:docPr id="62" name="IM 42"/>
            <wp:cNvGraphicFramePr/>
            <a:graphic xmlns:a="http://schemas.openxmlformats.org/drawingml/2006/main">
              <a:graphicData uri="http://schemas.openxmlformats.org/drawingml/2006/picture">
                <pic:pic xmlns:pic="http://schemas.openxmlformats.org/drawingml/2006/picture">
                  <pic:nvPicPr>
                    <pic:cNvPr id="62" name="IM 42"/>
                    <pic:cNvPicPr/>
                  </pic:nvPicPr>
                  <pic:blipFill>
                    <a:blip r:embed="rId20"/>
                    <a:stretch>
                      <a:fillRect/>
                    </a:stretch>
                  </pic:blipFill>
                  <pic:spPr>
                    <a:xfrm>
                      <a:off x="0" y="0"/>
                      <a:ext cx="95402" cy="169164"/>
                    </a:xfrm>
                    <a:prstGeom prst="rect">
                      <a:avLst/>
                    </a:prstGeom>
                  </pic:spPr>
                </pic:pic>
              </a:graphicData>
            </a:graphic>
          </wp:inline>
        </w:drawing>
      </w:r>
      <w:r>
        <w:rPr>
          <w:rFonts w:hint="eastAsia" w:ascii="仿宋" w:hAnsi="仿宋" w:eastAsia="仿宋" w:cs="仿宋"/>
          <w:color w:val="auto"/>
          <w:spacing w:val="0"/>
          <w:position w:val="0"/>
          <w:sz w:val="24"/>
          <w:szCs w:val="24"/>
          <w:highlight w:val="none"/>
        </w:rPr>
        <w:t xml:space="preserve"> </w:t>
      </w:r>
      <w:r>
        <w:rPr>
          <w:rFonts w:hint="eastAsia" w:ascii="仿宋" w:hAnsi="仿宋" w:eastAsia="仿宋" w:cs="仿宋"/>
          <w:color w:val="auto"/>
          <w:spacing w:val="0"/>
          <w:position w:val="0"/>
          <w:sz w:val="24"/>
          <w:szCs w:val="24"/>
          <w:highlight w:val="none"/>
          <w14:textOutline w14:w="4356" w14:cap="flat" w14:cmpd="sng">
            <w14:solidFill>
              <w14:srgbClr w14:val="000000"/>
            </w14:solidFill>
            <w14:prstDash w14:val="solid"/>
            <w14:miter w14:val="0"/>
          </w14:textOutline>
        </w:rPr>
        <w:t>数据分析，按需管理</w:t>
      </w:r>
    </w:p>
    <w:p>
      <w:pPr>
        <w:keepNext w:val="0"/>
        <w:keepLines w:val="0"/>
        <w:pageBreakBefore w:val="0"/>
        <w:widowControl w:val="0"/>
        <w:kinsoku/>
        <w:wordWrap/>
        <w:overflowPunct/>
        <w:topLinePunct w:val="0"/>
        <w:autoSpaceDE w:val="0"/>
        <w:autoSpaceDN w:val="0"/>
        <w:bidi w:val="0"/>
        <w:adjustRightInd w:val="0"/>
        <w:snapToGrid/>
        <w:spacing w:line="360" w:lineRule="exact"/>
        <w:ind w:left="0" w:right="0" w:firstLine="488"/>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系统自动按周、月、季度生成智能报表，物业管理方也可根据需求自定义生成报表。根据报表重点监督，按需管理。同时报表支持一键发送到业主群中，让业主了解电梯不安全不文明乘梯行为，可充分调动起业主自治的积极性。</w:t>
      </w:r>
    </w:p>
    <w:p>
      <w:pPr>
        <w:keepNext w:val="0"/>
        <w:keepLines w:val="0"/>
        <w:pageBreakBefore w:val="0"/>
        <w:widowControl w:val="0"/>
        <w:kinsoku/>
        <w:wordWrap/>
        <w:overflowPunct/>
        <w:topLinePunct w:val="0"/>
        <w:autoSpaceDE w:val="0"/>
        <w:autoSpaceDN w:val="0"/>
        <w:bidi w:val="0"/>
        <w:adjustRightInd w:val="0"/>
        <w:snapToGrid/>
        <w:spacing w:before="60" w:line="221" w:lineRule="auto"/>
        <w:ind w:left="28"/>
        <w:textAlignment w:val="auto"/>
        <w:outlineLvl w:val="1"/>
        <w:rPr>
          <w:rFonts w:hint="eastAsia" w:ascii="仿宋" w:hAnsi="仿宋" w:eastAsia="仿宋" w:cs="仿宋"/>
          <w:color w:val="auto"/>
          <w:spacing w:val="0"/>
          <w:position w:val="0"/>
          <w:sz w:val="28"/>
          <w:szCs w:val="28"/>
          <w:highlight w:val="none"/>
        </w:rPr>
      </w:pPr>
      <w:bookmarkStart w:id="39" w:name="_bookmark12"/>
      <w:bookmarkEnd w:id="39"/>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2.7.加装相关政策法规说明</w:t>
      </w:r>
    </w:p>
    <w:p>
      <w:pPr>
        <w:spacing w:before="79" w:line="366" w:lineRule="auto"/>
        <w:ind w:left="26" w:right="14" w:firstLine="480"/>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2019年1月28日市场监管总局关于调整《电梯施工类别划分表》的通知中指出：仅通过在电梯轿厢操纵箱、层站召唤箱或其按钮的外围接线方式加装电梯IC卡系统等身份认证方式属于一般修理。2019年9月9日国家市场监督管理总局特种设备安全监察局在关于电梯一般修理授权问题的回复中指出：根据《特种设备安全法释义》，电梯的安装、改造、修理，必须由电梯制造单位或者其委托的依照本法取得相应许可的单位进行；2014年1月1日以前交付使用的电梯，可按以往的工作方式进行；一般修理不需要监督检验，故加装智能电动车阻拦系统不会对电梯设备年检造成影响。</w:t>
      </w:r>
    </w:p>
    <w:p>
      <w:pPr>
        <w:keepNext w:val="0"/>
        <w:keepLines w:val="0"/>
        <w:pageBreakBefore w:val="0"/>
        <w:widowControl w:val="0"/>
        <w:kinsoku/>
        <w:wordWrap/>
        <w:overflowPunct/>
        <w:topLinePunct w:val="0"/>
        <w:autoSpaceDE w:val="0"/>
        <w:autoSpaceDN w:val="0"/>
        <w:bidi w:val="0"/>
        <w:adjustRightInd w:val="0"/>
        <w:snapToGrid/>
        <w:spacing w:before="60" w:line="221" w:lineRule="auto"/>
        <w:ind w:left="28"/>
        <w:textAlignment w:val="auto"/>
        <w:outlineLvl w:val="1"/>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pPr>
      <w:bookmarkStart w:id="40" w:name="_bookmark13"/>
      <w:bookmarkEnd w:id="40"/>
      <w:bookmarkStart w:id="41" w:name="_bookmark3"/>
      <w:bookmarkEnd w:id="41"/>
      <w:bookmarkStart w:id="42" w:name="_bookmark2"/>
      <w:bookmarkEnd w:id="42"/>
      <w:bookmarkStart w:id="43" w:name="_bookmark4"/>
      <w:bookmarkEnd w:id="43"/>
      <w:bookmarkStart w:id="44" w:name="_bookmark1"/>
      <w:bookmarkEnd w:id="44"/>
      <w:r>
        <w:rPr>
          <w:rFonts w:hint="eastAsia" w:ascii="仿宋" w:hAnsi="仿宋" w:eastAsia="仿宋" w:cs="仿宋"/>
          <w:color w:val="auto"/>
          <w:spacing w:val="0"/>
          <w:position w:val="0"/>
          <w:sz w:val="28"/>
          <w:szCs w:val="28"/>
          <w:highlight w:val="none"/>
          <w14:textOutline w14:w="5092" w14:cap="flat" w14:cmpd="sng">
            <w14:solidFill>
              <w14:srgbClr w14:val="000000"/>
            </w14:solidFill>
            <w14:prstDash w14:val="solid"/>
            <w14:miter w14:val="0"/>
          </w14:textOutline>
        </w:rPr>
        <w:t>2.8. 功能配置简介</w:t>
      </w:r>
    </w:p>
    <w:tbl>
      <w:tblPr>
        <w:tblStyle w:val="54"/>
        <w:tblpPr w:leftFromText="180" w:rightFromText="180" w:vertAnchor="text" w:horzAnchor="page" w:tblpXSpec="center" w:tblpY="310"/>
        <w:tblOverlap w:val="never"/>
        <w:tblW w:w="101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4"/>
        <w:gridCol w:w="1124"/>
        <w:gridCol w:w="879"/>
        <w:gridCol w:w="1318"/>
        <w:gridCol w:w="5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jc w:val="center"/>
        </w:trPr>
        <w:tc>
          <w:tcPr>
            <w:tcW w:w="10110" w:type="dxa"/>
            <w:gridSpan w:val="5"/>
            <w:tcBorders>
              <w:top w:val="single" w:color="000000" w:sz="2" w:space="0"/>
              <w:bottom w:val="single" w:color="000000" w:sz="2" w:space="0"/>
            </w:tcBorders>
            <w:vAlign w:val="top"/>
          </w:tcPr>
          <w:p>
            <w:pPr>
              <w:spacing w:before="205" w:line="220" w:lineRule="auto"/>
              <w:ind w:left="3934"/>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14:textOutline w14:w="5092" w14:cap="flat" w14:cmpd="sng">
                  <w14:solidFill>
                    <w14:srgbClr w14:val="000000"/>
                  </w14:solidFill>
                  <w14:prstDash w14:val="solid"/>
                  <w14:miter w14:val="0"/>
                </w14:textOutline>
              </w:rPr>
              <w:t>产品功能配置清单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jc w:val="center"/>
        </w:trPr>
        <w:tc>
          <w:tcPr>
            <w:tcW w:w="884" w:type="dxa"/>
            <w:tcBorders>
              <w:top w:val="single" w:color="000000" w:sz="2" w:space="0"/>
              <w:bottom w:val="single" w:color="000000" w:sz="2" w:space="0"/>
            </w:tcBorders>
            <w:vAlign w:val="top"/>
          </w:tcPr>
          <w:p>
            <w:pPr>
              <w:spacing w:before="55" w:line="222" w:lineRule="auto"/>
              <w:ind w:left="218"/>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14:textOutline w14:w="4000" w14:cap="flat" w14:cmpd="sng">
                  <w14:solidFill>
                    <w14:srgbClr w14:val="000000"/>
                  </w14:solidFill>
                  <w14:prstDash w14:val="solid"/>
                  <w14:miter w14:val="0"/>
                </w14:textOutline>
              </w:rPr>
              <w:t>序号</w:t>
            </w:r>
          </w:p>
        </w:tc>
        <w:tc>
          <w:tcPr>
            <w:tcW w:w="1124" w:type="dxa"/>
            <w:tcBorders>
              <w:top w:val="single" w:color="000000" w:sz="2" w:space="0"/>
              <w:bottom w:val="single" w:color="000000" w:sz="2" w:space="0"/>
            </w:tcBorders>
            <w:vAlign w:val="top"/>
          </w:tcPr>
          <w:p>
            <w:pPr>
              <w:spacing w:before="55" w:line="220" w:lineRule="auto"/>
              <w:ind w:left="117"/>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14:textOutline w14:w="4000" w14:cap="flat" w14:cmpd="sng">
                  <w14:solidFill>
                    <w14:srgbClr w14:val="000000"/>
                  </w14:solidFill>
                  <w14:prstDash w14:val="solid"/>
                  <w14:miter w14:val="0"/>
                </w14:textOutline>
              </w:rPr>
              <w:t>产品名称</w:t>
            </w:r>
          </w:p>
        </w:tc>
        <w:tc>
          <w:tcPr>
            <w:tcW w:w="879" w:type="dxa"/>
            <w:tcBorders>
              <w:top w:val="single" w:color="000000" w:sz="2" w:space="0"/>
              <w:bottom w:val="single" w:color="000000" w:sz="2" w:space="0"/>
            </w:tcBorders>
            <w:vAlign w:val="top"/>
          </w:tcPr>
          <w:p>
            <w:pPr>
              <w:spacing w:before="55" w:line="220" w:lineRule="auto"/>
              <w:ind w:left="233"/>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14:textOutline w14:w="4000" w14:cap="flat" w14:cmpd="sng">
                  <w14:solidFill>
                    <w14:srgbClr w14:val="000000"/>
                  </w14:solidFill>
                  <w14:prstDash w14:val="solid"/>
                  <w14:miter w14:val="0"/>
                </w14:textOutline>
              </w:rPr>
              <w:t>品牌</w:t>
            </w:r>
          </w:p>
        </w:tc>
        <w:tc>
          <w:tcPr>
            <w:tcW w:w="1318" w:type="dxa"/>
            <w:tcBorders>
              <w:top w:val="single" w:color="000000" w:sz="2" w:space="0"/>
              <w:bottom w:val="single" w:color="000000" w:sz="2" w:space="0"/>
            </w:tcBorders>
            <w:vAlign w:val="top"/>
          </w:tcPr>
          <w:p>
            <w:pPr>
              <w:spacing w:before="55" w:line="222" w:lineRule="auto"/>
              <w:ind w:left="44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14:textOutline w14:w="4000" w14:cap="flat" w14:cmpd="sng">
                  <w14:solidFill>
                    <w14:srgbClr w14:val="000000"/>
                  </w14:solidFill>
                  <w14:prstDash w14:val="solid"/>
                  <w14:miter w14:val="0"/>
                </w14:textOutline>
              </w:rPr>
              <w:t>功能</w:t>
            </w:r>
          </w:p>
        </w:tc>
        <w:tc>
          <w:tcPr>
            <w:tcW w:w="5905" w:type="dxa"/>
            <w:tcBorders>
              <w:top w:val="single" w:color="000000" w:sz="2" w:space="0"/>
              <w:bottom w:val="single" w:color="000000" w:sz="2" w:space="0"/>
            </w:tcBorders>
            <w:vAlign w:val="top"/>
          </w:tcPr>
          <w:p>
            <w:pPr>
              <w:spacing w:before="55" w:line="222" w:lineRule="auto"/>
              <w:ind w:left="2512"/>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14:textOutline w14:w="4000" w14:cap="flat" w14:cmpd="sng">
                  <w14:solidFill>
                    <w14:srgbClr w14:val="000000"/>
                  </w14:solidFill>
                  <w14:prstDash w14:val="solid"/>
                  <w14:miter w14:val="0"/>
                </w14:textOutline>
              </w:rPr>
              <w:t>功能描述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jc w:val="center"/>
        </w:trPr>
        <w:tc>
          <w:tcPr>
            <w:tcW w:w="884" w:type="dxa"/>
            <w:vMerge w:val="restart"/>
            <w:tcBorders>
              <w:top w:val="single" w:color="000000" w:sz="2" w:space="0"/>
              <w:left w:val="single" w:color="auto" w:sz="4" w:space="0"/>
              <w:bottom w:val="nil"/>
            </w:tcBorders>
            <w:vAlign w:val="top"/>
          </w:tcPr>
          <w:p>
            <w:pPr>
              <w:spacing w:line="246" w:lineRule="auto"/>
              <w:rPr>
                <w:rFonts w:hint="eastAsia" w:ascii="仿宋" w:hAnsi="仿宋" w:eastAsia="仿宋" w:cs="仿宋"/>
                <w:color w:val="auto"/>
                <w:spacing w:val="0"/>
                <w:position w:val="0"/>
                <w:sz w:val="24"/>
                <w:szCs w:val="24"/>
                <w:highlight w:val="none"/>
              </w:rPr>
            </w:pPr>
          </w:p>
          <w:p>
            <w:pPr>
              <w:spacing w:line="246" w:lineRule="auto"/>
              <w:rPr>
                <w:rFonts w:hint="eastAsia" w:ascii="仿宋" w:hAnsi="仿宋" w:eastAsia="仿宋" w:cs="仿宋"/>
                <w:color w:val="auto"/>
                <w:spacing w:val="0"/>
                <w:position w:val="0"/>
                <w:sz w:val="24"/>
                <w:szCs w:val="24"/>
                <w:highlight w:val="none"/>
              </w:rPr>
            </w:pPr>
          </w:p>
          <w:p>
            <w:pPr>
              <w:spacing w:line="246" w:lineRule="auto"/>
              <w:rPr>
                <w:rFonts w:hint="eastAsia" w:ascii="仿宋" w:hAnsi="仿宋" w:eastAsia="仿宋" w:cs="仿宋"/>
                <w:color w:val="auto"/>
                <w:spacing w:val="0"/>
                <w:position w:val="0"/>
                <w:sz w:val="24"/>
                <w:szCs w:val="24"/>
                <w:highlight w:val="none"/>
              </w:rPr>
            </w:pPr>
          </w:p>
          <w:p>
            <w:pPr>
              <w:spacing w:line="246" w:lineRule="auto"/>
              <w:rPr>
                <w:rFonts w:hint="eastAsia" w:ascii="仿宋" w:hAnsi="仿宋" w:eastAsia="仿宋" w:cs="仿宋"/>
                <w:color w:val="auto"/>
                <w:spacing w:val="0"/>
                <w:position w:val="0"/>
                <w:sz w:val="24"/>
                <w:szCs w:val="24"/>
                <w:highlight w:val="none"/>
              </w:rPr>
            </w:pPr>
          </w:p>
          <w:p>
            <w:pPr>
              <w:spacing w:line="246" w:lineRule="auto"/>
              <w:rPr>
                <w:rFonts w:hint="eastAsia" w:ascii="仿宋" w:hAnsi="仿宋" w:eastAsia="仿宋" w:cs="仿宋"/>
                <w:color w:val="auto"/>
                <w:spacing w:val="0"/>
                <w:position w:val="0"/>
                <w:sz w:val="24"/>
                <w:szCs w:val="24"/>
                <w:highlight w:val="none"/>
              </w:rPr>
            </w:pPr>
          </w:p>
          <w:p>
            <w:pPr>
              <w:spacing w:line="246" w:lineRule="auto"/>
              <w:rPr>
                <w:rFonts w:hint="eastAsia" w:ascii="仿宋" w:hAnsi="仿宋" w:eastAsia="仿宋" w:cs="仿宋"/>
                <w:color w:val="auto"/>
                <w:spacing w:val="0"/>
                <w:position w:val="0"/>
                <w:sz w:val="24"/>
                <w:szCs w:val="24"/>
                <w:highlight w:val="none"/>
              </w:rPr>
            </w:pPr>
          </w:p>
          <w:p>
            <w:pPr>
              <w:spacing w:line="246" w:lineRule="auto"/>
              <w:rPr>
                <w:rFonts w:hint="eastAsia" w:ascii="仿宋" w:hAnsi="仿宋" w:eastAsia="仿宋" w:cs="仿宋"/>
                <w:color w:val="auto"/>
                <w:spacing w:val="0"/>
                <w:position w:val="0"/>
                <w:sz w:val="24"/>
                <w:szCs w:val="24"/>
                <w:highlight w:val="none"/>
              </w:rPr>
            </w:pPr>
          </w:p>
          <w:p>
            <w:pPr>
              <w:spacing w:line="246" w:lineRule="auto"/>
              <w:rPr>
                <w:rFonts w:hint="eastAsia" w:ascii="仿宋" w:hAnsi="仿宋" w:eastAsia="仿宋" w:cs="仿宋"/>
                <w:color w:val="auto"/>
                <w:spacing w:val="0"/>
                <w:position w:val="0"/>
                <w:sz w:val="24"/>
                <w:szCs w:val="24"/>
                <w:highlight w:val="none"/>
              </w:rPr>
            </w:pPr>
          </w:p>
          <w:p>
            <w:pPr>
              <w:spacing w:line="246" w:lineRule="auto"/>
              <w:rPr>
                <w:rFonts w:hint="eastAsia" w:ascii="仿宋" w:hAnsi="仿宋" w:eastAsia="仿宋" w:cs="仿宋"/>
                <w:color w:val="auto"/>
                <w:spacing w:val="0"/>
                <w:position w:val="0"/>
                <w:sz w:val="24"/>
                <w:szCs w:val="24"/>
                <w:highlight w:val="none"/>
              </w:rPr>
            </w:pPr>
          </w:p>
          <w:p>
            <w:pPr>
              <w:spacing w:line="247" w:lineRule="auto"/>
              <w:rPr>
                <w:rFonts w:hint="eastAsia" w:ascii="仿宋" w:hAnsi="仿宋" w:eastAsia="仿宋" w:cs="仿宋"/>
                <w:color w:val="auto"/>
                <w:spacing w:val="0"/>
                <w:position w:val="0"/>
                <w:sz w:val="24"/>
                <w:szCs w:val="24"/>
                <w:highlight w:val="none"/>
              </w:rPr>
            </w:pPr>
          </w:p>
          <w:p>
            <w:pPr>
              <w:spacing w:before="62" w:line="191" w:lineRule="auto"/>
              <w:ind w:left="403"/>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1</w:t>
            </w:r>
          </w:p>
        </w:tc>
        <w:tc>
          <w:tcPr>
            <w:tcW w:w="1124" w:type="dxa"/>
            <w:vMerge w:val="restart"/>
            <w:tcBorders>
              <w:top w:val="single" w:color="000000" w:sz="2" w:space="0"/>
              <w:bottom w:val="nil"/>
            </w:tcBorders>
            <w:vAlign w:val="top"/>
          </w:tcPr>
          <w:p>
            <w:pPr>
              <w:spacing w:line="264" w:lineRule="auto"/>
              <w:rPr>
                <w:rFonts w:hint="eastAsia" w:ascii="仿宋" w:hAnsi="仿宋" w:eastAsia="仿宋" w:cs="仿宋"/>
                <w:color w:val="auto"/>
                <w:spacing w:val="0"/>
                <w:position w:val="0"/>
                <w:sz w:val="24"/>
                <w:szCs w:val="24"/>
                <w:highlight w:val="none"/>
              </w:rPr>
            </w:pPr>
          </w:p>
          <w:p>
            <w:pPr>
              <w:spacing w:line="265" w:lineRule="auto"/>
              <w:rPr>
                <w:rFonts w:hint="eastAsia" w:ascii="仿宋" w:hAnsi="仿宋" w:eastAsia="仿宋" w:cs="仿宋"/>
                <w:color w:val="auto"/>
                <w:spacing w:val="0"/>
                <w:position w:val="0"/>
                <w:sz w:val="24"/>
                <w:szCs w:val="24"/>
                <w:highlight w:val="none"/>
              </w:rPr>
            </w:pPr>
          </w:p>
          <w:p>
            <w:pPr>
              <w:spacing w:line="265" w:lineRule="auto"/>
              <w:rPr>
                <w:rFonts w:hint="eastAsia" w:ascii="仿宋" w:hAnsi="仿宋" w:eastAsia="仿宋" w:cs="仿宋"/>
                <w:color w:val="auto"/>
                <w:spacing w:val="0"/>
                <w:position w:val="0"/>
                <w:sz w:val="24"/>
                <w:szCs w:val="24"/>
                <w:highlight w:val="none"/>
              </w:rPr>
            </w:pPr>
          </w:p>
          <w:p>
            <w:pPr>
              <w:spacing w:line="265" w:lineRule="auto"/>
              <w:rPr>
                <w:rFonts w:hint="eastAsia" w:ascii="仿宋" w:hAnsi="仿宋" w:eastAsia="仿宋" w:cs="仿宋"/>
                <w:color w:val="auto"/>
                <w:spacing w:val="0"/>
                <w:position w:val="0"/>
                <w:sz w:val="24"/>
                <w:szCs w:val="24"/>
                <w:highlight w:val="none"/>
              </w:rPr>
            </w:pPr>
          </w:p>
          <w:p>
            <w:pPr>
              <w:spacing w:line="265" w:lineRule="auto"/>
              <w:rPr>
                <w:rFonts w:hint="eastAsia" w:ascii="仿宋" w:hAnsi="仿宋" w:eastAsia="仿宋" w:cs="仿宋"/>
                <w:color w:val="auto"/>
                <w:spacing w:val="0"/>
                <w:position w:val="0"/>
                <w:sz w:val="24"/>
                <w:szCs w:val="24"/>
                <w:highlight w:val="none"/>
              </w:rPr>
            </w:pPr>
          </w:p>
          <w:p>
            <w:pPr>
              <w:spacing w:line="265" w:lineRule="auto"/>
              <w:rPr>
                <w:rFonts w:hint="eastAsia" w:ascii="仿宋" w:hAnsi="仿宋" w:eastAsia="仿宋" w:cs="仿宋"/>
                <w:color w:val="auto"/>
                <w:spacing w:val="0"/>
                <w:position w:val="0"/>
                <w:sz w:val="24"/>
                <w:szCs w:val="24"/>
                <w:highlight w:val="none"/>
              </w:rPr>
            </w:pPr>
          </w:p>
          <w:p>
            <w:pPr>
              <w:spacing w:line="265" w:lineRule="auto"/>
              <w:rPr>
                <w:rFonts w:hint="eastAsia" w:ascii="仿宋" w:hAnsi="仿宋" w:eastAsia="仿宋" w:cs="仿宋"/>
                <w:color w:val="auto"/>
                <w:spacing w:val="0"/>
                <w:position w:val="0"/>
                <w:sz w:val="24"/>
                <w:szCs w:val="24"/>
                <w:highlight w:val="none"/>
              </w:rPr>
            </w:pPr>
          </w:p>
          <w:p>
            <w:pPr>
              <w:spacing w:line="265" w:lineRule="auto"/>
              <w:rPr>
                <w:rFonts w:hint="eastAsia" w:ascii="仿宋" w:hAnsi="仿宋" w:eastAsia="仿宋" w:cs="仿宋"/>
                <w:color w:val="auto"/>
                <w:spacing w:val="0"/>
                <w:position w:val="0"/>
                <w:sz w:val="24"/>
                <w:szCs w:val="24"/>
                <w:highlight w:val="none"/>
              </w:rPr>
            </w:pPr>
          </w:p>
          <w:p>
            <w:pPr>
              <w:spacing w:before="62" w:line="229" w:lineRule="auto"/>
              <w:ind w:left="56"/>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基于云梯系</w:t>
            </w:r>
          </w:p>
          <w:p>
            <w:pPr>
              <w:spacing w:before="76" w:line="228" w:lineRule="auto"/>
              <w:ind w:left="6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统的电瓶车</w:t>
            </w:r>
          </w:p>
          <w:p>
            <w:pPr>
              <w:spacing w:before="77" w:line="228" w:lineRule="auto"/>
              <w:ind w:left="156"/>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梯控服务</w:t>
            </w:r>
          </w:p>
        </w:tc>
        <w:tc>
          <w:tcPr>
            <w:tcW w:w="879" w:type="dxa"/>
            <w:vMerge w:val="restart"/>
            <w:tcBorders>
              <w:top w:val="single" w:color="000000" w:sz="2" w:space="0"/>
              <w:bottom w:val="nil"/>
            </w:tcBorders>
            <w:vAlign w:val="top"/>
          </w:tcPr>
          <w:p>
            <w:pPr>
              <w:spacing w:line="242"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before="62" w:line="229" w:lineRule="auto"/>
              <w:ind w:left="24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云梯</w:t>
            </w:r>
          </w:p>
        </w:tc>
        <w:tc>
          <w:tcPr>
            <w:tcW w:w="1318" w:type="dxa"/>
            <w:tcBorders>
              <w:top w:val="single" w:color="000000" w:sz="2" w:space="0"/>
              <w:bottom w:val="single" w:color="000000" w:sz="2" w:space="0"/>
            </w:tcBorders>
            <w:vAlign w:val="top"/>
          </w:tcPr>
          <w:p>
            <w:pPr>
              <w:spacing w:line="327" w:lineRule="auto"/>
              <w:rPr>
                <w:rFonts w:hint="eastAsia" w:ascii="仿宋" w:hAnsi="仿宋" w:eastAsia="仿宋" w:cs="仿宋"/>
                <w:color w:val="auto"/>
                <w:spacing w:val="0"/>
                <w:position w:val="0"/>
                <w:sz w:val="24"/>
                <w:szCs w:val="24"/>
                <w:highlight w:val="none"/>
              </w:rPr>
            </w:pPr>
          </w:p>
          <w:p>
            <w:pPr>
              <w:spacing w:before="62" w:line="229" w:lineRule="auto"/>
              <w:ind w:left="256"/>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视频识别</w:t>
            </w:r>
          </w:p>
        </w:tc>
        <w:tc>
          <w:tcPr>
            <w:tcW w:w="5905" w:type="dxa"/>
            <w:tcBorders>
              <w:top w:val="single" w:color="000000" w:sz="2" w:space="0"/>
              <w:bottom w:val="single" w:color="000000" w:sz="2" w:space="0"/>
            </w:tcBorders>
            <w:vAlign w:val="top"/>
          </w:tcPr>
          <w:p>
            <w:pPr>
              <w:spacing w:before="80" w:line="278" w:lineRule="auto"/>
              <w:ind w:left="14" w:right="85" w:hanging="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采用联网的机器视觉分析识别电动车入梯，具备庞大的数据分析库和强大的自学习能力。精确识别各类电动车的同时，有效避免自行车、轮椅、婴儿车、手推车等物体的入梯误报；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jc w:val="center"/>
        </w:trPr>
        <w:tc>
          <w:tcPr>
            <w:tcW w:w="884" w:type="dxa"/>
            <w:vMerge w:val="continue"/>
            <w:tcBorders>
              <w:top w:val="nil"/>
              <w:left w:val="single" w:color="auto" w:sz="4" w:space="0"/>
              <w:bottom w:val="nil"/>
            </w:tcBorders>
            <w:vAlign w:val="top"/>
          </w:tcPr>
          <w:p>
            <w:pPr>
              <w:rPr>
                <w:rFonts w:hint="eastAsia" w:ascii="仿宋" w:hAnsi="仿宋" w:eastAsia="仿宋" w:cs="仿宋"/>
                <w:color w:val="auto"/>
                <w:spacing w:val="0"/>
                <w:position w:val="0"/>
                <w:sz w:val="24"/>
                <w:szCs w:val="24"/>
                <w:highlight w:val="none"/>
              </w:rPr>
            </w:pPr>
          </w:p>
        </w:tc>
        <w:tc>
          <w:tcPr>
            <w:tcW w:w="1124" w:type="dxa"/>
            <w:vMerge w:val="continue"/>
            <w:tcBorders>
              <w:top w:val="nil"/>
              <w:bottom w:val="nil"/>
            </w:tcBorders>
            <w:vAlign w:val="top"/>
          </w:tcPr>
          <w:p>
            <w:pPr>
              <w:rPr>
                <w:rFonts w:hint="eastAsia" w:ascii="仿宋" w:hAnsi="仿宋" w:eastAsia="仿宋" w:cs="仿宋"/>
                <w:color w:val="auto"/>
                <w:spacing w:val="0"/>
                <w:position w:val="0"/>
                <w:sz w:val="24"/>
                <w:szCs w:val="24"/>
                <w:highlight w:val="none"/>
              </w:rPr>
            </w:pPr>
          </w:p>
        </w:tc>
        <w:tc>
          <w:tcPr>
            <w:tcW w:w="879" w:type="dxa"/>
            <w:vMerge w:val="continue"/>
            <w:tcBorders>
              <w:top w:val="nil"/>
              <w:bottom w:val="nil"/>
            </w:tcBorders>
            <w:vAlign w:val="top"/>
          </w:tcPr>
          <w:p>
            <w:pPr>
              <w:rPr>
                <w:rFonts w:hint="eastAsia" w:ascii="仿宋" w:hAnsi="仿宋" w:eastAsia="仿宋" w:cs="仿宋"/>
                <w:color w:val="auto"/>
                <w:spacing w:val="0"/>
                <w:position w:val="0"/>
                <w:sz w:val="24"/>
                <w:szCs w:val="24"/>
                <w:highlight w:val="none"/>
              </w:rPr>
            </w:pPr>
          </w:p>
        </w:tc>
        <w:tc>
          <w:tcPr>
            <w:tcW w:w="1318" w:type="dxa"/>
            <w:tcBorders>
              <w:top w:val="single" w:color="000000" w:sz="2" w:space="0"/>
              <w:bottom w:val="single" w:color="000000" w:sz="2" w:space="0"/>
            </w:tcBorders>
            <w:vAlign w:val="top"/>
          </w:tcPr>
          <w:p>
            <w:pPr>
              <w:spacing w:before="234" w:line="228" w:lineRule="auto"/>
              <w:ind w:left="256"/>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视频管理</w:t>
            </w:r>
          </w:p>
        </w:tc>
        <w:tc>
          <w:tcPr>
            <w:tcW w:w="5905" w:type="dxa"/>
            <w:tcBorders>
              <w:top w:val="single" w:color="000000" w:sz="2" w:space="0"/>
              <w:bottom w:val="single" w:color="000000" w:sz="2" w:space="0"/>
            </w:tcBorders>
            <w:vAlign w:val="top"/>
          </w:tcPr>
          <w:p>
            <w:pPr>
              <w:spacing w:before="77" w:line="266" w:lineRule="auto"/>
              <w:ind w:left="15" w:right="85" w:hanging="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针对电动车入梯行为，系统自动截取相关音视频保存至后台，以便后续调阅，针对特殊情况也可作为事后追溯参考；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6" w:hRule="atLeast"/>
          <w:jc w:val="center"/>
        </w:trPr>
        <w:tc>
          <w:tcPr>
            <w:tcW w:w="884" w:type="dxa"/>
            <w:vMerge w:val="continue"/>
            <w:tcBorders>
              <w:top w:val="nil"/>
              <w:left w:val="single" w:color="auto" w:sz="4" w:space="0"/>
              <w:bottom w:val="nil"/>
            </w:tcBorders>
            <w:vAlign w:val="top"/>
          </w:tcPr>
          <w:p>
            <w:pPr>
              <w:rPr>
                <w:rFonts w:hint="eastAsia" w:ascii="仿宋" w:hAnsi="仿宋" w:eastAsia="仿宋" w:cs="仿宋"/>
                <w:color w:val="auto"/>
                <w:spacing w:val="0"/>
                <w:position w:val="0"/>
                <w:sz w:val="24"/>
                <w:szCs w:val="24"/>
                <w:highlight w:val="none"/>
              </w:rPr>
            </w:pPr>
          </w:p>
        </w:tc>
        <w:tc>
          <w:tcPr>
            <w:tcW w:w="1124" w:type="dxa"/>
            <w:vMerge w:val="continue"/>
            <w:tcBorders>
              <w:top w:val="nil"/>
              <w:bottom w:val="nil"/>
            </w:tcBorders>
            <w:vAlign w:val="top"/>
          </w:tcPr>
          <w:p>
            <w:pPr>
              <w:rPr>
                <w:rFonts w:hint="eastAsia" w:ascii="仿宋" w:hAnsi="仿宋" w:eastAsia="仿宋" w:cs="仿宋"/>
                <w:color w:val="auto"/>
                <w:spacing w:val="0"/>
                <w:position w:val="0"/>
                <w:sz w:val="24"/>
                <w:szCs w:val="24"/>
                <w:highlight w:val="none"/>
              </w:rPr>
            </w:pPr>
          </w:p>
        </w:tc>
        <w:tc>
          <w:tcPr>
            <w:tcW w:w="879" w:type="dxa"/>
            <w:vMerge w:val="continue"/>
            <w:tcBorders>
              <w:top w:val="nil"/>
              <w:bottom w:val="nil"/>
            </w:tcBorders>
            <w:vAlign w:val="top"/>
          </w:tcPr>
          <w:p>
            <w:pPr>
              <w:rPr>
                <w:rFonts w:hint="eastAsia" w:ascii="仿宋" w:hAnsi="仿宋" w:eastAsia="仿宋" w:cs="仿宋"/>
                <w:color w:val="auto"/>
                <w:spacing w:val="0"/>
                <w:position w:val="0"/>
                <w:sz w:val="24"/>
                <w:szCs w:val="24"/>
                <w:highlight w:val="none"/>
              </w:rPr>
            </w:pPr>
          </w:p>
        </w:tc>
        <w:tc>
          <w:tcPr>
            <w:tcW w:w="1318" w:type="dxa"/>
            <w:tcBorders>
              <w:top w:val="single" w:color="000000" w:sz="2" w:space="0"/>
              <w:bottom w:val="single" w:color="000000" w:sz="2" w:space="0"/>
            </w:tcBorders>
            <w:vAlign w:val="top"/>
          </w:tcPr>
          <w:p>
            <w:pPr>
              <w:spacing w:line="329" w:lineRule="auto"/>
              <w:rPr>
                <w:rFonts w:hint="eastAsia" w:ascii="仿宋" w:hAnsi="仿宋" w:eastAsia="仿宋" w:cs="仿宋"/>
                <w:color w:val="auto"/>
                <w:spacing w:val="0"/>
                <w:position w:val="0"/>
                <w:sz w:val="24"/>
                <w:szCs w:val="24"/>
                <w:highlight w:val="none"/>
              </w:rPr>
            </w:pPr>
          </w:p>
          <w:p>
            <w:pPr>
              <w:spacing w:before="62" w:line="228" w:lineRule="auto"/>
              <w:ind w:left="256"/>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远程管理</w:t>
            </w:r>
          </w:p>
        </w:tc>
        <w:tc>
          <w:tcPr>
            <w:tcW w:w="5905" w:type="dxa"/>
            <w:tcBorders>
              <w:top w:val="single" w:color="000000" w:sz="2" w:space="0"/>
              <w:bottom w:val="single" w:color="000000" w:sz="2" w:space="0"/>
            </w:tcBorders>
            <w:vAlign w:val="top"/>
          </w:tcPr>
          <w:p>
            <w:pPr>
              <w:spacing w:before="81" w:line="278" w:lineRule="auto"/>
              <w:ind w:left="13"/>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通过手机APP、电脑WEB端远程开启、关闭、设置阻车时长。电动车入梯发生后，手机APP、电脑WEB可及时收到告警消息和告警视频，现场情况尽在掌握中；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884" w:type="dxa"/>
            <w:vMerge w:val="continue"/>
            <w:tcBorders>
              <w:top w:val="nil"/>
              <w:left w:val="single" w:color="auto" w:sz="4" w:space="0"/>
              <w:bottom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1124" w:type="dxa"/>
            <w:vMerge w:val="continue"/>
            <w:tcBorders>
              <w:top w:val="nil"/>
              <w:bottom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879" w:type="dxa"/>
            <w:vMerge w:val="continue"/>
            <w:tcBorders>
              <w:top w:val="nil"/>
              <w:bottom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1318" w:type="dxa"/>
            <w:tcBorders>
              <w:top w:val="single" w:color="000000" w:sz="2" w:space="0"/>
              <w:bottom w:val="single" w:color="auto" w:sz="4" w:space="0"/>
            </w:tcBorders>
            <w:vAlign w:val="top"/>
          </w:tcPr>
          <w:p>
            <w:pPr>
              <w:spacing w:before="235" w:line="229" w:lineRule="auto"/>
              <w:ind w:left="256"/>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视频交互</w:t>
            </w:r>
          </w:p>
        </w:tc>
        <w:tc>
          <w:tcPr>
            <w:tcW w:w="5905" w:type="dxa"/>
            <w:tcBorders>
              <w:top w:val="single" w:color="000000" w:sz="2" w:space="0"/>
              <w:bottom w:val="single" w:color="auto" w:sz="4" w:space="0"/>
            </w:tcBorders>
            <w:vAlign w:val="top"/>
          </w:tcPr>
          <w:p>
            <w:pPr>
              <w:spacing w:before="79" w:line="266" w:lineRule="auto"/>
              <w:ind w:left="14" w:right="85" w:firstLine="3"/>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系统具备可视对讲功能，物业可通过梯内屏幕与乘梯人进行可视对讲，了解梯内情况，有效管理业主；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jc w:val="center"/>
        </w:trPr>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879"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vAlign w:val="top"/>
          </w:tcPr>
          <w:p>
            <w:pPr>
              <w:spacing w:line="242" w:lineRule="auto"/>
              <w:rPr>
                <w:rFonts w:hint="eastAsia" w:ascii="仿宋" w:hAnsi="仿宋" w:eastAsia="仿宋" w:cs="仿宋"/>
                <w:color w:val="auto"/>
                <w:spacing w:val="0"/>
                <w:position w:val="0"/>
                <w:sz w:val="24"/>
                <w:szCs w:val="24"/>
                <w:highlight w:val="none"/>
              </w:rPr>
            </w:pPr>
          </w:p>
          <w:p>
            <w:pPr>
              <w:spacing w:line="243" w:lineRule="auto"/>
              <w:rPr>
                <w:rFonts w:hint="eastAsia" w:ascii="仿宋" w:hAnsi="仿宋" w:eastAsia="仿宋" w:cs="仿宋"/>
                <w:color w:val="auto"/>
                <w:spacing w:val="0"/>
                <w:position w:val="0"/>
                <w:sz w:val="24"/>
                <w:szCs w:val="24"/>
                <w:highlight w:val="none"/>
              </w:rPr>
            </w:pPr>
          </w:p>
          <w:p>
            <w:pPr>
              <w:spacing w:before="62" w:line="230" w:lineRule="auto"/>
              <w:ind w:left="26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智能劝阻</w:t>
            </w:r>
          </w:p>
        </w:tc>
        <w:tc>
          <w:tcPr>
            <w:tcW w:w="5905" w:type="dxa"/>
            <w:tcBorders>
              <w:top w:val="single" w:color="auto" w:sz="4" w:space="0"/>
              <w:left w:val="single" w:color="auto" w:sz="4" w:space="0"/>
              <w:bottom w:val="single" w:color="auto" w:sz="4" w:space="0"/>
              <w:right w:val="single" w:color="auto" w:sz="4" w:space="0"/>
            </w:tcBorders>
            <w:vAlign w:val="top"/>
          </w:tcPr>
          <w:p>
            <w:pPr>
              <w:spacing w:before="84" w:line="284" w:lineRule="auto"/>
              <w:ind w:left="13" w:right="85" w:firstLine="3"/>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一旦业主将电动车带入电梯，智能屏会自动播放劝阻视频。同时物业可通过手机APP、电脑WEB端发送各类电动车入梯的宣传教育视频，通过高频次的曝光度，从根源上提高业主安全意识，杜绝电动车入梯行为；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879"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auto"/>
                <w:spacing w:val="0"/>
                <w:position w:val="0"/>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vAlign w:val="top"/>
          </w:tcPr>
          <w:p>
            <w:pPr>
              <w:spacing w:before="240" w:line="228" w:lineRule="auto"/>
              <w:ind w:left="26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智能报表</w:t>
            </w:r>
          </w:p>
        </w:tc>
        <w:tc>
          <w:tcPr>
            <w:tcW w:w="5905" w:type="dxa"/>
            <w:tcBorders>
              <w:top w:val="single" w:color="auto" w:sz="4" w:space="0"/>
              <w:left w:val="single" w:color="auto" w:sz="4" w:space="0"/>
              <w:bottom w:val="single" w:color="auto" w:sz="4" w:space="0"/>
              <w:right w:val="single" w:color="auto" w:sz="4" w:space="0"/>
            </w:tcBorders>
            <w:vAlign w:val="top"/>
          </w:tcPr>
          <w:p>
            <w:pPr>
              <w:spacing w:before="83" w:line="266" w:lineRule="auto"/>
              <w:ind w:left="12" w:right="85" w:firstLine="1"/>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rPr>
              <w:t>每周、每月会生成智能报表。根据报表重点监督，按需管理。同时报表支持一键发送到业主群中，可充分调动起业主自治的积极性；</w:t>
            </w:r>
          </w:p>
        </w:tc>
      </w:tr>
    </w:tbl>
    <w:p>
      <w:pPr>
        <w:rPr>
          <w:rFonts w:hint="eastAsia" w:ascii="仿宋" w:hAnsi="仿宋" w:eastAsia="仿宋" w:cs="仿宋"/>
          <w:color w:val="auto"/>
          <w:spacing w:val="0"/>
          <w:position w:val="0"/>
          <w:highlight w:val="none"/>
        </w:rPr>
      </w:pPr>
    </w:p>
    <w:p>
      <w:pPr>
        <w:spacing w:line="31" w:lineRule="exact"/>
        <w:rPr>
          <w:rFonts w:hint="eastAsia" w:ascii="仿宋" w:hAnsi="仿宋" w:eastAsia="仿宋" w:cs="仿宋"/>
          <w:color w:val="auto"/>
          <w:spacing w:val="0"/>
          <w:position w:val="0"/>
          <w:highlight w:val="none"/>
        </w:rPr>
      </w:pPr>
    </w:p>
    <w:p>
      <w:pPr>
        <w:rPr>
          <w:rFonts w:hint="eastAsia" w:ascii="仿宋" w:hAnsi="仿宋" w:eastAsia="仿宋" w:cs="仿宋"/>
          <w:color w:val="auto"/>
          <w:spacing w:val="0"/>
          <w:position w:val="0"/>
          <w:sz w:val="21"/>
          <w:highlight w:val="none"/>
        </w:rPr>
      </w:pPr>
    </w:p>
    <w:p>
      <w:pPr>
        <w:pageBreakBefore w:val="0"/>
        <w:numPr>
          <w:ilvl w:val="0"/>
          <w:numId w:val="0"/>
        </w:numPr>
        <w:kinsoku/>
        <w:wordWrap/>
        <w:overflowPunct/>
        <w:topLinePunct w:val="0"/>
        <w:bidi w:val="0"/>
        <w:spacing w:beforeAutospacing="0" w:afterAutospacing="0" w:line="360" w:lineRule="exact"/>
        <w:rPr>
          <w:rFonts w:hint="eastAsia" w:ascii="仿宋" w:hAnsi="仿宋" w:eastAsia="仿宋" w:cs="仿宋"/>
          <w:b/>
          <w:bCs/>
          <w:spacing w:val="0"/>
          <w:position w:val="0"/>
          <w:sz w:val="28"/>
          <w:szCs w:val="28"/>
          <w:highlight w:val="none"/>
          <w:lang w:val="en-US" w:eastAsia="zh-CN"/>
        </w:rPr>
      </w:pPr>
      <w:r>
        <w:rPr>
          <w:rFonts w:hint="eastAsia" w:ascii="仿宋" w:hAnsi="仿宋" w:eastAsia="仿宋" w:cs="仿宋"/>
          <w:b/>
          <w:bCs/>
          <w:spacing w:val="0"/>
          <w:position w:val="0"/>
          <w:sz w:val="28"/>
          <w:szCs w:val="28"/>
          <w:highlight w:val="none"/>
          <w:lang w:val="en-US" w:eastAsia="zh-CN"/>
        </w:rPr>
        <w:t>（三）建设内容</w:t>
      </w:r>
    </w:p>
    <w:p>
      <w:pPr>
        <w:keepNext/>
        <w:keepLines/>
        <w:pageBreakBefore w:val="0"/>
        <w:widowControl w:val="0"/>
        <w:numPr>
          <w:ilvl w:val="0"/>
          <w:numId w:val="0"/>
        </w:numPr>
        <w:tabs>
          <w:tab w:val="left" w:pos="0"/>
          <w:tab w:val="left" w:pos="420"/>
        </w:tabs>
        <w:kinsoku/>
        <w:wordWrap/>
        <w:overflowPunct/>
        <w:topLinePunct w:val="0"/>
        <w:autoSpaceDE w:val="0"/>
        <w:autoSpaceDN w:val="0"/>
        <w:bidi w:val="0"/>
        <w:adjustRightInd w:val="0"/>
        <w:snapToGrid w:val="0"/>
        <w:spacing w:beforeAutospacing="0" w:afterAutospacing="0" w:line="360" w:lineRule="exact"/>
        <w:ind w:leftChars="0" w:firstLine="241" w:firstLineChars="100"/>
        <w:jc w:val="both"/>
        <w:outlineLvl w:val="1"/>
        <w:rPr>
          <w:rFonts w:hint="eastAsia" w:ascii="仿宋" w:hAnsi="仿宋" w:eastAsia="仿宋" w:cs="仿宋"/>
          <w:b/>
          <w:color w:val="auto"/>
          <w:spacing w:val="0"/>
          <w:position w:val="0"/>
          <w:sz w:val="24"/>
          <w:szCs w:val="24"/>
          <w:highlight w:val="none"/>
          <w:lang w:val="en-US" w:eastAsia="zh-CN" w:bidi="ar-SA"/>
        </w:rPr>
      </w:pPr>
      <w:r>
        <w:rPr>
          <w:rFonts w:hint="eastAsia" w:ascii="仿宋" w:hAnsi="仿宋" w:eastAsia="仿宋" w:cs="仿宋"/>
          <w:b/>
          <w:color w:val="auto"/>
          <w:spacing w:val="0"/>
          <w:position w:val="0"/>
          <w:sz w:val="24"/>
          <w:szCs w:val="24"/>
          <w:highlight w:val="none"/>
          <w:lang w:val="en-US" w:eastAsia="zh-CN" w:bidi="ar-SA"/>
        </w:rPr>
        <w:t>1.采购清单</w:t>
      </w:r>
    </w:p>
    <w:tbl>
      <w:tblPr>
        <w:tblStyle w:val="25"/>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0"/>
        <w:gridCol w:w="2140"/>
        <w:gridCol w:w="4518"/>
        <w:gridCol w:w="1041"/>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b/>
                <w:bCs/>
                <w:i w:val="0"/>
                <w:iCs w:val="0"/>
                <w:color w:val="000000"/>
                <w:spacing w:val="0"/>
                <w:position w:val="0"/>
                <w:sz w:val="22"/>
                <w:szCs w:val="22"/>
                <w:highlight w:val="none"/>
                <w:u w:val="none"/>
              </w:rPr>
            </w:pPr>
            <w:r>
              <w:rPr>
                <w:rFonts w:hint="eastAsia" w:ascii="仿宋" w:hAnsi="仿宋" w:eastAsia="仿宋" w:cs="仿宋"/>
                <w:b/>
                <w:bCs/>
                <w:i w:val="0"/>
                <w:iCs w:val="0"/>
                <w:snapToGrid w:val="0"/>
                <w:color w:val="000000"/>
                <w:spacing w:val="0"/>
                <w:kern w:val="0"/>
                <w:position w:val="0"/>
                <w:sz w:val="22"/>
                <w:szCs w:val="22"/>
                <w:highlight w:val="none"/>
                <w:u w:val="none"/>
                <w:lang w:val="en-US" w:eastAsia="zh-CN" w:bidi="ar"/>
              </w:rPr>
              <w:t>序号</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b/>
                <w:bCs/>
                <w:i w:val="0"/>
                <w:iCs w:val="0"/>
                <w:color w:val="000000"/>
                <w:spacing w:val="0"/>
                <w:position w:val="0"/>
                <w:sz w:val="22"/>
                <w:szCs w:val="22"/>
                <w:highlight w:val="none"/>
                <w:u w:val="none"/>
              </w:rPr>
            </w:pPr>
            <w:r>
              <w:rPr>
                <w:rFonts w:hint="eastAsia" w:ascii="仿宋" w:hAnsi="仿宋" w:eastAsia="仿宋" w:cs="仿宋"/>
                <w:b/>
                <w:bCs/>
                <w:i w:val="0"/>
                <w:iCs w:val="0"/>
                <w:snapToGrid w:val="0"/>
                <w:color w:val="000000"/>
                <w:spacing w:val="0"/>
                <w:kern w:val="0"/>
                <w:position w:val="0"/>
                <w:sz w:val="22"/>
                <w:szCs w:val="22"/>
                <w:highlight w:val="none"/>
                <w:u w:val="none"/>
                <w:lang w:val="en-US" w:eastAsia="zh-CN" w:bidi="ar"/>
              </w:rPr>
              <w:t>设备及软件名称</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b/>
                <w:bCs/>
                <w:i w:val="0"/>
                <w:iCs w:val="0"/>
                <w:color w:val="000000"/>
                <w:spacing w:val="0"/>
                <w:position w:val="0"/>
                <w:sz w:val="22"/>
                <w:szCs w:val="22"/>
                <w:highlight w:val="none"/>
                <w:u w:val="none"/>
              </w:rPr>
            </w:pPr>
            <w:r>
              <w:rPr>
                <w:rFonts w:hint="eastAsia" w:ascii="仿宋" w:hAnsi="仿宋" w:eastAsia="仿宋" w:cs="仿宋"/>
                <w:b/>
                <w:bCs/>
                <w:i w:val="0"/>
                <w:iCs w:val="0"/>
                <w:snapToGrid w:val="0"/>
                <w:color w:val="000000"/>
                <w:spacing w:val="0"/>
                <w:kern w:val="0"/>
                <w:position w:val="0"/>
                <w:sz w:val="22"/>
                <w:szCs w:val="22"/>
                <w:highlight w:val="none"/>
                <w:u w:val="none"/>
                <w:lang w:val="en-US" w:eastAsia="zh-CN" w:bidi="ar"/>
              </w:rPr>
              <w:t>主要性能指标</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b/>
                <w:bCs/>
                <w:i w:val="0"/>
                <w:iCs w:val="0"/>
                <w:color w:val="000000"/>
                <w:spacing w:val="0"/>
                <w:position w:val="0"/>
                <w:sz w:val="22"/>
                <w:szCs w:val="22"/>
                <w:highlight w:val="none"/>
                <w:u w:val="none"/>
              </w:rPr>
            </w:pPr>
            <w:r>
              <w:rPr>
                <w:rFonts w:hint="eastAsia" w:ascii="仿宋" w:hAnsi="仿宋" w:eastAsia="仿宋" w:cs="仿宋"/>
                <w:b/>
                <w:bCs/>
                <w:i w:val="0"/>
                <w:iCs w:val="0"/>
                <w:snapToGrid w:val="0"/>
                <w:color w:val="000000"/>
                <w:spacing w:val="0"/>
                <w:kern w:val="0"/>
                <w:position w:val="0"/>
                <w:sz w:val="22"/>
                <w:szCs w:val="22"/>
                <w:highlight w:val="none"/>
                <w:u w:val="none"/>
                <w:lang w:val="en-US" w:eastAsia="zh-CN" w:bidi="ar"/>
              </w:rPr>
              <w:t>单位</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b/>
                <w:bCs/>
                <w:i w:val="0"/>
                <w:iCs w:val="0"/>
                <w:color w:val="000000"/>
                <w:spacing w:val="0"/>
                <w:position w:val="0"/>
                <w:sz w:val="22"/>
                <w:szCs w:val="22"/>
                <w:highlight w:val="none"/>
                <w:u w:val="none"/>
              </w:rPr>
            </w:pPr>
            <w:r>
              <w:rPr>
                <w:rFonts w:hint="eastAsia" w:ascii="仿宋" w:hAnsi="仿宋" w:eastAsia="仿宋" w:cs="仿宋"/>
                <w:b/>
                <w:bCs/>
                <w:i w:val="0"/>
                <w:iCs w:val="0"/>
                <w:snapToGrid w:val="0"/>
                <w:color w:val="000000"/>
                <w:spacing w:val="0"/>
                <w:kern w:val="0"/>
                <w:positio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1</w:t>
            </w:r>
          </w:p>
        </w:tc>
        <w:tc>
          <w:tcPr>
            <w:tcW w:w="2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b/>
                <w:bCs/>
                <w:i w:val="0"/>
                <w:iCs w:val="0"/>
                <w:color w:val="000000"/>
                <w:spacing w:val="0"/>
                <w:position w:val="0"/>
                <w:sz w:val="20"/>
                <w:szCs w:val="20"/>
                <w:highlight w:val="none"/>
                <w:u w:val="none"/>
              </w:rPr>
            </w:pPr>
            <w:r>
              <w:rPr>
                <w:rFonts w:hint="eastAsia" w:ascii="仿宋" w:hAnsi="仿宋" w:eastAsia="仿宋" w:cs="仿宋"/>
                <w:b/>
                <w:bCs/>
                <w:i w:val="0"/>
                <w:iCs w:val="0"/>
                <w:snapToGrid w:val="0"/>
                <w:color w:val="000000"/>
                <w:spacing w:val="0"/>
                <w:kern w:val="0"/>
                <w:position w:val="0"/>
                <w:sz w:val="20"/>
                <w:szCs w:val="20"/>
                <w:highlight w:val="none"/>
                <w:u w:val="none"/>
                <w:lang w:val="en-US" w:eastAsia="zh-CN" w:bidi="ar"/>
              </w:rPr>
              <w:t>电动车阻拦系统</w:t>
            </w:r>
          </w:p>
        </w:tc>
        <w:tc>
          <w:tcPr>
            <w:tcW w:w="4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AI智能摄像头组件</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台</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2</w:t>
            </w:r>
          </w:p>
        </w:tc>
        <w:tc>
          <w:tcPr>
            <w:tcW w:w="21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beforeAutospacing="0" w:afterAutospacing="0" w:line="360" w:lineRule="exact"/>
              <w:jc w:val="center"/>
              <w:rPr>
                <w:rFonts w:hint="eastAsia" w:ascii="仿宋" w:hAnsi="仿宋" w:eastAsia="仿宋" w:cs="仿宋"/>
                <w:b/>
                <w:bCs/>
                <w:i w:val="0"/>
                <w:iCs w:val="0"/>
                <w:color w:val="000000"/>
                <w:spacing w:val="0"/>
                <w:position w:val="0"/>
                <w:sz w:val="20"/>
                <w:szCs w:val="20"/>
                <w:highlight w:val="none"/>
                <w:u w:val="none"/>
              </w:rPr>
            </w:pPr>
          </w:p>
        </w:tc>
        <w:tc>
          <w:tcPr>
            <w:tcW w:w="45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网桥组件（一对）+辅材</w:t>
            </w:r>
          </w:p>
        </w:tc>
        <w:tc>
          <w:tcPr>
            <w:tcW w:w="10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台</w:t>
            </w:r>
          </w:p>
        </w:tc>
        <w:tc>
          <w:tcPr>
            <w:tcW w:w="10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3</w:t>
            </w: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beforeAutospacing="0" w:afterAutospacing="0" w:line="360" w:lineRule="exact"/>
              <w:jc w:val="center"/>
              <w:rPr>
                <w:rFonts w:hint="eastAsia" w:ascii="仿宋" w:hAnsi="仿宋" w:eastAsia="仿宋" w:cs="仿宋"/>
                <w:b/>
                <w:bCs/>
                <w:i w:val="0"/>
                <w:iCs w:val="0"/>
                <w:color w:val="000000"/>
                <w:spacing w:val="0"/>
                <w:position w:val="0"/>
                <w:sz w:val="20"/>
                <w:szCs w:val="20"/>
                <w:highlight w:val="none"/>
                <w:u w:val="none"/>
              </w:rPr>
            </w:pP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梯控板</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4</w:t>
            </w: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beforeAutospacing="0" w:afterAutospacing="0" w:line="360" w:lineRule="exact"/>
              <w:jc w:val="center"/>
              <w:rPr>
                <w:rFonts w:hint="eastAsia" w:ascii="仿宋" w:hAnsi="仿宋" w:eastAsia="仿宋" w:cs="仿宋"/>
                <w:b/>
                <w:bCs/>
                <w:i w:val="0"/>
                <w:iCs w:val="0"/>
                <w:color w:val="000000"/>
                <w:spacing w:val="0"/>
                <w:position w:val="0"/>
                <w:sz w:val="20"/>
                <w:szCs w:val="20"/>
                <w:highlight w:val="none"/>
                <w:u w:val="none"/>
              </w:rPr>
            </w:pP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安装调试费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auto"/>
                <w:spacing w:val="0"/>
                <w:position w:val="0"/>
                <w:sz w:val="20"/>
                <w:szCs w:val="20"/>
                <w:highlight w:val="none"/>
                <w:u w:val="none"/>
              </w:rPr>
            </w:pPr>
            <w:r>
              <w:rPr>
                <w:rFonts w:hint="eastAsia" w:ascii="仿宋" w:hAnsi="仿宋" w:eastAsia="仿宋" w:cs="仿宋"/>
                <w:i w:val="0"/>
                <w:iCs w:val="0"/>
                <w:snapToGrid w:val="0"/>
                <w:color w:val="auto"/>
                <w:spacing w:val="0"/>
                <w:kern w:val="0"/>
                <w:position w:val="0"/>
                <w:sz w:val="20"/>
                <w:szCs w:val="20"/>
                <w:highlight w:val="none"/>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5</w:t>
            </w: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beforeAutospacing="0" w:afterAutospacing="0" w:line="360" w:lineRule="exact"/>
              <w:jc w:val="center"/>
              <w:rPr>
                <w:rFonts w:hint="eastAsia" w:ascii="仿宋" w:hAnsi="仿宋" w:eastAsia="仿宋" w:cs="仿宋"/>
                <w:b/>
                <w:bCs/>
                <w:i w:val="0"/>
                <w:iCs w:val="0"/>
                <w:color w:val="000000"/>
                <w:spacing w:val="0"/>
                <w:position w:val="0"/>
                <w:sz w:val="20"/>
                <w:szCs w:val="20"/>
                <w:highlight w:val="none"/>
                <w:u w:val="none"/>
              </w:rPr>
            </w:pP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两年服务费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auto"/>
                <w:spacing w:val="0"/>
                <w:position w:val="0"/>
                <w:sz w:val="20"/>
                <w:szCs w:val="20"/>
                <w:highlight w:val="none"/>
                <w:u w:val="none"/>
              </w:rPr>
            </w:pPr>
            <w:r>
              <w:rPr>
                <w:rFonts w:hint="eastAsia" w:ascii="仿宋" w:hAnsi="仿宋" w:eastAsia="仿宋" w:cs="仿宋"/>
                <w:i w:val="0"/>
                <w:iCs w:val="0"/>
                <w:snapToGrid w:val="0"/>
                <w:color w:val="auto"/>
                <w:spacing w:val="0"/>
                <w:kern w:val="0"/>
                <w:position w:val="0"/>
                <w:sz w:val="20"/>
                <w:szCs w:val="20"/>
                <w:highlight w:val="none"/>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6</w:t>
            </w:r>
          </w:p>
        </w:tc>
        <w:tc>
          <w:tcPr>
            <w:tcW w:w="21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b/>
                <w:bCs/>
                <w:i w:val="0"/>
                <w:iCs w:val="0"/>
                <w:color w:val="000000"/>
                <w:spacing w:val="0"/>
                <w:position w:val="0"/>
                <w:sz w:val="20"/>
                <w:szCs w:val="20"/>
                <w:highlight w:val="none"/>
                <w:u w:val="none"/>
              </w:rPr>
            </w:pPr>
            <w:r>
              <w:rPr>
                <w:rFonts w:hint="eastAsia" w:ascii="仿宋" w:hAnsi="仿宋" w:eastAsia="仿宋" w:cs="仿宋"/>
                <w:b/>
                <w:bCs/>
                <w:i w:val="0"/>
                <w:iCs w:val="0"/>
                <w:snapToGrid w:val="0"/>
                <w:color w:val="000000"/>
                <w:spacing w:val="0"/>
                <w:kern w:val="0"/>
                <w:position w:val="0"/>
                <w:sz w:val="20"/>
                <w:szCs w:val="20"/>
                <w:highlight w:val="none"/>
                <w:u w:val="none"/>
                <w:lang w:val="en-US" w:eastAsia="zh-CN" w:bidi="ar"/>
              </w:rPr>
              <w:t>（云梯加装）电动车阻拦系统</w:t>
            </w:r>
          </w:p>
        </w:tc>
        <w:tc>
          <w:tcPr>
            <w:tcW w:w="451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在已有云梯系统基础上进行加装与系统更新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7</w:t>
            </w:r>
          </w:p>
        </w:tc>
        <w:tc>
          <w:tcPr>
            <w:tcW w:w="2140" w:type="dxa"/>
            <w:vMerge w:val="continue"/>
            <w:tcBorders>
              <w:top w:val="nil"/>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beforeAutospacing="0" w:afterAutospacing="0" w:line="360" w:lineRule="exact"/>
              <w:jc w:val="center"/>
              <w:rPr>
                <w:rFonts w:hint="eastAsia" w:ascii="仿宋" w:hAnsi="仿宋" w:eastAsia="仿宋" w:cs="仿宋"/>
                <w:b/>
                <w:bCs/>
                <w:i w:val="0"/>
                <w:iCs w:val="0"/>
                <w:color w:val="000000"/>
                <w:spacing w:val="0"/>
                <w:position w:val="0"/>
                <w:sz w:val="20"/>
                <w:szCs w:val="20"/>
                <w:highlight w:val="none"/>
                <w:u w:val="none"/>
              </w:rPr>
            </w:pP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两年服务费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auto"/>
                <w:spacing w:val="0"/>
                <w:kern w:val="0"/>
                <w:position w:val="0"/>
                <w:sz w:val="20"/>
                <w:szCs w:val="20"/>
                <w:highlight w:val="none"/>
                <w:u w:val="none"/>
                <w:lang w:val="en-US" w:eastAsia="zh-CN" w:bidi="ar"/>
              </w:rPr>
              <w:t>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beforeAutospacing="0" w:afterAutospacing="0" w:line="360" w:lineRule="exact"/>
              <w:jc w:val="center"/>
              <w:textAlignment w:val="center"/>
              <w:rPr>
                <w:rFonts w:hint="eastAsia" w:ascii="仿宋" w:hAnsi="仿宋" w:eastAsia="仿宋" w:cs="仿宋"/>
                <w:i w:val="0"/>
                <w:iCs w:val="0"/>
                <w:color w:val="000000"/>
                <w:spacing w:val="0"/>
                <w:position w:val="0"/>
                <w:sz w:val="20"/>
                <w:szCs w:val="20"/>
                <w:highlight w:val="none"/>
                <w:u w:val="none"/>
              </w:rPr>
            </w:pPr>
            <w:r>
              <w:rPr>
                <w:rFonts w:hint="eastAsia" w:ascii="仿宋" w:hAnsi="仿宋" w:eastAsia="仿宋" w:cs="仿宋"/>
                <w:i w:val="0"/>
                <w:iCs w:val="0"/>
                <w:snapToGrid w:val="0"/>
                <w:color w:val="000000"/>
                <w:spacing w:val="0"/>
                <w:kern w:val="0"/>
                <w:position w:val="0"/>
                <w:sz w:val="20"/>
                <w:szCs w:val="20"/>
                <w:highlight w:val="none"/>
                <w:u w:val="none"/>
                <w:lang w:val="en-US" w:eastAsia="zh-CN" w:bidi="ar"/>
              </w:rPr>
              <w:t>100</w:t>
            </w:r>
          </w:p>
        </w:tc>
      </w:tr>
    </w:tbl>
    <w:p>
      <w:pPr>
        <w:keepNext/>
        <w:keepLines/>
        <w:pageBreakBefore w:val="0"/>
        <w:widowControl w:val="0"/>
        <w:numPr>
          <w:ilvl w:val="0"/>
          <w:numId w:val="0"/>
        </w:numPr>
        <w:tabs>
          <w:tab w:val="left" w:pos="0"/>
          <w:tab w:val="left" w:pos="420"/>
        </w:tabs>
        <w:kinsoku/>
        <w:wordWrap/>
        <w:overflowPunct/>
        <w:topLinePunct w:val="0"/>
        <w:autoSpaceDE w:val="0"/>
        <w:autoSpaceDN w:val="0"/>
        <w:bidi w:val="0"/>
        <w:adjustRightInd w:val="0"/>
        <w:snapToGrid w:val="0"/>
        <w:spacing w:beforeAutospacing="0" w:afterAutospacing="0" w:line="360" w:lineRule="exact"/>
        <w:ind w:leftChars="0" w:firstLine="241" w:firstLineChars="100"/>
        <w:jc w:val="both"/>
        <w:outlineLvl w:val="1"/>
        <w:rPr>
          <w:rFonts w:hint="eastAsia" w:ascii="仿宋" w:hAnsi="仿宋" w:eastAsia="仿宋" w:cs="仿宋"/>
          <w:b/>
          <w:color w:val="auto"/>
          <w:spacing w:val="0"/>
          <w:position w:val="0"/>
          <w:sz w:val="24"/>
          <w:szCs w:val="24"/>
          <w:highlight w:val="none"/>
          <w:lang w:val="en-US" w:eastAsia="zh-CN" w:bidi="ar-SA"/>
        </w:rPr>
      </w:pPr>
    </w:p>
    <w:p>
      <w:pPr>
        <w:keepNext/>
        <w:keepLines/>
        <w:pageBreakBefore w:val="0"/>
        <w:widowControl w:val="0"/>
        <w:numPr>
          <w:ilvl w:val="0"/>
          <w:numId w:val="0"/>
        </w:numPr>
        <w:tabs>
          <w:tab w:val="left" w:pos="0"/>
          <w:tab w:val="left" w:pos="420"/>
        </w:tabs>
        <w:kinsoku/>
        <w:wordWrap/>
        <w:overflowPunct/>
        <w:topLinePunct w:val="0"/>
        <w:autoSpaceDE w:val="0"/>
        <w:autoSpaceDN w:val="0"/>
        <w:bidi w:val="0"/>
        <w:adjustRightInd w:val="0"/>
        <w:snapToGrid w:val="0"/>
        <w:spacing w:beforeAutospacing="0" w:afterAutospacing="0" w:line="360" w:lineRule="exact"/>
        <w:ind w:leftChars="0" w:firstLine="241" w:firstLineChars="100"/>
        <w:jc w:val="both"/>
        <w:outlineLvl w:val="1"/>
        <w:rPr>
          <w:rFonts w:hint="eastAsia" w:ascii="仿宋" w:hAnsi="仿宋" w:eastAsia="仿宋" w:cs="仿宋"/>
          <w:b/>
          <w:color w:val="auto"/>
          <w:spacing w:val="0"/>
          <w:position w:val="0"/>
          <w:sz w:val="24"/>
          <w:szCs w:val="24"/>
          <w:highlight w:val="none"/>
          <w:lang w:val="en-US" w:eastAsia="zh-CN" w:bidi="ar-SA"/>
        </w:rPr>
      </w:pPr>
      <w:r>
        <w:rPr>
          <w:rFonts w:hint="eastAsia" w:ascii="仿宋" w:hAnsi="仿宋" w:eastAsia="仿宋" w:cs="仿宋"/>
          <w:b/>
          <w:color w:val="auto"/>
          <w:spacing w:val="0"/>
          <w:position w:val="0"/>
          <w:sz w:val="24"/>
          <w:szCs w:val="24"/>
          <w:highlight w:val="none"/>
          <w:lang w:val="en-US" w:eastAsia="zh-CN" w:bidi="ar-SA"/>
        </w:rPr>
        <w:t>2.技术要求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2" w:firstLineChars="200"/>
        <w:textAlignment w:val="auto"/>
        <w:outlineLvl w:val="2"/>
        <w:rPr>
          <w:rFonts w:hint="eastAsia" w:ascii="仿宋" w:hAnsi="仿宋" w:eastAsia="仿宋" w:cs="仿宋"/>
          <w:b/>
          <w:bCs/>
          <w:color w:val="auto"/>
          <w:spacing w:val="0"/>
          <w:position w:val="0"/>
          <w:sz w:val="24"/>
          <w:szCs w:val="24"/>
          <w:highlight w:val="none"/>
          <w:lang w:val="en-US" w:eastAsia="zh-CN"/>
        </w:rPr>
      </w:pPr>
      <w:r>
        <w:rPr>
          <w:rFonts w:hint="eastAsia" w:ascii="仿宋" w:hAnsi="仿宋" w:eastAsia="仿宋" w:cs="仿宋"/>
          <w:b/>
          <w:bCs/>
          <w:color w:val="auto"/>
          <w:spacing w:val="0"/>
          <w:position w:val="0"/>
          <w:sz w:val="24"/>
          <w:szCs w:val="24"/>
          <w:highlight w:val="none"/>
        </w:rPr>
        <w:t>2.1 AI智能摄像机技术参数</w:t>
      </w:r>
      <w:r>
        <w:rPr>
          <w:rFonts w:hint="eastAsia" w:ascii="仿宋" w:hAnsi="仿宋" w:eastAsia="仿宋" w:cs="仿宋"/>
          <w:b/>
          <w:bCs/>
          <w:color w:val="auto"/>
          <w:spacing w:val="0"/>
          <w:position w:val="0"/>
          <w:sz w:val="24"/>
          <w:szCs w:val="24"/>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1）CPU：工业级处理器SOC，5M的ISP图像处理和SMartH.265压缩编码，内嵌4GbitDDR4；</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2）★有效像素：≥200万有效像素，(1920*1080@25fps)，码率可调配；</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3）最低照度：彩色0.002Lux@F1.2(ICR);黑白0.0002Lux@F1.2(ICR)；</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4）成像器件：1/2.9英寸CMOS星光级；</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5）镜头类型：M12；</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6）焦距(视场角）：2.8mm:106*59；</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7）信噪比：≥50db(AGC OFF)；</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8）动态范围:≥120dB；</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9）ICR切换器：可支持；</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接口要求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1）音频输入/输出：1路音频输入/1路音频输出（MIC/扬声器）；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2）报警输入/输出：2路报警输入/2路报警输出；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3）传感器输入：3路12V传感器输入；</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4）串行接口：1路RS485；</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5）电源输出：1路DC12V输出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6）存储接口（TF内置）：支持128GTF卡（可选配）</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7）网络接口：1个RJ4510M/100M自适应以太网口（支持POE）；内置WiFi（选配）。</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2" w:firstLineChars="200"/>
        <w:textAlignment w:val="auto"/>
        <w:outlineLvl w:val="2"/>
        <w:rPr>
          <w:rFonts w:hint="eastAsia" w:ascii="仿宋" w:hAnsi="仿宋" w:eastAsia="仿宋" w:cs="仿宋"/>
          <w:b/>
          <w:bCs/>
          <w:color w:val="auto"/>
          <w:spacing w:val="0"/>
          <w:positio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Autospacing="0" w:after="60" w:afterAutospacing="0" w:line="360" w:lineRule="exact"/>
        <w:ind w:firstLine="482" w:firstLineChars="200"/>
        <w:textAlignment w:val="auto"/>
        <w:outlineLvl w:val="2"/>
        <w:rPr>
          <w:rFonts w:hint="eastAsia" w:ascii="仿宋" w:hAnsi="仿宋" w:eastAsia="仿宋" w:cs="仿宋"/>
          <w:b/>
          <w:bCs/>
          <w:color w:val="auto"/>
          <w:spacing w:val="0"/>
          <w:position w:val="0"/>
          <w:sz w:val="24"/>
          <w:szCs w:val="24"/>
          <w:highlight w:val="none"/>
          <w:lang w:val="en-US" w:eastAsia="zh-CN"/>
        </w:rPr>
      </w:pPr>
      <w:r>
        <w:rPr>
          <w:rFonts w:hint="eastAsia" w:ascii="仿宋" w:hAnsi="仿宋" w:eastAsia="仿宋" w:cs="仿宋"/>
          <w:b/>
          <w:bCs/>
          <w:color w:val="auto"/>
          <w:spacing w:val="0"/>
          <w:position w:val="0"/>
          <w:sz w:val="24"/>
          <w:szCs w:val="24"/>
          <w:highlight w:val="none"/>
        </w:rPr>
        <w:t>2.2 平层传感器技术参数</w:t>
      </w:r>
      <w:r>
        <w:rPr>
          <w:rFonts w:hint="eastAsia" w:ascii="仿宋" w:hAnsi="仿宋" w:eastAsia="仿宋" w:cs="仿宋"/>
          <w:b/>
          <w:bCs/>
          <w:color w:val="auto"/>
          <w:spacing w:val="0"/>
          <w:position w:val="0"/>
          <w:sz w:val="24"/>
          <w:szCs w:val="24"/>
          <w:highlight w:val="none"/>
          <w:lang w:val="en-US" w:eastAsia="zh-CN"/>
        </w:rPr>
        <w:t>要求</w:t>
      </w:r>
    </w:p>
    <w:tbl>
      <w:tblPr>
        <w:tblStyle w:val="26"/>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840"/>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lang w:val="en-US" w:eastAsia="zh-CN"/>
              </w:rPr>
            </w:pPr>
            <w:r>
              <w:rPr>
                <w:rFonts w:hint="eastAsia" w:ascii="仿宋" w:hAnsi="仿宋" w:eastAsia="仿宋" w:cs="仿宋"/>
                <w:b w:val="0"/>
                <w:bCs w:val="0"/>
                <w:color w:val="auto"/>
                <w:spacing w:val="0"/>
                <w:position w:val="0"/>
                <w:sz w:val="24"/>
                <w:szCs w:val="24"/>
                <w:highlight w:val="none"/>
                <w:lang w:val="en-US" w:eastAsia="zh-CN"/>
              </w:rPr>
              <w:t>名称</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规格参数</w:t>
            </w:r>
            <w:r>
              <w:rPr>
                <w:rFonts w:hint="eastAsia" w:ascii="仿宋" w:hAnsi="仿宋" w:eastAsia="仿宋" w:cs="仿宋"/>
                <w:b w:val="0"/>
                <w:bCs w:val="0"/>
                <w:color w:val="auto"/>
                <w:spacing w:val="0"/>
                <w:position w:val="0"/>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检测类型</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双通道检测槽型光电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目标检测体</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2mm以上不透明物体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探测距离</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38mm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两路光轴中心间距</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输出方式</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双输出NPN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额定工作电压Ue</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10~30VDC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极限工作电压UB</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10~33VDC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负荷电流[mA]</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消耗电流[mA]</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残留电压[VDC]</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保护回路</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极性保护，瞬时过压保护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动作指示灯</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红色LED,A路指示；黄色LED,B路指示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0" w:hRule="atLeast"/>
        </w:trPr>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电路指示灯</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绿色LED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动作时间</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&lt;2ms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光轴数量</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光信号冗余</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&gt;1500%（提高抗灰尘能力）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光源</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红外LED调制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环境温度[℃]</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环境湿度</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35...95%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环境照度</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白炽灯：10000lux以下，太阳光：50000lux以下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耐振动</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复振幅0.5mm 10~50Hz(X,Y,Z方向各2小时）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外壳材料</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PC/AB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接线方式</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2M四芯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符合标准</w:t>
            </w:r>
          </w:p>
        </w:tc>
        <w:tc>
          <w:tcPr>
            <w:tcW w:w="6076" w:type="dxa"/>
            <w:tcBorders>
              <w:tl2br w:val="nil"/>
              <w:tr2bl w:val="nil"/>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0" w:firstLineChars="200"/>
              <w:jc w:val="center"/>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IEC60947-5-2,IEC60068-2-6</w:t>
            </w:r>
          </w:p>
        </w:tc>
      </w:tr>
    </w:tbl>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exact"/>
        <w:ind w:firstLine="482" w:firstLineChars="200"/>
        <w:textAlignment w:val="auto"/>
        <w:outlineLvl w:val="2"/>
        <w:rPr>
          <w:rFonts w:hint="eastAsia" w:ascii="仿宋" w:hAnsi="仿宋" w:eastAsia="仿宋" w:cs="仿宋"/>
          <w:b/>
          <w:bCs/>
          <w:color w:val="auto"/>
          <w:spacing w:val="0"/>
          <w:positio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Autospacing="0" w:after="157" w:afterLines="50" w:afterAutospacing="0" w:line="400" w:lineRule="exact"/>
        <w:ind w:firstLine="482" w:firstLineChars="200"/>
        <w:textAlignment w:val="auto"/>
        <w:outlineLvl w:val="2"/>
        <w:rPr>
          <w:rFonts w:hint="eastAsia" w:ascii="仿宋" w:hAnsi="仿宋" w:eastAsia="仿宋" w:cs="仿宋"/>
          <w:b/>
          <w:bCs/>
          <w:color w:val="auto"/>
          <w:spacing w:val="0"/>
          <w:position w:val="0"/>
          <w:sz w:val="24"/>
          <w:szCs w:val="24"/>
          <w:highlight w:val="none"/>
        </w:rPr>
      </w:pPr>
      <w:r>
        <w:rPr>
          <w:rFonts w:hint="eastAsia" w:ascii="仿宋" w:hAnsi="仿宋" w:eastAsia="仿宋" w:cs="仿宋"/>
          <w:b/>
          <w:bCs/>
          <w:color w:val="auto"/>
          <w:spacing w:val="0"/>
          <w:position w:val="0"/>
          <w:sz w:val="24"/>
          <w:szCs w:val="24"/>
          <w:highlight w:val="none"/>
        </w:rPr>
        <w:t>2.</w:t>
      </w:r>
      <w:r>
        <w:rPr>
          <w:rFonts w:hint="eastAsia" w:ascii="仿宋" w:hAnsi="仿宋" w:eastAsia="仿宋" w:cs="仿宋"/>
          <w:b/>
          <w:bCs/>
          <w:color w:val="auto"/>
          <w:spacing w:val="0"/>
          <w:position w:val="0"/>
          <w:sz w:val="24"/>
          <w:szCs w:val="24"/>
          <w:highlight w:val="none"/>
          <w:lang w:val="en-US" w:eastAsia="zh-CN"/>
        </w:rPr>
        <w:t>3</w:t>
      </w:r>
      <w:r>
        <w:rPr>
          <w:rFonts w:hint="eastAsia" w:ascii="仿宋" w:hAnsi="仿宋" w:eastAsia="仿宋" w:cs="仿宋"/>
          <w:b/>
          <w:bCs/>
          <w:color w:val="auto"/>
          <w:spacing w:val="0"/>
          <w:position w:val="0"/>
          <w:sz w:val="24"/>
          <w:szCs w:val="24"/>
          <w:highlight w:val="none"/>
        </w:rPr>
        <w:t>“电瓶车管控系统”服务要求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当有乘客将电瓶车推入电梯时，该系统可自动识别电瓶车，电梯门处于常开状态，并阻止电梯上行，直至电瓶车推出电梯，电梯才恢复正常运行。</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针对电瓶车进入电梯行为，该系统需实现第一时间的文明劝阻，进行音频的警示教育，同时通过后台进行实时通告。系统可针对电瓶车入梯现象进行分类存储视频，以供后续追溯教育；系统可根据电瓶车实际进梯楼层进行配置。</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该系统同时兼容电梯管理的相关功能，具体有：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信息采集功能：包括：电梯运行方向、当前层站、轿厢门开闭、轿厢内有无人员；</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故障报警功能：包括：长时间开门、运行中开门、电梯超速运行；</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以上服务要求须满足：</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 w:val="0"/>
          <w:bCs w:val="0"/>
          <w:color w:val="auto"/>
          <w:spacing w:val="0"/>
          <w:position w:val="0"/>
          <w:sz w:val="24"/>
          <w:szCs w:val="24"/>
          <w:highlight w:val="none"/>
        </w:rPr>
      </w:pPr>
      <w:r>
        <w:rPr>
          <w:rFonts w:hint="eastAsia" w:ascii="仿宋" w:hAnsi="仿宋" w:eastAsia="仿宋" w:cs="仿宋"/>
          <w:b w:val="0"/>
          <w:bCs w:val="0"/>
          <w:color w:val="auto"/>
          <w:spacing w:val="0"/>
          <w:position w:val="0"/>
          <w:sz w:val="24"/>
          <w:szCs w:val="24"/>
          <w:highlight w:val="none"/>
        </w:rPr>
        <w:t>1）在网络良好的情况下，设备在线率应高于95%。如出现设备等相关问题，应在48小时内解决。</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spacing w:val="0"/>
          <w:position w:val="0"/>
          <w:highlight w:val="none"/>
        </w:rPr>
      </w:pPr>
      <w:r>
        <w:rPr>
          <w:rFonts w:hint="eastAsia" w:ascii="仿宋" w:hAnsi="仿宋" w:eastAsia="仿宋" w:cs="仿宋"/>
          <w:b w:val="0"/>
          <w:bCs w:val="0"/>
          <w:color w:val="auto"/>
          <w:spacing w:val="0"/>
          <w:position w:val="0"/>
          <w:sz w:val="24"/>
          <w:szCs w:val="24"/>
          <w:highlight w:val="none"/>
        </w:rPr>
        <w:t>2)中标单位免费为设备使用方和采购方进行使用前的相关培训。</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before="95" w:beforeLines="30" w:beforeAutospacing="0" w:after="95" w:afterLines="30" w:afterAutospacing="0" w:line="400" w:lineRule="exact"/>
        <w:textAlignment w:val="auto"/>
        <w:rPr>
          <w:rFonts w:hint="eastAsia" w:ascii="仿宋" w:hAnsi="仿宋" w:eastAsia="仿宋" w:cs="仿宋"/>
          <w:color w:val="000000"/>
          <w:spacing w:val="0"/>
          <w:position w:val="0"/>
          <w:sz w:val="28"/>
          <w:szCs w:val="28"/>
          <w:highlight w:val="none"/>
          <w:lang w:val="en-US" w:eastAsia="zh-CN"/>
        </w:rPr>
      </w:pPr>
      <w:r>
        <w:rPr>
          <w:rFonts w:hint="eastAsia" w:ascii="仿宋" w:hAnsi="仿宋" w:eastAsia="仿宋" w:cs="仿宋"/>
          <w:color w:val="000000"/>
          <w:spacing w:val="0"/>
          <w:position w:val="0"/>
          <w:sz w:val="28"/>
          <w:szCs w:val="28"/>
          <w:highlight w:val="none"/>
          <w:lang w:val="en-US" w:eastAsia="zh-CN"/>
        </w:rPr>
        <w:t>（四）供货范围及进度要求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1、设备实施要求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1.1 设备安装位置：</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1）摄像头安装：在电梯轿厢内部的2个角落任选一处进行安装定位，优先选择主操纵箱的对角线侧进行安装。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2）传感器安装：在电梯原有平层插板位置进行安装。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1.2 安装特别要求：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1）必须先制定并审核通过安装任务、安装计划、施工方案方可实施安装，安装前施工安装作业人员、项目管理人员派遣工作必须安排妥当；</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2）进场人员（包括但不限于施工安装作业人员、项目管理人员）已接受《安装安全规范》、《工地安全操作规程》等安全培训并通过考核持证上岗；</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3）现场各方（物业，维保，施工，管理等）协调已到位，配戴安全护具进入作业现场。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lang w:val="en-US" w:eastAsia="zh-CN"/>
        </w:rPr>
      </w:pPr>
      <w:r>
        <w:rPr>
          <w:rFonts w:hint="eastAsia" w:ascii="仿宋" w:hAnsi="仿宋" w:eastAsia="仿宋" w:cs="仿宋"/>
          <w:bCs/>
          <w:color w:val="auto"/>
          <w:spacing w:val="0"/>
          <w:position w:val="0"/>
          <w:sz w:val="24"/>
          <w:szCs w:val="24"/>
          <w:highlight w:val="none"/>
          <w:lang w:val="en-US" w:eastAsia="zh-CN"/>
        </w:rPr>
        <w:t>4）以上设备所有部件安装线束走向固定都不能对后期设备维护和电梯维保维修产生干扰，设备安装过程中需全程遵守规范制度，安全作业。</w:t>
      </w:r>
    </w:p>
    <w:p>
      <w:pPr>
        <w:pStyle w:val="3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auto"/>
          <w:spacing w:val="0"/>
          <w:kern w:val="0"/>
          <w:position w:val="0"/>
          <w:sz w:val="24"/>
          <w:szCs w:val="24"/>
          <w:highlight w:val="none"/>
          <w:lang w:val="en-US" w:eastAsia="zh-CN" w:bidi="ar-SA"/>
        </w:rPr>
      </w:pPr>
      <w:r>
        <w:rPr>
          <w:rFonts w:hint="eastAsia" w:ascii="仿宋" w:hAnsi="仿宋" w:eastAsia="仿宋" w:cs="仿宋"/>
          <w:color w:val="auto"/>
          <w:spacing w:val="0"/>
          <w:kern w:val="0"/>
          <w:position w:val="0"/>
          <w:sz w:val="24"/>
          <w:szCs w:val="24"/>
          <w:highlight w:val="none"/>
          <w:lang w:val="en-US" w:eastAsia="zh-CN" w:bidi="ar-SA"/>
        </w:rPr>
        <w:t>2、成交供应商应提供详细供货清单，清单中依次说明型号、数量、产地、生产厂家等内容。</w:t>
      </w:r>
    </w:p>
    <w:p>
      <w:pPr>
        <w:pStyle w:val="3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auto"/>
          <w:spacing w:val="0"/>
          <w:kern w:val="0"/>
          <w:position w:val="0"/>
          <w:sz w:val="24"/>
          <w:szCs w:val="24"/>
          <w:highlight w:val="none"/>
          <w:lang w:val="en-US" w:eastAsia="zh-CN" w:bidi="ar-SA"/>
        </w:rPr>
      </w:pPr>
      <w:r>
        <w:rPr>
          <w:rFonts w:hint="eastAsia" w:ascii="仿宋" w:hAnsi="仿宋" w:eastAsia="仿宋" w:cs="仿宋"/>
          <w:color w:val="auto"/>
          <w:spacing w:val="0"/>
          <w:kern w:val="0"/>
          <w:position w:val="0"/>
          <w:sz w:val="24"/>
          <w:szCs w:val="24"/>
          <w:highlight w:val="none"/>
          <w:lang w:val="en-US" w:eastAsia="zh-CN" w:bidi="ar-SA"/>
        </w:rPr>
        <w:t>3、除有特别注明外，所列设备及数量为建设本项目必需但不一定是全部。对于属于整套系统运行和施工所必需的部件，即使在本项目采购中未列出或数目不足，成交供应商应在投标时应充分考虑并须在执行合同时无偿补足。</w:t>
      </w:r>
    </w:p>
    <w:p>
      <w:pPr>
        <w:pStyle w:val="3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auto"/>
          <w:spacing w:val="0"/>
          <w:kern w:val="0"/>
          <w:position w:val="0"/>
          <w:sz w:val="24"/>
          <w:szCs w:val="24"/>
          <w:highlight w:val="none"/>
          <w:lang w:val="en-US" w:eastAsia="zh-CN" w:bidi="ar-SA"/>
        </w:rPr>
      </w:pPr>
      <w:r>
        <w:rPr>
          <w:rFonts w:hint="eastAsia" w:ascii="仿宋" w:hAnsi="仿宋" w:eastAsia="仿宋" w:cs="仿宋"/>
          <w:color w:val="auto"/>
          <w:spacing w:val="0"/>
          <w:kern w:val="0"/>
          <w:position w:val="0"/>
          <w:sz w:val="24"/>
          <w:szCs w:val="24"/>
          <w:highlight w:val="none"/>
          <w:lang w:val="en-US" w:eastAsia="zh-CN" w:bidi="ar-SA"/>
        </w:rPr>
        <w:t>4、成交供应商应提供所有安装和检修所需专用工具和消耗材料等，并提供详细供货清单。</w:t>
      </w:r>
    </w:p>
    <w:p>
      <w:pPr>
        <w:pStyle w:val="3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auto"/>
          <w:spacing w:val="0"/>
          <w:kern w:val="0"/>
          <w:position w:val="0"/>
          <w:sz w:val="24"/>
          <w:szCs w:val="24"/>
          <w:highlight w:val="none"/>
          <w:lang w:val="en-US" w:eastAsia="zh-CN" w:bidi="ar-SA"/>
        </w:rPr>
      </w:pPr>
      <w:r>
        <w:rPr>
          <w:rFonts w:hint="eastAsia" w:ascii="仿宋" w:hAnsi="仿宋" w:eastAsia="仿宋" w:cs="仿宋"/>
          <w:color w:val="auto"/>
          <w:spacing w:val="0"/>
          <w:kern w:val="0"/>
          <w:position w:val="0"/>
          <w:sz w:val="24"/>
          <w:szCs w:val="24"/>
          <w:highlight w:val="none"/>
          <w:lang w:val="en-US" w:eastAsia="zh-CN" w:bidi="ar-SA"/>
        </w:rPr>
        <w:t>5、应根据招标方要求、指定位置进行规范安装，期间费用由中标人承担。</w:t>
      </w:r>
    </w:p>
    <w:p>
      <w:pPr>
        <w:pStyle w:val="3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auto"/>
          <w:spacing w:val="0"/>
          <w:kern w:val="0"/>
          <w:position w:val="0"/>
          <w:sz w:val="24"/>
          <w:szCs w:val="24"/>
          <w:highlight w:val="none"/>
          <w:lang w:val="en-US" w:eastAsia="zh-CN" w:bidi="ar-SA"/>
        </w:rPr>
      </w:pPr>
      <w:r>
        <w:rPr>
          <w:rFonts w:hint="eastAsia" w:ascii="仿宋" w:hAnsi="仿宋" w:eastAsia="仿宋" w:cs="仿宋"/>
          <w:color w:val="auto"/>
          <w:spacing w:val="0"/>
          <w:kern w:val="0"/>
          <w:position w:val="0"/>
          <w:sz w:val="24"/>
          <w:szCs w:val="24"/>
          <w:highlight w:val="none"/>
          <w:lang w:val="en-US" w:eastAsia="zh-CN" w:bidi="ar-SA"/>
        </w:rPr>
        <w:t>6、提供所供货物中的进口件清单。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7、</w:t>
      </w:r>
      <w:r>
        <w:rPr>
          <w:rFonts w:hint="eastAsia" w:ascii="仿宋" w:hAnsi="仿宋" w:eastAsia="仿宋" w:cs="仿宋"/>
          <w:color w:val="auto"/>
          <w:spacing w:val="0"/>
          <w:position w:val="0"/>
          <w:sz w:val="24"/>
          <w:szCs w:val="24"/>
          <w:highlight w:val="none"/>
        </w:rPr>
        <w:t>投标人在投标文件中应根据对项目的理解作出项目实施的初步计划，成为中标方后必须提交正式工作方案，明确招标项目工作的方式、方法、过程步骤、按阶段分解的详细计划、对应计划应提交的工作成果、需要招标人协调与配合的事项，并经招标人审核、批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8、</w:t>
      </w:r>
      <w:r>
        <w:rPr>
          <w:rFonts w:hint="eastAsia" w:ascii="仿宋" w:hAnsi="仿宋" w:eastAsia="仿宋" w:cs="仿宋"/>
          <w:color w:val="auto"/>
          <w:spacing w:val="0"/>
          <w:position w:val="0"/>
          <w:sz w:val="24"/>
          <w:szCs w:val="24"/>
          <w:highlight w:val="none"/>
        </w:rPr>
        <w:t>中标方在项目实施过程中须派专职项目经理到招标方指定办公地点驻场，并分别按周、月提交进度报告，对项目问题及进度延迟原因进行说明，制定合理的解决措施并有效执行。参与此项目的技术人员具有承担过相同类型软件开发经验，能够与用户进行良好的沟通，掌握相关领域的相关基础知识，具备相关产品集成、应用和开发的能力。</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9、</w:t>
      </w:r>
      <w:r>
        <w:rPr>
          <w:rFonts w:hint="eastAsia" w:ascii="仿宋" w:hAnsi="仿宋" w:eastAsia="仿宋" w:cs="仿宋"/>
          <w:color w:val="auto"/>
          <w:spacing w:val="0"/>
          <w:position w:val="0"/>
          <w:sz w:val="24"/>
          <w:szCs w:val="24"/>
          <w:highlight w:val="none"/>
        </w:rPr>
        <w:t>投标人必须在投标文件中阐述项目沟通计划，确保投标人与业主之间信息沟通顺畅。</w:t>
      </w:r>
    </w:p>
    <w:p>
      <w:pPr>
        <w:keepNext w:val="0"/>
        <w:keepLines w:val="0"/>
        <w:pageBreakBefore w:val="0"/>
        <w:widowControl w:val="0"/>
        <w:kinsoku/>
        <w:wordWrap/>
        <w:overflowPunct/>
        <w:topLinePunct w:val="0"/>
        <w:autoSpaceDE/>
        <w:autoSpaceDN/>
        <w:bidi w:val="0"/>
        <w:snapToGrid/>
        <w:spacing w:beforeAutospacing="0" w:afterAutospacing="0" w:line="400" w:lineRule="exact"/>
        <w:ind w:firstLine="480" w:firstLineChars="200"/>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color w:val="auto"/>
          <w:spacing w:val="0"/>
          <w:position w:val="0"/>
          <w:sz w:val="24"/>
          <w:szCs w:val="24"/>
          <w:highlight w:val="none"/>
          <w:lang w:val="en-US" w:eastAsia="zh-CN"/>
        </w:rPr>
        <w:t>10、</w:t>
      </w:r>
      <w:r>
        <w:rPr>
          <w:rFonts w:hint="eastAsia" w:ascii="仿宋" w:hAnsi="仿宋" w:eastAsia="仿宋" w:cs="仿宋"/>
          <w:color w:val="auto"/>
          <w:spacing w:val="0"/>
          <w:position w:val="0"/>
          <w:sz w:val="24"/>
          <w:szCs w:val="24"/>
          <w:highlight w:val="none"/>
        </w:rPr>
        <w:t>投标方应安排足够人力负责项目实施，</w:t>
      </w:r>
      <w:r>
        <w:rPr>
          <w:rFonts w:hint="eastAsia" w:ascii="仿宋" w:hAnsi="仿宋" w:eastAsia="仿宋" w:cs="仿宋"/>
          <w:color w:val="auto"/>
          <w:spacing w:val="0"/>
          <w:position w:val="0"/>
          <w:sz w:val="24"/>
          <w:szCs w:val="24"/>
          <w:highlight w:val="none"/>
          <w:lang w:eastAsia="zh-CN"/>
        </w:rPr>
        <w:t>合同签订</w:t>
      </w:r>
      <w:r>
        <w:rPr>
          <w:rFonts w:hint="eastAsia" w:ascii="仿宋" w:hAnsi="仿宋" w:eastAsia="仿宋" w:cs="仿宋"/>
          <w:color w:val="auto"/>
          <w:spacing w:val="0"/>
          <w:position w:val="0"/>
          <w:sz w:val="24"/>
          <w:szCs w:val="24"/>
          <w:highlight w:val="none"/>
          <w:shd w:val="clear"/>
        </w:rPr>
        <w:t>后</w:t>
      </w:r>
      <w:r>
        <w:rPr>
          <w:rFonts w:hint="eastAsia" w:ascii="仿宋" w:hAnsi="仿宋" w:eastAsia="仿宋" w:cs="仿宋"/>
          <w:color w:val="auto"/>
          <w:spacing w:val="0"/>
          <w:position w:val="0"/>
          <w:sz w:val="24"/>
          <w:szCs w:val="24"/>
          <w:highlight w:val="none"/>
          <w:shd w:val="clear"/>
          <w:lang w:val="en-US" w:eastAsia="zh-CN"/>
        </w:rPr>
        <w:t>120天</w:t>
      </w:r>
      <w:r>
        <w:rPr>
          <w:rFonts w:hint="eastAsia" w:ascii="仿宋" w:hAnsi="仿宋" w:eastAsia="仿宋" w:cs="仿宋"/>
          <w:color w:val="auto"/>
          <w:spacing w:val="0"/>
          <w:position w:val="0"/>
          <w:sz w:val="24"/>
          <w:szCs w:val="24"/>
          <w:highlight w:val="none"/>
          <w:shd w:val="clear"/>
        </w:rPr>
        <w:t>内</w:t>
      </w:r>
      <w:r>
        <w:rPr>
          <w:rFonts w:hint="eastAsia" w:ascii="仿宋" w:hAnsi="仿宋" w:eastAsia="仿宋" w:cs="仿宋"/>
          <w:color w:val="auto"/>
          <w:spacing w:val="0"/>
          <w:position w:val="0"/>
          <w:sz w:val="24"/>
          <w:szCs w:val="24"/>
          <w:highlight w:val="none"/>
        </w:rPr>
        <w:t>完成实施；若中标方无合理理由无法在规定时间内有效开展项目实施工作的，则招标方经专家论证后有权取消项目合同，由中标方承担违约责任。</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color w:val="auto"/>
          <w:spacing w:val="0"/>
          <w:position w:val="0"/>
          <w:sz w:val="24"/>
          <w:szCs w:val="24"/>
          <w:highlight w:val="none"/>
        </w:rPr>
      </w:pPr>
      <w:r>
        <w:rPr>
          <w:rFonts w:hint="eastAsia" w:ascii="仿宋" w:hAnsi="仿宋" w:eastAsia="仿宋" w:cs="仿宋"/>
          <w:spacing w:val="0"/>
          <w:position w:val="0"/>
          <w:sz w:val="24"/>
          <w:szCs w:val="24"/>
          <w:lang w:val="en-US" w:eastAsia="zh-CN"/>
        </w:rPr>
        <w:t>11、</w:t>
      </w:r>
      <w:r>
        <w:rPr>
          <w:rFonts w:hint="eastAsia" w:ascii="仿宋" w:hAnsi="仿宋" w:eastAsia="仿宋" w:cs="仿宋"/>
          <w:spacing w:val="0"/>
          <w:position w:val="0"/>
          <w:sz w:val="24"/>
          <w:szCs w:val="24"/>
        </w:rPr>
        <w:t>投标人应在投标书中提供本次项目实施的实施人员名单，以及整个软件实施工期的具体计划安排表。在项目实施过程中必须分别按周、月提交进度报告，对项目问题及进度延迟原因进行说明，制定合理的解决措施并有效执行。</w:t>
      </w:r>
      <w:r>
        <w:rPr>
          <w:rFonts w:hint="eastAsia" w:ascii="仿宋" w:hAnsi="仿宋" w:eastAsia="仿宋" w:cs="仿宋"/>
          <w:color w:val="auto"/>
          <w:spacing w:val="0"/>
          <w:position w:val="0"/>
          <w:sz w:val="24"/>
          <w:szCs w:val="24"/>
          <w:highlight w:val="none"/>
          <w:lang w:val="en-US" w:eastAsia="zh-CN"/>
        </w:rPr>
        <w:t>为加快项目的实施及保障售后服务，</w:t>
      </w:r>
      <w:r>
        <w:rPr>
          <w:rFonts w:hint="eastAsia" w:ascii="仿宋" w:hAnsi="仿宋" w:eastAsia="仿宋" w:cs="仿宋"/>
          <w:color w:val="auto"/>
          <w:spacing w:val="0"/>
          <w:position w:val="0"/>
          <w:sz w:val="24"/>
          <w:szCs w:val="24"/>
          <w:highlight w:val="none"/>
        </w:rPr>
        <w:t>投标人</w:t>
      </w:r>
      <w:r>
        <w:rPr>
          <w:rFonts w:hint="eastAsia" w:ascii="仿宋" w:hAnsi="仿宋" w:eastAsia="仿宋" w:cs="仿宋"/>
          <w:color w:val="auto"/>
          <w:spacing w:val="0"/>
          <w:position w:val="0"/>
          <w:sz w:val="24"/>
          <w:szCs w:val="24"/>
          <w:highlight w:val="none"/>
          <w:lang w:val="en-US" w:eastAsia="zh-CN"/>
        </w:rPr>
        <w:t>应承诺提供完全的本地化项目实施和售后服务队伍</w:t>
      </w:r>
      <w:r>
        <w:rPr>
          <w:rFonts w:hint="eastAsia" w:ascii="仿宋" w:hAnsi="仿宋" w:eastAsia="仿宋" w:cs="仿宋"/>
          <w:color w:val="auto"/>
          <w:spacing w:val="0"/>
          <w:position w:val="0"/>
          <w:sz w:val="24"/>
          <w:szCs w:val="24"/>
          <w:highlight w:val="none"/>
        </w:rPr>
        <w:t>，</w:t>
      </w:r>
      <w:r>
        <w:rPr>
          <w:rFonts w:hint="eastAsia" w:ascii="仿宋" w:hAnsi="仿宋" w:eastAsia="仿宋" w:cs="仿宋"/>
          <w:color w:val="auto"/>
          <w:spacing w:val="0"/>
          <w:position w:val="0"/>
          <w:sz w:val="24"/>
          <w:szCs w:val="24"/>
          <w:highlight w:val="none"/>
          <w:lang w:val="en-US" w:eastAsia="zh-CN"/>
        </w:rPr>
        <w:t>合同签订前需要在本地设立不少于6人的实施服务团队（投标时提供相关承诺材料扫描件并加盖投标人CA签章）</w:t>
      </w:r>
      <w:r>
        <w:rPr>
          <w:rFonts w:hint="eastAsia" w:ascii="仿宋" w:hAnsi="仿宋" w:eastAsia="仿宋" w:cs="仿宋"/>
          <w:color w:val="auto"/>
          <w:spacing w:val="0"/>
          <w:positio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spacing w:val="0"/>
          <w:position w:val="0"/>
        </w:rPr>
      </w:pPr>
      <w:r>
        <w:rPr>
          <w:rFonts w:hint="eastAsia" w:ascii="仿宋" w:hAnsi="仿宋" w:eastAsia="仿宋" w:cs="仿宋"/>
          <w:color w:val="auto"/>
          <w:spacing w:val="0"/>
          <w:position w:val="0"/>
          <w:sz w:val="24"/>
          <w:szCs w:val="24"/>
          <w:highlight w:val="none"/>
          <w:lang w:val="en-US" w:eastAsia="zh-CN"/>
        </w:rPr>
        <w:t>12、</w:t>
      </w:r>
      <w:r>
        <w:rPr>
          <w:rFonts w:hint="eastAsia" w:ascii="仿宋" w:hAnsi="仿宋" w:eastAsia="仿宋" w:cs="仿宋"/>
          <w:color w:val="auto"/>
          <w:spacing w:val="0"/>
          <w:position w:val="0"/>
          <w:sz w:val="24"/>
          <w:szCs w:val="24"/>
          <w:highlight w:val="none"/>
        </w:rPr>
        <w:t>投标人在本项目实施期间，其技术团队必须全员全程常驻采购方指定地点，如发现投标人技术团队没有按照要求实施服务，采购人将废除授标及终止合同，履约保证金不予退还，并保留进一步追究相关法律责任权利。</w:t>
      </w:r>
    </w:p>
    <w:p>
      <w:pPr>
        <w:pStyle w:val="4"/>
        <w:keepNext/>
        <w:keepLines/>
        <w:pageBreakBefore w:val="0"/>
        <w:widowControl w:val="0"/>
        <w:numPr>
          <w:ilvl w:val="0"/>
          <w:numId w:val="0"/>
        </w:numPr>
        <w:kinsoku/>
        <w:wordWrap/>
        <w:overflowPunct/>
        <w:topLinePunct w:val="0"/>
        <w:autoSpaceDE/>
        <w:autoSpaceDN/>
        <w:bidi w:val="0"/>
        <w:adjustRightInd/>
        <w:snapToGrid/>
        <w:spacing w:before="95" w:beforeLines="30" w:beforeAutospacing="0" w:after="95" w:afterLines="30" w:afterAutospacing="0" w:line="400" w:lineRule="exact"/>
        <w:ind w:leftChars="0"/>
        <w:jc w:val="left"/>
        <w:textAlignment w:val="auto"/>
        <w:outlineLvl w:val="0"/>
        <w:rPr>
          <w:rFonts w:hint="eastAsia" w:ascii="仿宋" w:hAnsi="仿宋" w:eastAsia="仿宋" w:cs="仿宋"/>
          <w:spacing w:val="0"/>
          <w:position w:val="0"/>
          <w:sz w:val="28"/>
          <w:szCs w:val="28"/>
        </w:rPr>
      </w:pPr>
      <w:r>
        <w:rPr>
          <w:rFonts w:hint="eastAsia" w:ascii="仿宋" w:hAnsi="仿宋" w:eastAsia="仿宋" w:cs="仿宋"/>
          <w:spacing w:val="0"/>
          <w:position w:val="0"/>
          <w:sz w:val="28"/>
          <w:szCs w:val="28"/>
          <w:lang w:val="en-US" w:eastAsia="zh-CN"/>
        </w:rPr>
        <w:t>（五）</w:t>
      </w:r>
      <w:r>
        <w:rPr>
          <w:rFonts w:hint="eastAsia" w:ascii="仿宋" w:hAnsi="仿宋" w:eastAsia="仿宋" w:cs="仿宋"/>
          <w:spacing w:val="0"/>
          <w:position w:val="0"/>
          <w:sz w:val="28"/>
          <w:szCs w:val="28"/>
        </w:rPr>
        <w:t>质量标准和技术服务条件</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5</w:t>
      </w:r>
      <w:r>
        <w:rPr>
          <w:rFonts w:hint="eastAsia" w:ascii="仿宋" w:hAnsi="仿宋" w:eastAsia="仿宋" w:cs="仿宋"/>
          <w:spacing w:val="0"/>
          <w:position w:val="0"/>
          <w:sz w:val="24"/>
          <w:szCs w:val="24"/>
        </w:rPr>
        <w:t>.1 质量标准要求</w:t>
      </w:r>
      <w:r>
        <w:rPr>
          <w:rFonts w:hint="eastAsia" w:ascii="仿宋" w:hAnsi="仿宋" w:eastAsia="仿宋" w:cs="仿宋"/>
          <w:spacing w:val="0"/>
          <w:position w:val="0"/>
          <w:sz w:val="24"/>
          <w:szCs w:val="24"/>
        </w:rPr>
        <w:tab/>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（1）本项目的所有软、硬件(如电源适配器、线缆、软件、硬件模块等，包括未列出而系统实施又必需的软件、硬件)需配齐以构成一套完整实用系统，如有任何遗漏，由投标人免费补齐。</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（2）投标方案中的硬件设备如需使用特别接头、插座等，由投标人免费提供。</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所投设备需为原厂设备，符合国家技术规范和质量标准，通过国家有关部门检测合格的原产地设备，能够与招标方现有设备正常连接；设备安装调试完毕后，能在其功能范围内保障用户的系统安全、稳定运行。</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（4）所投设备及主要部件均须非停产设备，并提供备件、附件和耗材的供应。</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5）本次采购的供货除包括上述设备外，还应包括随机的辅助设备、专用电线电缆、随机软件、技术资料（包括操作培训手册、产品使用指南、维修指南和含维修网点在内的服务手册等）、设备运行所必需的随机消耗材料，相应的技术服务与质量保证。</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（6）验收条件：开箱验收：清点设备装箱内容符合装箱单所列并符合招标文件要求和承诺书承诺；开机验收：设备应通电开机后进行所规定时间的试验运行后方可验收。</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（7）对所有的设备等只能作为本项目使用，不得转借其他项目。</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（8）本系统产生的任何照片、视频、文字等信息数据产权归招标人所有，不得擅自截留，用作商业开发利用。</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（9）投标人供货产品必须是原厂商、正宗品牌、正规渠道的产品，不得用假冒及伪劣产品替代；如出现上述质量问题，招标方有权退货；如造成损失的，招标方可要求中标人给予赔偿。</w:t>
      </w:r>
    </w:p>
    <w:p>
      <w:pPr>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（10）中标人须对采购人的技术人员培训。投标人须在投标文件中提供详细的培训计划，包括培训内容、培训时间、培训费用等。技术培训费用应包含在投标总价中。</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5</w:t>
      </w:r>
      <w:r>
        <w:rPr>
          <w:rFonts w:hint="eastAsia" w:ascii="仿宋" w:hAnsi="仿宋" w:eastAsia="仿宋" w:cs="仿宋"/>
          <w:spacing w:val="0"/>
          <w:position w:val="0"/>
          <w:sz w:val="24"/>
          <w:szCs w:val="24"/>
        </w:rPr>
        <w:t>.2 技术服务要求</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投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投标人负全部责任。</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（2）如果产品在服务期内发生设备故障，投标人应及时予以响应（免费上门服务），否则招标方将自行采取必要的措施，由此产生风险和费用由投标人承担。</w:t>
      </w:r>
    </w:p>
    <w:p>
      <w:pPr>
        <w:pStyle w:val="37"/>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★（3）如招标文件中遗漏了必须具备的设备、配件或服务，投标人有义务保证招标方系统的完整性，如项目实施过程中因缺少设备、配件或服务导致招标方系统无法正常运行，投标人须承诺免费提供。</w:t>
      </w:r>
    </w:p>
    <w:p>
      <w:pPr>
        <w:pStyle w:val="3"/>
        <w:pageBreakBefore w:val="0"/>
        <w:widowControl w:val="0"/>
        <w:kinsoku/>
        <w:wordWrap/>
        <w:overflowPunct/>
        <w:topLinePunct w:val="0"/>
        <w:autoSpaceDE/>
        <w:autoSpaceDN/>
        <w:bidi w:val="0"/>
        <w:adjustRightInd/>
        <w:snapToGrid/>
        <w:spacing w:beforeAutospacing="0" w:afterAutospacing="0" w:line="400" w:lineRule="exact"/>
        <w:ind w:firstLine="480"/>
        <w:textAlignment w:val="auto"/>
        <w:rPr>
          <w:rFonts w:hint="eastAsia" w:ascii="仿宋" w:hAnsi="仿宋" w:eastAsia="仿宋" w:cs="仿宋"/>
          <w:spacing w:val="0"/>
          <w:kern w:val="2"/>
          <w:position w:val="0"/>
          <w:sz w:val="24"/>
          <w:szCs w:val="24"/>
          <w:lang w:val="en-US" w:eastAsia="zh-CN" w:bidi="ar-SA"/>
        </w:rPr>
      </w:pPr>
      <w:r>
        <w:rPr>
          <w:rFonts w:hint="eastAsia" w:ascii="仿宋" w:hAnsi="仿宋" w:eastAsia="仿宋" w:cs="仿宋"/>
          <w:color w:val="auto"/>
          <w:spacing w:val="0"/>
          <w:position w:val="0"/>
          <w:sz w:val="24"/>
          <w:szCs w:val="24"/>
          <w:highlight w:val="none"/>
        </w:rPr>
        <w:t>（</w:t>
      </w:r>
      <w:r>
        <w:rPr>
          <w:rFonts w:hint="eastAsia" w:ascii="仿宋" w:hAnsi="仿宋" w:eastAsia="仿宋" w:cs="仿宋"/>
          <w:spacing w:val="0"/>
          <w:kern w:val="2"/>
          <w:position w:val="0"/>
          <w:sz w:val="24"/>
          <w:szCs w:val="24"/>
          <w:lang w:val="en-US" w:eastAsia="zh-CN" w:bidi="ar-SA"/>
        </w:rPr>
        <w:t>4）中标人应保证平台运作过程中采集到的所有数据及信息的安全性；保证数据及信息不外泄，不另作他用。如果因数据及信息外泄或另作他用而引发的第三方投诉、追诉、要求赔偿等纠纷而造成招标人人损失的，所有经济损失全部由中标人负责承担。</w:t>
      </w:r>
    </w:p>
    <w:p>
      <w:pPr>
        <w:pStyle w:val="3"/>
        <w:pageBreakBefore w:val="0"/>
        <w:widowControl w:val="0"/>
        <w:kinsoku/>
        <w:wordWrap/>
        <w:overflowPunct/>
        <w:topLinePunct w:val="0"/>
        <w:autoSpaceDE/>
        <w:autoSpaceDN/>
        <w:bidi w:val="0"/>
        <w:adjustRightInd/>
        <w:snapToGrid/>
        <w:spacing w:beforeAutospacing="0" w:afterAutospacing="0" w:line="400" w:lineRule="exact"/>
        <w:ind w:firstLine="480"/>
        <w:textAlignment w:val="auto"/>
        <w:rPr>
          <w:rFonts w:hint="eastAsia" w:ascii="仿宋" w:hAnsi="仿宋" w:eastAsia="仿宋" w:cs="仿宋"/>
          <w:spacing w:val="0"/>
          <w:kern w:val="2"/>
          <w:position w:val="0"/>
          <w:sz w:val="24"/>
          <w:szCs w:val="24"/>
          <w:lang w:val="en-US" w:eastAsia="zh-CN" w:bidi="ar-SA"/>
        </w:rPr>
      </w:pPr>
      <w:r>
        <w:rPr>
          <w:rFonts w:hint="eastAsia" w:ascii="仿宋" w:hAnsi="仿宋" w:eastAsia="仿宋" w:cs="仿宋"/>
          <w:spacing w:val="0"/>
          <w:kern w:val="2"/>
          <w:position w:val="0"/>
          <w:sz w:val="24"/>
          <w:szCs w:val="24"/>
          <w:lang w:val="en-US" w:eastAsia="zh-CN" w:bidi="ar-SA"/>
        </w:rPr>
        <w:t>（5）外场施工中标人必须有施工区域的隔离、警示措施，投标时提供隔离设施的设计图纸。在施工中可根据招标方要求，对隔离设施进行灵活、免费更改。本项目执行完后，投标人将隔离设施全部免费移交招标方。如因中标人施工不当而引发的第三方投诉、追诉、要求赔偿等纠纷而造成招标人人损失的，所有经济损失全部由中标人负责承担。</w:t>
      </w:r>
    </w:p>
    <w:p>
      <w:pPr>
        <w:pStyle w:val="3"/>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pacing w:val="0"/>
          <w:kern w:val="2"/>
          <w:position w:val="0"/>
          <w:sz w:val="24"/>
          <w:szCs w:val="24"/>
          <w:lang w:val="en-US" w:eastAsia="zh-CN" w:bidi="ar-SA"/>
        </w:rPr>
      </w:pPr>
      <w:r>
        <w:rPr>
          <w:rFonts w:hint="eastAsia" w:ascii="仿宋" w:hAnsi="仿宋" w:eastAsia="仿宋" w:cs="仿宋"/>
          <w:spacing w:val="0"/>
          <w:kern w:val="2"/>
          <w:position w:val="0"/>
          <w:sz w:val="24"/>
          <w:szCs w:val="24"/>
          <w:lang w:val="en-US" w:eastAsia="zh-CN" w:bidi="ar-SA"/>
        </w:rPr>
        <w:t>（6）项目实施过程中涉及到的外场联系、协调由中标人自行完成。</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outlineLvl w:val="9"/>
        <w:rPr>
          <w:rFonts w:hint="eastAsia" w:ascii="仿宋" w:hAnsi="仿宋" w:eastAsia="仿宋" w:cs="仿宋"/>
          <w:b w:val="0"/>
          <w:bCs w:val="0"/>
          <w:spacing w:val="0"/>
          <w:kern w:val="2"/>
          <w:position w:val="0"/>
          <w:sz w:val="24"/>
          <w:szCs w:val="24"/>
          <w:lang w:val="en-US" w:eastAsia="zh-CN" w:bidi="ar-SA"/>
        </w:rPr>
      </w:pPr>
      <w:r>
        <w:rPr>
          <w:rFonts w:hint="eastAsia" w:ascii="仿宋" w:hAnsi="仿宋" w:eastAsia="仿宋" w:cs="仿宋"/>
          <w:spacing w:val="0"/>
          <w:kern w:val="2"/>
          <w:position w:val="0"/>
          <w:sz w:val="24"/>
          <w:szCs w:val="24"/>
          <w:lang w:val="en-US" w:eastAsia="zh-CN" w:bidi="ar-SA"/>
        </w:rPr>
        <w:t>（7）软件系统开发完成后，经双方确认后进行系统测试。系统测试由中标供应商负责，</w:t>
      </w:r>
      <w:r>
        <w:rPr>
          <w:rFonts w:hint="eastAsia" w:ascii="仿宋" w:hAnsi="仿宋" w:eastAsia="仿宋" w:cs="仿宋"/>
          <w:b w:val="0"/>
          <w:bCs w:val="0"/>
          <w:spacing w:val="0"/>
          <w:kern w:val="2"/>
          <w:position w:val="0"/>
          <w:sz w:val="24"/>
          <w:szCs w:val="24"/>
          <w:lang w:val="en-US" w:eastAsia="zh-CN" w:bidi="ar-SA"/>
        </w:rPr>
        <w:t>采购人工程师参与，测试系统的需求完成度：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outlineLvl w:val="9"/>
        <w:rPr>
          <w:rFonts w:hint="eastAsia" w:ascii="仿宋" w:hAnsi="仿宋" w:eastAsia="仿宋" w:cs="仿宋"/>
          <w:b w:val="0"/>
          <w:bCs w:val="0"/>
          <w:spacing w:val="0"/>
          <w:kern w:val="2"/>
          <w:position w:val="0"/>
          <w:sz w:val="24"/>
          <w:szCs w:val="24"/>
          <w:lang w:val="en-US" w:eastAsia="zh-CN" w:bidi="ar-SA"/>
        </w:rPr>
      </w:pPr>
      <w:r>
        <w:rPr>
          <w:rFonts w:hint="eastAsia" w:ascii="仿宋" w:hAnsi="仿宋" w:eastAsia="仿宋" w:cs="仿宋"/>
          <w:b w:val="0"/>
          <w:bCs w:val="0"/>
          <w:spacing w:val="0"/>
          <w:kern w:val="2"/>
          <w:position w:val="0"/>
          <w:sz w:val="24"/>
          <w:szCs w:val="24"/>
          <w:lang w:val="en-US" w:eastAsia="zh-CN" w:bidi="ar-SA"/>
        </w:rPr>
        <w:t>1）采购人若发现系统功能、性能、安全性不符合招标要求，有权要求中标供应商进行功能和性能第三方测试。中标供应商需积极配合，并承担相应评测费用。</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outlineLvl w:val="9"/>
        <w:rPr>
          <w:rFonts w:hint="eastAsia" w:ascii="仿宋" w:hAnsi="仿宋" w:eastAsia="仿宋" w:cs="仿宋"/>
          <w:b w:val="0"/>
          <w:bCs w:val="0"/>
          <w:spacing w:val="0"/>
          <w:kern w:val="2"/>
          <w:position w:val="0"/>
          <w:sz w:val="24"/>
          <w:szCs w:val="24"/>
          <w:lang w:val="en-US" w:eastAsia="zh-CN" w:bidi="ar-SA"/>
        </w:rPr>
      </w:pPr>
      <w:r>
        <w:rPr>
          <w:rFonts w:hint="eastAsia" w:ascii="仿宋" w:hAnsi="仿宋" w:eastAsia="仿宋" w:cs="仿宋"/>
          <w:b w:val="0"/>
          <w:bCs w:val="0"/>
          <w:spacing w:val="0"/>
          <w:kern w:val="2"/>
          <w:position w:val="0"/>
          <w:sz w:val="24"/>
          <w:szCs w:val="24"/>
          <w:lang w:val="en-US" w:eastAsia="zh-CN" w:bidi="ar-SA"/>
        </w:rPr>
        <w:t>2）测试将依据本采购文件项目技术要求及项目功能、性能及安全要求。</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outlineLvl w:val="9"/>
        <w:rPr>
          <w:rFonts w:hint="eastAsia" w:ascii="仿宋" w:hAnsi="仿宋" w:eastAsia="仿宋" w:cs="仿宋"/>
          <w:b w:val="0"/>
          <w:bCs w:val="0"/>
          <w:spacing w:val="0"/>
          <w:kern w:val="2"/>
          <w:position w:val="0"/>
          <w:sz w:val="24"/>
          <w:szCs w:val="24"/>
          <w:lang w:val="en-US" w:eastAsia="zh-CN" w:bidi="ar-SA"/>
        </w:rPr>
      </w:pPr>
      <w:r>
        <w:rPr>
          <w:rFonts w:hint="eastAsia" w:ascii="仿宋" w:hAnsi="仿宋" w:eastAsia="仿宋" w:cs="仿宋"/>
          <w:b w:val="0"/>
          <w:bCs w:val="0"/>
          <w:spacing w:val="0"/>
          <w:kern w:val="2"/>
          <w:position w:val="0"/>
          <w:sz w:val="24"/>
          <w:szCs w:val="24"/>
          <w:lang w:val="en-US" w:eastAsia="zh-CN" w:bidi="ar-SA"/>
        </w:rPr>
        <w:t>3）如果第三方测试没有通过，中标供应商需在30天内进行整改，如果在30天内整改没有通过，采购人有权终止合同，所造成的损失由中标供应商负责。</w:t>
      </w:r>
    </w:p>
    <w:p>
      <w:pPr>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b w:val="0"/>
          <w:bCs w:val="0"/>
          <w:spacing w:val="0"/>
          <w:position w:val="0"/>
          <w:sz w:val="24"/>
          <w:szCs w:val="24"/>
        </w:rPr>
      </w:pP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lang w:val="en-US" w:eastAsia="zh-CN"/>
        </w:rPr>
        <w:t>8</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项目完结时中标人应提交的成果和整个项目过程电子文档，包括但不限于：系统详细设计</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系统概要设计</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需求分析报告</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系统测试方案</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安装维护手册</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使用操作手册</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培训资料</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数据结构说明文档。</w:t>
      </w:r>
    </w:p>
    <w:p>
      <w:pPr>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b w:val="0"/>
          <w:bCs w:val="0"/>
          <w:spacing w:val="0"/>
          <w:position w:val="0"/>
          <w:sz w:val="24"/>
          <w:szCs w:val="24"/>
        </w:rPr>
      </w:pPr>
      <w:r>
        <w:rPr>
          <w:rFonts w:hint="eastAsia" w:ascii="仿宋" w:hAnsi="仿宋" w:eastAsia="仿宋" w:cs="仿宋"/>
          <w:b w:val="0"/>
          <w:bCs w:val="0"/>
          <w:spacing w:val="0"/>
          <w:position w:val="0"/>
          <w:sz w:val="24"/>
          <w:szCs w:val="24"/>
        </w:rPr>
        <w:t>（</w:t>
      </w:r>
      <w:r>
        <w:rPr>
          <w:rFonts w:hint="eastAsia" w:ascii="仿宋" w:hAnsi="仿宋" w:eastAsia="仿宋" w:cs="仿宋"/>
          <w:b w:val="0"/>
          <w:bCs w:val="0"/>
          <w:spacing w:val="0"/>
          <w:position w:val="0"/>
          <w:sz w:val="24"/>
          <w:szCs w:val="24"/>
          <w:lang w:val="en-US" w:eastAsia="zh-CN"/>
        </w:rPr>
        <w:t>9</w:t>
      </w:r>
      <w:r>
        <w:rPr>
          <w:rFonts w:hint="eastAsia" w:ascii="仿宋" w:hAnsi="仿宋" w:eastAsia="仿宋" w:cs="仿宋"/>
          <w:b w:val="0"/>
          <w:bCs w:val="0"/>
          <w:spacing w:val="0"/>
          <w:position w:val="0"/>
          <w:sz w:val="24"/>
          <w:szCs w:val="24"/>
        </w:rPr>
        <w:t>）没有招标人事先书面同意，中标人不得将由招标人提供的有关合同或任何合同条文、规格、计划、图纸、样品或资料提供给与履行本合同无关的任何其他人。即使向履行本合同有关的人员提供，也应注意保密并限于履行合同的必需范围。</w:t>
      </w:r>
    </w:p>
    <w:p>
      <w:pPr>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b w:val="0"/>
          <w:bCs w:val="0"/>
          <w:spacing w:val="0"/>
          <w:position w:val="0"/>
          <w:sz w:val="24"/>
          <w:szCs w:val="24"/>
        </w:rPr>
      </w:pP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lang w:val="en-US" w:eastAsia="zh-CN"/>
        </w:rPr>
        <w:t>10</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知识产权</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中标人应保证所提供的软件或其任何一部分均不会侵犯任何第三方的知识产权。本项目涉及的软件知识产权除核心源代码外均属于招标人所有。中标人应保证招标人在软件使用过程中免受第三方提出的侵权起诉。如发生此类纠纷，由中标人承担一切责任并负责解决。</w:t>
      </w:r>
    </w:p>
    <w:p>
      <w:pPr>
        <w:keepNext/>
        <w:keepLines/>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outlineLvl w:val="2"/>
        <w:rPr>
          <w:rFonts w:hint="eastAsia" w:ascii="仿宋" w:hAnsi="仿宋" w:eastAsia="仿宋" w:cs="仿宋"/>
          <w:spacing w:val="0"/>
          <w:position w:val="0"/>
          <w:sz w:val="24"/>
          <w:szCs w:val="24"/>
          <w:lang w:val="en-US" w:eastAsia="zh-CN"/>
        </w:rPr>
      </w:pPr>
      <w:r>
        <w:rPr>
          <w:rFonts w:hint="eastAsia" w:ascii="仿宋" w:hAnsi="仿宋" w:eastAsia="仿宋" w:cs="仿宋"/>
          <w:b w:val="0"/>
          <w:bCs w:val="0"/>
          <w:spacing w:val="0"/>
          <w:position w:val="0"/>
          <w:sz w:val="24"/>
          <w:szCs w:val="24"/>
          <w:lang w:val="en-US" w:eastAsia="zh-CN"/>
        </w:rPr>
        <w:t>（11）</w:t>
      </w:r>
      <w:r>
        <w:rPr>
          <w:rFonts w:hint="eastAsia" w:ascii="仿宋" w:hAnsi="仿宋" w:eastAsia="仿宋" w:cs="仿宋"/>
          <w:b w:val="0"/>
          <w:bCs w:val="0"/>
          <w:spacing w:val="0"/>
          <w:position w:val="0"/>
          <w:sz w:val="24"/>
          <w:szCs w:val="24"/>
        </w:rPr>
        <w:t>产权担保</w:t>
      </w:r>
      <w:r>
        <w:rPr>
          <w:rFonts w:hint="eastAsia" w:ascii="仿宋" w:hAnsi="仿宋" w:eastAsia="仿宋" w:cs="仿宋"/>
          <w:b w:val="0"/>
          <w:bCs w:val="0"/>
          <w:spacing w:val="0"/>
          <w:position w:val="0"/>
          <w:sz w:val="24"/>
          <w:szCs w:val="24"/>
          <w:lang w:eastAsia="zh-CN"/>
        </w:rPr>
        <w:t>：</w:t>
      </w:r>
      <w:r>
        <w:rPr>
          <w:rFonts w:hint="eastAsia" w:ascii="仿宋" w:hAnsi="仿宋" w:eastAsia="仿宋" w:cs="仿宋"/>
          <w:b w:val="0"/>
          <w:bCs w:val="0"/>
          <w:spacing w:val="0"/>
          <w:position w:val="0"/>
          <w:sz w:val="24"/>
          <w:szCs w:val="24"/>
        </w:rPr>
        <w:t>中标人开发中涉及的软件的所有权完全属于中标人，在交付在招标人后保证无任何抵押、查封、债务转移等产权瑕疵。</w:t>
      </w:r>
    </w:p>
    <w:p>
      <w:pPr>
        <w:pStyle w:val="4"/>
        <w:keepNext/>
        <w:keepLines/>
        <w:pageBreakBefore w:val="0"/>
        <w:widowControl w:val="0"/>
        <w:numPr>
          <w:ilvl w:val="0"/>
          <w:numId w:val="0"/>
        </w:numPr>
        <w:kinsoku/>
        <w:wordWrap/>
        <w:overflowPunct/>
        <w:topLinePunct w:val="0"/>
        <w:autoSpaceDE/>
        <w:autoSpaceDN/>
        <w:bidi w:val="0"/>
        <w:adjustRightInd/>
        <w:snapToGrid/>
        <w:spacing w:before="95" w:beforeLines="30" w:beforeAutospacing="0" w:after="95" w:afterLines="30" w:afterAutospacing="0" w:line="400" w:lineRule="exact"/>
        <w:ind w:leftChars="0"/>
        <w:jc w:val="left"/>
        <w:textAlignment w:val="auto"/>
        <w:outlineLvl w:val="0"/>
        <w:rPr>
          <w:rFonts w:hint="eastAsia" w:ascii="仿宋" w:hAnsi="仿宋" w:eastAsia="仿宋" w:cs="仿宋"/>
          <w:spacing w:val="0"/>
          <w:position w:val="0"/>
        </w:rPr>
      </w:pPr>
      <w:r>
        <w:rPr>
          <w:rFonts w:hint="eastAsia" w:ascii="仿宋" w:hAnsi="仿宋" w:eastAsia="仿宋" w:cs="仿宋"/>
          <w:spacing w:val="0"/>
          <w:position w:val="0"/>
          <w:sz w:val="28"/>
          <w:szCs w:val="28"/>
          <w:lang w:val="en-US" w:eastAsia="zh-CN"/>
        </w:rPr>
        <w:t>（六）</w:t>
      </w:r>
      <w:r>
        <w:rPr>
          <w:rFonts w:hint="eastAsia" w:ascii="仿宋" w:hAnsi="仿宋" w:eastAsia="仿宋" w:cs="仿宋"/>
          <w:spacing w:val="0"/>
          <w:position w:val="0"/>
          <w:sz w:val="28"/>
          <w:szCs w:val="28"/>
        </w:rPr>
        <w:t>售后服务</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color w:val="auto"/>
          <w:sz w:val="24"/>
          <w:szCs w:val="24"/>
          <w:highlight w:val="none"/>
        </w:rPr>
        <w:t>▲</w:t>
      </w: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.1</w:t>
      </w:r>
      <w:r>
        <w:rPr>
          <w:rFonts w:hint="eastAsia" w:ascii="仿宋" w:hAnsi="仿宋" w:eastAsia="仿宋" w:cs="仿宋"/>
          <w:spacing w:val="0"/>
          <w:position w:val="0"/>
          <w:sz w:val="24"/>
          <w:szCs w:val="24"/>
          <w:lang w:val="en-US" w:eastAsia="zh-CN"/>
        </w:rPr>
        <w:t xml:space="preserve"> </w:t>
      </w:r>
      <w:r>
        <w:rPr>
          <w:rFonts w:hint="eastAsia" w:ascii="仿宋" w:hAnsi="仿宋" w:eastAsia="仿宋" w:cs="仿宋"/>
          <w:spacing w:val="0"/>
          <w:position w:val="0"/>
          <w:sz w:val="24"/>
          <w:szCs w:val="24"/>
        </w:rPr>
        <w:t>维护服务期：投标人需提供维护服</w:t>
      </w:r>
      <w:r>
        <w:rPr>
          <w:rFonts w:hint="eastAsia" w:ascii="仿宋" w:hAnsi="仿宋" w:eastAsia="仿宋" w:cs="仿宋"/>
          <w:spacing w:val="0"/>
          <w:position w:val="0"/>
          <w:sz w:val="24"/>
          <w:szCs w:val="24"/>
          <w:highlight w:val="none"/>
        </w:rPr>
        <w:t>务期二年，硬件设备质保二年（</w:t>
      </w:r>
      <w:r>
        <w:rPr>
          <w:rFonts w:hint="eastAsia" w:ascii="仿宋" w:hAnsi="仿宋" w:eastAsia="仿宋" w:cs="仿宋"/>
          <w:spacing w:val="0"/>
          <w:position w:val="0"/>
          <w:sz w:val="24"/>
          <w:szCs w:val="24"/>
        </w:rPr>
        <w:t>提供原厂售后服务承诺函</w:t>
      </w:r>
      <w:bookmarkStart w:id="45" w:name="_GoBack"/>
      <w:bookmarkEnd w:id="45"/>
      <w:r>
        <w:rPr>
          <w:rFonts w:hint="eastAsia" w:ascii="仿宋" w:hAnsi="仿宋" w:eastAsia="仿宋" w:cs="仿宋"/>
          <w:spacing w:val="0"/>
          <w:position w:val="0"/>
          <w:sz w:val="24"/>
          <w:szCs w:val="24"/>
        </w:rPr>
        <w:t>和授权书盖原厂公章（并加盖投标人CA签章）），时间自最终验收合格并交付使用之日起计算。</w:t>
      </w:r>
      <w:r>
        <w:rPr>
          <w:rFonts w:hint="eastAsia" w:ascii="仿宋" w:hAnsi="仿宋" w:eastAsia="仿宋" w:cs="仿宋"/>
          <w:color w:val="auto"/>
          <w:spacing w:val="0"/>
          <w:position w:val="0"/>
          <w:sz w:val="24"/>
          <w:szCs w:val="24"/>
          <w:highlight w:val="none"/>
        </w:rPr>
        <w:t>质保期内每一个月巡检1次。</w:t>
      </w:r>
      <w:r>
        <w:rPr>
          <w:rFonts w:hint="eastAsia" w:ascii="仿宋" w:hAnsi="仿宋" w:eastAsia="仿宋" w:cs="仿宋"/>
          <w:spacing w:val="0"/>
          <w:position w:val="0"/>
          <w:sz w:val="24"/>
          <w:szCs w:val="24"/>
        </w:rPr>
        <w:t>质保期内所有设备免费上门维修服务、免费更换零部件，提供终身维护。质保期从产品验收合格之日起开始计算。质保期内，提供软件系统免费维护及升级服务，免费提供相应解决方案等技术支持。质保期内提供同版本软件免费客户化修改与免费升级服务。确保招标人使用软件和平台一直是行业内最新版本。并为用户后续的建设提供长期的技术支持。</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.2</w:t>
      </w:r>
      <w:r>
        <w:rPr>
          <w:rFonts w:hint="eastAsia" w:ascii="仿宋" w:hAnsi="仿宋" w:eastAsia="仿宋" w:cs="仿宋"/>
          <w:spacing w:val="0"/>
          <w:position w:val="0"/>
          <w:sz w:val="24"/>
          <w:szCs w:val="24"/>
          <w:lang w:val="en-US" w:eastAsia="zh-CN"/>
        </w:rPr>
        <w:t xml:space="preserve"> </w:t>
      </w:r>
      <w:r>
        <w:rPr>
          <w:rFonts w:hint="eastAsia" w:ascii="仿宋" w:hAnsi="仿宋" w:eastAsia="仿宋" w:cs="仿宋"/>
          <w:spacing w:val="0"/>
          <w:position w:val="0"/>
          <w:sz w:val="24"/>
          <w:szCs w:val="24"/>
        </w:rPr>
        <w:t>售后维护方面，需有定期回访、维护。保修条款严格按国家规定/厂商规定（两者取高标准为准）执行。</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3 售后服务、保修服务齐全，且均按有关国家标准规定执行。除特殊说明外，所有设备按原厂提供的要求保修。</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.4 在规定的服务期限内，中标人应提供系统维护所需的工作人员和材料，对产品进行定期或不定期的预防维护，使其系统保持良好的运行状态。</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提供的软件在质保期内因软件本身的质量问题发生故障，</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应负责免费更换。对达不到技术要求者，根据实际情况，经双方协商，可按以下办法处理：</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1）更换：由</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承担所发生的全部费用。</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2）退货处理：</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应退还</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支付的合同款，同时应承担该软件的直接费用（开发、检验、货款利息及银行手续费等）。</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.5 投标人应明确系统完善、免费维护期满后的维护方案和费用等。</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.6 中标人应提供完整的设备资料如设备说明书、系统设置与操作步骤等，应包含纸质资料与电子文档。</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.7 中标人要提供两次的免费培训（不限人数），保证</w:t>
      </w:r>
      <w:r>
        <w:rPr>
          <w:rFonts w:hint="eastAsia" w:ascii="仿宋" w:hAnsi="仿宋" w:eastAsia="仿宋" w:cs="仿宋"/>
          <w:spacing w:val="0"/>
          <w:position w:val="0"/>
          <w:sz w:val="24"/>
          <w:szCs w:val="24"/>
          <w:lang w:eastAsia="zh-CN"/>
        </w:rPr>
        <w:t>招标方和使用方</w:t>
      </w:r>
      <w:r>
        <w:rPr>
          <w:rFonts w:hint="eastAsia" w:ascii="仿宋" w:hAnsi="仿宋" w:eastAsia="仿宋" w:cs="仿宋"/>
          <w:spacing w:val="0"/>
          <w:position w:val="0"/>
          <w:sz w:val="24"/>
          <w:szCs w:val="24"/>
        </w:rPr>
        <w:t>技术人员</w:t>
      </w:r>
      <w:r>
        <w:rPr>
          <w:rFonts w:hint="eastAsia" w:ascii="仿宋" w:hAnsi="仿宋" w:eastAsia="仿宋" w:cs="仿宋"/>
          <w:spacing w:val="0"/>
          <w:position w:val="0"/>
          <w:sz w:val="24"/>
          <w:szCs w:val="24"/>
          <w:lang w:eastAsia="zh-CN"/>
        </w:rPr>
        <w:t>，设备使用人员</w:t>
      </w:r>
      <w:r>
        <w:rPr>
          <w:rFonts w:hint="eastAsia" w:ascii="仿宋" w:hAnsi="仿宋" w:eastAsia="仿宋" w:cs="仿宋"/>
          <w:spacing w:val="0"/>
          <w:position w:val="0"/>
          <w:sz w:val="24"/>
          <w:szCs w:val="24"/>
        </w:rPr>
        <w:t>达到熟练操作、维护的程度，能进行一般的日常维护管理和检修，并能够处理简单的软、硬件故障。</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w:t>
      </w:r>
      <w:r>
        <w:rPr>
          <w:rFonts w:hint="eastAsia" w:ascii="仿宋" w:hAnsi="仿宋" w:eastAsia="仿宋" w:cs="仿宋"/>
          <w:spacing w:val="0"/>
          <w:position w:val="0"/>
          <w:sz w:val="24"/>
          <w:szCs w:val="24"/>
          <w:highlight w:val="none"/>
        </w:rPr>
        <w:t>8 质保期内中标人提供7*24小时技术支持服务，在接到</w:t>
      </w:r>
      <w:r>
        <w:rPr>
          <w:rFonts w:hint="eastAsia" w:ascii="仿宋" w:hAnsi="仿宋" w:eastAsia="仿宋" w:cs="仿宋"/>
          <w:spacing w:val="0"/>
          <w:position w:val="0"/>
          <w:sz w:val="24"/>
          <w:szCs w:val="24"/>
          <w:highlight w:val="none"/>
          <w:lang w:eastAsia="zh-CN"/>
        </w:rPr>
        <w:t>设备或</w:t>
      </w:r>
      <w:r>
        <w:rPr>
          <w:rFonts w:hint="eastAsia" w:ascii="仿宋" w:hAnsi="仿宋" w:eastAsia="仿宋" w:cs="仿宋"/>
          <w:spacing w:val="0"/>
          <w:position w:val="0"/>
          <w:sz w:val="24"/>
          <w:szCs w:val="24"/>
          <w:highlight w:val="none"/>
        </w:rPr>
        <w:t>系统故障通知后，投标人必须在</w:t>
      </w:r>
      <w:r>
        <w:rPr>
          <w:rFonts w:hint="eastAsia" w:ascii="仿宋" w:hAnsi="仿宋" w:eastAsia="仿宋" w:cs="仿宋"/>
          <w:spacing w:val="0"/>
          <w:position w:val="0"/>
          <w:sz w:val="24"/>
          <w:szCs w:val="24"/>
          <w:highlight w:val="none"/>
          <w:lang w:val="en-US" w:eastAsia="zh-CN"/>
        </w:rPr>
        <w:t>15分钟</w:t>
      </w:r>
      <w:r>
        <w:rPr>
          <w:rFonts w:hint="eastAsia" w:ascii="仿宋" w:hAnsi="仿宋" w:eastAsia="仿宋" w:cs="仿宋"/>
          <w:spacing w:val="0"/>
          <w:position w:val="0"/>
          <w:sz w:val="24"/>
          <w:szCs w:val="24"/>
          <w:highlight w:val="none"/>
        </w:rPr>
        <w:t>内响应</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对于影响系统正常运行的严重故障（包括由系统原因引起的），投标人的相关</w:t>
      </w:r>
      <w:r>
        <w:rPr>
          <w:rFonts w:hint="eastAsia" w:ascii="仿宋" w:hAnsi="仿宋" w:eastAsia="仿宋" w:cs="仿宋"/>
          <w:spacing w:val="0"/>
          <w:position w:val="0"/>
          <w:sz w:val="24"/>
          <w:szCs w:val="24"/>
          <w:highlight w:val="none"/>
          <w:lang w:eastAsia="zh-CN"/>
        </w:rPr>
        <w:t>高级</w:t>
      </w:r>
      <w:r>
        <w:rPr>
          <w:rFonts w:hint="eastAsia" w:ascii="仿宋" w:hAnsi="仿宋" w:eastAsia="仿宋" w:cs="仿宋"/>
          <w:spacing w:val="0"/>
          <w:position w:val="0"/>
          <w:sz w:val="24"/>
          <w:szCs w:val="24"/>
          <w:highlight w:val="none"/>
        </w:rPr>
        <w:t>技术人员需在接到故障通知后</w:t>
      </w:r>
      <w:r>
        <w:rPr>
          <w:rFonts w:hint="eastAsia" w:ascii="仿宋" w:hAnsi="仿宋" w:eastAsia="仿宋" w:cs="仿宋"/>
          <w:spacing w:val="0"/>
          <w:position w:val="0"/>
          <w:sz w:val="24"/>
          <w:szCs w:val="24"/>
          <w:highlight w:val="none"/>
          <w:lang w:val="en-US" w:eastAsia="zh-CN"/>
        </w:rPr>
        <w:t>1</w:t>
      </w:r>
      <w:r>
        <w:rPr>
          <w:rFonts w:hint="eastAsia" w:ascii="仿宋" w:hAnsi="仿宋" w:eastAsia="仿宋" w:cs="仿宋"/>
          <w:spacing w:val="0"/>
          <w:position w:val="0"/>
          <w:sz w:val="24"/>
          <w:szCs w:val="24"/>
          <w:highlight w:val="none"/>
        </w:rPr>
        <w:t>小时内赶到现场，查找原因，提出解决方案，并工作直至故障修妥完全恢复正常工作为止，一般要求保证系统在24小时之内修复</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硬件产品</w:t>
      </w:r>
      <w:r>
        <w:rPr>
          <w:rFonts w:hint="eastAsia" w:ascii="仿宋" w:hAnsi="仿宋" w:eastAsia="仿宋" w:cs="仿宋"/>
          <w:spacing w:val="0"/>
          <w:position w:val="0"/>
          <w:sz w:val="24"/>
          <w:szCs w:val="24"/>
          <w:highlight w:val="none"/>
          <w:lang w:val="en-US" w:eastAsia="zh-CN"/>
        </w:rPr>
        <w:t>24</w:t>
      </w:r>
      <w:r>
        <w:rPr>
          <w:rFonts w:hint="eastAsia" w:ascii="仿宋" w:hAnsi="仿宋" w:eastAsia="仿宋" w:cs="仿宋"/>
          <w:spacing w:val="0"/>
          <w:position w:val="0"/>
          <w:sz w:val="24"/>
          <w:szCs w:val="24"/>
          <w:highlight w:val="none"/>
        </w:rPr>
        <w:t>小时内不能修复的需免费提供备品备件替用</w:t>
      </w:r>
      <w:r>
        <w:rPr>
          <w:rFonts w:hint="eastAsia" w:ascii="仿宋" w:hAnsi="仿宋" w:eastAsia="仿宋" w:cs="仿宋"/>
          <w:spacing w:val="0"/>
          <w:position w:val="0"/>
          <w:sz w:val="24"/>
          <w:szCs w:val="24"/>
        </w:rPr>
        <w:t>；系统软件提供终身免费升级，或提供代用件。要求供应商有完整的服务方案，服务方式应包括远程电话支持、远程网络支持、现场服务支持等方式，服务响应时间参照前面所述标准。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w:t>
      </w:r>
      <w:r>
        <w:rPr>
          <w:rFonts w:hint="eastAsia" w:ascii="仿宋" w:hAnsi="仿宋" w:eastAsia="仿宋" w:cs="仿宋"/>
          <w:spacing w:val="0"/>
          <w:position w:val="0"/>
          <w:sz w:val="24"/>
          <w:szCs w:val="24"/>
        </w:rPr>
        <w:t>.9 中标人应保证平台运作过程中采集到的所有数据及信息的安全性；保证数据及信息不外泄，不另作他用。如果因数据及信息外泄或另作他用而引发的第三方投诉、追诉、要求赔偿等纠纷而造成</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损失的，所有经济损失全部由</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负责承担。</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pacing w:val="0"/>
          <w:kern w:val="2"/>
          <w:position w:val="0"/>
          <w:sz w:val="24"/>
          <w:szCs w:val="24"/>
          <w:lang w:val="en-US" w:eastAsia="zh-CN" w:bidi="ar-SA"/>
        </w:rPr>
      </w:pPr>
      <w:r>
        <w:rPr>
          <w:rFonts w:hint="eastAsia" w:ascii="仿宋" w:hAnsi="仿宋" w:eastAsia="仿宋" w:cs="仿宋"/>
          <w:spacing w:val="0"/>
          <w:position w:val="0"/>
          <w:sz w:val="24"/>
          <w:szCs w:val="24"/>
          <w:lang w:val="en-US" w:eastAsia="zh-CN"/>
        </w:rPr>
        <w:t xml:space="preserve">6.10 </w:t>
      </w:r>
      <w:r>
        <w:rPr>
          <w:rFonts w:hint="eastAsia" w:ascii="仿宋" w:hAnsi="仿宋" w:eastAsia="仿宋" w:cs="仿宋"/>
          <w:spacing w:val="0"/>
          <w:position w:val="0"/>
          <w:sz w:val="24"/>
          <w:szCs w:val="24"/>
        </w:rPr>
        <w:t>供应商必须有可靠的售后服务保障包括但不限于在</w:t>
      </w:r>
      <w:r>
        <w:rPr>
          <w:rFonts w:hint="eastAsia" w:ascii="仿宋" w:hAnsi="仿宋" w:eastAsia="仿宋" w:cs="仿宋"/>
          <w:spacing w:val="0"/>
          <w:position w:val="0"/>
          <w:sz w:val="24"/>
          <w:szCs w:val="24"/>
          <w:lang w:val="en-US" w:eastAsia="zh-CN"/>
        </w:rPr>
        <w:t>诸暨市</w:t>
      </w:r>
      <w:r>
        <w:rPr>
          <w:rFonts w:hint="eastAsia" w:ascii="仿宋" w:hAnsi="仿宋" w:eastAsia="仿宋" w:cs="仿宋"/>
          <w:spacing w:val="0"/>
          <w:position w:val="0"/>
          <w:sz w:val="24"/>
          <w:szCs w:val="24"/>
        </w:rPr>
        <w:t>附近有固定的维修服务点，能提供正常的技术</w:t>
      </w:r>
      <w:r>
        <w:rPr>
          <w:rFonts w:hint="eastAsia" w:ascii="仿宋" w:hAnsi="仿宋" w:eastAsia="仿宋" w:cs="仿宋"/>
          <w:spacing w:val="0"/>
          <w:position w:val="0"/>
          <w:sz w:val="24"/>
          <w:szCs w:val="24"/>
          <w:lang w:val="en-US" w:eastAsia="zh-CN"/>
        </w:rPr>
        <w:t>服务</w:t>
      </w:r>
      <w:r>
        <w:rPr>
          <w:rFonts w:hint="eastAsia" w:ascii="仿宋" w:hAnsi="仿宋" w:eastAsia="仿宋" w:cs="仿宋"/>
          <w:spacing w:val="0"/>
          <w:position w:val="0"/>
          <w:sz w:val="24"/>
          <w:szCs w:val="24"/>
        </w:rPr>
        <w:t>。供应商应提供详细的项目实施方案，说明项目的实施计划、实施过程、质量控制措施、成功保障措施、项目完成后交付的成果文档以及其它认为需要说明的内容。</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highlight w:val="none"/>
          <w:lang w:val="en-US" w:eastAsia="zh-CN"/>
        </w:rPr>
      </w:pPr>
      <w:r>
        <w:rPr>
          <w:rFonts w:hint="eastAsia" w:ascii="仿宋" w:hAnsi="仿宋" w:eastAsia="仿宋" w:cs="仿宋"/>
          <w:b/>
          <w:spacing w:val="0"/>
          <w:position w:val="0"/>
          <w:sz w:val="24"/>
          <w:szCs w:val="24"/>
          <w:highlight w:val="none"/>
          <w:u w:val="none"/>
        </w:rPr>
        <w:t>★</w:t>
      </w:r>
      <w:r>
        <w:rPr>
          <w:rFonts w:hint="eastAsia" w:ascii="仿宋" w:hAnsi="仿宋" w:eastAsia="仿宋" w:cs="仿宋"/>
          <w:spacing w:val="0"/>
          <w:position w:val="0"/>
          <w:sz w:val="24"/>
          <w:szCs w:val="24"/>
          <w:highlight w:val="none"/>
          <w:lang w:val="en-US" w:eastAsia="zh-CN"/>
        </w:rPr>
        <w:t>6</w:t>
      </w:r>
      <w:r>
        <w:rPr>
          <w:rFonts w:hint="eastAsia" w:ascii="仿宋" w:hAnsi="仿宋" w:eastAsia="仿宋" w:cs="仿宋"/>
          <w:spacing w:val="0"/>
          <w:position w:val="0"/>
          <w:sz w:val="24"/>
          <w:szCs w:val="24"/>
          <w:highlight w:val="none"/>
        </w:rPr>
        <w:t>.1</w:t>
      </w:r>
      <w:r>
        <w:rPr>
          <w:rFonts w:hint="eastAsia" w:ascii="仿宋" w:hAnsi="仿宋" w:eastAsia="仿宋" w:cs="仿宋"/>
          <w:spacing w:val="0"/>
          <w:position w:val="0"/>
          <w:sz w:val="24"/>
          <w:szCs w:val="24"/>
          <w:highlight w:val="none"/>
          <w:lang w:val="en-US" w:eastAsia="zh-CN"/>
        </w:rPr>
        <w:t>1本项目2年内设备故障免费质保。</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w:t>
      </w:r>
      <w:r>
        <w:rPr>
          <w:rFonts w:hint="eastAsia" w:ascii="仿宋" w:hAnsi="仿宋" w:eastAsia="仿宋" w:cs="仿宋"/>
          <w:spacing w:val="0"/>
          <w:position w:val="0"/>
          <w:sz w:val="24"/>
          <w:szCs w:val="24"/>
          <w:lang w:val="en-US" w:eastAsia="zh-CN"/>
        </w:rPr>
        <w:t>6.12</w:t>
      </w:r>
      <w:r>
        <w:rPr>
          <w:rFonts w:hint="eastAsia" w:ascii="仿宋" w:hAnsi="仿宋" w:eastAsia="仿宋" w:cs="仿宋"/>
          <w:spacing w:val="0"/>
          <w:position w:val="0"/>
          <w:sz w:val="24"/>
          <w:szCs w:val="24"/>
        </w:rPr>
        <w:t>中标人须无偿开发相关端口和相关协议，配合后续相关软件厂商做对接。中标人还需无偿为第三方APP、小程序或机顶盒等终端提供接口服务，并配合第三方APP、小程序或机顶盒等终端厂商完成接口服务相关功能的开发和调试。</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6.13</w:t>
      </w:r>
      <w:r>
        <w:rPr>
          <w:rFonts w:hint="eastAsia" w:ascii="仿宋" w:hAnsi="仿宋" w:eastAsia="仿宋" w:cs="仿宋"/>
          <w:spacing w:val="0"/>
          <w:position w:val="0"/>
          <w:sz w:val="24"/>
          <w:szCs w:val="24"/>
        </w:rPr>
        <w:t>投标人须做出无推诿承诺。即投标人应提供特殊措施，无论由于哪一方产生的问题而使系统发生不正常情况时，并在得到买方商通知后，须立即派遣工程师到场，全力协助系统集成商和其他供应商，使系统尽快恢复正常。</w:t>
      </w:r>
    </w:p>
    <w:p>
      <w:pPr>
        <w:pStyle w:val="32"/>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pacing w:val="0"/>
          <w:kern w:val="2"/>
          <w:position w:val="0"/>
          <w:sz w:val="24"/>
          <w:szCs w:val="24"/>
        </w:rPr>
      </w:pPr>
      <w:r>
        <w:rPr>
          <w:rFonts w:hint="eastAsia" w:ascii="仿宋" w:hAnsi="仿宋" w:eastAsia="仿宋" w:cs="仿宋"/>
          <w:spacing w:val="0"/>
          <w:kern w:val="2"/>
          <w:position w:val="0"/>
          <w:sz w:val="24"/>
          <w:szCs w:val="24"/>
          <w:lang w:val="en-US" w:eastAsia="zh-CN"/>
        </w:rPr>
        <w:t>6.14</w:t>
      </w:r>
      <w:r>
        <w:rPr>
          <w:rFonts w:hint="eastAsia" w:ascii="仿宋" w:hAnsi="仿宋" w:eastAsia="仿宋" w:cs="仿宋"/>
          <w:spacing w:val="0"/>
          <w:kern w:val="2"/>
          <w:position w:val="0"/>
          <w:sz w:val="24"/>
          <w:szCs w:val="24"/>
        </w:rPr>
        <w:t>中标人需按照招标人要求提供用户使用报告。</w:t>
      </w:r>
    </w:p>
    <w:p>
      <w:pPr>
        <w:pStyle w:val="32"/>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6.15</w:t>
      </w:r>
      <w:r>
        <w:rPr>
          <w:rFonts w:hint="eastAsia" w:ascii="仿宋" w:hAnsi="仿宋" w:eastAsia="仿宋" w:cs="仿宋"/>
          <w:spacing w:val="0"/>
          <w:position w:val="0"/>
          <w:sz w:val="24"/>
          <w:szCs w:val="24"/>
        </w:rPr>
        <w:t>中标单位要及时提供新建站点接入平台及数据库的服务，并为日后与其他系统的对接改造提供技术支持。</w:t>
      </w:r>
    </w:p>
    <w:p>
      <w:pPr>
        <w:pStyle w:val="4"/>
        <w:keepNext/>
        <w:keepLines/>
        <w:pageBreakBefore w:val="0"/>
        <w:widowControl w:val="0"/>
        <w:numPr>
          <w:ilvl w:val="0"/>
          <w:numId w:val="0"/>
        </w:numPr>
        <w:kinsoku/>
        <w:wordWrap/>
        <w:overflowPunct/>
        <w:topLinePunct w:val="0"/>
        <w:autoSpaceDE/>
        <w:autoSpaceDN/>
        <w:bidi w:val="0"/>
        <w:adjustRightInd/>
        <w:snapToGrid/>
        <w:spacing w:before="95" w:beforeLines="30" w:beforeAutospacing="0" w:after="95" w:afterLines="30" w:afterAutospacing="0" w:line="400" w:lineRule="exact"/>
        <w:ind w:leftChars="0"/>
        <w:jc w:val="left"/>
        <w:textAlignment w:val="auto"/>
        <w:outlineLvl w:val="0"/>
        <w:rPr>
          <w:rFonts w:hint="eastAsia" w:ascii="仿宋" w:hAnsi="仿宋" w:eastAsia="仿宋" w:cs="仿宋"/>
          <w:spacing w:val="0"/>
          <w:position w:val="0"/>
        </w:rPr>
      </w:pPr>
      <w:r>
        <w:rPr>
          <w:rFonts w:hint="eastAsia" w:ascii="仿宋" w:hAnsi="仿宋" w:eastAsia="仿宋" w:cs="仿宋"/>
          <w:spacing w:val="0"/>
          <w:position w:val="0"/>
          <w:sz w:val="28"/>
          <w:szCs w:val="28"/>
          <w:lang w:val="en-US" w:eastAsia="zh-CN"/>
        </w:rPr>
        <w:t>（七）</w:t>
      </w:r>
      <w:r>
        <w:rPr>
          <w:rFonts w:hint="eastAsia" w:ascii="仿宋" w:hAnsi="仿宋" w:eastAsia="仿宋" w:cs="仿宋"/>
          <w:spacing w:val="0"/>
          <w:position w:val="0"/>
          <w:sz w:val="28"/>
          <w:szCs w:val="28"/>
        </w:rPr>
        <w:t>保密义务</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7.1</w:t>
      </w:r>
      <w:r>
        <w:rPr>
          <w:rFonts w:hint="eastAsia" w:ascii="仿宋" w:hAnsi="仿宋" w:eastAsia="仿宋" w:cs="仿宋"/>
          <w:spacing w:val="0"/>
          <w:position w:val="0"/>
          <w:sz w:val="24"/>
          <w:szCs w:val="24"/>
        </w:rPr>
        <w:t>双方应严格保守在合作过程中所了解的对方的商业及技术机密，否则应对由此造成的损失承担赔偿。</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7.2</w:t>
      </w:r>
      <w:r>
        <w:rPr>
          <w:rFonts w:hint="eastAsia" w:ascii="仿宋" w:hAnsi="仿宋" w:eastAsia="仿宋" w:cs="仿宋"/>
          <w:spacing w:val="0"/>
          <w:position w:val="0"/>
          <w:sz w:val="24"/>
          <w:szCs w:val="24"/>
        </w:rPr>
        <w:t>任何一方不得出于除履行本合同以外的任何目的的披露、传播、复制或使用来自另一方的所有或者部分保密信息；不得在未经另一方书面明确同意的前提下向任何第三方披露本项目相关保密信息；本合同履行完毕后，任一方应当将所有涉及保密信息的载体交还另一方或自行做好管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7.3</w:t>
      </w:r>
      <w:r>
        <w:rPr>
          <w:rFonts w:hint="eastAsia" w:ascii="仿宋" w:hAnsi="仿宋" w:eastAsia="仿宋" w:cs="仿宋"/>
          <w:spacing w:val="0"/>
          <w:position w:val="0"/>
          <w:sz w:val="24"/>
          <w:szCs w:val="24"/>
        </w:rPr>
        <w:t>中标人应严格遵循招标人各项安全保密制度，所有信息数据迁移、处理等过程中严禁私自复制、传输，完成建设任务后，中标人使用的用户信息等敏感数据必须物理清除。</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7.4</w:t>
      </w:r>
      <w:r>
        <w:rPr>
          <w:rFonts w:hint="eastAsia" w:ascii="仿宋" w:hAnsi="仿宋" w:eastAsia="仿宋" w:cs="仿宋"/>
          <w:spacing w:val="0"/>
          <w:position w:val="0"/>
          <w:sz w:val="24"/>
          <w:szCs w:val="24"/>
        </w:rPr>
        <w:t>中标人有义务保障平台的稳定性、账户的安全性，因平台崩溃、账户盗号或被攻击发布非法信息等引发的问题，所有经济责任及法律责任均由中标人承担。</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7.5</w:t>
      </w:r>
      <w:r>
        <w:rPr>
          <w:rFonts w:hint="eastAsia" w:ascii="仿宋" w:hAnsi="仿宋" w:eastAsia="仿宋" w:cs="仿宋"/>
          <w:spacing w:val="0"/>
          <w:position w:val="0"/>
          <w:sz w:val="24"/>
          <w:szCs w:val="24"/>
        </w:rPr>
        <w:t>中标人应保障平台运作过程中采集到的所有数据及信息的安全性；保证数据及信息不外泄，不另作他用。如果因数据及信息外泄或另作他用而引发的第三方投诉、追诉、要求赔偿等纠纷而造成招标人损失的，所有经济损失全部由中标人负责承担。</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7.6</w:t>
      </w:r>
      <w:r>
        <w:rPr>
          <w:rFonts w:hint="eastAsia" w:ascii="仿宋" w:hAnsi="仿宋" w:eastAsia="仿宋" w:cs="仿宋"/>
          <w:spacing w:val="0"/>
          <w:position w:val="0"/>
          <w:sz w:val="24"/>
          <w:szCs w:val="24"/>
        </w:rPr>
        <w:t>不论本合同是否变更、解除、终止，本条款均有效。</w:t>
      </w:r>
    </w:p>
    <w:p>
      <w:pPr>
        <w:pStyle w:val="4"/>
        <w:keepNext/>
        <w:keepLines/>
        <w:pageBreakBefore w:val="0"/>
        <w:widowControl w:val="0"/>
        <w:numPr>
          <w:ilvl w:val="0"/>
          <w:numId w:val="0"/>
        </w:numPr>
        <w:kinsoku/>
        <w:wordWrap/>
        <w:overflowPunct/>
        <w:topLinePunct w:val="0"/>
        <w:autoSpaceDE/>
        <w:autoSpaceDN/>
        <w:bidi w:val="0"/>
        <w:adjustRightInd/>
        <w:snapToGrid/>
        <w:spacing w:before="95" w:beforeLines="30" w:beforeAutospacing="0" w:after="95" w:afterLines="30" w:afterAutospacing="0" w:line="400" w:lineRule="exact"/>
        <w:ind w:leftChars="0"/>
        <w:jc w:val="left"/>
        <w:textAlignment w:val="auto"/>
        <w:outlineLvl w:val="0"/>
        <w:rPr>
          <w:rFonts w:hint="eastAsia" w:ascii="仿宋" w:hAnsi="仿宋" w:eastAsia="仿宋" w:cs="仿宋"/>
          <w:spacing w:val="0"/>
          <w:position w:val="0"/>
          <w:lang w:val="zh-CN"/>
        </w:rPr>
      </w:pPr>
      <w:r>
        <w:rPr>
          <w:rFonts w:hint="eastAsia" w:ascii="仿宋" w:hAnsi="仿宋" w:eastAsia="仿宋" w:cs="仿宋"/>
          <w:spacing w:val="0"/>
          <w:position w:val="0"/>
          <w:sz w:val="28"/>
          <w:szCs w:val="28"/>
          <w:lang w:val="en-US" w:eastAsia="zh-CN"/>
        </w:rPr>
        <w:t>（八）</w:t>
      </w:r>
      <w:r>
        <w:rPr>
          <w:rFonts w:hint="eastAsia" w:ascii="仿宋" w:hAnsi="仿宋" w:eastAsia="仿宋" w:cs="仿宋"/>
          <w:spacing w:val="0"/>
          <w:position w:val="0"/>
          <w:sz w:val="28"/>
          <w:szCs w:val="28"/>
          <w:lang w:val="zh-CN"/>
        </w:rPr>
        <w:t>违约责任</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8.1</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无正当理由拒收项目的，</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向</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偿付拒收合同总额的百分之五违约金。</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8.2</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无故逾期验收,</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应按逾期付款总额每日万分之五向</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支付违约金。</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8.3</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逾期提交阶段产物的，</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应按照合同总额每日万分之五向</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支付违约金，由</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从履约保证金中扣除。逾期超过约定日期30个工作日不能提交阶段产物的，</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有权保留进一步追究</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违约责任的权力。</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提交的阶段产物如不能通过评审或验收的，视同未提交。</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因逾期交货或因其他违约行为导致</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与最终用户解除合同的，</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应向</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支付合同总值5%的违约金，如造成</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损失超过违约金的，超出部分由</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 xml:space="preserve">继续承担赔偿责任。 </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8.4</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所交的项目规格、技术参数、质量不符合合同规定及招标文件规定标准的，</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有权拒收该项目，</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愿意更换但逾期交货的，按</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逾期处理。</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拒绝更换的，</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可单方面解除合同。</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8.5</w:t>
      </w:r>
      <w:r>
        <w:rPr>
          <w:rFonts w:hint="eastAsia" w:ascii="仿宋" w:hAnsi="仿宋" w:eastAsia="仿宋" w:cs="仿宋"/>
          <w:spacing w:val="0"/>
          <w:position w:val="0"/>
          <w:sz w:val="24"/>
          <w:szCs w:val="24"/>
        </w:rPr>
        <w:t>项目实施过程中需100%保证采购需求里面的内容，在未</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同意中途不得更换，否则</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有权根据实际情况扣除项目开发费</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保证项目开发的高标准。</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8.6</w:t>
      </w:r>
      <w:r>
        <w:rPr>
          <w:rFonts w:hint="eastAsia" w:ascii="仿宋" w:hAnsi="仿宋" w:eastAsia="仿宋" w:cs="仿宋"/>
          <w:spacing w:val="0"/>
          <w:position w:val="0"/>
          <w:sz w:val="24"/>
          <w:szCs w:val="24"/>
        </w:rPr>
        <w:t>在系统上线运行后，如因</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技术原因导致系统重大故障的，</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有权保留进一步追究</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的违约责任的权力。</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8.7</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未能在质保</w:t>
      </w:r>
      <w:r>
        <w:rPr>
          <w:rFonts w:hint="eastAsia" w:ascii="仿宋" w:hAnsi="仿宋" w:eastAsia="仿宋" w:cs="仿宋"/>
          <w:spacing w:val="0"/>
          <w:position w:val="0"/>
          <w:sz w:val="24"/>
          <w:szCs w:val="24"/>
          <w:lang w:eastAsia="zh-CN"/>
        </w:rPr>
        <w:t>维护</w:t>
      </w:r>
      <w:r>
        <w:rPr>
          <w:rFonts w:hint="eastAsia" w:ascii="仿宋" w:hAnsi="仿宋" w:eastAsia="仿宋" w:cs="仿宋"/>
          <w:spacing w:val="0"/>
          <w:position w:val="0"/>
          <w:sz w:val="24"/>
          <w:szCs w:val="24"/>
        </w:rPr>
        <w:t>期内按要求及时提供技术支持和故障维护，每次支付5000元违约金，如因</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原因未能及时提供技术支持或故障维护而引起的安全责任事故，所有经济责任及法律责任均由</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承担。</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8.8</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在本合同</w:t>
      </w:r>
      <w:r>
        <w:rPr>
          <w:rFonts w:hint="eastAsia" w:ascii="仿宋" w:hAnsi="仿宋" w:eastAsia="仿宋" w:cs="仿宋"/>
          <w:spacing w:val="0"/>
          <w:position w:val="0"/>
          <w:sz w:val="24"/>
          <w:szCs w:val="24"/>
          <w:lang w:val="en-US" w:eastAsia="zh-CN"/>
        </w:rPr>
        <w:t>2</w:t>
      </w:r>
      <w:r>
        <w:rPr>
          <w:rFonts w:hint="eastAsia" w:ascii="仿宋" w:hAnsi="仿宋" w:eastAsia="仿宋" w:cs="仿宋"/>
          <w:spacing w:val="0"/>
          <w:position w:val="0"/>
          <w:sz w:val="24"/>
          <w:szCs w:val="24"/>
        </w:rPr>
        <w:t>年质保期内有新版本更新后，未能及时在新版本出现在1个月内给与更新，则按每次版本升级</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向</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支付合同总值10%的违约金。</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8.9</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在本合同期内未按</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要求提供用户使用报告。则</w:t>
      </w:r>
      <w:r>
        <w:rPr>
          <w:rFonts w:hint="eastAsia" w:ascii="仿宋" w:hAnsi="仿宋" w:eastAsia="仿宋" w:cs="仿宋"/>
          <w:spacing w:val="0"/>
          <w:position w:val="0"/>
          <w:sz w:val="24"/>
          <w:szCs w:val="24"/>
          <w:lang w:eastAsia="zh-CN"/>
        </w:rPr>
        <w:t>中标供应商</w:t>
      </w:r>
      <w:r>
        <w:rPr>
          <w:rFonts w:hint="eastAsia" w:ascii="仿宋" w:hAnsi="仿宋" w:eastAsia="仿宋" w:cs="仿宋"/>
          <w:spacing w:val="0"/>
          <w:position w:val="0"/>
          <w:sz w:val="24"/>
          <w:szCs w:val="24"/>
        </w:rPr>
        <w:t>需向</w:t>
      </w:r>
      <w:r>
        <w:rPr>
          <w:rFonts w:hint="eastAsia" w:ascii="仿宋" w:hAnsi="仿宋" w:eastAsia="仿宋" w:cs="仿宋"/>
          <w:spacing w:val="0"/>
          <w:position w:val="0"/>
          <w:sz w:val="24"/>
          <w:szCs w:val="24"/>
          <w:lang w:eastAsia="zh-CN"/>
        </w:rPr>
        <w:t>采购人</w:t>
      </w:r>
      <w:r>
        <w:rPr>
          <w:rFonts w:hint="eastAsia" w:ascii="仿宋" w:hAnsi="仿宋" w:eastAsia="仿宋" w:cs="仿宋"/>
          <w:spacing w:val="0"/>
          <w:position w:val="0"/>
          <w:sz w:val="24"/>
          <w:szCs w:val="24"/>
        </w:rPr>
        <w:t>支付合同总值的5%的违约金。</w:t>
      </w:r>
    </w:p>
    <w:p>
      <w:pPr>
        <w:pStyle w:val="4"/>
        <w:keepNext/>
        <w:keepLines/>
        <w:pageBreakBefore w:val="0"/>
        <w:widowControl w:val="0"/>
        <w:numPr>
          <w:ilvl w:val="0"/>
          <w:numId w:val="0"/>
        </w:numPr>
        <w:kinsoku/>
        <w:wordWrap/>
        <w:overflowPunct/>
        <w:topLinePunct w:val="0"/>
        <w:autoSpaceDE/>
        <w:autoSpaceDN/>
        <w:bidi w:val="0"/>
        <w:adjustRightInd/>
        <w:snapToGrid/>
        <w:spacing w:before="95" w:beforeLines="30" w:beforeAutospacing="0" w:after="95" w:afterLines="30" w:afterAutospacing="0" w:line="400" w:lineRule="exact"/>
        <w:ind w:leftChars="0"/>
        <w:jc w:val="left"/>
        <w:textAlignment w:val="auto"/>
        <w:outlineLvl w:val="0"/>
        <w:rPr>
          <w:rFonts w:hint="eastAsia" w:ascii="仿宋" w:hAnsi="仿宋" w:eastAsia="仿宋" w:cs="仿宋"/>
          <w:spacing w:val="0"/>
          <w:position w:val="0"/>
          <w:lang w:val="zh-CN"/>
        </w:rPr>
      </w:pPr>
      <w:r>
        <w:rPr>
          <w:rFonts w:hint="eastAsia" w:ascii="仿宋" w:hAnsi="仿宋" w:eastAsia="仿宋" w:cs="仿宋"/>
          <w:spacing w:val="0"/>
          <w:position w:val="0"/>
          <w:sz w:val="28"/>
          <w:szCs w:val="28"/>
          <w:lang w:val="en-US" w:eastAsia="zh-CN"/>
        </w:rPr>
        <w:t>（九）</w:t>
      </w:r>
      <w:r>
        <w:rPr>
          <w:rFonts w:hint="eastAsia" w:ascii="仿宋" w:hAnsi="仿宋" w:eastAsia="仿宋" w:cs="仿宋"/>
          <w:spacing w:val="0"/>
          <w:position w:val="0"/>
          <w:sz w:val="28"/>
          <w:szCs w:val="28"/>
          <w:lang w:val="zh-CN"/>
        </w:rPr>
        <w:t>其他要求</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9</w:t>
      </w:r>
      <w:r>
        <w:rPr>
          <w:rFonts w:hint="eastAsia" w:ascii="仿宋" w:hAnsi="仿宋" w:eastAsia="仿宋" w:cs="仿宋"/>
          <w:spacing w:val="0"/>
          <w:position w:val="0"/>
          <w:sz w:val="24"/>
          <w:szCs w:val="24"/>
        </w:rPr>
        <w:t>.1 特别说明:</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highlight w:val="yellow"/>
          <w:lang w:val="en-US" w:eastAsia="zh-CN"/>
        </w:rPr>
      </w:pPr>
      <w:r>
        <w:rPr>
          <w:rFonts w:hint="eastAsia" w:ascii="仿宋" w:hAnsi="仿宋" w:eastAsia="仿宋" w:cs="仿宋"/>
          <w:spacing w:val="0"/>
          <w:position w:val="0"/>
          <w:sz w:val="24"/>
          <w:szCs w:val="24"/>
        </w:rPr>
        <w:t>标注为★是必须实质性响应，不满足则做废标处理。</w:t>
      </w:r>
      <w:r>
        <w:rPr>
          <w:rFonts w:hint="eastAsia" w:ascii="仿宋" w:hAnsi="仿宋" w:eastAsia="仿宋" w:cs="仿宋"/>
          <w:color w:val="auto"/>
          <w:spacing w:val="0"/>
          <w:position w:val="0"/>
          <w:sz w:val="24"/>
          <w:szCs w:val="24"/>
          <w:highlight w:val="none"/>
        </w:rPr>
        <w:t>设备质保期为</w:t>
      </w:r>
      <w:r>
        <w:rPr>
          <w:rFonts w:hint="eastAsia" w:ascii="仿宋" w:hAnsi="仿宋" w:eastAsia="仿宋" w:cs="仿宋"/>
          <w:color w:val="auto"/>
          <w:spacing w:val="0"/>
          <w:position w:val="0"/>
          <w:sz w:val="24"/>
          <w:szCs w:val="24"/>
          <w:highlight w:val="none"/>
          <w:lang w:val="en-US" w:eastAsia="zh-CN"/>
        </w:rPr>
        <w:t>2</w:t>
      </w:r>
      <w:r>
        <w:rPr>
          <w:rFonts w:hint="eastAsia" w:ascii="仿宋" w:hAnsi="仿宋" w:eastAsia="仿宋" w:cs="仿宋"/>
          <w:color w:val="auto"/>
          <w:spacing w:val="0"/>
          <w:position w:val="0"/>
          <w:sz w:val="24"/>
          <w:szCs w:val="24"/>
          <w:highlight w:val="none"/>
        </w:rPr>
        <w:t>年。</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中标的供应商实际供货量由招标方选定供货量。</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9</w:t>
      </w:r>
      <w:r>
        <w:rPr>
          <w:rFonts w:hint="eastAsia" w:ascii="仿宋" w:hAnsi="仿宋" w:eastAsia="仿宋" w:cs="仿宋"/>
          <w:spacing w:val="0"/>
          <w:position w:val="0"/>
          <w:sz w:val="24"/>
          <w:szCs w:val="24"/>
        </w:rPr>
        <w:t>.2 供货及安装调试时间要求：</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所有工程项目需按招标方要求安装调试完成，具体以招标方公函为准（招标方原因除外）。</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9</w:t>
      </w:r>
      <w:r>
        <w:rPr>
          <w:rFonts w:hint="eastAsia" w:ascii="仿宋" w:hAnsi="仿宋" w:eastAsia="仿宋" w:cs="仿宋"/>
          <w:spacing w:val="0"/>
          <w:position w:val="0"/>
          <w:sz w:val="24"/>
          <w:szCs w:val="24"/>
        </w:rPr>
        <w:t>.3 验收方式</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按照国家相关质量标准、技术规范要求、合同规定的验收标准及招、投标文件的要求，招标方组织相关部门、人员进行验收。</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9</w:t>
      </w:r>
      <w:r>
        <w:rPr>
          <w:rFonts w:hint="eastAsia" w:ascii="仿宋" w:hAnsi="仿宋" w:eastAsia="仿宋" w:cs="仿宋"/>
          <w:spacing w:val="0"/>
          <w:position w:val="0"/>
          <w:sz w:val="24"/>
          <w:szCs w:val="24"/>
        </w:rPr>
        <w:t>.4 投标报价</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投标人以人民币报价且投标报价含设备费、运至买方指定地点的运输费、</w:t>
      </w:r>
      <w:r>
        <w:rPr>
          <w:rFonts w:hint="eastAsia" w:ascii="仿宋" w:hAnsi="仿宋" w:eastAsia="仿宋" w:cs="仿宋"/>
          <w:spacing w:val="0"/>
          <w:position w:val="0"/>
          <w:sz w:val="24"/>
          <w:szCs w:val="24"/>
          <w:lang w:eastAsia="zh-CN"/>
        </w:rPr>
        <w:t>原车设备拆除、</w:t>
      </w:r>
      <w:r>
        <w:rPr>
          <w:rFonts w:hint="eastAsia" w:ascii="仿宋" w:hAnsi="仿宋" w:eastAsia="仿宋" w:cs="仿宋"/>
          <w:spacing w:val="0"/>
          <w:position w:val="0"/>
          <w:sz w:val="24"/>
          <w:szCs w:val="24"/>
        </w:rPr>
        <w:t>保险费、伴随服务费、调试费用、软件、上线、软件升级、培训、售后服务等一切费用，报价方式为交钥匙价格。</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9</w:t>
      </w:r>
      <w:r>
        <w:rPr>
          <w:rFonts w:hint="eastAsia" w:ascii="仿宋" w:hAnsi="仿宋" w:eastAsia="仿宋" w:cs="仿宋"/>
          <w:spacing w:val="0"/>
          <w:position w:val="0"/>
          <w:sz w:val="24"/>
          <w:szCs w:val="24"/>
        </w:rPr>
        <w:t>.5 履约保证金</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签订合同前，中标人需向采购单位缴纳合同金额</w:t>
      </w:r>
      <w:r>
        <w:rPr>
          <w:rFonts w:hint="eastAsia" w:ascii="仿宋" w:hAnsi="仿宋" w:eastAsia="仿宋" w:cs="仿宋"/>
          <w:spacing w:val="0"/>
          <w:position w:val="0"/>
          <w:sz w:val="24"/>
          <w:szCs w:val="24"/>
          <w:lang w:val="en-US" w:eastAsia="zh-CN"/>
        </w:rPr>
        <w:t>1</w:t>
      </w:r>
      <w:r>
        <w:rPr>
          <w:rFonts w:hint="eastAsia" w:ascii="仿宋" w:hAnsi="仿宋" w:eastAsia="仿宋" w:cs="仿宋"/>
          <w:spacing w:val="0"/>
          <w:position w:val="0"/>
          <w:sz w:val="24"/>
          <w:szCs w:val="24"/>
        </w:rPr>
        <w:t>%的履约保证金，项目整体验收合格无任何问题一个月内退回，不计息。</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9</w:t>
      </w:r>
      <w:r>
        <w:rPr>
          <w:rFonts w:hint="eastAsia" w:ascii="仿宋" w:hAnsi="仿宋" w:eastAsia="仿宋" w:cs="仿宋"/>
          <w:spacing w:val="0"/>
          <w:position w:val="0"/>
          <w:sz w:val="24"/>
          <w:szCs w:val="24"/>
        </w:rPr>
        <w:t>.6 工期</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spacing w:val="0"/>
          <w:kern w:val="2"/>
          <w:position w:val="0"/>
          <w:sz w:val="24"/>
          <w:szCs w:val="24"/>
          <w:lang w:val="en-US" w:eastAsia="zh-CN" w:bidi="ar-SA"/>
        </w:rPr>
      </w:pPr>
      <w:r>
        <w:rPr>
          <w:rFonts w:hint="eastAsia" w:ascii="仿宋" w:hAnsi="仿宋" w:eastAsia="仿宋" w:cs="仿宋"/>
          <w:spacing w:val="0"/>
          <w:kern w:val="2"/>
          <w:position w:val="0"/>
          <w:sz w:val="24"/>
          <w:szCs w:val="24"/>
          <w:lang w:val="en-US" w:eastAsia="zh-CN" w:bidi="ar-SA"/>
        </w:rPr>
        <w:t>合同签订后120天内完成安装调试，所有系统测试完毕正常运行后可进行最终验收。中标方提交相关资料后，由招标方组织验收。</w:t>
      </w:r>
    </w:p>
    <w:p>
      <w:pPr>
        <w:pStyle w:val="37"/>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9</w:t>
      </w:r>
      <w:r>
        <w:rPr>
          <w:rFonts w:hint="eastAsia" w:ascii="仿宋" w:hAnsi="仿宋" w:eastAsia="仿宋" w:cs="仿宋"/>
          <w:spacing w:val="0"/>
          <w:position w:val="0"/>
          <w:sz w:val="24"/>
          <w:szCs w:val="24"/>
        </w:rPr>
        <w:t>.7 付款方式</w:t>
      </w:r>
    </w:p>
    <w:p>
      <w:pPr>
        <w:pageBreakBefore w:val="0"/>
        <w:widowControl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rPr>
          <w:rFonts w:hint="eastAsia" w:ascii="仿宋" w:hAnsi="仿宋" w:eastAsia="仿宋" w:cs="仿宋"/>
          <w:bCs/>
          <w:color w:val="auto"/>
          <w:spacing w:val="0"/>
          <w:position w:val="0"/>
          <w:sz w:val="24"/>
          <w:szCs w:val="24"/>
          <w:highlight w:val="none"/>
        </w:rPr>
      </w:pPr>
      <w:r>
        <w:rPr>
          <w:rFonts w:hint="eastAsia" w:ascii="仿宋" w:hAnsi="仿宋" w:eastAsia="仿宋" w:cs="仿宋"/>
          <w:bCs/>
          <w:color w:val="auto"/>
          <w:spacing w:val="0"/>
          <w:position w:val="0"/>
          <w:sz w:val="24"/>
          <w:szCs w:val="24"/>
          <w:highlight w:val="none"/>
        </w:rPr>
        <w:t>所有设备安装、调试完成并通过验收后</w:t>
      </w:r>
      <w:r>
        <w:rPr>
          <w:rFonts w:hint="eastAsia" w:ascii="仿宋" w:hAnsi="仿宋" w:eastAsia="仿宋" w:cs="仿宋"/>
          <w:bCs/>
          <w:color w:val="auto"/>
          <w:spacing w:val="0"/>
          <w:position w:val="0"/>
          <w:sz w:val="24"/>
          <w:szCs w:val="24"/>
          <w:highlight w:val="none"/>
          <w:lang w:eastAsia="zh-CN"/>
        </w:rPr>
        <w:t>一个月内</w:t>
      </w:r>
      <w:r>
        <w:rPr>
          <w:rFonts w:hint="eastAsia" w:ascii="仿宋" w:hAnsi="仿宋" w:eastAsia="仿宋" w:cs="仿宋"/>
          <w:bCs/>
          <w:color w:val="auto"/>
          <w:spacing w:val="0"/>
          <w:position w:val="0"/>
          <w:sz w:val="24"/>
          <w:szCs w:val="24"/>
          <w:highlight w:val="none"/>
        </w:rPr>
        <w:t>支付合同总金额的</w:t>
      </w:r>
      <w:r>
        <w:rPr>
          <w:rFonts w:hint="eastAsia" w:ascii="仿宋" w:hAnsi="仿宋" w:eastAsia="仿宋" w:cs="仿宋"/>
          <w:bCs/>
          <w:color w:val="auto"/>
          <w:spacing w:val="0"/>
          <w:position w:val="0"/>
          <w:sz w:val="24"/>
          <w:szCs w:val="24"/>
          <w:highlight w:val="none"/>
          <w:lang w:val="en-US" w:eastAsia="zh-CN"/>
        </w:rPr>
        <w:t>90</w:t>
      </w:r>
      <w:r>
        <w:rPr>
          <w:rFonts w:hint="eastAsia" w:ascii="仿宋" w:hAnsi="仿宋" w:eastAsia="仿宋" w:cs="仿宋"/>
          <w:bCs/>
          <w:color w:val="auto"/>
          <w:spacing w:val="0"/>
          <w:position w:val="0"/>
          <w:sz w:val="24"/>
          <w:szCs w:val="24"/>
          <w:highlight w:val="none"/>
        </w:rPr>
        <w:t>%，</w:t>
      </w:r>
      <w:r>
        <w:rPr>
          <w:rFonts w:hint="eastAsia" w:ascii="仿宋" w:hAnsi="仿宋" w:eastAsia="仿宋" w:cs="仿宋"/>
          <w:bCs/>
          <w:color w:val="auto"/>
          <w:spacing w:val="0"/>
          <w:position w:val="0"/>
          <w:sz w:val="24"/>
          <w:szCs w:val="24"/>
          <w:highlight w:val="none"/>
          <w:lang w:eastAsia="zh-CN"/>
        </w:rPr>
        <w:t>验收合格满一年后一个月内支付</w:t>
      </w:r>
      <w:r>
        <w:rPr>
          <w:rFonts w:hint="eastAsia" w:ascii="仿宋" w:hAnsi="仿宋" w:eastAsia="仿宋" w:cs="仿宋"/>
          <w:bCs/>
          <w:color w:val="auto"/>
          <w:spacing w:val="0"/>
          <w:position w:val="0"/>
          <w:sz w:val="24"/>
          <w:szCs w:val="24"/>
          <w:highlight w:val="none"/>
          <w:lang w:val="en-US" w:eastAsia="zh-CN"/>
        </w:rPr>
        <w:t>5%，</w:t>
      </w:r>
      <w:r>
        <w:rPr>
          <w:rFonts w:hint="eastAsia" w:ascii="仿宋" w:hAnsi="仿宋" w:eastAsia="仿宋" w:cs="仿宋"/>
          <w:bCs/>
          <w:color w:val="auto"/>
          <w:spacing w:val="0"/>
          <w:position w:val="0"/>
          <w:sz w:val="24"/>
          <w:szCs w:val="24"/>
          <w:highlight w:val="none"/>
          <w:lang w:eastAsia="zh-CN"/>
        </w:rPr>
        <w:t>验收合格满两年后一个月内支付</w:t>
      </w:r>
      <w:r>
        <w:rPr>
          <w:rFonts w:hint="eastAsia" w:ascii="仿宋" w:hAnsi="仿宋" w:eastAsia="仿宋" w:cs="仿宋"/>
          <w:bCs/>
          <w:color w:val="auto"/>
          <w:spacing w:val="0"/>
          <w:position w:val="0"/>
          <w:sz w:val="24"/>
          <w:szCs w:val="24"/>
          <w:highlight w:val="none"/>
          <w:lang w:val="en-US" w:eastAsia="zh-CN"/>
        </w:rPr>
        <w:t>5%</w:t>
      </w:r>
      <w:r>
        <w:rPr>
          <w:rFonts w:hint="eastAsia" w:ascii="仿宋" w:hAnsi="仿宋" w:eastAsia="仿宋" w:cs="仿宋"/>
          <w:bCs/>
          <w:color w:val="auto"/>
          <w:spacing w:val="0"/>
          <w:position w:val="0"/>
          <w:sz w:val="24"/>
          <w:szCs w:val="24"/>
          <w:highlight w:val="none"/>
        </w:rPr>
        <w:t>。（</w:t>
      </w:r>
      <w:r>
        <w:rPr>
          <w:rFonts w:hint="eastAsia" w:ascii="仿宋" w:hAnsi="仿宋" w:eastAsia="仿宋" w:cs="仿宋"/>
          <w:bCs/>
          <w:color w:val="auto"/>
          <w:spacing w:val="0"/>
          <w:position w:val="0"/>
          <w:sz w:val="24"/>
          <w:szCs w:val="24"/>
          <w:highlight w:val="none"/>
          <w:lang w:eastAsia="zh-CN"/>
        </w:rPr>
        <w:t>均</w:t>
      </w:r>
      <w:r>
        <w:rPr>
          <w:rFonts w:hint="eastAsia" w:ascii="仿宋" w:hAnsi="仿宋" w:eastAsia="仿宋" w:cs="仿宋"/>
          <w:bCs/>
          <w:color w:val="auto"/>
          <w:spacing w:val="0"/>
          <w:position w:val="0"/>
          <w:sz w:val="24"/>
          <w:szCs w:val="24"/>
          <w:highlight w:val="none"/>
        </w:rPr>
        <w:t>无息）</w:t>
      </w:r>
    </w:p>
    <w:p>
      <w:pPr>
        <w:pStyle w:val="4"/>
        <w:keepNext/>
        <w:keepLines/>
        <w:pageBreakBefore w:val="0"/>
        <w:widowControl w:val="0"/>
        <w:numPr>
          <w:ilvl w:val="0"/>
          <w:numId w:val="0"/>
        </w:numPr>
        <w:kinsoku/>
        <w:wordWrap/>
        <w:overflowPunct/>
        <w:topLinePunct w:val="0"/>
        <w:autoSpaceDE/>
        <w:autoSpaceDN/>
        <w:bidi w:val="0"/>
        <w:adjustRightInd/>
        <w:snapToGrid/>
        <w:spacing w:before="95" w:beforeLines="30" w:beforeAutospacing="0" w:after="95" w:afterLines="30" w:afterAutospacing="0" w:line="400" w:lineRule="exact"/>
        <w:ind w:leftChars="0"/>
        <w:jc w:val="left"/>
        <w:textAlignment w:val="auto"/>
        <w:outlineLvl w:val="0"/>
        <w:rPr>
          <w:rFonts w:hint="eastAsia" w:ascii="仿宋" w:hAnsi="仿宋" w:eastAsia="仿宋" w:cs="仿宋"/>
          <w:spacing w:val="0"/>
          <w:position w:val="0"/>
        </w:rPr>
      </w:pPr>
      <w:r>
        <w:rPr>
          <w:rFonts w:hint="eastAsia" w:ascii="仿宋" w:hAnsi="仿宋" w:eastAsia="仿宋" w:cs="仿宋"/>
          <w:spacing w:val="0"/>
          <w:position w:val="0"/>
          <w:sz w:val="28"/>
          <w:szCs w:val="28"/>
          <w:lang w:val="en-US" w:eastAsia="zh-CN"/>
        </w:rPr>
        <w:t>（十）</w:t>
      </w:r>
      <w:r>
        <w:rPr>
          <w:rFonts w:hint="eastAsia" w:ascii="仿宋" w:hAnsi="仿宋" w:eastAsia="仿宋" w:cs="仿宋"/>
          <w:spacing w:val="0"/>
          <w:position w:val="0"/>
          <w:sz w:val="28"/>
          <w:szCs w:val="28"/>
        </w:rPr>
        <w:t>最高限价</w:t>
      </w:r>
    </w:p>
    <w:p>
      <w:pPr>
        <w:pStyle w:val="4"/>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textAlignment w:val="auto"/>
        <w:rPr>
          <w:rFonts w:hint="eastAsia" w:ascii="仿宋" w:hAnsi="仿宋" w:eastAsia="仿宋" w:cs="仿宋"/>
          <w:spacing w:val="0"/>
          <w:position w:val="0"/>
          <w:sz w:val="24"/>
          <w:szCs w:val="24"/>
          <w:lang w:val="en-US" w:eastAsia="zh-CN"/>
        </w:rPr>
      </w:pPr>
      <w:r>
        <w:rPr>
          <w:rFonts w:hint="eastAsia" w:ascii="仿宋" w:hAnsi="仿宋" w:eastAsia="仿宋" w:cs="仿宋"/>
          <w:b/>
          <w:bCs/>
          <w:spacing w:val="0"/>
          <w:kern w:val="2"/>
          <w:position w:val="0"/>
          <w:sz w:val="24"/>
          <w:szCs w:val="24"/>
          <w:u w:val="single"/>
        </w:rPr>
        <w:t>本次采购最高限价为人民币</w:t>
      </w:r>
      <w:r>
        <w:rPr>
          <w:rFonts w:hint="eastAsia" w:ascii="仿宋" w:hAnsi="仿宋" w:eastAsia="仿宋" w:cs="仿宋"/>
          <w:b/>
          <w:bCs/>
          <w:spacing w:val="0"/>
          <w:kern w:val="2"/>
          <w:position w:val="0"/>
          <w:sz w:val="24"/>
          <w:szCs w:val="24"/>
          <w:u w:val="single"/>
          <w:lang w:val="en-US" w:eastAsia="zh-CN"/>
        </w:rPr>
        <w:t>壹佰陆拾肆万柒仟元整</w:t>
      </w:r>
      <w:r>
        <w:rPr>
          <w:rFonts w:hint="eastAsia" w:ascii="仿宋" w:hAnsi="仿宋" w:eastAsia="仿宋" w:cs="仿宋"/>
          <w:b/>
          <w:bCs/>
          <w:spacing w:val="0"/>
          <w:kern w:val="2"/>
          <w:position w:val="0"/>
          <w:sz w:val="24"/>
          <w:szCs w:val="24"/>
          <w:u w:val="single"/>
        </w:rPr>
        <w:t>（￥</w:t>
      </w:r>
      <w:r>
        <w:rPr>
          <w:rFonts w:hint="eastAsia" w:ascii="仿宋" w:hAnsi="仿宋" w:eastAsia="仿宋" w:cs="仿宋"/>
          <w:b/>
          <w:bCs/>
          <w:spacing w:val="0"/>
          <w:kern w:val="2"/>
          <w:position w:val="0"/>
          <w:sz w:val="24"/>
          <w:szCs w:val="24"/>
          <w:u w:val="single"/>
          <w:lang w:val="en-US" w:eastAsia="zh-CN"/>
        </w:rPr>
        <w:t>1647000.00</w:t>
      </w:r>
      <w:r>
        <w:rPr>
          <w:rFonts w:hint="eastAsia" w:ascii="仿宋" w:hAnsi="仿宋" w:eastAsia="仿宋" w:cs="仿宋"/>
          <w:b/>
          <w:bCs/>
          <w:spacing w:val="0"/>
          <w:kern w:val="2"/>
          <w:position w:val="0"/>
          <w:sz w:val="24"/>
          <w:szCs w:val="24"/>
          <w:u w:val="single"/>
        </w:rPr>
        <w:t>），任何超过最高限价的报价将被认定为无效报价。（投标报价包含材料、货物运输、配送、验收、送检费、安装、调试、培训、售后服务等一切费用）。</w:t>
      </w:r>
    </w:p>
    <w:p>
      <w:pPr>
        <w:keepNext w:val="0"/>
        <w:keepLines w:val="0"/>
        <w:pageBreakBefore w:val="0"/>
        <w:widowControl w:val="0"/>
        <w:kinsoku/>
        <w:wordWrap/>
        <w:overflowPunct/>
        <w:topLinePunct w:val="0"/>
        <w:autoSpaceDE w:val="0"/>
        <w:autoSpaceDN w:val="0"/>
        <w:bidi w:val="0"/>
        <w:adjustRightInd w:val="0"/>
        <w:snapToGrid/>
        <w:spacing w:before="60" w:after="60" w:line="460" w:lineRule="exact"/>
        <w:ind w:firstLine="480" w:firstLineChars="200"/>
        <w:textAlignment w:val="auto"/>
        <w:rPr>
          <w:rFonts w:hint="default"/>
          <w:sz w:val="24"/>
          <w:szCs w:val="24"/>
          <w:lang w:val="en-US" w:eastAsia="zh-CN"/>
        </w:rPr>
      </w:pPr>
      <w:r>
        <w:rPr>
          <w:rFonts w:hint="default"/>
          <w:sz w:val="24"/>
          <w:szCs w:val="24"/>
          <w:lang w:val="en-US" w:eastAsia="zh-CN"/>
        </w:rPr>
        <w:br w:type="page"/>
      </w:r>
    </w:p>
    <w:p>
      <w:pPr>
        <w:ind w:firstLine="720" w:firstLineChars="200"/>
        <w:jc w:val="center"/>
        <w:rPr>
          <w:rFonts w:hint="eastAsia" w:ascii="仿宋" w:hAnsi="仿宋" w:eastAsia="仿宋" w:cs="仿宋"/>
          <w:color w:val="auto"/>
          <w:sz w:val="36"/>
          <w:szCs w:val="36"/>
        </w:rPr>
      </w:pPr>
      <w:r>
        <w:rPr>
          <w:rFonts w:hint="eastAsia" w:ascii="仿宋" w:hAnsi="仿宋" w:eastAsia="仿宋" w:cs="仿宋"/>
          <w:color w:val="auto"/>
          <w:sz w:val="36"/>
          <w:szCs w:val="36"/>
        </w:rPr>
        <w:t>第五章  采购合同（通用版本）</w:t>
      </w:r>
    </w:p>
    <w:p>
      <w:pPr>
        <w:spacing w:after="156" w:afterLines="50"/>
        <w:ind w:right="960"/>
        <w:jc w:val="right"/>
        <w:rPr>
          <w:rFonts w:eastAsia="仿宋_GB2312"/>
          <w:b/>
          <w:bCs/>
          <w:sz w:val="24"/>
          <w:szCs w:val="24"/>
        </w:rPr>
      </w:pPr>
      <w:r>
        <w:rPr>
          <w:rFonts w:eastAsia="仿宋_GB2312"/>
          <w:sz w:val="24"/>
          <w:szCs w:val="24"/>
        </w:rPr>
        <w:t>合同编号：ZJHJCM-202</w:t>
      </w:r>
      <w:r>
        <w:rPr>
          <w:rFonts w:hint="eastAsia" w:eastAsia="仿宋_GB2312"/>
          <w:sz w:val="24"/>
          <w:szCs w:val="24"/>
        </w:rPr>
        <w:t>****</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甲方（采购单位）：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color w:val="auto"/>
          <w:sz w:val="24"/>
          <w:szCs w:val="24"/>
          <w:highlight w:val="none"/>
          <w:u w:val="single"/>
          <w:lang w:eastAsia="zh-CN"/>
        </w:rPr>
        <w:t>诸暨广电信息技术</w:t>
      </w:r>
      <w:r>
        <w:rPr>
          <w:rFonts w:hint="default" w:ascii="Times New Roman" w:hAnsi="Times New Roman" w:eastAsia="仿宋_GB2312" w:cs="Times New Roman"/>
          <w:color w:val="auto"/>
          <w:sz w:val="24"/>
          <w:szCs w:val="24"/>
          <w:highlight w:val="none"/>
          <w:u w:val="single"/>
        </w:rPr>
        <w:t>有限公司</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乙方（供货单位）：</w:t>
      </w:r>
      <w:r>
        <w:rPr>
          <w:rFonts w:hint="default"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w:t>
      </w:r>
      <w:r>
        <w:rPr>
          <w:rFonts w:hint="default"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single"/>
        </w:rPr>
        <w:t xml:space="preserve">     </w:t>
      </w:r>
    </w:p>
    <w:p>
      <w:pPr>
        <w:keepNext w:val="0"/>
        <w:keepLines w:val="0"/>
        <w:pageBreakBefore w:val="0"/>
        <w:kinsoku/>
        <w:wordWrap/>
        <w:overflowPunct/>
        <w:topLinePunct w:val="0"/>
        <w:bidi w:val="0"/>
        <w:spacing w:line="400" w:lineRule="exact"/>
        <w:ind w:firstLine="480" w:firstLineChars="200"/>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outlineLvl w:val="9"/>
        <w:rPr>
          <w:rFonts w:hint="default"/>
        </w:rPr>
      </w:pPr>
      <w:r>
        <w:rPr>
          <w:rFonts w:hint="default" w:ascii="Times New Roman" w:hAnsi="Times New Roman" w:eastAsia="仿宋_GB2312" w:cs="Times New Roman"/>
          <w:sz w:val="24"/>
          <w:szCs w:val="24"/>
        </w:rPr>
        <w:t>根据《中华人民共和国民法典》、《中华人民共和国招标投标法》等有关规定，以及</w:t>
      </w:r>
      <w:r>
        <w:rPr>
          <w:rFonts w:hint="eastAsia" w:ascii="Times New Roman" w:hAnsi="Times New Roman" w:eastAsia="仿宋_GB2312" w:cs="Times New Roman"/>
          <w:b/>
          <w:bCs/>
          <w:color w:val="auto"/>
          <w:sz w:val="24"/>
          <w:szCs w:val="24"/>
          <w:shd w:val="clear"/>
          <w:lang w:val="en-US" w:eastAsia="zh-CN"/>
        </w:rPr>
        <w:t>诸暨市广顺工程管理服务有限公司</w:t>
      </w:r>
      <w:r>
        <w:rPr>
          <w:rFonts w:hint="default" w:ascii="Times New Roman" w:hAnsi="Times New Roman" w:eastAsia="仿宋_GB2312" w:cs="Times New Roman"/>
          <w:sz w:val="24"/>
          <w:szCs w:val="24"/>
        </w:rPr>
        <w:t>（编号：</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b/>
          <w:bCs/>
          <w:color w:val="0070C0"/>
          <w:sz w:val="24"/>
          <w:szCs w:val="24"/>
          <w:lang w:val="en-US" w:eastAsia="zh-CN"/>
        </w:rPr>
        <w:t xml:space="preserve">    </w:t>
      </w:r>
      <w:r>
        <w:rPr>
          <w:rFonts w:hint="default" w:ascii="Times New Roman" w:hAnsi="Times New Roman" w:eastAsia="仿宋_GB2312" w:cs="Times New Roman"/>
          <w:sz w:val="24"/>
          <w:szCs w:val="24"/>
        </w:rPr>
        <w:t>）招标文件相关要求，经法定程序采购，双方同意签订以下合同条款，以便双方共同遵守、履行合同。</w:t>
      </w:r>
    </w:p>
    <w:p>
      <w:pPr>
        <w:keepNext w:val="0"/>
        <w:keepLines w:val="0"/>
        <w:pageBreakBefore w:val="0"/>
        <w:numPr>
          <w:ilvl w:val="0"/>
          <w:numId w:val="3"/>
        </w:numPr>
        <w:kinsoku/>
        <w:wordWrap/>
        <w:overflowPunct/>
        <w:topLinePunct w:val="0"/>
        <w:bidi w:val="0"/>
        <w:snapToGrid w:val="0"/>
        <w:spacing w:line="400" w:lineRule="exact"/>
        <w:ind w:firstLine="482" w:firstLineChars="200"/>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采购产品</w:t>
      </w:r>
    </w:p>
    <w:tbl>
      <w:tblPr>
        <w:tblStyle w:val="25"/>
        <w:tblW w:w="0" w:type="auto"/>
        <w:tblInd w:w="-675" w:type="dxa"/>
        <w:tblLayout w:type="fixed"/>
        <w:tblCellMar>
          <w:top w:w="0" w:type="dxa"/>
          <w:left w:w="108" w:type="dxa"/>
          <w:bottom w:w="0" w:type="dxa"/>
          <w:right w:w="108" w:type="dxa"/>
        </w:tblCellMar>
      </w:tblPr>
      <w:tblGrid>
        <w:gridCol w:w="1700"/>
        <w:gridCol w:w="675"/>
        <w:gridCol w:w="512"/>
        <w:gridCol w:w="888"/>
        <w:gridCol w:w="1112"/>
        <w:gridCol w:w="1999"/>
        <w:gridCol w:w="1208"/>
        <w:gridCol w:w="1442"/>
      </w:tblGrid>
      <w:tr>
        <w:tblPrEx>
          <w:tblCellMar>
            <w:top w:w="0" w:type="dxa"/>
            <w:left w:w="108" w:type="dxa"/>
            <w:bottom w:w="0" w:type="dxa"/>
            <w:right w:w="108" w:type="dxa"/>
          </w:tblCellMar>
        </w:tblPrEx>
        <w:trPr>
          <w:trHeight w:val="300" w:hRule="atLeast"/>
        </w:trPr>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产地</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品牌/制造商</w:t>
            </w: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型号和规格</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投标报价</w:t>
            </w:r>
          </w:p>
        </w:tc>
      </w:tr>
      <w:tr>
        <w:tblPrEx>
          <w:tblCellMar>
            <w:top w:w="0" w:type="dxa"/>
            <w:left w:w="108" w:type="dxa"/>
            <w:bottom w:w="0" w:type="dxa"/>
            <w:right w:w="108" w:type="dxa"/>
          </w:tblCellMar>
        </w:tblPrEx>
        <w:trPr>
          <w:trHeight w:val="300" w:hRule="atLeast"/>
        </w:trPr>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r>
      <w:tr>
        <w:tblPrEx>
          <w:tblCellMar>
            <w:top w:w="0" w:type="dxa"/>
            <w:left w:w="108" w:type="dxa"/>
            <w:bottom w:w="0" w:type="dxa"/>
            <w:right w:w="108" w:type="dxa"/>
          </w:tblCellMar>
        </w:tblPrEx>
        <w:trPr>
          <w:trHeight w:val="300" w:hRule="atLeast"/>
        </w:trPr>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1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center"/>
              <w:textAlignment w:val="center"/>
              <w:rPr>
                <w:rFonts w:hint="eastAsia" w:ascii="仿宋" w:hAnsi="仿宋" w:eastAsia="仿宋" w:cs="仿宋"/>
                <w:i w:val="0"/>
                <w:iCs w:val="0"/>
                <w:color w:val="0070C0"/>
                <w:kern w:val="0"/>
                <w:sz w:val="24"/>
                <w:szCs w:val="24"/>
                <w:u w:val="none"/>
                <w:lang w:val="en-US" w:eastAsia="zh-CN" w:bidi="ar"/>
              </w:rPr>
            </w:pPr>
          </w:p>
        </w:tc>
      </w:tr>
      <w:tr>
        <w:tblPrEx>
          <w:tblCellMar>
            <w:top w:w="0" w:type="dxa"/>
            <w:left w:w="108" w:type="dxa"/>
            <w:bottom w:w="0" w:type="dxa"/>
            <w:right w:w="108" w:type="dxa"/>
          </w:tblCellMar>
        </w:tblPrEx>
        <w:trPr>
          <w:trHeight w:val="300" w:hRule="atLeast"/>
        </w:trPr>
        <w:tc>
          <w:tcPr>
            <w:tcW w:w="953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400" w:lineRule="exact"/>
              <w:jc w:val="both"/>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合计金额（含税）大写：             元整                  ¥                 元</w:t>
            </w:r>
          </w:p>
        </w:tc>
      </w:tr>
    </w:tbl>
    <w:p>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二、供货要求</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乙方应安排足够人力在</w:t>
      </w:r>
      <w:r>
        <w:rPr>
          <w:rFonts w:hint="eastAsia" w:ascii="Times New Roman" w:hAnsi="Times New Roman" w:eastAsia="仿宋_GB2312" w:cs="Times New Roman"/>
          <w:color w:val="auto"/>
          <w:sz w:val="24"/>
          <w:szCs w:val="24"/>
          <w:lang w:val="en-US" w:eastAsia="zh-CN"/>
        </w:rPr>
        <w:t>合同签订后</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lang w:val="en-US" w:eastAsia="zh-CN"/>
        </w:rPr>
        <w:t>天</w:t>
      </w:r>
      <w:r>
        <w:rPr>
          <w:rFonts w:hint="default" w:ascii="Times New Roman" w:hAnsi="Times New Roman" w:eastAsia="仿宋_GB2312" w:cs="Times New Roman"/>
          <w:color w:val="auto"/>
          <w:sz w:val="24"/>
          <w:szCs w:val="24"/>
        </w:rPr>
        <w:t>内完成</w:t>
      </w:r>
      <w:r>
        <w:rPr>
          <w:rFonts w:hint="eastAsia" w:ascii="Times New Roman" w:hAnsi="Times New Roman" w:eastAsia="仿宋_GB2312" w:cs="Times New Roman"/>
          <w:color w:val="auto"/>
          <w:sz w:val="24"/>
          <w:szCs w:val="24"/>
          <w:lang w:val="en-US" w:eastAsia="zh-CN"/>
        </w:rPr>
        <w:t>项目</w:t>
      </w:r>
      <w:r>
        <w:rPr>
          <w:rFonts w:hint="default" w:ascii="Times New Roman" w:hAnsi="Times New Roman" w:eastAsia="仿宋_GB2312" w:cs="Times New Roman"/>
          <w:color w:val="auto"/>
          <w:sz w:val="24"/>
          <w:szCs w:val="24"/>
        </w:rPr>
        <w:t>实施。若乙方无合理理由无法在规定时间内有效开展项目实施工作的，则甲方有权取消项目合同，由乙方承担违约责任。</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乙方应将产品免费送达甲方指定地点</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并安装调试完毕后交付使用。乙方必须在产品的右侧粘贴公司标签（标明公司名称、服务热线电话、供货时间</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 xml:space="preserve"> 年 月 日等）。</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乙方须保证提供货物为全新的、先进的、成熟的、完整的和安全可靠的。提供的必须是合同规定的产品，其技术指标、型号须符合相关要求。供货时，乙方须向甲方提供供货清单（说明型号、数量、产地、生产厂家等）</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产品说明书、保修卡、质量保证书等相关资料和原配的附件。原装进口产品（设备）交货时须提供中文产品说明书、保修卡、质量保证书、装箱单、商检证明、进口件清单等资料。制造编号与包装箱编号应一致。</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除有特别注明外，所列设备及数量为建设本项目必需但不一定是全部。对于属于整套系统运行和施工所必需的部件，即使在合同清单中有任何遗漏或数目不足，乙方须在执行合同时无偿补足。</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乙方不得将采购产品转包给其他供应商，否则视为违约，并将追究其违约责任，甲方有权解除采购合同，所造成的损失由乙方承担。</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如本合同采购产品在合同履约过程中出现产品更新或厂家停产等情况，须由乙方书面提出更换要求，并提供充分理由或依据，经甲方和浙江浣江传媒集团招投标办公室核实或认可，并报浙江浣江传媒集团招投标监管领导小组办公室审批同意后，方可更换替代性能参数指标比原采购产品高的其他产品，但产品价格不变。</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7.</w:t>
      </w:r>
      <w:r>
        <w:rPr>
          <w:rFonts w:hint="default" w:ascii="Times New Roman" w:hAnsi="Times New Roman" w:eastAsia="仿宋_GB2312" w:cs="Times New Roman"/>
          <w:color w:val="auto"/>
          <w:kern w:val="0"/>
          <w:sz w:val="24"/>
          <w:szCs w:val="24"/>
          <w:lang w:val="en-US" w:eastAsia="zh-CN" w:bidi="ar-SA"/>
        </w:rPr>
        <w:t>乙方应提供所有安装和检修所需专用工具和消耗材料等，并提供详细供货清单。</w:t>
      </w:r>
    </w:p>
    <w:p>
      <w:pPr>
        <w:keepNext w:val="0"/>
        <w:keepLines w:val="0"/>
        <w:pageBreakBefore w:val="0"/>
        <w:kinsoku/>
        <w:wordWrap/>
        <w:overflowPunct/>
        <w:topLinePunct w:val="0"/>
        <w:bidi w:val="0"/>
        <w:spacing w:line="400" w:lineRule="exact"/>
        <w:ind w:firstLine="480" w:firstLineChars="200"/>
        <w:rPr>
          <w:rFonts w:hint="default"/>
          <w:lang w:val="en-US" w:eastAsia="zh-CN"/>
        </w:rPr>
      </w:pPr>
      <w:r>
        <w:rPr>
          <w:rFonts w:hint="eastAsia"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lang w:val="en-US" w:eastAsia="zh-CN"/>
        </w:rPr>
        <w:t>项目完结时</w:t>
      </w:r>
      <w:r>
        <w:rPr>
          <w:rFonts w:hint="eastAsia" w:ascii="Times New Roman" w:hAnsi="Times New Roman" w:eastAsia="仿宋_GB2312" w:cs="Times New Roman"/>
          <w:color w:val="auto"/>
          <w:sz w:val="24"/>
          <w:szCs w:val="24"/>
          <w:lang w:val="en-US" w:eastAsia="zh-CN"/>
        </w:rPr>
        <w:t>乙方</w:t>
      </w:r>
      <w:r>
        <w:rPr>
          <w:rFonts w:hint="default" w:ascii="Times New Roman" w:hAnsi="Times New Roman" w:eastAsia="仿宋_GB2312" w:cs="Times New Roman"/>
          <w:color w:val="auto"/>
          <w:sz w:val="24"/>
          <w:szCs w:val="24"/>
          <w:lang w:val="en-US" w:eastAsia="zh-CN"/>
        </w:rPr>
        <w:t>应提交甲方和监理方所要求的与本项目有关的成果和整个项目过程电子文档，</w:t>
      </w:r>
      <w:r>
        <w:rPr>
          <w:rFonts w:hint="default" w:ascii="Times New Roman" w:hAnsi="Times New Roman" w:eastAsia="仿宋_GB2312" w:cs="Times New Roman"/>
          <w:color w:val="auto"/>
          <w:sz w:val="24"/>
          <w:szCs w:val="24"/>
          <w:highlight w:val="none"/>
          <w:lang w:val="en-US" w:eastAsia="zh-CN"/>
        </w:rPr>
        <w:t>包括但不限于系统详细设计</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系统概要设计</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需求分析报告</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系统测试方案</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数据结构说明文档</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安装维护手册</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使用操作手册</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培训资料</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操作说明</w:t>
      </w:r>
      <w:r>
        <w:rPr>
          <w:rFonts w:hint="eastAsia" w:ascii="Times New Roman" w:hAnsi="Times New Roman" w:eastAsia="仿宋_GB2312" w:cs="Times New Roman"/>
          <w:color w:val="auto"/>
          <w:sz w:val="24"/>
          <w:szCs w:val="24"/>
          <w:lang w:val="en-US" w:eastAsia="zh-CN"/>
        </w:rPr>
        <w:t>等</w:t>
      </w:r>
      <w:r>
        <w:rPr>
          <w:rFonts w:hint="default"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三、质量要求</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乙方应确保产品质量，保证本合同中所供应的商品是最新生产的符合国家技术规格和质量标准的出厂原装合格产品</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sz w:val="24"/>
          <w:szCs w:val="24"/>
        </w:rPr>
        <w:t>均需符合国家产品的有关技术规范、质量标准和产品厂家的出厂标准，提供原厂质保书、合格证等有关文件资料。进口产品须是获得国家商检局颁布安全生产许可证的出厂原装合格产品。</w:t>
      </w:r>
      <w:r>
        <w:rPr>
          <w:rFonts w:hint="default" w:ascii="Times New Roman" w:hAnsi="Times New Roman" w:eastAsia="仿宋_GB2312" w:cs="Times New Roman"/>
          <w:color w:val="000000"/>
          <w:sz w:val="24"/>
          <w:szCs w:val="24"/>
        </w:rPr>
        <w:t>通过国家有关部门检测合格的原产地设备，能够与甲方现有设备正常连接；设备安装调试完毕后，能在其功能范围内保障用户的系统安全、稳定运行。</w:t>
      </w:r>
      <w:r>
        <w:rPr>
          <w:rFonts w:hint="default" w:ascii="Times New Roman" w:hAnsi="Times New Roman" w:eastAsia="仿宋_GB2312" w:cs="Times New Roman"/>
          <w:sz w:val="24"/>
          <w:szCs w:val="24"/>
        </w:rPr>
        <w:t>乙方如发生所供商品与</w:t>
      </w:r>
      <w:r>
        <w:rPr>
          <w:rFonts w:hint="eastAsia" w:ascii="Times New Roman" w:hAnsi="Times New Roman" w:eastAsia="仿宋_GB2312" w:cs="Times New Roman"/>
          <w:sz w:val="24"/>
          <w:szCs w:val="24"/>
          <w:lang w:val="en-US" w:eastAsia="zh-CN"/>
        </w:rPr>
        <w:t>本</w:t>
      </w:r>
      <w:r>
        <w:rPr>
          <w:rFonts w:hint="default" w:ascii="Times New Roman" w:hAnsi="Times New Roman" w:eastAsia="仿宋_GB2312" w:cs="Times New Roman"/>
          <w:sz w:val="24"/>
          <w:szCs w:val="24"/>
        </w:rPr>
        <w:t>合同</w:t>
      </w:r>
      <w:r>
        <w:rPr>
          <w:rFonts w:hint="eastAsia" w:ascii="Times New Roman" w:hAnsi="Times New Roman" w:eastAsia="仿宋_GB2312" w:cs="Times New Roman"/>
          <w:sz w:val="24"/>
          <w:szCs w:val="24"/>
          <w:lang w:val="en-US" w:eastAsia="zh-CN"/>
        </w:rPr>
        <w:t>的要求</w:t>
      </w:r>
      <w:r>
        <w:rPr>
          <w:rFonts w:hint="default" w:ascii="Times New Roman" w:hAnsi="Times New Roman" w:eastAsia="仿宋_GB2312" w:cs="Times New Roman"/>
          <w:sz w:val="24"/>
          <w:szCs w:val="24"/>
        </w:rPr>
        <w:t>不符，甲方（使用方）有权拒收或退货，由此产生的一切责任和后果由乙方承担。</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本项目的所有软、硬件(如电源适配器、线缆、软件、硬件模块等，包括未列出而系统实施又必需的软件、硬件)需配齐以构成一套完整实用系统，如有任何遗漏，由乙方免费补齐。</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项目中的硬件设备如需使用特别接头、插座等，由乙方免费提供。</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项目中的设备及主要部件均须非停产设备，并提供备件、附件和耗材的供应。</w:t>
      </w:r>
    </w:p>
    <w:p>
      <w:pPr>
        <w:pStyle w:val="37"/>
        <w:keepNext w:val="0"/>
        <w:keepLines w:val="0"/>
        <w:pageBreakBefore w:val="0"/>
        <w:widowControl w:val="0"/>
        <w:kinsoku/>
        <w:wordWrap/>
        <w:overflowPunct/>
        <w:topLinePunct w:val="0"/>
        <w:bidi w:val="0"/>
        <w:snapToGrid/>
        <w:spacing w:line="400" w:lineRule="exact"/>
        <w:textAlignment w:val="auto"/>
        <w:outlineLvl w:val="9"/>
        <w:rPr>
          <w:rFonts w:hint="eastAsia"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5</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项目除包括上述设备外，还应包括随机的辅助设备、专用电线电缆、随机软件、技术资料（包括操作培训手册、产品使用指南、维修指南和含维修网点在内的服务手册等）、设备运行所必需的随机消耗材料，相应的技术服务与质量保证。</w:t>
      </w:r>
      <w:r>
        <w:rPr>
          <w:rFonts w:hint="eastAsia" w:ascii="Times New Roman" w:hAnsi="Times New Roman" w:eastAsia="仿宋_GB2312" w:cs="Times New Roman"/>
          <w:color w:val="000000"/>
          <w:sz w:val="24"/>
          <w:szCs w:val="24"/>
          <w:lang w:val="en-US" w:eastAsia="zh-CN"/>
        </w:rPr>
        <w:t xml:space="preserve"> </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rPr>
        <w:t>本系统产生的任何照片、视频、文字等信息数据产权归甲方所有，不得擅自截留，用作商业开发利用。</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lang w:val="en-US" w:eastAsia="zh-CN"/>
        </w:rPr>
        <w:t>7.</w:t>
      </w:r>
      <w:r>
        <w:rPr>
          <w:rFonts w:hint="default" w:ascii="Times New Roman" w:hAnsi="Times New Roman" w:eastAsia="仿宋_GB2312" w:cs="Times New Roman"/>
          <w:color w:val="000000"/>
          <w:sz w:val="24"/>
          <w:szCs w:val="24"/>
        </w:rPr>
        <w:t>乙方供货产品必须是原厂商、正宗品牌、正规渠道的产品，不得用假冒及伪劣产品替代</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如出现质量问题，甲方有权退货；如造成损失的，甲方可要求</w:t>
      </w:r>
      <w:r>
        <w:rPr>
          <w:rFonts w:hint="default" w:ascii="Times New Roman" w:hAnsi="Times New Roman" w:eastAsia="仿宋_GB2312" w:cs="Times New Roman"/>
          <w:color w:val="000000"/>
          <w:sz w:val="24"/>
          <w:szCs w:val="24"/>
          <w:lang w:val="en-US" w:eastAsia="zh-CN"/>
        </w:rPr>
        <w:t>乙方</w:t>
      </w:r>
      <w:r>
        <w:rPr>
          <w:rFonts w:hint="default" w:ascii="Times New Roman" w:hAnsi="Times New Roman" w:eastAsia="仿宋_GB2312" w:cs="Times New Roman"/>
          <w:color w:val="000000"/>
          <w:sz w:val="24"/>
          <w:szCs w:val="24"/>
        </w:rPr>
        <w:t>给予赔偿</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sz w:val="24"/>
          <w:szCs w:val="24"/>
        </w:rPr>
        <w:t>如发生质量异议，甲方有权要求更换产品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若乙方拒绝，按《中华人民共和国产品质量法》等有关规定处理。</w:t>
      </w:r>
    </w:p>
    <w:p>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四、技术服务要求</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乙方应确保其技术建议以及所提供的产品的完整性、实用性，保证全部系统及时投入正常运行。否则若出现因乙方提供的设备不满足要求、不合理，或者其所提供的技术支持和服务不全面，而导致系统无法实现或不能完全实现的状况，乙方负全部责任。</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乙方应保证设备经正确安装、正常运转和保养，保证其在使用寿命内具有满意的性能。</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如果产品在服务期内发生设备故障，乙方应及时予以响应（免费上门服务），否则甲方将自行采取必要的措施，由此产生风险和费用由乙方承担。</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如合同中遗漏了必须具备的设备、配件或服务，乙方有义务保证甲方系统的完整性，如项目实施过程中因缺少设备、配件或服务导致甲方系统无法正常运行，乙方须承诺免费提供。</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所有外场带电设备必须接地防雷处理。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color w:val="auto"/>
          <w:sz w:val="24"/>
          <w:szCs w:val="24"/>
        </w:rPr>
        <w:t>五、培训</w:t>
      </w:r>
    </w:p>
    <w:p>
      <w:pPr>
        <w:pStyle w:val="40"/>
        <w:keepNext w:val="0"/>
        <w:keepLines w:val="0"/>
        <w:pageBreakBefore w:val="0"/>
        <w:widowControl w:val="0"/>
        <w:kinsoku/>
        <w:wordWrap/>
        <w:overflowPunct/>
        <w:topLinePunct w:val="0"/>
        <w:autoSpaceDE w:val="0"/>
        <w:autoSpaceDN w:val="0"/>
        <w:bidi w:val="0"/>
        <w:adjustRightInd w:val="0"/>
        <w:snapToGrid/>
        <w:spacing w:after="0" w:line="400" w:lineRule="exact"/>
        <w:ind w:left="0" w:leftChars="0"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乙方应根据项目实际需要，自行设计满足甲方要求的培训服务，详细说明培训的方式、地点、人数、时间，软件方面应提供至少两次的免费培训（不限人数），培训内容包括软</w:t>
      </w:r>
      <w:r>
        <w:rPr>
          <w:rFonts w:hint="default" w:ascii="Times New Roman" w:hAnsi="Times New Roman" w:eastAsia="仿宋_GB2312" w:cs="Times New Roman"/>
          <w:sz w:val="24"/>
          <w:szCs w:val="24"/>
          <w:lang w:val="en-US" w:eastAsia="zh-CN"/>
        </w:rPr>
        <w:t>硬</w:t>
      </w:r>
      <w:r>
        <w:rPr>
          <w:rFonts w:hint="default" w:ascii="Times New Roman" w:hAnsi="Times New Roman" w:eastAsia="仿宋_GB2312" w:cs="Times New Roman"/>
          <w:sz w:val="24"/>
          <w:szCs w:val="24"/>
        </w:rPr>
        <w:t>件的技术原理、操作、数据处理、基本维护等实质性内容。</w:t>
      </w:r>
      <w:r>
        <w:rPr>
          <w:rFonts w:hint="default" w:ascii="Times New Roman" w:hAnsi="Times New Roman" w:eastAsia="仿宋_GB2312" w:cs="Times New Roman"/>
          <w:bCs/>
          <w:sz w:val="24"/>
          <w:szCs w:val="24"/>
        </w:rPr>
        <w:t>保证甲方技术人员达到熟练操作、维护的程度，能进行一般的日常维护管理和检修</w:t>
      </w:r>
      <w:r>
        <w:rPr>
          <w:rFonts w:hint="default" w:ascii="Times New Roman" w:hAnsi="Times New Roman" w:eastAsia="仿宋_GB2312" w:cs="Times New Roman"/>
          <w:sz w:val="24"/>
          <w:szCs w:val="24"/>
        </w:rPr>
        <w:t>，并能够处理简单的软、硬件故障</w:t>
      </w:r>
      <w:r>
        <w:rPr>
          <w:rFonts w:hint="default" w:ascii="Times New Roman" w:hAnsi="Times New Roman" w:eastAsia="仿宋_GB2312" w:cs="Times New Roman"/>
          <w:bCs/>
          <w:sz w:val="24"/>
          <w:szCs w:val="24"/>
        </w:rPr>
        <w:t>。</w:t>
      </w:r>
    </w:p>
    <w:p>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六、产品验收</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验收条件：</w:t>
      </w:r>
    </w:p>
    <w:p>
      <w:pPr>
        <w:pStyle w:val="37"/>
        <w:keepNext w:val="0"/>
        <w:keepLines w:val="0"/>
        <w:pageBreakBefore w:val="0"/>
        <w:widowControl w:val="0"/>
        <w:kinsoku/>
        <w:wordWrap/>
        <w:overflowPunct/>
        <w:topLinePunct w:val="0"/>
        <w:bidi w:val="0"/>
        <w:snapToGrid/>
        <w:spacing w:line="400" w:lineRule="exact"/>
        <w:textAlignment w:val="auto"/>
        <w:outlineLvl w:val="9"/>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开箱验收：清点设备装箱内容符合装箱单所列并符合招标文件要求和承诺书承诺；</w:t>
      </w:r>
    </w:p>
    <w:p>
      <w:pPr>
        <w:pStyle w:val="37"/>
        <w:keepNext w:val="0"/>
        <w:keepLines w:val="0"/>
        <w:pageBreakBefore w:val="0"/>
        <w:widowControl w:val="0"/>
        <w:kinsoku/>
        <w:wordWrap/>
        <w:overflowPunct/>
        <w:topLinePunct w:val="0"/>
        <w:bidi w:val="0"/>
        <w:snapToGrid/>
        <w:spacing w:line="400" w:lineRule="exact"/>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开机验收：设备应通电开机后进行所规定时间的试验运行后方可验收。</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2.合同签订后</w:t>
      </w:r>
      <w:r>
        <w:rPr>
          <w:rFonts w:hint="eastAsia" w:eastAsia="仿宋_GB2312" w:cs="Times New Roman"/>
          <w:b/>
          <w:bCs/>
          <w:color w:val="auto"/>
          <w:sz w:val="24"/>
          <w:szCs w:val="24"/>
          <w:u w:val="single"/>
          <w:lang w:val="en-US" w:eastAsia="zh-CN"/>
        </w:rPr>
        <w:t>***</w:t>
      </w:r>
      <w:r>
        <w:rPr>
          <w:rFonts w:hint="default" w:ascii="Times New Roman" w:hAnsi="Times New Roman" w:eastAsia="仿宋_GB2312" w:cs="Times New Roman"/>
          <w:color w:val="auto"/>
          <w:sz w:val="24"/>
          <w:szCs w:val="24"/>
        </w:rPr>
        <w:t>天内完成</w:t>
      </w:r>
      <w:r>
        <w:rPr>
          <w:rFonts w:hint="eastAsia" w:ascii="Times New Roman" w:hAnsi="Times New Roman" w:eastAsia="仿宋_GB2312" w:cs="Times New Roman"/>
          <w:color w:val="auto"/>
          <w:sz w:val="24"/>
          <w:szCs w:val="24"/>
          <w:lang w:val="en-US" w:eastAsia="zh-CN"/>
        </w:rPr>
        <w:t>所有设备的</w:t>
      </w:r>
      <w:r>
        <w:rPr>
          <w:rFonts w:hint="default" w:ascii="Times New Roman" w:hAnsi="Times New Roman" w:eastAsia="仿宋_GB2312" w:cs="Times New Roman"/>
          <w:color w:val="auto"/>
          <w:sz w:val="24"/>
          <w:szCs w:val="24"/>
        </w:rPr>
        <w:t>供货</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安装调试，技术人员培训</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系统试运行</w:t>
      </w:r>
      <w:r>
        <w:rPr>
          <w:rFonts w:hint="eastAsia" w:eastAsia="仿宋_GB2312" w:cs="Times New Roman"/>
          <w:b/>
          <w:bCs/>
          <w:color w:val="auto"/>
          <w:sz w:val="24"/>
          <w:szCs w:val="24"/>
          <w:u w:val="single"/>
          <w:lang w:val="en-US" w:eastAsia="zh-CN"/>
        </w:rPr>
        <w:t>***</w:t>
      </w:r>
      <w:r>
        <w:rPr>
          <w:rFonts w:hint="default" w:ascii="Times New Roman" w:hAnsi="Times New Roman" w:eastAsia="仿宋_GB2312" w:cs="Times New Roman"/>
          <w:color w:val="auto"/>
          <w:sz w:val="24"/>
          <w:szCs w:val="24"/>
        </w:rPr>
        <w:t>天后，</w:t>
      </w:r>
      <w:r>
        <w:rPr>
          <w:rFonts w:hint="eastAsia" w:ascii="Times New Roman" w:hAnsi="Times New Roman" w:eastAsia="仿宋_GB2312" w:cs="Times New Roman"/>
          <w:color w:val="auto"/>
          <w:sz w:val="24"/>
          <w:szCs w:val="24"/>
        </w:rPr>
        <w:t>由使用单位</w:t>
      </w:r>
      <w:r>
        <w:rPr>
          <w:rFonts w:hint="default" w:ascii="Times New Roman" w:hAnsi="Times New Roman" w:eastAsia="仿宋_GB2312" w:cs="Times New Roman"/>
          <w:color w:val="auto"/>
          <w:sz w:val="24"/>
          <w:szCs w:val="24"/>
        </w:rPr>
        <w:t>组织</w:t>
      </w:r>
      <w:r>
        <w:rPr>
          <w:rFonts w:hint="eastAsia" w:ascii="Times New Roman" w:hAnsi="Times New Roman" w:eastAsia="仿宋_GB2312" w:cs="Times New Roman"/>
          <w:color w:val="auto"/>
          <w:sz w:val="24"/>
          <w:szCs w:val="24"/>
          <w:lang w:val="en-US" w:eastAsia="zh-CN"/>
        </w:rPr>
        <w:t>初验</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rPr>
        <w:t>初验通过</w:t>
      </w:r>
      <w:r>
        <w:rPr>
          <w:rFonts w:hint="eastAsia" w:ascii="Times New Roman" w:hAnsi="Times New Roman" w:eastAsia="仿宋_GB2312" w:cs="Times New Roman"/>
          <w:color w:val="auto"/>
          <w:sz w:val="24"/>
          <w:szCs w:val="24"/>
          <w:lang w:eastAsia="zh-CN"/>
        </w:rPr>
        <w:t>运行</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lang w:val="en-US" w:eastAsia="zh-CN"/>
        </w:rPr>
        <w:t>天后，运行合格，</w:t>
      </w:r>
      <w:r>
        <w:rPr>
          <w:rFonts w:hint="eastAsia" w:ascii="Times New Roman" w:hAnsi="Times New Roman" w:eastAsia="仿宋_GB2312" w:cs="Times New Roman"/>
          <w:color w:val="auto"/>
          <w:sz w:val="24"/>
          <w:szCs w:val="24"/>
        </w:rPr>
        <w:t>由</w:t>
      </w:r>
      <w:r>
        <w:rPr>
          <w:rFonts w:hint="eastAsia" w:ascii="Times New Roman" w:hAnsi="Times New Roman" w:eastAsia="仿宋_GB2312" w:cs="Times New Roman"/>
          <w:color w:val="auto"/>
          <w:sz w:val="24"/>
          <w:szCs w:val="24"/>
          <w:lang w:val="en-US" w:eastAsia="zh-CN"/>
        </w:rPr>
        <w:t>甲方</w:t>
      </w:r>
      <w:r>
        <w:rPr>
          <w:rFonts w:hint="eastAsia" w:ascii="Times New Roman" w:hAnsi="Times New Roman" w:eastAsia="仿宋_GB2312" w:cs="Times New Roman"/>
          <w:color w:val="auto"/>
          <w:sz w:val="24"/>
          <w:szCs w:val="24"/>
        </w:rPr>
        <w:t>组织终验</w:t>
      </w:r>
      <w:r>
        <w:rPr>
          <w:rFonts w:hint="eastAsia"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乙方交货前应对产品作出全面检查和对验收文件进行整理，并列出清单，作为</w:t>
      </w:r>
      <w:r>
        <w:rPr>
          <w:rFonts w:hint="eastAsia" w:ascii="Times New Roman" w:hAnsi="Times New Roman" w:eastAsia="仿宋_GB2312" w:cs="Times New Roman"/>
          <w:color w:val="auto"/>
          <w:sz w:val="24"/>
          <w:szCs w:val="24"/>
          <w:lang w:val="en-US" w:eastAsia="zh-CN"/>
        </w:rPr>
        <w:t>使用单位和</w:t>
      </w:r>
      <w:r>
        <w:rPr>
          <w:rFonts w:hint="default" w:ascii="Times New Roman" w:hAnsi="Times New Roman" w:eastAsia="仿宋_GB2312" w:cs="Times New Roman"/>
          <w:color w:val="auto"/>
          <w:sz w:val="24"/>
          <w:szCs w:val="24"/>
        </w:rPr>
        <w:t>甲方收货验收</w:t>
      </w:r>
      <w:r>
        <w:rPr>
          <w:rFonts w:hint="eastAsia" w:ascii="Times New Roman" w:hAnsi="Times New Roman" w:eastAsia="仿宋_GB2312" w:cs="Times New Roman"/>
          <w:color w:val="auto"/>
          <w:sz w:val="24"/>
          <w:szCs w:val="24"/>
          <w:lang w:val="en-US" w:eastAsia="zh-CN"/>
        </w:rPr>
        <w:t>及</w:t>
      </w:r>
      <w:r>
        <w:rPr>
          <w:rFonts w:hint="default" w:ascii="Times New Roman" w:hAnsi="Times New Roman" w:eastAsia="仿宋_GB2312" w:cs="Times New Roman"/>
          <w:color w:val="auto"/>
          <w:sz w:val="24"/>
          <w:szCs w:val="24"/>
        </w:rPr>
        <w:t>使用的技术条件依据。</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乙方需负责培训甲方的使用操作人员，</w:t>
      </w:r>
      <w:r>
        <w:rPr>
          <w:rFonts w:hint="default" w:ascii="Times New Roman" w:hAnsi="Times New Roman" w:eastAsia="仿宋_GB2312" w:cs="Times New Roman"/>
          <w:bCs/>
          <w:sz w:val="24"/>
          <w:szCs w:val="24"/>
        </w:rPr>
        <w:t>并能够处理简单的设备故障，</w:t>
      </w:r>
      <w:r>
        <w:rPr>
          <w:rFonts w:hint="default" w:ascii="Times New Roman" w:hAnsi="Times New Roman" w:eastAsia="仿宋_GB2312" w:cs="Times New Roman"/>
          <w:color w:val="auto"/>
          <w:sz w:val="24"/>
          <w:szCs w:val="24"/>
        </w:rPr>
        <w:t>并协助甲方一起调试，直到符合技术要求，甲方才做验收。</w:t>
      </w:r>
    </w:p>
    <w:p>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七、付款方式</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甲方组织</w:t>
      </w:r>
      <w:r>
        <w:rPr>
          <w:rFonts w:hint="eastAsia" w:ascii="Times New Roman" w:hAnsi="Times New Roman" w:eastAsia="仿宋_GB2312" w:cs="Times New Roman"/>
          <w:color w:val="auto"/>
          <w:sz w:val="24"/>
          <w:szCs w:val="24"/>
          <w:lang w:val="en-US" w:eastAsia="zh-CN"/>
        </w:rPr>
        <w:t>终验</w:t>
      </w:r>
      <w:r>
        <w:rPr>
          <w:rFonts w:hint="default" w:ascii="Times New Roman" w:hAnsi="Times New Roman" w:eastAsia="仿宋_GB2312" w:cs="Times New Roman"/>
          <w:color w:val="auto"/>
          <w:sz w:val="24"/>
          <w:szCs w:val="24"/>
        </w:rPr>
        <w:t>合格后，该项目所涉费用开始给付，具体费用为验收合格</w:t>
      </w:r>
      <w:r>
        <w:rPr>
          <w:rFonts w:hint="eastAsia" w:ascii="Times New Roman" w:hAnsi="Times New Roman" w:eastAsia="仿宋_GB2312" w:cs="Times New Roman"/>
          <w:color w:val="auto"/>
          <w:sz w:val="24"/>
          <w:szCs w:val="24"/>
          <w:lang w:val="en-US" w:eastAsia="zh-CN"/>
        </w:rPr>
        <w:t>且收到乙方提供的相关材料（包括但不限税费、报告书、合同复印件等）</w:t>
      </w:r>
      <w:r>
        <w:rPr>
          <w:rFonts w:hint="default" w:ascii="Times New Roman" w:hAnsi="Times New Roman" w:eastAsia="仿宋_GB2312" w:cs="Times New Roman"/>
          <w:color w:val="auto"/>
          <w:sz w:val="24"/>
          <w:szCs w:val="24"/>
        </w:rPr>
        <w:t>后一个月内给付</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，即（大写）</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rPr>
        <w:t>元整</w:t>
      </w:r>
      <w:r>
        <w:rPr>
          <w:rFonts w:hint="default" w:ascii="Times New Roman" w:hAnsi="Times New Roman" w:eastAsia="仿宋_GB2312" w:cs="Times New Roman"/>
          <w:color w:val="auto"/>
          <w:sz w:val="24"/>
          <w:szCs w:val="24"/>
        </w:rPr>
        <w:t>，（小写）</w:t>
      </w:r>
      <w:r>
        <w:rPr>
          <w:rFonts w:hint="default" w:ascii="Times New Roman" w:hAnsi="Times New Roman" w:eastAsia="仿宋_GB2312" w:cs="Times New Roman"/>
          <w:color w:val="auto"/>
          <w:sz w:val="24"/>
          <w:szCs w:val="24"/>
          <w:u w:val="single"/>
        </w:rPr>
        <w:t>¥</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；如无质量问题，验收合格</w:t>
      </w:r>
      <w:r>
        <w:rPr>
          <w:rFonts w:hint="eastAsia" w:ascii="Times New Roman" w:hAnsi="Times New Roman" w:eastAsia="仿宋_GB2312" w:cs="Times New Roman"/>
          <w:b w:val="0"/>
          <w:bCs w:val="0"/>
          <w:color w:val="000000"/>
          <w:sz w:val="24"/>
          <w:szCs w:val="24"/>
          <w:lang w:val="en-US" w:eastAsia="zh-CN"/>
        </w:rPr>
        <w:t>后</w:t>
      </w:r>
      <w:r>
        <w:rPr>
          <w:rFonts w:hint="default" w:ascii="Times New Roman" w:hAnsi="Times New Roman" w:eastAsia="仿宋_GB2312" w:cs="Times New Roman"/>
          <w:color w:val="auto"/>
          <w:sz w:val="24"/>
          <w:szCs w:val="24"/>
        </w:rPr>
        <w:t>一年</w:t>
      </w:r>
      <w:r>
        <w:rPr>
          <w:rFonts w:hint="eastAsia" w:ascii="Times New Roman" w:hAnsi="Times New Roman" w:eastAsia="仿宋_GB2312" w:cs="Times New Roman"/>
          <w:color w:val="auto"/>
          <w:sz w:val="24"/>
          <w:szCs w:val="24"/>
          <w:lang w:val="en-US" w:eastAsia="zh-CN"/>
        </w:rPr>
        <w:t>内</w:t>
      </w:r>
      <w:r>
        <w:rPr>
          <w:rFonts w:hint="default" w:ascii="Times New Roman" w:hAnsi="Times New Roman" w:eastAsia="仿宋_GB2312" w:cs="Times New Roman"/>
          <w:color w:val="auto"/>
          <w:sz w:val="24"/>
          <w:szCs w:val="24"/>
        </w:rPr>
        <w:t>给付</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，即（大写）</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rPr>
        <w:t>元整</w:t>
      </w:r>
      <w:r>
        <w:rPr>
          <w:rFonts w:hint="default" w:ascii="Times New Roman" w:hAnsi="Times New Roman" w:eastAsia="仿宋_GB2312" w:cs="Times New Roman"/>
          <w:color w:val="auto"/>
          <w:sz w:val="24"/>
          <w:szCs w:val="24"/>
        </w:rPr>
        <w:t>，（小写）</w:t>
      </w:r>
      <w:r>
        <w:rPr>
          <w:rFonts w:hint="default" w:ascii="Times New Roman" w:hAnsi="Times New Roman" w:eastAsia="仿宋_GB2312" w:cs="Times New Roman"/>
          <w:color w:val="auto"/>
          <w:sz w:val="24"/>
          <w:szCs w:val="24"/>
          <w:u w:val="single"/>
        </w:rPr>
        <w:t>¥</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；在验收合格后三年内给付</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，即（大写）</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rPr>
        <w:t>元整</w:t>
      </w:r>
      <w:r>
        <w:rPr>
          <w:rFonts w:hint="default" w:ascii="Times New Roman" w:hAnsi="Times New Roman" w:eastAsia="仿宋_GB2312" w:cs="Times New Roman"/>
          <w:color w:val="auto"/>
          <w:sz w:val="24"/>
          <w:szCs w:val="24"/>
        </w:rPr>
        <w:t>，（小写）</w:t>
      </w:r>
      <w:r>
        <w:rPr>
          <w:rFonts w:hint="default" w:ascii="Times New Roman" w:hAnsi="Times New Roman" w:eastAsia="仿宋_GB2312" w:cs="Times New Roman"/>
          <w:color w:val="auto"/>
          <w:sz w:val="24"/>
          <w:szCs w:val="24"/>
          <w:u w:val="single"/>
        </w:rPr>
        <w:t>¥</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；验收合格后五年内给付</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即（大写）</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u w:val="single"/>
        </w:rPr>
        <w:t>元整</w:t>
      </w:r>
      <w:r>
        <w:rPr>
          <w:rFonts w:hint="default" w:ascii="Times New Roman" w:hAnsi="Times New Roman" w:eastAsia="仿宋_GB2312" w:cs="Times New Roman"/>
          <w:color w:val="auto"/>
          <w:sz w:val="24"/>
          <w:szCs w:val="24"/>
        </w:rPr>
        <w:t>，（小写）</w:t>
      </w:r>
      <w:r>
        <w:rPr>
          <w:rFonts w:hint="default" w:ascii="Times New Roman" w:hAnsi="Times New Roman" w:eastAsia="仿宋_GB2312" w:cs="Times New Roman"/>
          <w:color w:val="auto"/>
          <w:sz w:val="24"/>
          <w:szCs w:val="24"/>
          <w:u w:val="single"/>
        </w:rPr>
        <w:t>¥</w:t>
      </w:r>
      <w:r>
        <w:rPr>
          <w:rFonts w:hint="eastAsia" w:ascii="Times New Roman" w:hAnsi="Times New Roman"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。（均无息）</w:t>
      </w:r>
    </w:p>
    <w:p>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八、履约保证金</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1、乙方在签订合同之前，须向甲方缴纳合同款</w:t>
      </w:r>
      <w:r>
        <w:rPr>
          <w:rFonts w:hint="eastAsia"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u w:val="single"/>
          <w:lang w:val="en-US" w:eastAsia="zh-CN"/>
        </w:rPr>
        <w:t>****</w:t>
      </w:r>
      <w:r>
        <w:rPr>
          <w:rFonts w:hint="eastAsia" w:eastAsia="仿宋_GB2312" w:cs="Times New Roman"/>
          <w:bCs/>
          <w:color w:val="auto"/>
          <w:sz w:val="24"/>
          <w:szCs w:val="24"/>
          <w:highlight w:val="none"/>
          <w:u w:val="single"/>
          <w:lang w:val="en-US" w:eastAsia="zh-CN"/>
        </w:rPr>
        <w:t xml:space="preserve"> </w:t>
      </w: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的履约保证金</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bCs/>
          <w:color w:val="auto"/>
          <w:sz w:val="24"/>
          <w:szCs w:val="24"/>
          <w:highlight w:val="none"/>
        </w:rPr>
        <w:t>即</w:t>
      </w:r>
      <w:r>
        <w:rPr>
          <w:rFonts w:hint="default" w:ascii="Times New Roman" w:hAnsi="Times New Roman" w:eastAsia="仿宋_GB2312" w:cs="Times New Roman"/>
          <w:bCs/>
          <w:color w:val="auto"/>
          <w:sz w:val="24"/>
          <w:szCs w:val="24"/>
          <w:highlight w:val="none"/>
          <w:u w:val="single"/>
          <w:lang w:val="en-US" w:eastAsia="zh-CN"/>
        </w:rPr>
        <w:t xml:space="preserve"> </w:t>
      </w:r>
      <w:r>
        <w:rPr>
          <w:rFonts w:hint="eastAsia" w:ascii="Times New Roman" w:hAnsi="Times New Roman" w:eastAsia="仿宋_GB2312" w:cs="Times New Roman"/>
          <w:color w:val="auto"/>
          <w:sz w:val="24"/>
          <w:szCs w:val="24"/>
          <w:u w:val="single"/>
          <w:lang w:val="en-US" w:eastAsia="zh-CN"/>
        </w:rPr>
        <w:t>****</w:t>
      </w:r>
      <w:r>
        <w:rPr>
          <w:rFonts w:hint="eastAsia" w:eastAsia="仿宋_GB2312" w:cs="Times New Roman"/>
          <w:bCs/>
          <w:color w:val="auto"/>
          <w:sz w:val="24"/>
          <w:szCs w:val="24"/>
          <w:highlight w:val="none"/>
          <w:u w:val="single"/>
          <w:lang w:val="en-US" w:eastAsia="zh-CN"/>
        </w:rPr>
        <w:t xml:space="preserve"> </w:t>
      </w:r>
      <w:r>
        <w:rPr>
          <w:rFonts w:hint="default" w:ascii="Times New Roman" w:hAnsi="Times New Roman" w:eastAsia="仿宋_GB2312" w:cs="Times New Roman"/>
          <w:bCs/>
          <w:color w:val="auto"/>
          <w:sz w:val="24"/>
          <w:szCs w:val="24"/>
          <w:highlight w:val="none"/>
        </w:rPr>
        <w:t>万元，大写</w:t>
      </w:r>
      <w:r>
        <w:rPr>
          <w:rFonts w:hint="default" w:ascii="Times New Roman" w:hAnsi="Times New Roman" w:eastAsia="仿宋_GB2312" w:cs="Times New Roman"/>
          <w:bCs/>
          <w:color w:val="auto"/>
          <w:sz w:val="24"/>
          <w:szCs w:val="24"/>
          <w:highlight w:val="none"/>
          <w:u w:val="none"/>
        </w:rPr>
        <w:t>：</w:t>
      </w:r>
      <w:r>
        <w:rPr>
          <w:rFonts w:hint="eastAsia" w:eastAsia="仿宋_GB2312" w:cs="Times New Roman"/>
          <w:bCs/>
          <w:color w:val="auto"/>
          <w:sz w:val="24"/>
          <w:szCs w:val="24"/>
          <w:highlight w:val="none"/>
          <w:u w:val="single"/>
          <w:lang w:val="en-US" w:eastAsia="zh-CN"/>
        </w:rPr>
        <w:t>****元</w:t>
      </w:r>
      <w:r>
        <w:rPr>
          <w:rFonts w:hint="default" w:ascii="Times New Roman" w:hAnsi="Times New Roman" w:eastAsia="仿宋_GB2312" w:cs="Times New Roman"/>
          <w:bCs/>
          <w:color w:val="auto"/>
          <w:sz w:val="24"/>
          <w:szCs w:val="24"/>
          <w:highlight w:val="none"/>
        </w:rPr>
        <w:t>整。</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2、履约保证金在甲方项目整体验收合格无任何问题一个月内退回，不计息。</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3、如乙方未能履行合同规定的义务，甲方有权在履约保证金中取得补偿。</w:t>
      </w:r>
    </w:p>
    <w:p>
      <w:pPr>
        <w:keepNext w:val="0"/>
        <w:keepLines w:val="0"/>
        <w:pageBreakBefore w:val="0"/>
        <w:widowControl w:val="0"/>
        <w:kinsoku/>
        <w:wordWrap/>
        <w:overflowPunct/>
        <w:topLinePunct w:val="0"/>
        <w:bidi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九、产品变更</w:t>
      </w:r>
    </w:p>
    <w:p>
      <w:pPr>
        <w:keepNext w:val="0"/>
        <w:keepLines w:val="0"/>
        <w:pageBreakBefore w:val="0"/>
        <w:widowControl w:val="0"/>
        <w:kinsoku/>
        <w:wordWrap/>
        <w:overflowPunct/>
        <w:topLinePunct w:val="0"/>
        <w:bidi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合同履行过程中，甲方根据实际情况，需要增减与合同相同的产品，在不改变合同其他条款的前提下，可以与乙方协商签订补充合同，但所有补充合同的采购金额不得超过原合同采购金额的10%，增减产品的价格为相应采购产品的价格，且事先须向浙江浣江传媒集团招管办审核备案。</w:t>
      </w:r>
    </w:p>
    <w:p>
      <w:pPr>
        <w:keepNext w:val="0"/>
        <w:keepLines w:val="0"/>
        <w:pageBreakBefore w:val="0"/>
        <w:kinsoku/>
        <w:wordWrap/>
        <w:overflowPunct/>
        <w:topLinePunct w:val="0"/>
        <w:bidi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十、售后服务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乙方对其提供的所有设备均提供</w:t>
      </w:r>
      <w:r>
        <w:rPr>
          <w:rFonts w:hint="eastAsia" w:eastAsia="仿宋_GB2312" w:cs="Times New Roman"/>
          <w:color w:val="auto"/>
          <w:sz w:val="24"/>
          <w:szCs w:val="24"/>
          <w:highlight w:val="none"/>
          <w:u w:val="single"/>
          <w:lang w:val="en-US" w:eastAsia="zh-CN"/>
        </w:rPr>
        <w:t>***</w:t>
      </w:r>
      <w:r>
        <w:rPr>
          <w:rFonts w:hint="default" w:ascii="Times New Roman" w:hAnsi="Times New Roman" w:eastAsia="仿宋_GB2312" w:cs="Times New Roman"/>
          <w:color w:val="auto"/>
          <w:sz w:val="24"/>
          <w:szCs w:val="24"/>
          <w:highlight w:val="none"/>
        </w:rPr>
        <w:t>年原厂商质保</w:t>
      </w:r>
      <w:r>
        <w:rPr>
          <w:rFonts w:hint="default" w:ascii="Times New Roman" w:hAnsi="Times New Roman" w:eastAsia="仿宋_GB2312" w:cs="Times New Roman"/>
          <w:color w:val="auto"/>
          <w:sz w:val="24"/>
          <w:szCs w:val="24"/>
        </w:rPr>
        <w:t>，终身维护</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sz w:val="24"/>
          <w:szCs w:val="24"/>
        </w:rPr>
        <w:t>质保期内，所有软件免费维护、升级，</w:t>
      </w:r>
      <w:r>
        <w:rPr>
          <w:rFonts w:hint="default" w:ascii="Times New Roman" w:hAnsi="Times New Roman" w:eastAsia="仿宋_GB2312" w:cs="Times New Roman"/>
          <w:color w:val="auto"/>
          <w:sz w:val="24"/>
          <w:szCs w:val="24"/>
        </w:rPr>
        <w:t>免费提供相应解决方案等技术支持</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所有设备免费上门维修服务、免费更换零部件，提供终身维护。质保期从产品验收合格之日起开始计算。</w:t>
      </w:r>
      <w:r>
        <w:rPr>
          <w:rFonts w:hint="default" w:ascii="Times New Roman" w:hAnsi="Times New Roman" w:eastAsia="仿宋_GB2312" w:cs="Times New Roman"/>
          <w:sz w:val="24"/>
          <w:szCs w:val="24"/>
        </w:rPr>
        <w:t>质保期内非人为因素出现的质量问题，须按国家有关规定和要求（如无国家规定和要求的，按承诺和厂方“三包”规定）立即进行免费维修、免费更换有缺陷的零部件、直至免费更换新货物。</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质保期内乙方提供7*24小时技术支持服务。在接到故障通知后，乙方必须在</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内响应，</w:t>
      </w:r>
      <w:r>
        <w:rPr>
          <w:rFonts w:hint="default" w:ascii="Times New Roman" w:hAnsi="Times New Roman" w:eastAsia="仿宋_GB2312" w:cs="Times New Roman"/>
          <w:b w:val="0"/>
          <w:bCs w:val="0"/>
          <w:sz w:val="24"/>
          <w:szCs w:val="24"/>
        </w:rPr>
        <w:t>技术工程师在每天8:00～18:00期间</w:t>
      </w:r>
      <w:r>
        <w:rPr>
          <w:rFonts w:hint="eastAsia" w:eastAsia="仿宋_GB2312" w:cs="Times New Roman"/>
          <w:b w:val="0"/>
          <w:bCs w:val="0"/>
          <w:sz w:val="24"/>
          <w:szCs w:val="24"/>
          <w:u w:val="single"/>
          <w:lang w:val="en-US" w:eastAsia="zh-CN"/>
        </w:rPr>
        <w:t>***</w:t>
      </w:r>
      <w:r>
        <w:rPr>
          <w:rFonts w:hint="default" w:ascii="Times New Roman" w:hAnsi="Times New Roman" w:eastAsia="仿宋_GB2312" w:cs="Times New Roman"/>
          <w:b w:val="0"/>
          <w:bCs w:val="0"/>
          <w:sz w:val="24"/>
          <w:szCs w:val="24"/>
        </w:rPr>
        <w:t>小时内到达现场</w:t>
      </w:r>
      <w:r>
        <w:rPr>
          <w:rFonts w:hint="default" w:ascii="Times New Roman" w:hAnsi="Times New Roman" w:eastAsia="仿宋_GB2312" w:cs="Times New Roman"/>
          <w:b w:val="0"/>
          <w:bCs w:val="0"/>
          <w:color w:val="auto"/>
          <w:sz w:val="24"/>
          <w:szCs w:val="24"/>
        </w:rPr>
        <w:t>进行维护服务（包括维修配件到达服务现场）</w:t>
      </w:r>
      <w:r>
        <w:rPr>
          <w:rFonts w:hint="default" w:ascii="Times New Roman" w:hAnsi="Times New Roman" w:eastAsia="仿宋_GB2312" w:cs="Times New Roman"/>
          <w:b w:val="0"/>
          <w:bCs w:val="0"/>
          <w:sz w:val="24"/>
          <w:szCs w:val="24"/>
        </w:rPr>
        <w:t>，其余期间</w:t>
      </w:r>
      <w:r>
        <w:rPr>
          <w:rFonts w:hint="eastAsia" w:eastAsia="仿宋_GB2312" w:cs="Times New Roman"/>
          <w:b w:val="0"/>
          <w:bCs w:val="0"/>
          <w:sz w:val="24"/>
          <w:szCs w:val="24"/>
          <w:u w:val="single"/>
          <w:lang w:val="en-US" w:eastAsia="zh-CN"/>
        </w:rPr>
        <w:t>***</w:t>
      </w:r>
      <w:r>
        <w:rPr>
          <w:rFonts w:hint="default" w:ascii="Times New Roman" w:hAnsi="Times New Roman" w:eastAsia="仿宋_GB2312" w:cs="Times New Roman"/>
          <w:b w:val="0"/>
          <w:bCs w:val="0"/>
          <w:sz w:val="24"/>
          <w:szCs w:val="24"/>
        </w:rPr>
        <w:t>小时内到达现场。到达现场后</w:t>
      </w:r>
      <w:r>
        <w:rPr>
          <w:rFonts w:hint="eastAsia" w:eastAsia="仿宋_GB2312" w:cs="Times New Roman"/>
          <w:b w:val="0"/>
          <w:bCs w:val="0"/>
          <w:sz w:val="24"/>
          <w:szCs w:val="24"/>
          <w:u w:val="single"/>
          <w:lang w:val="en-US" w:eastAsia="zh-CN"/>
        </w:rPr>
        <w:t>***</w:t>
      </w:r>
      <w:r>
        <w:rPr>
          <w:rFonts w:hint="default" w:ascii="Times New Roman" w:hAnsi="Times New Roman" w:eastAsia="仿宋_GB2312" w:cs="Times New Roman"/>
          <w:b w:val="0"/>
          <w:bCs w:val="0"/>
          <w:sz w:val="24"/>
          <w:szCs w:val="24"/>
        </w:rPr>
        <w:t>小时内排除设备故障。</w:t>
      </w:r>
      <w:r>
        <w:rPr>
          <w:rFonts w:hint="default" w:ascii="Times New Roman" w:hAnsi="Times New Roman" w:eastAsia="仿宋_GB2312" w:cs="Times New Roman"/>
          <w:color w:val="auto"/>
          <w:sz w:val="24"/>
          <w:szCs w:val="24"/>
        </w:rPr>
        <w:t>对于影响设备正常运行的严重故障，乙方的技术人员需在接到故障通知后</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内赶到现场，查找原因，提出解决方案，并工作直至故障修妥，完全恢复正常工作为止，一般要求保证设备在</w:t>
      </w:r>
      <w:r>
        <w:rPr>
          <w:rFonts w:hint="eastAsia" w:eastAsia="仿宋_GB2312" w:cs="Times New Roman"/>
          <w:color w:val="auto"/>
          <w:sz w:val="24"/>
          <w:szCs w:val="24"/>
          <w:u w:val="single"/>
          <w:lang w:val="en-US" w:eastAsia="zh-CN"/>
        </w:rPr>
        <w:t>***</w:t>
      </w:r>
      <w:r>
        <w:rPr>
          <w:rFonts w:hint="default" w:ascii="Times New Roman" w:hAnsi="Times New Roman" w:eastAsia="仿宋_GB2312" w:cs="Times New Roman"/>
          <w:color w:val="auto"/>
          <w:sz w:val="24"/>
          <w:szCs w:val="24"/>
        </w:rPr>
        <w:t>小时内修复，并需要提供确保承诺实现的措施。</w:t>
      </w:r>
      <w:r>
        <w:rPr>
          <w:rFonts w:hint="default" w:ascii="Times New Roman" w:hAnsi="Times New Roman" w:eastAsia="仿宋_GB2312" w:cs="Times New Roman"/>
          <w:sz w:val="24"/>
          <w:szCs w:val="24"/>
        </w:rPr>
        <w:t>因货物本身问题在</w:t>
      </w:r>
      <w:r>
        <w:rPr>
          <w:rFonts w:hint="eastAsia" w:eastAsia="仿宋_GB2312" w:cs="Times New Roman"/>
          <w:sz w:val="24"/>
          <w:szCs w:val="24"/>
          <w:u w:val="single"/>
          <w:lang w:val="en-US" w:eastAsia="zh-CN"/>
        </w:rPr>
        <w:t>***</w:t>
      </w:r>
      <w:r>
        <w:rPr>
          <w:rFonts w:hint="default" w:ascii="Times New Roman" w:hAnsi="Times New Roman" w:eastAsia="仿宋_GB2312" w:cs="Times New Roman"/>
          <w:sz w:val="24"/>
          <w:szCs w:val="24"/>
        </w:rPr>
        <w:t>小时之内仍不能排除的故障，应立刻启用供备用方案，</w:t>
      </w:r>
      <w:r>
        <w:rPr>
          <w:rFonts w:hint="default" w:ascii="Times New Roman" w:hAnsi="Times New Roman" w:eastAsia="仿宋_GB2312" w:cs="Times New Roman"/>
          <w:color w:val="auto"/>
          <w:sz w:val="24"/>
          <w:szCs w:val="24"/>
        </w:rPr>
        <w:t>设备需免费提供备品备件替用。故障处理超过约定时间，每次承担违约金</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00</w:t>
      </w:r>
      <w:r>
        <w:rPr>
          <w:rFonts w:hint="default" w:ascii="Times New Roman" w:hAnsi="Times New Roman" w:eastAsia="仿宋_GB2312" w:cs="Times New Roman"/>
          <w:color w:val="auto"/>
          <w:sz w:val="24"/>
          <w:szCs w:val="24"/>
        </w:rPr>
        <w:t>元，因第三方故意破坏或人力不可抗因素造成故障处理超过约定时间，不再追究规定时间内解决故障的违约责任。</w:t>
      </w:r>
      <w:r>
        <w:rPr>
          <w:rFonts w:hint="default" w:ascii="Times New Roman" w:hAnsi="Times New Roman" w:eastAsia="仿宋_GB2312" w:cs="Times New Roman"/>
          <w:sz w:val="24"/>
          <w:szCs w:val="24"/>
        </w:rPr>
        <w:t>出现故障后，乙方如未按上述要求进行响应，甲方可以采取必要的补救措施，由此产生的风险和费用将由乙方承担。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乙方提供的设备</w:t>
      </w:r>
      <w:r>
        <w:rPr>
          <w:rFonts w:hint="eastAsia" w:ascii="Times New Roman" w:hAnsi="Times New Roman" w:eastAsia="仿宋_GB2312" w:cs="Times New Roman"/>
          <w:color w:val="auto"/>
          <w:sz w:val="24"/>
          <w:szCs w:val="24"/>
          <w:lang w:val="en-US" w:eastAsia="zh-CN"/>
        </w:rPr>
        <w:t>及软件</w:t>
      </w:r>
      <w:r>
        <w:rPr>
          <w:rFonts w:hint="default" w:ascii="Times New Roman" w:hAnsi="Times New Roman" w:eastAsia="仿宋_GB2312" w:cs="Times New Roman"/>
          <w:color w:val="auto"/>
          <w:sz w:val="24"/>
          <w:szCs w:val="24"/>
        </w:rPr>
        <w:t>在质保期内因设备本身的质量问题发生故障，乙方应负责免费更换。对达不到技术要求者，根据实际情况，经双方协商，可按以下办法处理：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（1）更换：由乙方承担所发生的全部费用。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（2）退货处理：乙方应退还甲方支付的合同款，同时应承担该项目的直接费</w:t>
      </w:r>
      <w:r>
        <w:rPr>
          <w:rFonts w:hint="default" w:ascii="Times New Roman" w:hAnsi="Times New Roman" w:eastAsia="仿宋_GB2312" w:cs="Times New Roman"/>
          <w:bCs/>
          <w:sz w:val="24"/>
          <w:szCs w:val="24"/>
          <w:highlight w:val="none"/>
        </w:rPr>
        <w:t>用（检验、货款利息及银行手续费等）</w:t>
      </w:r>
      <w:r>
        <w:rPr>
          <w:rFonts w:hint="default" w:ascii="Times New Roman" w:hAnsi="Times New Roman" w:eastAsia="仿宋_GB2312" w:cs="Times New Roman"/>
          <w:bCs/>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乙方须做出无推诿承诺。即乙方应提供特殊措施，无论由于哪一方产生的问题而使设备发生不正常情况时，在得到甲方通知后，须立即派遣工程师到场，全力协助使设备尽快恢复正常</w:t>
      </w:r>
      <w:r>
        <w:rPr>
          <w:rFonts w:hint="default" w:ascii="Times New Roman" w:hAnsi="Times New Roman" w:eastAsia="仿宋_GB2312" w:cs="Times New Roman"/>
          <w:color w:val="auto"/>
          <w:sz w:val="24"/>
          <w:szCs w:val="24"/>
          <w:highlight w:val="none"/>
        </w:rPr>
        <w:t>，使系统</w:t>
      </w:r>
      <w:r>
        <w:rPr>
          <w:rFonts w:hint="eastAsia" w:ascii="Times New Roman" w:hAnsi="Times New Roman" w:eastAsia="仿宋_GB2312" w:cs="Times New Roman"/>
          <w:color w:val="auto"/>
          <w:sz w:val="24"/>
          <w:szCs w:val="24"/>
          <w:highlight w:val="none"/>
          <w:lang w:val="en-US" w:eastAsia="zh-CN"/>
        </w:rPr>
        <w:t>或设备</w:t>
      </w:r>
      <w:r>
        <w:rPr>
          <w:rFonts w:hint="default" w:ascii="Times New Roman" w:hAnsi="Times New Roman" w:eastAsia="仿宋_GB2312" w:cs="Times New Roman"/>
          <w:color w:val="auto"/>
          <w:sz w:val="24"/>
          <w:szCs w:val="24"/>
          <w:highlight w:val="none"/>
        </w:rPr>
        <w:t>尽快恢复正常</w:t>
      </w:r>
      <w:r>
        <w:rPr>
          <w:rFonts w:hint="default" w:ascii="Times New Roman" w:hAnsi="Times New Roman" w:eastAsia="仿宋_GB2312" w:cs="Times New Roman"/>
          <w:color w:val="auto"/>
          <w:sz w:val="24"/>
          <w:szCs w:val="24"/>
        </w:rPr>
        <w:t>。</w:t>
      </w:r>
    </w:p>
    <w:p>
      <w:pPr>
        <w:pStyle w:val="13"/>
        <w:keepNext w:val="0"/>
        <w:keepLines w:val="0"/>
        <w:pageBreakBefore w:val="0"/>
        <w:kinsoku/>
        <w:wordWrap/>
        <w:overflowPunct/>
        <w:topLinePunct w:val="0"/>
        <w:bidi w:val="0"/>
        <w:spacing w:line="400" w:lineRule="exact"/>
        <w:ind w:left="0" w:leftChars="0" w:firstLine="480" w:firstLineChars="200"/>
        <w:rPr>
          <w:rFonts w:hint="default" w:ascii="Times New Roman" w:hAnsi="Times New Roman" w:eastAsia="仿宋_GB2312" w:cs="Times New Roman"/>
          <w:sz w:val="24"/>
          <w:szCs w:val="24"/>
        </w:rPr>
      </w:pPr>
      <w:r>
        <w:rPr>
          <w:rFonts w:hint="eastAsia"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sz w:val="24"/>
          <w:szCs w:val="24"/>
        </w:rPr>
        <w:t>质保期内提供同版本软件免费客户化修改与免费升级服务，并为用户后续的信息化建设提供长期的技术支持。免费售后维护服务期后的维护费用由双方协商确定，但不得超过项目金额的7%。</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6</w:t>
      </w:r>
      <w:r>
        <w:rPr>
          <w:rFonts w:hint="eastAsia" w:eastAsia="仿宋_GB2312" w:cs="Times New Roman"/>
          <w:bCs/>
          <w:color w:val="auto"/>
          <w:sz w:val="24"/>
          <w:szCs w:val="24"/>
          <w:highlight w:val="none"/>
          <w:lang w:val="en-US" w:eastAsia="zh-CN"/>
        </w:rPr>
        <w:t>.</w:t>
      </w:r>
      <w:r>
        <w:rPr>
          <w:rFonts w:hint="default" w:ascii="Times New Roman" w:hAnsi="Times New Roman" w:eastAsia="仿宋_GB2312" w:cs="Times New Roman"/>
          <w:bCs/>
          <w:color w:val="auto"/>
          <w:sz w:val="24"/>
          <w:szCs w:val="24"/>
          <w:highlight w:val="none"/>
        </w:rPr>
        <w:t>在质保期内，乙方应定时对设备进行巡检和保养，质保期内每季度巡检1次，并免费处理因产品质量问题导致的故障，若设备发生故障，乙方应先提供备件供甲方使用。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7.</w:t>
      </w:r>
      <w:r>
        <w:rPr>
          <w:rFonts w:hint="default" w:ascii="Times New Roman" w:hAnsi="Times New Roman" w:eastAsia="仿宋_GB2312" w:cs="Times New Roman"/>
          <w:bCs/>
          <w:color w:val="auto"/>
          <w:sz w:val="24"/>
          <w:szCs w:val="24"/>
          <w:highlight w:val="none"/>
        </w:rPr>
        <w:t>软件先进性要求：五年质保期内，乙方免费对软件版本进行升级，确保甲方使用软件一直是乙方行业内最新版本。</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val="0"/>
          <w:color w:val="auto"/>
          <w:sz w:val="24"/>
          <w:szCs w:val="24"/>
          <w:highlight w:val="none"/>
        </w:rPr>
      </w:pPr>
      <w:r>
        <w:rPr>
          <w:rFonts w:hint="eastAsia" w:ascii="Times New Roman" w:hAnsi="Times New Roman" w:eastAsia="仿宋_GB2312" w:cs="Times New Roman"/>
          <w:bCs w:val="0"/>
          <w:color w:val="auto"/>
          <w:sz w:val="24"/>
          <w:szCs w:val="24"/>
          <w:highlight w:val="none"/>
          <w:lang w:val="en-US" w:eastAsia="zh-CN"/>
        </w:rPr>
        <w:t>8.</w:t>
      </w:r>
      <w:r>
        <w:rPr>
          <w:rFonts w:hint="default" w:ascii="Times New Roman" w:hAnsi="Times New Roman" w:eastAsia="仿宋_GB2312" w:cs="Times New Roman"/>
          <w:bCs w:val="0"/>
          <w:color w:val="auto"/>
          <w:sz w:val="24"/>
          <w:szCs w:val="24"/>
          <w:highlight w:val="none"/>
          <w:lang w:eastAsia="zh-CN"/>
        </w:rPr>
        <w:t>乙方须无偿开发相关端口和相关协议，配合后续相关软件厂商做对接。中标人还需无偿为第三方APP、小程序或机顶盒等终端提供接口服务，并配合第三方APP、小程序或机顶盒等终端厂商完成接口服务相关功能的开发和调试。</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9.</w:t>
      </w:r>
      <w:r>
        <w:rPr>
          <w:rFonts w:hint="default" w:ascii="Times New Roman" w:hAnsi="Times New Roman" w:eastAsia="仿宋_GB2312" w:cs="Times New Roman"/>
          <w:bCs/>
          <w:color w:val="auto"/>
          <w:sz w:val="24"/>
          <w:szCs w:val="24"/>
          <w:highlight w:val="none"/>
          <w:lang w:val="en-US" w:eastAsia="zh-CN"/>
        </w:rPr>
        <w:t>乙方要及时提供新建站点接入平台及数据库的服务，并为日后与其他系统的对接改造提供技术支持。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10.</w:t>
      </w:r>
      <w:r>
        <w:rPr>
          <w:rFonts w:hint="default" w:ascii="Times New Roman" w:hAnsi="Times New Roman" w:eastAsia="仿宋_GB2312" w:cs="Times New Roman"/>
          <w:bCs/>
          <w:color w:val="auto"/>
          <w:sz w:val="24"/>
          <w:szCs w:val="24"/>
          <w:highlight w:val="none"/>
        </w:rPr>
        <w:t>乙方需自觉接受最终用户、甲方单位、监理单位的监督管理。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11.</w:t>
      </w:r>
      <w:r>
        <w:rPr>
          <w:rFonts w:hint="default" w:ascii="Times New Roman" w:hAnsi="Times New Roman" w:eastAsia="仿宋_GB2312" w:cs="Times New Roman"/>
          <w:bCs/>
          <w:color w:val="auto"/>
          <w:sz w:val="24"/>
          <w:szCs w:val="24"/>
          <w:highlight w:val="none"/>
        </w:rPr>
        <w:t>乙方应保障平台运作过程中采集到的所有数据及信息的安全性；保证数据及信息不外泄，不另作他用。如果因软件系统原因导致数据及信息外泄或另作他用而引发的第三方投诉、追诉、要求赔偿等纠纷而造成甲方损失的，所有经济损失全部由乙方负责承担。</w:t>
      </w:r>
    </w:p>
    <w:p>
      <w:pPr>
        <w:keepNext w:val="0"/>
        <w:keepLines w:val="0"/>
        <w:pageBreakBefore w:val="0"/>
        <w:widowControl w:val="0"/>
        <w:kinsoku/>
        <w:wordWrap/>
        <w:overflowPunct/>
        <w:topLinePunct w:val="0"/>
        <w:autoSpaceDE w:val="0"/>
        <w:autoSpaceDN w:val="0"/>
        <w:bidi w:val="0"/>
        <w:adjustRightInd w:val="0"/>
        <w:snapToGrid/>
        <w:spacing w:line="400" w:lineRule="exact"/>
        <w:ind w:left="482"/>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十</w:t>
      </w:r>
      <w:r>
        <w:rPr>
          <w:rFonts w:hint="eastAsia" w:ascii="Times New Roman" w:hAnsi="Times New Roman" w:eastAsia="仿宋_GB2312" w:cs="Times New Roman"/>
          <w:b/>
          <w:sz w:val="24"/>
          <w:szCs w:val="24"/>
          <w:lang w:val="en-US" w:eastAsia="zh-CN"/>
        </w:rPr>
        <w:t>一</w:t>
      </w:r>
      <w:r>
        <w:rPr>
          <w:rFonts w:hint="default" w:ascii="Times New Roman" w:hAnsi="Times New Roman" w:eastAsia="仿宋_GB2312" w:cs="Times New Roman"/>
          <w:b/>
          <w:sz w:val="24"/>
          <w:szCs w:val="24"/>
        </w:rPr>
        <w:t>、保密义务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双方应严格保守在合作过程中所了解的对方的商业及技术机密，否则应对由此造成的损失承担赔偿。</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任何一方不得出于除履行本合同以外的任何目的的披露、传播、复制或使用来自另一方的所有或者部分保密信息；不得在未经另一方书面明确同意的前提下向任何第三方披露本项目相关保密信息；本合同履行完毕后，任一方应当将所有涉及保密信息的载体交还另一方或自行做好管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乙方应严格遵循甲方各项安全保密制度，所有信息数据迁移、处理等过程中严禁私自复制、传输，完成建设任务后，乙方使用的用户信息等敏感数据必须物理清除。</w:t>
      </w:r>
    </w:p>
    <w:p>
      <w:pPr>
        <w:pStyle w:val="37"/>
        <w:keepNext w:val="0"/>
        <w:keepLines w:val="0"/>
        <w:pageBreakBefore w:val="0"/>
        <w:kinsoku/>
        <w:wordWrap/>
        <w:overflowPunct/>
        <w:topLinePunct w:val="0"/>
        <w:bidi w:val="0"/>
        <w:spacing w:line="400" w:lineRule="exact"/>
        <w:textAlignment w:val="baseline"/>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4.乙方</w:t>
      </w:r>
      <w:r>
        <w:rPr>
          <w:rFonts w:hint="eastAsia" w:ascii="Times New Roman" w:hAnsi="Times New Roman" w:eastAsia="仿宋_GB2312" w:cs="Times New Roman"/>
          <w:color w:val="auto"/>
          <w:kern w:val="0"/>
          <w:sz w:val="24"/>
          <w:szCs w:val="24"/>
          <w:lang w:val="zh-CN" w:eastAsia="zh-CN" w:bidi="ar-SA"/>
        </w:rPr>
        <w:t>有义务保障平台的稳定性、账户的安全性，因平台崩溃、账户盗号或被攻击发布非法信息等引发的问题，所有经济责任及法律责任均由</w:t>
      </w:r>
      <w:r>
        <w:rPr>
          <w:rFonts w:hint="eastAsia" w:ascii="Times New Roman" w:hAnsi="Times New Roman" w:eastAsia="仿宋_GB2312" w:cs="Times New Roman"/>
          <w:color w:val="auto"/>
          <w:kern w:val="0"/>
          <w:sz w:val="24"/>
          <w:szCs w:val="24"/>
          <w:lang w:val="en-US" w:eastAsia="zh-CN" w:bidi="ar-SA"/>
        </w:rPr>
        <w:t>乙方</w:t>
      </w:r>
      <w:r>
        <w:rPr>
          <w:rFonts w:hint="eastAsia" w:ascii="Times New Roman" w:hAnsi="Times New Roman" w:eastAsia="仿宋_GB2312" w:cs="Times New Roman"/>
          <w:color w:val="auto"/>
          <w:kern w:val="0"/>
          <w:sz w:val="24"/>
          <w:szCs w:val="24"/>
          <w:lang w:val="zh-CN" w:eastAsia="zh-CN" w:bidi="ar-SA"/>
        </w:rPr>
        <w:t>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不论本合同是否变更、解除、终止，本条款均有效。</w:t>
      </w:r>
    </w:p>
    <w:p>
      <w:pPr>
        <w:pStyle w:val="3"/>
        <w:keepNext w:val="0"/>
        <w:keepLines w:val="0"/>
        <w:pageBreakBefore w:val="0"/>
        <w:kinsoku/>
        <w:wordWrap/>
        <w:overflowPunct/>
        <w:topLinePunct w:val="0"/>
        <w:bidi w:val="0"/>
        <w:spacing w:line="400" w:lineRule="exact"/>
        <w:rPr>
          <w:rFonts w:hint="eastAsia"/>
          <w:lang w:val="en-US" w:eastAsia="zh-CN"/>
        </w:rPr>
      </w:pPr>
      <w:r>
        <w:rPr>
          <w:rFonts w:hint="eastAsia"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lang w:val="en-US" w:eastAsia="zh-CN"/>
        </w:rPr>
        <w:t>没有</w:t>
      </w:r>
      <w:r>
        <w:rPr>
          <w:rFonts w:hint="eastAsia" w:ascii="Times New Roman" w:hAnsi="Times New Roman" w:eastAsia="仿宋_GB2312" w:cs="Times New Roman"/>
          <w:color w:val="auto"/>
          <w:sz w:val="24"/>
          <w:szCs w:val="24"/>
          <w:lang w:val="en-US" w:eastAsia="zh-CN"/>
        </w:rPr>
        <w:t>甲方</w:t>
      </w:r>
      <w:r>
        <w:rPr>
          <w:rFonts w:hint="default" w:ascii="Times New Roman" w:hAnsi="Times New Roman" w:eastAsia="仿宋_GB2312" w:cs="Times New Roman"/>
          <w:color w:val="auto"/>
          <w:sz w:val="24"/>
          <w:szCs w:val="24"/>
          <w:lang w:val="en-US" w:eastAsia="zh-CN"/>
        </w:rPr>
        <w:t>事先书面同意，</w:t>
      </w:r>
      <w:r>
        <w:rPr>
          <w:rFonts w:hint="eastAsia" w:ascii="Times New Roman" w:hAnsi="Times New Roman" w:eastAsia="仿宋_GB2312" w:cs="Times New Roman"/>
          <w:color w:val="auto"/>
          <w:sz w:val="24"/>
          <w:szCs w:val="24"/>
          <w:lang w:val="en-US" w:eastAsia="zh-CN"/>
        </w:rPr>
        <w:t>乙方</w:t>
      </w:r>
      <w:r>
        <w:rPr>
          <w:rFonts w:hint="default" w:ascii="Times New Roman" w:hAnsi="Times New Roman" w:eastAsia="仿宋_GB2312" w:cs="Times New Roman"/>
          <w:color w:val="auto"/>
          <w:sz w:val="24"/>
          <w:szCs w:val="24"/>
          <w:lang w:val="en-US" w:eastAsia="zh-CN"/>
        </w:rPr>
        <w:t>不得将由</w:t>
      </w:r>
      <w:r>
        <w:rPr>
          <w:rFonts w:hint="eastAsia" w:ascii="Times New Roman" w:hAnsi="Times New Roman" w:eastAsia="仿宋_GB2312" w:cs="Times New Roman"/>
          <w:color w:val="auto"/>
          <w:sz w:val="24"/>
          <w:szCs w:val="24"/>
          <w:lang w:val="en-US" w:eastAsia="zh-CN"/>
        </w:rPr>
        <w:t>甲方</w:t>
      </w:r>
      <w:r>
        <w:rPr>
          <w:rFonts w:hint="default" w:ascii="Times New Roman" w:hAnsi="Times New Roman" w:eastAsia="仿宋_GB2312" w:cs="Times New Roman"/>
          <w:color w:val="auto"/>
          <w:sz w:val="24"/>
          <w:szCs w:val="24"/>
          <w:lang w:val="en-US" w:eastAsia="zh-CN"/>
        </w:rPr>
        <w:t>提供的有关合同或任何合同条文、计划、文档或源代码提供给与履行本合同无关的任何其他人。即使向履行本合同有关的人员提供，也应注意保密并限于履行合同的必需范围。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十</w:t>
      </w:r>
      <w:r>
        <w:rPr>
          <w:rFonts w:hint="eastAsia" w:ascii="Times New Roman" w:hAnsi="Times New Roman" w:eastAsia="仿宋_GB2312" w:cs="Times New Roman"/>
          <w:b/>
          <w:color w:val="auto"/>
          <w:sz w:val="24"/>
          <w:szCs w:val="24"/>
          <w:lang w:val="en-US" w:eastAsia="zh-CN"/>
        </w:rPr>
        <w:t>二</w:t>
      </w:r>
      <w:r>
        <w:rPr>
          <w:rFonts w:hint="default" w:ascii="Times New Roman" w:hAnsi="Times New Roman" w:eastAsia="仿宋_GB2312" w:cs="Times New Roman"/>
          <w:b/>
          <w:color w:val="auto"/>
          <w:sz w:val="24"/>
          <w:szCs w:val="24"/>
        </w:rPr>
        <w:t>、违约责任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甲方无正当理由拒收货物，由甲方向乙方偿付合同总价的5%违约金。</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甲方未能在合同规定期限内验收完毕的，每超过一天，付合同价的0.05 %的违约金给乙方。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乙方逾期提交阶段产物的，乙方应按照合同总额每日0.05 %向甲方支付违约金，由甲方从履约保证金中扣除。逾期超过约定日期30个工作日不能提交阶段产物的，甲方有权保留进一步追究乙方违约责任的权力。乙方提交的阶段产物如不能通过评审或验收的，视同未提交。乙方因逾期交货或因其他违约行为导致甲方与最终用户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乙方逾期交付货物的</w:t>
      </w:r>
      <w:r>
        <w:rPr>
          <w:rFonts w:hint="eastAsia" w:ascii="Times New Roman" w:hAnsi="Times New Roman" w:eastAsia="仿宋_GB2312" w:cs="Times New Roman"/>
          <w:color w:val="auto"/>
          <w:sz w:val="24"/>
          <w:szCs w:val="24"/>
          <w:lang w:eastAsia="zh-CN"/>
        </w:rPr>
        <w:t>或逾期完成项目建设的</w:t>
      </w:r>
      <w:r>
        <w:rPr>
          <w:rFonts w:hint="default" w:ascii="Times New Roman" w:hAnsi="Times New Roman" w:eastAsia="仿宋_GB2312" w:cs="Times New Roman"/>
          <w:color w:val="auto"/>
          <w:sz w:val="24"/>
          <w:szCs w:val="24"/>
        </w:rPr>
        <w:t>，每逾期1天，乙方向甲方偿付逾期交货部分货物货款的0.5%的滞纳金，每逾期一天货物款延迟一个月支付；逾期5天以上15天以下的，乙方向甲方偿付合同款总价5%的滞纳金，每逾期一天货物款延迟3个月支付；如乙方逾期交货15天以上的，甲方有权解除合同，解除合同的通知自到达乙方时生效。</w:t>
      </w:r>
    </w:p>
    <w:p>
      <w:pPr>
        <w:pStyle w:val="40"/>
        <w:keepNext w:val="0"/>
        <w:keepLines w:val="0"/>
        <w:pageBreakBefore w:val="0"/>
        <w:widowControl w:val="0"/>
        <w:kinsoku/>
        <w:wordWrap/>
        <w:overflowPunct/>
        <w:topLinePunct w:val="0"/>
        <w:autoSpaceDE w:val="0"/>
        <w:autoSpaceDN w:val="0"/>
        <w:bidi w:val="0"/>
        <w:adjustRightInd w:val="0"/>
        <w:snapToGrid/>
        <w:spacing w:after="0" w:line="400" w:lineRule="exact"/>
        <w:ind w:left="0" w:leftChars="0" w:firstLine="480" w:firstLineChars="200"/>
        <w:textAlignment w:val="auto"/>
        <w:outlineLvl w:val="9"/>
        <w:rPr>
          <w:rFonts w:hint="default" w:ascii="Times New Roman" w:hAnsi="Times New Roman" w:eastAsia="仿宋_GB2312" w:cs="Times New Roman"/>
          <w:color w:val="auto"/>
          <w:sz w:val="24"/>
          <w:szCs w:val="24"/>
          <w:highlight w:val="none"/>
          <w:u w:val="none"/>
        </w:rPr>
      </w:pPr>
      <w:r>
        <w:rPr>
          <w:rFonts w:hint="eastAsia" w:eastAsia="仿宋_GB2312" w:cs="Times New Roman"/>
          <w:color w:val="auto"/>
          <w:sz w:val="24"/>
          <w:szCs w:val="24"/>
          <w:lang w:val="en-US" w:eastAsia="zh-CN"/>
        </w:rPr>
        <w:t>5.</w:t>
      </w:r>
      <w:r>
        <w:rPr>
          <w:rFonts w:hint="default" w:ascii="Times New Roman" w:hAnsi="Times New Roman" w:eastAsia="仿宋_GB2312" w:cs="Times New Roman"/>
          <w:sz w:val="24"/>
          <w:szCs w:val="24"/>
          <w:highlight w:val="none"/>
        </w:rPr>
        <w:t>乙方在项目实施中应注意自身安全，要设置防护设施，加强对施工人员的安全教育，在安装、施工期间发生的安全事故，均由乙方负全责。</w:t>
      </w:r>
      <w:r>
        <w:rPr>
          <w:rFonts w:hint="default" w:ascii="Times New Roman" w:hAnsi="Times New Roman" w:eastAsia="仿宋_GB2312" w:cs="Times New Roman"/>
          <w:color w:val="auto"/>
          <w:sz w:val="24"/>
          <w:szCs w:val="24"/>
          <w:highlight w:val="none"/>
          <w:u w:val="none"/>
        </w:rPr>
        <w:t>如因乙方人员未在场引起的安全责任事故，</w:t>
      </w:r>
      <w:r>
        <w:rPr>
          <w:rFonts w:hint="eastAsia" w:ascii="Times New Roman" w:hAnsi="Times New Roman" w:eastAsia="仿宋_GB2312" w:cs="Times New Roman"/>
          <w:sz w:val="24"/>
          <w:szCs w:val="24"/>
          <w:highlight w:val="none"/>
          <w:lang w:val="en-US" w:eastAsia="zh-CN"/>
        </w:rPr>
        <w:t>以及</w:t>
      </w:r>
      <w:r>
        <w:rPr>
          <w:rFonts w:hint="default" w:ascii="Times New Roman" w:hAnsi="Times New Roman" w:eastAsia="仿宋_GB2312" w:cs="Times New Roman"/>
          <w:sz w:val="24"/>
          <w:szCs w:val="24"/>
          <w:highlight w:val="none"/>
        </w:rPr>
        <w:t>乙方在项目实施中</w:t>
      </w:r>
      <w:r>
        <w:rPr>
          <w:rFonts w:hint="eastAsia" w:ascii="Times New Roman" w:hAnsi="Times New Roman" w:eastAsia="仿宋_GB2312" w:cs="Times New Roman"/>
          <w:sz w:val="24"/>
          <w:szCs w:val="24"/>
          <w:highlight w:val="none"/>
          <w:lang w:val="en-US" w:eastAsia="zh-CN"/>
        </w:rPr>
        <w:t>出现的劳动纠纷，</w:t>
      </w:r>
      <w:r>
        <w:rPr>
          <w:rFonts w:hint="default" w:ascii="Times New Roman" w:hAnsi="Times New Roman" w:eastAsia="仿宋_GB2312" w:cs="Times New Roman"/>
          <w:sz w:val="24"/>
          <w:szCs w:val="24"/>
          <w:highlight w:val="none"/>
        </w:rPr>
        <w:t>所有</w:t>
      </w:r>
      <w:r>
        <w:rPr>
          <w:rFonts w:hint="default" w:ascii="Times New Roman" w:hAnsi="Times New Roman" w:eastAsia="仿宋_GB2312" w:cs="Times New Roman"/>
          <w:color w:val="auto"/>
          <w:sz w:val="24"/>
          <w:szCs w:val="24"/>
          <w:highlight w:val="none"/>
          <w:u w:val="none"/>
        </w:rPr>
        <w:t>责任由乙方承担。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乙方所交的设备规格、技术参数、质量不符合合同规定标准的，甲方有权拒收，乙方愿意更换但逾期交货的，按乙方逾期交货处理。乙方拒绝更换的，甲方可单方面解除合同。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7.</w:t>
      </w:r>
      <w:r>
        <w:rPr>
          <w:rFonts w:hint="default" w:ascii="Times New Roman" w:hAnsi="Times New Roman" w:eastAsia="仿宋_GB2312" w:cs="Times New Roman"/>
          <w:color w:val="auto"/>
          <w:sz w:val="24"/>
          <w:szCs w:val="24"/>
        </w:rPr>
        <w:t>项目实施过程中需100%保证采购需求里面的内容，未经甲方同意中途不得更换，否则甲方有权根据实际情况扣除费用。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如因乙方技术原因导致重大故障的，甲方有权保留进一步追究乙方违约责任的权力。</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9.</w:t>
      </w:r>
      <w:r>
        <w:rPr>
          <w:rFonts w:hint="default" w:ascii="Times New Roman" w:hAnsi="Times New Roman" w:eastAsia="仿宋_GB2312" w:cs="Times New Roman"/>
          <w:bCs/>
          <w:color w:val="auto"/>
          <w:sz w:val="24"/>
          <w:szCs w:val="24"/>
          <w:highlight w:val="none"/>
        </w:rPr>
        <w:t>乙方在本合同5年质保期内有新版本更新后，未能及时在新版本出现1个月内给</w:t>
      </w:r>
      <w:r>
        <w:rPr>
          <w:rFonts w:hint="eastAsia" w:eastAsia="仿宋_GB2312" w:cs="Times New Roman"/>
          <w:bCs/>
          <w:color w:val="auto"/>
          <w:sz w:val="24"/>
          <w:szCs w:val="24"/>
          <w:highlight w:val="none"/>
          <w:lang w:val="en-US" w:eastAsia="zh-CN"/>
        </w:rPr>
        <w:t>予</w:t>
      </w:r>
      <w:r>
        <w:rPr>
          <w:rFonts w:hint="default" w:ascii="Times New Roman" w:hAnsi="Times New Roman" w:eastAsia="仿宋_GB2312" w:cs="Times New Roman"/>
          <w:bCs/>
          <w:color w:val="auto"/>
          <w:sz w:val="24"/>
          <w:szCs w:val="24"/>
          <w:highlight w:val="none"/>
        </w:rPr>
        <w:t>更新，则按每次版本升级乙方向甲方支付合同总值10%的违约金。</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highlight w:val="none"/>
        </w:rPr>
      </w:pPr>
      <w:r>
        <w:rPr>
          <w:rFonts w:hint="eastAsia" w:ascii="Times New Roman" w:hAnsi="Times New Roman" w:eastAsia="仿宋_GB2312" w:cs="Times New Roman"/>
          <w:bCs/>
          <w:color w:val="auto"/>
          <w:sz w:val="24"/>
          <w:szCs w:val="24"/>
          <w:highlight w:val="none"/>
          <w:lang w:val="en-US" w:eastAsia="zh-CN"/>
        </w:rPr>
        <w:t>10.</w:t>
      </w:r>
      <w:r>
        <w:rPr>
          <w:rFonts w:hint="default" w:ascii="Times New Roman" w:hAnsi="Times New Roman" w:eastAsia="仿宋_GB2312" w:cs="Times New Roman"/>
          <w:bCs/>
          <w:color w:val="auto"/>
          <w:sz w:val="24"/>
          <w:szCs w:val="24"/>
          <w:highlight w:val="none"/>
        </w:rPr>
        <w:t>若乙方违反了本合同“保密义务”中的任一条款，需向甲方支付合同总值的10%作为违约金；若实际损失超过乙方支付违约金的，甲方有权继续向乙方追偿，因追偿产生的一切费用均由乙方承担。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11.</w:t>
      </w:r>
      <w:r>
        <w:rPr>
          <w:rFonts w:hint="default" w:ascii="Times New Roman" w:hAnsi="Times New Roman" w:eastAsia="仿宋_GB2312" w:cs="Times New Roman"/>
          <w:bCs/>
          <w:color w:val="auto"/>
          <w:sz w:val="24"/>
          <w:szCs w:val="24"/>
          <w:highlight w:val="none"/>
        </w:rPr>
        <w:t>乙方未能在质保期内按要求及时提供技术支持和故障维护，每次支付5000元违约金，如因乙方原因未能及时提供技术支持或故障维护而引起的安全责任事故，所有经济责任及法律责任均由乙方承担。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eastAsia"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12.</w:t>
      </w:r>
      <w:r>
        <w:rPr>
          <w:rFonts w:hint="eastAsia" w:eastAsia="仿宋_GB2312" w:cs="Times New Roman"/>
          <w:bCs/>
          <w:color w:val="auto"/>
          <w:sz w:val="24"/>
          <w:szCs w:val="24"/>
          <w:highlight w:val="none"/>
          <w:lang w:eastAsia="zh-CN"/>
        </w:rPr>
        <w:t xml:space="preserve"> </w:t>
      </w:r>
      <w:r>
        <w:rPr>
          <w:rFonts w:hint="default" w:ascii="Times New Roman" w:hAnsi="Times New Roman" w:eastAsia="仿宋_GB2312" w:cs="Times New Roman"/>
          <w:bCs/>
          <w:color w:val="auto"/>
          <w:sz w:val="24"/>
          <w:szCs w:val="24"/>
          <w:highlight w:val="none"/>
        </w:rPr>
        <w:t>未经甲方同意，乙方未能按照售后服务要求提供人员驻场平台运维与定制开发服务，每人每天支付500元违约金</w:t>
      </w:r>
      <w:r>
        <w:rPr>
          <w:rFonts w:hint="eastAsia" w:eastAsia="仿宋_GB2312" w:cs="Times New Roman"/>
          <w:bCs/>
          <w:color w:val="auto"/>
          <w:sz w:val="24"/>
          <w:szCs w:val="24"/>
          <w:highlight w:val="none"/>
          <w:lang w:eastAsia="zh-CN"/>
        </w:rPr>
        <w:t>，</w:t>
      </w:r>
      <w:r>
        <w:rPr>
          <w:rFonts w:hint="eastAsia" w:ascii="仿宋" w:hAnsi="仿宋" w:eastAsia="仿宋" w:cs="仿宋"/>
          <w:bCs/>
          <w:color w:val="auto"/>
          <w:sz w:val="24"/>
          <w:szCs w:val="24"/>
        </w:rPr>
        <w:t>累计达15天，则扣除当年平台运维与定制开发服务费用。</w:t>
      </w:r>
      <w:r>
        <w:rPr>
          <w:rFonts w:hint="default" w:ascii="Times New Roman" w:hAnsi="Times New Roman" w:eastAsia="仿宋_GB2312" w:cs="Times New Roman"/>
          <w:bCs/>
          <w:color w:val="auto"/>
          <w:sz w:val="24"/>
          <w:szCs w:val="24"/>
          <w:highlight w:val="none"/>
        </w:rPr>
        <w:t>如因乙方人员未在场引起的安全责任事故，所有责任由乙方承担。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rPr>
          <w:rFonts w:hint="default"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13.上述因乙方违约造成的损失，甲方均有权从未付款项中扣除。</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Times New Roman" w:hAnsi="Times New Roman" w:eastAsia="仿宋_GB2312" w:cs="Times New Roman"/>
          <w:b/>
          <w:color w:val="auto"/>
          <w:sz w:val="24"/>
          <w:szCs w:val="24"/>
          <w:lang w:val="zh-CN"/>
        </w:rPr>
      </w:pPr>
      <w:r>
        <w:rPr>
          <w:rFonts w:hint="default" w:ascii="Times New Roman" w:hAnsi="Times New Roman" w:eastAsia="仿宋_GB2312" w:cs="Times New Roman"/>
          <w:b/>
          <w:sz w:val="24"/>
          <w:szCs w:val="24"/>
        </w:rPr>
        <w:t>十</w:t>
      </w:r>
      <w:r>
        <w:rPr>
          <w:rFonts w:hint="eastAsia" w:ascii="Times New Roman" w:hAnsi="Times New Roman" w:eastAsia="仿宋_GB2312" w:cs="Times New Roman"/>
          <w:b/>
          <w:sz w:val="24"/>
          <w:szCs w:val="24"/>
          <w:lang w:val="en-US" w:eastAsia="zh-CN"/>
        </w:rPr>
        <w:t>三</w:t>
      </w:r>
      <w:r>
        <w:rPr>
          <w:rFonts w:hint="default" w:ascii="Times New Roman" w:hAnsi="Times New Roman" w:eastAsia="仿宋_GB2312" w:cs="Times New Roman"/>
          <w:b/>
          <w:sz w:val="24"/>
          <w:szCs w:val="24"/>
        </w:rPr>
        <w:t>、</w:t>
      </w:r>
      <w:r>
        <w:rPr>
          <w:rFonts w:hint="eastAsia" w:ascii="Times New Roman" w:hAnsi="Times New Roman" w:eastAsia="仿宋_GB2312" w:cs="Times New Roman"/>
          <w:b/>
          <w:color w:val="auto"/>
          <w:sz w:val="24"/>
          <w:szCs w:val="24"/>
          <w:lang w:val="zh-CN"/>
        </w:rPr>
        <w:t>转包或分包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Times New Roman" w:hAnsi="Times New Roman" w:eastAsia="仿宋_GB2312" w:cs="Times New Roman"/>
          <w:color w:val="auto"/>
          <w:kern w:val="0"/>
          <w:sz w:val="24"/>
          <w:szCs w:val="24"/>
          <w:lang w:val="zh-CN" w:eastAsia="zh-CN" w:bidi="ar-SA"/>
        </w:rPr>
      </w:pPr>
      <w:r>
        <w:rPr>
          <w:rFonts w:hint="eastAsia" w:ascii="Times New Roman" w:hAnsi="Times New Roman" w:eastAsia="仿宋_GB2312" w:cs="Times New Roman"/>
          <w:color w:val="auto"/>
          <w:kern w:val="0"/>
          <w:sz w:val="24"/>
          <w:szCs w:val="24"/>
          <w:lang w:val="zh-CN" w:eastAsia="zh-CN" w:bidi="ar-SA"/>
        </w:rPr>
        <w:t>本合同范围的软件，应由乙方直接供应，不得转让他人供应，否则，甲方有权解除合同，没收履约保证金并追究乙方的违约责任。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lang w:val="zh-CN"/>
        </w:rPr>
      </w:pPr>
      <w:r>
        <w:rPr>
          <w:rFonts w:hint="default" w:ascii="Times New Roman" w:hAnsi="Times New Roman" w:eastAsia="仿宋_GB2312" w:cs="Times New Roman"/>
          <w:b/>
          <w:sz w:val="24"/>
          <w:szCs w:val="24"/>
        </w:rPr>
        <w:t>十</w:t>
      </w:r>
      <w:r>
        <w:rPr>
          <w:rFonts w:hint="eastAsia" w:ascii="Times New Roman" w:hAnsi="Times New Roman" w:eastAsia="仿宋_GB2312" w:cs="Times New Roman"/>
          <w:b/>
          <w:sz w:val="24"/>
          <w:szCs w:val="24"/>
          <w:lang w:val="en-US" w:eastAsia="zh-CN"/>
        </w:rPr>
        <w:t>四</w:t>
      </w:r>
      <w:r>
        <w:rPr>
          <w:rFonts w:hint="default" w:ascii="Times New Roman" w:hAnsi="Times New Roman" w:eastAsia="仿宋_GB2312" w:cs="Times New Roman"/>
          <w:b/>
          <w:sz w:val="24"/>
          <w:szCs w:val="24"/>
        </w:rPr>
        <w:t>、</w:t>
      </w:r>
      <w:r>
        <w:rPr>
          <w:rFonts w:hint="eastAsia" w:ascii="Times New Roman" w:hAnsi="Times New Roman" w:eastAsia="仿宋_GB2312" w:cs="Times New Roman"/>
          <w:b/>
          <w:color w:val="auto"/>
          <w:sz w:val="24"/>
          <w:szCs w:val="24"/>
          <w:lang w:val="zh-CN"/>
        </w:rPr>
        <w:t>知识产权</w:t>
      </w:r>
    </w:p>
    <w:p>
      <w:pPr>
        <w:pStyle w:val="37"/>
        <w:keepNext w:val="0"/>
        <w:keepLines w:val="0"/>
        <w:pageBreakBefore w:val="0"/>
        <w:kinsoku/>
        <w:wordWrap/>
        <w:overflowPunct/>
        <w:topLinePunct w:val="0"/>
        <w:bidi w:val="0"/>
        <w:spacing w:line="400" w:lineRule="exact"/>
        <w:textAlignment w:val="baseline"/>
        <w:rPr>
          <w:rFonts w:hint="default" w:ascii="Times New Roman" w:hAnsi="Times New Roman" w:eastAsia="仿宋_GB2312" w:cs="Times New Roman"/>
          <w:color w:val="auto"/>
          <w:kern w:val="0"/>
          <w:sz w:val="24"/>
          <w:szCs w:val="24"/>
          <w:lang w:val="zh-CN" w:eastAsia="zh-CN" w:bidi="ar-SA"/>
        </w:rPr>
      </w:pPr>
      <w:r>
        <w:rPr>
          <w:rFonts w:hint="eastAsia" w:ascii="Times New Roman" w:hAnsi="Times New Roman" w:eastAsia="仿宋_GB2312" w:cs="Times New Roman"/>
          <w:color w:val="auto"/>
          <w:kern w:val="0"/>
          <w:sz w:val="24"/>
          <w:szCs w:val="24"/>
          <w:lang w:val="en-US" w:eastAsia="zh-CN" w:bidi="ar-SA"/>
        </w:rPr>
        <w:t>1.乙方</w:t>
      </w:r>
      <w:r>
        <w:rPr>
          <w:rFonts w:hint="eastAsia" w:ascii="Times New Roman" w:hAnsi="Times New Roman" w:eastAsia="仿宋_GB2312" w:cs="Times New Roman"/>
          <w:color w:val="auto"/>
          <w:kern w:val="0"/>
          <w:sz w:val="24"/>
          <w:szCs w:val="24"/>
          <w:lang w:val="zh-CN" w:eastAsia="zh-CN" w:bidi="ar-SA"/>
        </w:rPr>
        <w:t>应保证所提供的软件或其任何一部分均不会侵犯任何第三方的知识产权。</w:t>
      </w:r>
    </w:p>
    <w:p>
      <w:pPr>
        <w:pStyle w:val="37"/>
        <w:keepNext w:val="0"/>
        <w:keepLines w:val="0"/>
        <w:pageBreakBefore w:val="0"/>
        <w:kinsoku/>
        <w:wordWrap/>
        <w:overflowPunct/>
        <w:topLinePunct w:val="0"/>
        <w:bidi w:val="0"/>
        <w:spacing w:line="400" w:lineRule="exact"/>
        <w:ind w:left="0" w:leftChars="0" w:firstLine="480" w:firstLineChars="200"/>
        <w:textAlignment w:val="baseline"/>
        <w:rPr>
          <w:rFonts w:hint="eastAsia" w:ascii="Times New Roman" w:hAnsi="Times New Roman" w:eastAsia="仿宋_GB2312" w:cs="Times New Roman"/>
          <w:color w:val="auto"/>
          <w:kern w:val="0"/>
          <w:sz w:val="24"/>
          <w:szCs w:val="24"/>
          <w:lang w:val="zh-CN" w:eastAsia="zh-CN" w:bidi="ar-SA"/>
        </w:rPr>
      </w:pPr>
      <w:r>
        <w:rPr>
          <w:rFonts w:hint="eastAsia" w:ascii="Times New Roman" w:hAnsi="Times New Roman" w:eastAsia="仿宋_GB2312" w:cs="Times New Roman"/>
          <w:color w:val="auto"/>
          <w:kern w:val="0"/>
          <w:sz w:val="24"/>
          <w:szCs w:val="24"/>
          <w:lang w:val="en-US" w:eastAsia="zh-CN" w:bidi="ar-SA"/>
        </w:rPr>
        <w:t>2.乙方</w:t>
      </w:r>
      <w:r>
        <w:rPr>
          <w:rFonts w:hint="eastAsia" w:ascii="Times New Roman" w:hAnsi="Times New Roman" w:eastAsia="仿宋_GB2312" w:cs="Times New Roman"/>
          <w:color w:val="auto"/>
          <w:kern w:val="0"/>
          <w:sz w:val="24"/>
          <w:szCs w:val="24"/>
          <w:lang w:val="zh-CN" w:eastAsia="zh-CN" w:bidi="ar-SA"/>
        </w:rPr>
        <w:t>应保证</w:t>
      </w:r>
      <w:r>
        <w:rPr>
          <w:rFonts w:hint="eastAsia" w:ascii="Times New Roman" w:hAnsi="Times New Roman" w:eastAsia="仿宋_GB2312" w:cs="Times New Roman"/>
          <w:color w:val="auto"/>
          <w:kern w:val="0"/>
          <w:sz w:val="24"/>
          <w:szCs w:val="24"/>
          <w:lang w:val="en-US" w:eastAsia="zh-CN" w:bidi="ar-SA"/>
        </w:rPr>
        <w:t>甲方</w:t>
      </w:r>
      <w:r>
        <w:rPr>
          <w:rFonts w:hint="eastAsia" w:ascii="Times New Roman" w:hAnsi="Times New Roman" w:eastAsia="仿宋_GB2312" w:cs="Times New Roman"/>
          <w:color w:val="auto"/>
          <w:kern w:val="0"/>
          <w:sz w:val="24"/>
          <w:szCs w:val="24"/>
          <w:lang w:val="zh-CN" w:eastAsia="zh-CN" w:bidi="ar-SA"/>
        </w:rPr>
        <w:t>在软件使用过程中免受第三方提出的侵权起诉。如发生此类纠纷，由</w:t>
      </w:r>
      <w:r>
        <w:rPr>
          <w:rFonts w:hint="eastAsia" w:ascii="Times New Roman" w:hAnsi="Times New Roman" w:eastAsia="仿宋_GB2312" w:cs="Times New Roman"/>
          <w:color w:val="auto"/>
          <w:kern w:val="0"/>
          <w:sz w:val="24"/>
          <w:szCs w:val="24"/>
          <w:lang w:val="en-US" w:eastAsia="zh-CN" w:bidi="ar-SA"/>
        </w:rPr>
        <w:t>乙方</w:t>
      </w:r>
      <w:r>
        <w:rPr>
          <w:rFonts w:hint="eastAsia" w:ascii="Times New Roman" w:hAnsi="Times New Roman" w:eastAsia="仿宋_GB2312" w:cs="Times New Roman"/>
          <w:color w:val="auto"/>
          <w:kern w:val="0"/>
          <w:sz w:val="24"/>
          <w:szCs w:val="24"/>
          <w:lang w:val="zh-CN" w:eastAsia="zh-CN" w:bidi="ar-SA"/>
        </w:rPr>
        <w:t>承担一切责任并负责解决。</w:t>
      </w:r>
    </w:p>
    <w:p>
      <w:pPr>
        <w:keepNext w:val="0"/>
        <w:keepLines w:val="0"/>
        <w:pageBreakBefore w:val="0"/>
        <w:widowControl w:val="0"/>
        <w:kinsoku/>
        <w:wordWrap/>
        <w:overflowPunct/>
        <w:topLinePunct w:val="0"/>
        <w:autoSpaceDE w:val="0"/>
        <w:autoSpaceDN w:val="0"/>
        <w:bidi w:val="0"/>
        <w:adjustRightInd w:val="0"/>
        <w:snapToGrid/>
        <w:spacing w:line="400" w:lineRule="exact"/>
        <w:ind w:left="480"/>
        <w:jc w:val="both"/>
        <w:rPr>
          <w:rFonts w:hint="default"/>
          <w:lang w:val="zh-CN" w:eastAsia="zh-CN"/>
        </w:rPr>
      </w:pPr>
      <w:r>
        <w:rPr>
          <w:rFonts w:hint="eastAsia" w:ascii="Times New Roman" w:hAnsi="Times New Roman" w:eastAsia="仿宋_GB2312" w:cs="Times New Roman"/>
          <w:bCs/>
          <w:color w:val="auto"/>
          <w:sz w:val="24"/>
          <w:szCs w:val="24"/>
          <w:highlight w:val="none"/>
          <w:lang w:val="en-US" w:eastAsia="zh-CN"/>
        </w:rPr>
        <w:t>3.</w:t>
      </w:r>
      <w:r>
        <w:rPr>
          <w:rFonts w:hint="default" w:ascii="Times New Roman" w:hAnsi="Times New Roman" w:eastAsia="仿宋_GB2312" w:cs="Times New Roman"/>
          <w:bCs/>
          <w:color w:val="auto"/>
          <w:sz w:val="24"/>
          <w:szCs w:val="24"/>
          <w:highlight w:val="none"/>
        </w:rPr>
        <w:t>本项目涉及的软件知识产权除核心源代码外均属于甲方所有。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Times New Roman" w:hAnsi="Times New Roman" w:eastAsia="仿宋_GB2312" w:cs="Times New Roman"/>
          <w:b/>
          <w:color w:val="auto"/>
          <w:sz w:val="24"/>
          <w:szCs w:val="24"/>
          <w:lang w:val="zh-CN"/>
        </w:rPr>
      </w:pPr>
      <w:r>
        <w:rPr>
          <w:rFonts w:hint="default" w:ascii="Times New Roman" w:hAnsi="Times New Roman" w:eastAsia="仿宋_GB2312" w:cs="Times New Roman"/>
          <w:b/>
          <w:sz w:val="24"/>
          <w:szCs w:val="24"/>
        </w:rPr>
        <w:t>十</w:t>
      </w:r>
      <w:r>
        <w:rPr>
          <w:rFonts w:hint="eastAsia" w:ascii="Times New Roman" w:hAnsi="Times New Roman" w:eastAsia="仿宋_GB2312" w:cs="Times New Roman"/>
          <w:b/>
          <w:sz w:val="24"/>
          <w:szCs w:val="24"/>
          <w:lang w:val="en-US" w:eastAsia="zh-CN"/>
        </w:rPr>
        <w:t>五</w:t>
      </w:r>
      <w:r>
        <w:rPr>
          <w:rFonts w:hint="default" w:ascii="Times New Roman" w:hAnsi="Times New Roman" w:eastAsia="仿宋_GB2312" w:cs="Times New Roman"/>
          <w:b/>
          <w:sz w:val="24"/>
          <w:szCs w:val="24"/>
        </w:rPr>
        <w:t>、</w:t>
      </w:r>
      <w:r>
        <w:rPr>
          <w:rFonts w:hint="eastAsia" w:ascii="Times New Roman" w:hAnsi="Times New Roman" w:eastAsia="仿宋_GB2312" w:cs="Times New Roman"/>
          <w:b/>
          <w:color w:val="auto"/>
          <w:sz w:val="24"/>
          <w:szCs w:val="24"/>
          <w:lang w:val="zh-CN"/>
        </w:rPr>
        <w:t>产权担保</w:t>
      </w:r>
    </w:p>
    <w:p>
      <w:pPr>
        <w:pStyle w:val="37"/>
        <w:keepNext w:val="0"/>
        <w:keepLines w:val="0"/>
        <w:pageBreakBefore w:val="0"/>
        <w:kinsoku/>
        <w:wordWrap/>
        <w:overflowPunct/>
        <w:topLinePunct w:val="0"/>
        <w:bidi w:val="0"/>
        <w:spacing w:line="400" w:lineRule="exact"/>
        <w:textAlignment w:val="baseline"/>
        <w:rPr>
          <w:rFonts w:hint="eastAsia" w:ascii="Times New Roman" w:hAnsi="Times New Roman" w:eastAsia="仿宋_GB2312" w:cs="Times New Roman"/>
          <w:color w:val="auto"/>
          <w:kern w:val="0"/>
          <w:sz w:val="24"/>
          <w:szCs w:val="24"/>
          <w:lang w:val="zh-CN" w:eastAsia="zh-CN" w:bidi="ar-SA"/>
        </w:rPr>
      </w:pPr>
      <w:r>
        <w:rPr>
          <w:rFonts w:hint="eastAsia" w:ascii="Times New Roman" w:hAnsi="Times New Roman" w:eastAsia="仿宋_GB2312" w:cs="Times New Roman"/>
          <w:color w:val="auto"/>
          <w:kern w:val="0"/>
          <w:sz w:val="24"/>
          <w:szCs w:val="24"/>
          <w:lang w:val="en-US" w:eastAsia="zh-CN" w:bidi="ar-SA"/>
        </w:rPr>
        <w:t>乙方</w:t>
      </w:r>
      <w:r>
        <w:rPr>
          <w:rFonts w:hint="eastAsia" w:ascii="Times New Roman" w:hAnsi="Times New Roman" w:eastAsia="仿宋_GB2312" w:cs="Times New Roman"/>
          <w:color w:val="auto"/>
          <w:kern w:val="0"/>
          <w:sz w:val="24"/>
          <w:szCs w:val="24"/>
          <w:lang w:val="zh-CN" w:eastAsia="zh-CN" w:bidi="ar-SA"/>
        </w:rPr>
        <w:t>开发中涉及软件的所有权完全属于</w:t>
      </w:r>
      <w:r>
        <w:rPr>
          <w:rFonts w:hint="eastAsia" w:ascii="Times New Roman" w:hAnsi="Times New Roman" w:eastAsia="仿宋_GB2312" w:cs="Times New Roman"/>
          <w:color w:val="auto"/>
          <w:kern w:val="0"/>
          <w:sz w:val="24"/>
          <w:szCs w:val="24"/>
          <w:lang w:val="en-US" w:eastAsia="zh-CN" w:bidi="ar-SA"/>
        </w:rPr>
        <w:t>乙方</w:t>
      </w:r>
      <w:r>
        <w:rPr>
          <w:rFonts w:hint="eastAsia" w:ascii="Times New Roman" w:hAnsi="Times New Roman" w:eastAsia="仿宋_GB2312" w:cs="Times New Roman"/>
          <w:color w:val="auto"/>
          <w:kern w:val="0"/>
          <w:sz w:val="24"/>
          <w:szCs w:val="24"/>
          <w:lang w:val="zh-CN" w:eastAsia="zh-CN" w:bidi="ar-SA"/>
        </w:rPr>
        <w:t>，在交付</w:t>
      </w:r>
      <w:r>
        <w:rPr>
          <w:rFonts w:hint="eastAsia" w:ascii="Times New Roman" w:hAnsi="Times New Roman" w:eastAsia="仿宋_GB2312" w:cs="Times New Roman"/>
          <w:color w:val="auto"/>
          <w:kern w:val="0"/>
          <w:sz w:val="24"/>
          <w:szCs w:val="24"/>
          <w:lang w:val="en-US" w:eastAsia="zh-CN" w:bidi="ar-SA"/>
        </w:rPr>
        <w:t>甲方</w:t>
      </w:r>
      <w:r>
        <w:rPr>
          <w:rFonts w:hint="eastAsia" w:ascii="Times New Roman" w:hAnsi="Times New Roman" w:eastAsia="仿宋_GB2312" w:cs="Times New Roman"/>
          <w:color w:val="auto"/>
          <w:kern w:val="0"/>
          <w:sz w:val="24"/>
          <w:szCs w:val="24"/>
          <w:lang w:val="zh-CN" w:eastAsia="zh-CN" w:bidi="ar-SA"/>
        </w:rPr>
        <w:t>后保证无任何抵押、查封、债务转移等产权瑕疵。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十</w:t>
      </w:r>
      <w:r>
        <w:rPr>
          <w:rFonts w:hint="eastAsia" w:ascii="Times New Roman" w:hAnsi="Times New Roman" w:eastAsia="仿宋_GB2312" w:cs="Times New Roman"/>
          <w:b/>
          <w:color w:val="auto"/>
          <w:sz w:val="24"/>
          <w:szCs w:val="24"/>
          <w:lang w:val="en-US" w:eastAsia="zh-CN"/>
        </w:rPr>
        <w:t>六</w:t>
      </w:r>
      <w:r>
        <w:rPr>
          <w:rFonts w:hint="default" w:ascii="Times New Roman" w:hAnsi="Times New Roman" w:eastAsia="仿宋_GB2312" w:cs="Times New Roman"/>
          <w:b/>
          <w:color w:val="auto"/>
          <w:sz w:val="24"/>
          <w:szCs w:val="24"/>
        </w:rPr>
        <w:t>、解决合同纠纷方式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rPr>
      </w:pPr>
      <w:r>
        <w:rPr>
          <w:rFonts w:hint="default" w:ascii="Times New Roman" w:hAnsi="Times New Roman" w:eastAsia="仿宋_GB2312" w:cs="Times New Roman"/>
          <w:color w:val="auto"/>
          <w:sz w:val="24"/>
          <w:szCs w:val="24"/>
        </w:rPr>
        <w:t>其它未尽事宜或履行时发生争议，由双方本着诚实信用的原则协商解决，协商不成功可选择：1）向绍兴仲裁委员会诸暨分会申请仲裁；2）向诸暨市人民法院起诉。</w:t>
      </w:r>
    </w:p>
    <w:p>
      <w:pPr>
        <w:keepNext w:val="0"/>
        <w:keepLines w:val="0"/>
        <w:pageBreakBefore w:val="0"/>
        <w:widowControl w:val="0"/>
        <w:kinsoku/>
        <w:wordWrap/>
        <w:overflowPunct/>
        <w:topLinePunct w:val="0"/>
        <w:autoSpaceDE w:val="0"/>
        <w:autoSpaceDN w:val="0"/>
        <w:bidi w:val="0"/>
        <w:adjustRightInd w:val="0"/>
        <w:snapToGrid/>
        <w:spacing w:line="400" w:lineRule="exact"/>
        <w:ind w:left="482"/>
        <w:textAlignment w:val="auto"/>
        <w:outlineLvl w:val="9"/>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十</w:t>
      </w:r>
      <w:r>
        <w:rPr>
          <w:rFonts w:hint="eastAsia" w:ascii="Times New Roman" w:hAnsi="Times New Roman" w:eastAsia="仿宋_GB2312" w:cs="Times New Roman"/>
          <w:b/>
          <w:sz w:val="24"/>
          <w:szCs w:val="24"/>
          <w:lang w:val="en-US" w:eastAsia="zh-CN"/>
        </w:rPr>
        <w:t>七</w:t>
      </w:r>
      <w:r>
        <w:rPr>
          <w:rFonts w:hint="default" w:ascii="Times New Roman" w:hAnsi="Times New Roman" w:eastAsia="仿宋_GB2312" w:cs="Times New Roman"/>
          <w:b/>
          <w:sz w:val="24"/>
          <w:szCs w:val="24"/>
        </w:rPr>
        <w:t>、不可抗力事件处理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r>
        <w:rPr>
          <w:rFonts w:hint="eastAsia" w:ascii="Times New Roman" w:hAnsi="Times New Roman" w:eastAsia="仿宋_GB2312" w:cs="Times New Roman"/>
          <w:bCs/>
          <w:sz w:val="24"/>
          <w:szCs w:val="24"/>
          <w:lang w:val="en-US" w:eastAsia="zh-CN"/>
        </w:rPr>
        <w:t>.</w:t>
      </w:r>
      <w:r>
        <w:rPr>
          <w:rFonts w:hint="default" w:ascii="Times New Roman" w:hAnsi="Times New Roman" w:eastAsia="仿宋_GB2312" w:cs="Times New Roman"/>
          <w:bCs/>
          <w:sz w:val="24"/>
          <w:szCs w:val="24"/>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r>
        <w:rPr>
          <w:rFonts w:hint="eastAsia" w:ascii="Times New Roman" w:hAnsi="Times New Roman" w:eastAsia="仿宋_GB2312" w:cs="Times New Roman"/>
          <w:bCs/>
          <w:sz w:val="24"/>
          <w:szCs w:val="24"/>
          <w:lang w:val="en-US" w:eastAsia="zh-CN"/>
        </w:rPr>
        <w:t>.</w:t>
      </w:r>
      <w:r>
        <w:rPr>
          <w:rFonts w:hint="default" w:ascii="Times New Roman" w:hAnsi="Times New Roman" w:eastAsia="仿宋_GB2312" w:cs="Times New Roman"/>
          <w:bCs/>
          <w:sz w:val="24"/>
          <w:szCs w:val="24"/>
        </w:rPr>
        <w:t>不可抗力事件发生后，应立即通知对方，并寄送有关权威机构出具的证明。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r>
        <w:rPr>
          <w:rFonts w:hint="eastAsia" w:ascii="Times New Roman" w:hAnsi="Times New Roman" w:eastAsia="仿宋_GB2312" w:cs="Times New Roman"/>
          <w:bCs/>
          <w:sz w:val="24"/>
          <w:szCs w:val="24"/>
          <w:lang w:val="en-US" w:eastAsia="zh-CN"/>
        </w:rPr>
        <w:t>.</w:t>
      </w:r>
      <w:r>
        <w:rPr>
          <w:rFonts w:hint="default" w:ascii="Times New Roman" w:hAnsi="Times New Roman" w:eastAsia="仿宋_GB2312" w:cs="Times New Roman"/>
          <w:bCs/>
          <w:sz w:val="24"/>
          <w:szCs w:val="24"/>
        </w:rPr>
        <w:t>不可抗力事件延续120天以上，双方应通过友好协商，确定是否继续履行合同。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outlineLvl w:val="9"/>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十</w:t>
      </w:r>
      <w:r>
        <w:rPr>
          <w:rFonts w:hint="eastAsia" w:ascii="Times New Roman" w:hAnsi="Times New Roman" w:eastAsia="仿宋_GB2312" w:cs="Times New Roman"/>
          <w:b/>
          <w:color w:val="auto"/>
          <w:sz w:val="24"/>
          <w:szCs w:val="24"/>
          <w:lang w:val="en-US" w:eastAsia="zh-CN"/>
        </w:rPr>
        <w:t>八</w:t>
      </w:r>
      <w:r>
        <w:rPr>
          <w:rFonts w:hint="default" w:ascii="Times New Roman" w:hAnsi="Times New Roman" w:eastAsia="仿宋_GB2312" w:cs="Times New Roman"/>
          <w:b/>
          <w:color w:val="auto"/>
          <w:sz w:val="24"/>
          <w:szCs w:val="24"/>
        </w:rPr>
        <w:t>、其它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本项目的招标文件、投标文件、中标通知书作为合同的附件，具有同等法律效力。</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bCs/>
          <w:sz w:val="24"/>
          <w:szCs w:val="24"/>
        </w:rPr>
        <w:t>本合同执行中相关的一切税费均由乙方负担。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bCs/>
          <w:sz w:val="24"/>
          <w:szCs w:val="24"/>
        </w:rPr>
        <w:t>本合同中载明的双方单位地址均为其确认送达地址</w:t>
      </w:r>
      <w:r>
        <w:rPr>
          <w:rFonts w:hint="eastAsia"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rPr>
        <w:t>本合同自签订</w:t>
      </w:r>
      <w:r>
        <w:rPr>
          <w:rFonts w:hint="default" w:ascii="Times New Roman" w:hAnsi="Times New Roman" w:eastAsia="仿宋_GB2312" w:cs="Times New Roman"/>
          <w:color w:val="auto"/>
          <w:sz w:val="24"/>
          <w:szCs w:val="24"/>
        </w:rPr>
        <w:t>之日起生效。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本合同一式</w:t>
      </w:r>
      <w:r>
        <w:rPr>
          <w:rFonts w:hint="eastAsia" w:ascii="Times New Roman" w:hAnsi="Times New Roman" w:eastAsia="仿宋_GB2312" w:cs="Times New Roman"/>
          <w:color w:val="auto"/>
          <w:sz w:val="24"/>
          <w:szCs w:val="24"/>
          <w:lang w:val="en-US" w:eastAsia="zh-CN"/>
        </w:rPr>
        <w:t>肆</w:t>
      </w:r>
      <w:r>
        <w:rPr>
          <w:rFonts w:hint="default" w:ascii="Times New Roman" w:hAnsi="Times New Roman" w:eastAsia="仿宋_GB2312" w:cs="Times New Roman"/>
          <w:color w:val="auto"/>
          <w:sz w:val="24"/>
          <w:szCs w:val="24"/>
        </w:rPr>
        <w:t>份，甲乙双方各执贰份。</w:t>
      </w:r>
    </w:p>
    <w:p>
      <w:pPr>
        <w:pStyle w:val="3"/>
        <w:keepNext w:val="0"/>
        <w:keepLines w:val="0"/>
        <w:pageBreakBefore w:val="0"/>
        <w:kinsoku/>
        <w:wordWrap/>
        <w:overflowPunct/>
        <w:topLinePunct w:val="0"/>
        <w:bidi w:val="0"/>
        <w:spacing w:line="400" w:lineRule="exact"/>
        <w:rPr>
          <w:rFonts w:hint="default" w:eastAsia="仿宋_GB2312"/>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608" w:type="dxa"/>
            <w:noWrap w:val="0"/>
            <w:vAlign w:val="center"/>
          </w:tcPr>
          <w:p>
            <w:pPr>
              <w:keepNext w:val="0"/>
              <w:keepLines w:val="0"/>
              <w:pageBreakBefore w:val="0"/>
              <w:kinsoku/>
              <w:wordWrap/>
              <w:overflowPunct/>
              <w:topLinePunct w:val="0"/>
              <w:bidi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甲  方</w:t>
            </w:r>
          </w:p>
        </w:tc>
        <w:tc>
          <w:tcPr>
            <w:tcW w:w="4524" w:type="dxa"/>
            <w:noWrap w:val="0"/>
            <w:vAlign w:val="center"/>
          </w:tcPr>
          <w:p>
            <w:pPr>
              <w:keepNext w:val="0"/>
              <w:keepLines w:val="0"/>
              <w:pageBreakBefore w:val="0"/>
              <w:kinsoku/>
              <w:wordWrap/>
              <w:overflowPunct/>
              <w:topLinePunct w:val="0"/>
              <w:bidi w:val="0"/>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4608" w:type="dxa"/>
            <w:noWrap w:val="0"/>
            <w:vAlign w:val="top"/>
          </w:tcPr>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单位名称（盖章）：</w:t>
            </w:r>
            <w:r>
              <w:rPr>
                <w:rFonts w:hint="default" w:ascii="Times New Roman" w:hAnsi="Times New Roman" w:eastAsia="仿宋_GB2312" w:cs="Times New Roman"/>
                <w:sz w:val="24"/>
                <w:szCs w:val="24"/>
                <w:u w:val="single"/>
              </w:rPr>
              <w:t>诸暨广电信息技术有限公司</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单位地址：诸暨市暨阳街道江东路39号</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委托代理人：</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传真号码：0575-87256316</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邮政编码：311800</w:t>
            </w:r>
          </w:p>
          <w:p>
            <w:pPr>
              <w:pStyle w:val="32"/>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p>
        </w:tc>
        <w:tc>
          <w:tcPr>
            <w:tcW w:w="4524" w:type="dxa"/>
            <w:noWrap w:val="0"/>
            <w:vAlign w:val="top"/>
          </w:tcPr>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单位名称（盖章）：</w:t>
            </w:r>
            <w:r>
              <w:rPr>
                <w:rFonts w:hint="eastAsia" w:ascii="Times New Roman" w:hAnsi="Times New Roman" w:eastAsia="仿宋_GB2312" w:cs="Times New Roman"/>
                <w:sz w:val="24"/>
                <w:szCs w:val="24"/>
                <w:u w:val="single"/>
                <w:lang w:val="en-US" w:eastAsia="zh-CN"/>
              </w:rPr>
              <w:t>****</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委托代理人：</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传真号码：</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开户银行：</w:t>
            </w:r>
          </w:p>
          <w:p>
            <w:pPr>
              <w:keepNext w:val="0"/>
              <w:keepLines w:val="0"/>
              <w:pageBreakBefore w:val="0"/>
              <w:kinsoku/>
              <w:wordWrap/>
              <w:overflowPunct/>
              <w:topLinePunct w:val="0"/>
              <w:bidi w:val="0"/>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账    号：</w:t>
            </w:r>
          </w:p>
        </w:tc>
      </w:tr>
    </w:tbl>
    <w:p>
      <w:pPr>
        <w:rPr>
          <w:rFonts w:hint="default" w:ascii="Times New Roman" w:hAnsi="Times New Roman" w:eastAsia="仿宋_GB2312" w:cs="Times New Roman"/>
        </w:rPr>
      </w:pPr>
    </w:p>
    <w:p>
      <w:pPr>
        <w:jc w:val="center"/>
        <w:rPr>
          <w:rFonts w:ascii="宋体" w:hAnsi="宋体" w:cs="宋体"/>
          <w:color w:val="auto"/>
          <w:sz w:val="44"/>
          <w:szCs w:val="44"/>
        </w:rPr>
      </w:pPr>
      <w:r>
        <w:rPr>
          <w:rFonts w:hint="eastAsia" w:ascii="宋体" w:hAnsi="宋体" w:cs="宋体"/>
          <w:color w:val="auto"/>
          <w:sz w:val="44"/>
          <w:szCs w:val="44"/>
        </w:rPr>
        <w:br w:type="page"/>
      </w:r>
    </w:p>
    <w:p>
      <w:pPr>
        <w:jc w:val="center"/>
        <w:rPr>
          <w:rFonts w:hint="eastAsia" w:ascii="仿宋" w:hAnsi="仿宋" w:eastAsia="仿宋" w:cs="仿宋"/>
          <w:color w:val="auto"/>
          <w:sz w:val="44"/>
          <w:szCs w:val="44"/>
        </w:rPr>
      </w:pPr>
      <w:r>
        <w:rPr>
          <w:rFonts w:hint="eastAsia" w:ascii="仿宋" w:hAnsi="仿宋" w:eastAsia="仿宋" w:cs="仿宋"/>
          <w:color w:val="auto"/>
          <w:sz w:val="44"/>
          <w:szCs w:val="44"/>
        </w:rPr>
        <w:t>第六章  应提交的有关格式范例</w:t>
      </w:r>
    </w:p>
    <w:p>
      <w:pPr>
        <w:widowControl/>
        <w:tabs>
          <w:tab w:val="left" w:pos="450"/>
          <w:tab w:val="left" w:pos="8280"/>
        </w:tabs>
        <w:spacing w:line="360" w:lineRule="auto"/>
        <w:ind w:firstLine="480"/>
        <w:jc w:val="center"/>
        <w:rPr>
          <w:rFonts w:hint="eastAsia" w:ascii="仿宋" w:hAnsi="仿宋" w:eastAsia="仿宋" w:cs="仿宋"/>
          <w:color w:val="auto"/>
          <w:sz w:val="32"/>
          <w:szCs w:val="32"/>
        </w:rPr>
      </w:pPr>
    </w:p>
    <w:p>
      <w:pPr>
        <w:widowControl/>
        <w:tabs>
          <w:tab w:val="left" w:pos="450"/>
          <w:tab w:val="left" w:pos="2520"/>
          <w:tab w:val="left" w:pos="8280"/>
        </w:tabs>
        <w:spacing w:line="360" w:lineRule="auto"/>
        <w:ind w:firstLine="480"/>
        <w:jc w:val="center"/>
        <w:rPr>
          <w:rFonts w:hint="eastAsia" w:ascii="仿宋" w:hAnsi="仿宋" w:eastAsia="仿宋" w:cs="仿宋"/>
          <w:color w:val="auto"/>
          <w:sz w:val="32"/>
          <w:szCs w:val="32"/>
        </w:rPr>
      </w:pPr>
      <w:r>
        <w:rPr>
          <w:rFonts w:hint="eastAsia" w:ascii="仿宋" w:hAnsi="仿宋" w:eastAsia="仿宋" w:cs="仿宋"/>
          <w:color w:val="auto"/>
          <w:sz w:val="32"/>
          <w:szCs w:val="32"/>
        </w:rPr>
        <w:t>一、封面格式</w:t>
      </w:r>
    </w:p>
    <w:p>
      <w:pPr>
        <w:widowControl/>
        <w:tabs>
          <w:tab w:val="left" w:pos="8280"/>
        </w:tabs>
        <w:spacing w:line="360" w:lineRule="auto"/>
        <w:ind w:firstLine="480"/>
        <w:jc w:val="center"/>
        <w:rPr>
          <w:rFonts w:hint="eastAsia" w:ascii="仿宋" w:hAnsi="仿宋" w:eastAsia="仿宋" w:cs="仿宋"/>
          <w:b/>
          <w:color w:val="auto"/>
          <w:sz w:val="32"/>
          <w:szCs w:val="32"/>
        </w:rPr>
      </w:pPr>
    </w:p>
    <w:p>
      <w:pPr>
        <w:widowControl/>
        <w:tabs>
          <w:tab w:val="left" w:pos="8280"/>
        </w:tabs>
        <w:spacing w:line="360" w:lineRule="auto"/>
        <w:ind w:firstLine="48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商务技术文件或报价文件</w:t>
      </w:r>
    </w:p>
    <w:p>
      <w:pPr>
        <w:widowControl/>
        <w:tabs>
          <w:tab w:val="left" w:pos="275"/>
          <w:tab w:val="left" w:pos="8280"/>
        </w:tabs>
        <w:spacing w:line="360" w:lineRule="auto"/>
        <w:ind w:firstLine="480"/>
        <w:jc w:val="left"/>
        <w:rPr>
          <w:rFonts w:hint="eastAsia" w:ascii="仿宋" w:hAnsi="仿宋" w:eastAsia="仿宋" w:cs="仿宋"/>
          <w:b/>
          <w:color w:val="auto"/>
          <w:sz w:val="36"/>
          <w:szCs w:val="36"/>
        </w:rPr>
      </w:pPr>
      <w:r>
        <w:rPr>
          <w:rFonts w:hint="eastAsia" w:ascii="仿宋" w:hAnsi="仿宋" w:eastAsia="仿宋" w:cs="仿宋"/>
          <w:b/>
          <w:color w:val="auto"/>
          <w:sz w:val="36"/>
          <w:szCs w:val="36"/>
        </w:rPr>
        <w:tab/>
      </w:r>
    </w:p>
    <w:p>
      <w:pPr>
        <w:widowControl/>
        <w:tabs>
          <w:tab w:val="left" w:pos="275"/>
          <w:tab w:val="left" w:pos="8280"/>
        </w:tabs>
        <w:spacing w:line="360" w:lineRule="auto"/>
        <w:jc w:val="left"/>
        <w:rPr>
          <w:rFonts w:hint="eastAsia" w:ascii="仿宋" w:hAnsi="仿宋" w:eastAsia="仿宋" w:cs="仿宋"/>
          <w:b/>
          <w:color w:val="auto"/>
          <w:sz w:val="32"/>
          <w:szCs w:val="32"/>
          <w:u w:val="single"/>
        </w:rPr>
      </w:pPr>
      <w:r>
        <w:rPr>
          <w:rFonts w:hint="eastAsia" w:ascii="仿宋" w:hAnsi="仿宋" w:eastAsia="仿宋" w:cs="仿宋"/>
          <w:b/>
          <w:color w:val="auto"/>
          <w:sz w:val="32"/>
          <w:szCs w:val="32"/>
        </w:rPr>
        <w:t>项目名称：</w:t>
      </w:r>
      <w:r>
        <w:rPr>
          <w:rFonts w:hint="eastAsia" w:ascii="仿宋" w:hAnsi="仿宋" w:eastAsia="仿宋" w:cs="仿宋"/>
          <w:b/>
          <w:color w:val="auto"/>
          <w:sz w:val="32"/>
          <w:szCs w:val="32"/>
          <w:u w:val="single"/>
        </w:rPr>
        <w:t xml:space="preserve">                                      </w:t>
      </w:r>
    </w:p>
    <w:p>
      <w:pPr>
        <w:widowControl/>
        <w:tabs>
          <w:tab w:val="left" w:pos="275"/>
          <w:tab w:val="left" w:pos="8280"/>
        </w:tabs>
        <w:spacing w:line="360" w:lineRule="auto"/>
        <w:ind w:firstLine="472" w:firstLineChars="147"/>
        <w:jc w:val="left"/>
        <w:rPr>
          <w:rFonts w:hint="eastAsia" w:ascii="仿宋" w:hAnsi="仿宋" w:eastAsia="仿宋" w:cs="仿宋"/>
          <w:b/>
          <w:color w:val="auto"/>
          <w:sz w:val="32"/>
          <w:szCs w:val="32"/>
        </w:rPr>
      </w:pPr>
    </w:p>
    <w:p>
      <w:pPr>
        <w:widowControl/>
        <w:tabs>
          <w:tab w:val="left" w:pos="275"/>
          <w:tab w:val="left" w:pos="8280"/>
        </w:tabs>
        <w:spacing w:line="360" w:lineRule="auto"/>
        <w:jc w:val="left"/>
        <w:rPr>
          <w:rFonts w:hint="eastAsia" w:ascii="仿宋" w:hAnsi="仿宋" w:eastAsia="仿宋" w:cs="仿宋"/>
          <w:b/>
          <w:color w:val="auto"/>
          <w:sz w:val="36"/>
          <w:szCs w:val="36"/>
        </w:rPr>
      </w:pPr>
      <w:r>
        <w:rPr>
          <w:rFonts w:hint="eastAsia" w:ascii="仿宋" w:hAnsi="仿宋" w:eastAsia="仿宋" w:cs="仿宋"/>
          <w:b/>
          <w:color w:val="auto"/>
          <w:sz w:val="32"/>
          <w:szCs w:val="32"/>
        </w:rPr>
        <w:t>项目编号：</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rPr>
        <w:t xml:space="preserve">   </w:t>
      </w:r>
    </w:p>
    <w:p>
      <w:pPr>
        <w:widowControl/>
        <w:tabs>
          <w:tab w:val="left" w:pos="765"/>
          <w:tab w:val="left" w:pos="8280"/>
        </w:tabs>
        <w:spacing w:line="360" w:lineRule="auto"/>
        <w:ind w:firstLine="480"/>
        <w:jc w:val="left"/>
        <w:rPr>
          <w:rFonts w:hint="eastAsia" w:ascii="仿宋" w:hAnsi="仿宋" w:eastAsia="仿宋" w:cs="仿宋"/>
          <w:b/>
          <w:color w:val="auto"/>
          <w:sz w:val="36"/>
          <w:szCs w:val="36"/>
        </w:rPr>
      </w:pPr>
      <w:r>
        <w:rPr>
          <w:rFonts w:hint="eastAsia" w:ascii="仿宋" w:hAnsi="仿宋" w:eastAsia="仿宋" w:cs="仿宋"/>
          <w:b/>
          <w:color w:val="auto"/>
          <w:sz w:val="36"/>
          <w:szCs w:val="36"/>
        </w:rPr>
        <w:tab/>
      </w:r>
    </w:p>
    <w:p>
      <w:pPr>
        <w:widowControl/>
        <w:tabs>
          <w:tab w:val="left" w:pos="765"/>
          <w:tab w:val="left" w:pos="8280"/>
        </w:tabs>
        <w:spacing w:line="360" w:lineRule="auto"/>
        <w:jc w:val="left"/>
        <w:rPr>
          <w:rFonts w:hint="eastAsia" w:ascii="仿宋" w:hAnsi="仿宋" w:eastAsia="仿宋" w:cs="仿宋"/>
          <w:b/>
          <w:color w:val="auto"/>
          <w:sz w:val="36"/>
          <w:szCs w:val="36"/>
          <w:u w:val="single"/>
        </w:rPr>
      </w:pPr>
      <w:r>
        <w:rPr>
          <w:rFonts w:hint="eastAsia" w:ascii="仿宋" w:hAnsi="仿宋" w:eastAsia="仿宋" w:cs="仿宋"/>
          <w:b/>
          <w:color w:val="auto"/>
          <w:sz w:val="32"/>
          <w:szCs w:val="32"/>
        </w:rPr>
        <w:t>投 标 人：</w:t>
      </w:r>
      <w:r>
        <w:rPr>
          <w:rFonts w:hint="eastAsia" w:ascii="仿宋" w:hAnsi="仿宋" w:eastAsia="仿宋" w:cs="仿宋"/>
          <w:b/>
          <w:color w:val="auto"/>
          <w:sz w:val="32"/>
          <w:szCs w:val="32"/>
          <w:u w:val="single"/>
        </w:rPr>
        <w:t xml:space="preserve">           （盖章）                   </w:t>
      </w:r>
    </w:p>
    <w:p>
      <w:pPr>
        <w:widowControl/>
        <w:tabs>
          <w:tab w:val="left" w:pos="8280"/>
        </w:tabs>
        <w:spacing w:line="360" w:lineRule="auto"/>
        <w:ind w:firstLine="480"/>
        <w:jc w:val="center"/>
        <w:rPr>
          <w:rFonts w:hint="eastAsia" w:ascii="仿宋" w:hAnsi="仿宋" w:eastAsia="仿宋" w:cs="仿宋"/>
          <w:b/>
          <w:color w:val="auto"/>
          <w:sz w:val="32"/>
          <w:szCs w:val="32"/>
        </w:rPr>
      </w:pPr>
    </w:p>
    <w:p>
      <w:pPr>
        <w:widowControl/>
        <w:tabs>
          <w:tab w:val="left" w:pos="8280"/>
        </w:tabs>
        <w:spacing w:line="360" w:lineRule="auto"/>
        <w:ind w:firstLine="480"/>
        <w:jc w:val="center"/>
        <w:rPr>
          <w:rFonts w:hint="eastAsia" w:ascii="仿宋" w:hAnsi="仿宋" w:eastAsia="仿宋" w:cs="仿宋"/>
          <w:b/>
          <w:color w:val="auto"/>
          <w:sz w:val="32"/>
          <w:szCs w:val="32"/>
        </w:rPr>
      </w:pPr>
    </w:p>
    <w:p>
      <w:pPr>
        <w:widowControl/>
        <w:tabs>
          <w:tab w:val="left" w:pos="350"/>
          <w:tab w:val="left" w:pos="8280"/>
        </w:tabs>
        <w:spacing w:line="360" w:lineRule="auto"/>
        <w:jc w:val="left"/>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日期：      </w:t>
      </w:r>
      <w:r>
        <w:rPr>
          <w:rFonts w:hint="eastAsia" w:ascii="仿宋" w:hAnsi="仿宋" w:eastAsia="仿宋" w:cs="仿宋"/>
          <w:b/>
          <w:color w:val="auto"/>
          <w:sz w:val="36"/>
          <w:szCs w:val="36"/>
        </w:rPr>
        <w:t xml:space="preserve"> </w:t>
      </w:r>
      <w:r>
        <w:rPr>
          <w:rFonts w:hint="eastAsia" w:ascii="仿宋" w:hAnsi="仿宋" w:eastAsia="仿宋" w:cs="仿宋"/>
          <w:b/>
          <w:color w:val="auto"/>
          <w:sz w:val="32"/>
          <w:szCs w:val="32"/>
        </w:rPr>
        <w:t>年</w:t>
      </w:r>
      <w:r>
        <w:rPr>
          <w:rFonts w:hint="eastAsia" w:ascii="仿宋" w:hAnsi="仿宋" w:eastAsia="仿宋" w:cs="仿宋"/>
          <w:b/>
          <w:color w:val="auto"/>
          <w:sz w:val="36"/>
          <w:szCs w:val="36"/>
        </w:rPr>
        <w:t xml:space="preserve">     </w:t>
      </w:r>
      <w:r>
        <w:rPr>
          <w:rFonts w:hint="eastAsia" w:ascii="仿宋" w:hAnsi="仿宋" w:eastAsia="仿宋" w:cs="仿宋"/>
          <w:b/>
          <w:color w:val="auto"/>
          <w:sz w:val="32"/>
          <w:szCs w:val="32"/>
        </w:rPr>
        <w:t>月</w:t>
      </w:r>
      <w:r>
        <w:rPr>
          <w:rFonts w:hint="eastAsia" w:ascii="仿宋" w:hAnsi="仿宋" w:eastAsia="仿宋" w:cs="仿宋"/>
          <w:b/>
          <w:color w:val="auto"/>
          <w:sz w:val="36"/>
          <w:szCs w:val="36"/>
        </w:rPr>
        <w:t xml:space="preserve">     </w:t>
      </w:r>
      <w:r>
        <w:rPr>
          <w:rFonts w:hint="eastAsia" w:ascii="仿宋" w:hAnsi="仿宋" w:eastAsia="仿宋" w:cs="仿宋"/>
          <w:b/>
          <w:color w:val="auto"/>
          <w:sz w:val="32"/>
          <w:szCs w:val="32"/>
        </w:rPr>
        <w:t>日</w:t>
      </w:r>
    </w:p>
    <w:p>
      <w:pPr>
        <w:widowControl/>
        <w:tabs>
          <w:tab w:val="left" w:pos="350"/>
          <w:tab w:val="left" w:pos="8280"/>
        </w:tabs>
        <w:spacing w:line="360" w:lineRule="auto"/>
        <w:ind w:firstLine="480"/>
        <w:jc w:val="left"/>
        <w:rPr>
          <w:rFonts w:ascii="宋体" w:hAnsi="宋体" w:cs="宋体"/>
          <w:b/>
          <w:color w:val="auto"/>
          <w:sz w:val="32"/>
          <w:szCs w:val="32"/>
        </w:rPr>
      </w:pPr>
    </w:p>
    <w:p>
      <w:pPr>
        <w:pStyle w:val="2"/>
        <w:spacing w:line="500" w:lineRule="exact"/>
        <w:jc w:val="center"/>
        <w:rPr>
          <w:rFonts w:ascii="宋体" w:hAnsi="宋体" w:eastAsia="宋体" w:cs="宋体"/>
          <w:b w:val="0"/>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23"/>
        <w:ind w:firstLine="480"/>
        <w:rPr>
          <w:rFonts w:ascii="宋体" w:hAnsi="宋体" w:cs="宋体"/>
        </w:rPr>
      </w:pPr>
    </w:p>
    <w:p>
      <w:pPr>
        <w:rPr>
          <w:rFonts w:ascii="宋体" w:hAnsi="宋体" w:cs="宋体"/>
          <w:color w:val="auto"/>
        </w:rPr>
      </w:pPr>
    </w:p>
    <w:p>
      <w:pPr>
        <w:pStyle w:val="2"/>
        <w:spacing w:line="500" w:lineRule="exact"/>
        <w:jc w:val="center"/>
        <w:rPr>
          <w:rFonts w:hint="eastAsia" w:ascii="仿宋" w:hAnsi="仿宋" w:eastAsia="仿宋" w:cs="仿宋"/>
          <w:b w:val="0"/>
        </w:rPr>
      </w:pPr>
      <w:r>
        <w:rPr>
          <w:rFonts w:hint="eastAsia" w:ascii="仿宋" w:hAnsi="仿宋" w:eastAsia="仿宋" w:cs="仿宋"/>
          <w:b w:val="0"/>
        </w:rPr>
        <w:t>二、投标函（格式）</w:t>
      </w:r>
    </w:p>
    <w:p>
      <w:pPr>
        <w:spacing w:line="660" w:lineRule="exact"/>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致：</w:t>
      </w:r>
      <w:r>
        <w:rPr>
          <w:rFonts w:hint="eastAsia" w:ascii="仿宋" w:hAnsi="仿宋" w:eastAsia="仿宋" w:cs="仿宋"/>
          <w:color w:val="auto"/>
          <w:sz w:val="24"/>
          <w:szCs w:val="24"/>
        </w:rPr>
        <w:t>诸暨市广顺工程管理服务有限公司</w:t>
      </w:r>
    </w:p>
    <w:p>
      <w:pPr>
        <w:spacing w:line="360" w:lineRule="auto"/>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ascii="仿宋" w:hAnsi="仿宋" w:eastAsia="仿宋" w:cs="仿宋"/>
          <w:color w:val="auto"/>
          <w:spacing w:val="8"/>
          <w:sz w:val="24"/>
          <w:szCs w:val="24"/>
          <w:u w:val="single"/>
        </w:rPr>
        <w:t xml:space="preserve">                           项目的</w:t>
      </w:r>
      <w:r>
        <w:rPr>
          <w:rFonts w:hint="eastAsia" w:ascii="仿宋" w:hAnsi="仿宋" w:eastAsia="仿宋" w:cs="仿宋"/>
          <w:color w:val="auto"/>
          <w:spacing w:val="8"/>
          <w:sz w:val="24"/>
          <w:szCs w:val="24"/>
        </w:rPr>
        <w:t>招标文件（编号：诸广顺 202</w:t>
      </w:r>
      <w:r>
        <w:rPr>
          <w:rFonts w:hint="eastAsia" w:ascii="仿宋" w:hAnsi="仿宋" w:eastAsia="仿宋" w:cs="仿宋"/>
          <w:color w:val="auto"/>
          <w:spacing w:val="8"/>
          <w:sz w:val="24"/>
          <w:szCs w:val="24"/>
          <w:lang w:val="en-US" w:eastAsia="zh-CN"/>
        </w:rPr>
        <w:t>2</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pPr>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1、我方已详细研读了全部招标文件，包括修改文件（如有的话）以及全部参考资料和有关附件等，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p>
    <w:p>
      <w:pPr>
        <w:tabs>
          <w:tab w:val="left" w:pos="90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2、我方承诺本投标文件在开标之日起至投标有效期满均具有约束力，并严格遵守投标文件中的承诺。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3、我方承诺已经具备招标文件中规定的参加本项目的供应商资格条件。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4、我方严格按照招标文件的规定报价，并提供招标文件规定的全部投标文件。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5、如我方中标，投标文件将作为本项目合同的组成部分，直到合同履行完毕均保持有效，我方将按招标文件及相关采购法律、法规的规定履行合同责任和义务。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6、我方完全理解贵方不一定接受最低价的投标。</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8、与本次投标有关的一切正式往来通讯，请寄：</w:t>
      </w:r>
    </w:p>
    <w:p>
      <w:pPr>
        <w:spacing w:line="360" w:lineRule="auto"/>
        <w:ind w:firstLine="425"/>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spacing w:line="360" w:lineRule="auto"/>
        <w:ind w:firstLine="425"/>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pPr>
        <w:spacing w:line="360" w:lineRule="auto"/>
        <w:ind w:firstLine="425"/>
        <w:rPr>
          <w:rFonts w:hint="eastAsia" w:ascii="仿宋" w:hAnsi="仿宋" w:eastAsia="仿宋" w:cs="仿宋"/>
          <w:color w:val="auto"/>
          <w:sz w:val="24"/>
          <w:szCs w:val="24"/>
        </w:rPr>
      </w:pPr>
    </w:p>
    <w:p>
      <w:pPr>
        <w:spacing w:line="360" w:lineRule="auto"/>
        <w:ind w:firstLine="425"/>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投标人名称：</w:t>
      </w:r>
      <w:r>
        <w:rPr>
          <w:rFonts w:hint="eastAsia" w:ascii="仿宋" w:hAnsi="仿宋" w:eastAsia="仿宋" w:cs="仿宋"/>
          <w:color w:val="auto"/>
          <w:sz w:val="24"/>
          <w:szCs w:val="24"/>
          <w:u w:val="single"/>
        </w:rPr>
        <w:t xml:space="preserve">             （盖章）          </w:t>
      </w:r>
    </w:p>
    <w:p>
      <w:pPr>
        <w:spacing w:line="360" w:lineRule="auto"/>
        <w:ind w:firstLine="425"/>
        <w:rPr>
          <w:rFonts w:hint="eastAsia" w:ascii="仿宋" w:hAnsi="仿宋" w:eastAsia="仿宋" w:cs="仿宋"/>
          <w:color w:val="auto"/>
          <w:sz w:val="24"/>
          <w:szCs w:val="24"/>
        </w:rPr>
      </w:pPr>
    </w:p>
    <w:p>
      <w:pPr>
        <w:spacing w:line="360" w:lineRule="auto"/>
        <w:ind w:firstLine="425"/>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pStyle w:val="2"/>
        <w:spacing w:line="500" w:lineRule="exact"/>
        <w:jc w:val="center"/>
        <w:rPr>
          <w:rFonts w:hint="eastAsia" w:ascii="仿宋" w:hAnsi="仿宋" w:eastAsia="仿宋" w:cs="仿宋"/>
          <w:b w:val="0"/>
        </w:rPr>
      </w:pPr>
      <w:r>
        <w:rPr>
          <w:rFonts w:hint="eastAsia" w:ascii="仿宋" w:hAnsi="仿宋" w:eastAsia="仿宋" w:cs="仿宋"/>
          <w:b w:val="0"/>
        </w:rPr>
        <w:t>三、授权委托书（格式）</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致：诸暨市广顺工程管理服务有限公司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，以我方的名义参加贵</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组织的</w:t>
      </w:r>
      <w:r>
        <w:rPr>
          <w:rFonts w:hint="eastAsia" w:ascii="仿宋" w:hAnsi="仿宋" w:eastAsia="仿宋" w:cs="仿宋"/>
          <w:color w:val="auto"/>
          <w:sz w:val="24"/>
          <w:szCs w:val="24"/>
          <w:u w:val="single"/>
        </w:rPr>
        <w:t xml:space="preserve">     　(招标项目)        采购项目</w:t>
      </w:r>
      <w:r>
        <w:rPr>
          <w:rFonts w:hint="eastAsia" w:ascii="仿宋" w:hAnsi="仿宋" w:eastAsia="仿宋" w:cs="仿宋"/>
          <w:color w:val="auto"/>
          <w:sz w:val="24"/>
          <w:szCs w:val="24"/>
        </w:rPr>
        <w:t>的投标活动，并代表我方全权办理针对上述项目的投标、开标、评标、签约等具体事务和签署相关文件。</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我方对被授权人的签名事项负全部责任。</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(盖章)</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sectPr>
          <w:footerReference r:id="rId8" w:type="first"/>
          <w:footerReference r:id="rId7" w:type="default"/>
          <w:pgSz w:w="11906" w:h="16838"/>
          <w:pgMar w:top="1247" w:right="1134" w:bottom="1247" w:left="1134" w:header="851" w:footer="907"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sz w:val="28"/>
        </w:rPr>
      </w:pPr>
      <w:r>
        <w:rPr>
          <w:rFonts w:hint="eastAsia" w:ascii="仿宋" w:hAnsi="仿宋" w:eastAsia="仿宋" w:cs="仿宋"/>
          <w:b w:val="0"/>
          <w:sz w:val="36"/>
          <w:szCs w:val="36"/>
        </w:rPr>
        <w:t>四、开标一览表（格式）</w:t>
      </w:r>
    </w:p>
    <w:p>
      <w:pPr>
        <w:keepNext w:val="0"/>
        <w:keepLines w:val="0"/>
        <w:pageBreakBefore w:val="0"/>
        <w:widowControl w:val="0"/>
        <w:kinsoku/>
        <w:wordWrap/>
        <w:overflowPunct/>
        <w:topLinePunct w:val="0"/>
        <w:autoSpaceDE w:val="0"/>
        <w:autoSpaceDN w:val="0"/>
        <w:bidi w:val="0"/>
        <w:adjustRightInd w:val="0"/>
        <w:snapToGrid/>
        <w:spacing w:line="240" w:lineRule="auto"/>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40个高层住宅建筑600台电梯安装 “电瓶车管控系统”采购项目</w:t>
      </w:r>
    </w:p>
    <w:p>
      <w:pPr>
        <w:keepNext w:val="0"/>
        <w:keepLines w:val="0"/>
        <w:pageBreakBefore w:val="0"/>
        <w:widowControl w:val="0"/>
        <w:kinsoku/>
        <w:wordWrap/>
        <w:overflowPunct/>
        <w:topLinePunct w:val="0"/>
        <w:autoSpaceDE w:val="0"/>
        <w:autoSpaceDN w:val="0"/>
        <w:bidi w:val="0"/>
        <w:adjustRightInd w:val="0"/>
        <w:snapToGrid/>
        <w:spacing w:line="240" w:lineRule="auto"/>
        <w:ind w:left="279" w:leftChars="133"/>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项目编号：诸广顺20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28</w:t>
      </w:r>
    </w:p>
    <w:p>
      <w:pPr>
        <w:pStyle w:val="3"/>
        <w:rPr>
          <w:rFonts w:hint="eastAsia" w:ascii="仿宋" w:hAnsi="仿宋" w:eastAsia="仿宋" w:cs="仿宋"/>
          <w:sz w:val="24"/>
          <w:szCs w:val="24"/>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4"/>
          <w:szCs w:val="24"/>
          <w:lang w:val="en-US" w:eastAsia="zh-CN"/>
        </w:rPr>
        <w:t>单位：元</w:t>
      </w:r>
    </w:p>
    <w:tbl>
      <w:tblPr>
        <w:tblStyle w:val="25"/>
        <w:tblW w:w="10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1263"/>
        <w:gridCol w:w="2235"/>
        <w:gridCol w:w="1395"/>
        <w:gridCol w:w="1320"/>
        <w:gridCol w:w="675"/>
        <w:gridCol w:w="720"/>
        <w:gridCol w:w="1245"/>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snapToGrid w:val="0"/>
                <w:color w:val="000000"/>
                <w:kern w:val="0"/>
                <w:sz w:val="24"/>
                <w:szCs w:val="24"/>
                <w:highlight w:val="none"/>
                <w:u w:val="none"/>
                <w:lang w:val="en-US" w:eastAsia="zh-CN" w:bidi="ar"/>
              </w:rPr>
              <w:t>序号</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snapToGrid w:val="0"/>
                <w:color w:val="000000"/>
                <w:kern w:val="0"/>
                <w:sz w:val="24"/>
                <w:szCs w:val="24"/>
                <w:highlight w:val="none"/>
                <w:u w:val="none"/>
                <w:lang w:val="en-US" w:eastAsia="zh-CN" w:bidi="ar"/>
              </w:rPr>
              <w:t>设备及软件名称</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snapToGrid w:val="0"/>
                <w:color w:val="000000"/>
                <w:kern w:val="0"/>
                <w:sz w:val="24"/>
                <w:szCs w:val="24"/>
                <w:highlight w:val="none"/>
                <w:u w:val="none"/>
                <w:lang w:val="en-US" w:eastAsia="zh-CN" w:bidi="ar"/>
              </w:rPr>
              <w:t>主要性能指标</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snapToGrid w:val="0"/>
                <w:color w:val="000000"/>
                <w:kern w:val="0"/>
                <w:sz w:val="24"/>
                <w:szCs w:val="24"/>
                <w:highlight w:val="none"/>
                <w:u w:val="none"/>
                <w:lang w:val="en-US" w:eastAsia="zh-CN" w:bidi="ar"/>
              </w:rPr>
            </w:pPr>
            <w:r>
              <w:rPr>
                <w:rFonts w:hint="eastAsia" w:ascii="仿宋" w:hAnsi="仿宋" w:eastAsia="仿宋" w:cs="仿宋"/>
                <w:b/>
                <w:bCs/>
                <w:i w:val="0"/>
                <w:iCs w:val="0"/>
                <w:snapToGrid w:val="0"/>
                <w:color w:val="000000"/>
                <w:kern w:val="0"/>
                <w:sz w:val="24"/>
                <w:szCs w:val="24"/>
                <w:highlight w:val="none"/>
                <w:u w:val="none"/>
                <w:lang w:val="en-US" w:eastAsia="zh-CN" w:bidi="ar"/>
              </w:rPr>
              <w:t>型号/规格</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snapToGrid w:val="0"/>
                <w:color w:val="000000"/>
                <w:kern w:val="0"/>
                <w:sz w:val="24"/>
                <w:szCs w:val="24"/>
                <w:highlight w:val="none"/>
                <w:u w:val="none"/>
                <w:lang w:val="en-US" w:eastAsia="zh-CN" w:bidi="ar"/>
              </w:rPr>
            </w:pPr>
            <w:r>
              <w:rPr>
                <w:rFonts w:hint="eastAsia" w:ascii="仿宋" w:hAnsi="仿宋" w:eastAsia="仿宋" w:cs="仿宋"/>
                <w:b/>
                <w:bCs/>
                <w:i w:val="0"/>
                <w:iCs w:val="0"/>
                <w:snapToGrid w:val="0"/>
                <w:color w:val="000000"/>
                <w:kern w:val="0"/>
                <w:sz w:val="24"/>
                <w:szCs w:val="24"/>
                <w:highlight w:val="none"/>
                <w:u w:val="none"/>
                <w:lang w:val="en-US" w:eastAsia="zh-CN" w:bidi="ar"/>
              </w:rPr>
              <w:t>品牌/产地</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snapToGrid w:val="0"/>
                <w:color w:val="000000"/>
                <w:kern w:val="0"/>
                <w:sz w:val="24"/>
                <w:szCs w:val="24"/>
                <w:highlight w:val="none"/>
                <w:u w:val="none"/>
                <w:lang w:val="en-US" w:eastAsia="zh-CN" w:bidi="ar"/>
              </w:rPr>
              <w:t>单位</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snapToGrid w:val="0"/>
                <w:color w:val="000000"/>
                <w:kern w:val="0"/>
                <w:sz w:val="24"/>
                <w:szCs w:val="24"/>
                <w:highlight w:val="none"/>
                <w:u w:val="none"/>
                <w:lang w:val="en-US" w:eastAsia="zh-CN" w:bidi="ar"/>
              </w:rPr>
              <w:t>数量</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snapToGrid w:val="0"/>
                <w:color w:val="000000"/>
                <w:kern w:val="0"/>
                <w:sz w:val="24"/>
                <w:szCs w:val="24"/>
                <w:highlight w:val="none"/>
                <w:u w:val="none"/>
                <w:lang w:val="en-US" w:eastAsia="zh-CN" w:bidi="ar"/>
              </w:rPr>
            </w:pPr>
            <w:r>
              <w:rPr>
                <w:rFonts w:hint="eastAsia" w:ascii="仿宋" w:hAnsi="仿宋" w:eastAsia="仿宋" w:cs="仿宋"/>
                <w:b/>
                <w:bCs/>
                <w:i w:val="0"/>
                <w:iCs w:val="0"/>
                <w:snapToGrid w:val="0"/>
                <w:color w:val="000000"/>
                <w:kern w:val="0"/>
                <w:sz w:val="24"/>
                <w:szCs w:val="24"/>
                <w:highlight w:val="none"/>
                <w:u w:val="none"/>
                <w:lang w:val="en-US" w:eastAsia="zh-CN" w:bidi="ar"/>
              </w:rPr>
              <w:t>单价报价</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snapToGrid w:val="0"/>
                <w:color w:val="000000"/>
                <w:kern w:val="0"/>
                <w:sz w:val="24"/>
                <w:szCs w:val="24"/>
                <w:highlight w:val="none"/>
                <w:u w:val="none"/>
                <w:lang w:val="en-US" w:eastAsia="zh-CN" w:bidi="ar"/>
              </w:rPr>
            </w:pPr>
            <w:r>
              <w:rPr>
                <w:rFonts w:hint="eastAsia" w:ascii="仿宋" w:hAnsi="仿宋" w:eastAsia="仿宋" w:cs="仿宋"/>
                <w:b/>
                <w:bCs/>
                <w:i w:val="0"/>
                <w:iCs w:val="0"/>
                <w:snapToGrid w:val="0"/>
                <w:color w:val="000000"/>
                <w:kern w:val="0"/>
                <w:sz w:val="24"/>
                <w:szCs w:val="24"/>
                <w:highlight w:val="none"/>
                <w:u w:val="none"/>
                <w:lang w:val="en-US" w:eastAsia="zh-CN" w:bidi="ar"/>
              </w:rPr>
              <w:t>报价合价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1</w:t>
            </w:r>
          </w:p>
        </w:tc>
        <w:tc>
          <w:tcPr>
            <w:tcW w:w="12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snapToGrid w:val="0"/>
                <w:color w:val="000000"/>
                <w:kern w:val="0"/>
                <w:sz w:val="22"/>
                <w:szCs w:val="22"/>
                <w:highlight w:val="none"/>
                <w:u w:val="none"/>
                <w:lang w:val="en-US" w:eastAsia="zh-CN" w:bidi="ar"/>
              </w:rPr>
              <w:t>电动车阻拦系统</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AI智能摄像头组件</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台</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500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2</w:t>
            </w:r>
          </w:p>
        </w:tc>
        <w:tc>
          <w:tcPr>
            <w:tcW w:w="126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360" w:lineRule="exact"/>
              <w:jc w:val="center"/>
              <w:rPr>
                <w:rFonts w:hint="eastAsia" w:ascii="仿宋" w:hAnsi="仿宋" w:eastAsia="仿宋" w:cs="仿宋"/>
                <w:b/>
                <w:bCs/>
                <w:i w:val="0"/>
                <w:iCs w:val="0"/>
                <w:color w:val="000000"/>
                <w:sz w:val="22"/>
                <w:szCs w:val="22"/>
                <w:highlight w:val="none"/>
                <w:u w:val="none"/>
              </w:rPr>
            </w:pP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网桥组件（一对）+辅材</w:t>
            </w:r>
          </w:p>
        </w:tc>
        <w:tc>
          <w:tcPr>
            <w:tcW w:w="13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3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台</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500</w:t>
            </w:r>
          </w:p>
        </w:tc>
        <w:tc>
          <w:tcPr>
            <w:tcW w:w="12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3</w:t>
            </w: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360" w:lineRule="exact"/>
              <w:jc w:val="center"/>
              <w:rPr>
                <w:rFonts w:hint="eastAsia" w:ascii="仿宋" w:hAnsi="仿宋" w:eastAsia="仿宋" w:cs="仿宋"/>
                <w:b/>
                <w:bCs/>
                <w:i w:val="0"/>
                <w:iCs w:val="0"/>
                <w:color w:val="000000"/>
                <w:sz w:val="22"/>
                <w:szCs w:val="22"/>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梯控板</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4</w:t>
            </w: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360" w:lineRule="exact"/>
              <w:jc w:val="center"/>
              <w:rPr>
                <w:rFonts w:hint="eastAsia" w:ascii="仿宋" w:hAnsi="仿宋" w:eastAsia="仿宋" w:cs="仿宋"/>
                <w:b/>
                <w:bCs/>
                <w:i w:val="0"/>
                <w:iCs w:val="0"/>
                <w:color w:val="000000"/>
                <w:sz w:val="22"/>
                <w:szCs w:val="22"/>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安装调试费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5</w:t>
            </w: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360" w:lineRule="exact"/>
              <w:jc w:val="center"/>
              <w:rPr>
                <w:rFonts w:hint="eastAsia" w:ascii="仿宋" w:hAnsi="仿宋" w:eastAsia="仿宋" w:cs="仿宋"/>
                <w:b/>
                <w:bCs/>
                <w:i w:val="0"/>
                <w:iCs w:val="0"/>
                <w:color w:val="000000"/>
                <w:sz w:val="22"/>
                <w:szCs w:val="22"/>
                <w:highlight w:val="none"/>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两年服务费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6</w:t>
            </w:r>
          </w:p>
        </w:tc>
        <w:tc>
          <w:tcPr>
            <w:tcW w:w="126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snapToGrid w:val="0"/>
                <w:color w:val="000000"/>
                <w:kern w:val="0"/>
                <w:sz w:val="22"/>
                <w:szCs w:val="22"/>
                <w:highlight w:val="none"/>
                <w:u w:val="none"/>
                <w:lang w:val="en-US" w:eastAsia="zh-CN" w:bidi="ar"/>
              </w:rPr>
              <w:t>（云梯加装）电动车阻拦系统</w:t>
            </w:r>
          </w:p>
        </w:tc>
        <w:tc>
          <w:tcPr>
            <w:tcW w:w="22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在已有云梯系统基础上进行加装与系统更新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7</w:t>
            </w:r>
          </w:p>
        </w:tc>
        <w:tc>
          <w:tcPr>
            <w:tcW w:w="1263" w:type="dxa"/>
            <w:vMerge w:val="continue"/>
            <w:tcBorders>
              <w:top w:val="nil"/>
              <w:left w:val="single" w:color="000000" w:sz="4" w:space="0"/>
              <w:bottom w:val="single" w:color="auto" w:sz="4" w:space="0"/>
              <w:right w:val="single" w:color="000000" w:sz="4" w:space="0"/>
            </w:tcBorders>
            <w:shd w:val="clear" w:color="auto" w:fill="auto"/>
            <w:vAlign w:val="center"/>
          </w:tcPr>
          <w:p>
            <w:pPr>
              <w:pageBreakBefore w:val="0"/>
              <w:kinsoku/>
              <w:wordWrap/>
              <w:overflowPunct/>
              <w:topLinePunct w:val="0"/>
              <w:bidi w:val="0"/>
              <w:spacing w:line="360" w:lineRule="exact"/>
              <w:jc w:val="center"/>
              <w:rPr>
                <w:rFonts w:hint="eastAsia" w:ascii="仿宋" w:hAnsi="仿宋" w:eastAsia="仿宋" w:cs="仿宋"/>
                <w:b/>
                <w:bCs/>
                <w:i w:val="0"/>
                <w:iCs w:val="0"/>
                <w:color w:val="000000"/>
                <w:sz w:val="22"/>
                <w:szCs w:val="22"/>
                <w:highlight w:val="none"/>
                <w:u w:val="none"/>
              </w:rPr>
            </w:pPr>
          </w:p>
        </w:tc>
        <w:tc>
          <w:tcPr>
            <w:tcW w:w="22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两年服务费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snapToGrid w:val="0"/>
                <w:color w:val="000000"/>
                <w:kern w:val="0"/>
                <w:sz w:val="22"/>
                <w:szCs w:val="22"/>
                <w:highlight w:val="none"/>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center"/>
              <w:textAlignment w:val="center"/>
              <w:rPr>
                <w:rFonts w:hint="eastAsia" w:ascii="仿宋" w:hAnsi="仿宋" w:eastAsia="仿宋" w:cs="仿宋"/>
                <w:i w:val="0"/>
                <w:iCs w:val="0"/>
                <w:snapToGrid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630"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60" w:lineRule="exact"/>
              <w:jc w:val="both"/>
              <w:textAlignment w:val="center"/>
              <w:rPr>
                <w:rFonts w:hint="eastAsia" w:ascii="仿宋" w:hAnsi="仿宋" w:eastAsia="仿宋" w:cs="仿宋"/>
                <w:i w:val="0"/>
                <w:iCs w:val="0"/>
                <w:snapToGrid w:val="0"/>
                <w:color w:val="000000"/>
                <w:kern w:val="0"/>
                <w:sz w:val="20"/>
                <w:szCs w:val="20"/>
                <w:highlight w:val="none"/>
                <w:u w:val="none"/>
                <w:lang w:val="en-US" w:eastAsia="zh-CN" w:bidi="ar"/>
              </w:rPr>
            </w:pPr>
            <w:r>
              <w:rPr>
                <w:rFonts w:hint="eastAsia" w:ascii="仿宋" w:hAnsi="仿宋" w:eastAsia="仿宋" w:cs="仿宋"/>
                <w:b/>
                <w:bCs/>
                <w:sz w:val="24"/>
                <w:szCs w:val="24"/>
                <w:lang w:val="en-US" w:eastAsia="zh-CN"/>
              </w:rPr>
              <w:t>投标报价合计大写：                                          小写：￥</w:t>
            </w:r>
          </w:p>
        </w:tc>
      </w:tr>
    </w:tbl>
    <w:p>
      <w:pPr>
        <w:pStyle w:val="30"/>
        <w:ind w:left="0" w:leftChars="0" w:firstLine="0" w:firstLineChars="0"/>
        <w:rPr>
          <w:rFonts w:hint="eastAsia" w:ascii="仿宋" w:hAnsi="仿宋" w:eastAsia="仿宋" w:cs="仿宋"/>
          <w:b/>
          <w:bCs/>
          <w:lang w:val="en-US" w:eastAsia="zh-CN"/>
        </w:rPr>
      </w:pPr>
    </w:p>
    <w:p>
      <w:pPr>
        <w:pStyle w:val="30"/>
        <w:ind w:left="0" w:leftChars="0" w:firstLine="0" w:firstLineChars="0"/>
        <w:rPr>
          <w:rFonts w:hint="eastAsia" w:ascii="仿宋" w:hAnsi="仿宋" w:eastAsia="仿宋" w:cs="仿宋"/>
          <w:b/>
          <w:bCs/>
          <w:sz w:val="24"/>
          <w:lang w:eastAsia="zh-CN"/>
        </w:rPr>
      </w:pPr>
      <w:r>
        <w:rPr>
          <w:rFonts w:hint="eastAsia" w:ascii="仿宋" w:hAnsi="仿宋" w:eastAsia="仿宋" w:cs="仿宋"/>
          <w:b/>
          <w:bCs/>
          <w:lang w:val="en-US" w:eastAsia="zh-CN"/>
        </w:rPr>
        <w:t>注：</w:t>
      </w:r>
      <w:r>
        <w:rPr>
          <w:rFonts w:hint="eastAsia" w:ascii="仿宋" w:hAnsi="仿宋" w:eastAsia="仿宋" w:cs="仿宋"/>
          <w:b/>
          <w:bCs/>
          <w:sz w:val="24"/>
          <w:lang w:val="en-US" w:eastAsia="zh-CN"/>
        </w:rPr>
        <w:t>以上报价</w:t>
      </w:r>
      <w:r>
        <w:rPr>
          <w:rFonts w:hint="eastAsia" w:ascii="仿宋" w:hAnsi="仿宋" w:eastAsia="仿宋" w:cs="仿宋"/>
          <w:b/>
          <w:bCs/>
          <w:sz w:val="24"/>
        </w:rPr>
        <w:t>包含所有</w:t>
      </w:r>
      <w:r>
        <w:rPr>
          <w:rFonts w:hint="eastAsia" w:ascii="仿宋" w:hAnsi="仿宋" w:eastAsia="仿宋" w:cs="仿宋"/>
          <w:b/>
          <w:bCs/>
          <w:sz w:val="24"/>
          <w:lang w:val="en-US" w:eastAsia="zh-CN"/>
        </w:rPr>
        <w:t>为完成本项目所需的一切</w:t>
      </w:r>
      <w:r>
        <w:rPr>
          <w:rFonts w:hint="eastAsia" w:ascii="仿宋" w:hAnsi="仿宋" w:eastAsia="仿宋" w:cs="仿宋"/>
          <w:b/>
          <w:bCs/>
          <w:sz w:val="24"/>
        </w:rPr>
        <w:t>费用</w:t>
      </w:r>
      <w:r>
        <w:rPr>
          <w:rFonts w:hint="eastAsia" w:ascii="仿宋" w:hAnsi="仿宋" w:eastAsia="仿宋" w:cs="仿宋"/>
          <w:b/>
          <w:bCs/>
          <w:sz w:val="24"/>
          <w:lang w:eastAsia="zh-CN"/>
        </w:rPr>
        <w:t>。</w:t>
      </w:r>
    </w:p>
    <w:p>
      <w:pPr>
        <w:pStyle w:val="30"/>
        <w:ind w:left="0" w:leftChars="0" w:firstLine="0" w:firstLineChars="0"/>
        <w:rPr>
          <w:rFonts w:hint="eastAsia" w:ascii="仿宋" w:hAnsi="仿宋" w:eastAsia="仿宋" w:cs="仿宋"/>
          <w:b/>
          <w:bCs/>
          <w:sz w:val="24"/>
          <w:lang w:eastAsia="zh-CN"/>
        </w:rPr>
      </w:pPr>
    </w:p>
    <w:p>
      <w:pPr>
        <w:pStyle w:val="30"/>
        <w:ind w:left="0" w:leftChars="0" w:firstLine="0" w:firstLineChars="0"/>
        <w:rPr>
          <w:rFonts w:hint="eastAsia" w:ascii="仿宋" w:hAnsi="仿宋" w:eastAsia="仿宋" w:cs="仿宋"/>
          <w:b/>
          <w:bCs/>
          <w:sz w:val="24"/>
          <w:lang w:val="en-US" w:eastAsia="zh-CN"/>
        </w:rPr>
      </w:pPr>
    </w:p>
    <w:p>
      <w:pPr>
        <w:pStyle w:val="30"/>
        <w:ind w:left="0" w:leftChars="0" w:firstLine="0" w:firstLineChars="0"/>
        <w:rPr>
          <w:rFonts w:hint="eastAsia" w:ascii="仿宋" w:hAnsi="仿宋" w:eastAsia="仿宋" w:cs="仿宋"/>
          <w:b/>
          <w:bCs/>
          <w:sz w:val="24"/>
          <w:lang w:val="en-US" w:eastAsia="zh-CN"/>
        </w:rPr>
      </w:pPr>
    </w:p>
    <w:p>
      <w:pPr>
        <w:rPr>
          <w:rFonts w:hint="eastAsia" w:ascii="仿宋" w:hAnsi="仿宋" w:eastAsia="仿宋" w:cs="仿宋"/>
          <w:color w:val="auto"/>
          <w:sz w:val="28"/>
          <w:u w:val="single"/>
        </w:rPr>
      </w:pPr>
      <w:r>
        <w:rPr>
          <w:rFonts w:hint="eastAsia" w:ascii="仿宋" w:hAnsi="仿宋" w:eastAsia="仿宋" w:cs="仿宋"/>
          <w:color w:val="auto"/>
          <w:sz w:val="28"/>
        </w:rPr>
        <w:t>投标人：</w:t>
      </w:r>
      <w:r>
        <w:rPr>
          <w:rFonts w:hint="eastAsia" w:ascii="仿宋" w:hAnsi="仿宋" w:eastAsia="仿宋" w:cs="仿宋"/>
          <w:color w:val="auto"/>
          <w:sz w:val="28"/>
          <w:u w:val="single"/>
        </w:rPr>
        <w:t xml:space="preserve">          （盖章）            </w:t>
      </w:r>
    </w:p>
    <w:p>
      <w:pPr>
        <w:pStyle w:val="3"/>
        <w:rPr>
          <w:rFonts w:hint="eastAsia" w:ascii="仿宋" w:hAnsi="仿宋" w:eastAsia="仿宋" w:cs="仿宋"/>
          <w:color w:val="auto"/>
          <w:sz w:val="28"/>
          <w:u w:val="single"/>
        </w:rPr>
      </w:pPr>
    </w:p>
    <w:p>
      <w:pPr>
        <w:pStyle w:val="12"/>
        <w:rPr>
          <w:rFonts w:hint="eastAsia" w:ascii="仿宋" w:hAnsi="仿宋" w:eastAsia="仿宋" w:cs="仿宋"/>
          <w:color w:val="auto"/>
          <w:sz w:val="28"/>
          <w:u w:val="single"/>
        </w:rPr>
      </w:pPr>
    </w:p>
    <w:p>
      <w:pPr>
        <w:pStyle w:val="3"/>
        <w:rPr>
          <w:rFonts w:hint="eastAsia" w:ascii="仿宋" w:hAnsi="仿宋" w:eastAsia="仿宋" w:cs="仿宋"/>
        </w:rPr>
      </w:pPr>
    </w:p>
    <w:p>
      <w:pPr>
        <w:rPr>
          <w:rFonts w:hint="eastAsia" w:ascii="仿宋" w:hAnsi="仿宋" w:eastAsia="仿宋" w:cs="仿宋"/>
          <w:color w:val="auto"/>
          <w:sz w:val="28"/>
        </w:rPr>
      </w:pPr>
      <w:r>
        <w:rPr>
          <w:rFonts w:hint="eastAsia" w:ascii="仿宋" w:hAnsi="仿宋" w:eastAsia="仿宋" w:cs="仿宋"/>
          <w:color w:val="auto"/>
          <w:sz w:val="28"/>
        </w:rPr>
        <w:t>日  期：     年    月    日</w:t>
      </w:r>
    </w:p>
    <w:p>
      <w:pPr>
        <w:numPr>
          <w:ilvl w:val="0"/>
          <w:numId w:val="0"/>
        </w:numPr>
        <w:spacing w:line="440" w:lineRule="exact"/>
        <w:jc w:val="center"/>
        <w:rPr>
          <w:rFonts w:hint="eastAsia" w:ascii="仿宋" w:hAnsi="仿宋" w:eastAsia="仿宋" w:cs="仿宋"/>
          <w:b/>
          <w:color w:val="auto"/>
          <w:sz w:val="36"/>
          <w:szCs w:val="36"/>
          <w:lang w:val="en-US" w:eastAsia="zh-CN"/>
        </w:rPr>
        <w:sectPr>
          <w:footerReference r:id="rId10" w:type="first"/>
          <w:footerReference r:id="rId9" w:type="default"/>
          <w:pgSz w:w="11906" w:h="16838"/>
          <w:pgMar w:top="1247" w:right="1134" w:bottom="1247" w:left="1134" w:header="851" w:footer="907" w:gutter="0"/>
          <w:pgBorders>
            <w:top w:val="none" w:sz="0" w:space="0"/>
            <w:left w:val="none" w:sz="0" w:space="0"/>
            <w:bottom w:val="none" w:sz="0" w:space="0"/>
            <w:right w:val="none" w:sz="0" w:space="0"/>
          </w:pgBorders>
          <w:pgNumType w:fmt="decimal"/>
          <w:cols w:space="720" w:num="1"/>
          <w:titlePg/>
          <w:docGrid w:type="lines" w:linePitch="312" w:charSpace="0"/>
        </w:sectPr>
      </w:pPr>
    </w:p>
    <w:p>
      <w:pPr>
        <w:numPr>
          <w:ilvl w:val="0"/>
          <w:numId w:val="0"/>
        </w:numPr>
        <w:spacing w:line="440" w:lineRule="exact"/>
        <w:jc w:val="center"/>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五、</w:t>
      </w:r>
      <w:r>
        <w:rPr>
          <w:rFonts w:hint="eastAsia" w:ascii="仿宋" w:hAnsi="仿宋" w:eastAsia="仿宋" w:cs="仿宋"/>
          <w:color w:val="auto"/>
          <w:sz w:val="36"/>
          <w:szCs w:val="36"/>
        </w:rPr>
        <w:t>投标承诺书（格式）</w:t>
      </w:r>
    </w:p>
    <w:p>
      <w:pPr>
        <w:spacing w:line="340" w:lineRule="exact"/>
        <w:ind w:firstLine="480" w:firstLineChars="200"/>
        <w:rPr>
          <w:rFonts w:hint="eastAsia" w:ascii="仿宋" w:hAnsi="仿宋" w:eastAsia="仿宋" w:cs="仿宋"/>
          <w:color w:val="auto"/>
          <w:sz w:val="24"/>
          <w:szCs w:val="24"/>
        </w:rPr>
      </w:pP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ascii="仿宋" w:hAnsi="仿宋" w:eastAsia="仿宋" w:cs="仿宋"/>
          <w:color w:val="auto"/>
          <w:sz w:val="24"/>
          <w:szCs w:val="24"/>
          <w:u w:val="single"/>
        </w:rPr>
        <w:t xml:space="preserve">诸广顺         </w:t>
      </w:r>
      <w:r>
        <w:rPr>
          <w:rFonts w:hint="eastAsia" w:ascii="仿宋" w:hAnsi="仿宋" w:eastAsia="仿宋" w:cs="仿宋"/>
          <w:color w:val="auto"/>
          <w:sz w:val="24"/>
          <w:szCs w:val="24"/>
        </w:rPr>
        <w:t>）招标文件，现参加该项目投标，并就有关事项作出如下承诺：</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一、我公司在该项目招投标及合同履约过程中，不会出现以下行为，否则我公司愿意接受该行为被记录为不良行为，并在不良行为记录时限内放弃在浙江浣江传媒集团投标的资格。</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（1）已报名但无故放弃投标(开标前已有书面说明并证实的除外)一年内累计3次以上的；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（2）在招标采购过程中，与采购人进行协商谈判的；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（3）投标有效期内撤回其投标文件的；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（4）拒绝有关部门监督检查或提供虚假情况的；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（5）不积极配合采购单位做好标的验收工作的；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（6）在有关部门的监督检查或考核中被通报批评或处以警告及以上处罚的；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（7）不遵守投标会场纪律，无理取闹，扰乱交易秩序的；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（8）中标后无正当理由放弃中标，或不与采购人签订采购合同，或在签订合同时提出附加条件或更改合同实质性内容，或拒不提交所要求的履约保证金的；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（9）虚假投诉、恶意投诉或未按层级和相关程序逐级质疑、投诉而影响采购工作正常进行或造成不良影响的；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（10）不按照与采购人订立的合同履行义务（包括提供标的、售后服务、技术支持等），严重违反合同规定和廉政合同要求的；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（11）项目负责人不到位，或擅自变换项目负责人，或不认真履行职责造成采购人损失的；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（12）发生经营状况重大变化以及重要担保、重大合同纠纷或诉讼、信用等级和资质变化等可能影响履约能力的重大事项，未及时向浙江浣江传媒集团提供书面报告，因而造成采购人损失的；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（13）与采购人、其他供应商或者采购代理机构相互串通的；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（14）采取不正当手段排挤其他供应商，进行不公平竞争的；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（15）中标后与采购人另行订立背离合同实质内容的协议的；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（16）事先有承诺，而事后违反承诺内容的；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（17）将中标项目转包或违反规定进行分包的；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（18）以他人名义投标或允许他人以自己名义投标，或者以其他方式弄虚作假的；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（19）未按照采购合同约定及时提供全部货物的，或无故拖延工期的；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（20）无故不提供中标要求的型号、配置等产品的，或有拆换、调换、截留产品零部件和备品备件的行为的；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（21）为获取自身利益，向采购人及其他有利害关系的单位或个人提供不正当利益的；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（22）提供假冒伪劣产品或走私物品的；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（23）擅自变更、中止、终止或解除采购合同的；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（24）向有关人员行贿或者提供不正当利益谋取中标的；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（25）在采购活动期间，对管理机构、采购人、其他投标人、评标专家、中介机构等采购相关机构和人员，采取诋毁、诽谤、胁迫、暴力等不正当手段的；</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（26）浙江浣江传媒集团有限公司认定的其他违反采购管理的行为。</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pPr>
        <w:spacing w:line="340" w:lineRule="exact"/>
        <w:ind w:left="420"/>
        <w:rPr>
          <w:rFonts w:hint="eastAsia" w:ascii="仿宋" w:hAnsi="仿宋" w:eastAsia="仿宋" w:cs="仿宋"/>
          <w:color w:val="auto"/>
          <w:sz w:val="24"/>
          <w:szCs w:val="24"/>
        </w:rPr>
      </w:pPr>
      <w:r>
        <w:rPr>
          <w:rFonts w:hint="eastAsia" w:ascii="仿宋" w:hAnsi="仿宋" w:eastAsia="仿宋" w:cs="仿宋"/>
          <w:color w:val="auto"/>
          <w:sz w:val="24"/>
          <w:szCs w:val="24"/>
        </w:rPr>
        <w:t>二、我公司承诺接受采购文件及澄清修改部分（如有）的全部条款（包括响应文件递交截止时间、保证金、资格条件、评审成交标准以及采购需求等其他所有条款）且无任何异议。如果我公司在递交响应文件后还对采购文件提出质疑的，愿意接受相关部门依法做出的处罚决定。</w:t>
      </w:r>
    </w:p>
    <w:p>
      <w:pPr>
        <w:spacing w:line="340" w:lineRule="exact"/>
        <w:ind w:left="420"/>
        <w:rPr>
          <w:rFonts w:hint="eastAsia" w:ascii="仿宋" w:hAnsi="仿宋" w:eastAsia="仿宋" w:cs="仿宋"/>
          <w:color w:val="auto"/>
          <w:sz w:val="24"/>
          <w:szCs w:val="24"/>
        </w:rPr>
      </w:pPr>
      <w:r>
        <w:rPr>
          <w:rFonts w:hint="eastAsia" w:ascii="仿宋" w:hAnsi="仿宋" w:eastAsia="仿宋" w:cs="仿宋"/>
          <w:color w:val="auto"/>
          <w:sz w:val="24"/>
          <w:szCs w:val="24"/>
        </w:rPr>
        <w:t>三、我公司及其他利害关系人如对该项目的中标公示有异议，将在采购文件规定的公示期限内提出符合以下条件的有效质疑，否则我公司愿意接受相关部门不予受理的决定。</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1、质疑人须为采购响应人和其他利害关系人；</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2、投诉时，应当递交质疑书，质疑书应当包括下列内容：</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pPr>
        <w:spacing w:line="3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ascii="宋体" w:hAnsi="宋体" w:cs="宋体"/>
          <w:b/>
          <w:color w:val="auto"/>
          <w:sz w:val="18"/>
          <w:szCs w:val="18"/>
        </w:rPr>
      </w:pPr>
    </w:p>
    <w:p>
      <w:pPr>
        <w:spacing w:line="340" w:lineRule="exact"/>
        <w:ind w:firstLine="840" w:firstLineChars="400"/>
        <w:rPr>
          <w:rFonts w:ascii="宋体" w:hAnsi="宋体" w:cs="宋体"/>
          <w:color w:val="auto"/>
        </w:rPr>
      </w:pPr>
    </w:p>
    <w:p>
      <w:pPr>
        <w:spacing w:line="340" w:lineRule="exact"/>
        <w:ind w:firstLine="840" w:firstLineChars="400"/>
        <w:rPr>
          <w:rFonts w:ascii="宋体" w:hAnsi="宋体" w:cs="宋体"/>
          <w:color w:val="auto"/>
        </w:rPr>
      </w:pPr>
    </w:p>
    <w:p>
      <w:pPr>
        <w:rPr>
          <w:rFonts w:hint="eastAsia" w:ascii="仿宋" w:hAnsi="仿宋" w:eastAsia="仿宋" w:cs="仿宋"/>
          <w:color w:val="auto"/>
          <w:sz w:val="28"/>
        </w:rPr>
      </w:pPr>
      <w:r>
        <w:rPr>
          <w:rFonts w:hint="eastAsia" w:ascii="仿宋" w:hAnsi="仿宋" w:eastAsia="仿宋" w:cs="仿宋"/>
          <w:color w:val="auto"/>
          <w:sz w:val="28"/>
        </w:rPr>
        <w:t>投标人（盖章）：</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pPr>
        <w:rPr>
          <w:rFonts w:hint="eastAsia" w:ascii="仿宋" w:hAnsi="仿宋" w:eastAsia="仿宋" w:cs="仿宋"/>
          <w:color w:val="auto"/>
          <w:sz w:val="28"/>
        </w:rPr>
      </w:pPr>
    </w:p>
    <w:p>
      <w:pPr>
        <w:spacing w:line="340" w:lineRule="exact"/>
        <w:rPr>
          <w:rFonts w:hint="eastAsia" w:ascii="仿宋" w:hAnsi="仿宋" w:eastAsia="仿宋" w:cs="仿宋"/>
          <w:color w:val="auto"/>
          <w:sz w:val="28"/>
        </w:rPr>
      </w:pPr>
    </w:p>
    <w:p>
      <w:pPr>
        <w:spacing w:line="340" w:lineRule="exact"/>
        <w:rPr>
          <w:rFonts w:hint="eastAsia" w:ascii="仿宋" w:hAnsi="仿宋" w:eastAsia="仿宋" w:cs="仿宋"/>
          <w:color w:val="auto"/>
          <w:sz w:val="28"/>
        </w:rPr>
      </w:pPr>
    </w:p>
    <w:p>
      <w:pPr>
        <w:spacing w:line="340" w:lineRule="exact"/>
        <w:rPr>
          <w:rFonts w:hint="eastAsia" w:ascii="仿宋" w:hAnsi="仿宋" w:eastAsia="仿宋" w:cs="仿宋"/>
          <w:color w:val="auto"/>
          <w:sz w:val="28"/>
        </w:rPr>
      </w:pPr>
      <w:r>
        <w:rPr>
          <w:rFonts w:hint="eastAsia" w:ascii="仿宋" w:hAnsi="仿宋" w:eastAsia="仿宋" w:cs="仿宋"/>
          <w:color w:val="auto"/>
          <w:sz w:val="28"/>
        </w:rPr>
        <w:t>日      期：     年    月    日</w:t>
      </w:r>
    </w:p>
    <w:p>
      <w:pPr>
        <w:spacing w:line="560" w:lineRule="exact"/>
        <w:ind w:firstLine="560" w:firstLineChars="200"/>
        <w:rPr>
          <w:rFonts w:ascii="宋体" w:hAnsi="宋体" w:cs="宋体"/>
          <w:color w:val="auto"/>
          <w:sz w:val="28"/>
        </w:rPr>
      </w:pPr>
    </w:p>
    <w:p>
      <w:pPr>
        <w:spacing w:line="360" w:lineRule="auto"/>
        <w:ind w:firstLine="480" w:firstLineChars="200"/>
        <w:rPr>
          <w:rFonts w:ascii="宋体" w:hAnsi="宋体" w:cs="宋体"/>
          <w:color w:val="auto"/>
          <w:sz w:val="24"/>
          <w:szCs w:val="24"/>
        </w:rPr>
      </w:pPr>
    </w:p>
    <w:p>
      <w:pPr>
        <w:rPr>
          <w:rFonts w:ascii="宋体" w:hAnsi="宋体" w:cs="宋体"/>
          <w:color w:val="auto"/>
        </w:rPr>
      </w:pPr>
    </w:p>
    <w:p>
      <w:pPr>
        <w:rPr>
          <w:rFonts w:ascii="宋体" w:hAnsi="宋体" w:cs="宋体"/>
          <w:color w:val="auto"/>
          <w:sz w:val="36"/>
          <w:szCs w:val="36"/>
        </w:rPr>
      </w:pPr>
    </w:p>
    <w:p>
      <w:pPr>
        <w:rPr>
          <w:rFonts w:hint="eastAsia" w:ascii="宋体" w:hAnsi="宋体" w:cs="宋体"/>
          <w:color w:val="auto"/>
          <w:sz w:val="36"/>
          <w:szCs w:val="36"/>
          <w:lang w:val="en-US" w:eastAsia="zh-CN"/>
        </w:rPr>
      </w:pPr>
      <w:r>
        <w:rPr>
          <w:rFonts w:hint="eastAsia" w:ascii="宋体" w:hAnsi="宋体" w:cs="宋体"/>
          <w:color w:val="auto"/>
          <w:sz w:val="36"/>
          <w:szCs w:val="36"/>
          <w:lang w:val="en-US" w:eastAsia="zh-CN"/>
        </w:rPr>
        <w:br w:type="page"/>
      </w:r>
    </w:p>
    <w:p>
      <w:pPr>
        <w:jc w:val="center"/>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六</w:t>
      </w:r>
      <w:r>
        <w:rPr>
          <w:rFonts w:hint="eastAsia" w:ascii="仿宋" w:hAnsi="仿宋" w:eastAsia="仿宋" w:cs="仿宋"/>
          <w:color w:val="auto"/>
          <w:sz w:val="36"/>
          <w:szCs w:val="36"/>
        </w:rPr>
        <w:t>、技 术 偏 离 表</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60"/>
        <w:gridCol w:w="2762"/>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r>
              <w:rPr>
                <w:rFonts w:hint="eastAsia" w:ascii="仿宋" w:hAnsi="仿宋" w:eastAsia="仿宋" w:cs="仿宋"/>
                <w:szCs w:val="24"/>
              </w:rPr>
              <w:t>内容</w:t>
            </w:r>
          </w:p>
        </w:tc>
        <w:tc>
          <w:tcPr>
            <w:tcW w:w="2960" w:type="dxa"/>
            <w:vAlign w:val="center"/>
          </w:tcPr>
          <w:p>
            <w:pPr>
              <w:pStyle w:val="15"/>
              <w:spacing w:line="400" w:lineRule="atLeast"/>
              <w:jc w:val="center"/>
              <w:rPr>
                <w:rFonts w:hint="eastAsia" w:ascii="仿宋" w:hAnsi="仿宋" w:eastAsia="仿宋" w:cs="仿宋"/>
                <w:szCs w:val="24"/>
              </w:rPr>
            </w:pPr>
            <w:r>
              <w:rPr>
                <w:rFonts w:hint="eastAsia" w:ascii="仿宋" w:hAnsi="仿宋" w:eastAsia="仿宋" w:cs="仿宋"/>
                <w:szCs w:val="24"/>
              </w:rPr>
              <w:t>招标文件</w:t>
            </w:r>
          </w:p>
          <w:p>
            <w:pPr>
              <w:pStyle w:val="15"/>
              <w:spacing w:line="400" w:lineRule="atLeast"/>
              <w:jc w:val="center"/>
              <w:rPr>
                <w:rFonts w:hint="eastAsia" w:ascii="仿宋" w:hAnsi="仿宋" w:eastAsia="仿宋" w:cs="仿宋"/>
                <w:szCs w:val="24"/>
              </w:rPr>
            </w:pPr>
            <w:r>
              <w:rPr>
                <w:rFonts w:hint="eastAsia" w:ascii="仿宋" w:hAnsi="仿宋" w:eastAsia="仿宋" w:cs="仿宋"/>
                <w:szCs w:val="24"/>
              </w:rPr>
              <w:t>规范要求</w:t>
            </w:r>
          </w:p>
        </w:tc>
        <w:tc>
          <w:tcPr>
            <w:tcW w:w="2762" w:type="dxa"/>
            <w:vAlign w:val="center"/>
          </w:tcPr>
          <w:p>
            <w:pPr>
              <w:pStyle w:val="15"/>
              <w:spacing w:line="400" w:lineRule="atLeast"/>
              <w:jc w:val="center"/>
              <w:rPr>
                <w:rFonts w:hint="eastAsia" w:ascii="仿宋" w:hAnsi="仿宋" w:eastAsia="仿宋" w:cs="仿宋"/>
                <w:szCs w:val="24"/>
              </w:rPr>
            </w:pPr>
            <w:r>
              <w:rPr>
                <w:rFonts w:hint="eastAsia" w:ascii="仿宋" w:hAnsi="仿宋" w:eastAsia="仿宋" w:cs="仿宋"/>
                <w:szCs w:val="24"/>
              </w:rPr>
              <w:t>投标文件</w:t>
            </w:r>
          </w:p>
          <w:p>
            <w:pPr>
              <w:pStyle w:val="15"/>
              <w:spacing w:line="400" w:lineRule="atLeast"/>
              <w:jc w:val="center"/>
              <w:rPr>
                <w:rFonts w:hint="eastAsia" w:ascii="仿宋" w:hAnsi="仿宋" w:eastAsia="仿宋" w:cs="仿宋"/>
                <w:szCs w:val="24"/>
              </w:rPr>
            </w:pPr>
            <w:r>
              <w:rPr>
                <w:rFonts w:hint="eastAsia" w:ascii="仿宋" w:hAnsi="仿宋" w:eastAsia="仿宋" w:cs="仿宋"/>
                <w:szCs w:val="24"/>
              </w:rPr>
              <w:t>对应规范</w:t>
            </w:r>
          </w:p>
        </w:tc>
        <w:tc>
          <w:tcPr>
            <w:tcW w:w="1557" w:type="dxa"/>
            <w:vAlign w:val="center"/>
          </w:tcPr>
          <w:p>
            <w:pPr>
              <w:pStyle w:val="15"/>
              <w:spacing w:line="400" w:lineRule="atLeast"/>
              <w:jc w:val="center"/>
              <w:rPr>
                <w:rFonts w:hint="eastAsia" w:ascii="仿宋" w:hAnsi="仿宋" w:eastAsia="仿宋" w:cs="仿宋"/>
                <w:szCs w:val="24"/>
              </w:rPr>
            </w:pPr>
            <w:r>
              <w:rPr>
                <w:rFonts w:hint="eastAsia" w:ascii="仿宋" w:hAnsi="仿宋" w:eastAsia="仿宋" w:cs="仿宋"/>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5"/>
              <w:spacing w:line="400" w:lineRule="atLeast"/>
              <w:jc w:val="center"/>
              <w:rPr>
                <w:rFonts w:hint="eastAsia" w:ascii="仿宋" w:hAnsi="仿宋" w:eastAsia="仿宋" w:cs="仿宋"/>
                <w:szCs w:val="24"/>
              </w:rPr>
            </w:pPr>
          </w:p>
        </w:tc>
        <w:tc>
          <w:tcPr>
            <w:tcW w:w="2960" w:type="dxa"/>
            <w:vAlign w:val="center"/>
          </w:tcPr>
          <w:p>
            <w:pPr>
              <w:pStyle w:val="15"/>
              <w:spacing w:line="400" w:lineRule="atLeast"/>
              <w:jc w:val="center"/>
              <w:rPr>
                <w:rFonts w:hint="eastAsia" w:ascii="仿宋" w:hAnsi="仿宋" w:eastAsia="仿宋" w:cs="仿宋"/>
                <w:szCs w:val="24"/>
              </w:rPr>
            </w:pPr>
          </w:p>
        </w:tc>
        <w:tc>
          <w:tcPr>
            <w:tcW w:w="2762" w:type="dxa"/>
            <w:vAlign w:val="center"/>
          </w:tcPr>
          <w:p>
            <w:pPr>
              <w:pStyle w:val="15"/>
              <w:spacing w:line="400" w:lineRule="atLeast"/>
              <w:jc w:val="center"/>
              <w:rPr>
                <w:rFonts w:hint="eastAsia" w:ascii="仿宋" w:hAnsi="仿宋" w:eastAsia="仿宋" w:cs="仿宋"/>
                <w:szCs w:val="24"/>
              </w:rPr>
            </w:pPr>
          </w:p>
        </w:tc>
        <w:tc>
          <w:tcPr>
            <w:tcW w:w="1557" w:type="dxa"/>
            <w:vAlign w:val="center"/>
          </w:tcPr>
          <w:p>
            <w:pPr>
              <w:pStyle w:val="15"/>
              <w:spacing w:line="400" w:lineRule="atLeast"/>
              <w:jc w:val="center"/>
              <w:rPr>
                <w:rFonts w:hint="eastAsia" w:ascii="仿宋" w:hAnsi="仿宋" w:eastAsia="仿宋" w:cs="仿宋"/>
                <w:szCs w:val="24"/>
              </w:rPr>
            </w:pPr>
          </w:p>
        </w:tc>
      </w:tr>
    </w:tbl>
    <w:p>
      <w:pPr>
        <w:pStyle w:val="15"/>
        <w:spacing w:line="400" w:lineRule="atLeast"/>
        <w:rPr>
          <w:rFonts w:hint="eastAsia" w:ascii="仿宋" w:hAnsi="仿宋" w:eastAsia="仿宋" w:cs="仿宋"/>
          <w:szCs w:val="24"/>
        </w:rPr>
      </w:pPr>
      <w:r>
        <w:rPr>
          <w:rFonts w:hint="eastAsia" w:ascii="仿宋" w:hAnsi="仿宋" w:eastAsia="仿宋" w:cs="仿宋"/>
          <w:szCs w:val="24"/>
        </w:rPr>
        <w:t>注：</w:t>
      </w:r>
    </w:p>
    <w:p>
      <w:pPr>
        <w:pStyle w:val="15"/>
        <w:spacing w:line="400" w:lineRule="atLeast"/>
        <w:rPr>
          <w:rFonts w:hint="eastAsia" w:ascii="仿宋" w:hAnsi="仿宋" w:eastAsia="仿宋" w:cs="仿宋"/>
          <w:szCs w:val="24"/>
        </w:rPr>
      </w:pPr>
      <w:r>
        <w:rPr>
          <w:rFonts w:hint="eastAsia" w:ascii="仿宋" w:hAnsi="仿宋" w:eastAsia="仿宋" w:cs="仿宋"/>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5"/>
        <w:spacing w:line="400" w:lineRule="atLeast"/>
        <w:rPr>
          <w:rFonts w:hint="eastAsia" w:ascii="仿宋" w:hAnsi="仿宋" w:eastAsia="仿宋" w:cs="仿宋"/>
          <w:szCs w:val="24"/>
        </w:rPr>
      </w:pPr>
      <w:r>
        <w:rPr>
          <w:rFonts w:hint="eastAsia" w:ascii="仿宋" w:hAnsi="仿宋" w:eastAsia="仿宋" w:cs="仿宋"/>
          <w:szCs w:val="24"/>
        </w:rPr>
        <w:t>2、投标人递交的技术规格书中必须真实逐条列明，否则由投标人自行承担相关风险。</w:t>
      </w:r>
    </w:p>
    <w:p>
      <w:pPr>
        <w:pStyle w:val="15"/>
        <w:spacing w:line="400" w:lineRule="atLeast"/>
        <w:rPr>
          <w:rFonts w:hint="eastAsia" w:ascii="仿宋" w:hAnsi="仿宋" w:eastAsia="仿宋" w:cs="仿宋"/>
          <w:szCs w:val="24"/>
        </w:rPr>
      </w:pPr>
      <w:r>
        <w:rPr>
          <w:rFonts w:hint="eastAsia" w:ascii="仿宋" w:hAnsi="仿宋" w:eastAsia="仿宋" w:cs="仿宋"/>
          <w:szCs w:val="24"/>
        </w:rPr>
        <w:t>3、此表在不改变格式的情况下可自行制作。</w:t>
      </w:r>
    </w:p>
    <w:p>
      <w:pPr>
        <w:pStyle w:val="15"/>
        <w:spacing w:line="400" w:lineRule="atLeast"/>
        <w:rPr>
          <w:rFonts w:hint="eastAsia" w:ascii="仿宋" w:hAnsi="仿宋" w:eastAsia="仿宋" w:cs="仿宋"/>
          <w:szCs w:val="24"/>
        </w:rPr>
      </w:pPr>
      <w:r>
        <w:rPr>
          <w:rFonts w:hint="eastAsia" w:ascii="仿宋" w:hAnsi="仿宋" w:eastAsia="仿宋" w:cs="仿宋"/>
          <w:szCs w:val="24"/>
        </w:rPr>
        <w:t>4、此表置于商务技术文件中。</w:t>
      </w:r>
    </w:p>
    <w:p>
      <w:pPr>
        <w:rPr>
          <w:rFonts w:hint="eastAsia" w:ascii="仿宋" w:hAnsi="仿宋" w:eastAsia="仿宋" w:cs="仿宋"/>
          <w:color w:val="auto"/>
          <w:sz w:val="28"/>
        </w:rPr>
      </w:pPr>
    </w:p>
    <w:p>
      <w:pPr>
        <w:rPr>
          <w:rFonts w:hint="eastAsia" w:ascii="仿宋" w:hAnsi="仿宋" w:eastAsia="仿宋" w:cs="仿宋"/>
          <w:color w:val="auto"/>
          <w:sz w:val="28"/>
        </w:rPr>
      </w:pPr>
      <w:r>
        <w:rPr>
          <w:rFonts w:hint="eastAsia" w:ascii="仿宋" w:hAnsi="仿宋" w:eastAsia="仿宋" w:cs="仿宋"/>
          <w:color w:val="auto"/>
          <w:sz w:val="28"/>
        </w:rPr>
        <w:t>投标人（盖章）：</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pPr>
        <w:rPr>
          <w:rFonts w:hint="eastAsia" w:ascii="仿宋" w:hAnsi="仿宋" w:eastAsia="仿宋" w:cs="仿宋"/>
          <w:color w:val="auto"/>
          <w:sz w:val="28"/>
        </w:rPr>
      </w:pPr>
    </w:p>
    <w:p>
      <w:pPr>
        <w:spacing w:line="340" w:lineRule="exact"/>
        <w:rPr>
          <w:rFonts w:hint="eastAsia" w:ascii="仿宋" w:hAnsi="仿宋" w:eastAsia="仿宋" w:cs="仿宋"/>
          <w:color w:val="auto"/>
        </w:rPr>
      </w:pPr>
    </w:p>
    <w:p>
      <w:pPr>
        <w:spacing w:line="340" w:lineRule="exact"/>
        <w:rPr>
          <w:rFonts w:hint="eastAsia" w:ascii="仿宋" w:hAnsi="仿宋" w:eastAsia="仿宋" w:cs="仿宋"/>
          <w:color w:val="auto"/>
          <w:sz w:val="28"/>
        </w:rPr>
      </w:pPr>
      <w:r>
        <w:rPr>
          <w:rFonts w:hint="eastAsia" w:ascii="仿宋" w:hAnsi="仿宋" w:eastAsia="仿宋" w:cs="仿宋"/>
          <w:color w:val="auto"/>
          <w:sz w:val="28"/>
        </w:rPr>
        <w:t>日      期：     年    月    日</w:t>
      </w:r>
    </w:p>
    <w:p>
      <w:pPr>
        <w:pStyle w:val="23"/>
        <w:ind w:firstLine="560"/>
        <w:rPr>
          <w:rFonts w:ascii="宋体" w:hAnsi="宋体" w:cs="宋体"/>
          <w:sz w:val="28"/>
        </w:rPr>
      </w:pPr>
    </w:p>
    <w:p>
      <w:pPr>
        <w:pStyle w:val="23"/>
        <w:ind w:firstLine="560"/>
        <w:rPr>
          <w:rFonts w:ascii="宋体" w:hAnsi="宋体" w:cs="宋体"/>
          <w:sz w:val="28"/>
        </w:rPr>
      </w:pPr>
    </w:p>
    <w:p>
      <w:pPr>
        <w:rPr>
          <w:rFonts w:ascii="宋体" w:hAnsi="宋体" w:cs="宋体"/>
          <w:color w:val="auto"/>
        </w:rPr>
      </w:pPr>
    </w:p>
    <w:p/>
    <w:sectPr>
      <w:pgSz w:w="11906" w:h="16838"/>
      <w:pgMar w:top="1247" w:right="1134" w:bottom="1247" w:left="1134" w:header="851" w:footer="907"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仪细等线简">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1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诸暨市广顺工程管理服务有限公司招标文件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060" w:firstLineChars="1700"/>
      <w:jc w:val="both"/>
    </w:pPr>
    <w:r>
      <w:rPr>
        <w:rFonts w:hint="eastAsia"/>
      </w:rPr>
      <w:t>诸暨市广顺工程管理服务有限公司招标文件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D4529"/>
    <w:multiLevelType w:val="singleLevel"/>
    <w:tmpl w:val="4C7D4529"/>
    <w:lvl w:ilvl="0" w:tentative="0">
      <w:start w:val="1"/>
      <w:numFmt w:val="decimal"/>
      <w:pStyle w:val="8"/>
      <w:lvlText w:val="%1."/>
      <w:lvlJc w:val="left"/>
      <w:pPr>
        <w:tabs>
          <w:tab w:val="left" w:pos="360"/>
        </w:tabs>
        <w:ind w:left="360" w:hanging="360"/>
      </w:pPr>
    </w:lvl>
  </w:abstractNum>
  <w:abstractNum w:abstractNumId="1">
    <w:nsid w:val="53106500"/>
    <w:multiLevelType w:val="multilevel"/>
    <w:tmpl w:val="53106500"/>
    <w:lvl w:ilvl="0" w:tentative="0">
      <w:start w:val="1"/>
      <w:numFmt w:val="decimal"/>
      <w:lvlText w:val="%1."/>
      <w:lvlJc w:val="left"/>
      <w:pPr>
        <w:ind w:left="425" w:hanging="425"/>
      </w:pPr>
      <w:rPr>
        <w:rFonts w:cs="Times New Roman"/>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425" w:hanging="425"/>
      </w:pPr>
      <w:rPr>
        <w:rFonts w:hint="eastAsia"/>
      </w:rPr>
    </w:lvl>
    <w:lvl w:ilvl="2" w:tentative="0">
      <w:start w:val="1"/>
      <w:numFmt w:val="decimal"/>
      <w:lvlText w:val="%1.%2.%3"/>
      <w:lvlJc w:val="left"/>
      <w:pPr>
        <w:ind w:left="425" w:hanging="425"/>
      </w:pPr>
      <w:rPr>
        <w:rFonts w:hint="eastAsia" w:ascii="宋体" w:hAnsi="宋体" w:eastAsia="宋体"/>
        <w:b/>
        <w:i w:val="0"/>
        <w:sz w:val="24"/>
      </w:rPr>
    </w:lvl>
    <w:lvl w:ilvl="3" w:tentative="0">
      <w:start w:val="1"/>
      <w:numFmt w:val="decimal"/>
      <w:lvlText w:val="%1.%2.%3.%4"/>
      <w:lvlJc w:val="left"/>
      <w:pPr>
        <w:ind w:left="425" w:hanging="425"/>
      </w:pPr>
      <w:rPr>
        <w:rFonts w:hint="eastAsia" w:ascii="宋体" w:hAnsi="宋体" w:eastAsia="宋体"/>
        <w:b w:val="0"/>
        <w:i w:val="0"/>
        <w:sz w:val="24"/>
      </w:rPr>
    </w:lvl>
    <w:lvl w:ilvl="4" w:tentative="0">
      <w:start w:val="1"/>
      <w:numFmt w:val="decimal"/>
      <w:lvlText w:val="%1.%2.%3.%4.%5"/>
      <w:lvlJc w:val="left"/>
      <w:pPr>
        <w:ind w:left="425" w:hanging="425"/>
      </w:pPr>
      <w:rPr>
        <w:rFonts w:hint="eastAsia" w:ascii="宋体" w:hAnsi="宋体" w:eastAsia="宋体"/>
        <w:b w:val="0"/>
        <w:i w:val="0"/>
        <w:sz w:val="24"/>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5D14FD3E"/>
    <w:multiLevelType w:val="singleLevel"/>
    <w:tmpl w:val="5D14FD3E"/>
    <w:lvl w:ilvl="0" w:tentative="0">
      <w:start w:val="1"/>
      <w:numFmt w:val="chineseCounting"/>
      <w:suff w:val="nothing"/>
      <w:lvlText w:val="%1、"/>
      <w:lvlJc w:val="left"/>
      <w:rPr>
        <w:rFonts w:hint="eastAsia"/>
      </w:rPr>
    </w:lvl>
  </w:abstractNum>
  <w:num w:numId="1">
    <w:abstractNumId w:val="1"/>
    <w:lvlOverride w:ilvl="0">
      <w:lvl w:ilvl="0" w:tentative="1">
        <w:start w:val="1"/>
        <w:numFmt w:val="decimal"/>
        <w:lvlText w:val="%1."/>
        <w:lvlJc w:val="left"/>
        <w:pPr>
          <w:ind w:left="425" w:hanging="425"/>
        </w:pPr>
        <w:rPr>
          <w:rFonts w:hint="eastAsia" w:ascii="宋体" w:hAnsi="宋体" w:eastAsia="宋体"/>
          <w:b/>
          <w:i w:val="0"/>
          <w:sz w:val="32"/>
        </w:rPr>
      </w:lvl>
    </w:lvlOverride>
    <w:lvlOverride w:ilvl="1">
      <w:lvl w:ilvl="1" w:tentative="1">
        <w:start w:val="1"/>
        <w:numFmt w:val="decimal"/>
        <w:lvlText w:val="%1.%2"/>
        <w:lvlJc w:val="left"/>
        <w:pPr>
          <w:ind w:left="425" w:hanging="425"/>
        </w:pPr>
        <w:rPr>
          <w:rFonts w:hint="eastAsia"/>
        </w:rPr>
      </w:lvl>
    </w:lvlOverride>
    <w:lvlOverride w:ilvl="2">
      <w:lvl w:ilvl="2" w:tentative="1">
        <w:start w:val="1"/>
        <w:numFmt w:val="decimal"/>
        <w:lvlText w:val="%1.%2.%3"/>
        <w:lvlJc w:val="left"/>
        <w:pPr>
          <w:ind w:left="425" w:hanging="425"/>
        </w:pPr>
        <w:rPr>
          <w:rFonts w:hint="eastAsia" w:ascii="宋体" w:hAnsi="宋体" w:eastAsia="宋体"/>
          <w:b/>
          <w:i w:val="0"/>
          <w:sz w:val="24"/>
        </w:rPr>
      </w:lvl>
    </w:lvlOverride>
    <w:lvlOverride w:ilvl="3">
      <w:lvl w:ilvl="3" w:tentative="1">
        <w:start w:val="1"/>
        <w:numFmt w:val="decimal"/>
        <w:pStyle w:val="6"/>
        <w:lvlText w:val="%1.%2.%3.%4"/>
        <w:lvlJc w:val="left"/>
        <w:pPr>
          <w:ind w:left="425" w:hanging="425"/>
        </w:pPr>
        <w:rPr>
          <w:rFonts w:hint="eastAsia" w:ascii="宋体" w:hAnsi="宋体" w:eastAsia="宋体"/>
          <w:b w:val="0"/>
          <w:i w:val="0"/>
          <w:sz w:val="24"/>
        </w:rPr>
      </w:lvl>
    </w:lvlOverride>
    <w:lvlOverride w:ilvl="4">
      <w:lvl w:ilvl="4" w:tentative="1">
        <w:start w:val="1"/>
        <w:numFmt w:val="decimal"/>
        <w:pStyle w:val="7"/>
        <w:lvlText w:val="%1.%2.%3.%4.%5"/>
        <w:lvlJc w:val="left"/>
        <w:pPr>
          <w:ind w:left="425" w:hanging="425"/>
        </w:pPr>
        <w:rPr>
          <w:rFonts w:hint="eastAsia" w:ascii="宋体" w:hAnsi="宋体" w:eastAsia="宋体"/>
          <w:b w:val="0"/>
          <w:i w:val="0"/>
          <w:sz w:val="24"/>
        </w:rPr>
      </w:lvl>
    </w:lvlOverride>
    <w:lvlOverride w:ilvl="5">
      <w:lvl w:ilvl="5" w:tentative="1">
        <w:start w:val="1"/>
        <w:numFmt w:val="decimal"/>
        <w:lvlText w:val="%1.%2.%3.%4.%5.%6"/>
        <w:lvlJc w:val="left"/>
        <w:pPr>
          <w:ind w:left="425" w:hanging="425"/>
        </w:pPr>
        <w:rPr>
          <w:rFonts w:hint="eastAsia"/>
        </w:rPr>
      </w:lvl>
    </w:lvlOverride>
    <w:lvlOverride w:ilvl="6">
      <w:lvl w:ilvl="6" w:tentative="1">
        <w:start w:val="1"/>
        <w:numFmt w:val="decimal"/>
        <w:lvlText w:val="%1.%2.%3.%4.%5.%6.%7"/>
        <w:lvlJc w:val="left"/>
        <w:pPr>
          <w:ind w:left="425" w:hanging="425"/>
        </w:pPr>
        <w:rPr>
          <w:rFonts w:hint="eastAsia"/>
        </w:rPr>
      </w:lvl>
    </w:lvlOverride>
    <w:lvlOverride w:ilvl="7">
      <w:lvl w:ilvl="7" w:tentative="1">
        <w:start w:val="1"/>
        <w:numFmt w:val="decimal"/>
        <w:lvlText w:val="%1.%2.%3.%4.%5.%6.%7.%8"/>
        <w:lvlJc w:val="left"/>
        <w:pPr>
          <w:ind w:left="425" w:hanging="425"/>
        </w:pPr>
        <w:rPr>
          <w:rFonts w:hint="eastAsia"/>
        </w:rPr>
      </w:lvl>
    </w:lvlOverride>
    <w:lvlOverride w:ilvl="8">
      <w:lvl w:ilvl="8" w:tentative="1">
        <w:start w:val="1"/>
        <w:numFmt w:val="decimal"/>
        <w:lvlText w:val="%1.%2.%3.%4.%5.%6.%7.%8.%9"/>
        <w:lvlJc w:val="left"/>
        <w:pPr>
          <w:ind w:left="425" w:hanging="425"/>
        </w:pPr>
        <w:rPr>
          <w:rFonts w:hint="eastAsia"/>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DIwMTEyYTJjNDAwN2VhZmVkZjc3MWJmM2VhYTIifQ=="/>
  </w:docVars>
  <w:rsids>
    <w:rsidRoot w:val="006D6B23"/>
    <w:rsid w:val="000C2628"/>
    <w:rsid w:val="006D6B23"/>
    <w:rsid w:val="009C66F4"/>
    <w:rsid w:val="00B90CE7"/>
    <w:rsid w:val="00D227A8"/>
    <w:rsid w:val="01635114"/>
    <w:rsid w:val="01935007"/>
    <w:rsid w:val="01B307FB"/>
    <w:rsid w:val="01FA31C4"/>
    <w:rsid w:val="0476362E"/>
    <w:rsid w:val="050869C8"/>
    <w:rsid w:val="06E25862"/>
    <w:rsid w:val="079B4245"/>
    <w:rsid w:val="07B45450"/>
    <w:rsid w:val="09387FA6"/>
    <w:rsid w:val="095E2AE9"/>
    <w:rsid w:val="09BC05EC"/>
    <w:rsid w:val="0D1D7770"/>
    <w:rsid w:val="0E2473AF"/>
    <w:rsid w:val="0E576B35"/>
    <w:rsid w:val="0E8D494A"/>
    <w:rsid w:val="0F4B48EC"/>
    <w:rsid w:val="0F6B6D3C"/>
    <w:rsid w:val="115455AE"/>
    <w:rsid w:val="11BA18B5"/>
    <w:rsid w:val="11CE024D"/>
    <w:rsid w:val="123C01CE"/>
    <w:rsid w:val="125F51BD"/>
    <w:rsid w:val="137A7A67"/>
    <w:rsid w:val="153D66FF"/>
    <w:rsid w:val="1555221B"/>
    <w:rsid w:val="15DD665D"/>
    <w:rsid w:val="16DE7DF3"/>
    <w:rsid w:val="17724755"/>
    <w:rsid w:val="18EA6F23"/>
    <w:rsid w:val="18F11AD8"/>
    <w:rsid w:val="19502ED2"/>
    <w:rsid w:val="1A597EEB"/>
    <w:rsid w:val="1A6955D9"/>
    <w:rsid w:val="1BA333BA"/>
    <w:rsid w:val="1C1C4F1A"/>
    <w:rsid w:val="1D1A045E"/>
    <w:rsid w:val="1D532BBD"/>
    <w:rsid w:val="22486A69"/>
    <w:rsid w:val="23517B9F"/>
    <w:rsid w:val="24135688"/>
    <w:rsid w:val="25886B7B"/>
    <w:rsid w:val="26212534"/>
    <w:rsid w:val="2660557E"/>
    <w:rsid w:val="271832D3"/>
    <w:rsid w:val="29053906"/>
    <w:rsid w:val="29160957"/>
    <w:rsid w:val="29B228C3"/>
    <w:rsid w:val="2F3841E1"/>
    <w:rsid w:val="2F6A001E"/>
    <w:rsid w:val="2FF557C2"/>
    <w:rsid w:val="31805741"/>
    <w:rsid w:val="31B0045F"/>
    <w:rsid w:val="32075FF9"/>
    <w:rsid w:val="34167E6A"/>
    <w:rsid w:val="349B3D79"/>
    <w:rsid w:val="359A7184"/>
    <w:rsid w:val="35A36012"/>
    <w:rsid w:val="35DA041B"/>
    <w:rsid w:val="362A6E70"/>
    <w:rsid w:val="36EC6E34"/>
    <w:rsid w:val="377D0B0B"/>
    <w:rsid w:val="380134EA"/>
    <w:rsid w:val="38076552"/>
    <w:rsid w:val="393B2A2C"/>
    <w:rsid w:val="3A427935"/>
    <w:rsid w:val="3B595CA7"/>
    <w:rsid w:val="3B773FBC"/>
    <w:rsid w:val="3C761E16"/>
    <w:rsid w:val="3CA01273"/>
    <w:rsid w:val="3D5567B2"/>
    <w:rsid w:val="3E3C527C"/>
    <w:rsid w:val="3E804813"/>
    <w:rsid w:val="3ECD27F1"/>
    <w:rsid w:val="43900ED2"/>
    <w:rsid w:val="445B21D4"/>
    <w:rsid w:val="4588736E"/>
    <w:rsid w:val="45B222C8"/>
    <w:rsid w:val="461073C4"/>
    <w:rsid w:val="463A37E6"/>
    <w:rsid w:val="467F664E"/>
    <w:rsid w:val="469367CD"/>
    <w:rsid w:val="46FA442E"/>
    <w:rsid w:val="47054157"/>
    <w:rsid w:val="471775AB"/>
    <w:rsid w:val="48275E95"/>
    <w:rsid w:val="48634620"/>
    <w:rsid w:val="495A0ACB"/>
    <w:rsid w:val="49667651"/>
    <w:rsid w:val="49F46E3E"/>
    <w:rsid w:val="49FC1D63"/>
    <w:rsid w:val="4A902E07"/>
    <w:rsid w:val="4AB60700"/>
    <w:rsid w:val="4BF709EF"/>
    <w:rsid w:val="4CA92473"/>
    <w:rsid w:val="4D4B4F32"/>
    <w:rsid w:val="4E994025"/>
    <w:rsid w:val="4F2C7E2F"/>
    <w:rsid w:val="51581F75"/>
    <w:rsid w:val="528E37CB"/>
    <w:rsid w:val="52FC261E"/>
    <w:rsid w:val="532A391E"/>
    <w:rsid w:val="53362EA5"/>
    <w:rsid w:val="54484D88"/>
    <w:rsid w:val="54A25370"/>
    <w:rsid w:val="57A11A8C"/>
    <w:rsid w:val="57AC3163"/>
    <w:rsid w:val="581D41D8"/>
    <w:rsid w:val="58342D20"/>
    <w:rsid w:val="58D917D2"/>
    <w:rsid w:val="596F61FA"/>
    <w:rsid w:val="59B47FA7"/>
    <w:rsid w:val="5A213224"/>
    <w:rsid w:val="5C225659"/>
    <w:rsid w:val="5C2A2760"/>
    <w:rsid w:val="5F2D4118"/>
    <w:rsid w:val="602C1392"/>
    <w:rsid w:val="60934023"/>
    <w:rsid w:val="60C347F3"/>
    <w:rsid w:val="61AE5A54"/>
    <w:rsid w:val="643E022A"/>
    <w:rsid w:val="66B05FA1"/>
    <w:rsid w:val="674C2F91"/>
    <w:rsid w:val="68A35D74"/>
    <w:rsid w:val="695F1127"/>
    <w:rsid w:val="698F5537"/>
    <w:rsid w:val="6A635FA8"/>
    <w:rsid w:val="6AA07638"/>
    <w:rsid w:val="6B0F149F"/>
    <w:rsid w:val="6BC7740E"/>
    <w:rsid w:val="6C275755"/>
    <w:rsid w:val="6D5A033F"/>
    <w:rsid w:val="6D6F7960"/>
    <w:rsid w:val="6D794864"/>
    <w:rsid w:val="6DEE0AAA"/>
    <w:rsid w:val="6EA0254E"/>
    <w:rsid w:val="6F925D7B"/>
    <w:rsid w:val="7019250A"/>
    <w:rsid w:val="70686E66"/>
    <w:rsid w:val="70E53421"/>
    <w:rsid w:val="71834994"/>
    <w:rsid w:val="7265409A"/>
    <w:rsid w:val="729130E1"/>
    <w:rsid w:val="72E70F53"/>
    <w:rsid w:val="737E6B7F"/>
    <w:rsid w:val="750D6446"/>
    <w:rsid w:val="752B5FD5"/>
    <w:rsid w:val="75E06E43"/>
    <w:rsid w:val="76A74C81"/>
    <w:rsid w:val="77275DC2"/>
    <w:rsid w:val="79960FDD"/>
    <w:rsid w:val="7B7B048A"/>
    <w:rsid w:val="7B7B1DC7"/>
    <w:rsid w:val="7B955A83"/>
    <w:rsid w:val="7C947A56"/>
    <w:rsid w:val="7CC231F3"/>
    <w:rsid w:val="7EDE2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rFonts w:ascii="??" w:hAnsi="??" w:eastAsia="??"/>
      <w:b/>
      <w:color w:val="auto"/>
      <w:kern w:val="36"/>
      <w:sz w:val="32"/>
      <w:szCs w:val="28"/>
    </w:rPr>
  </w:style>
  <w:style w:type="paragraph" w:styleId="2">
    <w:name w:val="heading 2"/>
    <w:basedOn w:val="1"/>
    <w:next w:val="3"/>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5">
    <w:name w:val="heading 3"/>
    <w:basedOn w:val="1"/>
    <w:next w:val="1"/>
    <w:qFormat/>
    <w:uiPriority w:val="0"/>
    <w:pPr>
      <w:spacing w:before="20" w:after="20"/>
      <w:ind w:firstLine="400" w:firstLineChars="200"/>
      <w:jc w:val="left"/>
      <w:outlineLvl w:val="2"/>
    </w:pPr>
    <w:rPr>
      <w:rFonts w:ascii="宋体" w:hAnsi="宋体" w:cs="宋体"/>
      <w:b/>
      <w:bCs/>
      <w:sz w:val="24"/>
      <w:szCs w:val="28"/>
      <w:lang w:val="zh-CN" w:bidi="zh-CN"/>
    </w:rPr>
  </w:style>
  <w:style w:type="paragraph" w:styleId="6">
    <w:name w:val="heading 4"/>
    <w:basedOn w:val="1"/>
    <w:next w:val="1"/>
    <w:unhideWhenUsed/>
    <w:qFormat/>
    <w:uiPriority w:val="9"/>
    <w:pPr>
      <w:keepNext/>
      <w:keepLines/>
      <w:numPr>
        <w:ilvl w:val="3"/>
        <w:numId w:val="1"/>
      </w:numPr>
      <w:spacing w:before="280" w:after="290" w:line="377" w:lineRule="auto"/>
      <w:ind w:firstLine="0"/>
      <w:outlineLvl w:val="3"/>
    </w:pPr>
    <w:rPr>
      <w:rFonts w:cstheme="majorBidi"/>
      <w:b/>
      <w:bCs/>
    </w:rPr>
  </w:style>
  <w:style w:type="paragraph" w:styleId="7">
    <w:name w:val="heading 5"/>
    <w:basedOn w:val="1"/>
    <w:next w:val="1"/>
    <w:unhideWhenUsed/>
    <w:qFormat/>
    <w:uiPriority w:val="9"/>
    <w:pPr>
      <w:keepNext/>
      <w:keepLines/>
      <w:numPr>
        <w:ilvl w:val="4"/>
        <w:numId w:val="1"/>
      </w:numPr>
      <w:spacing w:before="280" w:after="290" w:line="376" w:lineRule="auto"/>
      <w:outlineLvl w:val="4"/>
    </w:pPr>
    <w:rPr>
      <w:b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utoSpaceDE/>
      <w:autoSpaceDN/>
      <w:adjustRightInd/>
      <w:ind w:firstLine="420"/>
    </w:pPr>
    <w:rPr>
      <w:color w:val="auto"/>
      <w:kern w:val="2"/>
      <w:szCs w:val="20"/>
    </w:rPr>
  </w:style>
  <w:style w:type="paragraph" w:styleId="8">
    <w:name w:val="List Number"/>
    <w:basedOn w:val="1"/>
    <w:qFormat/>
    <w:uiPriority w:val="0"/>
    <w:pPr>
      <w:numPr>
        <w:ilvl w:val="0"/>
        <w:numId w:val="2"/>
      </w:numPr>
    </w:pPr>
  </w:style>
  <w:style w:type="paragraph" w:styleId="9">
    <w:name w:val="annotation text"/>
    <w:basedOn w:val="1"/>
    <w:qFormat/>
    <w:uiPriority w:val="0"/>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next w:val="1"/>
    <w:link w:val="46"/>
    <w:qFormat/>
    <w:uiPriority w:val="0"/>
    <w:pPr>
      <w:spacing w:after="120"/>
    </w:p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spacing w:line="300" w:lineRule="auto"/>
      <w:ind w:left="958" w:right="-120" w:rightChars="-120"/>
      <w:jc w:val="left"/>
    </w:pPr>
    <w:rPr>
      <w:rFonts w:ascii="宋体" w:hAnsi="宋体"/>
      <w:sz w:val="28"/>
    </w:rPr>
  </w:style>
  <w:style w:type="paragraph" w:styleId="14">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15">
    <w:name w:val="Plain Text"/>
    <w:basedOn w:val="1"/>
    <w:next w:val="3"/>
    <w:qFormat/>
    <w:uiPriority w:val="0"/>
    <w:pPr>
      <w:autoSpaceDE/>
      <w:autoSpaceDN/>
      <w:adjustRightInd/>
    </w:pPr>
    <w:rPr>
      <w:color w:val="auto"/>
      <w:kern w:val="2"/>
      <w:sz w:val="24"/>
      <w:szCs w:val="20"/>
    </w:rPr>
  </w:style>
  <w:style w:type="paragraph" w:styleId="16">
    <w:name w:val="footer"/>
    <w:basedOn w:val="1"/>
    <w:link w:val="45"/>
    <w:qFormat/>
    <w:uiPriority w:val="0"/>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ascii="Calibri" w:hAnsi="Calibri" w:eastAsia="??"/>
      <w:color w:val="auto"/>
      <w:sz w:val="18"/>
      <w:szCs w:val="28"/>
    </w:rPr>
  </w:style>
  <w:style w:type="paragraph" w:styleId="18">
    <w:name w:val="List"/>
    <w:basedOn w:val="1"/>
    <w:next w:val="1"/>
    <w:qFormat/>
    <w:uiPriority w:val="0"/>
    <w:pPr>
      <w:widowControl/>
      <w:topLinePunct/>
      <w:adjustRightInd w:val="0"/>
      <w:snapToGrid w:val="0"/>
      <w:spacing w:before="160" w:after="160" w:line="240" w:lineRule="atLeast"/>
      <w:ind w:left="200" w:hanging="200" w:hangingChars="200"/>
      <w:jc w:val="left"/>
    </w:pPr>
    <w:rPr>
      <w:szCs w:val="21"/>
    </w:rPr>
  </w:style>
  <w:style w:type="paragraph" w:styleId="19">
    <w:name w:val="footnote text"/>
    <w:basedOn w:val="1"/>
    <w:qFormat/>
    <w:uiPriority w:val="99"/>
    <w:pPr>
      <w:jc w:val="left"/>
    </w:pPr>
    <w:rPr>
      <w:kern w:val="1"/>
      <w:sz w:val="18"/>
    </w:rPr>
  </w:style>
  <w:style w:type="paragraph" w:styleId="20">
    <w:name w:val="Body Text Indent 3"/>
    <w:basedOn w:val="1"/>
    <w:qFormat/>
    <w:uiPriority w:val="0"/>
    <w:pPr>
      <w:autoSpaceDE/>
      <w:autoSpaceDN/>
      <w:adjustRightInd/>
      <w:ind w:firstLine="435"/>
    </w:pPr>
    <w:rPr>
      <w:color w:val="auto"/>
      <w:kern w:val="2"/>
      <w:szCs w:val="24"/>
    </w:rPr>
  </w:style>
  <w:style w:type="paragraph" w:styleId="21">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2">
    <w:name w:val="Body Text First Indent"/>
    <w:basedOn w:val="11"/>
    <w:next w:val="18"/>
    <w:qFormat/>
    <w:uiPriority w:val="0"/>
    <w:pPr>
      <w:spacing w:line="312" w:lineRule="auto"/>
      <w:ind w:firstLine="420"/>
    </w:pPr>
  </w:style>
  <w:style w:type="paragraph" w:styleId="23">
    <w:name w:val="Body Text First Indent 2"/>
    <w:basedOn w:val="12"/>
    <w:next w:val="24"/>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4">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paragraph" w:customStyle="1" w:styleId="30">
    <w:name w:val="Body Text First Indent 21"/>
    <w:basedOn w:val="31"/>
    <w:qFormat/>
    <w:uiPriority w:val="0"/>
    <w:pPr>
      <w:ind w:firstLine="420"/>
    </w:pPr>
    <w:rPr>
      <w:rFonts w:cs="宋体"/>
    </w:rPr>
  </w:style>
  <w:style w:type="paragraph" w:customStyle="1" w:styleId="31">
    <w:name w:val="Body Text Indent1"/>
    <w:basedOn w:val="1"/>
    <w:next w:val="1"/>
    <w:qFormat/>
    <w:uiPriority w:val="0"/>
    <w:pPr>
      <w:spacing w:after="120"/>
      <w:ind w:left="420" w:leftChars="200"/>
    </w:pPr>
  </w:style>
  <w:style w:type="paragraph" w:customStyle="1" w:styleId="32">
    <w:name w:val="表格文字"/>
    <w:basedOn w:val="33"/>
    <w:next w:val="11"/>
    <w:qFormat/>
    <w:uiPriority w:val="0"/>
    <w:pPr>
      <w:spacing w:line="420" w:lineRule="atLeast"/>
      <w:textAlignment w:val="baseline"/>
    </w:pPr>
  </w:style>
  <w:style w:type="paragraph" w:customStyle="1" w:styleId="33">
    <w:name w:val="表格文字（两侧对齐）"/>
    <w:basedOn w:val="1"/>
    <w:qFormat/>
    <w:uiPriority w:val="0"/>
    <w:pPr>
      <w:snapToGrid w:val="0"/>
    </w:pPr>
    <w:rPr>
      <w:sz w:val="20"/>
      <w:szCs w:val="24"/>
    </w:rPr>
  </w:style>
  <w:style w:type="paragraph" w:customStyle="1" w:styleId="34">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5">
    <w:name w:val="列表段落1"/>
    <w:basedOn w:val="1"/>
    <w:next w:val="1"/>
    <w:qFormat/>
    <w:uiPriority w:val="0"/>
    <w:pPr>
      <w:autoSpaceDE/>
      <w:autoSpaceDN/>
      <w:adjustRightInd/>
      <w:ind w:firstLine="420" w:firstLineChars="200"/>
    </w:pPr>
    <w:rPr>
      <w:rFonts w:ascii="Calibri" w:hAnsi="Calibri"/>
      <w:color w:val="auto"/>
      <w:sz w:val="20"/>
      <w:szCs w:val="22"/>
    </w:rPr>
  </w:style>
  <w:style w:type="table" w:customStyle="1" w:styleId="36">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文本正文宋体缩进"/>
    <w:basedOn w:val="1"/>
    <w:next w:val="1"/>
    <w:qFormat/>
    <w:uiPriority w:val="0"/>
    <w:pPr>
      <w:autoSpaceDE/>
      <w:autoSpaceDN/>
      <w:adjustRightInd/>
      <w:spacing w:line="360" w:lineRule="auto"/>
      <w:ind w:firstLine="480" w:firstLineChars="200"/>
    </w:pPr>
    <w:rPr>
      <w:color w:val="auto"/>
      <w:kern w:val="2"/>
      <w:sz w:val="24"/>
    </w:rPr>
  </w:style>
  <w:style w:type="paragraph" w:customStyle="1" w:styleId="38">
    <w:name w:val="正文文本首行缩进 21"/>
    <w:basedOn w:val="39"/>
    <w:qFormat/>
    <w:uiPriority w:val="0"/>
    <w:pPr>
      <w:ind w:firstLine="420"/>
    </w:pPr>
    <w:rPr>
      <w:rFonts w:cs="宋体"/>
    </w:rPr>
  </w:style>
  <w:style w:type="paragraph" w:customStyle="1" w:styleId="39">
    <w:name w:val="正文文本缩进1"/>
    <w:basedOn w:val="1"/>
    <w:next w:val="1"/>
    <w:qFormat/>
    <w:uiPriority w:val="0"/>
    <w:pPr>
      <w:spacing w:after="120"/>
      <w:ind w:left="420" w:leftChars="200"/>
    </w:pPr>
  </w:style>
  <w:style w:type="paragraph" w:customStyle="1" w:styleId="40">
    <w:name w:val="正文首行缩进 21"/>
    <w:basedOn w:val="1"/>
    <w:qFormat/>
    <w:uiPriority w:val="0"/>
    <w:pPr>
      <w:spacing w:after="120"/>
      <w:ind w:left="420" w:leftChars="200" w:firstLine="420"/>
    </w:pPr>
    <w:rPr>
      <w:rFonts w:cs="宋体"/>
    </w:rPr>
  </w:style>
  <w:style w:type="paragraph" w:customStyle="1" w:styleId="41">
    <w:name w:val="正文文字2"/>
    <w:basedOn w:val="11"/>
    <w:qFormat/>
    <w:uiPriority w:val="0"/>
    <w:pPr>
      <w:autoSpaceDE/>
      <w:autoSpaceDN/>
      <w:spacing w:after="60" w:line="360" w:lineRule="atLeast"/>
      <w:ind w:left="72" w:right="72"/>
      <w:jc w:val="center"/>
      <w:textAlignment w:val="baseline"/>
    </w:pPr>
    <w:rPr>
      <w:rFonts w:ascii="Arial" w:eastAsia="黑体"/>
    </w:rPr>
  </w:style>
  <w:style w:type="paragraph" w:customStyle="1" w:styleId="42">
    <w:name w:val="大纲正文"/>
    <w:basedOn w:val="1"/>
    <w:qFormat/>
    <w:uiPriority w:val="0"/>
    <w:pPr>
      <w:ind w:firstLine="425"/>
    </w:pPr>
  </w:style>
  <w:style w:type="paragraph" w:customStyle="1" w:styleId="43">
    <w:name w:val="我的表格"/>
    <w:basedOn w:val="1"/>
    <w:qFormat/>
    <w:uiPriority w:val="0"/>
    <w:pPr>
      <w:jc w:val="center"/>
    </w:pPr>
    <w:rPr>
      <w:rFonts w:eastAsia="仿宋_GB2312"/>
    </w:rPr>
  </w:style>
  <w:style w:type="paragraph" w:customStyle="1" w:styleId="44">
    <w:name w:val="正文 A"/>
    <w:next w:val="1"/>
    <w:qFormat/>
    <w:uiPriority w:val="0"/>
    <w:pPr>
      <w:widowControl w:val="0"/>
      <w:jc w:val="both"/>
    </w:pPr>
    <w:rPr>
      <w:rFonts w:ascii="Times New Roman" w:hAnsi="Times New Roman" w:eastAsia="汉仪细等线简" w:cs="Arial Unicode MS"/>
      <w:color w:val="000000"/>
      <w:kern w:val="2"/>
      <w:sz w:val="24"/>
      <w:szCs w:val="21"/>
      <w:u w:color="000000"/>
      <w:lang w:val="en-US" w:eastAsia="zh-CN" w:bidi="ar-SA"/>
    </w:rPr>
  </w:style>
  <w:style w:type="character" w:customStyle="1" w:styleId="45">
    <w:name w:val="页脚 字符"/>
    <w:basedOn w:val="27"/>
    <w:link w:val="16"/>
    <w:qFormat/>
    <w:uiPriority w:val="0"/>
    <w:rPr>
      <w:color w:val="000000"/>
      <w:sz w:val="18"/>
      <w:szCs w:val="21"/>
    </w:rPr>
  </w:style>
  <w:style w:type="character" w:customStyle="1" w:styleId="46">
    <w:name w:val="正文文本 字符"/>
    <w:basedOn w:val="27"/>
    <w:link w:val="11"/>
    <w:qFormat/>
    <w:uiPriority w:val="0"/>
    <w:rPr>
      <w:color w:val="000000"/>
      <w:sz w:val="21"/>
      <w:szCs w:val="21"/>
    </w:rPr>
  </w:style>
  <w:style w:type="paragraph" w:customStyle="1" w:styleId="47">
    <w:name w:val="Body Text First Indent 2"/>
    <w:basedOn w:val="48"/>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48">
    <w:name w:val="Body Text Indent"/>
    <w:basedOn w:val="1"/>
    <w:next w:val="1"/>
    <w:qFormat/>
    <w:uiPriority w:val="0"/>
    <w:pPr>
      <w:spacing w:after="120" w:afterLines="0"/>
      <w:ind w:left="420" w:leftChars="200"/>
    </w:pPr>
    <w:rPr>
      <w:color w:val="000000"/>
      <w:sz w:val="21"/>
      <w:szCs w:val="21"/>
    </w:rPr>
  </w:style>
  <w:style w:type="character" w:customStyle="1" w:styleId="49">
    <w:name w:val="font11"/>
    <w:basedOn w:val="27"/>
    <w:qFormat/>
    <w:uiPriority w:val="0"/>
    <w:rPr>
      <w:rFonts w:ascii="Calibri" w:hAnsi="Calibri" w:cs="Calibri"/>
      <w:color w:val="000000"/>
      <w:sz w:val="18"/>
      <w:szCs w:val="18"/>
      <w:u w:val="none"/>
    </w:rPr>
  </w:style>
  <w:style w:type="paragraph" w:customStyle="1" w:styleId="50">
    <w:name w:val="正文缩进1"/>
    <w:basedOn w:val="1"/>
    <w:qFormat/>
    <w:uiPriority w:val="0"/>
    <w:pPr>
      <w:autoSpaceDE/>
      <w:autoSpaceDN/>
      <w:adjustRightInd/>
      <w:ind w:firstLine="420"/>
    </w:pPr>
    <w:rPr>
      <w:color w:val="auto"/>
      <w:kern w:val="2"/>
      <w:szCs w:val="20"/>
    </w:rPr>
  </w:style>
  <w:style w:type="paragraph" w:customStyle="1" w:styleId="51">
    <w:name w:val="[Normal]"/>
    <w:qFormat/>
    <w:uiPriority w:val="0"/>
    <w:rPr>
      <w:rFonts w:ascii="宋体" w:hAnsi="宋体" w:eastAsia="宋体" w:cs="Times New Roman"/>
      <w:sz w:val="24"/>
      <w:szCs w:val="22"/>
      <w:lang w:val="zh-CN" w:eastAsia="zh-CN" w:bidi="ar-SA"/>
    </w:rPr>
  </w:style>
  <w:style w:type="paragraph" w:customStyle="1" w:styleId="52">
    <w:name w:val="列出段落1"/>
    <w:qFormat/>
    <w:uiPriority w:val="0"/>
    <w:pPr>
      <w:widowControl w:val="0"/>
      <w:autoSpaceDE w:val="0"/>
      <w:autoSpaceDN w:val="0"/>
      <w:adjustRightInd w:val="0"/>
      <w:ind w:firstLine="420" w:firstLineChars="200"/>
      <w:jc w:val="both"/>
    </w:pPr>
    <w:rPr>
      <w:rFonts w:ascii="Calibri" w:hAnsi="Calibri" w:eastAsia="宋体" w:cs="Times New Roman"/>
      <w:color w:val="000000"/>
      <w:sz w:val="21"/>
      <w:szCs w:val="22"/>
      <w:lang w:val="en-US" w:eastAsia="zh-CN" w:bidi="ar-SA"/>
    </w:rPr>
  </w:style>
  <w:style w:type="paragraph" w:customStyle="1" w:styleId="53">
    <w:name w:val="正文1"/>
    <w:basedOn w:val="14"/>
    <w:next w:val="1"/>
    <w:qFormat/>
    <w:uiPriority w:val="0"/>
    <w:pPr>
      <w:autoSpaceDE/>
      <w:autoSpaceDN/>
      <w:ind w:firstLine="480" w:firstLineChars="200"/>
    </w:pPr>
    <w:rPr>
      <w:rFonts w:ascii="宋体" w:hAnsi="宋体"/>
      <w:color w:val="auto"/>
      <w:kern w:val="2"/>
      <w:sz w:val="24"/>
      <w:szCs w:val="24"/>
    </w:rPr>
  </w:style>
  <w:style w:type="table" w:customStyle="1" w:styleId="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37259</Words>
  <Characters>39245</Characters>
  <Lines>444</Lines>
  <Paragraphs>125</Paragraphs>
  <TotalTime>3</TotalTime>
  <ScaleCrop>false</ScaleCrop>
  <LinksUpToDate>false</LinksUpToDate>
  <CharactersWithSpaces>40228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2022-01-02T06:33:00Z</dcterms:created>
  <dc:creator>22627</dc:creator>
  <cp:lastModifiedBy>张无忌</cp:lastModifiedBy>
  <dcterms:modified xsi:type="dcterms:W3CDTF">2022-09-30T08:31:00Z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AFB046AED47B47DFB7E93057219C184B</vt:lpwstr>
  </property>
</Properties>
</file>