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ind w:left="420" w:hanging="420"/>
        <w:jc w:val="center"/>
        <w:rPr>
          <w:rFonts w:ascii="宋体" w:hAnsi="宋体" w:cs="宋体"/>
          <w:b/>
          <w:color w:val="auto"/>
          <w:sz w:val="44"/>
          <w:szCs w:val="44"/>
        </w:rPr>
      </w:pPr>
      <w:bookmarkStart w:id="83" w:name="_GoBack"/>
      <w:bookmarkEnd w:id="83"/>
    </w:p>
    <w:p>
      <w:pPr>
        <w:autoSpaceDE/>
        <w:autoSpaceDN/>
        <w:spacing w:before="312" w:beforeLines="100"/>
        <w:ind w:left="420" w:hanging="420"/>
        <w:jc w:val="center"/>
        <w:rPr>
          <w:rFonts w:hint="eastAsia" w:ascii="宋体" w:hAnsi="宋体" w:cs="宋体"/>
          <w:b/>
          <w:color w:val="auto"/>
          <w:sz w:val="48"/>
          <w:szCs w:val="48"/>
          <w:lang w:eastAsia="zh-CN"/>
        </w:rPr>
      </w:pPr>
      <w:r>
        <w:rPr>
          <w:rFonts w:hint="eastAsia" w:ascii="宋体" w:hAnsi="宋体" w:cs="宋体"/>
          <w:b/>
          <w:color w:val="auto"/>
          <w:sz w:val="48"/>
          <w:szCs w:val="48"/>
          <w:lang w:eastAsia="zh-CN"/>
        </w:rPr>
        <w:t>2022年信息系统硬件维护项目</w:t>
      </w:r>
    </w:p>
    <w:p>
      <w:pPr>
        <w:autoSpaceDE/>
        <w:autoSpaceDN/>
        <w:spacing w:before="312" w:beforeLines="100"/>
        <w:ind w:left="420" w:hanging="420"/>
        <w:jc w:val="center"/>
        <w:rPr>
          <w:rFonts w:ascii="宋体" w:hAnsi="宋体" w:cs="宋体"/>
          <w:b/>
          <w:color w:val="auto"/>
          <w:sz w:val="32"/>
          <w:szCs w:val="32"/>
        </w:rPr>
      </w:pPr>
      <w:r>
        <w:rPr>
          <w:rFonts w:hint="eastAsia" w:ascii="宋体" w:hAnsi="宋体" w:cs="宋体"/>
          <w:b/>
          <w:color w:val="auto"/>
          <w:sz w:val="32"/>
          <w:szCs w:val="32"/>
        </w:rPr>
        <w:t>（编号：</w:t>
      </w:r>
      <w:r>
        <w:rPr>
          <w:rFonts w:hint="eastAsia" w:ascii="宋体" w:hAnsi="宋体" w:cs="宋体"/>
          <w:b/>
          <w:color w:val="auto"/>
          <w:sz w:val="32"/>
          <w:szCs w:val="32"/>
          <w:lang w:eastAsia="zh-CN"/>
        </w:rPr>
        <w:t>诸广顺2022-0</w:t>
      </w:r>
      <w:r>
        <w:rPr>
          <w:rFonts w:hint="eastAsia" w:ascii="宋体" w:hAnsi="宋体" w:cs="宋体"/>
          <w:b/>
          <w:color w:val="auto"/>
          <w:sz w:val="32"/>
          <w:szCs w:val="32"/>
          <w:lang w:val="en-US" w:eastAsia="zh-CN"/>
        </w:rPr>
        <w:t>6</w:t>
      </w:r>
      <w:r>
        <w:rPr>
          <w:rFonts w:hint="eastAsia" w:ascii="宋体" w:hAnsi="宋体" w:cs="宋体"/>
          <w:b/>
          <w:color w:val="auto"/>
          <w:sz w:val="32"/>
          <w:szCs w:val="32"/>
          <w:lang w:eastAsia="zh-CN"/>
        </w:rPr>
        <w:t>-</w:t>
      </w:r>
      <w:r>
        <w:rPr>
          <w:rFonts w:hint="eastAsia" w:ascii="宋体" w:hAnsi="宋体" w:cs="宋体"/>
          <w:b/>
          <w:color w:val="auto"/>
          <w:sz w:val="32"/>
          <w:szCs w:val="32"/>
          <w:lang w:val="en-US" w:eastAsia="zh-CN"/>
        </w:rPr>
        <w:t>09</w:t>
      </w:r>
      <w:r>
        <w:rPr>
          <w:rFonts w:hint="eastAsia" w:ascii="宋体" w:hAnsi="宋体" w:cs="宋体"/>
          <w:b/>
          <w:color w:val="auto"/>
          <w:sz w:val="32"/>
          <w:szCs w:val="32"/>
        </w:rPr>
        <w:t>）</w:t>
      </w:r>
    </w:p>
    <w:p>
      <w:pPr>
        <w:autoSpaceDE/>
        <w:autoSpaceDN/>
        <w:jc w:val="center"/>
        <w:rPr>
          <w:rFonts w:ascii="宋体" w:hAnsi="宋体" w:cs="宋体"/>
          <w:color w:val="auto"/>
        </w:rPr>
      </w:pPr>
    </w:p>
    <w:p>
      <w:pPr>
        <w:autoSpaceDE/>
        <w:autoSpaceDN/>
        <w:jc w:val="center"/>
        <w:rPr>
          <w:rFonts w:ascii="宋体" w:hAnsi="宋体" w:cs="宋体"/>
          <w:b/>
          <w:bCs/>
          <w:color w:val="auto"/>
          <w:sz w:val="84"/>
          <w:szCs w:val="84"/>
        </w:rPr>
      </w:pPr>
      <w:r>
        <w:rPr>
          <w:rFonts w:hint="eastAsia" w:ascii="宋体" w:hAnsi="宋体" w:cs="宋体"/>
          <w:b/>
          <w:bCs/>
          <w:color w:val="auto"/>
          <w:sz w:val="84"/>
          <w:szCs w:val="84"/>
        </w:rPr>
        <w:t>招</w:t>
      </w:r>
    </w:p>
    <w:p>
      <w:pPr>
        <w:autoSpaceDE/>
        <w:autoSpaceDN/>
        <w:jc w:val="center"/>
        <w:rPr>
          <w:rFonts w:ascii="宋体" w:hAnsi="宋体" w:cs="宋体"/>
          <w:b/>
          <w:bCs/>
          <w:color w:val="auto"/>
          <w:sz w:val="28"/>
          <w:szCs w:val="28"/>
        </w:rPr>
      </w:pPr>
    </w:p>
    <w:p>
      <w:pPr>
        <w:autoSpaceDE/>
        <w:autoSpaceDN/>
        <w:jc w:val="center"/>
        <w:rPr>
          <w:rFonts w:ascii="宋体" w:hAnsi="宋体" w:cs="宋体"/>
          <w:b/>
          <w:bCs/>
          <w:color w:val="auto"/>
          <w:sz w:val="84"/>
          <w:szCs w:val="84"/>
        </w:rPr>
      </w:pPr>
      <w:r>
        <w:rPr>
          <w:rFonts w:hint="eastAsia" w:ascii="宋体" w:hAnsi="宋体" w:cs="宋体"/>
          <w:b/>
          <w:bCs/>
          <w:color w:val="auto"/>
          <w:sz w:val="84"/>
          <w:szCs w:val="84"/>
        </w:rPr>
        <w:t>标</w:t>
      </w:r>
    </w:p>
    <w:p>
      <w:pPr>
        <w:autoSpaceDE/>
        <w:autoSpaceDN/>
        <w:jc w:val="center"/>
        <w:rPr>
          <w:rFonts w:ascii="宋体" w:hAnsi="宋体" w:cs="宋体"/>
          <w:b/>
          <w:bCs/>
          <w:color w:val="auto"/>
          <w:sz w:val="28"/>
          <w:szCs w:val="28"/>
        </w:rPr>
      </w:pPr>
    </w:p>
    <w:p>
      <w:pPr>
        <w:autoSpaceDE/>
        <w:autoSpaceDN/>
        <w:jc w:val="center"/>
        <w:rPr>
          <w:rFonts w:ascii="宋体" w:hAnsi="宋体" w:cs="宋体"/>
          <w:b/>
          <w:bCs/>
          <w:color w:val="auto"/>
          <w:sz w:val="84"/>
          <w:szCs w:val="84"/>
        </w:rPr>
      </w:pPr>
      <w:r>
        <w:rPr>
          <w:rFonts w:hint="eastAsia" w:ascii="宋体" w:hAnsi="宋体" w:cs="宋体"/>
          <w:b/>
          <w:bCs/>
          <w:color w:val="auto"/>
          <w:sz w:val="84"/>
          <w:szCs w:val="84"/>
        </w:rPr>
        <w:t>文</w:t>
      </w:r>
    </w:p>
    <w:p>
      <w:pPr>
        <w:autoSpaceDE/>
        <w:autoSpaceDN/>
        <w:jc w:val="center"/>
        <w:rPr>
          <w:rFonts w:ascii="宋体" w:hAnsi="宋体" w:cs="宋体"/>
          <w:b/>
          <w:bCs/>
          <w:color w:val="auto"/>
          <w:sz w:val="28"/>
          <w:szCs w:val="28"/>
        </w:rPr>
      </w:pPr>
    </w:p>
    <w:p>
      <w:pPr>
        <w:autoSpaceDE/>
        <w:autoSpaceDN/>
        <w:jc w:val="center"/>
        <w:rPr>
          <w:rFonts w:ascii="宋体" w:hAnsi="宋体" w:cs="宋体"/>
          <w:b/>
          <w:bCs/>
          <w:color w:val="auto"/>
          <w:sz w:val="84"/>
          <w:szCs w:val="84"/>
        </w:rPr>
      </w:pPr>
      <w:r>
        <w:rPr>
          <w:rFonts w:hint="eastAsia" w:ascii="宋体" w:hAnsi="宋体" w:cs="宋体"/>
          <w:b/>
          <w:bCs/>
          <w:color w:val="auto"/>
          <w:sz w:val="84"/>
          <w:szCs w:val="84"/>
        </w:rPr>
        <w:t>件</w:t>
      </w:r>
    </w:p>
    <w:p>
      <w:pPr>
        <w:pStyle w:val="16"/>
        <w:snapToGrid w:val="0"/>
        <w:spacing w:before="120" w:after="120" w:line="360" w:lineRule="auto"/>
        <w:rPr>
          <w:rFonts w:ascii="宋体" w:hAnsi="宋体" w:cs="宋体"/>
          <w:b/>
          <w:bCs/>
          <w:w w:val="95"/>
          <w:kern w:val="0"/>
          <w:sz w:val="30"/>
          <w:szCs w:val="30"/>
        </w:rPr>
      </w:pPr>
    </w:p>
    <w:p>
      <w:pPr>
        <w:pStyle w:val="10"/>
      </w:pPr>
    </w:p>
    <w:p>
      <w:pPr>
        <w:pStyle w:val="16"/>
        <w:keepNext w:val="0"/>
        <w:keepLines w:val="0"/>
        <w:pageBreakBefore w:val="0"/>
        <w:widowControl w:val="0"/>
        <w:kinsoku/>
        <w:wordWrap/>
        <w:overflowPunct/>
        <w:topLinePunct w:val="0"/>
        <w:autoSpaceDE/>
        <w:autoSpaceDN/>
        <w:bidi w:val="0"/>
        <w:adjustRightInd/>
        <w:snapToGrid w:val="0"/>
        <w:spacing w:before="120" w:after="120" w:line="360" w:lineRule="auto"/>
        <w:ind w:firstLine="1526" w:firstLineChars="500"/>
        <w:jc w:val="both"/>
        <w:textAlignment w:val="auto"/>
        <w:rPr>
          <w:rFonts w:ascii="宋体" w:hAnsi="宋体" w:cs="宋体"/>
          <w:b/>
          <w:bCs/>
          <w:i w:val="0"/>
          <w:iCs w:val="0"/>
          <w:w w:val="95"/>
          <w:kern w:val="0"/>
          <w:sz w:val="32"/>
          <w:szCs w:val="32"/>
        </w:rPr>
      </w:pPr>
      <w:r>
        <w:rPr>
          <w:rFonts w:hint="eastAsia" w:ascii="宋体" w:hAnsi="宋体" w:cs="宋体"/>
          <w:b/>
          <w:bCs/>
          <w:i w:val="0"/>
          <w:iCs w:val="0"/>
          <w:w w:val="95"/>
          <w:kern w:val="0"/>
          <w:sz w:val="32"/>
          <w:szCs w:val="32"/>
        </w:rPr>
        <w:t>采  购 单 位：诸暨广电信息技术有限公司</w:t>
      </w:r>
    </w:p>
    <w:p>
      <w:pPr>
        <w:pStyle w:val="16"/>
        <w:keepNext w:val="0"/>
        <w:keepLines w:val="0"/>
        <w:pageBreakBefore w:val="0"/>
        <w:widowControl w:val="0"/>
        <w:kinsoku/>
        <w:wordWrap/>
        <w:overflowPunct/>
        <w:topLinePunct w:val="0"/>
        <w:autoSpaceDE/>
        <w:autoSpaceDN/>
        <w:bidi w:val="0"/>
        <w:adjustRightInd/>
        <w:snapToGrid w:val="0"/>
        <w:spacing w:before="120" w:after="120" w:line="360" w:lineRule="auto"/>
        <w:ind w:firstLine="1526" w:firstLineChars="500"/>
        <w:jc w:val="both"/>
        <w:textAlignment w:val="auto"/>
        <w:rPr>
          <w:rFonts w:ascii="宋体" w:hAnsi="宋体" w:cs="宋体"/>
          <w:b/>
          <w:bCs/>
          <w:i w:val="0"/>
          <w:iCs w:val="0"/>
          <w:w w:val="95"/>
          <w:kern w:val="0"/>
          <w:sz w:val="32"/>
          <w:szCs w:val="32"/>
        </w:rPr>
      </w:pPr>
      <w:r>
        <w:rPr>
          <w:rFonts w:hint="eastAsia" w:ascii="宋体" w:hAnsi="宋体" w:cs="宋体"/>
          <w:b/>
          <w:bCs/>
          <w:i w:val="0"/>
          <w:iCs w:val="0"/>
          <w:w w:val="95"/>
          <w:kern w:val="0"/>
          <w:sz w:val="32"/>
          <w:szCs w:val="32"/>
        </w:rPr>
        <w:t>采购代理机构：诸暨市广顺工程管理服务有限公司</w:t>
      </w:r>
    </w:p>
    <w:p>
      <w:pPr>
        <w:jc w:val="center"/>
        <w:rPr>
          <w:rFonts w:ascii="宋体" w:hAnsi="宋体" w:cs="宋体"/>
          <w:b/>
          <w:color w:val="auto"/>
          <w:sz w:val="44"/>
          <w:szCs w:val="44"/>
        </w:rPr>
      </w:pPr>
      <w:r>
        <w:rPr>
          <w:rFonts w:hint="eastAsia" w:ascii="宋体" w:hAnsi="宋体" w:cs="宋体"/>
          <w:b/>
          <w:bCs/>
          <w:color w:val="auto"/>
          <w:w w:val="95"/>
          <w:sz w:val="32"/>
          <w:szCs w:val="32"/>
        </w:rPr>
        <w:t>二〇二二年</w:t>
      </w:r>
      <w:r>
        <w:rPr>
          <w:rFonts w:hint="eastAsia" w:ascii="宋体" w:hAnsi="宋体" w:cs="宋体"/>
          <w:b/>
          <w:bCs/>
          <w:color w:val="auto"/>
          <w:w w:val="95"/>
          <w:sz w:val="32"/>
          <w:szCs w:val="32"/>
          <w:lang w:val="en-US" w:eastAsia="zh-CN"/>
        </w:rPr>
        <w:t>六</w:t>
      </w:r>
      <w:r>
        <w:rPr>
          <w:rFonts w:hint="eastAsia" w:ascii="宋体" w:hAnsi="宋体" w:cs="宋体"/>
          <w:b/>
          <w:bCs/>
          <w:color w:val="auto"/>
          <w:w w:val="95"/>
          <w:sz w:val="32"/>
          <w:szCs w:val="32"/>
        </w:rPr>
        <w:t>月</w:t>
      </w:r>
    </w:p>
    <w:p>
      <w:pPr>
        <w:jc w:val="center"/>
        <w:rPr>
          <w:rFonts w:ascii="宋体" w:hAnsi="宋体" w:cs="宋体"/>
          <w:b/>
          <w:color w:val="auto"/>
          <w:sz w:val="44"/>
          <w:szCs w:val="44"/>
        </w:rPr>
      </w:pPr>
      <w:r>
        <w:rPr>
          <w:rFonts w:hint="eastAsia" w:ascii="宋体" w:hAnsi="宋体" w:cs="宋体"/>
          <w:b/>
          <w:color w:val="auto"/>
          <w:sz w:val="44"/>
          <w:szCs w:val="44"/>
        </w:rPr>
        <w:br w:type="page"/>
      </w:r>
    </w:p>
    <w:p>
      <w:pPr>
        <w:jc w:val="center"/>
        <w:rPr>
          <w:rFonts w:ascii="宋体" w:hAnsi="宋体" w:cs="宋体"/>
          <w:b/>
          <w:color w:val="auto"/>
          <w:sz w:val="44"/>
          <w:szCs w:val="44"/>
        </w:rPr>
      </w:pPr>
    </w:p>
    <w:p>
      <w:pPr>
        <w:jc w:val="center"/>
        <w:rPr>
          <w:rFonts w:ascii="宋体" w:hAnsi="宋体" w:cs="宋体"/>
          <w:b/>
          <w:color w:val="auto"/>
          <w:sz w:val="44"/>
          <w:szCs w:val="44"/>
        </w:rPr>
      </w:pPr>
      <w:r>
        <w:rPr>
          <w:rFonts w:hint="eastAsia" w:ascii="宋体" w:hAnsi="宋体" w:cs="宋体"/>
          <w:b/>
          <w:color w:val="auto"/>
          <w:sz w:val="44"/>
          <w:szCs w:val="44"/>
        </w:rPr>
        <w:t>目录</w:t>
      </w:r>
    </w:p>
    <w:p>
      <w:pPr>
        <w:jc w:val="center"/>
        <w:rPr>
          <w:rFonts w:ascii="宋体" w:hAnsi="宋体" w:cs="宋体"/>
          <w:b/>
          <w:color w:val="auto"/>
          <w:sz w:val="44"/>
          <w:szCs w:val="44"/>
        </w:rPr>
      </w:pPr>
    </w:p>
    <w:p>
      <w:pPr>
        <w:jc w:val="center"/>
        <w:rPr>
          <w:rFonts w:ascii="宋体" w:hAnsi="宋体" w:cs="宋体"/>
          <w:color w:val="auto"/>
        </w:rPr>
      </w:pPr>
    </w:p>
    <w:p>
      <w:pPr>
        <w:snapToGrid w:val="0"/>
        <w:spacing w:line="480" w:lineRule="auto"/>
        <w:ind w:firstLine="1807" w:firstLineChars="500"/>
        <w:jc w:val="left"/>
        <w:rPr>
          <w:rFonts w:ascii="宋体" w:hAnsi="宋体" w:cs="宋体"/>
          <w:b/>
          <w:color w:val="auto"/>
          <w:sz w:val="36"/>
          <w:szCs w:val="36"/>
        </w:rPr>
      </w:pPr>
      <w:r>
        <w:rPr>
          <w:rFonts w:hint="eastAsia" w:ascii="宋体" w:hAnsi="宋体" w:cs="宋体"/>
          <w:b/>
          <w:color w:val="auto"/>
          <w:sz w:val="36"/>
          <w:szCs w:val="36"/>
        </w:rPr>
        <w:t>第一章    招标公告</w:t>
      </w:r>
    </w:p>
    <w:p>
      <w:pPr>
        <w:snapToGrid w:val="0"/>
        <w:spacing w:line="480" w:lineRule="auto"/>
        <w:ind w:firstLine="1807" w:firstLineChars="500"/>
        <w:jc w:val="left"/>
        <w:rPr>
          <w:rFonts w:ascii="宋体" w:hAnsi="宋体" w:cs="宋体"/>
          <w:b/>
          <w:color w:val="auto"/>
          <w:sz w:val="36"/>
          <w:szCs w:val="36"/>
        </w:rPr>
      </w:pPr>
      <w:r>
        <w:rPr>
          <w:rFonts w:hint="eastAsia" w:ascii="宋体" w:hAnsi="宋体" w:cs="宋体"/>
          <w:b/>
          <w:color w:val="auto"/>
          <w:sz w:val="36"/>
          <w:szCs w:val="36"/>
        </w:rPr>
        <w:t>第二章    投标须知</w:t>
      </w:r>
    </w:p>
    <w:p>
      <w:pPr>
        <w:snapToGrid w:val="0"/>
        <w:spacing w:line="480" w:lineRule="auto"/>
        <w:ind w:firstLine="1807" w:firstLineChars="500"/>
        <w:jc w:val="left"/>
        <w:rPr>
          <w:rFonts w:ascii="宋体" w:hAnsi="宋体" w:cs="宋体"/>
          <w:b/>
          <w:color w:val="auto"/>
          <w:sz w:val="36"/>
          <w:szCs w:val="36"/>
        </w:rPr>
      </w:pPr>
      <w:r>
        <w:rPr>
          <w:rFonts w:hint="eastAsia" w:ascii="宋体" w:hAnsi="宋体" w:cs="宋体"/>
          <w:b/>
          <w:color w:val="auto"/>
          <w:sz w:val="36"/>
          <w:szCs w:val="36"/>
        </w:rPr>
        <w:t>第三章    评标办法及评分标准</w:t>
      </w:r>
    </w:p>
    <w:p>
      <w:pPr>
        <w:snapToGrid w:val="0"/>
        <w:spacing w:line="480" w:lineRule="auto"/>
        <w:ind w:firstLine="1807" w:firstLineChars="500"/>
        <w:jc w:val="left"/>
        <w:rPr>
          <w:rFonts w:ascii="宋体" w:hAnsi="宋体" w:cs="宋体"/>
          <w:b/>
          <w:color w:val="auto"/>
          <w:sz w:val="36"/>
          <w:szCs w:val="36"/>
        </w:rPr>
      </w:pPr>
      <w:r>
        <w:rPr>
          <w:rFonts w:hint="eastAsia" w:ascii="宋体" w:hAnsi="宋体" w:cs="宋体"/>
          <w:b/>
          <w:color w:val="auto"/>
          <w:sz w:val="36"/>
          <w:szCs w:val="36"/>
        </w:rPr>
        <w:t>第四章    招标需求</w:t>
      </w:r>
    </w:p>
    <w:p>
      <w:pPr>
        <w:snapToGrid w:val="0"/>
        <w:spacing w:line="480" w:lineRule="auto"/>
        <w:ind w:firstLine="1807" w:firstLineChars="500"/>
        <w:jc w:val="left"/>
        <w:rPr>
          <w:rFonts w:ascii="宋体" w:hAnsi="宋体" w:cs="宋体"/>
          <w:b/>
          <w:color w:val="auto"/>
          <w:sz w:val="36"/>
          <w:szCs w:val="36"/>
        </w:rPr>
      </w:pPr>
      <w:r>
        <w:rPr>
          <w:rFonts w:hint="eastAsia" w:ascii="宋体" w:hAnsi="宋体" w:cs="宋体"/>
          <w:b/>
          <w:color w:val="auto"/>
          <w:sz w:val="36"/>
          <w:szCs w:val="36"/>
        </w:rPr>
        <w:t>第五章    诸暨市采购合同</w:t>
      </w:r>
    </w:p>
    <w:p>
      <w:pPr>
        <w:snapToGrid w:val="0"/>
        <w:spacing w:line="480" w:lineRule="auto"/>
        <w:ind w:firstLine="1807" w:firstLineChars="500"/>
        <w:jc w:val="left"/>
        <w:rPr>
          <w:rFonts w:ascii="宋体" w:hAnsi="宋体" w:cs="宋体"/>
          <w:b/>
          <w:color w:val="auto"/>
          <w:sz w:val="36"/>
          <w:szCs w:val="36"/>
        </w:rPr>
      </w:pPr>
      <w:r>
        <w:rPr>
          <w:rFonts w:hint="eastAsia" w:ascii="宋体" w:hAnsi="宋体" w:cs="宋体"/>
          <w:b/>
          <w:color w:val="auto"/>
          <w:sz w:val="36"/>
          <w:szCs w:val="36"/>
        </w:rPr>
        <w:t>第六章    应提交的有关格式范例</w:t>
      </w:r>
    </w:p>
    <w:p>
      <w:pPr>
        <w:snapToGrid w:val="0"/>
        <w:spacing w:line="480" w:lineRule="auto"/>
        <w:ind w:firstLine="1807" w:firstLineChars="500"/>
        <w:jc w:val="left"/>
        <w:rPr>
          <w:rFonts w:ascii="宋体" w:hAnsi="宋体" w:cs="宋体"/>
          <w:b/>
          <w:color w:val="auto"/>
          <w:sz w:val="36"/>
          <w:szCs w:val="36"/>
        </w:rPr>
      </w:pPr>
      <w:r>
        <w:rPr>
          <w:rFonts w:hint="eastAsia" w:ascii="宋体" w:hAnsi="宋体" w:cs="宋体"/>
          <w:b/>
          <w:color w:val="auto"/>
          <w:sz w:val="36"/>
          <w:szCs w:val="36"/>
        </w:rPr>
        <w:t xml:space="preserve">  </w:t>
      </w:r>
    </w:p>
    <w:p>
      <w:pPr>
        <w:spacing w:line="360" w:lineRule="auto"/>
        <w:jc w:val="center"/>
        <w:rPr>
          <w:rFonts w:ascii="宋体" w:hAnsi="宋体" w:cs="宋体"/>
          <w:b/>
          <w:color w:val="auto"/>
          <w:sz w:val="24"/>
        </w:rPr>
      </w:pPr>
      <w:r>
        <w:rPr>
          <w:rFonts w:hint="eastAsia" w:ascii="宋体" w:hAnsi="宋体" w:cs="宋体"/>
          <w:b/>
          <w:color w:val="auto"/>
          <w:sz w:val="24"/>
        </w:rPr>
        <w:t>请各位投标人详细阅读招标文件各项条款</w:t>
      </w:r>
    </w:p>
    <w:p>
      <w:pPr>
        <w:snapToGrid w:val="0"/>
        <w:spacing w:line="480" w:lineRule="auto"/>
        <w:ind w:firstLine="1807" w:firstLineChars="500"/>
        <w:jc w:val="left"/>
        <w:rPr>
          <w:rFonts w:ascii="宋体" w:hAnsi="宋体" w:cs="宋体"/>
          <w:b/>
          <w:color w:val="auto"/>
          <w:sz w:val="36"/>
          <w:szCs w:val="36"/>
        </w:rPr>
      </w:pPr>
    </w:p>
    <w:p>
      <w:pPr>
        <w:pStyle w:val="4"/>
        <w:spacing w:before="0" w:after="0" w:line="240" w:lineRule="auto"/>
        <w:jc w:val="center"/>
        <w:rPr>
          <w:rFonts w:ascii="宋体" w:hAnsi="宋体" w:eastAsia="宋体" w:cs="宋体"/>
          <w:sz w:val="36"/>
          <w:szCs w:val="36"/>
        </w:rPr>
      </w:pPr>
      <w:bookmarkStart w:id="0" w:name="_Toc125344501"/>
      <w:r>
        <w:rPr>
          <w:rFonts w:hint="eastAsia" w:ascii="宋体" w:hAnsi="宋体" w:eastAsia="宋体" w:cs="宋体"/>
          <w:sz w:val="36"/>
          <w:szCs w:val="36"/>
        </w:rPr>
        <w:br w:type="page"/>
      </w:r>
      <w:r>
        <w:rPr>
          <w:rFonts w:hint="eastAsia" w:ascii="宋体" w:hAnsi="宋体" w:eastAsia="宋体" w:cs="宋体"/>
          <w:sz w:val="36"/>
          <w:szCs w:val="36"/>
        </w:rPr>
        <w:t>第一章  招标公告</w:t>
      </w:r>
      <w:bookmarkEnd w:id="0"/>
    </w:p>
    <w:p>
      <w:pPr>
        <w:spacing w:line="240" w:lineRule="exact"/>
        <w:jc w:val="center"/>
        <w:rPr>
          <w:rFonts w:ascii="宋体" w:hAnsi="宋体" w:cs="宋体"/>
          <w:color w:val="auto"/>
          <w:sz w:val="28"/>
          <w:szCs w:val="28"/>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9286" w:type="dxa"/>
          </w:tcPr>
          <w:p>
            <w:pPr>
              <w:pStyle w:val="22"/>
              <w:spacing w:before="0" w:beforeAutospacing="0" w:after="0" w:afterAutospacing="0" w:line="360" w:lineRule="auto"/>
            </w:pPr>
            <w:r>
              <w:rPr>
                <w:rFonts w:hint="eastAsia"/>
                <w:shd w:val="clear" w:color="auto" w:fill="FFFFFF"/>
              </w:rPr>
              <w:t>项目概况</w:t>
            </w:r>
          </w:p>
          <w:p>
            <w:pPr>
              <w:pStyle w:val="22"/>
              <w:spacing w:before="0" w:beforeAutospacing="0" w:after="0" w:afterAutospacing="0" w:line="360" w:lineRule="auto"/>
              <w:ind w:firstLine="480" w:firstLineChars="200"/>
            </w:pPr>
            <w:r>
              <w:rPr>
                <w:rFonts w:hint="eastAsia" w:cs="宋体"/>
                <w:color w:val="auto"/>
                <w:sz w:val="24"/>
                <w:szCs w:val="24"/>
                <w:u w:val="single"/>
                <w:lang w:eastAsia="zh-CN"/>
              </w:rPr>
              <w:t>2022年信息系统硬件维护项目</w:t>
            </w:r>
            <w:r>
              <w:rPr>
                <w:rFonts w:hint="eastAsia"/>
                <w:shd w:val="clear" w:color="auto" w:fill="FFFFFF"/>
              </w:rPr>
              <w:t>招标项目的潜在投标人应在</w:t>
            </w:r>
            <w:r>
              <w:rPr>
                <w:rFonts w:hint="eastAsia"/>
                <w:shd w:val="clear" w:color="auto" w:fill="FFFFFF"/>
                <w:lang w:val="en-US" w:eastAsia="zh-CN"/>
              </w:rPr>
              <w:t>浙江政府采购网</w:t>
            </w:r>
            <w:r>
              <w:rPr>
                <w:rFonts w:hint="eastAsia"/>
              </w:rPr>
              <w:t>（https://zfcg.czt.zj.gov.cn）</w:t>
            </w:r>
            <w:r>
              <w:rPr>
                <w:rFonts w:hint="eastAsia"/>
                <w:shd w:val="clear" w:color="auto" w:fill="FFFFFF"/>
              </w:rPr>
              <w:t>获取（下载）招标文件，并于</w:t>
            </w:r>
            <w:r>
              <w:rPr>
                <w:rFonts w:hint="eastAsia"/>
                <w:u w:val="single"/>
                <w:shd w:val="clear" w:color="auto" w:fill="FFFFFF"/>
                <w:lang w:eastAsia="zh-CN"/>
              </w:rPr>
              <w:t>2022年0</w:t>
            </w:r>
            <w:r>
              <w:rPr>
                <w:rFonts w:hint="eastAsia"/>
                <w:u w:val="single"/>
                <w:shd w:val="clear" w:color="auto" w:fill="FFFFFF"/>
                <w:lang w:val="en-US" w:eastAsia="zh-CN"/>
              </w:rPr>
              <w:t>7</w:t>
            </w:r>
            <w:r>
              <w:rPr>
                <w:rFonts w:hint="eastAsia"/>
                <w:u w:val="single"/>
                <w:shd w:val="clear" w:color="auto" w:fill="FFFFFF"/>
                <w:lang w:eastAsia="zh-CN"/>
              </w:rPr>
              <w:t>月</w:t>
            </w:r>
            <w:r>
              <w:rPr>
                <w:rFonts w:hint="eastAsia"/>
                <w:u w:val="single"/>
                <w:shd w:val="clear" w:color="auto" w:fill="FFFFFF"/>
                <w:lang w:val="en-US" w:eastAsia="zh-CN"/>
              </w:rPr>
              <w:t>05</w:t>
            </w:r>
            <w:r>
              <w:rPr>
                <w:rFonts w:hint="eastAsia"/>
                <w:u w:val="single"/>
                <w:shd w:val="clear" w:color="auto" w:fill="FFFFFF"/>
                <w:lang w:eastAsia="zh-CN"/>
              </w:rPr>
              <w:t>日</w:t>
            </w:r>
            <w:r>
              <w:rPr>
                <w:rFonts w:hint="eastAsia"/>
                <w:u w:val="single"/>
                <w:shd w:val="clear" w:color="auto" w:fill="FFFFFF"/>
              </w:rPr>
              <w:t>14:30时</w:t>
            </w:r>
            <w:r>
              <w:rPr>
                <w:rFonts w:hint="eastAsia"/>
                <w:shd w:val="clear" w:color="auto" w:fill="FFFFFF"/>
              </w:rPr>
              <w:t>（北京时间）前递交（上传）投标文件。</w:t>
            </w:r>
          </w:p>
        </w:tc>
      </w:tr>
    </w:tbl>
    <w:p>
      <w:pPr>
        <w:pStyle w:val="16"/>
        <w:snapToGrid w:val="0"/>
        <w:spacing w:before="120" w:after="120"/>
        <w:rPr>
          <w:rFonts w:ascii="宋体" w:hAnsi="宋体" w:cs="宋体"/>
          <w:kern w:val="0"/>
        </w:rPr>
      </w:pPr>
    </w:p>
    <w:p>
      <w:pPr>
        <w:pStyle w:val="5"/>
        <w:spacing w:before="0" w:after="0" w:line="440" w:lineRule="exact"/>
        <w:ind w:firstLine="482" w:firstLineChars="200"/>
        <w:jc w:val="left"/>
        <w:rPr>
          <w:rFonts w:ascii="宋体" w:hAnsi="宋体" w:eastAsia="宋体" w:cs="宋体"/>
          <w:bCs w:val="0"/>
          <w:kern w:val="0"/>
          <w:sz w:val="24"/>
          <w:szCs w:val="24"/>
        </w:rPr>
      </w:pPr>
      <w:bookmarkStart w:id="1" w:name="_Toc35393790"/>
      <w:bookmarkStart w:id="2" w:name="_Toc35393621"/>
      <w:bookmarkStart w:id="3" w:name="_Toc28359079"/>
      <w:bookmarkStart w:id="4" w:name="_Toc28359002"/>
      <w:bookmarkStart w:id="5" w:name="_Hlk24379207"/>
      <w:r>
        <w:rPr>
          <w:rFonts w:hint="eastAsia" w:ascii="宋体" w:hAnsi="宋体" w:eastAsia="宋体" w:cs="宋体"/>
          <w:bCs w:val="0"/>
          <w:kern w:val="0"/>
          <w:sz w:val="24"/>
          <w:szCs w:val="24"/>
        </w:rPr>
        <w:t>一、项目基本情况</w:t>
      </w:r>
      <w:bookmarkEnd w:id="1"/>
      <w:bookmarkEnd w:id="2"/>
      <w:bookmarkEnd w:id="3"/>
      <w:bookmarkEnd w:id="4"/>
    </w:p>
    <w:p>
      <w:pPr>
        <w:autoSpaceDE/>
        <w:autoSpaceDN/>
        <w:adjustRightInd/>
        <w:spacing w:line="440" w:lineRule="exact"/>
        <w:ind w:firstLine="480" w:firstLineChars="200"/>
        <w:jc w:val="left"/>
        <w:rPr>
          <w:rFonts w:hint="eastAsia" w:ascii="宋体" w:hAnsi="宋体" w:eastAsia="宋体" w:cs="宋体"/>
          <w:color w:val="auto"/>
          <w:sz w:val="24"/>
          <w:lang w:val="en-US" w:eastAsia="zh-CN"/>
        </w:rPr>
      </w:pPr>
      <w:r>
        <w:rPr>
          <w:rFonts w:hint="eastAsia" w:ascii="宋体" w:hAnsi="宋体" w:cs="宋体"/>
          <w:color w:val="auto"/>
          <w:sz w:val="24"/>
        </w:rPr>
        <w:t>项</w:t>
      </w:r>
      <w:r>
        <w:rPr>
          <w:rFonts w:hint="eastAsia" w:ascii="宋体" w:hAnsi="宋体" w:cs="宋体"/>
          <w:sz w:val="24"/>
          <w:szCs w:val="24"/>
        </w:rPr>
        <w:t>目编号：</w:t>
      </w:r>
      <w:r>
        <w:rPr>
          <w:rFonts w:hint="eastAsia" w:ascii="宋体" w:hAnsi="宋体" w:cs="宋体"/>
          <w:sz w:val="24"/>
          <w:szCs w:val="24"/>
          <w:lang w:eastAsia="zh-CN"/>
        </w:rPr>
        <w:t>诸广顺2022-06-09</w:t>
      </w:r>
    </w:p>
    <w:p>
      <w:pPr>
        <w:autoSpaceDE/>
        <w:autoSpaceDN/>
        <w:adjustRightInd/>
        <w:spacing w:line="440" w:lineRule="exact"/>
        <w:ind w:firstLine="480" w:firstLineChars="200"/>
        <w:jc w:val="left"/>
        <w:rPr>
          <w:rFonts w:hint="eastAsia" w:ascii="宋体" w:hAnsi="宋体" w:cs="宋体"/>
          <w:color w:val="auto"/>
          <w:sz w:val="24"/>
          <w:szCs w:val="24"/>
          <w:lang w:eastAsia="zh-CN"/>
        </w:rPr>
      </w:pPr>
      <w:r>
        <w:rPr>
          <w:rFonts w:hint="eastAsia" w:ascii="宋体" w:hAnsi="宋体" w:cs="宋体"/>
          <w:color w:val="auto"/>
          <w:sz w:val="24"/>
        </w:rPr>
        <w:t>项目名称</w:t>
      </w:r>
      <w:r>
        <w:rPr>
          <w:rFonts w:hint="eastAsia" w:ascii="宋体" w:hAnsi="宋体" w:cs="宋体"/>
          <w:sz w:val="24"/>
          <w:szCs w:val="24"/>
        </w:rPr>
        <w:t>：</w:t>
      </w:r>
      <w:bookmarkEnd w:id="5"/>
      <w:r>
        <w:rPr>
          <w:rFonts w:hint="eastAsia" w:ascii="宋体" w:hAnsi="宋体" w:cs="宋体"/>
          <w:color w:val="auto"/>
          <w:sz w:val="24"/>
          <w:szCs w:val="24"/>
          <w:lang w:eastAsia="zh-CN"/>
        </w:rPr>
        <w:t>2022年信息系统硬件维护项目</w:t>
      </w:r>
    </w:p>
    <w:p>
      <w:pPr>
        <w:autoSpaceDE/>
        <w:autoSpaceDN/>
        <w:adjustRightInd/>
        <w:spacing w:line="440" w:lineRule="exact"/>
        <w:ind w:firstLine="480" w:firstLineChars="200"/>
        <w:jc w:val="left"/>
        <w:rPr>
          <w:rFonts w:ascii="宋体" w:hAnsi="宋体" w:cs="宋体"/>
          <w:color w:val="auto"/>
          <w:sz w:val="24"/>
        </w:rPr>
      </w:pPr>
      <w:r>
        <w:rPr>
          <w:rFonts w:hint="eastAsia" w:ascii="宋体" w:hAnsi="宋体" w:cs="宋体"/>
          <w:color w:val="auto"/>
          <w:sz w:val="24"/>
        </w:rPr>
        <w:t>预算金额：</w:t>
      </w:r>
      <w:r>
        <w:rPr>
          <w:rFonts w:hint="eastAsia" w:ascii="宋体" w:hAnsi="宋体" w:cs="宋体"/>
          <w:color w:val="auto"/>
          <w:sz w:val="24"/>
          <w:lang w:val="en-US" w:eastAsia="zh-CN"/>
        </w:rPr>
        <w:t>29.50</w:t>
      </w:r>
      <w:r>
        <w:rPr>
          <w:rFonts w:hint="eastAsia" w:ascii="宋体" w:hAnsi="宋体" w:cs="宋体"/>
          <w:color w:val="auto"/>
          <w:sz w:val="24"/>
        </w:rPr>
        <w:t>万元</w:t>
      </w:r>
    </w:p>
    <w:p>
      <w:pPr>
        <w:autoSpaceDE/>
        <w:autoSpaceDN/>
        <w:adjustRightInd/>
        <w:spacing w:line="440" w:lineRule="exact"/>
        <w:ind w:firstLine="480" w:firstLineChars="200"/>
        <w:jc w:val="left"/>
        <w:rPr>
          <w:rFonts w:ascii="宋体" w:hAnsi="宋体" w:cs="宋体"/>
          <w:color w:val="auto"/>
          <w:sz w:val="24"/>
        </w:rPr>
      </w:pPr>
      <w:r>
        <w:rPr>
          <w:rFonts w:hint="eastAsia" w:ascii="宋体" w:hAnsi="宋体" w:cs="宋体"/>
          <w:color w:val="auto"/>
          <w:sz w:val="24"/>
        </w:rPr>
        <w:t>最高限价：</w:t>
      </w:r>
      <w:r>
        <w:rPr>
          <w:rFonts w:hint="eastAsia" w:ascii="宋体" w:hAnsi="宋体" w:cs="宋体"/>
          <w:color w:val="auto"/>
          <w:sz w:val="24"/>
          <w:lang w:val="en-US" w:eastAsia="zh-CN"/>
        </w:rPr>
        <w:t>29</w:t>
      </w:r>
      <w:r>
        <w:rPr>
          <w:rFonts w:hint="eastAsia" w:ascii="宋体" w:hAnsi="宋体" w:cs="宋体"/>
          <w:color w:val="auto"/>
          <w:sz w:val="24"/>
        </w:rPr>
        <w:t>.</w:t>
      </w:r>
      <w:r>
        <w:rPr>
          <w:rFonts w:hint="eastAsia" w:ascii="宋体" w:hAnsi="宋体" w:cs="宋体"/>
          <w:color w:val="auto"/>
          <w:sz w:val="24"/>
          <w:lang w:val="en-US" w:eastAsia="zh-CN"/>
        </w:rPr>
        <w:t>50</w:t>
      </w:r>
      <w:r>
        <w:rPr>
          <w:rFonts w:hint="eastAsia" w:ascii="宋体" w:hAnsi="宋体" w:cs="宋体"/>
          <w:color w:val="auto"/>
          <w:sz w:val="24"/>
        </w:rPr>
        <w:t>万元</w:t>
      </w:r>
    </w:p>
    <w:p>
      <w:pPr>
        <w:spacing w:line="440" w:lineRule="exact"/>
        <w:ind w:firstLine="480" w:firstLineChars="200"/>
        <w:jc w:val="left"/>
        <w:outlineLvl w:val="0"/>
        <w:rPr>
          <w:rFonts w:ascii="宋体" w:hAnsi="宋体" w:cs="宋体"/>
          <w:kern w:val="2"/>
          <w:sz w:val="24"/>
        </w:rPr>
      </w:pPr>
      <w:r>
        <w:rPr>
          <w:rFonts w:hint="eastAsia" w:ascii="宋体" w:hAnsi="宋体" w:cs="宋体"/>
          <w:sz w:val="24"/>
          <w:szCs w:val="24"/>
        </w:rPr>
        <w:t>采购需求：</w:t>
      </w:r>
      <w:r>
        <w:rPr>
          <w:rFonts w:hint="eastAsia" w:ascii="宋体" w:hAnsi="宋体" w:cs="宋体"/>
          <w:sz w:val="24"/>
        </w:rPr>
        <w:t>详见招标文件。</w:t>
      </w:r>
    </w:p>
    <w:p>
      <w:pPr>
        <w:spacing w:line="440" w:lineRule="exact"/>
        <w:ind w:firstLine="480" w:firstLineChars="200"/>
        <w:jc w:val="left"/>
        <w:rPr>
          <w:rFonts w:ascii="宋体" w:hAnsi="宋体" w:cs="宋体"/>
          <w:color w:val="auto"/>
          <w:sz w:val="24"/>
          <w:szCs w:val="24"/>
        </w:rPr>
      </w:pPr>
      <w:r>
        <w:rPr>
          <w:rFonts w:hint="eastAsia" w:ascii="宋体" w:hAnsi="宋体" w:cs="宋体"/>
          <w:color w:val="auto"/>
          <w:sz w:val="24"/>
        </w:rPr>
        <w:t>本项目不接受联合体投标。</w:t>
      </w:r>
    </w:p>
    <w:p>
      <w:pPr>
        <w:autoSpaceDE/>
        <w:autoSpaceDN/>
        <w:adjustRightInd/>
        <w:spacing w:line="440" w:lineRule="exact"/>
        <w:ind w:firstLine="482" w:firstLineChars="200"/>
        <w:jc w:val="left"/>
        <w:rPr>
          <w:rFonts w:ascii="宋体" w:hAnsi="宋体" w:cs="宋体"/>
          <w:b/>
          <w:color w:val="auto"/>
          <w:sz w:val="24"/>
          <w:szCs w:val="24"/>
        </w:rPr>
      </w:pPr>
      <w:bookmarkStart w:id="6" w:name="_Toc28359003"/>
      <w:bookmarkStart w:id="7" w:name="_Toc28359080"/>
      <w:bookmarkStart w:id="8" w:name="_Toc35393791"/>
      <w:bookmarkStart w:id="9" w:name="_Toc35393622"/>
      <w:r>
        <w:rPr>
          <w:rFonts w:hint="eastAsia" w:ascii="宋体" w:hAnsi="宋体" w:cs="宋体"/>
          <w:b/>
          <w:color w:val="auto"/>
          <w:sz w:val="24"/>
          <w:szCs w:val="24"/>
        </w:rPr>
        <w:t>二</w:t>
      </w:r>
      <w:bookmarkEnd w:id="6"/>
      <w:bookmarkEnd w:id="7"/>
      <w:bookmarkEnd w:id="8"/>
      <w:bookmarkEnd w:id="9"/>
      <w:r>
        <w:rPr>
          <w:rFonts w:hint="eastAsia" w:ascii="宋体" w:hAnsi="宋体" w:cs="宋体"/>
          <w:b/>
          <w:color w:val="auto"/>
          <w:sz w:val="24"/>
          <w:szCs w:val="24"/>
        </w:rPr>
        <w:t>、投标人（供应商）资格要求：</w:t>
      </w:r>
    </w:p>
    <w:p>
      <w:pPr>
        <w:autoSpaceDE/>
        <w:autoSpaceDN/>
        <w:spacing w:line="440" w:lineRule="exact"/>
        <w:ind w:firstLine="480" w:firstLineChars="200"/>
        <w:jc w:val="left"/>
        <w:rPr>
          <w:rFonts w:ascii="宋体" w:hAnsi="宋体" w:cs="宋体"/>
          <w:color w:val="auto"/>
          <w:sz w:val="24"/>
          <w:szCs w:val="24"/>
        </w:rPr>
      </w:pPr>
      <w:bookmarkStart w:id="10" w:name="_Toc35393792"/>
      <w:bookmarkStart w:id="11" w:name="_Toc35393623"/>
      <w:r>
        <w:rPr>
          <w:rFonts w:hint="eastAsia" w:ascii="宋体" w:hAnsi="宋体" w:cs="宋体"/>
          <w:color w:val="auto"/>
          <w:sz w:val="24"/>
          <w:szCs w:val="24"/>
        </w:rPr>
        <w:t>1、符合《中华人民共和国政府采购法》第二十二条之供应商资格规定；</w:t>
      </w:r>
    </w:p>
    <w:p>
      <w:pPr>
        <w:autoSpaceDE/>
        <w:autoSpaceDN/>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2、具有本项目实施能力且信誉良好的独立法人；</w:t>
      </w:r>
    </w:p>
    <w:p>
      <w:pPr>
        <w:autoSpaceDE/>
        <w:autoSpaceDN/>
        <w:adjustRightInd/>
        <w:spacing w:line="440" w:lineRule="exact"/>
        <w:ind w:firstLine="480" w:firstLineChars="200"/>
        <w:jc w:val="left"/>
        <w:rPr>
          <w:rFonts w:hint="eastAsia" w:ascii="宋体" w:hAnsi="宋体" w:eastAsia="宋体" w:cs="宋体"/>
          <w:color w:val="auto"/>
          <w:sz w:val="24"/>
          <w:lang w:val="en-US" w:eastAsia="zh-CN"/>
        </w:rPr>
      </w:pPr>
      <w:r>
        <w:rPr>
          <w:rFonts w:hint="eastAsia" w:ascii="宋体" w:hAnsi="宋体" w:cs="宋体"/>
          <w:color w:val="auto"/>
          <w:sz w:val="24"/>
        </w:rPr>
        <w:t>3、未被“信用中国”（www.creditchina.gov.cn）、中国政府采购网（www.ccgp.gov.cn）列入失信被执行人、重大税收违法案件当事人名单、政府采购严重违法失信行为记录名单</w:t>
      </w:r>
      <w:r>
        <w:rPr>
          <w:rFonts w:hint="eastAsia" w:ascii="宋体" w:hAnsi="宋体" w:cs="宋体"/>
          <w:color w:val="auto"/>
          <w:sz w:val="24"/>
          <w:lang w:eastAsia="zh-CN"/>
        </w:rPr>
        <w:t>。</w:t>
      </w:r>
    </w:p>
    <w:p>
      <w:pPr>
        <w:pStyle w:val="5"/>
        <w:spacing w:before="0" w:after="0" w:line="440" w:lineRule="exact"/>
        <w:ind w:firstLine="482" w:firstLineChars="200"/>
        <w:jc w:val="left"/>
        <w:rPr>
          <w:rFonts w:ascii="宋体" w:hAnsi="宋体" w:eastAsia="宋体" w:cs="宋体"/>
          <w:bCs w:val="0"/>
          <w:kern w:val="0"/>
          <w:sz w:val="24"/>
          <w:szCs w:val="24"/>
        </w:rPr>
      </w:pPr>
      <w:r>
        <w:rPr>
          <w:rFonts w:hint="eastAsia" w:ascii="宋体" w:hAnsi="宋体" w:eastAsia="宋体" w:cs="宋体"/>
          <w:bCs w:val="0"/>
          <w:kern w:val="0"/>
          <w:sz w:val="24"/>
          <w:szCs w:val="24"/>
        </w:rPr>
        <w:t>三、获取招标文件</w:t>
      </w:r>
      <w:bookmarkEnd w:id="10"/>
      <w:bookmarkEnd w:id="11"/>
    </w:p>
    <w:p>
      <w:pPr>
        <w:pStyle w:val="22"/>
        <w:spacing w:before="0" w:beforeAutospacing="0" w:after="0" w:afterAutospacing="0" w:line="440" w:lineRule="exact"/>
        <w:ind w:firstLine="480" w:firstLineChars="200"/>
        <w:rPr>
          <w:rStyle w:val="29"/>
          <w:b w:val="0"/>
          <w:shd w:val="clear" w:color="auto" w:fill="FFFFFF"/>
        </w:rPr>
      </w:pPr>
      <w:r>
        <w:rPr>
          <w:rStyle w:val="29"/>
          <w:rFonts w:hint="eastAsia"/>
          <w:b w:val="0"/>
          <w:shd w:val="clear" w:color="auto" w:fill="FFFFFF"/>
        </w:rPr>
        <w:t>时间：</w:t>
      </w:r>
      <w:r>
        <w:rPr>
          <w:rStyle w:val="29"/>
          <w:rFonts w:hint="eastAsia"/>
          <w:b w:val="0"/>
          <w:shd w:val="clear" w:color="auto" w:fill="FFFFFF"/>
          <w:lang w:eastAsia="zh-CN"/>
        </w:rPr>
        <w:t>2022年0</w:t>
      </w:r>
      <w:r>
        <w:rPr>
          <w:rStyle w:val="29"/>
          <w:rFonts w:hint="eastAsia"/>
          <w:b w:val="0"/>
          <w:shd w:val="clear" w:color="auto" w:fill="FFFFFF"/>
          <w:lang w:val="en-US" w:eastAsia="zh-CN"/>
        </w:rPr>
        <w:t>6</w:t>
      </w:r>
      <w:r>
        <w:rPr>
          <w:rStyle w:val="29"/>
          <w:rFonts w:hint="eastAsia"/>
          <w:b w:val="0"/>
          <w:shd w:val="clear" w:color="auto" w:fill="FFFFFF"/>
          <w:lang w:eastAsia="zh-CN"/>
        </w:rPr>
        <w:t>月</w:t>
      </w:r>
      <w:r>
        <w:rPr>
          <w:rStyle w:val="29"/>
          <w:rFonts w:hint="eastAsia"/>
          <w:b w:val="0"/>
          <w:shd w:val="clear" w:color="auto" w:fill="FFFFFF"/>
          <w:lang w:val="en-US" w:eastAsia="zh-CN"/>
        </w:rPr>
        <w:t>14</w:t>
      </w:r>
      <w:r>
        <w:rPr>
          <w:rStyle w:val="29"/>
          <w:rFonts w:hint="eastAsia"/>
          <w:b w:val="0"/>
          <w:shd w:val="clear" w:color="auto" w:fill="FFFFFF"/>
          <w:lang w:eastAsia="zh-CN"/>
        </w:rPr>
        <w:t>日</w:t>
      </w:r>
      <w:r>
        <w:rPr>
          <w:rStyle w:val="29"/>
          <w:rFonts w:hint="eastAsia"/>
          <w:b w:val="0"/>
          <w:shd w:val="clear" w:color="auto" w:fill="FFFFFF"/>
        </w:rPr>
        <w:t>至</w:t>
      </w:r>
      <w:r>
        <w:rPr>
          <w:rStyle w:val="29"/>
          <w:rFonts w:hint="eastAsia"/>
          <w:b w:val="0"/>
          <w:shd w:val="clear" w:color="auto" w:fill="FFFFFF"/>
          <w:lang w:eastAsia="zh-CN"/>
        </w:rPr>
        <w:t>2022年0</w:t>
      </w:r>
      <w:r>
        <w:rPr>
          <w:rStyle w:val="29"/>
          <w:rFonts w:hint="eastAsia"/>
          <w:b w:val="0"/>
          <w:shd w:val="clear" w:color="auto" w:fill="FFFFFF"/>
          <w:lang w:val="en-US" w:eastAsia="zh-CN"/>
        </w:rPr>
        <w:t>7</w:t>
      </w:r>
      <w:r>
        <w:rPr>
          <w:rStyle w:val="29"/>
          <w:rFonts w:hint="eastAsia"/>
          <w:b w:val="0"/>
          <w:shd w:val="clear" w:color="auto" w:fill="FFFFFF"/>
          <w:lang w:eastAsia="zh-CN"/>
        </w:rPr>
        <w:t>月</w:t>
      </w:r>
      <w:r>
        <w:rPr>
          <w:rStyle w:val="29"/>
          <w:rFonts w:hint="eastAsia"/>
          <w:b w:val="0"/>
          <w:shd w:val="clear" w:color="auto" w:fill="FFFFFF"/>
          <w:lang w:val="en-US" w:eastAsia="zh-CN"/>
        </w:rPr>
        <w:t>05</w:t>
      </w:r>
      <w:r>
        <w:rPr>
          <w:rStyle w:val="29"/>
          <w:rFonts w:hint="eastAsia"/>
          <w:b w:val="0"/>
          <w:shd w:val="clear" w:color="auto" w:fill="FFFFFF"/>
          <w:lang w:eastAsia="zh-CN"/>
        </w:rPr>
        <w:t>日</w:t>
      </w:r>
      <w:r>
        <w:rPr>
          <w:rStyle w:val="29"/>
          <w:rFonts w:hint="eastAsia"/>
          <w:b w:val="0"/>
          <w:shd w:val="clear" w:color="auto" w:fill="FFFFFF"/>
        </w:rPr>
        <w:t>，每天上午00:00至12:00，下午12:00至24:00（北京时间）</w:t>
      </w:r>
    </w:p>
    <w:p>
      <w:pPr>
        <w:pStyle w:val="22"/>
        <w:spacing w:before="0" w:beforeAutospacing="0" w:after="0" w:afterAutospacing="0" w:line="440" w:lineRule="exact"/>
        <w:ind w:firstLine="480" w:firstLineChars="200"/>
        <w:rPr>
          <w:rStyle w:val="29"/>
          <w:b w:val="0"/>
          <w:shd w:val="clear" w:color="auto" w:fill="FFFFFF"/>
        </w:rPr>
      </w:pPr>
      <w:r>
        <w:rPr>
          <w:rStyle w:val="29"/>
          <w:rFonts w:hint="eastAsia"/>
          <w:b w:val="0"/>
          <w:shd w:val="clear" w:color="auto" w:fill="FFFFFF"/>
        </w:rPr>
        <w:t>地点：</w:t>
      </w:r>
      <w:r>
        <w:rPr>
          <w:rFonts w:hint="eastAsia"/>
          <w:shd w:val="clear" w:color="auto" w:fill="FFFFFF"/>
          <w:lang w:val="en-US" w:eastAsia="zh-CN"/>
        </w:rPr>
        <w:t>浙江政府采购网</w:t>
      </w:r>
      <w:r>
        <w:rPr>
          <w:rFonts w:hint="eastAsia"/>
        </w:rPr>
        <w:t>（https://zfcg.czt.zj.gov.cn）</w:t>
      </w:r>
    </w:p>
    <w:p>
      <w:pPr>
        <w:pStyle w:val="22"/>
        <w:spacing w:before="0" w:beforeAutospacing="0" w:after="0" w:afterAutospacing="0" w:line="440" w:lineRule="exact"/>
        <w:ind w:firstLine="480" w:firstLineChars="200"/>
        <w:rPr>
          <w:rStyle w:val="29"/>
          <w:rFonts w:hint="eastAsia" w:eastAsia="宋体"/>
          <w:b w:val="0"/>
          <w:shd w:val="clear" w:color="auto" w:fill="FFFFFF"/>
          <w:lang w:eastAsia="zh-CN"/>
        </w:rPr>
      </w:pPr>
      <w:r>
        <w:rPr>
          <w:rStyle w:val="29"/>
          <w:rFonts w:hint="eastAsia"/>
          <w:b w:val="0"/>
          <w:bCs w:val="0"/>
          <w:shd w:val="clear" w:color="auto" w:fill="FFFFFF"/>
        </w:rPr>
        <w:t>方式：供应商登录政采云平台https://www.zcygov.cn/在线申请获取采购文件（进入“项目采购”应用，在获取采购文件菜单中选择项</w:t>
      </w:r>
      <w:r>
        <w:rPr>
          <w:rStyle w:val="29"/>
          <w:rFonts w:hint="eastAsia"/>
          <w:b w:val="0"/>
          <w:shd w:val="clear" w:color="auto" w:fill="FFFFFF"/>
        </w:rPr>
        <w:t>目，申请获取采购文件）</w:t>
      </w:r>
      <w:r>
        <w:rPr>
          <w:rStyle w:val="29"/>
          <w:rFonts w:hint="eastAsia"/>
          <w:b w:val="0"/>
          <w:shd w:val="clear" w:color="auto" w:fill="FFFFFF"/>
          <w:lang w:eastAsia="zh-CN"/>
        </w:rPr>
        <w:t>。</w:t>
      </w:r>
    </w:p>
    <w:p>
      <w:pPr>
        <w:pStyle w:val="22"/>
        <w:spacing w:before="0" w:beforeAutospacing="0" w:after="0" w:afterAutospacing="0" w:line="440" w:lineRule="exact"/>
        <w:ind w:firstLine="480" w:firstLineChars="200"/>
        <w:rPr>
          <w:rStyle w:val="29"/>
          <w:b w:val="0"/>
          <w:shd w:val="clear" w:color="auto" w:fill="FFFFFF"/>
        </w:rPr>
      </w:pPr>
      <w:r>
        <w:rPr>
          <w:rStyle w:val="29"/>
          <w:rFonts w:hint="eastAsia"/>
          <w:b w:val="0"/>
          <w:shd w:val="clear" w:color="auto" w:fill="FFFFFF"/>
        </w:rPr>
        <w:t>售价：免费。</w:t>
      </w:r>
    </w:p>
    <w:p>
      <w:pPr>
        <w:pStyle w:val="5"/>
        <w:spacing w:before="0" w:after="0" w:line="440" w:lineRule="exact"/>
        <w:ind w:firstLine="482" w:firstLineChars="200"/>
        <w:jc w:val="left"/>
        <w:rPr>
          <w:rFonts w:ascii="宋体" w:hAnsi="宋体" w:eastAsia="宋体" w:cs="宋体"/>
          <w:bCs w:val="0"/>
          <w:kern w:val="0"/>
          <w:sz w:val="24"/>
          <w:szCs w:val="24"/>
        </w:rPr>
      </w:pPr>
      <w:bookmarkStart w:id="12" w:name="_Toc28359005"/>
      <w:bookmarkStart w:id="13" w:name="_Toc28359082"/>
      <w:bookmarkStart w:id="14" w:name="_Toc35393793"/>
      <w:bookmarkStart w:id="15" w:name="_Toc35393624"/>
      <w:r>
        <w:rPr>
          <w:rFonts w:hint="eastAsia" w:ascii="宋体" w:hAnsi="宋体" w:eastAsia="宋体" w:cs="宋体"/>
          <w:bCs w:val="0"/>
          <w:kern w:val="0"/>
          <w:sz w:val="24"/>
          <w:szCs w:val="24"/>
        </w:rPr>
        <w:t>四、提交投标文件</w:t>
      </w:r>
      <w:bookmarkEnd w:id="12"/>
      <w:bookmarkEnd w:id="13"/>
      <w:r>
        <w:rPr>
          <w:rFonts w:hint="eastAsia" w:ascii="宋体" w:hAnsi="宋体" w:eastAsia="宋体" w:cs="宋体"/>
          <w:bCs w:val="0"/>
          <w:kern w:val="0"/>
          <w:sz w:val="24"/>
          <w:szCs w:val="24"/>
        </w:rPr>
        <w:t>截止时间、开标时间和地点</w:t>
      </w:r>
      <w:bookmarkEnd w:id="14"/>
      <w:bookmarkEnd w:id="15"/>
    </w:p>
    <w:p>
      <w:pPr>
        <w:pStyle w:val="22"/>
        <w:spacing w:before="0" w:beforeAutospacing="0" w:after="0" w:afterAutospacing="0" w:line="440" w:lineRule="exact"/>
        <w:ind w:firstLine="480" w:firstLineChars="200"/>
        <w:rPr>
          <w:rStyle w:val="29"/>
          <w:b w:val="0"/>
          <w:shd w:val="clear" w:color="auto" w:fill="FFFFFF"/>
        </w:rPr>
      </w:pPr>
      <w:r>
        <w:rPr>
          <w:rStyle w:val="29"/>
          <w:rFonts w:hint="eastAsia"/>
          <w:b w:val="0"/>
          <w:shd w:val="clear" w:color="auto" w:fill="FFFFFF"/>
        </w:rPr>
        <w:t>提交投标文件截止时间：</w:t>
      </w:r>
      <w:r>
        <w:rPr>
          <w:rFonts w:hint="eastAsia"/>
          <w:u w:val="single"/>
          <w:shd w:val="clear" w:color="auto" w:fill="FFFFFF"/>
          <w:lang w:eastAsia="zh-CN"/>
        </w:rPr>
        <w:t>2022年</w:t>
      </w:r>
      <w:r>
        <w:rPr>
          <w:rStyle w:val="29"/>
          <w:rFonts w:hint="eastAsia"/>
          <w:b w:val="0"/>
          <w:u w:val="single"/>
          <w:shd w:val="clear" w:color="auto" w:fill="FFFFFF"/>
          <w:lang w:eastAsia="zh-CN"/>
        </w:rPr>
        <w:t>07月05日</w:t>
      </w:r>
      <w:r>
        <w:rPr>
          <w:rFonts w:hint="eastAsia"/>
          <w:u w:val="single"/>
          <w:shd w:val="clear" w:color="auto" w:fill="FFFFFF"/>
          <w:lang w:eastAsia="zh-CN"/>
        </w:rPr>
        <w:t>14:30时</w:t>
      </w:r>
      <w:r>
        <w:rPr>
          <w:rStyle w:val="29"/>
          <w:rFonts w:hint="eastAsia"/>
          <w:b w:val="0"/>
          <w:shd w:val="clear" w:color="auto" w:fill="FFFFFF"/>
        </w:rPr>
        <w:t>（北京时间）</w:t>
      </w:r>
    </w:p>
    <w:p>
      <w:pPr>
        <w:pStyle w:val="22"/>
        <w:spacing w:before="0" w:beforeAutospacing="0" w:after="0" w:afterAutospacing="0" w:line="440" w:lineRule="exact"/>
        <w:ind w:firstLine="480" w:firstLineChars="200"/>
      </w:pPr>
      <w:r>
        <w:rPr>
          <w:rStyle w:val="29"/>
          <w:rFonts w:hint="eastAsia"/>
          <w:b w:val="0"/>
          <w:shd w:val="clear" w:color="auto" w:fill="FFFFFF"/>
        </w:rPr>
        <w:t>投标地点（网址）：</w:t>
      </w:r>
      <w:r>
        <w:rPr>
          <w:rFonts w:hint="eastAsia"/>
        </w:rPr>
        <w:t>政府采购云平台（www.zcygov.cn）。</w:t>
      </w:r>
    </w:p>
    <w:p>
      <w:pPr>
        <w:pStyle w:val="22"/>
        <w:spacing w:before="0" w:beforeAutospacing="0" w:after="0" w:afterAutospacing="0" w:line="440" w:lineRule="exact"/>
        <w:ind w:firstLine="480" w:firstLineChars="200"/>
        <w:rPr>
          <w:rStyle w:val="29"/>
          <w:b w:val="0"/>
          <w:shd w:val="clear" w:color="auto" w:fill="FFFFFF"/>
        </w:rPr>
      </w:pPr>
      <w:r>
        <w:rPr>
          <w:rStyle w:val="29"/>
          <w:rFonts w:hint="eastAsia"/>
          <w:b w:val="0"/>
          <w:shd w:val="clear" w:color="auto" w:fill="FFFFFF"/>
        </w:rPr>
        <w:t>开标时间：</w:t>
      </w:r>
      <w:r>
        <w:rPr>
          <w:rFonts w:hint="eastAsia"/>
          <w:u w:val="single"/>
          <w:shd w:val="clear" w:color="auto" w:fill="FFFFFF"/>
          <w:lang w:eastAsia="zh-CN"/>
        </w:rPr>
        <w:t>2022年</w:t>
      </w:r>
      <w:r>
        <w:rPr>
          <w:rStyle w:val="29"/>
          <w:rFonts w:hint="eastAsia"/>
          <w:b w:val="0"/>
          <w:u w:val="single"/>
          <w:shd w:val="clear" w:color="auto" w:fill="FFFFFF"/>
          <w:lang w:eastAsia="zh-CN"/>
        </w:rPr>
        <w:t>07月05日</w:t>
      </w:r>
      <w:r>
        <w:rPr>
          <w:rFonts w:hint="eastAsia"/>
          <w:u w:val="single"/>
          <w:shd w:val="clear" w:color="auto" w:fill="FFFFFF"/>
          <w:lang w:eastAsia="zh-CN"/>
        </w:rPr>
        <w:t>14:30时</w:t>
      </w:r>
      <w:r>
        <w:rPr>
          <w:rStyle w:val="29"/>
          <w:rFonts w:hint="eastAsia"/>
          <w:b w:val="0"/>
          <w:shd w:val="clear" w:color="auto" w:fill="FFFFFF"/>
        </w:rPr>
        <w:t>（北京时间）</w:t>
      </w:r>
    </w:p>
    <w:p>
      <w:pPr>
        <w:pStyle w:val="22"/>
        <w:spacing w:before="0" w:beforeAutospacing="0" w:after="0" w:afterAutospacing="0" w:line="440" w:lineRule="exact"/>
        <w:ind w:firstLine="480" w:firstLineChars="200"/>
        <w:rPr>
          <w:rStyle w:val="29"/>
          <w:b w:val="0"/>
          <w:shd w:val="clear" w:color="auto" w:fill="FFFFFF"/>
        </w:rPr>
      </w:pPr>
      <w:r>
        <w:rPr>
          <w:rStyle w:val="29"/>
          <w:rFonts w:hint="eastAsia"/>
          <w:b w:val="0"/>
          <w:shd w:val="clear" w:color="auto" w:fill="FFFFFF"/>
        </w:rPr>
        <w:t>开标地点（网址）：</w:t>
      </w:r>
      <w:r>
        <w:rPr>
          <w:rStyle w:val="29"/>
          <w:rFonts w:hint="eastAsia"/>
          <w:b w:val="0"/>
          <w:bCs w:val="0"/>
          <w:shd w:val="clear" w:color="auto" w:fill="FFFFFF"/>
        </w:rPr>
        <w:t>诸暨市环城北路1号时代商务中心B2幢</w:t>
      </w:r>
      <w:r>
        <w:rPr>
          <w:rStyle w:val="29"/>
          <w:rFonts w:hint="eastAsia"/>
          <w:b w:val="0"/>
          <w:bCs w:val="0"/>
          <w:shd w:val="clear" w:color="auto" w:fill="FFFFFF"/>
          <w:lang w:eastAsia="zh-CN"/>
        </w:rPr>
        <w:t>3楼</w:t>
      </w:r>
      <w:r>
        <w:rPr>
          <w:rStyle w:val="29"/>
          <w:rFonts w:hint="eastAsia"/>
          <w:b w:val="0"/>
          <w:bCs w:val="0"/>
          <w:shd w:val="clear" w:color="auto" w:fill="FFFFFF"/>
        </w:rPr>
        <w:t>诸暨市广顺工程管理服务有限公司评标室（本项目通过“政府采购云平台（www.zcygov.cn）”实行在线开标）。</w:t>
      </w:r>
    </w:p>
    <w:p>
      <w:pPr>
        <w:pStyle w:val="5"/>
        <w:spacing w:before="0" w:after="0" w:line="440" w:lineRule="exact"/>
        <w:ind w:firstLine="482" w:firstLineChars="200"/>
        <w:jc w:val="left"/>
        <w:rPr>
          <w:rFonts w:ascii="宋体" w:hAnsi="宋体" w:eastAsia="宋体" w:cs="宋体"/>
          <w:bCs w:val="0"/>
          <w:kern w:val="0"/>
          <w:sz w:val="24"/>
          <w:szCs w:val="24"/>
        </w:rPr>
      </w:pPr>
      <w:bookmarkStart w:id="16" w:name="_Toc28359084"/>
      <w:bookmarkStart w:id="17" w:name="_Toc35393794"/>
      <w:bookmarkStart w:id="18" w:name="_Toc35393625"/>
      <w:bookmarkStart w:id="19" w:name="_Toc28359007"/>
      <w:r>
        <w:rPr>
          <w:rFonts w:hint="eastAsia" w:ascii="宋体" w:hAnsi="宋体" w:eastAsia="宋体" w:cs="宋体"/>
          <w:bCs w:val="0"/>
          <w:kern w:val="0"/>
          <w:sz w:val="24"/>
          <w:szCs w:val="24"/>
        </w:rPr>
        <w:t>五、公告期限</w:t>
      </w:r>
      <w:bookmarkEnd w:id="16"/>
      <w:bookmarkEnd w:id="17"/>
      <w:bookmarkEnd w:id="18"/>
      <w:bookmarkEnd w:id="19"/>
    </w:p>
    <w:p>
      <w:pPr>
        <w:spacing w:line="440" w:lineRule="exact"/>
        <w:ind w:firstLine="480" w:firstLineChars="200"/>
        <w:jc w:val="left"/>
        <w:rPr>
          <w:rStyle w:val="29"/>
          <w:rFonts w:ascii="宋体" w:hAnsi="宋体" w:cs="宋体"/>
          <w:b w:val="0"/>
          <w:color w:val="auto"/>
          <w:sz w:val="24"/>
          <w:szCs w:val="24"/>
          <w:shd w:val="clear" w:color="auto" w:fill="FFFFFF"/>
        </w:rPr>
      </w:pPr>
      <w:r>
        <w:rPr>
          <w:rStyle w:val="29"/>
          <w:rFonts w:hint="eastAsia" w:ascii="宋体" w:hAnsi="宋体" w:cs="宋体"/>
          <w:b w:val="0"/>
          <w:color w:val="auto"/>
          <w:sz w:val="24"/>
          <w:szCs w:val="24"/>
          <w:shd w:val="clear" w:color="auto" w:fill="FFFFFF"/>
        </w:rPr>
        <w:t>自本公告发布之日起5个工作日。</w:t>
      </w:r>
    </w:p>
    <w:p>
      <w:pPr>
        <w:pStyle w:val="5"/>
        <w:spacing w:before="0" w:after="0" w:line="440" w:lineRule="exact"/>
        <w:ind w:firstLine="482" w:firstLineChars="200"/>
        <w:jc w:val="left"/>
        <w:rPr>
          <w:rFonts w:ascii="宋体" w:hAnsi="宋体" w:eastAsia="宋体" w:cs="宋体"/>
          <w:bCs w:val="0"/>
          <w:kern w:val="0"/>
          <w:sz w:val="24"/>
          <w:szCs w:val="24"/>
        </w:rPr>
      </w:pPr>
      <w:bookmarkStart w:id="20" w:name="_Toc35393626"/>
      <w:bookmarkStart w:id="21" w:name="_Toc35393795"/>
      <w:r>
        <w:rPr>
          <w:rFonts w:hint="eastAsia" w:ascii="宋体" w:hAnsi="宋体" w:eastAsia="宋体" w:cs="宋体"/>
          <w:bCs w:val="0"/>
          <w:kern w:val="0"/>
          <w:sz w:val="24"/>
          <w:szCs w:val="24"/>
        </w:rPr>
        <w:t>六、其他补充事宜</w:t>
      </w:r>
      <w:bookmarkEnd w:id="20"/>
      <w:bookmarkEnd w:id="21"/>
    </w:p>
    <w:p>
      <w:pPr>
        <w:pStyle w:val="22"/>
        <w:spacing w:before="0" w:beforeAutospacing="0" w:after="0" w:afterAutospacing="0" w:line="440" w:lineRule="exact"/>
        <w:ind w:firstLine="480" w:firstLineChars="200"/>
        <w:rPr>
          <w:rStyle w:val="29"/>
          <w:b w:val="0"/>
          <w:shd w:val="clear" w:color="auto" w:fill="FFFFFF"/>
        </w:rPr>
      </w:pPr>
      <w:r>
        <w:rPr>
          <w:rStyle w:val="29"/>
          <w:rFonts w:hint="eastAsia"/>
          <w:b w:val="0"/>
          <w:shd w:val="clear" w:color="auto" w:fill="FFFFFF"/>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pPr>
        <w:pStyle w:val="16"/>
        <w:adjustRightInd w:val="0"/>
        <w:snapToGrid w:val="0"/>
        <w:spacing w:line="440" w:lineRule="exact"/>
        <w:ind w:firstLine="480" w:firstLineChars="200"/>
        <w:jc w:val="left"/>
        <w:rPr>
          <w:rFonts w:ascii="宋体" w:hAnsi="宋体"/>
          <w:szCs w:val="24"/>
        </w:rPr>
      </w:pPr>
      <w:r>
        <w:rPr>
          <w:rStyle w:val="29"/>
          <w:rFonts w:hint="eastAsia" w:ascii="宋体" w:hAnsi="宋体" w:cs="宋体"/>
          <w:b w:val="0"/>
          <w:szCs w:val="24"/>
          <w:shd w:val="clear" w:color="auto" w:fill="FFFFFF"/>
        </w:rPr>
        <w:t>2、</w:t>
      </w:r>
      <w:r>
        <w:rPr>
          <w:rFonts w:hint="eastAsia" w:hAnsi="宋体"/>
          <w:b/>
          <w:szCs w:val="24"/>
        </w:rPr>
        <w:t>投标人应于开标时间前按照电子投标要求将电子加密标书上传到“政采云”平台，逾期或未上传成功的将导致无法投标或投标无</w:t>
      </w:r>
      <w:r>
        <w:rPr>
          <w:rFonts w:hint="eastAsia" w:hAnsi="宋体"/>
          <w:b/>
          <w:kern w:val="0"/>
          <w:szCs w:val="24"/>
        </w:rPr>
        <w:t>效。</w:t>
      </w:r>
      <w:r>
        <w:rPr>
          <w:rFonts w:hint="eastAsia" w:ascii="宋体" w:hAnsi="宋体"/>
          <w:szCs w:val="24"/>
        </w:rPr>
        <w:t>备注：为确保采购项目顺利实施，避免因政采云上电子投标文件解密失败导致投标方投标无效，投标方可在开标时间前将在政采云平台上最后生成的具备电子签章的备份加密投标文件（文件名后缀为备份文件四字的首字母）以电子邮件方式传送至诸暨市广顺工程管理服务有限公司邮箱（</w:t>
      </w:r>
      <w:r>
        <w:rPr>
          <w:rFonts w:hint="eastAsia" w:ascii="宋体" w:hAnsi="宋体" w:cs="宋体"/>
          <w:szCs w:val="24"/>
        </w:rPr>
        <w:t>2262785139@qq.com）</w:t>
      </w:r>
      <w:r>
        <w:rPr>
          <w:rFonts w:hint="eastAsia" w:ascii="宋体" w:hAnsi="宋体"/>
          <w:szCs w:val="24"/>
        </w:rPr>
        <w:t>，传送的备份电子投标文件需打包压缩并加密，加密密码由投标方自行保管，如政采云上电子投标文件出现解密失败情况（开标后30分钟内进行解密），投标方可按照自身意愿确认是否同意提供加密密码解密传送至诸暨市广顺工程管理服务有限公司邮箱的备份文件，并以备份文件作为替代电子投标文件，如投标方未按照规定时间前按要求提供有效备份文件，同时政采云上投标文件解密失败的，将导致投标无效。</w:t>
      </w:r>
    </w:p>
    <w:p>
      <w:pPr>
        <w:pStyle w:val="16"/>
        <w:adjustRightInd w:val="0"/>
        <w:snapToGrid w:val="0"/>
        <w:spacing w:line="440" w:lineRule="exact"/>
        <w:ind w:firstLine="482" w:firstLineChars="200"/>
        <w:jc w:val="left"/>
        <w:rPr>
          <w:rFonts w:ascii="宋体" w:hAnsi="宋体"/>
          <w:szCs w:val="24"/>
        </w:rPr>
      </w:pPr>
      <w:r>
        <w:rPr>
          <w:rFonts w:hint="eastAsia" w:hAnsi="宋体"/>
          <w:b/>
          <w:kern w:val="0"/>
          <w:szCs w:val="24"/>
          <w:u w:val="single"/>
        </w:rPr>
        <w:t>投标方无需在开标当天到达开标现场对电子投标进行解密，可在公司办公场地在规定时间内对电子投标文件进行解密。</w:t>
      </w:r>
    </w:p>
    <w:p>
      <w:pPr>
        <w:pStyle w:val="16"/>
        <w:adjustRightInd w:val="0"/>
        <w:snapToGrid w:val="0"/>
        <w:spacing w:line="440" w:lineRule="exact"/>
        <w:ind w:firstLine="482" w:firstLineChars="200"/>
        <w:jc w:val="left"/>
        <w:rPr>
          <w:rFonts w:hAnsi="宋体"/>
          <w:b/>
          <w:szCs w:val="24"/>
        </w:rPr>
      </w:pPr>
      <w:r>
        <w:rPr>
          <w:rFonts w:hint="eastAsia" w:hAnsi="宋体"/>
          <w:b/>
          <w:szCs w:val="24"/>
        </w:rPr>
        <w:t>投标人应在开标后30分钟内通过政采云平台完成电子加密投标文件的在线解密工作。若投标人在规定时间内无法解密或解密失败，将导致投标无效或失败。投标人制作电子投标文件和解密投标文件需为同一把CA。同时为减少电子投标的意外事件，制作电子投标文件人员与参加开标人员最好为同一人，预留同一手机号码。</w:t>
      </w:r>
    </w:p>
    <w:p>
      <w:pPr>
        <w:autoSpaceDE/>
        <w:autoSpaceDN/>
        <w:adjustRightInd/>
        <w:spacing w:line="440" w:lineRule="exact"/>
        <w:ind w:firstLine="482" w:firstLineChars="200"/>
        <w:jc w:val="left"/>
        <w:rPr>
          <w:rFonts w:ascii="宋体" w:hAnsi="宋体" w:cs="宋体"/>
          <w:b/>
          <w:color w:val="auto"/>
          <w:sz w:val="24"/>
          <w:szCs w:val="24"/>
        </w:rPr>
      </w:pPr>
    </w:p>
    <w:p>
      <w:pPr>
        <w:autoSpaceDE/>
        <w:autoSpaceDN/>
        <w:adjustRightInd/>
        <w:spacing w:line="440" w:lineRule="exact"/>
        <w:ind w:firstLine="482" w:firstLineChars="200"/>
        <w:jc w:val="left"/>
        <w:rPr>
          <w:rFonts w:ascii="宋体" w:hAnsi="宋体" w:cs="宋体"/>
          <w:b/>
          <w:color w:val="auto"/>
          <w:sz w:val="24"/>
          <w:szCs w:val="24"/>
        </w:rPr>
      </w:pPr>
      <w:r>
        <w:rPr>
          <w:rFonts w:hint="eastAsia" w:ascii="宋体" w:hAnsi="宋体" w:cs="宋体"/>
          <w:b/>
          <w:color w:val="auto"/>
          <w:sz w:val="24"/>
          <w:szCs w:val="24"/>
        </w:rPr>
        <w:t>七、投标保证金：</w:t>
      </w:r>
    </w:p>
    <w:p>
      <w:pPr>
        <w:autoSpaceDE/>
        <w:autoSpaceDN/>
        <w:adjustRightInd/>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本项目不收取投标保证金。</w:t>
      </w:r>
    </w:p>
    <w:p>
      <w:pPr>
        <w:snapToGrid w:val="0"/>
        <w:spacing w:line="440" w:lineRule="exact"/>
        <w:ind w:firstLine="420"/>
        <w:rPr>
          <w:rFonts w:hint="eastAsia" w:ascii="宋体" w:hAnsi="宋体" w:cs="Arial"/>
          <w:b/>
          <w:color w:val="auto"/>
          <w:sz w:val="24"/>
        </w:rPr>
      </w:pPr>
      <w:bookmarkStart w:id="22" w:name="_Toc125344503"/>
    </w:p>
    <w:p>
      <w:pPr>
        <w:snapToGrid w:val="0"/>
        <w:spacing w:line="440" w:lineRule="exact"/>
        <w:ind w:firstLine="420"/>
        <w:rPr>
          <w:rFonts w:hint="eastAsia" w:ascii="宋体" w:hAnsi="宋体" w:cs="Arial"/>
          <w:b/>
          <w:color w:val="auto"/>
          <w:sz w:val="24"/>
        </w:rPr>
      </w:pPr>
    </w:p>
    <w:p>
      <w:pPr>
        <w:snapToGrid w:val="0"/>
        <w:spacing w:line="440" w:lineRule="exact"/>
        <w:ind w:firstLine="420"/>
        <w:rPr>
          <w:rFonts w:ascii="宋体" w:hAnsi="宋体" w:cs="Arial"/>
          <w:b/>
          <w:color w:val="auto"/>
          <w:sz w:val="24"/>
        </w:rPr>
      </w:pPr>
      <w:r>
        <w:rPr>
          <w:rFonts w:hint="eastAsia" w:ascii="宋体" w:hAnsi="宋体" w:cs="Arial"/>
          <w:b/>
          <w:color w:val="auto"/>
          <w:sz w:val="24"/>
        </w:rPr>
        <w:t>八、对本次采购提出询问，请按以下方式联系</w:t>
      </w:r>
    </w:p>
    <w:p>
      <w:pPr>
        <w:pStyle w:val="22"/>
        <w:shd w:val="clear" w:color="auto" w:fill="FFFFFF"/>
        <w:autoSpaceDE w:val="0"/>
        <w:autoSpaceDN w:val="0"/>
        <w:adjustRightInd w:val="0"/>
        <w:spacing w:before="0" w:beforeAutospacing="0" w:after="0" w:afterAutospacing="0" w:line="500" w:lineRule="atLeast"/>
        <w:ind w:firstLine="482"/>
        <w:rPr>
          <w:rFonts w:cs="Times New Roman"/>
          <w:color w:val="000000"/>
          <w:kern w:val="2"/>
        </w:rPr>
      </w:pPr>
      <w:r>
        <w:rPr>
          <w:rFonts w:hint="eastAsia" w:cs="Times New Roman"/>
          <w:color w:val="000000"/>
          <w:kern w:val="2"/>
        </w:rPr>
        <w:t>1.采购人信息</w:t>
      </w:r>
    </w:p>
    <w:p>
      <w:pPr>
        <w:pStyle w:val="22"/>
        <w:shd w:val="clear" w:color="auto" w:fill="FFFFFF"/>
        <w:autoSpaceDE w:val="0"/>
        <w:autoSpaceDN w:val="0"/>
        <w:adjustRightInd w:val="0"/>
        <w:spacing w:before="0" w:beforeAutospacing="0" w:after="0" w:afterAutospacing="0" w:line="500" w:lineRule="atLeast"/>
        <w:ind w:firstLine="482"/>
        <w:rPr>
          <w:rFonts w:cs="Times New Roman"/>
          <w:color w:val="000000"/>
          <w:kern w:val="2"/>
        </w:rPr>
      </w:pPr>
      <w:r>
        <w:rPr>
          <w:rFonts w:hint="eastAsia" w:cs="Times New Roman"/>
          <w:color w:val="000000"/>
          <w:kern w:val="2"/>
        </w:rPr>
        <w:t>名称：</w:t>
      </w:r>
      <w:r>
        <w:rPr>
          <w:rFonts w:hint="eastAsia"/>
        </w:rPr>
        <w:t>诸暨广电信息技术有限公司</w:t>
      </w:r>
    </w:p>
    <w:p>
      <w:pPr>
        <w:pStyle w:val="22"/>
        <w:shd w:val="clear" w:color="auto" w:fill="FFFFFF"/>
        <w:autoSpaceDE w:val="0"/>
        <w:autoSpaceDN w:val="0"/>
        <w:adjustRightInd w:val="0"/>
        <w:spacing w:before="0" w:beforeAutospacing="0" w:after="0" w:afterAutospacing="0" w:line="500" w:lineRule="atLeast"/>
        <w:ind w:firstLine="482"/>
        <w:rPr>
          <w:rFonts w:cs="Times New Roman"/>
          <w:color w:val="000000"/>
          <w:kern w:val="2"/>
        </w:rPr>
      </w:pPr>
      <w:r>
        <w:rPr>
          <w:rFonts w:hint="eastAsia" w:cs="Times New Roman"/>
          <w:color w:val="000000"/>
          <w:kern w:val="2"/>
        </w:rPr>
        <w:t>地址：诸暨市暨阳街道江东路39号</w:t>
      </w:r>
    </w:p>
    <w:p>
      <w:pPr>
        <w:pStyle w:val="22"/>
        <w:shd w:val="clear" w:color="auto" w:fill="FFFFFF"/>
        <w:autoSpaceDE w:val="0"/>
        <w:autoSpaceDN w:val="0"/>
        <w:adjustRightInd w:val="0"/>
        <w:spacing w:before="0" w:beforeAutospacing="0" w:after="0" w:afterAutospacing="0" w:line="500" w:lineRule="atLeast"/>
        <w:ind w:firstLine="482"/>
        <w:rPr>
          <w:rFonts w:cs="Times New Roman"/>
          <w:color w:val="000000"/>
          <w:kern w:val="2"/>
        </w:rPr>
      </w:pPr>
      <w:r>
        <w:rPr>
          <w:rFonts w:hint="eastAsia" w:cs="Times New Roman"/>
          <w:color w:val="000000"/>
          <w:kern w:val="2"/>
        </w:rPr>
        <w:t>项目联系人：</w:t>
      </w:r>
      <w:r>
        <w:rPr>
          <w:rFonts w:hint="eastAsia"/>
        </w:rPr>
        <w:t>商工</w:t>
      </w:r>
    </w:p>
    <w:p>
      <w:pPr>
        <w:pStyle w:val="22"/>
        <w:shd w:val="clear" w:color="auto" w:fill="FFFFFF"/>
        <w:autoSpaceDE w:val="0"/>
        <w:autoSpaceDN w:val="0"/>
        <w:adjustRightInd w:val="0"/>
        <w:spacing w:before="0" w:beforeAutospacing="0" w:after="0" w:afterAutospacing="0" w:line="500" w:lineRule="atLeast"/>
        <w:ind w:firstLine="482"/>
        <w:rPr>
          <w:rFonts w:cs="Times New Roman"/>
          <w:color w:val="000000"/>
          <w:kern w:val="2"/>
        </w:rPr>
      </w:pPr>
      <w:r>
        <w:rPr>
          <w:rFonts w:hint="eastAsia" w:cs="Times New Roman"/>
          <w:color w:val="000000"/>
          <w:kern w:val="2"/>
        </w:rPr>
        <w:t>项目联系方式：</w:t>
      </w:r>
      <w:r>
        <w:rPr>
          <w:rFonts w:hint="eastAsia"/>
        </w:rPr>
        <w:t>15305755502</w:t>
      </w:r>
    </w:p>
    <w:p>
      <w:pPr>
        <w:pStyle w:val="22"/>
        <w:shd w:val="clear" w:color="auto" w:fill="FFFFFF"/>
        <w:autoSpaceDE w:val="0"/>
        <w:autoSpaceDN w:val="0"/>
        <w:adjustRightInd w:val="0"/>
        <w:spacing w:before="0" w:beforeAutospacing="0" w:after="0" w:afterAutospacing="0" w:line="500" w:lineRule="atLeast"/>
        <w:ind w:firstLine="482"/>
        <w:rPr>
          <w:rFonts w:cs="Times New Roman"/>
          <w:color w:val="000000"/>
          <w:kern w:val="2"/>
        </w:rPr>
      </w:pPr>
      <w:r>
        <w:rPr>
          <w:rFonts w:hint="eastAsia" w:cs="Times New Roman"/>
          <w:color w:val="000000"/>
          <w:kern w:val="2"/>
        </w:rPr>
        <w:t>2.采购代理机构信息</w:t>
      </w:r>
    </w:p>
    <w:p>
      <w:pPr>
        <w:pStyle w:val="22"/>
        <w:shd w:val="clear" w:color="auto" w:fill="FFFFFF"/>
        <w:autoSpaceDE w:val="0"/>
        <w:autoSpaceDN w:val="0"/>
        <w:adjustRightInd w:val="0"/>
        <w:spacing w:before="0" w:beforeAutospacing="0" w:after="0" w:afterAutospacing="0" w:line="500" w:lineRule="atLeast"/>
        <w:ind w:firstLine="482"/>
        <w:rPr>
          <w:rFonts w:cs="Times New Roman"/>
          <w:color w:val="000000"/>
          <w:kern w:val="2"/>
        </w:rPr>
      </w:pPr>
      <w:r>
        <w:rPr>
          <w:rFonts w:hint="eastAsia" w:cs="Times New Roman"/>
          <w:color w:val="000000"/>
          <w:kern w:val="2"/>
        </w:rPr>
        <w:t>名称：诸暨市广顺工程管理服务有限公司</w:t>
      </w:r>
    </w:p>
    <w:p>
      <w:pPr>
        <w:pStyle w:val="22"/>
        <w:shd w:val="clear" w:color="auto" w:fill="FFFFFF"/>
        <w:autoSpaceDE w:val="0"/>
        <w:autoSpaceDN w:val="0"/>
        <w:adjustRightInd w:val="0"/>
        <w:spacing w:before="0" w:beforeAutospacing="0" w:after="0" w:afterAutospacing="0" w:line="500" w:lineRule="atLeast"/>
        <w:ind w:firstLine="482"/>
        <w:rPr>
          <w:rFonts w:cs="Times New Roman"/>
          <w:color w:val="000000"/>
          <w:kern w:val="2"/>
        </w:rPr>
      </w:pPr>
      <w:r>
        <w:rPr>
          <w:rFonts w:hint="eastAsia" w:cs="Times New Roman"/>
          <w:color w:val="000000"/>
          <w:kern w:val="2"/>
        </w:rPr>
        <w:t>地址：诸暨市环城北路1号时代商务中心B2幢3楼</w:t>
      </w:r>
    </w:p>
    <w:p>
      <w:pPr>
        <w:pStyle w:val="22"/>
        <w:shd w:val="clear" w:color="auto" w:fill="FFFFFF"/>
        <w:autoSpaceDE w:val="0"/>
        <w:autoSpaceDN w:val="0"/>
        <w:adjustRightInd w:val="0"/>
        <w:spacing w:before="0" w:beforeAutospacing="0" w:after="0" w:afterAutospacing="0" w:line="500" w:lineRule="atLeast"/>
        <w:ind w:firstLine="482"/>
        <w:rPr>
          <w:rFonts w:hint="eastAsia" w:eastAsia="宋体" w:cs="Times New Roman"/>
          <w:color w:val="000000"/>
          <w:kern w:val="2"/>
          <w:lang w:val="en-US" w:eastAsia="zh-CN"/>
        </w:rPr>
      </w:pPr>
      <w:r>
        <w:rPr>
          <w:rFonts w:hint="eastAsia" w:cs="Times New Roman"/>
          <w:color w:val="000000"/>
          <w:kern w:val="2"/>
        </w:rPr>
        <w:t>项目联系人：</w:t>
      </w:r>
      <w:r>
        <w:rPr>
          <w:rFonts w:hint="eastAsia" w:cs="Times New Roman"/>
          <w:color w:val="000000"/>
          <w:kern w:val="2"/>
          <w:lang w:val="en-US" w:eastAsia="zh-CN"/>
        </w:rPr>
        <w:t>方燕玲</w:t>
      </w:r>
    </w:p>
    <w:p>
      <w:pPr>
        <w:pStyle w:val="22"/>
        <w:shd w:val="clear" w:color="auto" w:fill="FFFFFF"/>
        <w:autoSpaceDE w:val="0"/>
        <w:autoSpaceDN w:val="0"/>
        <w:adjustRightInd w:val="0"/>
        <w:spacing w:before="0" w:beforeAutospacing="0" w:after="0" w:afterAutospacing="0" w:line="500" w:lineRule="atLeast"/>
        <w:ind w:firstLine="482"/>
        <w:rPr>
          <w:rFonts w:hint="default" w:eastAsia="宋体" w:cs="Times New Roman"/>
          <w:color w:val="000000"/>
          <w:kern w:val="2"/>
          <w:lang w:val="en-US" w:eastAsia="zh-CN"/>
        </w:rPr>
      </w:pPr>
      <w:r>
        <w:rPr>
          <w:rFonts w:hint="eastAsia" w:cs="Times New Roman"/>
          <w:color w:val="000000"/>
          <w:kern w:val="2"/>
        </w:rPr>
        <w:t>项目联系方式：</w:t>
      </w:r>
      <w:r>
        <w:rPr>
          <w:rFonts w:hint="eastAsia" w:cs="Times New Roman"/>
          <w:color w:val="000000"/>
          <w:kern w:val="2"/>
          <w:lang w:val="en-US" w:eastAsia="zh-CN"/>
        </w:rPr>
        <w:t>18857517181</w:t>
      </w:r>
    </w:p>
    <w:p>
      <w:pPr>
        <w:jc w:val="right"/>
        <w:rPr>
          <w:rFonts w:ascii="宋体" w:hAnsi="宋体" w:cs="宋体"/>
          <w:color w:val="auto"/>
          <w:sz w:val="24"/>
          <w:szCs w:val="24"/>
        </w:rPr>
      </w:pPr>
    </w:p>
    <w:p>
      <w:pPr>
        <w:jc w:val="right"/>
        <w:rPr>
          <w:rFonts w:ascii="宋体" w:hAnsi="宋体" w:cs="宋体"/>
          <w:color w:val="auto"/>
          <w:sz w:val="24"/>
          <w:szCs w:val="24"/>
        </w:rPr>
      </w:pPr>
    </w:p>
    <w:p>
      <w:pPr>
        <w:jc w:val="center"/>
        <w:rPr>
          <w:rFonts w:ascii="宋体" w:hAnsi="宋体" w:cs="宋体"/>
          <w:color w:val="auto"/>
          <w:sz w:val="36"/>
          <w:szCs w:val="36"/>
        </w:rPr>
      </w:pPr>
      <w:r>
        <w:rPr>
          <w:rFonts w:hint="eastAsia" w:ascii="宋体" w:hAnsi="宋体" w:cs="宋体"/>
          <w:b/>
          <w:bCs/>
          <w:color w:val="auto"/>
          <w:sz w:val="36"/>
          <w:szCs w:val="36"/>
        </w:rPr>
        <w:br w:type="page"/>
      </w:r>
      <w:r>
        <w:rPr>
          <w:rFonts w:hint="eastAsia" w:ascii="宋体" w:hAnsi="宋体" w:cs="宋体"/>
          <w:b/>
          <w:bCs/>
          <w:color w:val="auto"/>
          <w:sz w:val="36"/>
          <w:szCs w:val="36"/>
        </w:rPr>
        <w:t>第二章   投标须知</w:t>
      </w:r>
    </w:p>
    <w:p>
      <w:pPr>
        <w:jc w:val="center"/>
        <w:rPr>
          <w:rFonts w:ascii="宋体" w:hAnsi="宋体" w:cs="宋体"/>
          <w:bCs/>
          <w:color w:val="auto"/>
          <w:sz w:val="24"/>
          <w:szCs w:val="24"/>
        </w:rPr>
      </w:pPr>
      <w:r>
        <w:rPr>
          <w:rFonts w:hint="eastAsia" w:ascii="宋体" w:hAnsi="宋体" w:cs="宋体"/>
          <w:bCs/>
          <w:color w:val="auto"/>
          <w:sz w:val="24"/>
          <w:szCs w:val="24"/>
        </w:rPr>
        <w:t>前  附  表</w:t>
      </w:r>
    </w:p>
    <w:tbl>
      <w:tblPr>
        <w:tblStyle w:val="26"/>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76"/>
        <w:gridCol w:w="7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b/>
                <w:szCs w:val="24"/>
              </w:rPr>
              <w:t>序号</w:t>
            </w:r>
          </w:p>
        </w:tc>
        <w:tc>
          <w:tcPr>
            <w:tcW w:w="1776"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b/>
                <w:szCs w:val="24"/>
              </w:rPr>
              <w:t>内容</w:t>
            </w:r>
          </w:p>
        </w:tc>
        <w:tc>
          <w:tcPr>
            <w:tcW w:w="7589"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b/>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b/>
                <w:szCs w:val="24"/>
              </w:rPr>
              <w:t>1</w:t>
            </w:r>
          </w:p>
        </w:tc>
        <w:tc>
          <w:tcPr>
            <w:tcW w:w="1776"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szCs w:val="24"/>
              </w:rPr>
              <w:t>项目名称</w:t>
            </w:r>
          </w:p>
        </w:tc>
        <w:tc>
          <w:tcPr>
            <w:tcW w:w="7589" w:type="dxa"/>
            <w:tcBorders>
              <w:top w:val="single" w:color="auto" w:sz="4" w:space="0"/>
              <w:left w:val="single" w:color="auto" w:sz="4" w:space="0"/>
              <w:bottom w:val="single" w:color="auto" w:sz="4" w:space="0"/>
              <w:right w:val="single" w:color="auto" w:sz="4" w:space="0"/>
            </w:tcBorders>
            <w:vAlign w:val="center"/>
          </w:tcPr>
          <w:p>
            <w:pPr>
              <w:autoSpaceDE/>
              <w:autoSpaceDN/>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2022年信息系统硬件维护项目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b/>
                <w:szCs w:val="24"/>
              </w:rPr>
              <w:t>2</w:t>
            </w:r>
          </w:p>
        </w:tc>
        <w:tc>
          <w:tcPr>
            <w:tcW w:w="1776"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szCs w:val="24"/>
              </w:rPr>
              <w:t>采购方式</w:t>
            </w:r>
          </w:p>
        </w:tc>
        <w:tc>
          <w:tcPr>
            <w:tcW w:w="7589" w:type="dxa"/>
            <w:tcBorders>
              <w:top w:val="single" w:color="auto" w:sz="4" w:space="0"/>
              <w:left w:val="single" w:color="auto" w:sz="4" w:space="0"/>
              <w:bottom w:val="single" w:color="auto" w:sz="4" w:space="0"/>
              <w:right w:val="single" w:color="auto" w:sz="4" w:space="0"/>
            </w:tcBorders>
            <w:vAlign w:val="center"/>
          </w:tcPr>
          <w:p>
            <w:pPr>
              <w:pStyle w:val="16"/>
              <w:ind w:right="-107" w:rightChars="-51"/>
              <w:rPr>
                <w:rFonts w:ascii="宋体" w:hAnsi="宋体" w:cs="宋体"/>
                <w:szCs w:val="24"/>
              </w:rPr>
            </w:pPr>
            <w:r>
              <w:rPr>
                <w:rFonts w:hint="eastAsia" w:ascii="宋体" w:hAnsi="宋体" w:cs="宋体"/>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b/>
                <w:szCs w:val="24"/>
              </w:rPr>
              <w:t>3</w:t>
            </w:r>
          </w:p>
        </w:tc>
        <w:tc>
          <w:tcPr>
            <w:tcW w:w="1776"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szCs w:val="24"/>
              </w:rPr>
              <w:t>评标办法</w:t>
            </w:r>
          </w:p>
        </w:tc>
        <w:tc>
          <w:tcPr>
            <w:tcW w:w="7589" w:type="dxa"/>
            <w:tcBorders>
              <w:top w:val="single" w:color="auto" w:sz="4" w:space="0"/>
              <w:left w:val="single" w:color="auto" w:sz="4" w:space="0"/>
              <w:bottom w:val="single" w:color="auto" w:sz="4" w:space="0"/>
              <w:right w:val="single" w:color="auto" w:sz="4" w:space="0"/>
            </w:tcBorders>
            <w:vAlign w:val="center"/>
          </w:tcPr>
          <w:p>
            <w:pPr>
              <w:pStyle w:val="16"/>
              <w:ind w:right="-107" w:rightChars="-51"/>
              <w:rPr>
                <w:rFonts w:ascii="宋体" w:hAnsi="宋体" w:cs="宋体"/>
                <w:szCs w:val="24"/>
              </w:rPr>
            </w:pPr>
            <w:r>
              <w:rPr>
                <w:rFonts w:hint="eastAsia" w:ascii="宋体" w:hAnsi="宋体" w:cs="宋体"/>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szCs w:val="24"/>
              </w:rPr>
            </w:pPr>
            <w:r>
              <w:rPr>
                <w:rFonts w:hint="eastAsia" w:ascii="宋体" w:hAnsi="宋体" w:cs="宋体"/>
                <w:szCs w:val="24"/>
              </w:rPr>
              <w:t>4</w:t>
            </w:r>
          </w:p>
        </w:tc>
        <w:tc>
          <w:tcPr>
            <w:tcW w:w="1776"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szCs w:val="24"/>
              </w:rPr>
            </w:pPr>
            <w:r>
              <w:rPr>
                <w:rFonts w:hint="eastAsia" w:ascii="宋体" w:hAnsi="宋体" w:cs="宋体"/>
                <w:szCs w:val="24"/>
              </w:rPr>
              <w:t>最高限价</w:t>
            </w:r>
          </w:p>
        </w:tc>
        <w:tc>
          <w:tcPr>
            <w:tcW w:w="7589"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480" w:firstLineChars="200"/>
              <w:rPr>
                <w:rFonts w:ascii="宋体" w:hAnsi="宋体" w:cs="宋体"/>
                <w:color w:val="auto"/>
                <w:sz w:val="24"/>
                <w:szCs w:val="24"/>
              </w:rPr>
            </w:pPr>
            <w:r>
              <w:rPr>
                <w:rFonts w:hint="eastAsia" w:ascii="宋体" w:hAnsi="宋体" w:cs="宋体"/>
                <w:sz w:val="24"/>
                <w:szCs w:val="24"/>
                <w:lang w:val="zh-CN"/>
              </w:rPr>
              <w:t>本次采购最高限价为</w:t>
            </w:r>
            <w:r>
              <w:rPr>
                <w:rFonts w:hint="eastAsia" w:ascii="宋体" w:hAnsi="宋体" w:cs="宋体"/>
                <w:sz w:val="24"/>
                <w:szCs w:val="24"/>
                <w:lang w:val="en-US" w:eastAsia="zh-CN"/>
              </w:rPr>
              <w:t>人民币贰拾玖万伍仟元整</w:t>
            </w:r>
            <w:r>
              <w:rPr>
                <w:rFonts w:hint="eastAsia" w:ascii="宋体" w:hAnsi="宋体" w:eastAsia="宋体" w:cs="宋体"/>
                <w:sz w:val="24"/>
                <w:szCs w:val="24"/>
                <w:lang w:val="zh-CN"/>
              </w:rPr>
              <w:t>（￥</w:t>
            </w:r>
            <w:r>
              <w:rPr>
                <w:rFonts w:hint="eastAsia" w:ascii="宋体" w:hAnsi="宋体" w:cs="宋体"/>
                <w:sz w:val="24"/>
                <w:szCs w:val="24"/>
                <w:lang w:val="en-US" w:eastAsia="zh-CN"/>
              </w:rPr>
              <w:t>295000</w:t>
            </w:r>
            <w:r>
              <w:rPr>
                <w:rFonts w:hint="eastAsia" w:ascii="宋体" w:hAnsi="宋体" w:eastAsia="宋体" w:cs="宋体"/>
                <w:sz w:val="24"/>
                <w:szCs w:val="24"/>
                <w:lang w:val="en-US" w:eastAsia="zh-CN"/>
              </w:rPr>
              <w:t>.00）</w:t>
            </w:r>
            <w:r>
              <w:rPr>
                <w:rFonts w:hint="eastAsia" w:ascii="宋体" w:hAnsi="宋体" w:cs="宋体"/>
                <w:sz w:val="24"/>
                <w:szCs w:val="24"/>
                <w:lang w:val="zh-CN"/>
              </w:rPr>
              <w:t>，任何超过最高限价的报价将被认定为无效报价。（投标报价包含材料、货物运输、配送、验收、送检费、安装、调试、培训、售后服务等一切费用）。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b/>
                <w:szCs w:val="24"/>
              </w:rPr>
              <w:t>5</w:t>
            </w:r>
          </w:p>
        </w:tc>
        <w:tc>
          <w:tcPr>
            <w:tcW w:w="1776"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szCs w:val="24"/>
              </w:rPr>
            </w:pPr>
            <w:r>
              <w:rPr>
                <w:rFonts w:hint="eastAsia" w:ascii="宋体" w:hAnsi="宋体" w:cs="宋体"/>
                <w:szCs w:val="24"/>
              </w:rPr>
              <w:t>投标人（供应商）资格要求</w:t>
            </w:r>
          </w:p>
        </w:tc>
        <w:tc>
          <w:tcPr>
            <w:tcW w:w="75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b/>
                <w:szCs w:val="24"/>
              </w:rPr>
              <w:t>6</w:t>
            </w:r>
          </w:p>
        </w:tc>
        <w:tc>
          <w:tcPr>
            <w:tcW w:w="1776"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szCs w:val="24"/>
              </w:rPr>
              <w:t>是否接受联合体投标</w:t>
            </w:r>
          </w:p>
        </w:tc>
        <w:tc>
          <w:tcPr>
            <w:tcW w:w="7589" w:type="dxa"/>
            <w:tcBorders>
              <w:top w:val="single" w:color="auto" w:sz="4" w:space="0"/>
              <w:left w:val="single" w:color="auto" w:sz="4" w:space="0"/>
              <w:bottom w:val="single" w:color="auto" w:sz="4" w:space="0"/>
              <w:right w:val="single" w:color="auto" w:sz="4" w:space="0"/>
            </w:tcBorders>
            <w:vAlign w:val="center"/>
          </w:tcPr>
          <w:p>
            <w:pPr>
              <w:pStyle w:val="16"/>
              <w:rPr>
                <w:rFonts w:ascii="宋体" w:hAnsi="宋体" w:cs="宋体"/>
                <w:szCs w:val="24"/>
              </w:rPr>
            </w:pPr>
            <w:r>
              <w:rPr>
                <w:rFonts w:hint="eastAsia" w:ascii="宋体" w:hAnsi="宋体" w:cs="宋体"/>
                <w:szCs w:val="24"/>
              </w:rPr>
              <w:t>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b/>
                <w:szCs w:val="24"/>
              </w:rPr>
              <w:t>7</w:t>
            </w:r>
          </w:p>
        </w:tc>
        <w:tc>
          <w:tcPr>
            <w:tcW w:w="1776"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szCs w:val="24"/>
              </w:rPr>
            </w:pPr>
            <w:r>
              <w:rPr>
                <w:rFonts w:hint="eastAsia" w:ascii="宋体" w:hAnsi="宋体" w:cs="宋体"/>
                <w:szCs w:val="24"/>
              </w:rPr>
              <w:t>标的划分</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 w:val="24"/>
                <w:szCs w:val="24"/>
              </w:rPr>
            </w:pPr>
            <w:r>
              <w:rPr>
                <w:rFonts w:hint="eastAsia" w:ascii="宋体" w:hAnsi="宋体" w:cs="宋体"/>
                <w:color w:val="auto"/>
                <w:sz w:val="24"/>
                <w:szCs w:val="24"/>
              </w:rPr>
              <w:t>本次招标共</w:t>
            </w:r>
            <w:r>
              <w:rPr>
                <w:rFonts w:hint="eastAsia" w:ascii="宋体" w:hAnsi="宋体" w:cs="宋体"/>
                <w:b/>
                <w:bCs/>
                <w:color w:val="auto"/>
                <w:sz w:val="24"/>
                <w:szCs w:val="24"/>
                <w:u w:val="single"/>
              </w:rPr>
              <w:t>1</w:t>
            </w:r>
            <w:r>
              <w:rPr>
                <w:rFonts w:hint="eastAsia" w:ascii="宋体" w:hAnsi="宋体" w:cs="宋体"/>
                <w:color w:val="auto"/>
                <w:sz w:val="24"/>
                <w:szCs w:val="24"/>
              </w:rPr>
              <w:t>个标的，采购人将整体择定中标人。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b/>
                <w:szCs w:val="24"/>
              </w:rPr>
              <w:t>8</w:t>
            </w:r>
          </w:p>
        </w:tc>
        <w:tc>
          <w:tcPr>
            <w:tcW w:w="1776"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szCs w:val="24"/>
              </w:rPr>
            </w:pPr>
            <w:r>
              <w:rPr>
                <w:rFonts w:hint="eastAsia" w:ascii="宋体" w:hAnsi="宋体" w:cs="宋体"/>
                <w:szCs w:val="24"/>
              </w:rPr>
              <w:t>资格审查</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 w:val="24"/>
                <w:szCs w:val="24"/>
              </w:rPr>
            </w:pPr>
            <w:r>
              <w:rPr>
                <w:rFonts w:ascii="宋体" w:hAnsi="宋体"/>
                <w:color w:val="auto"/>
                <w:sz w:val="24"/>
                <w:szCs w:val="24"/>
              </w:rPr>
              <w:t>供应商资格采用资格后审方式</w:t>
            </w:r>
            <w:r>
              <w:rPr>
                <w:rFonts w:hint="eastAsia" w:ascii="宋体" w:hAnsi="宋体"/>
                <w:color w:val="auto"/>
                <w:sz w:val="24"/>
                <w:szCs w:val="24"/>
              </w:rPr>
              <w:t>，依据法律、法规和招标文件规定，采购人或委托采购代理机构对投标人进行资格审查，以确定投标人是否具备投标资格。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704" w:type="dxa"/>
            <w:tcBorders>
              <w:top w:val="single" w:color="auto" w:sz="4" w:space="0"/>
              <w:left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b/>
                <w:szCs w:val="24"/>
              </w:rPr>
              <w:t>9</w:t>
            </w:r>
          </w:p>
        </w:tc>
        <w:tc>
          <w:tcPr>
            <w:tcW w:w="1776" w:type="dxa"/>
            <w:tcBorders>
              <w:top w:val="single" w:color="auto" w:sz="4" w:space="0"/>
              <w:left w:val="single" w:color="auto" w:sz="4" w:space="0"/>
              <w:right w:val="single" w:color="auto" w:sz="4" w:space="0"/>
            </w:tcBorders>
            <w:vAlign w:val="center"/>
          </w:tcPr>
          <w:p>
            <w:pPr>
              <w:pStyle w:val="16"/>
              <w:jc w:val="center"/>
              <w:rPr>
                <w:rFonts w:ascii="宋体" w:hAnsi="宋体" w:cs="宋体"/>
                <w:szCs w:val="24"/>
              </w:rPr>
            </w:pPr>
            <w:r>
              <w:rPr>
                <w:rFonts w:hint="eastAsia" w:ascii="宋体" w:hAnsi="宋体" w:cs="宋体"/>
                <w:szCs w:val="24"/>
              </w:rPr>
              <w:t>招标文件的</w:t>
            </w:r>
          </w:p>
          <w:p>
            <w:pPr>
              <w:pStyle w:val="16"/>
              <w:jc w:val="center"/>
              <w:rPr>
                <w:rFonts w:ascii="宋体" w:hAnsi="宋体" w:cs="宋体"/>
                <w:b/>
                <w:szCs w:val="24"/>
              </w:rPr>
            </w:pPr>
            <w:r>
              <w:rPr>
                <w:rFonts w:hint="eastAsia" w:ascii="宋体" w:hAnsi="宋体" w:cs="宋体"/>
                <w:szCs w:val="24"/>
              </w:rPr>
              <w:t>获取</w:t>
            </w:r>
          </w:p>
        </w:tc>
        <w:tc>
          <w:tcPr>
            <w:tcW w:w="7589" w:type="dxa"/>
            <w:tcBorders>
              <w:top w:val="single" w:color="auto" w:sz="4" w:space="0"/>
              <w:left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b/>
                <w:szCs w:val="24"/>
              </w:rPr>
              <w:t>10</w:t>
            </w:r>
          </w:p>
        </w:tc>
        <w:tc>
          <w:tcPr>
            <w:tcW w:w="1776"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szCs w:val="24"/>
              </w:rPr>
            </w:pPr>
            <w:r>
              <w:rPr>
                <w:rFonts w:hint="eastAsia" w:ascii="宋体" w:hAnsi="宋体" w:cs="宋体"/>
                <w:szCs w:val="24"/>
              </w:rPr>
              <w:t>投标保证金</w:t>
            </w:r>
          </w:p>
        </w:tc>
        <w:tc>
          <w:tcPr>
            <w:tcW w:w="7589" w:type="dxa"/>
            <w:tcBorders>
              <w:top w:val="single" w:color="auto" w:sz="4" w:space="0"/>
              <w:left w:val="single" w:color="auto" w:sz="4" w:space="0"/>
              <w:bottom w:val="single" w:color="auto" w:sz="4" w:space="0"/>
              <w:right w:val="single" w:color="auto" w:sz="4" w:space="0"/>
            </w:tcBorders>
            <w:vAlign w:val="center"/>
          </w:tcPr>
          <w:p>
            <w:pPr>
              <w:autoSpaceDE/>
              <w:autoSpaceDN/>
              <w:adjustRightInd/>
              <w:rPr>
                <w:rFonts w:ascii="宋体" w:hAnsi="宋体" w:cs="宋体"/>
                <w:color w:val="auto"/>
                <w:sz w:val="24"/>
                <w:szCs w:val="24"/>
              </w:rPr>
            </w:pPr>
            <w:r>
              <w:rPr>
                <w:rFonts w:hint="eastAsia" w:ascii="宋体" w:hAnsi="宋体" w:cs="宋体"/>
                <w:color w:val="auto"/>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b/>
                <w:szCs w:val="24"/>
              </w:rPr>
              <w:t>11</w:t>
            </w:r>
          </w:p>
        </w:tc>
        <w:tc>
          <w:tcPr>
            <w:tcW w:w="1776"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szCs w:val="24"/>
              </w:rPr>
            </w:pPr>
            <w:r>
              <w:rPr>
                <w:rFonts w:hint="eastAsia" w:ascii="宋体" w:hAnsi="宋体" w:cs="宋体"/>
                <w:szCs w:val="24"/>
              </w:rPr>
              <w:t>资格文件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auto"/>
                <w:sz w:val="24"/>
                <w:szCs w:val="24"/>
              </w:rPr>
            </w:pPr>
            <w:r>
              <w:rPr>
                <w:rFonts w:hint="eastAsia" w:ascii="宋体" w:hAnsi="宋体" w:cs="宋体"/>
                <w:color w:val="auto"/>
                <w:sz w:val="24"/>
                <w:szCs w:val="24"/>
              </w:rPr>
              <w:t>（1）营业执照复印件（加盖单位公章）；</w:t>
            </w:r>
          </w:p>
          <w:p>
            <w:pPr>
              <w:snapToGrid w:val="0"/>
              <w:jc w:val="left"/>
              <w:rPr>
                <w:rFonts w:ascii="宋体" w:hAnsi="宋体" w:cs="宋体"/>
                <w:color w:val="auto"/>
                <w:sz w:val="24"/>
                <w:szCs w:val="24"/>
              </w:rPr>
            </w:pPr>
            <w:r>
              <w:rPr>
                <w:rFonts w:hint="eastAsia" w:ascii="宋体" w:hAnsi="宋体" w:cs="宋体"/>
                <w:color w:val="auto"/>
                <w:sz w:val="24"/>
                <w:szCs w:val="24"/>
              </w:rPr>
              <w:t>（2）法定代表人授权委托书（法定代表人亲自参加投标的，只需提供身份证复印件，格式见附件)；</w:t>
            </w:r>
          </w:p>
          <w:p>
            <w:pPr>
              <w:snapToGrid w:val="0"/>
              <w:jc w:val="left"/>
              <w:rPr>
                <w:rFonts w:ascii="宋体" w:hAnsi="宋体" w:cs="宋体"/>
                <w:color w:val="auto"/>
                <w:sz w:val="24"/>
                <w:szCs w:val="24"/>
              </w:rPr>
            </w:pPr>
            <w:r>
              <w:rPr>
                <w:rFonts w:hint="eastAsia" w:ascii="宋体" w:hAnsi="宋体" w:cs="宋体"/>
                <w:color w:val="auto"/>
                <w:sz w:val="24"/>
                <w:szCs w:val="24"/>
              </w:rPr>
              <w:t>（3）提供自招标公告发布之日起至投标截止日内任意时间的“信用中国”网站（www.creditchina.gov.cn）、中国政府采购网（www.ccgp.gov.cn）投标人信用查询网页截图。（以开标当日采购人或由采购人委托代理机构核实的查询结果为准）</w:t>
            </w:r>
          </w:p>
          <w:p>
            <w:pPr>
              <w:snapToGrid w:val="0"/>
              <w:jc w:val="left"/>
              <w:rPr>
                <w:rFonts w:ascii="宋体" w:hAnsi="宋体" w:cs="宋体"/>
                <w:color w:val="auto"/>
                <w:sz w:val="24"/>
                <w:szCs w:val="24"/>
              </w:rPr>
            </w:pPr>
            <w:r>
              <w:rPr>
                <w:rFonts w:hint="eastAsia" w:ascii="宋体" w:hAnsi="宋体" w:cs="宋体"/>
                <w:color w:val="auto"/>
                <w:sz w:val="24"/>
                <w:szCs w:val="24"/>
              </w:rPr>
              <w:t>（4）投标人注册地社保机构出具的近三个月投标人代表社会保障资金缴纳证明材料复印件（加盖单位公章），且该资金必须由投标人缴纳，法定代表人亲自参加投标的只需要提供身份证复印件（加盖单位公章）。</w:t>
            </w:r>
          </w:p>
          <w:p>
            <w:pPr>
              <w:snapToGrid w:val="0"/>
              <w:jc w:val="left"/>
              <w:rPr>
                <w:rFonts w:ascii="宋体" w:hAnsi="宋体" w:cs="宋体"/>
                <w:color w:val="auto"/>
                <w:sz w:val="24"/>
                <w:szCs w:val="24"/>
              </w:rPr>
            </w:pPr>
            <w:r>
              <w:rPr>
                <w:rFonts w:hint="eastAsia" w:ascii="宋体" w:hAnsi="宋体" w:cs="宋体"/>
                <w:color w:val="auto"/>
                <w:sz w:val="24"/>
                <w:szCs w:val="24"/>
              </w:rPr>
              <w:t>（5）联合投标协议书（若需要）；</w:t>
            </w:r>
          </w:p>
          <w:p>
            <w:pPr>
              <w:snapToGrid w:val="0"/>
              <w:jc w:val="left"/>
              <w:rPr>
                <w:rFonts w:ascii="宋体" w:hAnsi="宋体" w:cs="宋体"/>
                <w:color w:val="auto"/>
                <w:sz w:val="24"/>
                <w:szCs w:val="24"/>
              </w:rPr>
            </w:pPr>
            <w:r>
              <w:rPr>
                <w:rFonts w:hint="eastAsia" w:ascii="宋体" w:hAnsi="宋体" w:cs="宋体"/>
                <w:color w:val="auto"/>
                <w:sz w:val="24"/>
                <w:szCs w:val="24"/>
              </w:rPr>
              <w:t>（6）联合投标授权委托书（若需要）；</w:t>
            </w:r>
          </w:p>
          <w:p>
            <w:pPr>
              <w:snapToGrid w:val="0"/>
              <w:jc w:val="left"/>
              <w:rPr>
                <w:rFonts w:ascii="宋体" w:hAnsi="宋体" w:cs="宋体"/>
                <w:color w:val="auto"/>
                <w:sz w:val="24"/>
                <w:szCs w:val="24"/>
              </w:rPr>
            </w:pPr>
            <w:r>
              <w:rPr>
                <w:rFonts w:hint="eastAsia" w:ascii="宋体" w:hAnsi="宋体" w:cs="宋体"/>
                <w:color w:val="auto"/>
                <w:sz w:val="24"/>
                <w:szCs w:val="24"/>
              </w:rPr>
              <w:t>（7）其他资格证书。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b/>
                <w:szCs w:val="24"/>
              </w:rPr>
              <w:t>12</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rPr>
            </w:pPr>
            <w:r>
              <w:rPr>
                <w:rFonts w:hint="eastAsia" w:ascii="宋体" w:hAnsi="宋体" w:cs="宋体"/>
                <w:color w:val="auto"/>
                <w:sz w:val="24"/>
                <w:szCs w:val="24"/>
              </w:rPr>
              <w:t>商务技术文件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auto"/>
                <w:sz w:val="24"/>
                <w:szCs w:val="24"/>
              </w:rPr>
            </w:pPr>
            <w:r>
              <w:rPr>
                <w:rFonts w:hint="eastAsia" w:ascii="宋体" w:hAnsi="宋体" w:cs="宋体"/>
                <w:color w:val="auto"/>
                <w:sz w:val="24"/>
                <w:szCs w:val="24"/>
              </w:rPr>
              <w:t>（1）投标人情况介绍；</w:t>
            </w:r>
          </w:p>
          <w:p>
            <w:pPr>
              <w:snapToGrid w:val="0"/>
              <w:jc w:val="left"/>
              <w:rPr>
                <w:rFonts w:ascii="宋体" w:hAnsi="宋体" w:cs="宋体"/>
                <w:color w:val="auto"/>
                <w:sz w:val="24"/>
                <w:szCs w:val="24"/>
              </w:rPr>
            </w:pPr>
            <w:r>
              <w:rPr>
                <w:rFonts w:hint="eastAsia" w:ascii="宋体" w:hAnsi="宋体" w:cs="宋体"/>
                <w:color w:val="auto"/>
                <w:sz w:val="24"/>
                <w:szCs w:val="24"/>
              </w:rPr>
              <w:t>（2）相关资质证明或文件复印件（如有，加盖单位公章）；</w:t>
            </w:r>
          </w:p>
          <w:p>
            <w:pPr>
              <w:snapToGrid w:val="0"/>
              <w:jc w:val="left"/>
              <w:rPr>
                <w:rFonts w:ascii="宋体" w:hAnsi="宋体" w:cs="宋体"/>
                <w:color w:val="auto"/>
                <w:sz w:val="24"/>
                <w:szCs w:val="24"/>
              </w:rPr>
            </w:pPr>
            <w:r>
              <w:rPr>
                <w:rFonts w:hint="eastAsia" w:ascii="宋体" w:hAnsi="宋体" w:cs="宋体"/>
                <w:color w:val="auto"/>
                <w:sz w:val="24"/>
                <w:szCs w:val="24"/>
              </w:rPr>
              <w:t>（3）成功案例和业绩证明（如有）；</w:t>
            </w:r>
          </w:p>
          <w:p>
            <w:pPr>
              <w:snapToGrid w:val="0"/>
              <w:jc w:val="left"/>
              <w:rPr>
                <w:rFonts w:ascii="宋体" w:hAnsi="宋体" w:cs="宋体"/>
                <w:color w:val="auto"/>
                <w:sz w:val="24"/>
                <w:szCs w:val="24"/>
              </w:rPr>
            </w:pPr>
            <w:r>
              <w:rPr>
                <w:rFonts w:hint="eastAsia" w:ascii="宋体" w:hAnsi="宋体" w:cs="宋体"/>
                <w:color w:val="auto"/>
                <w:sz w:val="24"/>
                <w:szCs w:val="24"/>
              </w:rPr>
              <w:t>（4）对本项目总体要求的理解（如需要）；</w:t>
            </w:r>
          </w:p>
          <w:p>
            <w:pPr>
              <w:snapToGrid w:val="0"/>
              <w:jc w:val="left"/>
              <w:rPr>
                <w:rFonts w:ascii="宋体" w:hAnsi="宋体" w:cs="宋体"/>
                <w:color w:val="auto"/>
                <w:sz w:val="24"/>
                <w:szCs w:val="24"/>
              </w:rPr>
            </w:pPr>
            <w:r>
              <w:rPr>
                <w:rFonts w:hint="eastAsia" w:ascii="宋体" w:hAnsi="宋体" w:cs="宋体"/>
                <w:color w:val="auto"/>
                <w:sz w:val="24"/>
                <w:szCs w:val="24"/>
              </w:rPr>
              <w:t>（5）投标详细配置清单和技术偏离表；</w:t>
            </w:r>
          </w:p>
          <w:p>
            <w:pPr>
              <w:tabs>
                <w:tab w:val="left" w:pos="3870"/>
                <w:tab w:val="left" w:pos="4085"/>
              </w:tabs>
              <w:snapToGrid w:val="0"/>
              <w:jc w:val="left"/>
              <w:rPr>
                <w:rFonts w:ascii="宋体" w:hAnsi="宋体" w:cs="宋体"/>
                <w:color w:val="auto"/>
                <w:sz w:val="24"/>
                <w:szCs w:val="24"/>
              </w:rPr>
            </w:pPr>
            <w:r>
              <w:rPr>
                <w:rFonts w:hint="eastAsia" w:ascii="宋体" w:hAnsi="宋体" w:cs="宋体"/>
                <w:color w:val="auto"/>
                <w:sz w:val="24"/>
                <w:szCs w:val="24"/>
              </w:rPr>
              <w:t>（6）招标文件标明的影响投标人资格的其他证明文件（如售后服务承诺，本地化服务能力证明）；</w:t>
            </w:r>
          </w:p>
          <w:p>
            <w:pPr>
              <w:snapToGrid w:val="0"/>
              <w:jc w:val="left"/>
              <w:rPr>
                <w:rFonts w:ascii="宋体" w:hAnsi="宋体" w:cs="宋体"/>
                <w:color w:val="auto"/>
                <w:sz w:val="24"/>
                <w:szCs w:val="24"/>
              </w:rPr>
            </w:pPr>
            <w:r>
              <w:rPr>
                <w:rFonts w:hint="eastAsia" w:ascii="宋体" w:hAnsi="宋体" w:cs="宋体"/>
                <w:color w:val="auto"/>
                <w:sz w:val="24"/>
                <w:szCs w:val="24"/>
              </w:rPr>
              <w:t>（7）保证项目质量的技术力量及技术措施（如需要）；</w:t>
            </w:r>
          </w:p>
          <w:p>
            <w:pPr>
              <w:snapToGrid w:val="0"/>
              <w:jc w:val="left"/>
              <w:rPr>
                <w:rFonts w:ascii="宋体" w:hAnsi="宋体" w:cs="宋体"/>
                <w:color w:val="auto"/>
                <w:sz w:val="24"/>
                <w:szCs w:val="24"/>
              </w:rPr>
            </w:pPr>
            <w:r>
              <w:rPr>
                <w:rFonts w:hint="eastAsia" w:ascii="宋体" w:hAnsi="宋体" w:cs="宋体"/>
                <w:color w:val="auto"/>
                <w:sz w:val="24"/>
                <w:szCs w:val="24"/>
              </w:rPr>
              <w:t>（8）投标人建议的项目实施、验收方法或方案（如需要）；</w:t>
            </w:r>
          </w:p>
          <w:p>
            <w:pPr>
              <w:snapToGrid w:val="0"/>
              <w:jc w:val="left"/>
              <w:rPr>
                <w:rFonts w:ascii="宋体" w:hAnsi="宋体" w:cs="宋体"/>
                <w:color w:val="auto"/>
                <w:sz w:val="24"/>
                <w:szCs w:val="24"/>
              </w:rPr>
            </w:pPr>
            <w:r>
              <w:rPr>
                <w:rFonts w:hint="eastAsia" w:ascii="宋体" w:hAnsi="宋体" w:cs="宋体"/>
                <w:color w:val="auto"/>
                <w:sz w:val="24"/>
                <w:szCs w:val="24"/>
              </w:rPr>
              <w:t>（9）技术服务、技术培训内容和措施（如需要）；</w:t>
            </w:r>
          </w:p>
          <w:p>
            <w:pPr>
              <w:snapToGrid w:val="0"/>
              <w:jc w:val="left"/>
              <w:rPr>
                <w:rFonts w:ascii="宋体" w:hAnsi="宋体" w:cs="宋体"/>
                <w:color w:val="auto"/>
                <w:sz w:val="24"/>
                <w:szCs w:val="24"/>
              </w:rPr>
            </w:pPr>
            <w:r>
              <w:rPr>
                <w:rFonts w:hint="eastAsia" w:ascii="宋体" w:hAnsi="宋体" w:cs="宋体"/>
                <w:color w:val="auto"/>
                <w:sz w:val="24"/>
                <w:szCs w:val="24"/>
              </w:rPr>
              <w:t>（10）投标人需要说明的其他文件和说明。</w:t>
            </w:r>
          </w:p>
          <w:p>
            <w:pPr>
              <w:pStyle w:val="16"/>
              <w:ind w:firstLine="482" w:firstLineChars="200"/>
              <w:rPr>
                <w:rFonts w:ascii="宋体" w:hAnsi="宋体" w:cs="宋体"/>
                <w:b/>
                <w:szCs w:val="24"/>
              </w:rPr>
            </w:pPr>
            <w:r>
              <w:rPr>
                <w:rFonts w:hint="eastAsia" w:ascii="宋体" w:hAnsi="宋体"/>
                <w:b/>
                <w:szCs w:val="24"/>
              </w:rPr>
              <w:t>投标人在“技术文件资料”中应对招标文件作实质性响应，该项内容将作为评标重要指标。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b/>
                <w:szCs w:val="24"/>
              </w:rPr>
              <w:t>13</w:t>
            </w:r>
          </w:p>
        </w:tc>
        <w:tc>
          <w:tcPr>
            <w:tcW w:w="1776"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szCs w:val="24"/>
              </w:rPr>
            </w:pPr>
            <w:r>
              <w:rPr>
                <w:rFonts w:hint="eastAsia" w:ascii="宋体" w:hAnsi="宋体" w:cs="宋体"/>
                <w:szCs w:val="24"/>
              </w:rPr>
              <w:t>报价文件</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（1）投标函（格式见附件）； </w:t>
            </w:r>
          </w:p>
          <w:p>
            <w:pPr>
              <w:tabs>
                <w:tab w:val="left" w:pos="3870"/>
                <w:tab w:val="left" w:pos="4085"/>
              </w:tabs>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（2）开标一览表（格式见附件）；</w:t>
            </w:r>
          </w:p>
          <w:p>
            <w:pPr>
              <w:tabs>
                <w:tab w:val="left" w:pos="3870"/>
                <w:tab w:val="left" w:pos="4085"/>
              </w:tabs>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）投标承诺书（格式见附件）；</w:t>
            </w:r>
          </w:p>
          <w:p>
            <w:pPr>
              <w:tabs>
                <w:tab w:val="left" w:pos="3870"/>
                <w:tab w:val="left" w:pos="4085"/>
              </w:tabs>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）投标人需要说明的其他文件和说明（格式自拟）。</w:t>
            </w:r>
          </w:p>
          <w:p>
            <w:pPr>
              <w:tabs>
                <w:tab w:val="left" w:pos="3870"/>
                <w:tab w:val="left" w:pos="4085"/>
              </w:tabs>
              <w:snapToGrid w:val="0"/>
              <w:jc w:val="left"/>
              <w:rPr>
                <w:rFonts w:ascii="宋体" w:hAnsi="宋体" w:cs="宋体"/>
                <w:b/>
                <w:color w:val="auto"/>
                <w:sz w:val="24"/>
                <w:szCs w:val="24"/>
              </w:rPr>
            </w:pPr>
            <w:r>
              <w:rPr>
                <w:rFonts w:hint="eastAsia" w:ascii="宋体" w:hAnsi="宋体" w:eastAsia="宋体" w:cs="宋体"/>
                <w:color w:val="auto"/>
                <w:sz w:val="24"/>
                <w:szCs w:val="24"/>
              </w:rPr>
              <w:t>注：投标函、开标一览表必须加盖单位公章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b/>
                <w:szCs w:val="24"/>
              </w:rPr>
              <w:t>14</w:t>
            </w:r>
          </w:p>
        </w:tc>
        <w:tc>
          <w:tcPr>
            <w:tcW w:w="1776"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szCs w:val="24"/>
              </w:rPr>
            </w:pPr>
            <w:r>
              <w:rPr>
                <w:rFonts w:hint="eastAsia" w:ascii="宋体" w:hAnsi="宋体" w:cs="宋体"/>
                <w:szCs w:val="24"/>
              </w:rPr>
              <w:t>现场演示</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cs="宋体"/>
                <w:color w:val="auto"/>
                <w:sz w:val="24"/>
                <w:szCs w:val="24"/>
              </w:rPr>
            </w:pPr>
            <w:r>
              <w:rPr>
                <w:rFonts w:hint="eastAsia" w:ascii="宋体" w:hAnsi="宋体" w:cs="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b/>
                <w:szCs w:val="24"/>
              </w:rPr>
              <w:t>15</w:t>
            </w:r>
          </w:p>
        </w:tc>
        <w:tc>
          <w:tcPr>
            <w:tcW w:w="1776"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szCs w:val="24"/>
              </w:rPr>
            </w:pPr>
            <w:r>
              <w:rPr>
                <w:rFonts w:hint="eastAsia" w:ascii="宋体" w:hAnsi="宋体" w:cs="宋体"/>
                <w:szCs w:val="24"/>
              </w:rPr>
              <w:t>投标样品</w:t>
            </w:r>
          </w:p>
        </w:tc>
        <w:tc>
          <w:tcPr>
            <w:tcW w:w="75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b/>
                <w:szCs w:val="24"/>
              </w:rPr>
              <w:t>16</w:t>
            </w:r>
          </w:p>
        </w:tc>
        <w:tc>
          <w:tcPr>
            <w:tcW w:w="1776"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szCs w:val="24"/>
              </w:rPr>
            </w:pPr>
            <w:r>
              <w:rPr>
                <w:rFonts w:hint="eastAsia" w:ascii="宋体" w:hAnsi="宋体" w:cs="宋体"/>
                <w:szCs w:val="24"/>
              </w:rPr>
              <w:t>投标有效期</w:t>
            </w:r>
          </w:p>
        </w:tc>
        <w:tc>
          <w:tcPr>
            <w:tcW w:w="7589" w:type="dxa"/>
            <w:tcBorders>
              <w:top w:val="single" w:color="auto" w:sz="4" w:space="0"/>
              <w:left w:val="single" w:color="auto" w:sz="4" w:space="0"/>
              <w:bottom w:val="single" w:color="auto" w:sz="4" w:space="0"/>
              <w:right w:val="single" w:color="auto" w:sz="4" w:space="0"/>
            </w:tcBorders>
            <w:vAlign w:val="center"/>
          </w:tcPr>
          <w:p>
            <w:pPr>
              <w:pStyle w:val="16"/>
              <w:rPr>
                <w:rFonts w:ascii="宋体" w:hAnsi="宋体" w:cs="宋体"/>
                <w:szCs w:val="24"/>
              </w:rPr>
            </w:pPr>
            <w:r>
              <w:rPr>
                <w:rFonts w:hint="eastAsia" w:ascii="宋体" w:hAnsi="宋体" w:cs="宋体"/>
                <w:szCs w:val="24"/>
              </w:rPr>
              <w:t>自投标截止日起90天。如采购代理机构认为必要，可延长投标有效期。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b/>
                <w:szCs w:val="24"/>
              </w:rPr>
              <w:t>17</w:t>
            </w:r>
          </w:p>
        </w:tc>
        <w:tc>
          <w:tcPr>
            <w:tcW w:w="1776"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szCs w:val="24"/>
              </w:rPr>
            </w:pPr>
            <w:r>
              <w:rPr>
                <w:rFonts w:hint="eastAsia" w:ascii="宋体" w:hAnsi="宋体" w:cs="宋体"/>
                <w:szCs w:val="24"/>
              </w:rPr>
              <w:t>签订合同时间</w:t>
            </w:r>
          </w:p>
        </w:tc>
        <w:tc>
          <w:tcPr>
            <w:tcW w:w="7589" w:type="dxa"/>
            <w:tcBorders>
              <w:top w:val="single" w:color="auto" w:sz="4" w:space="0"/>
              <w:left w:val="single" w:color="auto" w:sz="4" w:space="0"/>
              <w:bottom w:val="single" w:color="auto" w:sz="4" w:space="0"/>
              <w:right w:val="single" w:color="auto" w:sz="4" w:space="0"/>
            </w:tcBorders>
            <w:vAlign w:val="center"/>
          </w:tcPr>
          <w:p>
            <w:pPr>
              <w:pStyle w:val="16"/>
              <w:rPr>
                <w:rFonts w:ascii="宋体" w:hAnsi="宋体" w:cs="宋体"/>
                <w:szCs w:val="24"/>
              </w:rPr>
            </w:pPr>
            <w:r>
              <w:rPr>
                <w:rFonts w:hint="eastAsia" w:ascii="宋体" w:hAnsi="宋体" w:cs="宋体"/>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b/>
                <w:szCs w:val="24"/>
              </w:rPr>
              <w:t>18</w:t>
            </w:r>
          </w:p>
        </w:tc>
        <w:tc>
          <w:tcPr>
            <w:tcW w:w="1776"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szCs w:val="24"/>
              </w:rPr>
              <w:t>转包与分包</w:t>
            </w:r>
          </w:p>
        </w:tc>
        <w:tc>
          <w:tcPr>
            <w:tcW w:w="7589" w:type="dxa"/>
            <w:tcBorders>
              <w:top w:val="single" w:color="auto" w:sz="4" w:space="0"/>
              <w:left w:val="single" w:color="auto" w:sz="4" w:space="0"/>
              <w:bottom w:val="single" w:color="auto" w:sz="4" w:space="0"/>
              <w:right w:val="single" w:color="auto" w:sz="4" w:space="0"/>
            </w:tcBorders>
            <w:vAlign w:val="center"/>
          </w:tcPr>
          <w:p>
            <w:pPr>
              <w:pStyle w:val="16"/>
              <w:rPr>
                <w:rFonts w:ascii="宋体" w:hAnsi="宋体" w:cs="宋体"/>
                <w:szCs w:val="24"/>
              </w:rPr>
            </w:pPr>
            <w:r>
              <w:rPr>
                <w:rFonts w:hint="eastAsia" w:ascii="宋体" w:hAnsi="宋体" w:cs="宋体"/>
                <w:szCs w:val="24"/>
              </w:rPr>
              <w:t>本项目不允许转包和分包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b/>
                <w:szCs w:val="24"/>
              </w:rPr>
              <w:t>19</w:t>
            </w:r>
          </w:p>
        </w:tc>
        <w:tc>
          <w:tcPr>
            <w:tcW w:w="1776"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szCs w:val="24"/>
              </w:rPr>
            </w:pPr>
            <w:r>
              <w:rPr>
                <w:rFonts w:hint="eastAsia" w:ascii="宋体" w:hAnsi="宋体" w:cs="宋体"/>
                <w:szCs w:val="24"/>
              </w:rPr>
              <w:t>履约保证金</w:t>
            </w:r>
          </w:p>
        </w:tc>
        <w:tc>
          <w:tcPr>
            <w:tcW w:w="7589" w:type="dxa"/>
            <w:tcBorders>
              <w:top w:val="single" w:color="auto" w:sz="4" w:space="0"/>
              <w:left w:val="single" w:color="auto" w:sz="4" w:space="0"/>
              <w:bottom w:val="single" w:color="auto" w:sz="4" w:space="0"/>
              <w:right w:val="single" w:color="auto" w:sz="4" w:space="0"/>
            </w:tcBorders>
            <w:vAlign w:val="center"/>
          </w:tcPr>
          <w:p>
            <w:pPr>
              <w:pStyle w:val="16"/>
              <w:rPr>
                <w:rFonts w:ascii="宋体" w:hAnsi="宋体" w:cs="宋体"/>
                <w:szCs w:val="24"/>
              </w:rPr>
            </w:pPr>
            <w:r>
              <w:rPr>
                <w:rFonts w:hint="eastAsia" w:ascii="宋体" w:hAnsi="宋体" w:cs="宋体"/>
                <w:szCs w:val="24"/>
              </w:rPr>
              <w:t>详见招标文件采购需求。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b/>
                <w:szCs w:val="24"/>
              </w:rPr>
              <w:t>20</w:t>
            </w:r>
          </w:p>
        </w:tc>
        <w:tc>
          <w:tcPr>
            <w:tcW w:w="1776"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szCs w:val="24"/>
              </w:rPr>
            </w:pPr>
            <w:r>
              <w:rPr>
                <w:rFonts w:hint="eastAsia" w:ascii="宋体" w:hAnsi="宋体" w:cs="宋体"/>
                <w:szCs w:val="24"/>
              </w:rPr>
              <w:t>投标文件递交截止时间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kern w:val="2"/>
                <w:sz w:val="24"/>
                <w:szCs w:val="24"/>
                <w:lang w:eastAsia="zh-CN"/>
              </w:rPr>
            </w:pPr>
            <w:r>
              <w:rPr>
                <w:rFonts w:hint="eastAsia" w:ascii="宋体" w:hAnsi="宋体" w:cs="宋体"/>
                <w:color w:val="auto"/>
                <w:sz w:val="24"/>
                <w:szCs w:val="24"/>
                <w:lang w:eastAsia="zh-CN"/>
              </w:rPr>
              <w:t>2022年07月05日14:30时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b/>
                <w:szCs w:val="24"/>
              </w:rPr>
              <w:t>21</w:t>
            </w:r>
          </w:p>
        </w:tc>
        <w:tc>
          <w:tcPr>
            <w:tcW w:w="1776"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szCs w:val="24"/>
              </w:rPr>
            </w:pPr>
            <w:r>
              <w:rPr>
                <w:rFonts w:hint="eastAsia" w:ascii="宋体" w:hAnsi="宋体" w:cs="宋体"/>
                <w:szCs w:val="24"/>
              </w:rPr>
              <w:t>投标文件递交地点</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kern w:val="2"/>
                <w:sz w:val="24"/>
                <w:szCs w:val="24"/>
              </w:rPr>
            </w:pPr>
            <w:r>
              <w:rPr>
                <w:rFonts w:hint="eastAsia" w:ascii="宋体" w:hAnsi="宋体" w:cs="宋体"/>
                <w:color w:val="auto"/>
                <w:kern w:val="2"/>
                <w:sz w:val="24"/>
                <w:szCs w:val="24"/>
              </w:rPr>
              <w:t>政采云平台（https://www.zcygov.cn/）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b/>
                <w:szCs w:val="24"/>
              </w:rPr>
              <w:t>22</w:t>
            </w:r>
          </w:p>
        </w:tc>
        <w:tc>
          <w:tcPr>
            <w:tcW w:w="1776"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szCs w:val="24"/>
              </w:rPr>
            </w:pPr>
            <w:r>
              <w:rPr>
                <w:rFonts w:hint="eastAsia" w:ascii="宋体" w:hAnsi="宋体" w:cs="宋体"/>
                <w:szCs w:val="24"/>
              </w:rPr>
              <w:t>开标时间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kern w:val="2"/>
                <w:sz w:val="24"/>
                <w:szCs w:val="24"/>
                <w:lang w:eastAsia="zh-CN"/>
              </w:rPr>
            </w:pPr>
            <w:r>
              <w:rPr>
                <w:rFonts w:hint="eastAsia" w:ascii="宋体" w:hAnsi="宋体" w:cs="宋体"/>
                <w:color w:val="auto"/>
                <w:sz w:val="24"/>
                <w:szCs w:val="24"/>
                <w:lang w:eastAsia="zh-CN"/>
              </w:rPr>
              <w:t>2022年07月05日14:30时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b/>
                <w:szCs w:val="24"/>
              </w:rPr>
              <w:t>23</w:t>
            </w:r>
          </w:p>
        </w:tc>
        <w:tc>
          <w:tcPr>
            <w:tcW w:w="1776"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szCs w:val="24"/>
              </w:rPr>
            </w:pPr>
            <w:r>
              <w:rPr>
                <w:rFonts w:hint="eastAsia" w:ascii="宋体" w:hAnsi="宋体" w:cs="宋体"/>
                <w:szCs w:val="24"/>
              </w:rPr>
              <w:t>开标地点</w:t>
            </w:r>
          </w:p>
        </w:tc>
        <w:tc>
          <w:tcPr>
            <w:tcW w:w="7589" w:type="dxa"/>
            <w:tcBorders>
              <w:top w:val="single" w:color="auto" w:sz="4" w:space="0"/>
              <w:left w:val="single" w:color="auto" w:sz="4" w:space="0"/>
              <w:bottom w:val="single" w:color="auto" w:sz="4" w:space="0"/>
              <w:right w:val="single" w:color="auto" w:sz="4" w:space="0"/>
            </w:tcBorders>
            <w:vAlign w:val="center"/>
          </w:tcPr>
          <w:p>
            <w:pPr>
              <w:pStyle w:val="22"/>
              <w:spacing w:before="0" w:beforeAutospacing="0" w:after="0" w:afterAutospacing="0"/>
              <w:rPr>
                <w:kern w:val="2"/>
              </w:rPr>
            </w:pPr>
            <w:r>
              <w:rPr>
                <w:rFonts w:hint="eastAsia"/>
                <w:kern w:val="2"/>
              </w:rPr>
              <w:t>诸暨市环城北路1号时代商务中心B2幢</w:t>
            </w:r>
            <w:r>
              <w:rPr>
                <w:rFonts w:hint="eastAsia"/>
                <w:kern w:val="2"/>
                <w:lang w:eastAsia="zh-CN"/>
              </w:rPr>
              <w:t>3楼</w:t>
            </w:r>
            <w:r>
              <w:rPr>
                <w:rFonts w:hint="eastAsia"/>
                <w:kern w:val="2"/>
              </w:rPr>
              <w:t>诸暨市广顺工程管理服务有限公司评标室（本项目通过“政府采购云平台（www.zcygov.cn）”实行在线开标）。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b/>
                <w:szCs w:val="24"/>
              </w:rPr>
              <w:t>24</w:t>
            </w:r>
          </w:p>
        </w:tc>
        <w:tc>
          <w:tcPr>
            <w:tcW w:w="1776"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
                <w:szCs w:val="24"/>
              </w:rPr>
            </w:pPr>
            <w:r>
              <w:rPr>
                <w:rFonts w:hint="eastAsia" w:ascii="宋体" w:hAnsi="宋体" w:cs="宋体"/>
                <w:szCs w:val="24"/>
              </w:rPr>
              <w:t>质疑与答疑时间</w:t>
            </w:r>
          </w:p>
        </w:tc>
        <w:tc>
          <w:tcPr>
            <w:tcW w:w="7589" w:type="dxa"/>
            <w:tcBorders>
              <w:top w:val="single" w:color="auto" w:sz="4" w:space="0"/>
              <w:left w:val="single" w:color="auto" w:sz="4" w:space="0"/>
              <w:bottom w:val="single" w:color="auto" w:sz="4" w:space="0"/>
              <w:right w:val="single" w:color="auto" w:sz="4" w:space="0"/>
            </w:tcBorders>
            <w:vAlign w:val="center"/>
          </w:tcPr>
          <w:p>
            <w:pPr>
              <w:pStyle w:val="16"/>
              <w:rPr>
                <w:rFonts w:ascii="宋体" w:hAnsi="宋体" w:cs="宋体"/>
                <w:szCs w:val="24"/>
              </w:rPr>
            </w:pPr>
            <w:r>
              <w:rPr>
                <w:rStyle w:val="29"/>
                <w:rFonts w:hint="eastAsia" w:ascii="宋体" w:hAnsi="宋体" w:cs="宋体"/>
                <w:b w:val="0"/>
                <w:szCs w:val="24"/>
                <w:shd w:val="clear" w:color="auto" w:fill="FFFFFF"/>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r>
              <w:rPr>
                <w:rFonts w:hint="eastAsia" w:ascii="宋体" w:hAnsi="宋体" w:cs="宋体"/>
                <w:szCs w:val="24"/>
              </w:rPr>
              <w:t>，逾期提出的，采购代理机构不予受理、答复。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Cs/>
                <w:szCs w:val="24"/>
              </w:rPr>
            </w:pPr>
            <w:r>
              <w:rPr>
                <w:rFonts w:hint="eastAsia" w:ascii="宋体" w:hAnsi="宋体" w:cs="宋体"/>
                <w:b/>
                <w:szCs w:val="24"/>
              </w:rPr>
              <w:t>25</w:t>
            </w:r>
          </w:p>
        </w:tc>
        <w:tc>
          <w:tcPr>
            <w:tcW w:w="1776" w:type="dxa"/>
            <w:tcBorders>
              <w:top w:val="single" w:color="auto" w:sz="4" w:space="0"/>
              <w:left w:val="single" w:color="auto" w:sz="4" w:space="0"/>
              <w:bottom w:val="single" w:color="auto" w:sz="4" w:space="0"/>
              <w:right w:val="single" w:color="auto" w:sz="4" w:space="0"/>
            </w:tcBorders>
            <w:vAlign w:val="center"/>
          </w:tcPr>
          <w:p>
            <w:pPr>
              <w:pStyle w:val="16"/>
              <w:jc w:val="center"/>
              <w:rPr>
                <w:rFonts w:ascii="宋体" w:hAnsi="宋体" w:cs="宋体"/>
                <w:bCs/>
                <w:szCs w:val="24"/>
              </w:rPr>
            </w:pPr>
            <w:r>
              <w:rPr>
                <w:rFonts w:hint="eastAsia" w:ascii="宋体" w:hAnsi="宋体" w:cs="宋体"/>
                <w:bCs/>
                <w:szCs w:val="24"/>
              </w:rPr>
              <w:t>其他</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 w:val="24"/>
                <w:szCs w:val="24"/>
              </w:rPr>
            </w:pPr>
            <w:r>
              <w:rPr>
                <w:rFonts w:hint="eastAsia" w:ascii="宋体" w:hAnsi="宋体" w:cs="宋体"/>
                <w:color w:val="auto"/>
                <w:sz w:val="24"/>
                <w:szCs w:val="24"/>
              </w:rPr>
              <w:t>特别提醒：</w:t>
            </w:r>
          </w:p>
          <w:p>
            <w:pPr>
              <w:snapToGrid w:val="0"/>
              <w:rPr>
                <w:rFonts w:hint="default" w:ascii="宋体" w:hAnsi="宋体" w:cs="宋体"/>
                <w:color w:val="auto"/>
                <w:sz w:val="24"/>
                <w:szCs w:val="24"/>
                <w:lang w:val="en-US" w:eastAsia="zh-CN"/>
              </w:rPr>
            </w:pPr>
            <w:r>
              <w:rPr>
                <w:rFonts w:hint="eastAsia" w:ascii="宋体" w:hAnsi="宋体" w:cs="宋体"/>
                <w:b/>
                <w:bCs/>
                <w:color w:val="auto"/>
                <w:sz w:val="24"/>
                <w:szCs w:val="24"/>
              </w:rPr>
              <w:t>1、本项目招标代理费由中标方支付，本项目招标代理服务费=中标金额×1.5%。收费基数为</w:t>
            </w:r>
            <w:r>
              <w:rPr>
                <w:rFonts w:hint="eastAsia" w:ascii="宋体" w:hAnsi="宋体" w:cs="宋体"/>
                <w:b/>
                <w:bCs/>
                <w:color w:val="auto"/>
                <w:sz w:val="24"/>
                <w:szCs w:val="24"/>
                <w:lang w:val="en-US" w:eastAsia="zh-CN"/>
              </w:rPr>
              <w:t>中标</w:t>
            </w:r>
            <w:r>
              <w:rPr>
                <w:rFonts w:hint="eastAsia" w:ascii="宋体" w:hAnsi="宋体" w:cs="宋体"/>
                <w:b/>
                <w:bCs/>
                <w:color w:val="auto"/>
                <w:sz w:val="24"/>
                <w:szCs w:val="24"/>
              </w:rPr>
              <w:t>总金额</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最高不超过1.5万元；</w:t>
            </w:r>
          </w:p>
          <w:p>
            <w:pPr>
              <w:snapToGrid w:val="0"/>
              <w:rPr>
                <w:rFonts w:ascii="宋体" w:hAnsi="宋体" w:cs="宋体"/>
                <w:b/>
                <w:bCs/>
                <w:color w:val="auto"/>
                <w:sz w:val="24"/>
                <w:szCs w:val="24"/>
              </w:rPr>
            </w:pPr>
            <w:r>
              <w:rPr>
                <w:rFonts w:hint="eastAsia" w:ascii="宋体" w:hAnsi="宋体" w:cs="宋体"/>
                <w:color w:val="auto"/>
                <w:sz w:val="24"/>
                <w:szCs w:val="24"/>
              </w:rPr>
              <w:t>2、以上费用由投标人在报价中一并考虑，在领取中标通知书前付清。</w:t>
            </w:r>
          </w:p>
        </w:tc>
      </w:tr>
    </w:tbl>
    <w:p>
      <w:pPr>
        <w:pStyle w:val="24"/>
        <w:ind w:firstLine="560"/>
        <w:rPr>
          <w:rFonts w:ascii="宋体" w:hAnsi="宋体" w:cs="宋体"/>
          <w:sz w:val="28"/>
          <w:szCs w:val="28"/>
        </w:rPr>
      </w:pPr>
    </w:p>
    <w:p>
      <w:pPr>
        <w:pStyle w:val="5"/>
        <w:spacing w:line="360" w:lineRule="exact"/>
        <w:jc w:val="center"/>
        <w:rPr>
          <w:rFonts w:ascii="宋体" w:hAnsi="宋体" w:eastAsia="宋体" w:cs="宋体"/>
          <w:sz w:val="28"/>
          <w:szCs w:val="28"/>
        </w:rPr>
      </w:pPr>
      <w:r>
        <w:rPr>
          <w:rFonts w:hint="eastAsia" w:ascii="宋体" w:hAnsi="宋体" w:eastAsia="宋体" w:cs="宋体"/>
          <w:sz w:val="28"/>
          <w:szCs w:val="28"/>
        </w:rPr>
        <w:br w:type="page"/>
      </w:r>
      <w:r>
        <w:rPr>
          <w:rFonts w:hint="eastAsia" w:ascii="宋体" w:hAnsi="宋体" w:eastAsia="宋体" w:cs="宋体"/>
          <w:sz w:val="28"/>
          <w:szCs w:val="28"/>
        </w:rPr>
        <w:t>一、总   则</w:t>
      </w:r>
      <w:bookmarkEnd w:id="22"/>
    </w:p>
    <w:p>
      <w:pPr>
        <w:spacing w:line="360" w:lineRule="exact"/>
        <w:ind w:firstLine="482" w:firstLineChars="200"/>
        <w:rPr>
          <w:rFonts w:ascii="宋体" w:hAnsi="宋体" w:cs="宋体"/>
          <w:color w:val="auto"/>
        </w:rPr>
      </w:pPr>
      <w:r>
        <w:rPr>
          <w:rFonts w:hint="eastAsia" w:ascii="宋体" w:hAnsi="宋体" w:cs="宋体"/>
          <w:b/>
          <w:bCs/>
          <w:color w:val="auto"/>
          <w:sz w:val="24"/>
        </w:rPr>
        <w:t>1.</w:t>
      </w:r>
      <w:r>
        <w:rPr>
          <w:rFonts w:hint="eastAsia" w:ascii="宋体" w:hAnsi="宋体" w:cs="宋体"/>
          <w:b/>
          <w:color w:val="auto"/>
          <w:sz w:val="24"/>
        </w:rPr>
        <w:t>适用范围</w:t>
      </w:r>
    </w:p>
    <w:p>
      <w:pPr>
        <w:snapToGrid w:val="0"/>
        <w:ind w:firstLine="480" w:firstLineChars="200"/>
        <w:jc w:val="left"/>
        <w:rPr>
          <w:rFonts w:ascii="宋体" w:hAnsi="宋体" w:cs="宋体"/>
          <w:color w:val="auto"/>
          <w:sz w:val="24"/>
        </w:rPr>
      </w:pPr>
      <w:r>
        <w:rPr>
          <w:rFonts w:hint="eastAsia" w:ascii="宋体" w:hAnsi="宋体" w:cs="宋体"/>
          <w:color w:val="auto"/>
          <w:sz w:val="24"/>
        </w:rPr>
        <w:t>本招标文件适用于本次所述项目的招标。</w:t>
      </w:r>
    </w:p>
    <w:p>
      <w:pPr>
        <w:snapToGrid w:val="0"/>
        <w:ind w:firstLine="472" w:firstLineChars="196"/>
        <w:jc w:val="left"/>
        <w:outlineLvl w:val="1"/>
        <w:rPr>
          <w:rFonts w:ascii="宋体" w:hAnsi="宋体" w:cs="宋体"/>
          <w:b/>
          <w:color w:val="auto"/>
          <w:sz w:val="24"/>
        </w:rPr>
      </w:pPr>
      <w:r>
        <w:rPr>
          <w:rFonts w:hint="eastAsia" w:ascii="宋体" w:hAnsi="宋体" w:cs="宋体"/>
          <w:b/>
          <w:color w:val="auto"/>
          <w:sz w:val="24"/>
        </w:rPr>
        <w:t>2.定义</w:t>
      </w:r>
    </w:p>
    <w:p>
      <w:pPr>
        <w:snapToGrid w:val="0"/>
        <w:ind w:firstLine="480" w:firstLineChars="200"/>
        <w:jc w:val="left"/>
        <w:rPr>
          <w:rFonts w:ascii="宋体" w:hAnsi="宋体" w:cs="宋体"/>
          <w:color w:val="auto"/>
          <w:sz w:val="24"/>
        </w:rPr>
      </w:pPr>
      <w:r>
        <w:rPr>
          <w:rFonts w:hint="eastAsia" w:ascii="宋体" w:hAnsi="宋体" w:cs="宋体"/>
          <w:color w:val="auto"/>
          <w:sz w:val="24"/>
        </w:rPr>
        <w:t>2.1“采购人”系指组织本次招标的采购单位。</w:t>
      </w:r>
    </w:p>
    <w:p>
      <w:pPr>
        <w:snapToGrid w:val="0"/>
        <w:ind w:firstLine="480" w:firstLineChars="200"/>
        <w:jc w:val="left"/>
        <w:rPr>
          <w:rFonts w:ascii="宋体" w:hAnsi="宋体" w:cs="宋体"/>
          <w:color w:val="auto"/>
          <w:sz w:val="24"/>
        </w:rPr>
      </w:pPr>
      <w:r>
        <w:rPr>
          <w:rFonts w:hint="eastAsia" w:ascii="宋体" w:hAnsi="宋体" w:cs="宋体"/>
          <w:color w:val="auto"/>
          <w:sz w:val="24"/>
        </w:rPr>
        <w:t>2.2“采购代理机构”系指诸暨市广顺工程管理服务有限公司。</w:t>
      </w:r>
    </w:p>
    <w:p>
      <w:pPr>
        <w:snapToGrid w:val="0"/>
        <w:ind w:firstLine="480" w:firstLineChars="200"/>
        <w:jc w:val="left"/>
        <w:rPr>
          <w:rFonts w:ascii="宋体" w:hAnsi="宋体" w:cs="宋体"/>
          <w:color w:val="auto"/>
          <w:sz w:val="24"/>
        </w:rPr>
      </w:pPr>
      <w:r>
        <w:rPr>
          <w:rFonts w:hint="eastAsia" w:ascii="宋体" w:hAnsi="宋体" w:cs="宋体"/>
          <w:color w:val="auto"/>
          <w:sz w:val="24"/>
        </w:rPr>
        <w:t>2.3“投标人”系指向采购人和采购代理机构提交投标文件的供应商。</w:t>
      </w:r>
    </w:p>
    <w:p>
      <w:pPr>
        <w:snapToGrid w:val="0"/>
        <w:ind w:firstLine="480" w:firstLineChars="200"/>
        <w:jc w:val="left"/>
        <w:rPr>
          <w:rFonts w:ascii="宋体" w:hAnsi="宋体" w:cs="宋体"/>
          <w:color w:val="auto"/>
          <w:sz w:val="24"/>
        </w:rPr>
      </w:pPr>
      <w:r>
        <w:rPr>
          <w:rFonts w:hint="eastAsia" w:ascii="宋体" w:hAnsi="宋体" w:cs="宋体"/>
          <w:color w:val="auto"/>
          <w:sz w:val="24"/>
        </w:rPr>
        <w:t>2.4“货物”系指供方按招标文件规定，须向采购人提供的一切设备、保险、税 金、备品备件、工具、手册及其它有关技术资料和材料。</w:t>
      </w:r>
    </w:p>
    <w:p>
      <w:pPr>
        <w:snapToGrid w:val="0"/>
        <w:ind w:firstLine="480" w:firstLineChars="200"/>
        <w:jc w:val="left"/>
        <w:rPr>
          <w:rFonts w:ascii="宋体" w:hAnsi="宋体" w:cs="宋体"/>
          <w:color w:val="auto"/>
          <w:sz w:val="24"/>
        </w:rPr>
      </w:pPr>
      <w:r>
        <w:rPr>
          <w:rFonts w:hint="eastAsia" w:ascii="宋体" w:hAnsi="宋体" w:cs="宋体"/>
          <w:color w:val="auto"/>
          <w:sz w:val="24"/>
        </w:rPr>
        <w:t>2.5“服务”系指招标文件规定投标人须承担的安装、调试、技术协助、校准、培训、技术指导以及其他类似的义务。</w:t>
      </w:r>
    </w:p>
    <w:p>
      <w:pPr>
        <w:snapToGrid w:val="0"/>
        <w:ind w:firstLine="480" w:firstLineChars="200"/>
        <w:jc w:val="left"/>
        <w:rPr>
          <w:rFonts w:ascii="宋体" w:hAnsi="宋体" w:cs="宋体"/>
          <w:color w:val="auto"/>
          <w:sz w:val="24"/>
        </w:rPr>
      </w:pPr>
      <w:r>
        <w:rPr>
          <w:rFonts w:hint="eastAsia" w:ascii="宋体" w:hAnsi="宋体" w:cs="宋体"/>
          <w:color w:val="auto"/>
          <w:sz w:val="24"/>
        </w:rPr>
        <w:t>2.6“项目”系指投标人按招标文件规定向采购人提供的货物和服务。</w:t>
      </w:r>
    </w:p>
    <w:p>
      <w:pPr>
        <w:snapToGrid w:val="0"/>
        <w:ind w:firstLine="480" w:firstLineChars="200"/>
        <w:jc w:val="left"/>
        <w:rPr>
          <w:rFonts w:ascii="宋体" w:hAnsi="宋体" w:cs="宋体"/>
          <w:color w:val="auto"/>
          <w:sz w:val="24"/>
        </w:rPr>
      </w:pPr>
      <w:r>
        <w:rPr>
          <w:rFonts w:hint="eastAsia" w:ascii="宋体" w:hAnsi="宋体" w:cs="宋体"/>
          <w:color w:val="auto"/>
          <w:sz w:val="24"/>
        </w:rPr>
        <w:t>2.7“书面形式”包括信函、传真、电报等。</w:t>
      </w:r>
    </w:p>
    <w:p>
      <w:pPr>
        <w:snapToGrid w:val="0"/>
        <w:ind w:firstLine="480" w:firstLineChars="200"/>
        <w:jc w:val="left"/>
        <w:rPr>
          <w:rFonts w:ascii="宋体" w:hAnsi="宋体" w:cs="宋体"/>
          <w:color w:val="auto"/>
          <w:sz w:val="24"/>
        </w:rPr>
      </w:pPr>
      <w:r>
        <w:rPr>
          <w:rFonts w:hint="eastAsia" w:ascii="宋体" w:hAnsi="宋体" w:cs="宋体"/>
          <w:color w:val="auto"/>
          <w:sz w:val="24"/>
        </w:rPr>
        <w:t>2.8本招标文件所述设备品牌、型号是结合实际现有情况的推荐性参考方案，投标方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pPr>
        <w:snapToGrid w:val="0"/>
        <w:ind w:firstLine="482" w:firstLineChars="200"/>
        <w:jc w:val="left"/>
        <w:rPr>
          <w:rFonts w:ascii="宋体" w:hAnsi="宋体" w:cs="宋体"/>
          <w:b/>
          <w:color w:val="auto"/>
          <w:sz w:val="24"/>
        </w:rPr>
      </w:pPr>
      <w:r>
        <w:rPr>
          <w:rFonts w:hint="eastAsia" w:ascii="宋体" w:hAnsi="宋体" w:cs="宋体"/>
          <w:b/>
          <w:color w:val="auto"/>
          <w:sz w:val="24"/>
        </w:rPr>
        <w:t>3.采购方式</w:t>
      </w:r>
    </w:p>
    <w:p>
      <w:pPr>
        <w:snapToGrid w:val="0"/>
        <w:ind w:firstLine="480" w:firstLineChars="200"/>
        <w:jc w:val="left"/>
        <w:rPr>
          <w:rFonts w:ascii="宋体" w:hAnsi="宋体" w:cs="宋体"/>
          <w:color w:val="auto"/>
          <w:sz w:val="24"/>
        </w:rPr>
      </w:pPr>
      <w:r>
        <w:rPr>
          <w:rFonts w:hint="eastAsia" w:ascii="宋体" w:hAnsi="宋体" w:cs="宋体"/>
          <w:color w:val="auto"/>
          <w:sz w:val="24"/>
        </w:rPr>
        <w:t>本次采购采用公开招标方式进行。</w:t>
      </w:r>
    </w:p>
    <w:p>
      <w:pPr>
        <w:snapToGrid w:val="0"/>
        <w:ind w:firstLine="472" w:firstLineChars="196"/>
        <w:jc w:val="left"/>
        <w:outlineLvl w:val="1"/>
        <w:rPr>
          <w:rFonts w:ascii="宋体" w:hAnsi="宋体" w:cs="宋体"/>
          <w:b/>
          <w:color w:val="auto"/>
          <w:sz w:val="24"/>
        </w:rPr>
      </w:pPr>
      <w:r>
        <w:rPr>
          <w:rFonts w:hint="eastAsia" w:ascii="宋体" w:hAnsi="宋体" w:cs="宋体"/>
          <w:b/>
          <w:color w:val="auto"/>
          <w:sz w:val="24"/>
        </w:rPr>
        <w:t>4.投标人及投标委托有关说明</w:t>
      </w:r>
    </w:p>
    <w:p>
      <w:pPr>
        <w:snapToGrid w:val="0"/>
        <w:ind w:firstLine="480" w:firstLineChars="200"/>
        <w:jc w:val="left"/>
        <w:rPr>
          <w:rFonts w:ascii="宋体" w:hAnsi="宋体" w:cs="宋体"/>
          <w:color w:val="auto"/>
          <w:sz w:val="24"/>
        </w:rPr>
      </w:pPr>
      <w:r>
        <w:rPr>
          <w:rFonts w:hint="eastAsia" w:ascii="宋体" w:hAnsi="宋体" w:cs="宋体"/>
          <w:color w:val="auto"/>
          <w:sz w:val="24"/>
        </w:rPr>
        <w:t>投标人代表不是法定代表人，须有法定代表人的授权委托书及投标人为其缴纳的近三个月社保证明。投标人代表是法定代表人的，只需提供法定代表人本人身份证复印件并加盖单位公章。</w:t>
      </w:r>
    </w:p>
    <w:p>
      <w:pPr>
        <w:snapToGrid w:val="0"/>
        <w:ind w:firstLine="472" w:firstLineChars="196"/>
        <w:jc w:val="left"/>
        <w:outlineLvl w:val="1"/>
        <w:rPr>
          <w:rFonts w:ascii="宋体" w:hAnsi="宋体" w:cs="宋体"/>
          <w:b/>
          <w:color w:val="auto"/>
          <w:sz w:val="24"/>
        </w:rPr>
      </w:pPr>
      <w:r>
        <w:rPr>
          <w:rFonts w:hint="eastAsia" w:ascii="宋体" w:hAnsi="宋体" w:cs="宋体"/>
          <w:b/>
          <w:color w:val="auto"/>
          <w:sz w:val="24"/>
        </w:rPr>
        <w:t>5.投标费用</w:t>
      </w:r>
    </w:p>
    <w:p>
      <w:pPr>
        <w:snapToGrid w:val="0"/>
        <w:ind w:firstLine="480" w:firstLineChars="200"/>
        <w:jc w:val="left"/>
        <w:rPr>
          <w:rFonts w:ascii="宋体" w:hAnsi="宋体" w:cs="宋体"/>
          <w:color w:val="auto"/>
          <w:sz w:val="24"/>
        </w:rPr>
      </w:pPr>
      <w:r>
        <w:rPr>
          <w:rFonts w:hint="eastAsia" w:ascii="宋体" w:hAnsi="宋体" w:cs="宋体"/>
          <w:color w:val="auto"/>
          <w:sz w:val="24"/>
        </w:rPr>
        <w:t>投标人应自行承担获得招标文件和编制、提交投标文件所涉及的一切费用。不论投标结果如何，投标人均应自行承担所有与投标有关的全部费用。对中标人收取采购代理服务费。</w:t>
      </w:r>
    </w:p>
    <w:p>
      <w:pPr>
        <w:snapToGrid w:val="0"/>
        <w:ind w:firstLine="472" w:firstLineChars="196"/>
        <w:jc w:val="left"/>
        <w:outlineLvl w:val="1"/>
        <w:rPr>
          <w:rFonts w:ascii="宋体" w:hAnsi="宋体" w:cs="宋体"/>
          <w:b/>
          <w:color w:val="auto"/>
          <w:sz w:val="24"/>
        </w:rPr>
      </w:pPr>
      <w:r>
        <w:rPr>
          <w:rFonts w:hint="eastAsia" w:ascii="宋体" w:hAnsi="宋体" w:cs="宋体"/>
          <w:b/>
          <w:color w:val="auto"/>
          <w:sz w:val="24"/>
        </w:rPr>
        <w:t>6.特别说明：</w:t>
      </w:r>
    </w:p>
    <w:p>
      <w:pPr>
        <w:pStyle w:val="16"/>
        <w:snapToGrid w:val="0"/>
        <w:ind w:firstLine="480" w:firstLineChars="200"/>
        <w:jc w:val="left"/>
        <w:rPr>
          <w:rFonts w:ascii="宋体" w:hAnsi="宋体" w:cs="宋体"/>
        </w:rPr>
      </w:pPr>
      <w:r>
        <w:rPr>
          <w:rFonts w:hint="eastAsia" w:ascii="宋体" w:hAnsi="宋体" w:cs="宋体"/>
        </w:rPr>
        <w:t>6.1投标人应仔细阅读招标文件的所有内容，按照招标文件的要求提交投标文件，并对所提供的全部资料的真实性承担法律责任。</w:t>
      </w:r>
    </w:p>
    <w:p>
      <w:pPr>
        <w:pStyle w:val="16"/>
        <w:snapToGrid w:val="0"/>
        <w:ind w:firstLine="480" w:firstLineChars="200"/>
        <w:jc w:val="left"/>
        <w:rPr>
          <w:rFonts w:ascii="宋体" w:hAnsi="宋体" w:cs="宋体"/>
        </w:rPr>
      </w:pPr>
      <w:r>
        <w:rPr>
          <w:rFonts w:hint="eastAsia" w:ascii="宋体" w:hAnsi="宋体" w:cs="宋体"/>
        </w:rPr>
        <w:t>6.2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6"/>
        <w:snapToGrid w:val="0"/>
        <w:ind w:firstLine="480" w:firstLineChars="200"/>
        <w:jc w:val="left"/>
        <w:rPr>
          <w:rFonts w:ascii="宋体" w:hAnsi="宋体" w:cs="宋体"/>
        </w:rPr>
      </w:pPr>
      <w:r>
        <w:rPr>
          <w:rFonts w:hint="eastAsia" w:ascii="宋体" w:hAnsi="宋体" w:cs="宋体"/>
        </w:rPr>
        <w:t>6.3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16"/>
        <w:snapToGrid w:val="0"/>
        <w:ind w:left="2" w:leftChars="1" w:firstLine="480" w:firstLineChars="200"/>
        <w:rPr>
          <w:rFonts w:ascii="宋体" w:hAnsi="宋体" w:cs="宋体"/>
        </w:rPr>
      </w:pPr>
      <w:r>
        <w:rPr>
          <w:rFonts w:hint="eastAsia" w:ascii="宋体" w:hAnsi="宋体" w:cs="宋体"/>
        </w:rPr>
        <w:t>6.4供应商在采购项目投标过程中应诚实守信，不弄虚作假，不隐瞒真实情况，不围标串标，不恶意质疑投诉。如违反上述要求，经核实后，供应商的投标将作废，将该供应商列入不良记录名单并在网上曝光，同时提请采购监督管理部门给予一定年限内禁止参加采购活动的处罚或其他处罚。</w:t>
      </w:r>
    </w:p>
    <w:p>
      <w:pPr>
        <w:pStyle w:val="16"/>
        <w:snapToGrid w:val="0"/>
        <w:ind w:left="2" w:leftChars="1" w:firstLine="480" w:firstLineChars="200"/>
        <w:rPr>
          <w:rFonts w:ascii="宋体" w:hAnsi="宋体" w:cs="宋体"/>
        </w:rPr>
      </w:pPr>
      <w:r>
        <w:rPr>
          <w:rFonts w:hint="eastAsia" w:ascii="宋体" w:hAnsi="宋体" w:cs="宋体"/>
        </w:rPr>
        <w:t>6.5本项目涉及采购货物必须是全新、未使用过的原装合格正品（包括零部件），如安装或配置了软件的，须为正版软件。</w:t>
      </w:r>
    </w:p>
    <w:p>
      <w:pPr>
        <w:pStyle w:val="16"/>
        <w:snapToGrid w:val="0"/>
        <w:ind w:left="2" w:leftChars="1" w:firstLine="480" w:firstLineChars="200"/>
        <w:rPr>
          <w:rFonts w:ascii="宋体" w:hAnsi="宋体" w:cs="宋体"/>
        </w:rPr>
      </w:pPr>
      <w:r>
        <w:rPr>
          <w:rFonts w:hint="eastAsia" w:ascii="宋体" w:hAnsi="宋体" w:cs="宋体"/>
        </w:rPr>
        <w:t>6.6国产的货物及其有关服务必须符合中华人民共和国的设计和制造生产标准或行业标准。招标公告有其他要求的，亦应符合其要求。</w:t>
      </w:r>
    </w:p>
    <w:p>
      <w:pPr>
        <w:pStyle w:val="16"/>
        <w:snapToGrid w:val="0"/>
        <w:ind w:left="2" w:leftChars="1" w:firstLine="480" w:firstLineChars="200"/>
        <w:rPr>
          <w:rFonts w:ascii="宋体" w:hAnsi="宋体" w:cs="宋体"/>
        </w:rPr>
      </w:pPr>
      <w:r>
        <w:rPr>
          <w:rFonts w:hint="eastAsia" w:ascii="宋体" w:hAnsi="宋体" w:cs="宋体"/>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pPr>
        <w:snapToGrid w:val="0"/>
        <w:ind w:firstLine="472" w:firstLineChars="196"/>
        <w:jc w:val="left"/>
        <w:outlineLvl w:val="1"/>
        <w:rPr>
          <w:rFonts w:ascii="宋体" w:hAnsi="宋体" w:cs="宋体"/>
          <w:b/>
          <w:color w:val="auto"/>
          <w:sz w:val="24"/>
        </w:rPr>
      </w:pPr>
      <w:r>
        <w:rPr>
          <w:rFonts w:hint="eastAsia" w:ascii="宋体" w:hAnsi="宋体" w:cs="宋体"/>
          <w:b/>
          <w:color w:val="auto"/>
          <w:sz w:val="24"/>
        </w:rPr>
        <w:t>7.质疑和投诉</w:t>
      </w:r>
    </w:p>
    <w:p>
      <w:pPr>
        <w:pStyle w:val="16"/>
        <w:snapToGrid w:val="0"/>
        <w:ind w:left="1" w:firstLine="480" w:firstLineChars="200"/>
        <w:rPr>
          <w:rFonts w:ascii="宋体" w:hAnsi="宋体" w:cs="宋体"/>
        </w:rPr>
      </w:pPr>
      <w:r>
        <w:rPr>
          <w:rFonts w:hint="eastAsia" w:ascii="宋体" w:hAnsi="宋体" w:cs="宋体"/>
          <w:bCs/>
        </w:rPr>
        <w:t>7.1投标人认为招标文件、招标过程和中标结果使自己的合法权益受到损害的，应当在知道或者</w:t>
      </w:r>
      <w:r>
        <w:rPr>
          <w:rFonts w:hint="eastAsia" w:ascii="宋体" w:hAnsi="宋体" w:cs="宋体"/>
        </w:rPr>
        <w:t>应知其权益受到损害之日起七个工作日内，以书面形式向采购人、采购代理机构提出质疑。投标人对采购人的质疑答复不满意或者采购人未在规定时间内作出答复的，可以在答复期满后十五个工作日内向同级采购监管部门投诉。逾期提出的，采购代理机构不予受理、答复。</w:t>
      </w:r>
    </w:p>
    <w:p>
      <w:pPr>
        <w:pStyle w:val="16"/>
        <w:snapToGrid w:val="0"/>
        <w:ind w:left="1" w:firstLine="480" w:firstLineChars="200"/>
        <w:rPr>
          <w:rFonts w:ascii="宋体" w:hAnsi="宋体" w:cs="宋体"/>
        </w:rPr>
      </w:pPr>
      <w:r>
        <w:rPr>
          <w:rFonts w:hint="eastAsia" w:ascii="宋体" w:hAnsi="宋体" w:cs="宋体"/>
          <w:bCs/>
        </w:rPr>
        <w:t>7.2质疑、投诉应当采用书面形式，质疑书、投诉书均应明确阐述招标文件、招标过程和中标结果中使自己合法权益受到损害的实质性内容，提供相关事实、依据和证据及</w:t>
      </w:r>
      <w:r>
        <w:rPr>
          <w:rFonts w:hint="eastAsia" w:ascii="宋体" w:hAnsi="宋体" w:cs="宋体"/>
        </w:rPr>
        <w:t>其来源或线索，便于有关单位调查、答复和处理。</w:t>
      </w:r>
    </w:p>
    <w:p>
      <w:pPr>
        <w:pStyle w:val="16"/>
        <w:snapToGrid w:val="0"/>
        <w:ind w:left="1" w:firstLine="480" w:firstLineChars="200"/>
        <w:rPr>
          <w:rFonts w:ascii="宋体" w:hAnsi="宋体" w:cs="宋体"/>
          <w:szCs w:val="24"/>
        </w:rPr>
      </w:pPr>
      <w:r>
        <w:rPr>
          <w:rFonts w:hint="eastAsia" w:ascii="宋体" w:hAnsi="宋体" w:cs="宋体"/>
        </w:rPr>
        <w:t>7.3</w:t>
      </w:r>
      <w:r>
        <w:rPr>
          <w:rFonts w:hint="eastAsia" w:ascii="宋体" w:hAnsi="宋体" w:cs="宋体"/>
          <w:szCs w:val="24"/>
        </w:rPr>
        <w:t>采购代理机构与采购人研究后，对认为有必要回答的问题，采购人和采购代理机构将补充（更正）以网上发布公告的形式通知所有投标人，补充（更正）是招标文件的组成部份。</w:t>
      </w:r>
    </w:p>
    <w:p>
      <w:pPr>
        <w:pStyle w:val="16"/>
        <w:snapToGrid w:val="0"/>
        <w:ind w:left="1" w:firstLine="480" w:firstLineChars="200"/>
        <w:rPr>
          <w:rFonts w:ascii="宋体" w:hAnsi="宋体" w:cs="宋体"/>
          <w:szCs w:val="24"/>
        </w:rPr>
      </w:pPr>
      <w:r>
        <w:rPr>
          <w:rFonts w:hint="eastAsia" w:ascii="宋体" w:hAnsi="宋体" w:cs="宋体"/>
          <w:szCs w:val="24"/>
        </w:rPr>
        <w:t>7.4</w:t>
      </w:r>
      <w:r>
        <w:rPr>
          <w:rFonts w:hint="eastAsia" w:ascii="宋体" w:hAnsi="宋体" w:cs="宋体"/>
          <w:b/>
          <w:u w:val="single"/>
        </w:rPr>
        <w:t>质疑供应商在收到该更正（补充）公告后应于1日内，以书面或传真形式（签署意见并加盖公章）向采购代理机构回函给予确认。过期未回复的，视为默认接受。</w:t>
      </w:r>
    </w:p>
    <w:p>
      <w:pPr>
        <w:pStyle w:val="5"/>
        <w:spacing w:line="360" w:lineRule="exact"/>
        <w:jc w:val="center"/>
        <w:rPr>
          <w:rFonts w:ascii="宋体" w:hAnsi="宋体" w:eastAsia="宋体" w:cs="宋体"/>
          <w:sz w:val="28"/>
          <w:szCs w:val="28"/>
        </w:rPr>
      </w:pPr>
      <w:bookmarkStart w:id="23" w:name="_Toc125344504"/>
      <w:r>
        <w:rPr>
          <w:rFonts w:hint="eastAsia" w:ascii="宋体" w:hAnsi="宋体" w:eastAsia="宋体" w:cs="宋体"/>
          <w:sz w:val="28"/>
          <w:szCs w:val="28"/>
        </w:rPr>
        <w:t>二、招标文件</w:t>
      </w:r>
      <w:bookmarkEnd w:id="23"/>
    </w:p>
    <w:p>
      <w:pPr>
        <w:snapToGrid w:val="0"/>
        <w:ind w:firstLine="354" w:firstLineChars="147"/>
        <w:jc w:val="left"/>
        <w:rPr>
          <w:rFonts w:ascii="宋体" w:hAnsi="宋体" w:cs="宋体"/>
          <w:b/>
          <w:color w:val="auto"/>
          <w:sz w:val="24"/>
        </w:rPr>
      </w:pPr>
      <w:r>
        <w:rPr>
          <w:rFonts w:hint="eastAsia" w:ascii="宋体" w:hAnsi="宋体" w:cs="宋体"/>
          <w:b/>
          <w:color w:val="auto"/>
          <w:sz w:val="24"/>
        </w:rPr>
        <w:t>8.招标文件的构成。</w:t>
      </w:r>
    </w:p>
    <w:p>
      <w:pPr>
        <w:snapToGrid w:val="0"/>
        <w:ind w:firstLine="480" w:firstLineChars="200"/>
        <w:jc w:val="left"/>
        <w:rPr>
          <w:rFonts w:ascii="宋体" w:hAnsi="宋体" w:cs="宋体"/>
          <w:color w:val="auto"/>
          <w:sz w:val="24"/>
        </w:rPr>
      </w:pPr>
      <w:r>
        <w:rPr>
          <w:rFonts w:hint="eastAsia" w:ascii="宋体" w:hAnsi="宋体" w:cs="宋体"/>
          <w:color w:val="auto"/>
          <w:sz w:val="24"/>
        </w:rPr>
        <w:t>本招标文件由以下部份组成：</w:t>
      </w:r>
    </w:p>
    <w:p>
      <w:pPr>
        <w:snapToGrid w:val="0"/>
        <w:ind w:firstLine="480" w:firstLineChars="200"/>
        <w:jc w:val="left"/>
        <w:rPr>
          <w:rFonts w:ascii="宋体" w:hAnsi="宋体" w:cs="宋体"/>
          <w:color w:val="auto"/>
          <w:sz w:val="24"/>
        </w:rPr>
      </w:pPr>
      <w:r>
        <w:rPr>
          <w:rFonts w:hint="eastAsia" w:ascii="宋体" w:hAnsi="宋体" w:cs="宋体"/>
          <w:color w:val="auto"/>
          <w:sz w:val="24"/>
        </w:rPr>
        <w:t>8.1招标公告；</w:t>
      </w:r>
    </w:p>
    <w:p>
      <w:pPr>
        <w:snapToGrid w:val="0"/>
        <w:ind w:firstLine="480" w:firstLineChars="200"/>
        <w:jc w:val="left"/>
        <w:rPr>
          <w:rFonts w:ascii="宋体" w:hAnsi="宋体" w:cs="宋体"/>
          <w:color w:val="auto"/>
          <w:sz w:val="24"/>
        </w:rPr>
      </w:pPr>
      <w:r>
        <w:rPr>
          <w:rFonts w:hint="eastAsia" w:ascii="宋体" w:hAnsi="宋体" w:cs="宋体"/>
          <w:color w:val="auto"/>
          <w:sz w:val="24"/>
        </w:rPr>
        <w:t>8.2投标须知；</w:t>
      </w:r>
    </w:p>
    <w:p>
      <w:pPr>
        <w:snapToGrid w:val="0"/>
        <w:ind w:firstLine="480" w:firstLineChars="200"/>
        <w:jc w:val="left"/>
        <w:rPr>
          <w:rFonts w:ascii="宋体" w:hAnsi="宋体" w:cs="宋体"/>
          <w:color w:val="auto"/>
          <w:sz w:val="24"/>
        </w:rPr>
      </w:pPr>
      <w:r>
        <w:rPr>
          <w:rFonts w:hint="eastAsia" w:ascii="宋体" w:hAnsi="宋体" w:cs="宋体"/>
          <w:color w:val="auto"/>
          <w:sz w:val="24"/>
        </w:rPr>
        <w:t>8.3评标办法及评分标准；</w:t>
      </w:r>
    </w:p>
    <w:p>
      <w:pPr>
        <w:snapToGrid w:val="0"/>
        <w:ind w:firstLine="480" w:firstLineChars="200"/>
        <w:jc w:val="left"/>
        <w:rPr>
          <w:rFonts w:ascii="宋体" w:hAnsi="宋体" w:cs="宋体"/>
          <w:color w:val="auto"/>
          <w:sz w:val="24"/>
        </w:rPr>
      </w:pPr>
      <w:r>
        <w:rPr>
          <w:rFonts w:hint="eastAsia" w:ascii="宋体" w:hAnsi="宋体" w:cs="宋体"/>
          <w:color w:val="auto"/>
          <w:sz w:val="24"/>
        </w:rPr>
        <w:t>8.4采购需求；</w:t>
      </w:r>
    </w:p>
    <w:p>
      <w:pPr>
        <w:snapToGrid w:val="0"/>
        <w:ind w:firstLine="480" w:firstLineChars="200"/>
        <w:jc w:val="left"/>
        <w:rPr>
          <w:rFonts w:ascii="宋体" w:hAnsi="宋体" w:cs="宋体"/>
          <w:color w:val="auto"/>
          <w:sz w:val="24"/>
        </w:rPr>
      </w:pPr>
      <w:r>
        <w:rPr>
          <w:rFonts w:hint="eastAsia" w:ascii="宋体" w:hAnsi="宋体" w:cs="宋体"/>
          <w:color w:val="auto"/>
          <w:sz w:val="24"/>
        </w:rPr>
        <w:t>8.5应提交的有关格式范例；</w:t>
      </w:r>
    </w:p>
    <w:p>
      <w:pPr>
        <w:snapToGrid w:val="0"/>
        <w:ind w:firstLine="480" w:firstLineChars="200"/>
        <w:jc w:val="left"/>
        <w:rPr>
          <w:rFonts w:ascii="宋体" w:hAnsi="宋体" w:cs="宋体"/>
          <w:color w:val="auto"/>
          <w:sz w:val="24"/>
        </w:rPr>
      </w:pPr>
      <w:r>
        <w:rPr>
          <w:rFonts w:hint="eastAsia" w:ascii="宋体" w:hAnsi="宋体" w:cs="宋体"/>
          <w:color w:val="auto"/>
          <w:sz w:val="24"/>
        </w:rPr>
        <w:t>8.6本项目招标文件的澄清、答复、修改、补充的内容。</w:t>
      </w:r>
    </w:p>
    <w:p>
      <w:pPr>
        <w:snapToGrid w:val="0"/>
        <w:ind w:firstLine="472" w:firstLineChars="196"/>
        <w:jc w:val="left"/>
        <w:outlineLvl w:val="1"/>
        <w:rPr>
          <w:rFonts w:ascii="宋体" w:hAnsi="宋体" w:cs="宋体"/>
          <w:b/>
          <w:color w:val="auto"/>
          <w:sz w:val="24"/>
        </w:rPr>
      </w:pPr>
      <w:r>
        <w:rPr>
          <w:rFonts w:hint="eastAsia" w:ascii="宋体" w:hAnsi="宋体" w:cs="宋体"/>
          <w:b/>
          <w:color w:val="auto"/>
          <w:sz w:val="24"/>
        </w:rPr>
        <w:t>9.投标人的风险</w:t>
      </w:r>
    </w:p>
    <w:p>
      <w:pPr>
        <w:snapToGrid w:val="0"/>
        <w:ind w:firstLine="480" w:firstLineChars="200"/>
        <w:jc w:val="left"/>
        <w:rPr>
          <w:rFonts w:ascii="宋体" w:hAnsi="宋体" w:cs="宋体"/>
          <w:color w:val="auto"/>
          <w:sz w:val="24"/>
        </w:rPr>
      </w:pPr>
      <w:r>
        <w:rPr>
          <w:rFonts w:hint="eastAsia" w:ascii="宋体" w:hAnsi="宋体" w:cs="宋体"/>
          <w:color w:val="auto"/>
          <w:sz w:val="24"/>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pPr>
        <w:snapToGrid w:val="0"/>
        <w:ind w:firstLine="480" w:firstLineChars="200"/>
        <w:jc w:val="left"/>
        <w:rPr>
          <w:rFonts w:ascii="宋体" w:hAnsi="宋体" w:cs="宋体"/>
          <w:color w:val="auto"/>
          <w:sz w:val="24"/>
        </w:rPr>
      </w:pPr>
      <w:r>
        <w:rPr>
          <w:rFonts w:hint="eastAsia" w:ascii="宋体" w:hAnsi="宋体" w:cs="宋体"/>
          <w:color w:val="auto"/>
          <w:sz w:val="24"/>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napToGrid w:val="0"/>
        <w:ind w:firstLine="472" w:firstLineChars="196"/>
        <w:jc w:val="left"/>
        <w:outlineLvl w:val="1"/>
        <w:rPr>
          <w:rFonts w:ascii="宋体" w:hAnsi="宋体" w:cs="宋体"/>
          <w:b/>
          <w:color w:val="auto"/>
          <w:sz w:val="24"/>
        </w:rPr>
      </w:pPr>
      <w:r>
        <w:rPr>
          <w:rFonts w:hint="eastAsia" w:ascii="宋体" w:hAnsi="宋体" w:cs="宋体"/>
          <w:b/>
          <w:color w:val="auto"/>
          <w:sz w:val="24"/>
        </w:rPr>
        <w:t xml:space="preserve">10.招标文件的澄清与修改 </w:t>
      </w:r>
    </w:p>
    <w:p>
      <w:pPr>
        <w:pStyle w:val="16"/>
        <w:snapToGrid w:val="0"/>
        <w:ind w:firstLine="480" w:firstLineChars="200"/>
        <w:rPr>
          <w:rFonts w:ascii="宋体" w:hAnsi="宋体" w:cs="宋体"/>
          <w:szCs w:val="24"/>
        </w:rPr>
      </w:pPr>
      <w:r>
        <w:rPr>
          <w:rFonts w:hint="eastAsia" w:ascii="宋体" w:hAnsi="宋体" w:cs="宋体"/>
        </w:rPr>
        <w:t>10.1</w:t>
      </w:r>
      <w:r>
        <w:rPr>
          <w:rFonts w:hint="eastAsia" w:ascii="宋体" w:hAnsi="宋体" w:cs="宋体"/>
          <w:bCs/>
        </w:rPr>
        <w:t>投标人下载招标文件后，应认真阅读本招标文件的所有内容，发现其中有误或有不合理要求的，投标人必须按前附表规定的时间前以书面形式</w:t>
      </w:r>
      <w:r>
        <w:rPr>
          <w:rFonts w:hint="eastAsia" w:ascii="宋体" w:hAnsi="宋体" w:cs="宋体"/>
        </w:rPr>
        <w:t>(包括书面文字、传真等)</w:t>
      </w:r>
      <w:r>
        <w:rPr>
          <w:rFonts w:hint="eastAsia" w:ascii="宋体" w:hAnsi="宋体" w:cs="宋体"/>
          <w:bCs/>
        </w:rPr>
        <w:t>要求采购人澄清</w:t>
      </w:r>
      <w:r>
        <w:rPr>
          <w:rFonts w:hint="eastAsia" w:ascii="宋体" w:hAnsi="宋体" w:cs="宋体"/>
        </w:rPr>
        <w:t>。逾期提出的，采购人将不予受理。</w:t>
      </w:r>
      <w:r>
        <w:rPr>
          <w:rFonts w:hint="eastAsia" w:ascii="宋体" w:hAnsi="宋体" w:cs="宋体"/>
          <w:szCs w:val="24"/>
        </w:rPr>
        <w:t>采购代理机构与采购人研究后，对认为有必要回答的问题，采购人将补充（更正内容）以网上发布公告的形式通知所有投标人，补充（更正）内容是招标文件的组成部份。投标人可以通过诸暨市公共资源交易网自行下载，以确认已阅知该澄清或修改内容，否则，由此导致的风险由投标人自行承担，采购人不承担任何责任。</w:t>
      </w:r>
    </w:p>
    <w:p>
      <w:pPr>
        <w:pStyle w:val="16"/>
        <w:snapToGrid w:val="0"/>
        <w:ind w:firstLine="480" w:firstLineChars="200"/>
        <w:rPr>
          <w:rFonts w:ascii="宋体" w:hAnsi="宋体" w:cs="宋体"/>
          <w:szCs w:val="24"/>
        </w:rPr>
      </w:pPr>
      <w:r>
        <w:rPr>
          <w:rFonts w:hint="eastAsia" w:ascii="宋体" w:hAnsi="宋体" w:cs="宋体"/>
          <w:szCs w:val="24"/>
        </w:rPr>
        <w:t>10.2</w:t>
      </w:r>
      <w:r>
        <w:rPr>
          <w:rFonts w:hint="eastAsia" w:ascii="宋体" w:hAnsi="宋体" w:cs="宋体"/>
        </w:rPr>
        <w:t>招标文件澄清、答复、修改、补充的内容为招标文件的组成部分。当招标文件与招标文件的答复、澄清、修改、补充公告就同一内容的表述不一致时，以最后发出的文件或公告或通知为准。</w:t>
      </w:r>
    </w:p>
    <w:p>
      <w:pPr>
        <w:pStyle w:val="16"/>
        <w:snapToGrid w:val="0"/>
        <w:ind w:firstLine="480" w:firstLineChars="200"/>
        <w:rPr>
          <w:rFonts w:ascii="宋体" w:hAnsi="宋体" w:cs="宋体"/>
        </w:rPr>
      </w:pPr>
      <w:r>
        <w:rPr>
          <w:rFonts w:hint="eastAsia" w:ascii="宋体" w:hAnsi="宋体" w:cs="宋体"/>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pPr>
        <w:pStyle w:val="16"/>
        <w:snapToGrid w:val="0"/>
        <w:ind w:firstLine="480" w:firstLineChars="200"/>
        <w:rPr>
          <w:rFonts w:ascii="宋体" w:hAnsi="宋体" w:cs="宋体"/>
        </w:rPr>
      </w:pPr>
      <w:r>
        <w:rPr>
          <w:rFonts w:hint="eastAsia" w:ascii="宋体" w:hAnsi="宋体" w:cs="宋体"/>
        </w:rPr>
        <w:t>10.4为使投标人在编制投标文件时，把补充公告内容进行研究，采购代理机构可以酌情推迟递交投标文件的截止时间。</w:t>
      </w:r>
    </w:p>
    <w:p>
      <w:pPr>
        <w:pStyle w:val="16"/>
        <w:snapToGrid w:val="0"/>
        <w:ind w:firstLine="480" w:firstLineChars="200"/>
        <w:rPr>
          <w:rFonts w:ascii="宋体" w:hAnsi="宋体" w:cs="宋体"/>
        </w:rPr>
      </w:pPr>
      <w:r>
        <w:rPr>
          <w:rFonts w:hint="eastAsia" w:ascii="宋体" w:hAnsi="宋体" w:cs="宋体"/>
        </w:rPr>
        <w:t>10.5投标人一旦参与本次招标活动，即被视为接受了本招标文件的所有内容，如有任何异议，均须在答疑截止时间前提出。</w:t>
      </w:r>
    </w:p>
    <w:p>
      <w:pPr>
        <w:pStyle w:val="5"/>
        <w:spacing w:line="360" w:lineRule="exact"/>
        <w:jc w:val="center"/>
        <w:rPr>
          <w:rFonts w:ascii="宋体" w:hAnsi="宋体" w:eastAsia="宋体" w:cs="宋体"/>
          <w:sz w:val="28"/>
          <w:szCs w:val="28"/>
        </w:rPr>
      </w:pPr>
      <w:bookmarkStart w:id="24" w:name="_Toc125344505"/>
      <w:r>
        <w:rPr>
          <w:rFonts w:hint="eastAsia" w:ascii="宋体" w:hAnsi="宋体" w:eastAsia="宋体" w:cs="宋体"/>
          <w:sz w:val="28"/>
          <w:szCs w:val="28"/>
        </w:rPr>
        <w:t>三、投标文件编制</w:t>
      </w:r>
      <w:bookmarkEnd w:id="24"/>
      <w:r>
        <w:rPr>
          <w:rFonts w:hint="eastAsia" w:ascii="宋体" w:hAnsi="宋体" w:eastAsia="宋体" w:cs="宋体"/>
          <w:sz w:val="28"/>
          <w:szCs w:val="28"/>
        </w:rPr>
        <w:t>和提交</w:t>
      </w:r>
    </w:p>
    <w:p>
      <w:pPr>
        <w:snapToGrid w:val="0"/>
        <w:ind w:firstLine="354" w:firstLineChars="147"/>
        <w:jc w:val="left"/>
        <w:outlineLvl w:val="0"/>
        <w:rPr>
          <w:rFonts w:ascii="宋体" w:hAnsi="宋体" w:cs="宋体"/>
          <w:b/>
          <w:color w:val="auto"/>
          <w:sz w:val="24"/>
        </w:rPr>
      </w:pPr>
      <w:r>
        <w:rPr>
          <w:rFonts w:hint="eastAsia" w:ascii="宋体" w:hAnsi="宋体" w:cs="宋体"/>
          <w:b/>
          <w:color w:val="auto"/>
          <w:sz w:val="24"/>
        </w:rPr>
        <w:t>11.投标文件的组成</w:t>
      </w:r>
    </w:p>
    <w:p>
      <w:pPr>
        <w:snapToGrid w:val="0"/>
        <w:ind w:firstLine="360" w:firstLineChars="150"/>
        <w:jc w:val="left"/>
        <w:rPr>
          <w:rFonts w:ascii="宋体" w:hAnsi="宋体" w:cs="宋体"/>
          <w:color w:val="auto"/>
          <w:sz w:val="24"/>
        </w:rPr>
      </w:pPr>
      <w:r>
        <w:rPr>
          <w:rFonts w:hint="eastAsia" w:ascii="宋体" w:hAnsi="宋体" w:cs="宋体"/>
          <w:color w:val="auto"/>
          <w:sz w:val="24"/>
        </w:rPr>
        <w:t>投标文件由资格文件、商务技术文件、报价文件三部分组成。详见前附表。</w:t>
      </w:r>
    </w:p>
    <w:p>
      <w:pPr>
        <w:snapToGrid w:val="0"/>
        <w:ind w:firstLine="354" w:firstLineChars="147"/>
        <w:jc w:val="left"/>
        <w:outlineLvl w:val="0"/>
        <w:rPr>
          <w:rFonts w:ascii="宋体" w:hAnsi="宋体" w:cs="宋体"/>
          <w:b/>
          <w:color w:val="auto"/>
          <w:sz w:val="24"/>
        </w:rPr>
      </w:pPr>
      <w:r>
        <w:rPr>
          <w:rFonts w:hint="eastAsia" w:ascii="宋体" w:hAnsi="宋体" w:cs="宋体"/>
          <w:b/>
          <w:color w:val="auto"/>
          <w:sz w:val="24"/>
        </w:rPr>
        <w:t>12.投标文件的语言及计量</w:t>
      </w:r>
    </w:p>
    <w:p>
      <w:pPr>
        <w:pStyle w:val="16"/>
        <w:snapToGrid w:val="0"/>
        <w:ind w:firstLine="480" w:firstLineChars="200"/>
        <w:rPr>
          <w:rFonts w:ascii="宋体" w:hAnsi="宋体" w:cs="宋体"/>
        </w:rPr>
      </w:pPr>
      <w:r>
        <w:rPr>
          <w:rFonts w:hint="eastAsia" w:ascii="宋体" w:hAnsi="宋体" w:cs="宋体"/>
        </w:rPr>
        <w:t>12.1投标文件以及投标人与采购代理机构就有关投标事宜的所有往来通知、函电，均应以中文汉语书写。除签名、盖章、专用名称等特殊情形外，以中文汉语以外的文字表述的投标文件视同未提供。投标人随投标文件提供的证明文件和资料可以为其它语言，但必须附中文译文。翻译的中文资料与外文资料如果出现差异时，以中文为准，但翻译错误的除外。</w:t>
      </w:r>
    </w:p>
    <w:p>
      <w:pPr>
        <w:pStyle w:val="16"/>
        <w:snapToGrid w:val="0"/>
        <w:ind w:firstLine="480" w:firstLineChars="200"/>
        <w:rPr>
          <w:rFonts w:ascii="宋体" w:hAnsi="宋体" w:cs="宋体"/>
        </w:rPr>
      </w:pPr>
      <w:r>
        <w:rPr>
          <w:rFonts w:hint="eastAsia" w:ascii="宋体" w:hAnsi="宋体" w:cs="宋体"/>
        </w:rPr>
        <w:t>12.2投标计量单位，招标文件已有明确规定的，使用招标文件规定的计量单位；招标文件没有规定的，应采用中华人民共和国法定计量单位（货币单位：人民币元），否则视同未响应。</w:t>
      </w:r>
    </w:p>
    <w:p>
      <w:pPr>
        <w:snapToGrid w:val="0"/>
        <w:ind w:firstLine="354" w:firstLineChars="147"/>
        <w:jc w:val="left"/>
        <w:outlineLvl w:val="0"/>
        <w:rPr>
          <w:rFonts w:ascii="宋体" w:hAnsi="宋体" w:cs="宋体"/>
          <w:b/>
          <w:color w:val="auto"/>
          <w:sz w:val="24"/>
        </w:rPr>
      </w:pPr>
      <w:r>
        <w:rPr>
          <w:rFonts w:hint="eastAsia" w:ascii="宋体" w:hAnsi="宋体" w:cs="宋体"/>
          <w:b/>
          <w:color w:val="auto"/>
          <w:sz w:val="24"/>
        </w:rPr>
        <w:t>13.投标报价</w:t>
      </w:r>
    </w:p>
    <w:p>
      <w:pPr>
        <w:pStyle w:val="16"/>
        <w:snapToGrid w:val="0"/>
        <w:ind w:firstLine="480" w:firstLineChars="200"/>
        <w:rPr>
          <w:rFonts w:ascii="宋体" w:hAnsi="宋体" w:cs="宋体"/>
        </w:rPr>
      </w:pPr>
      <w:r>
        <w:rPr>
          <w:rFonts w:hint="eastAsia" w:ascii="宋体" w:hAnsi="宋体" w:cs="宋体"/>
        </w:rPr>
        <w:t>13.1投标报价应按招标文件中相关附表格式填写。本项目的投标应以人民币计。</w:t>
      </w:r>
    </w:p>
    <w:p>
      <w:pPr>
        <w:pStyle w:val="16"/>
        <w:ind w:firstLine="480" w:firstLineChars="200"/>
        <w:rPr>
          <w:rFonts w:ascii="宋体" w:hAnsi="宋体" w:cs="宋体"/>
        </w:rPr>
      </w:pPr>
      <w:r>
        <w:rPr>
          <w:rFonts w:hint="eastAsia" w:ascii="宋体" w:hAnsi="宋体" w:cs="宋体"/>
        </w:rPr>
        <w:t>13.2投标报价应包括货款、标准附件、备品备件、专用工具、包装、运输、装卸、保险、税金、货到就位以及安装、调试、培训、保修等一切税金和费用。投标报价（包括单价、总价等）均保留到小数点后两位（如：100.88元）。投标人必须报有合理单价，其将作为设备增减的主要依据。如有漏项，视同已包含在其它项目中，合同总价和单价不做调整。</w:t>
      </w:r>
    </w:p>
    <w:p>
      <w:pPr>
        <w:pStyle w:val="16"/>
        <w:snapToGrid w:val="0"/>
        <w:ind w:firstLine="480" w:firstLineChars="200"/>
        <w:rPr>
          <w:rFonts w:ascii="宋体" w:hAnsi="宋体" w:cs="宋体"/>
        </w:rPr>
      </w:pPr>
      <w:r>
        <w:rPr>
          <w:rFonts w:hint="eastAsia" w:ascii="宋体" w:hAnsi="宋体" w:cs="宋体"/>
        </w:rPr>
        <w:t>13.3投标文件只允许有一个报价，有选择的或有条件的报价将不予接受。</w:t>
      </w:r>
    </w:p>
    <w:p>
      <w:pPr>
        <w:pStyle w:val="16"/>
        <w:snapToGrid w:val="0"/>
        <w:ind w:firstLine="480" w:firstLineChars="200"/>
        <w:rPr>
          <w:rFonts w:ascii="宋体" w:hAnsi="宋体" w:cs="宋体"/>
        </w:rPr>
      </w:pPr>
      <w:r>
        <w:rPr>
          <w:rFonts w:hint="eastAsia" w:ascii="宋体" w:hAnsi="宋体" w:cs="宋体"/>
        </w:rPr>
        <w:t>13.4招标文件未列明，而投标人认为必需的费用也需列入报价。</w:t>
      </w:r>
    </w:p>
    <w:p>
      <w:pPr>
        <w:pStyle w:val="16"/>
        <w:ind w:firstLine="480" w:firstLineChars="200"/>
        <w:rPr>
          <w:rFonts w:ascii="宋体" w:hAnsi="宋体" w:cs="宋体"/>
          <w:szCs w:val="24"/>
        </w:rPr>
      </w:pPr>
      <w:r>
        <w:rPr>
          <w:rFonts w:hint="eastAsia" w:ascii="宋体" w:hAnsi="宋体" w:cs="宋体"/>
        </w:rPr>
        <w:t>13.5</w:t>
      </w:r>
      <w:r>
        <w:rPr>
          <w:rFonts w:hint="eastAsia" w:ascii="宋体" w:hAnsi="宋体" w:cs="宋体"/>
          <w:szCs w:val="24"/>
        </w:rPr>
        <w:t>中标后，中标人所填写的单价在合同实施期间不因市场变化因素而变动，投标人在计算报价时应考虑一定的风险系数。</w:t>
      </w:r>
    </w:p>
    <w:p>
      <w:pPr>
        <w:pStyle w:val="9"/>
        <w:numPr>
          <w:ilvl w:val="0"/>
          <w:numId w:val="0"/>
        </w:numPr>
        <w:tabs>
          <w:tab w:val="left" w:pos="720"/>
          <w:tab w:val="clear" w:pos="360"/>
        </w:tabs>
        <w:snapToGrid w:val="0"/>
        <w:ind w:leftChars="147"/>
        <w:rPr>
          <w:rFonts w:ascii="宋体" w:hAnsi="宋体" w:cs="宋体"/>
          <w:b/>
          <w:color w:val="auto"/>
          <w:szCs w:val="24"/>
        </w:rPr>
      </w:pPr>
      <w:r>
        <w:rPr>
          <w:rFonts w:hint="eastAsia" w:ascii="宋体" w:hAnsi="宋体" w:cs="宋体"/>
          <w:b/>
          <w:color w:val="auto"/>
          <w:szCs w:val="24"/>
        </w:rPr>
        <w:t>14.投标文件的有效期</w:t>
      </w:r>
    </w:p>
    <w:p>
      <w:pPr>
        <w:pStyle w:val="16"/>
        <w:snapToGrid w:val="0"/>
        <w:ind w:firstLine="480" w:firstLineChars="200"/>
        <w:rPr>
          <w:rFonts w:ascii="宋体" w:hAnsi="宋体" w:cs="宋体"/>
        </w:rPr>
      </w:pPr>
      <w:r>
        <w:rPr>
          <w:rFonts w:hint="eastAsia" w:ascii="宋体" w:hAnsi="宋体" w:cs="宋体"/>
        </w:rPr>
        <w:t>14.1</w:t>
      </w:r>
      <w:r>
        <w:rPr>
          <w:rFonts w:hint="eastAsia" w:ascii="宋体" w:hAnsi="宋体" w:cs="宋体"/>
          <w:szCs w:val="21"/>
        </w:rPr>
        <w:t>投标有效期为从投标截止之日算起的日历天数，</w:t>
      </w:r>
      <w:r>
        <w:rPr>
          <w:rFonts w:hint="eastAsia" w:ascii="宋体" w:hAnsi="宋体" w:cs="宋体"/>
        </w:rPr>
        <w:t>自投标截止日起90天投标书应保持有效。如采购人认为必要，可延长投标有效期。有效期短于这个规定期限的投标将被拒绝。</w:t>
      </w:r>
    </w:p>
    <w:p>
      <w:pPr>
        <w:pStyle w:val="16"/>
        <w:snapToGrid w:val="0"/>
        <w:ind w:firstLine="480" w:firstLineChars="200"/>
        <w:rPr>
          <w:rFonts w:ascii="宋体" w:hAnsi="宋体" w:cs="宋体"/>
        </w:rPr>
      </w:pPr>
      <w:r>
        <w:rPr>
          <w:rFonts w:hint="eastAsia" w:ascii="宋体" w:hAnsi="宋体" w:cs="宋体"/>
        </w:rPr>
        <w:t>14.2在特殊情况下，采购人可与投标人协商延长投标书的有效期，这种要求和答复均以书面形式进行。</w:t>
      </w:r>
    </w:p>
    <w:p>
      <w:pPr>
        <w:pStyle w:val="16"/>
        <w:snapToGrid w:val="0"/>
        <w:ind w:firstLine="480" w:firstLineChars="200"/>
        <w:rPr>
          <w:rFonts w:ascii="宋体" w:hAnsi="宋体" w:cs="宋体"/>
        </w:rPr>
      </w:pPr>
      <w:r>
        <w:rPr>
          <w:rFonts w:hint="eastAsia" w:ascii="宋体" w:hAnsi="宋体" w:cs="宋体"/>
        </w:rPr>
        <w:t xml:space="preserve">14.3投标人可拒绝接受延期要求，但其投标在原投标有效期满后不再有效。同意延长有效期的投标人不能修改投标文件。 </w:t>
      </w:r>
    </w:p>
    <w:p>
      <w:pPr>
        <w:pStyle w:val="16"/>
        <w:snapToGrid w:val="0"/>
        <w:ind w:firstLine="480" w:firstLineChars="200"/>
        <w:rPr>
          <w:rFonts w:ascii="宋体" w:hAnsi="宋体" w:cs="宋体"/>
        </w:rPr>
      </w:pPr>
      <w:r>
        <w:rPr>
          <w:rFonts w:hint="eastAsia" w:ascii="宋体" w:hAnsi="宋体" w:cs="宋体"/>
        </w:rPr>
        <w:t>14.4中标人的投标文件自开标之日起至合同履行完毕止均应保持有效。</w:t>
      </w:r>
    </w:p>
    <w:p>
      <w:pPr>
        <w:snapToGrid w:val="0"/>
        <w:ind w:firstLine="354" w:firstLineChars="147"/>
        <w:jc w:val="left"/>
        <w:outlineLvl w:val="0"/>
        <w:rPr>
          <w:rFonts w:ascii="宋体" w:hAnsi="宋体" w:cs="宋体"/>
          <w:b/>
          <w:color w:val="auto"/>
          <w:sz w:val="24"/>
        </w:rPr>
      </w:pPr>
      <w:r>
        <w:rPr>
          <w:rFonts w:hint="eastAsia" w:ascii="宋体" w:hAnsi="宋体" w:cs="宋体"/>
          <w:b/>
          <w:color w:val="auto"/>
          <w:sz w:val="24"/>
        </w:rPr>
        <w:t>15.投标保证金</w:t>
      </w:r>
    </w:p>
    <w:p>
      <w:pPr>
        <w:snapToGrid w:val="0"/>
        <w:ind w:firstLine="480" w:firstLineChars="200"/>
        <w:jc w:val="left"/>
        <w:outlineLvl w:val="0"/>
        <w:rPr>
          <w:rFonts w:ascii="宋体" w:hAnsi="宋体" w:cs="宋体"/>
          <w:color w:val="auto"/>
          <w:sz w:val="24"/>
          <w:szCs w:val="24"/>
        </w:rPr>
      </w:pPr>
      <w:r>
        <w:rPr>
          <w:rFonts w:hint="eastAsia" w:ascii="宋体" w:hAnsi="宋体" w:cs="宋体"/>
          <w:color w:val="auto"/>
          <w:sz w:val="24"/>
          <w:szCs w:val="24"/>
        </w:rPr>
        <w:t>本项目免收投标保证金。</w:t>
      </w:r>
    </w:p>
    <w:p>
      <w:pPr>
        <w:snapToGrid w:val="0"/>
        <w:ind w:firstLine="472" w:firstLineChars="196"/>
        <w:jc w:val="left"/>
        <w:outlineLvl w:val="0"/>
        <w:rPr>
          <w:rFonts w:ascii="宋体" w:hAnsi="宋体" w:cs="宋体"/>
          <w:b/>
          <w:color w:val="auto"/>
          <w:sz w:val="24"/>
          <w:szCs w:val="24"/>
        </w:rPr>
      </w:pPr>
      <w:r>
        <w:rPr>
          <w:rFonts w:hint="eastAsia" w:ascii="宋体" w:hAnsi="宋体" w:cs="宋体"/>
          <w:b/>
          <w:color w:val="auto"/>
          <w:sz w:val="24"/>
          <w:szCs w:val="24"/>
        </w:rPr>
        <w:t>16.投标文件的制作</w:t>
      </w:r>
    </w:p>
    <w:p>
      <w:pPr>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16.1投标人应按招标文件前附表规定的内容编制投标文件。</w:t>
      </w:r>
    </w:p>
    <w:p>
      <w:pPr>
        <w:snapToGrid w:val="0"/>
        <w:ind w:firstLine="480" w:firstLineChars="200"/>
        <w:jc w:val="left"/>
        <w:rPr>
          <w:rFonts w:ascii="宋体" w:hAnsi="宋体" w:cs="宋体"/>
          <w:color w:val="auto"/>
          <w:sz w:val="24"/>
          <w:szCs w:val="24"/>
        </w:rPr>
      </w:pPr>
      <w:r>
        <w:rPr>
          <w:rFonts w:hint="eastAsia" w:ascii="宋体" w:hAnsi="宋体" w:cs="宋体"/>
          <w:color w:val="auto"/>
          <w:sz w:val="24"/>
          <w:szCs w:val="24"/>
        </w:rPr>
        <w:t>16.2投标人应按本招标文件规定的格式和顺序编制投标文件并标注页码，投标文件内容不完整、编排混乱导致投标文件被误读、漏读或者查找不到相关内容的，是投标人的责任。</w:t>
      </w:r>
    </w:p>
    <w:p>
      <w:pPr>
        <w:snapToGrid w:val="0"/>
        <w:ind w:firstLine="480" w:firstLineChars="200"/>
        <w:jc w:val="left"/>
        <w:rPr>
          <w:rFonts w:ascii="宋体" w:hAnsi="宋体" w:cs="宋体"/>
          <w:b/>
          <w:color w:val="auto"/>
          <w:u w:val="single"/>
        </w:rPr>
      </w:pPr>
      <w:r>
        <w:rPr>
          <w:rFonts w:hint="eastAsia" w:ascii="宋体" w:hAnsi="宋体" w:cs="宋体"/>
          <w:color w:val="auto"/>
          <w:sz w:val="24"/>
          <w:szCs w:val="24"/>
        </w:rPr>
        <w:t>16.3投标文件须由投标人在规定位置盖章并由法定代表人或法定代表授权人签署，投标人应写全称。</w:t>
      </w:r>
      <w:r>
        <w:rPr>
          <w:rFonts w:hint="eastAsia" w:ascii="宋体" w:hAnsi="宋体" w:cs="宋体"/>
          <w:b/>
          <w:color w:val="auto"/>
          <w:sz w:val="24"/>
          <w:szCs w:val="24"/>
        </w:rPr>
        <w:t>电子投标文件中所有加盖公章均采用CA签章。</w:t>
      </w:r>
    </w:p>
    <w:p>
      <w:pPr>
        <w:snapToGrid w:val="0"/>
        <w:ind w:firstLine="480" w:firstLineChars="200"/>
        <w:jc w:val="left"/>
        <w:rPr>
          <w:rFonts w:ascii="宋体" w:hAnsi="宋体" w:cs="宋体"/>
          <w:b/>
          <w:color w:val="auto"/>
          <w:sz w:val="24"/>
          <w:szCs w:val="24"/>
        </w:rPr>
      </w:pPr>
      <w:r>
        <w:rPr>
          <w:rFonts w:hint="eastAsia" w:ascii="宋体" w:hAnsi="宋体" w:cs="宋体"/>
          <w:color w:val="auto"/>
          <w:sz w:val="24"/>
          <w:szCs w:val="24"/>
        </w:rPr>
        <w:t>16.4投标文件不得涂改，若有修改错漏处，须加盖单位公章。投标文件因表达不清所引起的后果由投标人负责。</w:t>
      </w:r>
    </w:p>
    <w:p>
      <w:pPr>
        <w:snapToGrid w:val="0"/>
        <w:ind w:firstLine="482" w:firstLineChars="200"/>
        <w:jc w:val="left"/>
        <w:rPr>
          <w:rFonts w:ascii="宋体" w:hAnsi="宋体" w:cs="宋体"/>
          <w:b/>
          <w:color w:val="auto"/>
          <w:sz w:val="24"/>
          <w:szCs w:val="24"/>
        </w:rPr>
      </w:pPr>
      <w:r>
        <w:rPr>
          <w:rFonts w:hint="eastAsia" w:ascii="宋体" w:hAnsi="宋体" w:cs="宋体"/>
          <w:b/>
          <w:color w:val="auto"/>
          <w:sz w:val="24"/>
          <w:szCs w:val="24"/>
        </w:rPr>
        <w:t>16.5投标人应认真阅读招标文件中所有的内容。如果投标人编制的投标文件实质上不响应招标文件的要求，其投标文件将作无效标处理。</w:t>
      </w:r>
    </w:p>
    <w:p>
      <w:pPr>
        <w:snapToGrid w:val="0"/>
        <w:ind w:firstLine="354" w:firstLineChars="147"/>
        <w:jc w:val="left"/>
        <w:rPr>
          <w:rFonts w:ascii="宋体" w:hAnsi="宋体" w:cs="宋体"/>
          <w:b/>
          <w:color w:val="auto"/>
          <w:sz w:val="24"/>
          <w:szCs w:val="24"/>
        </w:rPr>
      </w:pPr>
      <w:r>
        <w:rPr>
          <w:rFonts w:hint="eastAsia" w:ascii="宋体" w:hAnsi="宋体" w:cs="宋体"/>
          <w:b/>
          <w:color w:val="auto"/>
          <w:sz w:val="24"/>
          <w:szCs w:val="24"/>
        </w:rPr>
        <w:t>17.投标文件的递交、修改和撤回</w:t>
      </w:r>
    </w:p>
    <w:p>
      <w:pPr>
        <w:pStyle w:val="10"/>
        <w:snapToGrid w:val="0"/>
        <w:ind w:firstLine="480" w:firstLineChars="200"/>
        <w:rPr>
          <w:rFonts w:ascii="宋体" w:hAnsi="宋体" w:cs="宋体"/>
          <w:sz w:val="24"/>
          <w:szCs w:val="24"/>
        </w:rPr>
      </w:pPr>
      <w:r>
        <w:rPr>
          <w:rFonts w:hint="eastAsia" w:ascii="宋体" w:hAnsi="宋体" w:cs="宋体"/>
          <w:sz w:val="24"/>
          <w:szCs w:val="24"/>
        </w:rPr>
        <w:t>17.1投标人应将投标文件的资格文件、商务技术文件、报价文件分开制作。</w:t>
      </w:r>
      <w:r>
        <w:rPr>
          <w:rFonts w:hint="eastAsia" w:ascii="宋体" w:hAnsi="宋体" w:cs="宋体"/>
          <w:b/>
          <w:sz w:val="24"/>
          <w:szCs w:val="24"/>
        </w:rPr>
        <w:t>如投标文件商务技术标内容含有报价的内容，将被视作无效标处理。</w:t>
      </w:r>
    </w:p>
    <w:p>
      <w:pPr>
        <w:pStyle w:val="10"/>
        <w:snapToGrid w:val="0"/>
        <w:ind w:firstLine="482" w:firstLineChars="200"/>
        <w:rPr>
          <w:rFonts w:ascii="宋体" w:hAnsi="宋体" w:cs="宋体"/>
          <w:b/>
          <w:sz w:val="24"/>
          <w:szCs w:val="24"/>
        </w:rPr>
      </w:pPr>
      <w:r>
        <w:rPr>
          <w:rFonts w:hint="eastAsia" w:ascii="宋体" w:hAnsi="宋体" w:cs="宋体"/>
          <w:b/>
          <w:sz w:val="24"/>
          <w:szCs w:val="24"/>
        </w:rPr>
        <w:t>17.2投标人应在开标前在“政采云”上自行加密上传电子投标文件，逾期上传或未按要求上传的投标文件将予以拒收。</w:t>
      </w:r>
    </w:p>
    <w:p>
      <w:pPr>
        <w:pStyle w:val="10"/>
        <w:snapToGrid w:val="0"/>
        <w:ind w:firstLine="482" w:firstLineChars="200"/>
        <w:rPr>
          <w:rFonts w:ascii="宋体" w:hAnsi="宋体" w:cs="宋体"/>
          <w:b/>
          <w:sz w:val="24"/>
          <w:szCs w:val="24"/>
        </w:rPr>
      </w:pPr>
      <w:r>
        <w:rPr>
          <w:rFonts w:hint="eastAsia" w:ascii="宋体" w:hAnsi="宋体" w:cs="宋体"/>
          <w:b/>
          <w:sz w:val="24"/>
          <w:szCs w:val="24"/>
        </w:rPr>
        <w:t>17.3</w:t>
      </w:r>
      <w:r>
        <w:rPr>
          <w:rFonts w:hint="eastAsia" w:ascii="宋体" w:hAnsi="宋体" w:cs="宋体"/>
          <w:sz w:val="24"/>
          <w:szCs w:val="24"/>
        </w:rPr>
        <w:t>投标人在投标截止时间之前，可以对已提交的投标文件进行修改或撤回，补充、修改的内容为投标文件的组成部分。</w:t>
      </w:r>
    </w:p>
    <w:p>
      <w:pPr>
        <w:pStyle w:val="10"/>
        <w:snapToGrid w:val="0"/>
        <w:ind w:firstLine="480" w:firstLineChars="200"/>
        <w:rPr>
          <w:rFonts w:ascii="宋体" w:hAnsi="宋体" w:cs="宋体"/>
          <w:sz w:val="24"/>
          <w:szCs w:val="24"/>
        </w:rPr>
      </w:pPr>
      <w:r>
        <w:rPr>
          <w:rFonts w:hint="eastAsia" w:ascii="宋体" w:hAnsi="宋体" w:cs="宋体"/>
          <w:sz w:val="24"/>
          <w:szCs w:val="24"/>
        </w:rPr>
        <w:t>17.4投标截止时间后，投标人不得撤回、修改投标文件。</w:t>
      </w:r>
    </w:p>
    <w:p>
      <w:pPr>
        <w:pStyle w:val="10"/>
        <w:snapToGrid w:val="0"/>
        <w:ind w:firstLine="480" w:firstLineChars="200"/>
        <w:rPr>
          <w:rFonts w:ascii="宋体" w:hAnsi="宋体" w:cs="宋体"/>
          <w:sz w:val="24"/>
          <w:szCs w:val="24"/>
        </w:rPr>
      </w:pPr>
      <w:r>
        <w:rPr>
          <w:rFonts w:hint="eastAsia" w:ascii="宋体" w:hAnsi="宋体" w:cs="宋体"/>
          <w:sz w:val="24"/>
          <w:szCs w:val="24"/>
        </w:rPr>
        <w:t>17.5不论投标人中标与否，投标人文件均不得撤回其投标。</w:t>
      </w:r>
    </w:p>
    <w:p>
      <w:pPr>
        <w:pStyle w:val="10"/>
        <w:snapToGrid w:val="0"/>
        <w:ind w:firstLine="480" w:firstLineChars="200"/>
        <w:rPr>
          <w:rFonts w:ascii="宋体" w:hAnsi="宋体" w:cs="宋体"/>
          <w:sz w:val="24"/>
          <w:szCs w:val="24"/>
        </w:rPr>
      </w:pPr>
      <w:r>
        <w:rPr>
          <w:rFonts w:hint="eastAsia" w:ascii="宋体" w:hAnsi="宋体" w:cs="宋体"/>
          <w:sz w:val="24"/>
          <w:szCs w:val="24"/>
        </w:rPr>
        <w:t>17.6未按时解密视为投标文件撤回。</w:t>
      </w:r>
    </w:p>
    <w:p>
      <w:pPr>
        <w:snapToGrid w:val="0"/>
        <w:ind w:firstLine="354" w:firstLineChars="147"/>
        <w:jc w:val="left"/>
        <w:rPr>
          <w:rFonts w:ascii="宋体" w:hAnsi="宋体" w:cs="宋体"/>
          <w:b/>
          <w:color w:val="auto"/>
          <w:sz w:val="24"/>
          <w:szCs w:val="24"/>
        </w:rPr>
      </w:pPr>
      <w:r>
        <w:rPr>
          <w:rFonts w:hint="eastAsia" w:ascii="宋体" w:hAnsi="宋体" w:cs="宋体"/>
          <w:b/>
          <w:color w:val="auto"/>
          <w:sz w:val="24"/>
          <w:szCs w:val="24"/>
        </w:rPr>
        <w:t>18.投标无效的情形</w:t>
      </w:r>
    </w:p>
    <w:p>
      <w:pPr>
        <w:snapToGrid w:val="0"/>
        <w:ind w:firstLine="480" w:firstLineChars="200"/>
        <w:rPr>
          <w:rFonts w:ascii="宋体" w:hAnsi="宋体" w:cs="宋体"/>
          <w:color w:val="auto"/>
          <w:sz w:val="24"/>
          <w:szCs w:val="24"/>
        </w:rPr>
      </w:pPr>
      <w:r>
        <w:rPr>
          <w:rFonts w:hint="eastAsia" w:ascii="宋体" w:hAnsi="宋体" w:cs="宋体"/>
          <w:color w:val="auto"/>
          <w:sz w:val="24"/>
          <w:szCs w:val="24"/>
        </w:rPr>
        <w:t>实质上没有响应招标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pPr>
        <w:pStyle w:val="11"/>
        <w:snapToGrid w:val="0"/>
        <w:spacing w:after="0"/>
        <w:ind w:left="0" w:leftChars="0" w:firstLine="472" w:firstLineChars="196"/>
        <w:rPr>
          <w:rFonts w:ascii="宋体" w:hAnsi="宋体" w:cs="宋体"/>
          <w:b/>
          <w:bCs/>
          <w:color w:val="auto"/>
          <w:sz w:val="24"/>
          <w:szCs w:val="24"/>
        </w:rPr>
      </w:pPr>
      <w:r>
        <w:rPr>
          <w:rFonts w:hint="eastAsia" w:ascii="宋体" w:hAnsi="宋体" w:cs="宋体"/>
          <w:b/>
          <w:bCs/>
          <w:color w:val="auto"/>
          <w:sz w:val="24"/>
          <w:szCs w:val="24"/>
        </w:rPr>
        <w:t>18.1在符合性审查和资格性审查时，如发现下列情形之一的，投标文件将被视为无效投标：</w:t>
      </w:r>
    </w:p>
    <w:p>
      <w:pPr>
        <w:snapToGrid w:val="0"/>
        <w:ind w:firstLine="470" w:firstLineChars="196"/>
        <w:rPr>
          <w:rFonts w:ascii="宋体" w:hAnsi="宋体" w:cs="宋体"/>
          <w:color w:val="auto"/>
          <w:sz w:val="24"/>
          <w:szCs w:val="24"/>
        </w:rPr>
      </w:pPr>
      <w:r>
        <w:rPr>
          <w:rFonts w:hint="eastAsia" w:ascii="宋体" w:hAnsi="宋体" w:cs="宋体"/>
          <w:color w:val="auto"/>
          <w:sz w:val="24"/>
          <w:szCs w:val="24"/>
        </w:rPr>
        <w:t>18.1.1资格证明文件不全的，或者不符合招标文件标明的资格要求的；</w:t>
      </w:r>
    </w:p>
    <w:p>
      <w:pPr>
        <w:snapToGrid w:val="0"/>
        <w:ind w:firstLine="470" w:firstLineChars="196"/>
        <w:rPr>
          <w:rFonts w:ascii="宋体" w:hAnsi="宋体" w:cs="宋体"/>
          <w:color w:val="auto"/>
          <w:sz w:val="24"/>
          <w:szCs w:val="24"/>
        </w:rPr>
      </w:pPr>
      <w:r>
        <w:rPr>
          <w:rFonts w:hint="eastAsia" w:ascii="宋体" w:hAnsi="宋体" w:cs="宋体"/>
          <w:color w:val="auto"/>
          <w:sz w:val="24"/>
          <w:szCs w:val="24"/>
        </w:rPr>
        <w:t>18.1.2未按照招标文件规定要求盖章；</w:t>
      </w:r>
    </w:p>
    <w:p>
      <w:pPr>
        <w:snapToGrid w:val="0"/>
        <w:ind w:firstLine="470" w:firstLineChars="196"/>
        <w:rPr>
          <w:rFonts w:ascii="宋体" w:hAnsi="宋体" w:cs="宋体"/>
          <w:color w:val="auto"/>
          <w:sz w:val="24"/>
          <w:szCs w:val="24"/>
        </w:rPr>
      </w:pPr>
      <w:r>
        <w:rPr>
          <w:rFonts w:hint="eastAsia" w:ascii="宋体" w:hAnsi="宋体" w:cs="宋体"/>
          <w:color w:val="auto"/>
          <w:sz w:val="24"/>
          <w:szCs w:val="24"/>
        </w:rPr>
        <w:t>18.1.3投标文件项目不齐全或者内容虚假的；</w:t>
      </w:r>
    </w:p>
    <w:p>
      <w:pPr>
        <w:snapToGrid w:val="0"/>
        <w:ind w:firstLine="470" w:firstLineChars="196"/>
        <w:rPr>
          <w:rFonts w:ascii="宋体" w:hAnsi="宋体" w:cs="宋体"/>
          <w:color w:val="auto"/>
          <w:sz w:val="24"/>
          <w:szCs w:val="24"/>
        </w:rPr>
      </w:pPr>
      <w:r>
        <w:rPr>
          <w:rFonts w:hint="eastAsia" w:ascii="宋体" w:hAnsi="宋体" w:cs="宋体"/>
          <w:color w:val="auto"/>
          <w:sz w:val="24"/>
          <w:szCs w:val="24"/>
        </w:rPr>
        <w:t>18.1.4投标文件的实质性内容未使用中文表述、意思表述不明确、前后矛盾或者使用计量单位不符合招标文件要求的；</w:t>
      </w:r>
    </w:p>
    <w:p>
      <w:pPr>
        <w:snapToGrid w:val="0"/>
        <w:ind w:firstLine="470" w:firstLineChars="196"/>
        <w:rPr>
          <w:rFonts w:ascii="宋体" w:hAnsi="宋体" w:cs="宋体"/>
          <w:color w:val="auto"/>
          <w:sz w:val="24"/>
          <w:szCs w:val="24"/>
        </w:rPr>
      </w:pPr>
      <w:r>
        <w:rPr>
          <w:rFonts w:hint="eastAsia" w:ascii="宋体" w:hAnsi="宋体" w:cs="宋体"/>
          <w:color w:val="auto"/>
          <w:sz w:val="24"/>
          <w:szCs w:val="24"/>
        </w:rPr>
        <w:t>18.1.5投标有效期、交货时间、质保期、售后服务承诺等条款不能满足招标文件要求的；</w:t>
      </w:r>
    </w:p>
    <w:p>
      <w:pPr>
        <w:snapToGrid w:val="0"/>
        <w:ind w:firstLine="470" w:firstLineChars="196"/>
        <w:rPr>
          <w:rFonts w:ascii="宋体" w:hAnsi="宋体" w:cs="宋体"/>
          <w:color w:val="auto"/>
          <w:sz w:val="24"/>
          <w:szCs w:val="24"/>
        </w:rPr>
      </w:pPr>
      <w:r>
        <w:rPr>
          <w:rFonts w:hint="eastAsia" w:ascii="宋体" w:hAnsi="宋体" w:cs="宋体"/>
          <w:color w:val="auto"/>
          <w:sz w:val="24"/>
          <w:szCs w:val="24"/>
        </w:rPr>
        <w:t>18.1.6投标文件的商务技术标内容含有报价的内容；</w:t>
      </w:r>
    </w:p>
    <w:p>
      <w:pPr>
        <w:snapToGrid w:val="0"/>
        <w:ind w:firstLine="470" w:firstLineChars="196"/>
        <w:rPr>
          <w:rFonts w:ascii="宋体" w:hAnsi="宋体" w:cs="宋体"/>
          <w:color w:val="auto"/>
          <w:sz w:val="24"/>
          <w:szCs w:val="24"/>
        </w:rPr>
      </w:pPr>
      <w:r>
        <w:rPr>
          <w:rFonts w:hint="eastAsia" w:ascii="宋体" w:hAnsi="宋体" w:cs="宋体"/>
          <w:color w:val="auto"/>
          <w:sz w:val="24"/>
          <w:szCs w:val="24"/>
        </w:rPr>
        <w:t>18.1.7投标文件含有采购人不能接受的附加条件的；</w:t>
      </w:r>
    </w:p>
    <w:p>
      <w:pPr>
        <w:snapToGrid w:val="0"/>
        <w:ind w:left="420" w:firstLine="48" w:firstLineChars="20"/>
        <w:rPr>
          <w:rFonts w:ascii="宋体" w:hAnsi="宋体" w:cs="宋体"/>
          <w:color w:val="auto"/>
          <w:sz w:val="24"/>
          <w:szCs w:val="24"/>
        </w:rPr>
      </w:pPr>
      <w:r>
        <w:rPr>
          <w:rFonts w:hint="eastAsia" w:ascii="宋体" w:hAnsi="宋体" w:cs="宋体"/>
          <w:color w:val="auto"/>
          <w:sz w:val="24"/>
          <w:szCs w:val="24"/>
        </w:rPr>
        <w:t>18.1.8不符合法律、法规或未实质性响应招标文件要求或者投标文件有采购人不能接受的附加条件的。</w:t>
      </w:r>
    </w:p>
    <w:p>
      <w:pPr>
        <w:pStyle w:val="11"/>
        <w:snapToGrid w:val="0"/>
        <w:spacing w:after="0"/>
        <w:rPr>
          <w:rFonts w:ascii="宋体" w:hAnsi="宋体" w:cs="宋体"/>
          <w:b/>
          <w:bCs/>
          <w:color w:val="auto"/>
          <w:sz w:val="24"/>
          <w:szCs w:val="24"/>
        </w:rPr>
      </w:pPr>
      <w:r>
        <w:rPr>
          <w:rFonts w:hint="eastAsia" w:ascii="宋体" w:hAnsi="宋体" w:cs="宋体"/>
          <w:b/>
          <w:bCs/>
          <w:color w:val="auto"/>
          <w:sz w:val="24"/>
          <w:szCs w:val="24"/>
        </w:rPr>
        <w:t>18.2在商务技术评审时，如发现下列情形之一的，投标文件将被视为无效：</w:t>
      </w:r>
    </w:p>
    <w:p>
      <w:pPr>
        <w:snapToGrid w:val="0"/>
        <w:ind w:firstLine="470" w:firstLineChars="196"/>
        <w:rPr>
          <w:rFonts w:ascii="宋体" w:hAnsi="宋体" w:cs="宋体"/>
          <w:color w:val="auto"/>
          <w:sz w:val="24"/>
          <w:szCs w:val="24"/>
        </w:rPr>
      </w:pPr>
      <w:r>
        <w:rPr>
          <w:rFonts w:hint="eastAsia" w:ascii="宋体" w:hAnsi="宋体" w:cs="宋体"/>
          <w:color w:val="auto"/>
          <w:sz w:val="24"/>
          <w:szCs w:val="24"/>
        </w:rPr>
        <w:t>18.2.1未提供或未如实提供投标货物的技术参数，或者投标文件标明的响应或偏离与事实不符或虚假投标的；</w:t>
      </w:r>
    </w:p>
    <w:p>
      <w:pPr>
        <w:snapToGrid w:val="0"/>
        <w:ind w:firstLine="470" w:firstLineChars="196"/>
        <w:rPr>
          <w:rFonts w:ascii="宋体" w:hAnsi="宋体" w:cs="宋体"/>
          <w:color w:val="auto"/>
          <w:sz w:val="24"/>
          <w:szCs w:val="24"/>
        </w:rPr>
      </w:pPr>
      <w:r>
        <w:rPr>
          <w:rFonts w:hint="eastAsia" w:ascii="宋体" w:hAnsi="宋体" w:cs="宋体"/>
          <w:color w:val="auto"/>
          <w:sz w:val="24"/>
          <w:szCs w:val="24"/>
        </w:rPr>
        <w:t>18.2.2明显不符合招标文件要求的规格型号、质量标准，或者与招标文件中标“★”的技术指标、主要功能项目发生实质性偏离的；</w:t>
      </w:r>
    </w:p>
    <w:p>
      <w:pPr>
        <w:snapToGrid w:val="0"/>
        <w:ind w:firstLine="470" w:firstLineChars="196"/>
        <w:rPr>
          <w:rFonts w:ascii="宋体" w:hAnsi="宋体" w:cs="宋体"/>
          <w:color w:val="auto"/>
          <w:sz w:val="24"/>
          <w:szCs w:val="24"/>
        </w:rPr>
      </w:pPr>
      <w:r>
        <w:rPr>
          <w:rFonts w:hint="eastAsia" w:ascii="宋体" w:hAnsi="宋体" w:cs="宋体"/>
          <w:color w:val="auto"/>
          <w:sz w:val="24"/>
          <w:szCs w:val="24"/>
        </w:rPr>
        <w:t>18.2.3允许偏离的技术、性能指标或者辅助功能项目发生负偏离达20项（含）以上的；</w:t>
      </w:r>
    </w:p>
    <w:p>
      <w:pPr>
        <w:snapToGrid w:val="0"/>
        <w:ind w:firstLine="470" w:firstLineChars="196"/>
        <w:rPr>
          <w:rFonts w:ascii="宋体" w:hAnsi="宋体" w:cs="宋体"/>
          <w:color w:val="auto"/>
          <w:sz w:val="24"/>
          <w:szCs w:val="24"/>
        </w:rPr>
      </w:pPr>
      <w:r>
        <w:rPr>
          <w:rFonts w:hint="eastAsia" w:ascii="宋体" w:hAnsi="宋体" w:cs="宋体"/>
          <w:color w:val="auto"/>
          <w:sz w:val="24"/>
          <w:szCs w:val="24"/>
        </w:rPr>
        <w:t>18.2.4投标技术方案不明确，存在一个或一个以上备选（替代）投标方案的；</w:t>
      </w:r>
    </w:p>
    <w:p>
      <w:pPr>
        <w:snapToGrid w:val="0"/>
        <w:ind w:firstLine="470" w:firstLineChars="196"/>
        <w:rPr>
          <w:rFonts w:ascii="宋体" w:hAnsi="宋体" w:cs="宋体"/>
          <w:color w:val="auto"/>
          <w:sz w:val="24"/>
          <w:szCs w:val="24"/>
        </w:rPr>
      </w:pPr>
      <w:r>
        <w:rPr>
          <w:rFonts w:hint="eastAsia" w:ascii="宋体" w:hAnsi="宋体" w:cs="宋体"/>
          <w:color w:val="auto"/>
          <w:sz w:val="24"/>
          <w:szCs w:val="24"/>
        </w:rPr>
        <w:t>18.2.5</w:t>
      </w:r>
      <w:r>
        <w:rPr>
          <w:rFonts w:hint="eastAsia" w:ascii="宋体" w:hAnsi="宋体" w:cs="宋体"/>
          <w:b/>
          <w:color w:val="auto"/>
          <w:sz w:val="24"/>
          <w:szCs w:val="24"/>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pStyle w:val="11"/>
        <w:snapToGrid w:val="0"/>
        <w:spacing w:after="0"/>
        <w:rPr>
          <w:rFonts w:ascii="宋体" w:hAnsi="宋体" w:cs="宋体"/>
          <w:b/>
          <w:bCs/>
          <w:color w:val="auto"/>
          <w:sz w:val="24"/>
          <w:szCs w:val="24"/>
        </w:rPr>
      </w:pPr>
      <w:r>
        <w:rPr>
          <w:rFonts w:hint="eastAsia" w:ascii="宋体" w:hAnsi="宋体" w:cs="宋体"/>
          <w:b/>
          <w:bCs/>
          <w:color w:val="auto"/>
          <w:sz w:val="24"/>
          <w:szCs w:val="24"/>
        </w:rPr>
        <w:t>18.3在报价评审时，如发现下列情形之一的，投标文件将被视为无效：</w:t>
      </w:r>
    </w:p>
    <w:p>
      <w:pPr>
        <w:snapToGrid w:val="0"/>
        <w:ind w:firstLine="470" w:firstLineChars="196"/>
        <w:rPr>
          <w:rFonts w:ascii="宋体" w:hAnsi="宋体" w:cs="宋体"/>
          <w:color w:val="auto"/>
          <w:sz w:val="24"/>
          <w:szCs w:val="24"/>
        </w:rPr>
      </w:pPr>
      <w:r>
        <w:rPr>
          <w:rFonts w:hint="eastAsia" w:ascii="宋体" w:hAnsi="宋体" w:cs="宋体"/>
          <w:color w:val="auto"/>
          <w:sz w:val="24"/>
          <w:szCs w:val="24"/>
        </w:rPr>
        <w:t>（1）未采用人民币报价或者未按照招标文件标明的币种报价的；</w:t>
      </w:r>
    </w:p>
    <w:p>
      <w:pPr>
        <w:snapToGrid w:val="0"/>
        <w:ind w:firstLine="470" w:firstLineChars="196"/>
        <w:rPr>
          <w:rFonts w:ascii="宋体" w:hAnsi="宋体" w:cs="宋体"/>
          <w:color w:val="auto"/>
          <w:sz w:val="24"/>
          <w:szCs w:val="24"/>
        </w:rPr>
      </w:pPr>
      <w:r>
        <w:rPr>
          <w:rFonts w:hint="eastAsia" w:ascii="宋体" w:hAnsi="宋体" w:cs="宋体"/>
          <w:color w:val="auto"/>
          <w:sz w:val="24"/>
          <w:szCs w:val="24"/>
        </w:rPr>
        <w:t>（2）投标报价超过招标文件中规定的最高限价的；</w:t>
      </w:r>
    </w:p>
    <w:p>
      <w:pPr>
        <w:snapToGrid w:val="0"/>
        <w:ind w:firstLine="470" w:firstLineChars="196"/>
        <w:rPr>
          <w:rFonts w:ascii="宋体" w:hAnsi="宋体" w:cs="宋体"/>
          <w:color w:val="auto"/>
          <w:sz w:val="24"/>
          <w:szCs w:val="24"/>
        </w:rPr>
      </w:pPr>
      <w:r>
        <w:rPr>
          <w:rFonts w:hint="eastAsia" w:ascii="宋体" w:hAnsi="宋体" w:cs="宋体"/>
          <w:color w:val="auto"/>
          <w:sz w:val="24"/>
          <w:szCs w:val="24"/>
        </w:rPr>
        <w:t>（3）评标委员会认为投标人的报价明显低于其他通过符合性审查投标人的报价，有可能影响产品质量或者不能诚信履约，且投标人不能证明其报价合理性的；</w:t>
      </w:r>
    </w:p>
    <w:p>
      <w:pPr>
        <w:snapToGrid w:val="0"/>
        <w:ind w:firstLine="470" w:firstLineChars="196"/>
        <w:rPr>
          <w:rFonts w:ascii="宋体" w:hAnsi="宋体" w:cs="宋体"/>
          <w:color w:val="auto"/>
          <w:sz w:val="24"/>
          <w:szCs w:val="24"/>
        </w:rPr>
      </w:pPr>
      <w:r>
        <w:rPr>
          <w:rFonts w:hint="eastAsia" w:ascii="宋体" w:hAnsi="宋体" w:cs="宋体"/>
          <w:color w:val="auto"/>
          <w:sz w:val="24"/>
          <w:szCs w:val="24"/>
        </w:rPr>
        <w:t>（4）投标人不接受报价文件中修正后的报价的；</w:t>
      </w:r>
    </w:p>
    <w:p>
      <w:pPr>
        <w:snapToGrid w:val="0"/>
        <w:ind w:firstLine="470" w:firstLineChars="196"/>
        <w:rPr>
          <w:rFonts w:ascii="宋体" w:hAnsi="宋体" w:cs="宋体"/>
          <w:color w:val="auto"/>
          <w:sz w:val="24"/>
          <w:szCs w:val="24"/>
        </w:rPr>
      </w:pPr>
      <w:r>
        <w:rPr>
          <w:rFonts w:hint="eastAsia" w:ascii="宋体" w:hAnsi="宋体" w:cs="宋体"/>
          <w:color w:val="auto"/>
          <w:sz w:val="24"/>
          <w:szCs w:val="24"/>
        </w:rPr>
        <w:t>（5）投标报价具有选择性。</w:t>
      </w:r>
    </w:p>
    <w:p>
      <w:pPr>
        <w:pStyle w:val="11"/>
        <w:snapToGrid w:val="0"/>
        <w:spacing w:after="0"/>
        <w:rPr>
          <w:rFonts w:ascii="宋体" w:hAnsi="宋体" w:cs="宋体"/>
          <w:b/>
          <w:bCs/>
          <w:color w:val="auto"/>
          <w:sz w:val="24"/>
          <w:szCs w:val="24"/>
        </w:rPr>
      </w:pPr>
      <w:r>
        <w:rPr>
          <w:rFonts w:hint="eastAsia" w:ascii="宋体" w:hAnsi="宋体" w:cs="宋体"/>
          <w:b/>
          <w:bCs/>
          <w:color w:val="auto"/>
          <w:sz w:val="24"/>
          <w:szCs w:val="24"/>
        </w:rPr>
        <w:t>18.4符合招标文件明确规定的其他无效投标条款的。</w:t>
      </w:r>
    </w:p>
    <w:p>
      <w:pPr>
        <w:pStyle w:val="5"/>
        <w:spacing w:line="360" w:lineRule="exact"/>
        <w:jc w:val="center"/>
        <w:rPr>
          <w:rFonts w:ascii="宋体" w:hAnsi="宋体" w:eastAsia="宋体" w:cs="宋体"/>
          <w:sz w:val="28"/>
          <w:szCs w:val="28"/>
        </w:rPr>
      </w:pPr>
      <w:bookmarkStart w:id="25" w:name="_Toc125344507"/>
      <w:r>
        <w:rPr>
          <w:rFonts w:hint="eastAsia" w:ascii="宋体" w:hAnsi="宋体" w:eastAsia="宋体" w:cs="宋体"/>
          <w:sz w:val="28"/>
          <w:szCs w:val="28"/>
        </w:rPr>
        <w:t>四、开  标</w:t>
      </w:r>
      <w:bookmarkEnd w:id="25"/>
    </w:p>
    <w:p>
      <w:pPr>
        <w:ind w:firstLine="482" w:firstLineChars="200"/>
        <w:rPr>
          <w:rFonts w:ascii="宋体" w:hAnsi="宋体" w:cs="宋体"/>
          <w:b/>
          <w:color w:val="auto"/>
          <w:sz w:val="24"/>
        </w:rPr>
      </w:pPr>
      <w:r>
        <w:rPr>
          <w:rFonts w:hint="eastAsia" w:ascii="宋体" w:hAnsi="宋体" w:cs="宋体"/>
          <w:b/>
          <w:bCs/>
          <w:color w:val="auto"/>
          <w:sz w:val="24"/>
        </w:rPr>
        <w:t>19.</w:t>
      </w:r>
      <w:r>
        <w:rPr>
          <w:rFonts w:hint="eastAsia" w:ascii="宋体" w:hAnsi="宋体" w:cs="宋体"/>
          <w:b/>
          <w:color w:val="auto"/>
          <w:sz w:val="24"/>
        </w:rPr>
        <w:t>开标</w:t>
      </w:r>
    </w:p>
    <w:p>
      <w:pPr>
        <w:ind w:firstLine="480" w:firstLineChars="200"/>
        <w:rPr>
          <w:rFonts w:ascii="宋体" w:hAnsi="宋体" w:cs="宋体"/>
          <w:color w:val="auto"/>
          <w:sz w:val="24"/>
        </w:rPr>
      </w:pPr>
      <w:r>
        <w:rPr>
          <w:rFonts w:hint="eastAsia" w:ascii="宋体" w:hAnsi="宋体" w:cs="宋体"/>
          <w:color w:val="auto"/>
          <w:sz w:val="24"/>
        </w:rPr>
        <w:t>19.1采购代理机构将在前附表规定的时间、地点进行开标。无关人员不得进入开标现场。</w:t>
      </w:r>
    </w:p>
    <w:p>
      <w:pPr>
        <w:ind w:firstLine="480" w:firstLineChars="200"/>
        <w:rPr>
          <w:rFonts w:ascii="宋体" w:hAnsi="宋体" w:cs="宋体"/>
          <w:color w:val="auto"/>
          <w:sz w:val="24"/>
        </w:rPr>
      </w:pPr>
      <w:r>
        <w:rPr>
          <w:rFonts w:hint="eastAsia" w:ascii="宋体" w:hAnsi="宋体" w:cs="宋体"/>
          <w:color w:val="auto"/>
          <w:sz w:val="24"/>
        </w:rPr>
        <w:t xml:space="preserve">19.2本项目实行电子开评标，投标人无需前往开评标现场，只需在规定时间内在“政采云”平台上上传电子投标文件。 </w:t>
      </w:r>
    </w:p>
    <w:p>
      <w:pPr>
        <w:ind w:firstLine="482" w:firstLineChars="200"/>
        <w:rPr>
          <w:rFonts w:ascii="宋体" w:hAnsi="宋体" w:cs="宋体"/>
          <w:b/>
          <w:color w:val="auto"/>
          <w:sz w:val="24"/>
        </w:rPr>
      </w:pPr>
      <w:r>
        <w:rPr>
          <w:rFonts w:hint="eastAsia" w:ascii="宋体" w:hAnsi="宋体" w:cs="宋体"/>
          <w:b/>
          <w:color w:val="auto"/>
          <w:sz w:val="24"/>
        </w:rPr>
        <w:t>20.开标程序</w:t>
      </w:r>
    </w:p>
    <w:p>
      <w:pPr>
        <w:ind w:firstLine="482" w:firstLineChars="200"/>
        <w:rPr>
          <w:rFonts w:ascii="宋体" w:hAnsi="宋体" w:cs="宋体"/>
          <w:b/>
          <w:color w:val="auto"/>
          <w:sz w:val="24"/>
        </w:rPr>
      </w:pPr>
      <w:r>
        <w:rPr>
          <w:rFonts w:hint="eastAsia" w:ascii="宋体" w:hAnsi="宋体" w:cs="宋体"/>
          <w:b/>
          <w:color w:val="auto"/>
          <w:sz w:val="24"/>
        </w:rPr>
        <w:t>20.1投标截止时间后的30分钟内，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ind w:firstLine="480" w:firstLineChars="200"/>
        <w:rPr>
          <w:rFonts w:ascii="宋体" w:hAnsi="宋体" w:cs="宋体"/>
          <w:color w:val="auto"/>
          <w:sz w:val="24"/>
        </w:rPr>
      </w:pPr>
      <w:r>
        <w:rPr>
          <w:rFonts w:hint="eastAsia" w:ascii="宋体" w:hAnsi="宋体" w:cs="宋体"/>
          <w:color w:val="auto"/>
          <w:sz w:val="24"/>
        </w:rPr>
        <w:t>20.2评标委员会对投标人的资格和商务技术响应文件进行评审；</w:t>
      </w:r>
    </w:p>
    <w:p>
      <w:pPr>
        <w:ind w:firstLine="480" w:firstLineChars="200"/>
        <w:rPr>
          <w:rFonts w:ascii="宋体" w:hAnsi="宋体" w:cs="宋体"/>
          <w:color w:val="auto"/>
          <w:sz w:val="24"/>
        </w:rPr>
      </w:pPr>
      <w:r>
        <w:rPr>
          <w:rFonts w:hint="eastAsia" w:ascii="宋体" w:hAnsi="宋体" w:cs="宋体"/>
          <w:color w:val="auto"/>
          <w:sz w:val="24"/>
        </w:rPr>
        <w:t>20.3对商务技术标有效的投标单位的投标报价在“政采云”平台上予以公开；</w:t>
      </w:r>
    </w:p>
    <w:p>
      <w:pPr>
        <w:ind w:firstLine="480" w:firstLineChars="200"/>
        <w:rPr>
          <w:rFonts w:ascii="宋体" w:hAnsi="宋体" w:cs="宋体"/>
          <w:color w:val="auto"/>
          <w:sz w:val="24"/>
        </w:rPr>
      </w:pPr>
      <w:r>
        <w:rPr>
          <w:rFonts w:hint="eastAsia" w:ascii="宋体" w:hAnsi="宋体" w:cs="宋体"/>
          <w:color w:val="auto"/>
          <w:sz w:val="24"/>
        </w:rPr>
        <w:t>20.4评标委员会对商务技术标有效的投标单位进行投标报价评审，确定投标报价评审有效投标单位；</w:t>
      </w:r>
    </w:p>
    <w:p>
      <w:pPr>
        <w:ind w:firstLine="480" w:firstLineChars="200"/>
        <w:rPr>
          <w:rFonts w:ascii="宋体" w:hAnsi="宋体" w:cs="宋体"/>
          <w:color w:val="auto"/>
          <w:sz w:val="24"/>
        </w:rPr>
      </w:pPr>
      <w:r>
        <w:rPr>
          <w:rFonts w:hint="eastAsia" w:ascii="宋体" w:hAnsi="宋体" w:cs="宋体"/>
          <w:color w:val="auto"/>
          <w:sz w:val="24"/>
        </w:rPr>
        <w:t>20.5对投标报价评审后有效的投标单位计算投标报价分和综合得分；</w:t>
      </w:r>
    </w:p>
    <w:p>
      <w:pPr>
        <w:ind w:firstLine="480" w:firstLineChars="200"/>
        <w:rPr>
          <w:rFonts w:ascii="宋体" w:hAnsi="宋体" w:cs="宋体"/>
          <w:color w:val="auto"/>
          <w:sz w:val="24"/>
        </w:rPr>
      </w:pPr>
      <w:r>
        <w:rPr>
          <w:rFonts w:hint="eastAsia" w:ascii="宋体" w:hAnsi="宋体" w:cs="宋体"/>
          <w:color w:val="auto"/>
          <w:sz w:val="24"/>
        </w:rPr>
        <w:t>20.6确定预中标人。</w:t>
      </w:r>
    </w:p>
    <w:p>
      <w:pPr>
        <w:ind w:firstLine="482" w:firstLineChars="200"/>
        <w:rPr>
          <w:rFonts w:ascii="宋体" w:hAnsi="宋体" w:cs="宋体"/>
          <w:b/>
          <w:color w:val="auto"/>
          <w:sz w:val="24"/>
        </w:rPr>
      </w:pPr>
      <w:bookmarkStart w:id="26" w:name="_Toc125344508"/>
      <w:r>
        <w:rPr>
          <w:rFonts w:hint="eastAsia" w:ascii="宋体" w:hAnsi="宋体" w:cs="宋体"/>
          <w:b/>
          <w:color w:val="auto"/>
          <w:sz w:val="24"/>
        </w:rPr>
        <w:t>特别说明：</w:t>
      </w:r>
    </w:p>
    <w:p>
      <w:pPr>
        <w:ind w:firstLine="482" w:firstLineChars="200"/>
        <w:rPr>
          <w:rFonts w:ascii="宋体" w:hAnsi="宋体" w:cs="宋体"/>
          <w:b/>
          <w:color w:val="auto"/>
          <w:sz w:val="24"/>
        </w:rPr>
      </w:pPr>
      <w:r>
        <w:rPr>
          <w:rFonts w:hint="eastAsia" w:ascii="宋体" w:hAnsi="宋体" w:cs="宋体"/>
          <w:b/>
          <w:color w:val="auto"/>
          <w:sz w:val="24"/>
        </w:rPr>
        <w:t>1、政采云公司如对电子化开标及评审程序有调整的，按调整后的程序操作。</w:t>
      </w:r>
    </w:p>
    <w:p>
      <w:pPr>
        <w:ind w:firstLine="482" w:firstLineChars="200"/>
        <w:rPr>
          <w:rFonts w:ascii="宋体" w:hAnsi="宋体" w:cs="宋体"/>
          <w:b/>
          <w:color w:val="auto"/>
          <w:sz w:val="24"/>
        </w:rPr>
      </w:pPr>
      <w:r>
        <w:rPr>
          <w:rFonts w:hint="eastAsia" w:ascii="宋体" w:hAnsi="宋体" w:cs="宋体"/>
          <w:b/>
          <w:color w:val="auto"/>
          <w:sz w:val="24"/>
        </w:rPr>
        <w:t>2、如中标单位投标文件和招标文件要求不一致，且评审过程中未发现的，履约应按有利于采购人的要求执行。</w:t>
      </w:r>
    </w:p>
    <w:p>
      <w:pPr>
        <w:ind w:firstLine="482" w:firstLineChars="200"/>
        <w:rPr>
          <w:rFonts w:ascii="宋体" w:hAnsi="宋体" w:cs="宋体"/>
          <w:b/>
          <w:color w:val="auto"/>
          <w:sz w:val="24"/>
        </w:rPr>
      </w:pPr>
      <w:r>
        <w:rPr>
          <w:rFonts w:hint="eastAsia" w:ascii="宋体" w:hAnsi="宋体" w:cs="宋体"/>
          <w:b/>
          <w:color w:val="auto"/>
          <w:sz w:val="24"/>
        </w:rPr>
        <w:t>3、采购过程中出现以下情形，导致电子交易平台无法正常运行，或者无法保证电子交易的公平、公正和安全时，采购组织机构可中止电子交易活动：</w:t>
      </w:r>
    </w:p>
    <w:p>
      <w:pPr>
        <w:pStyle w:val="21"/>
        <w:ind w:firstLine="480" w:firstLineChars="200"/>
        <w:rPr>
          <w:rFonts w:ascii="宋体" w:hAnsi="宋体" w:cs="宋体"/>
          <w:sz w:val="24"/>
        </w:rPr>
      </w:pPr>
      <w:r>
        <w:rPr>
          <w:rFonts w:hint="eastAsia" w:ascii="宋体" w:hAnsi="宋体" w:cs="宋体"/>
          <w:sz w:val="24"/>
        </w:rPr>
        <w:t>（一）电子交易平台发生故障而无法登录访问的；</w:t>
      </w:r>
    </w:p>
    <w:p>
      <w:pPr>
        <w:pStyle w:val="21"/>
        <w:ind w:firstLine="480" w:firstLineChars="200"/>
        <w:rPr>
          <w:rFonts w:ascii="宋体" w:hAnsi="宋体" w:cs="宋体"/>
          <w:sz w:val="24"/>
        </w:rPr>
      </w:pPr>
      <w:r>
        <w:rPr>
          <w:rFonts w:hint="eastAsia" w:ascii="宋体" w:hAnsi="宋体" w:cs="宋体"/>
          <w:sz w:val="24"/>
        </w:rPr>
        <w:t>（二）电子交易平台应用或数据库出现错误，不能进行正常操作的；</w:t>
      </w:r>
    </w:p>
    <w:p>
      <w:pPr>
        <w:pStyle w:val="21"/>
        <w:ind w:firstLine="480" w:firstLineChars="200"/>
        <w:rPr>
          <w:rFonts w:ascii="宋体" w:hAnsi="宋体" w:cs="宋体"/>
          <w:sz w:val="24"/>
        </w:rPr>
      </w:pPr>
      <w:r>
        <w:rPr>
          <w:rFonts w:hint="eastAsia" w:ascii="宋体" w:hAnsi="宋体" w:cs="宋体"/>
          <w:sz w:val="24"/>
        </w:rPr>
        <w:t>（三）电子交易平台发现严重安全漏洞，有潜在泄密危险的；</w:t>
      </w:r>
    </w:p>
    <w:p>
      <w:pPr>
        <w:pStyle w:val="21"/>
        <w:ind w:firstLine="480" w:firstLineChars="200"/>
        <w:rPr>
          <w:rFonts w:ascii="宋体" w:hAnsi="宋体" w:cs="宋体"/>
          <w:sz w:val="24"/>
        </w:rPr>
      </w:pPr>
      <w:r>
        <w:rPr>
          <w:rFonts w:hint="eastAsia" w:ascii="宋体" w:hAnsi="宋体" w:cs="宋体"/>
          <w:sz w:val="24"/>
        </w:rPr>
        <w:t>（四）病毒发作导致不能进行正常操作的；</w:t>
      </w:r>
    </w:p>
    <w:p>
      <w:pPr>
        <w:pStyle w:val="21"/>
        <w:ind w:firstLine="480" w:firstLineChars="200"/>
        <w:rPr>
          <w:rFonts w:ascii="宋体" w:hAnsi="宋体" w:cs="宋体"/>
          <w:sz w:val="24"/>
        </w:rPr>
      </w:pPr>
      <w:r>
        <w:rPr>
          <w:rFonts w:hint="eastAsia" w:ascii="宋体" w:hAnsi="宋体" w:cs="宋体"/>
          <w:sz w:val="24"/>
        </w:rPr>
        <w:t>（五）其他无法保证电子交易的公平、公正和安全的情况。</w:t>
      </w:r>
    </w:p>
    <w:p>
      <w:pPr>
        <w:pStyle w:val="21"/>
        <w:ind w:firstLine="480" w:firstLineChars="200"/>
        <w:rPr>
          <w:rFonts w:ascii="宋体" w:hAnsi="宋体" w:cs="宋体"/>
          <w:sz w:val="24"/>
        </w:rPr>
      </w:pPr>
      <w:r>
        <w:rPr>
          <w:rFonts w:hint="eastAsia" w:ascii="宋体" w:hAnsi="宋体" w:cs="宋体"/>
          <w:sz w:val="24"/>
        </w:rPr>
        <w:t>出现前款规定情形，不影响采购公平、公正性的，采购组织机构可以待上述情形消除后继续组织电子交易活动；影响或可能影响采购公平、公正性的，应当重新采购。</w:t>
      </w:r>
    </w:p>
    <w:p>
      <w:pPr>
        <w:pStyle w:val="5"/>
        <w:spacing w:line="360" w:lineRule="exact"/>
        <w:jc w:val="center"/>
        <w:rPr>
          <w:rFonts w:ascii="宋体" w:hAnsi="宋体" w:eastAsia="宋体" w:cs="宋体"/>
          <w:sz w:val="28"/>
          <w:szCs w:val="28"/>
        </w:rPr>
      </w:pPr>
      <w:r>
        <w:rPr>
          <w:rFonts w:hint="eastAsia" w:ascii="宋体" w:hAnsi="宋体" w:eastAsia="宋体" w:cs="宋体"/>
          <w:sz w:val="28"/>
          <w:szCs w:val="28"/>
        </w:rPr>
        <w:t xml:space="preserve"> 五、评　标</w:t>
      </w:r>
      <w:bookmarkEnd w:id="26"/>
    </w:p>
    <w:p>
      <w:pPr>
        <w:ind w:firstLine="482" w:firstLineChars="200"/>
        <w:rPr>
          <w:rFonts w:ascii="宋体" w:hAnsi="宋体" w:cs="宋体"/>
          <w:b/>
          <w:color w:val="auto"/>
          <w:sz w:val="24"/>
        </w:rPr>
      </w:pPr>
      <w:r>
        <w:rPr>
          <w:rFonts w:hint="eastAsia" w:ascii="宋体" w:hAnsi="宋体" w:cs="宋体"/>
          <w:b/>
          <w:color w:val="auto"/>
          <w:sz w:val="24"/>
        </w:rPr>
        <w:t>21. 组建评标委员会</w:t>
      </w:r>
    </w:p>
    <w:p>
      <w:pPr>
        <w:pStyle w:val="21"/>
        <w:ind w:firstLine="480" w:firstLineChars="200"/>
        <w:rPr>
          <w:rFonts w:ascii="宋体" w:hAnsi="宋体" w:cs="宋体"/>
          <w:sz w:val="24"/>
        </w:rPr>
      </w:pPr>
      <w:r>
        <w:rPr>
          <w:rFonts w:hint="eastAsia" w:ascii="宋体" w:hAnsi="宋体" w:cs="宋体"/>
          <w:sz w:val="24"/>
        </w:rPr>
        <w:t>评标委员会按照有关规定组建。</w:t>
      </w:r>
    </w:p>
    <w:p>
      <w:pPr>
        <w:ind w:firstLine="482" w:firstLineChars="200"/>
        <w:rPr>
          <w:rFonts w:ascii="宋体" w:hAnsi="宋体" w:cs="宋体"/>
          <w:b/>
          <w:color w:val="auto"/>
          <w:sz w:val="24"/>
        </w:rPr>
      </w:pPr>
      <w:r>
        <w:rPr>
          <w:rFonts w:hint="eastAsia" w:ascii="宋体" w:hAnsi="宋体" w:cs="宋体"/>
          <w:b/>
          <w:color w:val="auto"/>
          <w:sz w:val="24"/>
        </w:rPr>
        <w:t>22.评标原则</w:t>
      </w:r>
    </w:p>
    <w:p>
      <w:pPr>
        <w:pStyle w:val="21"/>
        <w:ind w:firstLine="480" w:firstLineChars="200"/>
        <w:rPr>
          <w:rFonts w:ascii="宋体" w:hAnsi="宋体" w:cs="宋体"/>
          <w:sz w:val="24"/>
        </w:rPr>
      </w:pPr>
      <w:r>
        <w:rPr>
          <w:rFonts w:hint="eastAsia" w:ascii="宋体" w:hAnsi="宋体" w:cs="宋体"/>
          <w:sz w:val="24"/>
        </w:rPr>
        <w:t>22.1评标委员会必须公平、公正、客观，不带任何倾向性和启发性；</w:t>
      </w:r>
    </w:p>
    <w:p>
      <w:pPr>
        <w:pStyle w:val="21"/>
        <w:ind w:firstLine="480" w:firstLineChars="200"/>
        <w:rPr>
          <w:rFonts w:ascii="宋体" w:hAnsi="宋体" w:cs="宋体"/>
          <w:sz w:val="24"/>
        </w:rPr>
      </w:pPr>
      <w:r>
        <w:rPr>
          <w:rFonts w:hint="eastAsia" w:ascii="宋体" w:hAnsi="宋体" w:cs="宋体"/>
          <w:sz w:val="24"/>
        </w:rPr>
        <w:t>22.2不得向外界透露任何与评标有关的内容；</w:t>
      </w:r>
    </w:p>
    <w:p>
      <w:pPr>
        <w:pStyle w:val="21"/>
        <w:ind w:firstLine="480" w:firstLineChars="200"/>
        <w:rPr>
          <w:rFonts w:ascii="宋体" w:hAnsi="宋体" w:cs="宋体"/>
          <w:sz w:val="24"/>
        </w:rPr>
      </w:pPr>
      <w:r>
        <w:rPr>
          <w:rFonts w:hint="eastAsia" w:ascii="宋体" w:hAnsi="宋体" w:cs="宋体"/>
          <w:sz w:val="24"/>
        </w:rPr>
        <w:t>22.3任何单位和个人不得干扰、影响评标的正常进行；</w:t>
      </w:r>
    </w:p>
    <w:p>
      <w:pPr>
        <w:pStyle w:val="21"/>
        <w:ind w:firstLine="480" w:firstLineChars="200"/>
        <w:rPr>
          <w:rFonts w:ascii="宋体" w:hAnsi="宋体" w:cs="宋体"/>
          <w:sz w:val="24"/>
        </w:rPr>
      </w:pPr>
      <w:r>
        <w:rPr>
          <w:rFonts w:hint="eastAsia" w:ascii="宋体" w:hAnsi="宋体" w:cs="宋体"/>
          <w:sz w:val="24"/>
        </w:rPr>
        <w:t>22.4评标委员会及有关工作人员不得私下与投标人接触。</w:t>
      </w:r>
    </w:p>
    <w:p>
      <w:pPr>
        <w:pStyle w:val="21"/>
        <w:ind w:firstLine="480" w:firstLineChars="200"/>
        <w:rPr>
          <w:rFonts w:ascii="宋体" w:hAnsi="宋体" w:cs="宋体"/>
          <w:sz w:val="24"/>
        </w:rPr>
      </w:pPr>
      <w:r>
        <w:rPr>
          <w:rFonts w:hint="eastAsia" w:ascii="宋体" w:hAnsi="宋体" w:cs="宋体"/>
          <w:sz w:val="24"/>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ind w:firstLine="482" w:firstLineChars="200"/>
        <w:jc w:val="left"/>
        <w:rPr>
          <w:rFonts w:ascii="宋体" w:hAnsi="宋体" w:cs="宋体"/>
          <w:b/>
          <w:color w:val="auto"/>
          <w:sz w:val="24"/>
        </w:rPr>
      </w:pPr>
      <w:r>
        <w:rPr>
          <w:rFonts w:hint="eastAsia" w:ascii="宋体" w:hAnsi="宋体" w:cs="宋体"/>
          <w:b/>
          <w:color w:val="auto"/>
          <w:sz w:val="24"/>
        </w:rPr>
        <w:t>22.6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ind w:firstLine="482" w:firstLineChars="200"/>
        <w:jc w:val="left"/>
        <w:rPr>
          <w:rFonts w:ascii="宋体" w:hAnsi="宋体" w:cs="宋体"/>
          <w:b/>
          <w:color w:val="auto"/>
          <w:sz w:val="24"/>
        </w:rPr>
      </w:pPr>
      <w:r>
        <w:rPr>
          <w:rFonts w:hint="eastAsia" w:ascii="宋体" w:hAnsi="宋体" w:cs="宋体"/>
          <w:b/>
          <w:color w:val="auto"/>
          <w:sz w:val="24"/>
        </w:rPr>
        <w:t>非单一产品采购项目，采购人应当根据采购项目技术构成、产品价格比重等合理确定核心产品，并在招标文件中载明。多家投标人提供的核心产品品牌相同的，按前款规定处理。</w:t>
      </w:r>
    </w:p>
    <w:p>
      <w:pPr>
        <w:snapToGrid w:val="0"/>
        <w:ind w:firstLine="482" w:firstLineChars="200"/>
        <w:jc w:val="left"/>
        <w:rPr>
          <w:rFonts w:ascii="宋体" w:hAnsi="宋体" w:cs="宋体"/>
          <w:color w:val="auto"/>
          <w:sz w:val="24"/>
        </w:rPr>
      </w:pPr>
      <w:r>
        <w:rPr>
          <w:rFonts w:hint="eastAsia" w:ascii="宋体" w:hAnsi="宋体" w:cs="宋体"/>
          <w:b/>
          <w:color w:val="auto"/>
          <w:sz w:val="24"/>
        </w:rPr>
        <w:t>22.7</w:t>
      </w:r>
      <w:r>
        <w:rPr>
          <w:rFonts w:hint="eastAsia" w:ascii="宋体" w:hAnsi="宋体" w:cs="宋体"/>
          <w:color w:val="auto"/>
          <w:sz w:val="24"/>
        </w:rPr>
        <w:t>以联合体形式参加采购活动的，联合体各方不得再单独参加或者与其他供应商另外组成联合体参加同一合同项下的采购活动。</w:t>
      </w:r>
    </w:p>
    <w:p>
      <w:pPr>
        <w:snapToGrid w:val="0"/>
        <w:ind w:firstLine="482" w:firstLineChars="200"/>
        <w:jc w:val="left"/>
        <w:rPr>
          <w:rFonts w:ascii="宋体" w:hAnsi="宋体" w:cs="宋体"/>
          <w:b/>
          <w:color w:val="auto"/>
          <w:sz w:val="24"/>
        </w:rPr>
      </w:pPr>
      <w:r>
        <w:rPr>
          <w:rFonts w:hint="eastAsia" w:ascii="宋体" w:hAnsi="宋体" w:cs="宋体"/>
          <w:b/>
          <w:color w:val="auto"/>
          <w:sz w:val="24"/>
        </w:rPr>
        <w:t>22.8除单一来源采购以外，为采购项目提供整体设计、规范编制或者项目管理、监理、检测等服务的供应商，不得参加本采购项目。</w:t>
      </w:r>
    </w:p>
    <w:p>
      <w:pPr>
        <w:snapToGrid w:val="0"/>
        <w:ind w:firstLine="482" w:firstLineChars="200"/>
        <w:jc w:val="left"/>
        <w:rPr>
          <w:rFonts w:ascii="宋体" w:hAnsi="宋体" w:cs="宋体"/>
          <w:b/>
          <w:color w:val="auto"/>
          <w:sz w:val="24"/>
        </w:rPr>
      </w:pPr>
      <w:r>
        <w:rPr>
          <w:rFonts w:hint="eastAsia" w:ascii="宋体" w:hAnsi="宋体" w:cs="宋体"/>
          <w:b/>
          <w:color w:val="auto"/>
          <w:sz w:val="24"/>
        </w:rPr>
        <w:t>22.9单位负责人为同一人或者存在直接控股、管理关系的不同供应商，不得参加同一合同项下的采购活动。</w:t>
      </w:r>
    </w:p>
    <w:p>
      <w:pPr>
        <w:pStyle w:val="16"/>
        <w:snapToGrid w:val="0"/>
        <w:ind w:left="2" w:leftChars="1" w:firstLine="482" w:firstLineChars="200"/>
        <w:rPr>
          <w:rFonts w:ascii="宋体" w:hAnsi="宋体" w:cs="宋体"/>
          <w:b/>
        </w:rPr>
      </w:pPr>
      <w:r>
        <w:rPr>
          <w:rFonts w:hint="eastAsia" w:ascii="宋体" w:hAnsi="宋体" w:cs="宋体"/>
          <w:b/>
        </w:rPr>
        <w:t>22.10本项目涉及提供的有关资质证书，若原有资质证书处于年审期间，投标人提供年审证明的可按原资质投标；若投标人正在申报上一级别资质，在未获批准之前，仍按原级别资质投标。</w:t>
      </w:r>
    </w:p>
    <w:p>
      <w:pPr>
        <w:ind w:firstLine="482" w:firstLineChars="200"/>
        <w:rPr>
          <w:rFonts w:ascii="宋体" w:hAnsi="宋体" w:cs="宋体"/>
          <w:b/>
          <w:color w:val="auto"/>
          <w:sz w:val="24"/>
        </w:rPr>
      </w:pPr>
      <w:r>
        <w:rPr>
          <w:rFonts w:hint="eastAsia" w:ascii="宋体" w:hAnsi="宋体" w:cs="宋体"/>
          <w:b/>
          <w:color w:val="auto"/>
          <w:sz w:val="24"/>
        </w:rPr>
        <w:t>23.评标程序</w:t>
      </w:r>
    </w:p>
    <w:p>
      <w:pPr>
        <w:snapToGrid w:val="0"/>
        <w:ind w:firstLine="472" w:firstLineChars="196"/>
        <w:rPr>
          <w:rFonts w:ascii="宋体" w:hAnsi="宋体" w:cs="宋体"/>
          <w:b/>
          <w:bCs/>
          <w:color w:val="auto"/>
          <w:sz w:val="24"/>
        </w:rPr>
      </w:pPr>
      <w:r>
        <w:rPr>
          <w:rFonts w:hint="eastAsia" w:ascii="宋体" w:hAnsi="宋体" w:cs="宋体"/>
          <w:b/>
          <w:bCs/>
          <w:color w:val="auto"/>
          <w:sz w:val="24"/>
        </w:rPr>
        <w:t>23.1资格审查</w:t>
      </w:r>
    </w:p>
    <w:p>
      <w:pPr>
        <w:ind w:firstLine="480" w:firstLineChars="200"/>
        <w:rPr>
          <w:rFonts w:ascii="宋体" w:hAnsi="宋体" w:cs="宋体"/>
          <w:color w:val="auto"/>
          <w:kern w:val="2"/>
          <w:sz w:val="24"/>
          <w:szCs w:val="24"/>
        </w:rPr>
      </w:pPr>
      <w:r>
        <w:rPr>
          <w:rFonts w:hint="eastAsia" w:ascii="宋体" w:hAnsi="宋体" w:cs="宋体"/>
          <w:color w:val="auto"/>
          <w:kern w:val="2"/>
          <w:sz w:val="24"/>
          <w:szCs w:val="24"/>
        </w:rPr>
        <w:t>依据法律、法规和招标文件规定，采购人或采购人代表对投标人进行资格审查，以确定投标人是否具备投标资格。</w:t>
      </w:r>
    </w:p>
    <w:p>
      <w:pPr>
        <w:snapToGrid w:val="0"/>
        <w:ind w:firstLine="472" w:firstLineChars="196"/>
        <w:rPr>
          <w:rFonts w:ascii="宋体" w:hAnsi="宋体" w:cs="宋体"/>
          <w:b/>
          <w:bCs/>
          <w:color w:val="auto"/>
          <w:sz w:val="24"/>
          <w:szCs w:val="20"/>
        </w:rPr>
      </w:pPr>
      <w:r>
        <w:rPr>
          <w:rFonts w:hint="eastAsia" w:ascii="宋体" w:hAnsi="宋体" w:cs="宋体"/>
          <w:b/>
          <w:bCs/>
          <w:color w:val="auto"/>
          <w:sz w:val="24"/>
        </w:rPr>
        <w:t>23.2形式审查</w:t>
      </w:r>
    </w:p>
    <w:p>
      <w:pPr>
        <w:ind w:firstLine="480" w:firstLineChars="200"/>
        <w:rPr>
          <w:rFonts w:ascii="宋体" w:hAnsi="宋体" w:cs="宋体"/>
          <w:color w:val="auto"/>
          <w:sz w:val="24"/>
        </w:rPr>
      </w:pPr>
      <w:r>
        <w:rPr>
          <w:rFonts w:hint="eastAsia" w:ascii="宋体" w:hAnsi="宋体" w:cs="宋体"/>
          <w:color w:val="auto"/>
          <w:kern w:val="2"/>
          <w:sz w:val="24"/>
          <w:szCs w:val="24"/>
        </w:rPr>
        <w:t>评标委员会对投标人的</w:t>
      </w:r>
      <w:r>
        <w:rPr>
          <w:rFonts w:hint="eastAsia" w:ascii="宋体" w:hAnsi="宋体" w:cs="宋体"/>
          <w:color w:val="auto"/>
          <w:sz w:val="24"/>
        </w:rPr>
        <w:t>投标文件的完整性、合法性等进行审查。</w:t>
      </w:r>
    </w:p>
    <w:p>
      <w:pPr>
        <w:snapToGrid w:val="0"/>
        <w:ind w:firstLine="472" w:firstLineChars="196"/>
        <w:rPr>
          <w:rFonts w:ascii="宋体" w:hAnsi="宋体" w:cs="宋体"/>
          <w:b/>
          <w:bCs/>
          <w:color w:val="auto"/>
          <w:sz w:val="24"/>
          <w:szCs w:val="20"/>
        </w:rPr>
      </w:pPr>
      <w:r>
        <w:rPr>
          <w:rFonts w:hint="eastAsia" w:ascii="宋体" w:hAnsi="宋体" w:cs="宋体"/>
          <w:b/>
          <w:bCs/>
          <w:color w:val="auto"/>
          <w:sz w:val="24"/>
        </w:rPr>
        <w:t>23.3实质审查与比较</w:t>
      </w:r>
    </w:p>
    <w:p>
      <w:pPr>
        <w:pStyle w:val="21"/>
        <w:ind w:firstLine="480" w:firstLineChars="200"/>
        <w:rPr>
          <w:rFonts w:ascii="宋体" w:hAnsi="宋体" w:cs="宋体"/>
          <w:sz w:val="24"/>
        </w:rPr>
      </w:pPr>
      <w:r>
        <w:rPr>
          <w:rFonts w:hint="eastAsia" w:ascii="宋体" w:hAnsi="宋体" w:cs="宋体"/>
          <w:sz w:val="24"/>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pPr>
        <w:pStyle w:val="21"/>
        <w:ind w:firstLine="480" w:firstLineChars="200"/>
        <w:rPr>
          <w:rFonts w:ascii="宋体" w:hAnsi="宋体" w:cs="宋体"/>
          <w:sz w:val="24"/>
        </w:rPr>
      </w:pPr>
      <w:r>
        <w:rPr>
          <w:rFonts w:hint="eastAsia" w:ascii="宋体" w:hAnsi="宋体" w:cs="宋体"/>
          <w:sz w:val="24"/>
        </w:rPr>
        <w:t>23.3.2评标委员会将根据投标人的投标文件进行审查、核对,如有疑问,将对投标人进行询标,投标人要向评标委员会澄清有关问题,并最终以“政采云”在线询标或其他有效形式形式进行答复。投标人代表拒绝澄清或者澄清的内容改变了投标文件的实质性内容的，评标委员会有权对该投标文件作出不利于投标人的评判。</w:t>
      </w:r>
    </w:p>
    <w:p>
      <w:pPr>
        <w:pStyle w:val="21"/>
        <w:ind w:firstLine="482" w:firstLineChars="200"/>
        <w:rPr>
          <w:rFonts w:ascii="宋体" w:hAnsi="宋体" w:cs="宋体"/>
          <w:b/>
          <w:sz w:val="24"/>
        </w:rPr>
      </w:pPr>
      <w:r>
        <w:rPr>
          <w:rFonts w:hint="eastAsia" w:ascii="宋体" w:hAnsi="宋体" w:cs="宋体"/>
          <w:b/>
          <w:sz w:val="24"/>
        </w:rPr>
        <w:t>23.3.3投标人应详细说明投标技术方案中产品的具体参数，不得照搬照抄招标文件的技术要求。否则，评标委员会有权认定为投标技术方案不合格响应，其相关分数予以扣减或作无效标处理。</w:t>
      </w:r>
    </w:p>
    <w:p>
      <w:pPr>
        <w:pStyle w:val="21"/>
        <w:ind w:firstLine="480" w:firstLineChars="200"/>
        <w:rPr>
          <w:rFonts w:ascii="宋体" w:hAnsi="宋体" w:cs="宋体"/>
          <w:sz w:val="24"/>
        </w:rPr>
      </w:pPr>
      <w:r>
        <w:rPr>
          <w:rFonts w:hint="eastAsia" w:ascii="宋体" w:hAnsi="宋体" w:cs="宋体"/>
          <w:sz w:val="24"/>
        </w:rPr>
        <w:t>23.3.4如果投标文件实质不响应招标文件的各项要求，评标委员会将予以拒绝，并且不允许投标人通过修改或撤销其不符合要求的差异或保留，使之成为具有响应性的投标。</w:t>
      </w:r>
    </w:p>
    <w:p>
      <w:pPr>
        <w:pStyle w:val="21"/>
        <w:ind w:firstLine="480" w:firstLineChars="200"/>
        <w:rPr>
          <w:rFonts w:ascii="宋体" w:hAnsi="宋体" w:cs="宋体"/>
          <w:sz w:val="24"/>
        </w:rPr>
      </w:pPr>
      <w:r>
        <w:rPr>
          <w:rFonts w:hint="eastAsia" w:ascii="宋体" w:hAnsi="宋体" w:cs="宋体"/>
          <w:sz w:val="24"/>
        </w:rPr>
        <w:t>23.3.5各投标人的商务技术得分为所有评委的有效评分的算术平均数。</w:t>
      </w:r>
    </w:p>
    <w:p>
      <w:pPr>
        <w:pStyle w:val="21"/>
        <w:ind w:firstLine="480" w:firstLineChars="200"/>
        <w:rPr>
          <w:rFonts w:ascii="宋体" w:hAnsi="宋体" w:cs="宋体"/>
          <w:sz w:val="24"/>
        </w:rPr>
      </w:pPr>
      <w:r>
        <w:rPr>
          <w:rFonts w:hint="eastAsia" w:ascii="宋体" w:hAnsi="宋体" w:cs="宋体"/>
          <w:sz w:val="24"/>
        </w:rPr>
        <w:t>23.3.6评标委员会完成评标后,评委对各部分得分汇总,计算出本项目最终得分。评标委员会按评标原则推荐中标候选人，同时起草评标报告。</w:t>
      </w:r>
    </w:p>
    <w:p>
      <w:pPr>
        <w:pStyle w:val="21"/>
        <w:ind w:firstLine="482" w:firstLineChars="200"/>
        <w:rPr>
          <w:rFonts w:ascii="宋体" w:hAnsi="宋体" w:cs="宋体"/>
          <w:b/>
          <w:sz w:val="24"/>
        </w:rPr>
      </w:pPr>
      <w:r>
        <w:rPr>
          <w:rFonts w:hint="eastAsia" w:ascii="宋体" w:hAnsi="宋体" w:cs="宋体"/>
          <w:b/>
          <w:sz w:val="24"/>
        </w:rPr>
        <w:t>23.3.7评标委员会对明显不合理的投标报价，有权要求投标人在规定时间内提交说明，投标人不能提供的或提供的材料不能说明问题的，评标委员会可以判定其投标无效。</w:t>
      </w:r>
    </w:p>
    <w:p>
      <w:pPr>
        <w:pStyle w:val="21"/>
        <w:ind w:firstLine="480" w:firstLineChars="200"/>
        <w:rPr>
          <w:rFonts w:ascii="宋体" w:hAnsi="宋体" w:cs="宋体"/>
          <w:sz w:val="24"/>
        </w:rPr>
      </w:pPr>
      <w:r>
        <w:rPr>
          <w:rFonts w:hint="eastAsia" w:ascii="宋体" w:hAnsi="宋体" w:cs="宋体"/>
          <w:sz w:val="24"/>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pStyle w:val="21"/>
        <w:ind w:firstLine="480" w:firstLineChars="200"/>
        <w:rPr>
          <w:rFonts w:ascii="宋体" w:hAnsi="宋体" w:cs="宋体"/>
          <w:sz w:val="24"/>
        </w:rPr>
      </w:pPr>
      <w:r>
        <w:rPr>
          <w:rFonts w:hint="eastAsia" w:ascii="宋体" w:hAnsi="宋体" w:cs="宋体"/>
          <w:sz w:val="24"/>
        </w:rPr>
        <w:t>23.3.9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ind w:firstLine="479" w:firstLineChars="199"/>
        <w:rPr>
          <w:rFonts w:ascii="宋体" w:hAnsi="宋体" w:cs="宋体"/>
          <w:color w:val="auto"/>
          <w:sz w:val="24"/>
          <w:szCs w:val="24"/>
        </w:rPr>
      </w:pPr>
      <w:r>
        <w:rPr>
          <w:rFonts w:hint="eastAsia" w:ascii="宋体" w:hAnsi="宋体"/>
          <w:b/>
          <w:color w:val="auto"/>
          <w:sz w:val="24"/>
          <w:szCs w:val="24"/>
        </w:rPr>
        <w:t>24.</w:t>
      </w:r>
      <w:r>
        <w:rPr>
          <w:rFonts w:hint="eastAsia" w:ascii="宋体" w:hAnsi="宋体" w:cs="宋体"/>
          <w:color w:val="auto"/>
          <w:sz w:val="24"/>
          <w:szCs w:val="24"/>
        </w:rPr>
        <w:t>如投标人有下列情形之一的，应按串通投标行为认定，禁止其一至三年内进入浙江浣江传媒集团采购市场，情节严重的移送有关部门依法处理。</w:t>
      </w:r>
    </w:p>
    <w:p>
      <w:pPr>
        <w:ind w:firstLine="477" w:firstLineChars="199"/>
        <w:rPr>
          <w:rFonts w:ascii="宋体" w:hAnsi="宋体" w:cs="宋体"/>
          <w:color w:val="auto"/>
          <w:sz w:val="24"/>
          <w:szCs w:val="24"/>
        </w:rPr>
      </w:pPr>
      <w:r>
        <w:rPr>
          <w:rFonts w:hint="eastAsia" w:ascii="宋体" w:hAnsi="宋体" w:cs="宋体"/>
          <w:color w:val="auto"/>
          <w:sz w:val="24"/>
          <w:szCs w:val="24"/>
        </w:rPr>
        <w:t>24.1不同投标人的投标文件由同一单位或人员编制；</w:t>
      </w:r>
    </w:p>
    <w:p>
      <w:pPr>
        <w:ind w:firstLine="477" w:firstLineChars="199"/>
        <w:rPr>
          <w:rFonts w:ascii="宋体" w:hAnsi="宋体" w:cs="宋体"/>
          <w:color w:val="auto"/>
          <w:sz w:val="24"/>
          <w:szCs w:val="24"/>
        </w:rPr>
      </w:pPr>
      <w:r>
        <w:rPr>
          <w:rFonts w:hint="eastAsia" w:ascii="宋体" w:hAnsi="宋体" w:cs="宋体"/>
          <w:color w:val="auto"/>
          <w:sz w:val="24"/>
          <w:szCs w:val="24"/>
        </w:rPr>
        <w:t>24.2不同投标人委托同一单位或个人办理投标事宜；</w:t>
      </w:r>
    </w:p>
    <w:p>
      <w:pPr>
        <w:ind w:firstLine="477" w:firstLineChars="199"/>
        <w:rPr>
          <w:rFonts w:ascii="宋体" w:hAnsi="宋体" w:cs="宋体"/>
          <w:color w:val="auto"/>
          <w:sz w:val="24"/>
          <w:szCs w:val="24"/>
        </w:rPr>
      </w:pPr>
      <w:r>
        <w:rPr>
          <w:rFonts w:hint="eastAsia" w:ascii="宋体" w:hAnsi="宋体" w:cs="宋体"/>
          <w:color w:val="auto"/>
          <w:sz w:val="24"/>
          <w:szCs w:val="24"/>
        </w:rPr>
        <w:t>24.3不同投标人的投标文件载明的项目管理或联系人员为同一人；</w:t>
      </w:r>
    </w:p>
    <w:p>
      <w:pPr>
        <w:ind w:firstLine="477" w:firstLineChars="199"/>
        <w:rPr>
          <w:rFonts w:ascii="宋体" w:hAnsi="宋体" w:cs="宋体"/>
          <w:color w:val="auto"/>
          <w:sz w:val="24"/>
          <w:szCs w:val="24"/>
        </w:rPr>
      </w:pPr>
      <w:r>
        <w:rPr>
          <w:rFonts w:hint="eastAsia" w:ascii="宋体" w:hAnsi="宋体" w:cs="宋体"/>
          <w:color w:val="auto"/>
          <w:sz w:val="24"/>
          <w:szCs w:val="24"/>
        </w:rPr>
        <w:t>24.4不同投标人的投标文件异常一致或者投标报价呈规律性差异；</w:t>
      </w:r>
    </w:p>
    <w:p>
      <w:pPr>
        <w:ind w:firstLine="477" w:firstLineChars="199"/>
        <w:rPr>
          <w:rFonts w:ascii="宋体" w:hAnsi="宋体" w:cs="宋体"/>
          <w:color w:val="auto"/>
          <w:sz w:val="24"/>
          <w:szCs w:val="24"/>
        </w:rPr>
      </w:pPr>
      <w:r>
        <w:rPr>
          <w:rFonts w:hint="eastAsia" w:ascii="宋体" w:hAnsi="宋体" w:cs="宋体"/>
          <w:color w:val="auto"/>
          <w:sz w:val="24"/>
          <w:szCs w:val="24"/>
        </w:rPr>
        <w:t>24.5不同投标人的投标文件遗留其他投标人不属于本投标人参加采购必需的信息资料的；</w:t>
      </w:r>
    </w:p>
    <w:p>
      <w:pPr>
        <w:ind w:firstLine="477" w:firstLineChars="199"/>
        <w:rPr>
          <w:rFonts w:ascii="宋体" w:hAnsi="宋体" w:cs="宋体"/>
          <w:color w:val="auto"/>
          <w:sz w:val="24"/>
          <w:szCs w:val="24"/>
        </w:rPr>
      </w:pPr>
      <w:r>
        <w:rPr>
          <w:rFonts w:hint="eastAsia" w:ascii="宋体" w:hAnsi="宋体" w:cs="宋体"/>
          <w:color w:val="auto"/>
          <w:sz w:val="24"/>
          <w:szCs w:val="24"/>
        </w:rPr>
        <w:t>24.6不同投标人的授权代表为同一单位的工作人员的；</w:t>
      </w:r>
    </w:p>
    <w:p>
      <w:pPr>
        <w:ind w:firstLine="477" w:firstLineChars="199"/>
        <w:rPr>
          <w:rFonts w:ascii="宋体" w:hAnsi="宋体" w:cs="宋体"/>
          <w:color w:val="auto"/>
          <w:sz w:val="24"/>
          <w:szCs w:val="24"/>
        </w:rPr>
      </w:pPr>
      <w:r>
        <w:rPr>
          <w:rFonts w:hint="eastAsia" w:ascii="宋体" w:hAnsi="宋体" w:cs="宋体"/>
          <w:color w:val="auto"/>
          <w:sz w:val="24"/>
          <w:szCs w:val="24"/>
        </w:rPr>
        <w:t>24.7不同投标人之间私下达成书面或口头协议，指定一家投标人中标或轮流中标的；</w:t>
      </w:r>
    </w:p>
    <w:p>
      <w:pPr>
        <w:ind w:firstLine="477" w:firstLineChars="199"/>
        <w:rPr>
          <w:rFonts w:ascii="宋体" w:hAnsi="宋体" w:cs="宋体"/>
          <w:color w:val="auto"/>
          <w:sz w:val="24"/>
          <w:szCs w:val="24"/>
        </w:rPr>
      </w:pPr>
      <w:r>
        <w:rPr>
          <w:rFonts w:hint="eastAsia" w:ascii="宋体" w:hAnsi="宋体" w:cs="宋体"/>
          <w:color w:val="auto"/>
          <w:sz w:val="24"/>
          <w:szCs w:val="24"/>
        </w:rPr>
        <w:t>24.8属于同一集团、协会、商会等组织成员的投标人按照该组织要求协同的投标；</w:t>
      </w:r>
    </w:p>
    <w:p>
      <w:pPr>
        <w:ind w:firstLine="477" w:firstLineChars="199"/>
        <w:rPr>
          <w:rFonts w:ascii="宋体" w:hAnsi="宋体" w:cs="宋体"/>
          <w:color w:val="auto"/>
          <w:sz w:val="24"/>
          <w:szCs w:val="24"/>
        </w:rPr>
      </w:pPr>
      <w:r>
        <w:rPr>
          <w:rFonts w:hint="eastAsia" w:ascii="宋体" w:hAnsi="宋体" w:cs="宋体"/>
          <w:color w:val="auto"/>
          <w:sz w:val="24"/>
          <w:szCs w:val="24"/>
        </w:rPr>
        <w:t>24.9投标人之间为谋取中标或者排斥特定投标人而采取的其他联合行动；</w:t>
      </w:r>
    </w:p>
    <w:p>
      <w:pPr>
        <w:ind w:firstLine="477" w:firstLineChars="199"/>
        <w:rPr>
          <w:rFonts w:ascii="宋体" w:hAnsi="宋体" w:cs="宋体"/>
          <w:color w:val="auto"/>
          <w:sz w:val="24"/>
          <w:szCs w:val="24"/>
        </w:rPr>
      </w:pPr>
      <w:r>
        <w:rPr>
          <w:rFonts w:hint="eastAsia" w:ascii="宋体" w:hAnsi="宋体" w:cs="宋体"/>
          <w:color w:val="auto"/>
          <w:sz w:val="24"/>
          <w:szCs w:val="24"/>
        </w:rPr>
        <w:t>24.10不同投标人与同一投标人联合投标的；</w:t>
      </w:r>
    </w:p>
    <w:p>
      <w:pPr>
        <w:snapToGrid w:val="0"/>
        <w:ind w:firstLine="480" w:firstLineChars="200"/>
        <w:rPr>
          <w:rFonts w:ascii="宋体" w:hAnsi="宋体" w:cs="宋体"/>
          <w:color w:val="auto"/>
          <w:sz w:val="24"/>
        </w:rPr>
      </w:pPr>
      <w:r>
        <w:rPr>
          <w:rFonts w:hint="eastAsia" w:ascii="宋体" w:hAnsi="宋体" w:cs="宋体"/>
          <w:color w:val="auto"/>
          <w:sz w:val="24"/>
          <w:szCs w:val="24"/>
        </w:rPr>
        <w:t>24.11法律、法规或规章规定的其他串通行为。</w:t>
      </w:r>
    </w:p>
    <w:p>
      <w:pPr>
        <w:ind w:firstLine="482" w:firstLineChars="200"/>
        <w:rPr>
          <w:rFonts w:ascii="宋体" w:hAnsi="宋体" w:cs="宋体"/>
          <w:b/>
          <w:color w:val="auto"/>
          <w:sz w:val="24"/>
          <w:szCs w:val="24"/>
        </w:rPr>
      </w:pPr>
      <w:r>
        <w:rPr>
          <w:rFonts w:hint="eastAsia" w:ascii="宋体" w:hAnsi="宋体" w:cs="宋体"/>
          <w:b/>
          <w:color w:val="auto"/>
          <w:sz w:val="24"/>
          <w:szCs w:val="24"/>
        </w:rPr>
        <w:t>25.投标文件的澄清</w:t>
      </w:r>
    </w:p>
    <w:p>
      <w:pPr>
        <w:spacing w:line="360" w:lineRule="exact"/>
        <w:ind w:firstLine="480" w:firstLineChars="200"/>
        <w:rPr>
          <w:rFonts w:ascii="宋体" w:hAnsi="宋体" w:cs="宋体"/>
          <w:color w:val="auto"/>
          <w:sz w:val="24"/>
        </w:rPr>
      </w:pPr>
      <w:r>
        <w:rPr>
          <w:rFonts w:hint="eastAsia" w:ascii="宋体" w:hAnsi="宋体" w:cs="宋体"/>
          <w:color w:val="auto"/>
          <w:sz w:val="24"/>
        </w:rPr>
        <w:t>对投标文件中含义不明确、同类问题表述不一致或者有明显文字错误的内容，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pPr>
        <w:pStyle w:val="16"/>
        <w:snapToGrid w:val="0"/>
        <w:ind w:left="720" w:leftChars="228" w:hanging="241" w:hangingChars="100"/>
        <w:rPr>
          <w:rFonts w:ascii="宋体" w:hAnsi="宋体" w:cs="宋体"/>
          <w:b/>
        </w:rPr>
      </w:pPr>
      <w:r>
        <w:rPr>
          <w:rFonts w:hint="eastAsia" w:ascii="宋体" w:hAnsi="宋体" w:cs="宋体"/>
          <w:b/>
        </w:rPr>
        <w:t>26.错误修正</w:t>
      </w:r>
    </w:p>
    <w:p>
      <w:pPr>
        <w:pStyle w:val="21"/>
        <w:ind w:firstLine="480" w:firstLineChars="200"/>
        <w:rPr>
          <w:rFonts w:ascii="宋体" w:hAnsi="宋体" w:cs="宋体"/>
          <w:sz w:val="24"/>
        </w:rPr>
      </w:pPr>
      <w:r>
        <w:rPr>
          <w:rFonts w:hint="eastAsia" w:ascii="宋体" w:hAnsi="宋体" w:cs="宋体"/>
          <w:sz w:val="24"/>
        </w:rPr>
        <w:t>投标文件报价出现前后不一致的，按照下列规定修正：</w:t>
      </w:r>
    </w:p>
    <w:p>
      <w:pPr>
        <w:pStyle w:val="21"/>
        <w:ind w:firstLine="480" w:firstLineChars="200"/>
        <w:rPr>
          <w:rFonts w:ascii="宋体" w:hAnsi="宋体" w:cs="宋体"/>
          <w:sz w:val="24"/>
        </w:rPr>
      </w:pPr>
      <w:r>
        <w:rPr>
          <w:rFonts w:hint="eastAsia" w:ascii="宋体" w:hAnsi="宋体" w:cs="宋体"/>
          <w:sz w:val="24"/>
        </w:rPr>
        <w:t>26.1投标文件中开标一览表（报价表）内容与投标文件中相应内容不一致的，以开标一览表（报价表）为准。</w:t>
      </w:r>
    </w:p>
    <w:p>
      <w:pPr>
        <w:pStyle w:val="21"/>
        <w:ind w:firstLine="480" w:firstLineChars="200"/>
        <w:rPr>
          <w:rFonts w:ascii="宋体" w:hAnsi="宋体" w:cs="宋体"/>
          <w:sz w:val="24"/>
        </w:rPr>
      </w:pPr>
      <w:r>
        <w:rPr>
          <w:rFonts w:hint="eastAsia" w:ascii="宋体" w:hAnsi="宋体" w:cs="宋体"/>
          <w:sz w:val="24"/>
        </w:rPr>
        <w:t>26.2大写金额和小写金额不一致的，以大写金额为准。</w:t>
      </w:r>
    </w:p>
    <w:p>
      <w:pPr>
        <w:pStyle w:val="21"/>
        <w:ind w:firstLine="480" w:firstLineChars="200"/>
        <w:rPr>
          <w:rFonts w:ascii="宋体" w:hAnsi="宋体" w:cs="宋体"/>
          <w:sz w:val="24"/>
        </w:rPr>
      </w:pPr>
      <w:r>
        <w:rPr>
          <w:rFonts w:hint="eastAsia" w:ascii="宋体" w:hAnsi="宋体" w:cs="宋体"/>
          <w:sz w:val="24"/>
        </w:rPr>
        <w:t>26.3单价金额小数点或者百分比有明显错位的，以开标一览表的总价为准，并修改单价。</w:t>
      </w:r>
    </w:p>
    <w:p>
      <w:pPr>
        <w:pStyle w:val="21"/>
        <w:ind w:firstLine="480" w:firstLineChars="200"/>
        <w:rPr>
          <w:rFonts w:ascii="宋体" w:hAnsi="宋体" w:cs="宋体"/>
          <w:sz w:val="24"/>
        </w:rPr>
      </w:pPr>
      <w:r>
        <w:rPr>
          <w:rFonts w:hint="eastAsia" w:ascii="宋体" w:hAnsi="宋体" w:cs="宋体"/>
          <w:sz w:val="24"/>
        </w:rPr>
        <w:t>26.4总价金额与按单价汇总金额不一致的，以单价金额计算结果为准。</w:t>
      </w:r>
    </w:p>
    <w:p>
      <w:pPr>
        <w:pStyle w:val="21"/>
        <w:ind w:firstLine="480" w:firstLineChars="200"/>
        <w:rPr>
          <w:rFonts w:ascii="宋体" w:hAnsi="宋体" w:cs="宋体"/>
          <w:sz w:val="24"/>
        </w:rPr>
      </w:pPr>
      <w:r>
        <w:rPr>
          <w:rFonts w:hint="eastAsia" w:ascii="宋体" w:hAnsi="宋体" w:cs="宋体"/>
          <w:sz w:val="24"/>
        </w:rPr>
        <w:t>同时出现两种以上不一致的，按照上述规定的顺序修正。</w:t>
      </w:r>
    </w:p>
    <w:p>
      <w:pPr>
        <w:pStyle w:val="21"/>
        <w:ind w:firstLine="480" w:firstLineChars="200"/>
        <w:rPr>
          <w:rFonts w:ascii="宋体" w:hAnsi="宋体" w:cs="宋体"/>
          <w:sz w:val="24"/>
        </w:rPr>
      </w:pPr>
      <w:r>
        <w:rPr>
          <w:rFonts w:hint="eastAsia" w:ascii="宋体" w:hAnsi="宋体" w:cs="宋体"/>
          <w:sz w:val="24"/>
        </w:rPr>
        <w:t>按上述修正错误的原则及方法调整或修正投标文件的投标报价，投标人同意并加盖公章确认，调整后的投标报价对投标人具有约束作用。如果投标人不接受修正后的报价，则其投标将作为无效投标处理。</w:t>
      </w:r>
    </w:p>
    <w:p>
      <w:pPr>
        <w:pStyle w:val="21"/>
        <w:ind w:firstLine="482" w:firstLineChars="200"/>
        <w:rPr>
          <w:rFonts w:ascii="宋体" w:hAnsi="宋体" w:cs="宋体"/>
          <w:b/>
          <w:sz w:val="24"/>
        </w:rPr>
      </w:pPr>
      <w:r>
        <w:rPr>
          <w:rFonts w:hint="eastAsia" w:ascii="宋体" w:hAnsi="宋体" w:cs="宋体"/>
          <w:b/>
          <w:sz w:val="24"/>
        </w:rPr>
        <w:t>27.评标办法。</w:t>
      </w:r>
    </w:p>
    <w:p>
      <w:pPr>
        <w:pStyle w:val="21"/>
        <w:ind w:firstLine="480" w:firstLineChars="200"/>
        <w:rPr>
          <w:rFonts w:ascii="宋体" w:hAnsi="宋体" w:cs="宋体"/>
          <w:sz w:val="24"/>
          <w:u w:val="single"/>
        </w:rPr>
      </w:pPr>
      <w:r>
        <w:rPr>
          <w:rFonts w:hint="eastAsia" w:ascii="宋体" w:hAnsi="宋体" w:cs="宋体"/>
          <w:sz w:val="24"/>
        </w:rPr>
        <w:t>本项目评标办法是综合评分法，具体评标内容及评分标准等详见《第三章：评标办法及评分标准》。</w:t>
      </w:r>
    </w:p>
    <w:p>
      <w:pPr>
        <w:ind w:firstLine="482" w:firstLineChars="200"/>
        <w:rPr>
          <w:rFonts w:ascii="宋体" w:hAnsi="宋体" w:cs="宋体"/>
          <w:b/>
          <w:color w:val="auto"/>
          <w:sz w:val="24"/>
        </w:rPr>
      </w:pPr>
      <w:r>
        <w:rPr>
          <w:rFonts w:hint="eastAsia" w:ascii="宋体" w:hAnsi="宋体" w:cs="宋体"/>
          <w:b/>
          <w:color w:val="auto"/>
          <w:sz w:val="24"/>
        </w:rPr>
        <w:t>28.</w:t>
      </w:r>
      <w:r>
        <w:rPr>
          <w:rFonts w:hint="eastAsia" w:ascii="宋体" w:hAnsi="宋体" w:cs="宋体"/>
          <w:b/>
          <w:bCs/>
          <w:color w:val="auto"/>
          <w:sz w:val="24"/>
        </w:rPr>
        <w:t>评标过程的保密</w:t>
      </w:r>
    </w:p>
    <w:p>
      <w:pPr>
        <w:pStyle w:val="21"/>
        <w:ind w:firstLine="480" w:firstLineChars="200"/>
        <w:rPr>
          <w:rFonts w:ascii="宋体" w:hAnsi="宋体" w:cs="宋体"/>
          <w:sz w:val="24"/>
        </w:rPr>
      </w:pPr>
      <w:r>
        <w:rPr>
          <w:rFonts w:hint="eastAsia" w:ascii="宋体" w:hAnsi="宋体" w:cs="宋体"/>
          <w:sz w:val="24"/>
        </w:rPr>
        <w:t>28.1开标后，直到宣布授予中标人合同为止，凡属于审查、澄清、评价和比较投标文件的有关资料和授予合同的信息，采购人、评标委员会成员都不应向投标人或与该过程无关的其他人员泄露。</w:t>
      </w:r>
    </w:p>
    <w:p>
      <w:pPr>
        <w:pStyle w:val="21"/>
        <w:ind w:firstLine="480" w:firstLineChars="200"/>
        <w:rPr>
          <w:rFonts w:ascii="宋体" w:hAnsi="宋体" w:cs="宋体"/>
          <w:sz w:val="24"/>
        </w:rPr>
      </w:pPr>
      <w:r>
        <w:rPr>
          <w:rFonts w:hint="eastAsia" w:ascii="宋体" w:hAnsi="宋体" w:cs="宋体"/>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21"/>
        <w:ind w:firstLine="480" w:firstLineChars="200"/>
        <w:rPr>
          <w:rFonts w:ascii="宋体" w:hAnsi="宋体" w:cs="宋体"/>
          <w:sz w:val="24"/>
        </w:rPr>
      </w:pPr>
      <w:r>
        <w:rPr>
          <w:rFonts w:hint="eastAsia" w:ascii="宋体" w:hAnsi="宋体" w:cs="宋体"/>
          <w:sz w:val="24"/>
        </w:rPr>
        <w:t>28.3中标人确定后，采购人不对未中标人就评标过程以及未能中标原因作出任何解释。未中标人不得向评标委员会或其他有关人员索问评标过程的情况和材料。</w:t>
      </w:r>
    </w:p>
    <w:p>
      <w:pPr>
        <w:pStyle w:val="5"/>
        <w:spacing w:line="360" w:lineRule="exact"/>
        <w:jc w:val="center"/>
        <w:rPr>
          <w:rFonts w:ascii="宋体" w:hAnsi="宋体" w:eastAsia="宋体" w:cs="宋体"/>
          <w:sz w:val="28"/>
          <w:szCs w:val="28"/>
        </w:rPr>
      </w:pPr>
      <w:bookmarkStart w:id="27" w:name="_Toc125344509"/>
      <w:r>
        <w:rPr>
          <w:rFonts w:hint="eastAsia" w:ascii="宋体" w:hAnsi="宋体" w:eastAsia="宋体" w:cs="宋体"/>
          <w:sz w:val="28"/>
          <w:szCs w:val="28"/>
        </w:rPr>
        <w:t>六、</w:t>
      </w:r>
      <w:bookmarkEnd w:id="27"/>
      <w:r>
        <w:rPr>
          <w:rFonts w:hint="eastAsia" w:ascii="宋体" w:hAnsi="宋体" w:eastAsia="宋体" w:cs="宋体"/>
          <w:sz w:val="28"/>
          <w:szCs w:val="28"/>
        </w:rPr>
        <w:t>定标</w:t>
      </w:r>
    </w:p>
    <w:p>
      <w:pPr>
        <w:pStyle w:val="21"/>
        <w:ind w:firstLine="482" w:firstLineChars="200"/>
        <w:rPr>
          <w:rFonts w:ascii="宋体" w:hAnsi="宋体"/>
          <w:sz w:val="24"/>
        </w:rPr>
      </w:pPr>
      <w:r>
        <w:rPr>
          <w:rFonts w:hint="eastAsia" w:ascii="宋体" w:hAnsi="宋体"/>
          <w:b/>
          <w:bCs/>
          <w:sz w:val="24"/>
        </w:rPr>
        <w:t>29.确定中标人。本项目由采购人确定中标人。</w:t>
      </w:r>
    </w:p>
    <w:p>
      <w:pPr>
        <w:ind w:firstLine="480" w:firstLineChars="200"/>
        <w:rPr>
          <w:rFonts w:ascii="宋体" w:hAnsi="宋体"/>
          <w:color w:val="auto"/>
          <w:sz w:val="24"/>
        </w:rPr>
      </w:pPr>
      <w:r>
        <w:rPr>
          <w:rFonts w:hint="eastAsia" w:ascii="宋体" w:hAnsi="宋体"/>
          <w:color w:val="auto"/>
          <w:sz w:val="24"/>
        </w:rPr>
        <w:t>29.1采购人应当自收到评标报告之日起５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ind w:firstLine="480" w:firstLineChars="200"/>
        <w:rPr>
          <w:rFonts w:ascii="宋体" w:hAnsi="宋体"/>
          <w:color w:val="auto"/>
          <w:sz w:val="24"/>
        </w:rPr>
      </w:pPr>
      <w:r>
        <w:rPr>
          <w:rFonts w:hint="eastAsia" w:ascii="宋体" w:hAnsi="宋体"/>
          <w:color w:val="auto"/>
          <w:sz w:val="24"/>
        </w:rPr>
        <w:t>29.2第一名中标候选人无正当理由放弃中标成交或被取消中标资格的，将上报诸暨市人民政府国有资产监督管理办公室，诸暨市人民政府国有资产监督管理办公室将按有关法律、法规、制度进行处理。</w:t>
      </w:r>
      <w:r>
        <w:rPr>
          <w:rFonts w:hint="eastAsia" w:ascii="宋体" w:hAnsi="宋体"/>
          <w:b/>
          <w:color w:val="auto"/>
          <w:sz w:val="24"/>
        </w:rPr>
        <w:t>此标的将另行组织采购</w:t>
      </w:r>
      <w:r>
        <w:rPr>
          <w:rFonts w:hint="eastAsia" w:ascii="宋体" w:hAnsi="宋体"/>
          <w:color w:val="auto"/>
          <w:sz w:val="24"/>
        </w:rPr>
        <w:t>。</w:t>
      </w:r>
    </w:p>
    <w:p>
      <w:pPr>
        <w:pStyle w:val="21"/>
        <w:ind w:firstLine="482" w:firstLineChars="200"/>
        <w:rPr>
          <w:rFonts w:ascii="宋体" w:hAnsi="宋体"/>
          <w:b/>
          <w:bCs/>
          <w:sz w:val="24"/>
        </w:rPr>
      </w:pPr>
      <w:r>
        <w:rPr>
          <w:rFonts w:hint="eastAsia" w:ascii="宋体" w:hAnsi="宋体"/>
          <w:b/>
          <w:bCs/>
          <w:sz w:val="24"/>
        </w:rPr>
        <w:t>30.中标通知与中标结果公告</w:t>
      </w:r>
    </w:p>
    <w:p>
      <w:pPr>
        <w:ind w:firstLine="480" w:firstLineChars="200"/>
        <w:rPr>
          <w:rFonts w:ascii="宋体" w:hAnsi="宋体"/>
          <w:color w:val="auto"/>
          <w:sz w:val="24"/>
        </w:rPr>
      </w:pPr>
      <w:r>
        <w:rPr>
          <w:rFonts w:hint="eastAsia" w:ascii="宋体" w:hAnsi="宋体"/>
          <w:color w:val="auto"/>
          <w:sz w:val="24"/>
        </w:rPr>
        <w:t>30.1采购结果经采购人确认后，采购代理机构将于2个工作日内在浙江省政府采购网上发布中标公告，由采购代理机构签发《中标通知书》。</w:t>
      </w:r>
      <w:r>
        <w:rPr>
          <w:rFonts w:ascii="宋体" w:hAnsi="宋体"/>
          <w:color w:val="auto"/>
          <w:sz w:val="24"/>
        </w:rPr>
        <w:t>《中标通知书》一经发出即发生法律效力</w:t>
      </w:r>
      <w:r>
        <w:rPr>
          <w:rFonts w:hint="eastAsia" w:ascii="宋体" w:hAnsi="宋体"/>
          <w:color w:val="auto"/>
          <w:sz w:val="24"/>
        </w:rPr>
        <w:t>。</w:t>
      </w:r>
    </w:p>
    <w:p>
      <w:pPr>
        <w:ind w:firstLine="480" w:firstLineChars="200"/>
        <w:rPr>
          <w:rFonts w:ascii="宋体" w:hAnsi="宋体"/>
          <w:color w:val="auto"/>
          <w:sz w:val="24"/>
        </w:rPr>
      </w:pPr>
      <w:r>
        <w:rPr>
          <w:rFonts w:hint="eastAsia" w:ascii="宋体" w:hAnsi="宋体"/>
          <w:color w:val="auto"/>
          <w:sz w:val="24"/>
        </w:rPr>
        <w:t>30.2</w:t>
      </w:r>
      <w:r>
        <w:rPr>
          <w:rFonts w:ascii="宋体" w:hAnsi="宋体"/>
          <w:color w:val="auto"/>
          <w:sz w:val="24"/>
        </w:rPr>
        <w:t>中标结果公告内容包括采购人及其委托的采购</w:t>
      </w:r>
      <w:r>
        <w:rPr>
          <w:rFonts w:hint="eastAsia" w:ascii="宋体" w:hAnsi="宋体"/>
          <w:color w:val="auto"/>
          <w:sz w:val="24"/>
        </w:rPr>
        <w:t>代理机构</w:t>
      </w:r>
      <w:r>
        <w:rPr>
          <w:rFonts w:ascii="宋体" w:hAnsi="宋体"/>
          <w:color w:val="auto"/>
          <w:sz w:val="24"/>
        </w:rPr>
        <w:t>的名称、地址、联系方式，项目名称和项目编号，中标人名称、地址和中标金额，主要中标标的的名称、规格型号、数量、单价、服务要求，中标公告期限以及评审专家名单。</w:t>
      </w:r>
    </w:p>
    <w:p>
      <w:pPr>
        <w:snapToGrid w:val="0"/>
        <w:ind w:firstLine="472" w:firstLineChars="196"/>
        <w:rPr>
          <w:rFonts w:ascii="宋体" w:hAnsi="宋体"/>
          <w:b/>
          <w:bCs/>
          <w:color w:val="auto"/>
          <w:sz w:val="24"/>
        </w:rPr>
      </w:pPr>
      <w:r>
        <w:rPr>
          <w:rFonts w:hint="eastAsia" w:ascii="宋体" w:hAnsi="宋体"/>
          <w:b/>
          <w:bCs/>
          <w:color w:val="auto"/>
          <w:sz w:val="24"/>
        </w:rPr>
        <w:t>31. 中标无效情形</w:t>
      </w:r>
    </w:p>
    <w:p>
      <w:pPr>
        <w:pStyle w:val="21"/>
        <w:ind w:firstLine="480" w:firstLineChars="200"/>
        <w:rPr>
          <w:rFonts w:ascii="宋体" w:hAnsi="宋体"/>
          <w:sz w:val="24"/>
        </w:rPr>
      </w:pPr>
      <w:r>
        <w:rPr>
          <w:rFonts w:hint="eastAsia" w:ascii="宋体" w:hAnsi="宋体"/>
          <w:sz w:val="24"/>
        </w:rPr>
        <w:t>中标人存在下列情形之一的，中标无效：</w:t>
      </w:r>
    </w:p>
    <w:p>
      <w:pPr>
        <w:pStyle w:val="21"/>
        <w:ind w:firstLine="480" w:firstLineChars="200"/>
        <w:rPr>
          <w:rFonts w:ascii="宋体" w:hAnsi="宋体"/>
          <w:sz w:val="24"/>
        </w:rPr>
      </w:pPr>
      <w:r>
        <w:rPr>
          <w:rFonts w:hint="eastAsia" w:ascii="宋体" w:hAnsi="宋体"/>
          <w:sz w:val="24"/>
        </w:rPr>
        <w:t>31.1提供虚假材料谋取中标的；</w:t>
      </w:r>
    </w:p>
    <w:p>
      <w:pPr>
        <w:pStyle w:val="21"/>
        <w:ind w:firstLine="480" w:firstLineChars="200"/>
        <w:rPr>
          <w:rFonts w:ascii="宋体" w:hAnsi="宋体"/>
          <w:sz w:val="24"/>
        </w:rPr>
      </w:pPr>
      <w:r>
        <w:rPr>
          <w:rFonts w:hint="eastAsia" w:ascii="宋体" w:hAnsi="宋体"/>
          <w:sz w:val="24"/>
        </w:rPr>
        <w:t>31.2采取不正当手段诋毁、排挤其他投标人的；</w:t>
      </w:r>
    </w:p>
    <w:p>
      <w:pPr>
        <w:pStyle w:val="21"/>
        <w:ind w:firstLine="480" w:firstLineChars="200"/>
        <w:rPr>
          <w:rFonts w:ascii="宋体" w:hAnsi="宋体"/>
          <w:sz w:val="24"/>
        </w:rPr>
      </w:pPr>
      <w:r>
        <w:rPr>
          <w:rFonts w:hint="eastAsia" w:ascii="宋体" w:hAnsi="宋体"/>
          <w:sz w:val="24"/>
        </w:rPr>
        <w:t>31.3与采购人、其他投标人恶意串通的；</w:t>
      </w:r>
    </w:p>
    <w:p>
      <w:pPr>
        <w:pStyle w:val="21"/>
        <w:ind w:firstLine="480" w:firstLineChars="200"/>
        <w:rPr>
          <w:rFonts w:ascii="宋体" w:hAnsi="宋体"/>
          <w:sz w:val="24"/>
        </w:rPr>
      </w:pPr>
      <w:r>
        <w:rPr>
          <w:rFonts w:hint="eastAsia" w:ascii="宋体" w:hAnsi="宋体"/>
          <w:sz w:val="24"/>
        </w:rPr>
        <w:t>31.4向采购人、采购代理机构行贿或者提供其他不正当利益的；</w:t>
      </w:r>
    </w:p>
    <w:p>
      <w:pPr>
        <w:pStyle w:val="21"/>
        <w:ind w:firstLine="480" w:firstLineChars="200"/>
        <w:rPr>
          <w:rFonts w:ascii="宋体" w:hAnsi="宋体"/>
          <w:sz w:val="24"/>
        </w:rPr>
      </w:pPr>
      <w:r>
        <w:rPr>
          <w:rFonts w:hint="eastAsia" w:ascii="宋体" w:hAnsi="宋体"/>
          <w:sz w:val="24"/>
        </w:rPr>
        <w:t>31.5在招标过程中与采购人进行协商谈判；不按照招标文件和投标文件订立合同或者与采购人另行背离合同实质性内容的协议的；</w:t>
      </w:r>
    </w:p>
    <w:p>
      <w:pPr>
        <w:pStyle w:val="21"/>
        <w:ind w:firstLine="480" w:firstLineChars="200"/>
        <w:rPr>
          <w:rFonts w:ascii="宋体" w:hAnsi="宋体"/>
          <w:sz w:val="24"/>
        </w:rPr>
      </w:pPr>
      <w:r>
        <w:rPr>
          <w:rFonts w:hint="eastAsia" w:ascii="宋体" w:hAnsi="宋体"/>
          <w:sz w:val="24"/>
        </w:rPr>
        <w:t>31.6拖延、拒签合同的；</w:t>
      </w:r>
    </w:p>
    <w:p>
      <w:pPr>
        <w:ind w:firstLine="480" w:firstLineChars="200"/>
        <w:rPr>
          <w:rFonts w:ascii="宋体" w:hAnsi="宋体"/>
          <w:color w:val="auto"/>
          <w:sz w:val="24"/>
          <w:szCs w:val="24"/>
        </w:rPr>
      </w:pPr>
      <w:r>
        <w:rPr>
          <w:rFonts w:hint="eastAsia" w:ascii="宋体" w:hAnsi="宋体"/>
          <w:color w:val="auto"/>
          <w:sz w:val="24"/>
        </w:rPr>
        <w:t>31.7存在法律、法规规定的其它损害采购人或采购单位利益或社会公共利益的情形的</w:t>
      </w:r>
      <w:r>
        <w:rPr>
          <w:rFonts w:hint="eastAsia" w:ascii="宋体" w:hAnsi="宋体"/>
          <w:color w:val="auto"/>
          <w:sz w:val="24"/>
          <w:szCs w:val="24"/>
        </w:rPr>
        <w:t>。</w:t>
      </w:r>
    </w:p>
    <w:p>
      <w:pPr>
        <w:snapToGrid w:val="0"/>
        <w:ind w:firstLine="472" w:firstLineChars="196"/>
        <w:rPr>
          <w:rFonts w:ascii="宋体" w:hAnsi="宋体"/>
          <w:b/>
          <w:bCs/>
          <w:color w:val="auto"/>
          <w:sz w:val="24"/>
        </w:rPr>
      </w:pPr>
      <w:r>
        <w:rPr>
          <w:rFonts w:hint="eastAsia" w:ascii="宋体" w:hAnsi="宋体"/>
          <w:b/>
          <w:bCs/>
          <w:color w:val="auto"/>
          <w:sz w:val="24"/>
        </w:rPr>
        <w:t>32.重新招标</w:t>
      </w:r>
    </w:p>
    <w:p>
      <w:pPr>
        <w:snapToGrid w:val="0"/>
        <w:ind w:firstLine="470" w:firstLineChars="196"/>
        <w:rPr>
          <w:rFonts w:ascii="宋体" w:hAnsi="宋体"/>
          <w:b/>
          <w:bCs/>
          <w:color w:val="auto"/>
          <w:sz w:val="24"/>
        </w:rPr>
      </w:pPr>
      <w:r>
        <w:rPr>
          <w:rFonts w:hint="eastAsia" w:ascii="宋体" w:hAnsi="宋体"/>
          <w:color w:val="auto"/>
          <w:sz w:val="24"/>
        </w:rPr>
        <w:t>投标截止时间及评审期间，出现有效供应商不足3家的，本项目流标，重新组织采购</w:t>
      </w:r>
      <w:r>
        <w:rPr>
          <w:rFonts w:ascii="宋体" w:hAnsi="宋体"/>
          <w:color w:val="auto"/>
          <w:sz w:val="24"/>
        </w:rPr>
        <w:t>。</w:t>
      </w:r>
    </w:p>
    <w:p>
      <w:pPr>
        <w:pStyle w:val="5"/>
        <w:spacing w:line="360" w:lineRule="exact"/>
        <w:jc w:val="center"/>
        <w:rPr>
          <w:rFonts w:ascii="宋体" w:hAnsi="宋体" w:eastAsia="宋体" w:cs="宋体"/>
          <w:sz w:val="28"/>
          <w:szCs w:val="28"/>
        </w:rPr>
      </w:pPr>
      <w:r>
        <w:rPr>
          <w:rFonts w:hint="eastAsia" w:ascii="宋体" w:hAnsi="宋体" w:eastAsia="宋体" w:cs="宋体"/>
          <w:sz w:val="28"/>
          <w:szCs w:val="28"/>
        </w:rPr>
        <w:t>七、授予合同</w:t>
      </w:r>
    </w:p>
    <w:p>
      <w:pPr>
        <w:snapToGrid w:val="0"/>
        <w:ind w:firstLine="472" w:firstLineChars="196"/>
        <w:rPr>
          <w:rFonts w:ascii="宋体" w:hAnsi="宋体" w:cs="宋体"/>
          <w:b/>
          <w:bCs/>
          <w:color w:val="auto"/>
          <w:sz w:val="24"/>
        </w:rPr>
      </w:pPr>
      <w:r>
        <w:rPr>
          <w:rFonts w:hint="eastAsia" w:ascii="宋体" w:hAnsi="宋体" w:cs="宋体"/>
          <w:b/>
          <w:bCs/>
          <w:color w:val="auto"/>
          <w:sz w:val="24"/>
        </w:rPr>
        <w:t>33.签订合同</w:t>
      </w:r>
    </w:p>
    <w:p>
      <w:pPr>
        <w:snapToGrid w:val="0"/>
        <w:ind w:firstLine="470" w:firstLineChars="196"/>
        <w:rPr>
          <w:rFonts w:ascii="宋体" w:hAnsi="宋体" w:cs="宋体"/>
          <w:color w:val="auto"/>
          <w:sz w:val="24"/>
        </w:rPr>
      </w:pPr>
      <w:r>
        <w:rPr>
          <w:rFonts w:hint="eastAsia" w:ascii="宋体" w:hAnsi="宋体" w:cs="宋体"/>
          <w:color w:val="auto"/>
          <w:sz w:val="24"/>
        </w:rPr>
        <w:t>33.1中标人须在领取《中标通知书》后30天内，根据《中华人民共和国民法典》等有关规定，依据招标文件和投标文件的有关条款上门与相关用户单位（即采购单位）签订合同。</w:t>
      </w:r>
    </w:p>
    <w:p>
      <w:pPr>
        <w:snapToGrid w:val="0"/>
        <w:ind w:firstLine="470" w:firstLineChars="196"/>
        <w:rPr>
          <w:rFonts w:ascii="宋体" w:hAnsi="宋体" w:cs="宋体"/>
          <w:color w:val="auto"/>
          <w:sz w:val="24"/>
        </w:rPr>
      </w:pPr>
      <w:r>
        <w:rPr>
          <w:rFonts w:hint="eastAsia" w:ascii="宋体" w:hAnsi="宋体" w:cs="宋体"/>
          <w:color w:val="auto"/>
          <w:sz w:val="24"/>
        </w:rPr>
        <w:t>33.2招标文件、投标文件和《中标通知书》作为合同签订的依据和主要附件。合同签订时中标人须提供相应的《中标通知书》复印件和售后服务承诺给用户单位，以方便验收货物（或工程）。</w:t>
      </w:r>
    </w:p>
    <w:p>
      <w:pPr>
        <w:snapToGrid w:val="0"/>
        <w:ind w:firstLine="470" w:firstLineChars="196"/>
        <w:rPr>
          <w:rFonts w:ascii="宋体" w:hAnsi="宋体" w:cs="宋体"/>
          <w:color w:val="auto"/>
          <w:sz w:val="24"/>
        </w:rPr>
      </w:pPr>
      <w:r>
        <w:rPr>
          <w:rFonts w:hint="eastAsia" w:ascii="宋体" w:hAnsi="宋体" w:cs="宋体"/>
          <w:color w:val="auto"/>
          <w:sz w:val="24"/>
        </w:rPr>
        <w:t>33.3 合同一式四份，用户单位和中标人各执贰份。</w:t>
      </w:r>
    </w:p>
    <w:p>
      <w:pPr>
        <w:snapToGrid w:val="0"/>
        <w:ind w:firstLine="470" w:firstLineChars="196"/>
        <w:rPr>
          <w:rFonts w:ascii="宋体" w:hAnsi="宋体" w:cs="宋体"/>
          <w:color w:val="auto"/>
          <w:sz w:val="24"/>
        </w:rPr>
      </w:pPr>
      <w:r>
        <w:rPr>
          <w:rFonts w:hint="eastAsia" w:ascii="宋体" w:hAnsi="宋体" w:cs="宋体"/>
          <w:color w:val="auto"/>
          <w:sz w:val="24"/>
        </w:rPr>
        <w:t>33.4中标人和用户单位不得擅自变更、中止或者终止合同，不得另外订立背离合同实质性内容的其它协议。</w:t>
      </w:r>
    </w:p>
    <w:p>
      <w:pPr>
        <w:snapToGrid w:val="0"/>
        <w:ind w:firstLine="472" w:firstLineChars="196"/>
        <w:rPr>
          <w:rFonts w:ascii="宋体" w:hAnsi="宋体" w:cs="宋体"/>
          <w:b/>
          <w:bCs/>
          <w:sz w:val="24"/>
        </w:rPr>
      </w:pPr>
      <w:r>
        <w:rPr>
          <w:rFonts w:hint="eastAsia" w:ascii="宋体" w:hAnsi="宋体" w:cs="宋体"/>
          <w:b/>
          <w:bCs/>
          <w:sz w:val="24"/>
        </w:rPr>
        <w:t>34.履约保证金</w:t>
      </w:r>
    </w:p>
    <w:p>
      <w:pPr>
        <w:ind w:firstLine="480" w:firstLineChars="200"/>
        <w:rPr>
          <w:rFonts w:ascii="宋体" w:hAnsi="宋体"/>
          <w:color w:val="auto"/>
          <w:sz w:val="24"/>
        </w:rPr>
      </w:pPr>
      <w:r>
        <w:rPr>
          <w:rFonts w:hint="eastAsia" w:ascii="宋体" w:hAnsi="宋体"/>
          <w:color w:val="auto"/>
          <w:sz w:val="24"/>
        </w:rPr>
        <w:t>34.1</w:t>
      </w:r>
      <w:r>
        <w:rPr>
          <w:rFonts w:ascii="宋体" w:hAnsi="宋体"/>
          <w:color w:val="auto"/>
          <w:sz w:val="24"/>
        </w:rPr>
        <w:t>中标人在签订</w:t>
      </w:r>
      <w:r>
        <w:rPr>
          <w:rFonts w:hint="eastAsia" w:ascii="宋体" w:hAnsi="宋体"/>
          <w:color w:val="auto"/>
          <w:sz w:val="24"/>
        </w:rPr>
        <w:t>采购</w:t>
      </w:r>
      <w:r>
        <w:rPr>
          <w:rFonts w:ascii="宋体" w:hAnsi="宋体"/>
          <w:color w:val="auto"/>
          <w:sz w:val="24"/>
        </w:rPr>
        <w:t>合同前，</w:t>
      </w:r>
      <w:r>
        <w:rPr>
          <w:rFonts w:hint="eastAsia" w:ascii="宋体" w:hAnsi="宋体"/>
          <w:color w:val="auto"/>
          <w:sz w:val="24"/>
        </w:rPr>
        <w:t>应按招标文件要求向采购人</w:t>
      </w:r>
      <w:r>
        <w:rPr>
          <w:rFonts w:ascii="宋体" w:hAnsi="宋体"/>
          <w:color w:val="auto"/>
          <w:sz w:val="24"/>
        </w:rPr>
        <w:t>提交履约保证金</w:t>
      </w:r>
      <w:r>
        <w:rPr>
          <w:rFonts w:hint="eastAsia" w:ascii="宋体" w:hAnsi="宋体"/>
          <w:color w:val="auto"/>
          <w:sz w:val="24"/>
        </w:rPr>
        <w:t>，</w:t>
      </w:r>
      <w:r>
        <w:rPr>
          <w:rFonts w:ascii="宋体" w:hAnsi="宋体"/>
          <w:color w:val="auto"/>
          <w:sz w:val="24"/>
        </w:rPr>
        <w:t>履约保证金</w:t>
      </w:r>
      <w:r>
        <w:rPr>
          <w:rFonts w:hint="eastAsia" w:ascii="宋体" w:hAnsi="宋体"/>
          <w:color w:val="auto"/>
          <w:sz w:val="24"/>
        </w:rPr>
        <w:t>作为中标人在履行合同合服务承诺的保证。</w:t>
      </w:r>
    </w:p>
    <w:p>
      <w:pPr>
        <w:ind w:firstLine="480" w:firstLineChars="200"/>
        <w:rPr>
          <w:rFonts w:ascii="宋体" w:hAnsi="宋体"/>
          <w:color w:val="auto"/>
          <w:sz w:val="24"/>
        </w:rPr>
      </w:pPr>
      <w:r>
        <w:rPr>
          <w:rFonts w:hint="eastAsia" w:ascii="宋体" w:hAnsi="宋体"/>
          <w:color w:val="auto"/>
          <w:sz w:val="24"/>
        </w:rPr>
        <w:t>34.2中标人应当以支票、汇票、本票等非现金形式提交。中标人在履行完合同约定事项后，采购人应及时退还履约保证金。履约保证金不计息。</w:t>
      </w:r>
    </w:p>
    <w:p>
      <w:pPr>
        <w:ind w:firstLine="480" w:firstLineChars="200"/>
        <w:rPr>
          <w:rFonts w:ascii="宋体" w:hAnsi="宋体"/>
          <w:color w:val="auto"/>
          <w:sz w:val="24"/>
        </w:rPr>
      </w:pPr>
      <w:r>
        <w:rPr>
          <w:rFonts w:hint="eastAsia" w:ascii="宋体" w:hAnsi="宋体"/>
          <w:color w:val="auto"/>
          <w:sz w:val="24"/>
        </w:rPr>
        <w:t>34.3签订合同后，如中标人不按双方合同约定履约，则没收其全部履约保证金，履约保证金不足以赔偿损失的，按实际损失赔偿。</w:t>
      </w:r>
    </w:p>
    <w:p>
      <w:pPr>
        <w:snapToGrid w:val="0"/>
        <w:ind w:firstLine="472" w:firstLineChars="196"/>
        <w:rPr>
          <w:rFonts w:ascii="宋体" w:hAnsi="宋体" w:cs="宋体"/>
          <w:b/>
          <w:bCs/>
          <w:color w:val="auto"/>
          <w:sz w:val="24"/>
        </w:rPr>
      </w:pPr>
      <w:r>
        <w:rPr>
          <w:rFonts w:hint="eastAsia" w:ascii="宋体" w:hAnsi="宋体" w:cs="宋体"/>
          <w:b/>
          <w:bCs/>
          <w:color w:val="auto"/>
          <w:sz w:val="24"/>
        </w:rPr>
        <w:t>35.合同备案</w:t>
      </w:r>
    </w:p>
    <w:p>
      <w:pPr>
        <w:ind w:firstLine="480" w:firstLineChars="200"/>
        <w:rPr>
          <w:rFonts w:ascii="宋体" w:hAnsi="宋体" w:cs="宋体"/>
          <w:color w:val="auto"/>
          <w:sz w:val="24"/>
        </w:rPr>
      </w:pPr>
      <w:r>
        <w:rPr>
          <w:rFonts w:hint="eastAsia" w:ascii="宋体" w:hAnsi="宋体" w:cs="宋体"/>
          <w:color w:val="auto"/>
          <w:sz w:val="24"/>
        </w:rPr>
        <w:t>采购人应当自采购合同签订之日起七个工作日内，按照有关规定通过政采云系统将采购合同进行网上备案。</w:t>
      </w:r>
    </w:p>
    <w:p>
      <w:pPr>
        <w:pStyle w:val="5"/>
        <w:spacing w:line="360" w:lineRule="exact"/>
        <w:jc w:val="center"/>
        <w:rPr>
          <w:rFonts w:ascii="宋体" w:hAnsi="宋体" w:eastAsia="宋体" w:cs="宋体"/>
          <w:sz w:val="28"/>
          <w:szCs w:val="28"/>
        </w:rPr>
      </w:pPr>
      <w:bookmarkStart w:id="28" w:name="_Toc352165696"/>
      <w:bookmarkStart w:id="29" w:name="_Toc339459646"/>
      <w:bookmarkStart w:id="30" w:name="_Toc125344511"/>
      <w:r>
        <w:rPr>
          <w:rFonts w:hint="eastAsia" w:ascii="宋体" w:hAnsi="宋体" w:eastAsia="宋体" w:cs="宋体"/>
          <w:sz w:val="28"/>
          <w:szCs w:val="28"/>
        </w:rPr>
        <w:t>八、质疑和投诉</w:t>
      </w:r>
    </w:p>
    <w:p>
      <w:pPr>
        <w:ind w:firstLine="480" w:firstLineChars="200"/>
        <w:rPr>
          <w:rFonts w:ascii="宋体" w:hAnsi="宋体" w:cs="宋体"/>
          <w:color w:val="auto"/>
          <w:sz w:val="24"/>
        </w:rPr>
      </w:pPr>
      <w:r>
        <w:rPr>
          <w:rFonts w:hint="eastAsia" w:ascii="宋体" w:hAnsi="宋体" w:cs="宋体"/>
          <w:color w:val="auto"/>
          <w:sz w:val="24"/>
        </w:rPr>
        <w:t>36.1开标过程中，投标人对开标有异议的，应当在“政采云”平台上及时提出，评审委员应对异常情况制作相关记录。</w:t>
      </w:r>
    </w:p>
    <w:p>
      <w:pPr>
        <w:ind w:firstLine="480" w:firstLineChars="200"/>
        <w:rPr>
          <w:rFonts w:ascii="宋体" w:hAnsi="宋体" w:cs="宋体"/>
          <w:color w:val="auto"/>
          <w:sz w:val="24"/>
        </w:rPr>
      </w:pPr>
      <w:r>
        <w:rPr>
          <w:rFonts w:hint="eastAsia" w:ascii="宋体" w:hAnsi="宋体" w:cs="宋体"/>
          <w:color w:val="auto"/>
          <w:sz w:val="24"/>
        </w:rPr>
        <w:t>36.2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pPr>
        <w:ind w:firstLine="480" w:firstLineChars="200"/>
        <w:rPr>
          <w:rFonts w:ascii="宋体" w:hAnsi="宋体" w:cs="宋体"/>
          <w:color w:val="auto"/>
          <w:sz w:val="24"/>
        </w:rPr>
      </w:pPr>
      <w:r>
        <w:rPr>
          <w:rFonts w:hint="eastAsia" w:ascii="宋体" w:hAnsi="宋体" w:cs="宋体"/>
          <w:color w:val="auto"/>
          <w:sz w:val="24"/>
        </w:rPr>
        <w:t>36.3质疑投诉的相关规定</w:t>
      </w:r>
    </w:p>
    <w:p>
      <w:pPr>
        <w:ind w:firstLine="480" w:firstLineChars="200"/>
        <w:rPr>
          <w:rFonts w:ascii="宋体" w:hAnsi="宋体" w:cs="宋体"/>
          <w:color w:val="auto"/>
          <w:sz w:val="24"/>
        </w:rPr>
      </w:pPr>
      <w:r>
        <w:rPr>
          <w:rFonts w:hint="eastAsia" w:ascii="宋体" w:hAnsi="宋体" w:cs="宋体"/>
          <w:color w:val="auto"/>
          <w:sz w:val="24"/>
        </w:rPr>
        <w:t>（一）质疑投诉递交的资料需为书面材料。质疑投诉书面材料需法人代表人（或负责人）或授权代表签字并加盖公章。</w:t>
      </w:r>
    </w:p>
    <w:p>
      <w:pPr>
        <w:ind w:firstLine="480" w:firstLineChars="200"/>
        <w:rPr>
          <w:rFonts w:ascii="宋体" w:hAnsi="宋体" w:cs="宋体"/>
          <w:color w:val="auto"/>
          <w:sz w:val="24"/>
        </w:rPr>
      </w:pPr>
      <w:r>
        <w:rPr>
          <w:rFonts w:hint="eastAsia" w:ascii="宋体" w:hAnsi="宋体" w:cs="宋体"/>
          <w:color w:val="auto"/>
          <w:sz w:val="24"/>
        </w:rPr>
        <w:t>（二）质疑投诉属于以下情况之一的，将不予受理：</w:t>
      </w:r>
    </w:p>
    <w:p>
      <w:pPr>
        <w:ind w:firstLine="480" w:firstLineChars="200"/>
        <w:rPr>
          <w:rFonts w:ascii="宋体" w:hAnsi="宋体" w:cs="宋体"/>
          <w:color w:val="auto"/>
          <w:sz w:val="24"/>
        </w:rPr>
      </w:pPr>
      <w:r>
        <w:rPr>
          <w:rFonts w:hint="eastAsia" w:ascii="宋体" w:hAnsi="宋体" w:cs="宋体"/>
          <w:color w:val="auto"/>
          <w:sz w:val="24"/>
        </w:rPr>
        <w:t>(1)质疑投诉人不是所投诉项目的参与者，或者与质疑投诉项目无任何利害关系；</w:t>
      </w:r>
    </w:p>
    <w:p>
      <w:pPr>
        <w:ind w:firstLine="480" w:firstLineChars="200"/>
        <w:rPr>
          <w:rFonts w:ascii="宋体" w:hAnsi="宋体" w:cs="宋体"/>
          <w:color w:val="auto"/>
          <w:sz w:val="24"/>
        </w:rPr>
      </w:pPr>
      <w:r>
        <w:rPr>
          <w:rFonts w:hint="eastAsia" w:ascii="宋体" w:hAnsi="宋体" w:cs="宋体"/>
          <w:color w:val="auto"/>
          <w:sz w:val="24"/>
        </w:rPr>
        <w:t>(2)质疑投诉事项不具体，且未提供有效线索，难以查证；</w:t>
      </w:r>
    </w:p>
    <w:p>
      <w:pPr>
        <w:ind w:firstLine="480" w:firstLineChars="200"/>
        <w:rPr>
          <w:rFonts w:ascii="宋体" w:hAnsi="宋体" w:cs="宋体"/>
          <w:color w:val="auto"/>
          <w:sz w:val="24"/>
        </w:rPr>
      </w:pPr>
      <w:r>
        <w:rPr>
          <w:rFonts w:hint="eastAsia" w:ascii="宋体" w:hAnsi="宋体" w:cs="宋体"/>
          <w:color w:val="auto"/>
          <w:sz w:val="24"/>
        </w:rPr>
        <w:t>(3)未提供书面质疑或者质疑未加盖公章的；投诉人为法人或者其他组织，其投诉书未经法定代表人或者主要负责人签字并加盖公章的；</w:t>
      </w:r>
    </w:p>
    <w:p>
      <w:pPr>
        <w:ind w:firstLine="480" w:firstLineChars="200"/>
        <w:rPr>
          <w:rFonts w:ascii="宋体" w:hAnsi="宋体" w:cs="宋体"/>
          <w:color w:val="auto"/>
          <w:sz w:val="24"/>
        </w:rPr>
      </w:pPr>
      <w:r>
        <w:rPr>
          <w:rFonts w:hint="eastAsia" w:ascii="宋体" w:hAnsi="宋体" w:cs="宋体"/>
          <w:color w:val="auto"/>
          <w:sz w:val="24"/>
        </w:rPr>
        <w:t>(4)已超过招标文件规定质疑投诉提出期限的事项；</w:t>
      </w:r>
    </w:p>
    <w:p>
      <w:pPr>
        <w:ind w:firstLine="480" w:firstLineChars="200"/>
        <w:rPr>
          <w:rFonts w:ascii="宋体" w:hAnsi="宋体" w:cs="宋体"/>
          <w:color w:val="auto"/>
          <w:sz w:val="24"/>
        </w:rPr>
      </w:pPr>
      <w:r>
        <w:rPr>
          <w:rFonts w:hint="eastAsia" w:ascii="宋体" w:hAnsi="宋体" w:cs="宋体"/>
          <w:color w:val="auto"/>
          <w:sz w:val="24"/>
        </w:rPr>
        <w:t>(5)投诉事项已作出处理决定，并且投诉人没有提出新的证据；</w:t>
      </w:r>
    </w:p>
    <w:p>
      <w:pPr>
        <w:ind w:firstLine="480" w:firstLineChars="200"/>
        <w:rPr>
          <w:rFonts w:ascii="宋体" w:hAnsi="宋体" w:cs="宋体"/>
          <w:color w:val="auto"/>
          <w:sz w:val="24"/>
        </w:rPr>
      </w:pPr>
      <w:r>
        <w:rPr>
          <w:rFonts w:hint="eastAsia" w:ascii="宋体" w:hAnsi="宋体" w:cs="宋体"/>
          <w:color w:val="auto"/>
          <w:sz w:val="24"/>
        </w:rPr>
        <w:t>(6)质疑投诉的事项已经进入行政复议或者行政诉讼程序的；投诉事项应先提出质疑而没有提出质疑的；</w:t>
      </w:r>
    </w:p>
    <w:p>
      <w:pPr>
        <w:pStyle w:val="5"/>
        <w:spacing w:before="0" w:after="0" w:line="240" w:lineRule="auto"/>
        <w:ind w:firstLine="480" w:firstLineChars="200"/>
        <w:rPr>
          <w:rFonts w:ascii="宋体" w:hAnsi="宋体" w:eastAsia="宋体" w:cs="宋体"/>
          <w:b w:val="0"/>
          <w:bCs w:val="0"/>
          <w:kern w:val="0"/>
          <w:sz w:val="24"/>
          <w:szCs w:val="21"/>
        </w:rPr>
      </w:pPr>
      <w:r>
        <w:rPr>
          <w:rFonts w:hint="eastAsia" w:ascii="宋体" w:hAnsi="宋体" w:eastAsia="宋体" w:cs="宋体"/>
          <w:b w:val="0"/>
          <w:bCs w:val="0"/>
          <w:kern w:val="0"/>
          <w:sz w:val="24"/>
          <w:szCs w:val="21"/>
        </w:rPr>
        <w:t>(7)不符合采购相关法律法规等有关规定的投诉。</w:t>
      </w:r>
    </w:p>
    <w:p>
      <w:pPr>
        <w:pStyle w:val="5"/>
        <w:spacing w:before="0" w:after="0" w:line="240" w:lineRule="auto"/>
        <w:ind w:firstLine="562" w:firstLineChars="200"/>
        <w:jc w:val="cente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br w:type="page"/>
      </w:r>
    </w:p>
    <w:p>
      <w:pPr>
        <w:pStyle w:val="5"/>
        <w:spacing w:before="0" w:after="0" w:line="240" w:lineRule="auto"/>
        <w:ind w:firstLine="562" w:firstLineChars="200"/>
        <w:jc w:val="center"/>
        <w:rPr>
          <w:rFonts w:ascii="宋体" w:hAnsi="宋体" w:eastAsia="宋体" w:cs="宋体"/>
          <w:sz w:val="28"/>
          <w:szCs w:val="28"/>
        </w:rPr>
      </w:pPr>
      <w:r>
        <w:rPr>
          <w:rFonts w:hint="eastAsia" w:ascii="宋体" w:hAnsi="宋体" w:eastAsia="宋体" w:cs="宋体"/>
          <w:sz w:val="28"/>
          <w:szCs w:val="28"/>
        </w:rPr>
        <w:t>九、不良行为记录</w:t>
      </w:r>
      <w:bookmarkEnd w:id="28"/>
      <w:bookmarkEnd w:id="29"/>
    </w:p>
    <w:p>
      <w:pPr>
        <w:ind w:firstLine="480" w:firstLineChars="200"/>
        <w:rPr>
          <w:rFonts w:ascii="宋体" w:hAnsi="宋体" w:cs="宋体"/>
          <w:color w:val="auto"/>
          <w:sz w:val="24"/>
        </w:rPr>
      </w:pPr>
      <w:r>
        <w:rPr>
          <w:rFonts w:hint="eastAsia" w:ascii="宋体" w:hAnsi="宋体" w:cs="宋体"/>
          <w:color w:val="auto"/>
          <w:sz w:val="24"/>
        </w:rPr>
        <w:t>投标人在采购活动中出现下列违规行为的将记入</w:t>
      </w:r>
      <w:r>
        <w:rPr>
          <w:rFonts w:hint="eastAsia" w:ascii="宋体" w:hAnsi="宋体" w:cs="宋体"/>
          <w:sz w:val="24"/>
          <w:szCs w:val="24"/>
        </w:rPr>
        <w:t>浙江浣江传媒集团有限公司</w:t>
      </w:r>
      <w:r>
        <w:rPr>
          <w:rFonts w:hint="eastAsia" w:ascii="宋体" w:hAnsi="宋体" w:cs="宋体"/>
          <w:color w:val="auto"/>
          <w:sz w:val="24"/>
        </w:rPr>
        <w:t>采购不良行为记录，并在记录时限内暂停其</w:t>
      </w:r>
      <w:r>
        <w:rPr>
          <w:rFonts w:hint="eastAsia" w:ascii="宋体" w:hAnsi="宋体" w:cs="宋体"/>
          <w:sz w:val="24"/>
          <w:szCs w:val="24"/>
        </w:rPr>
        <w:t>浙江浣江传媒集团有限公司及下属公司范围内采</w:t>
      </w:r>
      <w:r>
        <w:rPr>
          <w:rFonts w:hint="eastAsia" w:ascii="宋体" w:hAnsi="宋体" w:cs="宋体"/>
          <w:color w:val="auto"/>
          <w:sz w:val="24"/>
        </w:rPr>
        <w:t>购交易资格，同时不良行为在诸暨市公共资源交易中心网站公示。</w:t>
      </w:r>
    </w:p>
    <w:tbl>
      <w:tblPr>
        <w:tblStyle w:val="2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947" w:type="dxa"/>
            <w:vAlign w:val="center"/>
          </w:tcPr>
          <w:p>
            <w:pPr>
              <w:jc w:val="center"/>
              <w:rPr>
                <w:rFonts w:ascii="宋体" w:hAnsi="宋体" w:cs="宋体"/>
                <w:b/>
                <w:bCs/>
                <w:color w:val="auto"/>
                <w:sz w:val="24"/>
              </w:rPr>
            </w:pPr>
            <w:r>
              <w:rPr>
                <w:rFonts w:hint="eastAsia" w:ascii="宋体" w:hAnsi="宋体" w:cs="宋体"/>
                <w:b/>
                <w:bCs/>
                <w:color w:val="auto"/>
                <w:sz w:val="24"/>
              </w:rPr>
              <w:t>序号</w:t>
            </w:r>
          </w:p>
        </w:tc>
        <w:tc>
          <w:tcPr>
            <w:tcW w:w="6433" w:type="dxa"/>
            <w:vAlign w:val="center"/>
          </w:tcPr>
          <w:p>
            <w:pPr>
              <w:jc w:val="center"/>
              <w:rPr>
                <w:rFonts w:ascii="宋体" w:hAnsi="宋体" w:cs="宋体"/>
                <w:b/>
                <w:bCs/>
                <w:color w:val="auto"/>
                <w:sz w:val="24"/>
              </w:rPr>
            </w:pPr>
            <w:r>
              <w:rPr>
                <w:rFonts w:hint="eastAsia" w:ascii="宋体" w:hAnsi="宋体" w:cs="宋体"/>
                <w:b/>
                <w:bCs/>
                <w:color w:val="auto"/>
                <w:sz w:val="24"/>
              </w:rPr>
              <w:t>不良行为</w:t>
            </w:r>
          </w:p>
        </w:tc>
        <w:tc>
          <w:tcPr>
            <w:tcW w:w="1326" w:type="dxa"/>
            <w:vAlign w:val="center"/>
          </w:tcPr>
          <w:p>
            <w:pPr>
              <w:jc w:val="center"/>
              <w:rPr>
                <w:rFonts w:ascii="宋体" w:hAnsi="宋体" w:cs="宋体"/>
                <w:b/>
                <w:bCs/>
                <w:color w:val="auto"/>
                <w:sz w:val="24"/>
              </w:rPr>
            </w:pPr>
            <w:r>
              <w:rPr>
                <w:rFonts w:hint="eastAsia" w:ascii="宋体" w:hAnsi="宋体" w:cs="宋体"/>
                <w:b/>
                <w:bCs/>
                <w:color w:val="auto"/>
                <w:sz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cs="宋体"/>
                <w:color w:val="auto"/>
                <w:sz w:val="24"/>
              </w:rPr>
            </w:pPr>
            <w:r>
              <w:rPr>
                <w:rFonts w:hint="eastAsia" w:ascii="宋体" w:hAnsi="宋体" w:cs="宋体"/>
                <w:color w:val="auto"/>
                <w:sz w:val="24"/>
              </w:rPr>
              <w:t>1</w:t>
            </w:r>
          </w:p>
        </w:tc>
        <w:tc>
          <w:tcPr>
            <w:tcW w:w="6433" w:type="dxa"/>
            <w:vAlign w:val="center"/>
          </w:tcPr>
          <w:p>
            <w:pPr>
              <w:autoSpaceDE/>
              <w:autoSpaceDN/>
              <w:adjustRightInd/>
              <w:rPr>
                <w:rFonts w:ascii="宋体" w:hAnsi="宋体" w:cs="宋体"/>
                <w:color w:val="auto"/>
                <w:sz w:val="24"/>
              </w:rPr>
            </w:pPr>
            <w:r>
              <w:rPr>
                <w:rFonts w:hint="eastAsia" w:ascii="宋体" w:hAnsi="宋体" w:cs="宋体"/>
                <w:color w:val="auto"/>
                <w:sz w:val="24"/>
              </w:rPr>
              <w:t>在招标采购过程中，与采购人进行协商谈判的</w:t>
            </w:r>
          </w:p>
        </w:tc>
        <w:tc>
          <w:tcPr>
            <w:tcW w:w="1326" w:type="dxa"/>
            <w:vAlign w:val="center"/>
          </w:tcPr>
          <w:p>
            <w:pPr>
              <w:jc w:val="center"/>
              <w:rPr>
                <w:rFonts w:ascii="宋体" w:hAnsi="宋体" w:cs="宋体"/>
                <w:color w:val="auto"/>
                <w:sz w:val="24"/>
              </w:rPr>
            </w:pPr>
            <w:r>
              <w:rPr>
                <w:rFonts w:hint="eastAsia" w:ascii="宋体" w:hAnsi="宋体" w:cs="宋体"/>
                <w:color w:val="auto"/>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cs="宋体"/>
                <w:color w:val="auto"/>
                <w:sz w:val="24"/>
              </w:rPr>
            </w:pPr>
            <w:r>
              <w:rPr>
                <w:rFonts w:hint="eastAsia" w:ascii="宋体" w:hAnsi="宋体" w:cs="宋体"/>
                <w:color w:val="auto"/>
                <w:sz w:val="24"/>
              </w:rPr>
              <w:t>2</w:t>
            </w:r>
          </w:p>
        </w:tc>
        <w:tc>
          <w:tcPr>
            <w:tcW w:w="6433" w:type="dxa"/>
            <w:vAlign w:val="center"/>
          </w:tcPr>
          <w:p>
            <w:pPr>
              <w:autoSpaceDE/>
              <w:autoSpaceDN/>
              <w:adjustRightInd/>
              <w:rPr>
                <w:rFonts w:ascii="宋体" w:hAnsi="宋体" w:cs="宋体"/>
                <w:color w:val="auto"/>
                <w:sz w:val="24"/>
              </w:rPr>
            </w:pPr>
            <w:r>
              <w:rPr>
                <w:rFonts w:hint="eastAsia" w:ascii="宋体" w:hAnsi="宋体" w:cs="宋体"/>
                <w:color w:val="auto"/>
                <w:sz w:val="24"/>
              </w:rPr>
              <w:t>投标有效期内撤回其投标文件的</w:t>
            </w:r>
          </w:p>
        </w:tc>
        <w:tc>
          <w:tcPr>
            <w:tcW w:w="1326" w:type="dxa"/>
            <w:vAlign w:val="center"/>
          </w:tcPr>
          <w:p>
            <w:pPr>
              <w:jc w:val="center"/>
              <w:rPr>
                <w:rFonts w:ascii="宋体" w:hAnsi="宋体" w:cs="宋体"/>
                <w:color w:val="auto"/>
                <w:sz w:val="24"/>
              </w:rPr>
            </w:pPr>
            <w:r>
              <w:rPr>
                <w:rFonts w:hint="eastAsia" w:ascii="宋体" w:hAnsi="宋体" w:cs="宋体"/>
                <w:color w:val="auto"/>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cs="宋体"/>
                <w:color w:val="auto"/>
                <w:sz w:val="24"/>
              </w:rPr>
            </w:pPr>
            <w:r>
              <w:rPr>
                <w:rFonts w:hint="eastAsia" w:ascii="宋体" w:hAnsi="宋体" w:cs="宋体"/>
                <w:color w:val="auto"/>
                <w:sz w:val="24"/>
              </w:rPr>
              <w:t>3</w:t>
            </w:r>
          </w:p>
        </w:tc>
        <w:tc>
          <w:tcPr>
            <w:tcW w:w="6433" w:type="dxa"/>
            <w:vAlign w:val="center"/>
          </w:tcPr>
          <w:p>
            <w:pPr>
              <w:autoSpaceDE/>
              <w:autoSpaceDN/>
              <w:adjustRightInd/>
              <w:rPr>
                <w:rFonts w:ascii="宋体" w:hAnsi="宋体" w:cs="宋体"/>
                <w:color w:val="auto"/>
                <w:sz w:val="24"/>
              </w:rPr>
            </w:pPr>
            <w:r>
              <w:rPr>
                <w:rFonts w:hint="eastAsia" w:ascii="宋体" w:hAnsi="宋体" w:cs="宋体"/>
                <w:color w:val="auto"/>
                <w:sz w:val="24"/>
              </w:rPr>
              <w:t>拒绝有关部门监督检查的</w:t>
            </w:r>
          </w:p>
        </w:tc>
        <w:tc>
          <w:tcPr>
            <w:tcW w:w="1326" w:type="dxa"/>
            <w:vAlign w:val="center"/>
          </w:tcPr>
          <w:p>
            <w:pPr>
              <w:jc w:val="center"/>
              <w:rPr>
                <w:rFonts w:ascii="宋体" w:hAnsi="宋体" w:cs="宋体"/>
                <w:color w:val="auto"/>
                <w:sz w:val="24"/>
              </w:rPr>
            </w:pPr>
            <w:r>
              <w:rPr>
                <w:rFonts w:hint="eastAsia" w:ascii="宋体" w:hAnsi="宋体" w:cs="宋体"/>
                <w:color w:val="auto"/>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cs="宋体"/>
                <w:color w:val="auto"/>
                <w:sz w:val="24"/>
              </w:rPr>
            </w:pPr>
            <w:r>
              <w:rPr>
                <w:rFonts w:hint="eastAsia" w:ascii="宋体" w:hAnsi="宋体" w:cs="宋体"/>
                <w:color w:val="auto"/>
                <w:sz w:val="24"/>
              </w:rPr>
              <w:t>4</w:t>
            </w:r>
          </w:p>
        </w:tc>
        <w:tc>
          <w:tcPr>
            <w:tcW w:w="6433" w:type="dxa"/>
            <w:vAlign w:val="center"/>
          </w:tcPr>
          <w:p>
            <w:pPr>
              <w:autoSpaceDE/>
              <w:autoSpaceDN/>
              <w:adjustRightInd/>
              <w:rPr>
                <w:rFonts w:ascii="宋体" w:hAnsi="宋体" w:cs="宋体"/>
                <w:color w:val="auto"/>
                <w:sz w:val="24"/>
              </w:rPr>
            </w:pPr>
            <w:r>
              <w:rPr>
                <w:rFonts w:hint="eastAsia" w:ascii="宋体" w:hAnsi="宋体" w:cs="宋体"/>
                <w:color w:val="auto"/>
                <w:sz w:val="24"/>
              </w:rPr>
              <w:t>不积极配合采购人做好标的验收工作的</w:t>
            </w:r>
          </w:p>
        </w:tc>
        <w:tc>
          <w:tcPr>
            <w:tcW w:w="1326" w:type="dxa"/>
            <w:vAlign w:val="center"/>
          </w:tcPr>
          <w:p>
            <w:pPr>
              <w:jc w:val="center"/>
              <w:rPr>
                <w:rFonts w:ascii="宋体" w:hAnsi="宋体" w:cs="宋体"/>
                <w:color w:val="auto"/>
                <w:sz w:val="24"/>
              </w:rPr>
            </w:pPr>
            <w:r>
              <w:rPr>
                <w:rFonts w:hint="eastAsia" w:ascii="宋体" w:hAnsi="宋体" w:cs="宋体"/>
                <w:color w:val="auto"/>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cs="宋体"/>
                <w:color w:val="auto"/>
                <w:sz w:val="24"/>
              </w:rPr>
            </w:pPr>
            <w:r>
              <w:rPr>
                <w:rFonts w:hint="eastAsia" w:ascii="宋体" w:hAnsi="宋体" w:cs="宋体"/>
                <w:color w:val="auto"/>
                <w:sz w:val="24"/>
              </w:rPr>
              <w:t>5</w:t>
            </w:r>
          </w:p>
        </w:tc>
        <w:tc>
          <w:tcPr>
            <w:tcW w:w="6433" w:type="dxa"/>
            <w:vAlign w:val="center"/>
          </w:tcPr>
          <w:p>
            <w:pPr>
              <w:autoSpaceDE/>
              <w:autoSpaceDN/>
              <w:adjustRightInd/>
              <w:rPr>
                <w:rFonts w:ascii="宋体" w:hAnsi="宋体" w:cs="宋体"/>
                <w:color w:val="auto"/>
                <w:sz w:val="24"/>
              </w:rPr>
            </w:pPr>
            <w:r>
              <w:rPr>
                <w:rFonts w:hint="eastAsia" w:ascii="宋体" w:hAnsi="宋体" w:cs="宋体"/>
                <w:color w:val="auto"/>
                <w:sz w:val="24"/>
              </w:rPr>
              <w:t>在有关部门的监督检查或考核中被通报批评或处以警告及以上处罚的</w:t>
            </w:r>
          </w:p>
        </w:tc>
        <w:tc>
          <w:tcPr>
            <w:tcW w:w="1326" w:type="dxa"/>
            <w:vAlign w:val="center"/>
          </w:tcPr>
          <w:p>
            <w:pPr>
              <w:jc w:val="center"/>
              <w:rPr>
                <w:rFonts w:ascii="宋体" w:hAnsi="宋体" w:cs="宋体"/>
                <w:color w:val="auto"/>
                <w:sz w:val="24"/>
              </w:rPr>
            </w:pPr>
            <w:r>
              <w:rPr>
                <w:rFonts w:hint="eastAsia" w:ascii="宋体" w:hAnsi="宋体" w:cs="宋体"/>
                <w:color w:val="auto"/>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cs="宋体"/>
                <w:color w:val="auto"/>
                <w:sz w:val="24"/>
              </w:rPr>
            </w:pPr>
            <w:r>
              <w:rPr>
                <w:rFonts w:hint="eastAsia" w:ascii="宋体" w:hAnsi="宋体" w:cs="宋体"/>
                <w:color w:val="auto"/>
                <w:sz w:val="24"/>
              </w:rPr>
              <w:t>6</w:t>
            </w:r>
          </w:p>
        </w:tc>
        <w:tc>
          <w:tcPr>
            <w:tcW w:w="6433" w:type="dxa"/>
            <w:vAlign w:val="center"/>
          </w:tcPr>
          <w:p>
            <w:pPr>
              <w:autoSpaceDE/>
              <w:autoSpaceDN/>
              <w:adjustRightInd/>
              <w:rPr>
                <w:rFonts w:ascii="宋体" w:hAnsi="宋体" w:cs="宋体"/>
                <w:color w:val="auto"/>
                <w:sz w:val="24"/>
              </w:rPr>
            </w:pPr>
            <w:r>
              <w:rPr>
                <w:rFonts w:hint="eastAsia" w:ascii="宋体" w:hAnsi="宋体" w:cs="宋体"/>
                <w:color w:val="auto"/>
                <w:sz w:val="24"/>
              </w:rPr>
              <w:t>不遵守投标会场纪律，无理取闹，扰乱交易秩序的</w:t>
            </w:r>
          </w:p>
        </w:tc>
        <w:tc>
          <w:tcPr>
            <w:tcW w:w="1326" w:type="dxa"/>
            <w:vAlign w:val="center"/>
          </w:tcPr>
          <w:p>
            <w:pPr>
              <w:jc w:val="center"/>
              <w:rPr>
                <w:rFonts w:ascii="宋体" w:hAnsi="宋体" w:cs="宋体"/>
                <w:color w:val="auto"/>
                <w:sz w:val="24"/>
              </w:rPr>
            </w:pPr>
            <w:r>
              <w:rPr>
                <w:rFonts w:hint="eastAsia" w:ascii="宋体" w:hAnsi="宋体" w:cs="宋体"/>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cs="宋体"/>
                <w:color w:val="auto"/>
                <w:sz w:val="24"/>
              </w:rPr>
            </w:pPr>
            <w:r>
              <w:rPr>
                <w:rFonts w:hint="eastAsia" w:ascii="宋体" w:hAnsi="宋体" w:cs="宋体"/>
                <w:color w:val="auto"/>
                <w:sz w:val="24"/>
              </w:rPr>
              <w:t>7</w:t>
            </w:r>
          </w:p>
        </w:tc>
        <w:tc>
          <w:tcPr>
            <w:tcW w:w="6433" w:type="dxa"/>
            <w:vAlign w:val="center"/>
          </w:tcPr>
          <w:p>
            <w:pPr>
              <w:autoSpaceDE/>
              <w:autoSpaceDN/>
              <w:adjustRightInd/>
              <w:rPr>
                <w:rFonts w:ascii="宋体" w:hAnsi="宋体" w:cs="宋体"/>
                <w:color w:val="auto"/>
                <w:sz w:val="24"/>
              </w:rPr>
            </w:pPr>
            <w:r>
              <w:rPr>
                <w:rFonts w:hint="eastAsia" w:ascii="宋体" w:hAnsi="宋体" w:cs="宋体"/>
                <w:color w:val="auto"/>
                <w:sz w:val="24"/>
              </w:rPr>
              <w:t>中标后无正当理由放弃中标，或在规定时间内不与采购人签订采购合同，或在签订合同时提出附加条件或更改合同实质性内容，或拒不提交所要求的履约保证金的</w:t>
            </w:r>
          </w:p>
        </w:tc>
        <w:tc>
          <w:tcPr>
            <w:tcW w:w="1326" w:type="dxa"/>
            <w:vAlign w:val="center"/>
          </w:tcPr>
          <w:p>
            <w:pPr>
              <w:jc w:val="center"/>
              <w:rPr>
                <w:rFonts w:ascii="宋体" w:hAnsi="宋体" w:cs="宋体"/>
                <w:color w:val="auto"/>
                <w:sz w:val="24"/>
              </w:rPr>
            </w:pPr>
            <w:r>
              <w:rPr>
                <w:rFonts w:hint="eastAsia" w:ascii="宋体" w:hAnsi="宋体" w:cs="宋体"/>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cs="宋体"/>
                <w:color w:val="auto"/>
                <w:sz w:val="24"/>
              </w:rPr>
            </w:pPr>
            <w:r>
              <w:rPr>
                <w:rFonts w:hint="eastAsia" w:ascii="宋体" w:hAnsi="宋体" w:cs="宋体"/>
                <w:color w:val="auto"/>
                <w:sz w:val="24"/>
              </w:rPr>
              <w:t>8</w:t>
            </w:r>
          </w:p>
        </w:tc>
        <w:tc>
          <w:tcPr>
            <w:tcW w:w="6433" w:type="dxa"/>
            <w:vAlign w:val="center"/>
          </w:tcPr>
          <w:p>
            <w:pPr>
              <w:autoSpaceDE/>
              <w:autoSpaceDN/>
              <w:adjustRightInd/>
              <w:rPr>
                <w:rFonts w:ascii="宋体" w:hAnsi="宋体" w:cs="宋体"/>
                <w:color w:val="auto"/>
                <w:sz w:val="24"/>
              </w:rPr>
            </w:pPr>
            <w:r>
              <w:rPr>
                <w:rFonts w:hint="eastAsia" w:ascii="宋体" w:hAnsi="宋体" w:cs="宋体"/>
                <w:color w:val="auto"/>
                <w:sz w:val="24"/>
              </w:rPr>
              <w:t>虚假投诉、恶意投诉和不按程序、规定时间进行质疑投诉而影响采购工作正常进行或造成不良影响的</w:t>
            </w:r>
          </w:p>
        </w:tc>
        <w:tc>
          <w:tcPr>
            <w:tcW w:w="1326" w:type="dxa"/>
            <w:vAlign w:val="center"/>
          </w:tcPr>
          <w:p>
            <w:pPr>
              <w:jc w:val="center"/>
              <w:rPr>
                <w:rFonts w:ascii="宋体" w:hAnsi="宋体" w:cs="宋体"/>
                <w:color w:val="auto"/>
                <w:sz w:val="24"/>
              </w:rPr>
            </w:pPr>
            <w:r>
              <w:rPr>
                <w:rFonts w:hint="eastAsia" w:ascii="宋体" w:hAnsi="宋体" w:cs="宋体"/>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cs="宋体"/>
                <w:color w:val="auto"/>
                <w:sz w:val="24"/>
              </w:rPr>
            </w:pPr>
            <w:r>
              <w:rPr>
                <w:rFonts w:hint="eastAsia" w:ascii="宋体" w:hAnsi="宋体" w:cs="宋体"/>
                <w:color w:val="auto"/>
                <w:sz w:val="24"/>
              </w:rPr>
              <w:t>9</w:t>
            </w:r>
          </w:p>
        </w:tc>
        <w:tc>
          <w:tcPr>
            <w:tcW w:w="6433" w:type="dxa"/>
            <w:vAlign w:val="center"/>
          </w:tcPr>
          <w:p>
            <w:pPr>
              <w:autoSpaceDE/>
              <w:autoSpaceDN/>
              <w:adjustRightInd/>
              <w:rPr>
                <w:rFonts w:ascii="宋体" w:hAnsi="宋体" w:cs="宋体"/>
                <w:color w:val="auto"/>
                <w:sz w:val="24"/>
              </w:rPr>
            </w:pPr>
            <w:r>
              <w:rPr>
                <w:rFonts w:hint="eastAsia" w:ascii="宋体" w:hAnsi="宋体" w:cs="宋体"/>
                <w:color w:val="auto"/>
                <w:sz w:val="24"/>
              </w:rPr>
              <w:t>不按照与采购人订立的合同履行义务（包括提供标的、售后服务、技术支持等），严重违反合同规定和廉政合同要求的</w:t>
            </w:r>
          </w:p>
        </w:tc>
        <w:tc>
          <w:tcPr>
            <w:tcW w:w="1326" w:type="dxa"/>
            <w:vAlign w:val="center"/>
          </w:tcPr>
          <w:p>
            <w:pPr>
              <w:jc w:val="center"/>
              <w:rPr>
                <w:rFonts w:ascii="宋体" w:hAnsi="宋体" w:cs="宋体"/>
                <w:color w:val="auto"/>
                <w:sz w:val="24"/>
              </w:rPr>
            </w:pPr>
            <w:r>
              <w:rPr>
                <w:rFonts w:hint="eastAsia" w:ascii="宋体" w:hAnsi="宋体" w:cs="宋体"/>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cs="宋体"/>
                <w:color w:val="auto"/>
                <w:sz w:val="24"/>
              </w:rPr>
            </w:pPr>
            <w:r>
              <w:rPr>
                <w:rFonts w:hint="eastAsia" w:ascii="宋体" w:hAnsi="宋体" w:cs="宋体"/>
                <w:color w:val="auto"/>
                <w:sz w:val="24"/>
              </w:rPr>
              <w:t>10</w:t>
            </w:r>
          </w:p>
        </w:tc>
        <w:tc>
          <w:tcPr>
            <w:tcW w:w="6433" w:type="dxa"/>
            <w:vAlign w:val="center"/>
          </w:tcPr>
          <w:p>
            <w:pPr>
              <w:autoSpaceDE/>
              <w:autoSpaceDN/>
              <w:adjustRightInd/>
              <w:rPr>
                <w:rFonts w:ascii="宋体" w:hAnsi="宋体" w:cs="宋体"/>
                <w:color w:val="auto"/>
                <w:sz w:val="24"/>
              </w:rPr>
            </w:pPr>
            <w:r>
              <w:rPr>
                <w:rFonts w:hint="eastAsia" w:ascii="宋体" w:hAnsi="宋体" w:cs="宋体"/>
                <w:color w:val="auto"/>
                <w:sz w:val="24"/>
              </w:rPr>
              <w:t>项目负责人不到位，或擅自变换项目负责人，或不认真履行职责造成采购人损失的</w:t>
            </w:r>
          </w:p>
        </w:tc>
        <w:tc>
          <w:tcPr>
            <w:tcW w:w="1326" w:type="dxa"/>
            <w:vAlign w:val="center"/>
          </w:tcPr>
          <w:p>
            <w:pPr>
              <w:jc w:val="center"/>
              <w:rPr>
                <w:rFonts w:ascii="宋体" w:hAnsi="宋体" w:cs="宋体"/>
                <w:color w:val="auto"/>
                <w:sz w:val="24"/>
              </w:rPr>
            </w:pPr>
            <w:r>
              <w:rPr>
                <w:rFonts w:hint="eastAsia" w:ascii="宋体" w:hAnsi="宋体" w:cs="宋体"/>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cs="宋体"/>
                <w:color w:val="auto"/>
                <w:sz w:val="24"/>
              </w:rPr>
            </w:pPr>
            <w:r>
              <w:rPr>
                <w:rFonts w:hint="eastAsia" w:ascii="宋体" w:hAnsi="宋体" w:cs="宋体"/>
                <w:color w:val="auto"/>
                <w:sz w:val="24"/>
              </w:rPr>
              <w:t>11</w:t>
            </w:r>
          </w:p>
        </w:tc>
        <w:tc>
          <w:tcPr>
            <w:tcW w:w="6433" w:type="dxa"/>
            <w:vAlign w:val="center"/>
          </w:tcPr>
          <w:p>
            <w:pPr>
              <w:autoSpaceDE/>
              <w:autoSpaceDN/>
              <w:adjustRightInd/>
              <w:rPr>
                <w:rFonts w:ascii="宋体" w:hAnsi="宋体" w:cs="宋体"/>
                <w:color w:val="auto"/>
                <w:sz w:val="24"/>
              </w:rPr>
            </w:pPr>
            <w:r>
              <w:rPr>
                <w:rFonts w:hint="eastAsia" w:ascii="宋体" w:hAnsi="宋体" w:cs="宋体"/>
                <w:color w:val="auto"/>
                <w:sz w:val="24"/>
              </w:rPr>
              <w:t>发生经营状况重大变化以及重要担保、重大合同纠纷或诉讼、信用等级和资质变化等可能影响履约能力的重大事项，未及时向</w:t>
            </w:r>
            <w:r>
              <w:rPr>
                <w:rFonts w:hint="eastAsia" w:ascii="宋体" w:hAnsi="宋体" w:cs="宋体"/>
                <w:sz w:val="24"/>
                <w:szCs w:val="24"/>
              </w:rPr>
              <w:t>浙江浣江传媒集团有限公司</w:t>
            </w:r>
            <w:r>
              <w:rPr>
                <w:rFonts w:hint="eastAsia" w:ascii="宋体" w:hAnsi="宋体" w:cs="宋体"/>
                <w:color w:val="auto"/>
                <w:sz w:val="24"/>
              </w:rPr>
              <w:t>提供书面报告，因而造成采购人损失的</w:t>
            </w:r>
          </w:p>
        </w:tc>
        <w:tc>
          <w:tcPr>
            <w:tcW w:w="1326" w:type="dxa"/>
            <w:vAlign w:val="center"/>
          </w:tcPr>
          <w:p>
            <w:pPr>
              <w:jc w:val="center"/>
              <w:rPr>
                <w:rFonts w:ascii="宋体" w:hAnsi="宋体" w:cs="宋体"/>
                <w:color w:val="auto"/>
                <w:sz w:val="24"/>
              </w:rPr>
            </w:pPr>
            <w:r>
              <w:rPr>
                <w:rFonts w:hint="eastAsia" w:ascii="宋体" w:hAnsi="宋体" w:cs="宋体"/>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cs="宋体"/>
                <w:color w:val="auto"/>
                <w:sz w:val="24"/>
              </w:rPr>
            </w:pPr>
            <w:r>
              <w:rPr>
                <w:rFonts w:hint="eastAsia" w:ascii="宋体" w:hAnsi="宋体" w:cs="宋体"/>
                <w:color w:val="auto"/>
                <w:sz w:val="24"/>
              </w:rPr>
              <w:t>12</w:t>
            </w:r>
          </w:p>
        </w:tc>
        <w:tc>
          <w:tcPr>
            <w:tcW w:w="6433" w:type="dxa"/>
            <w:vAlign w:val="center"/>
          </w:tcPr>
          <w:p>
            <w:pPr>
              <w:autoSpaceDE/>
              <w:autoSpaceDN/>
              <w:adjustRightInd/>
              <w:rPr>
                <w:rFonts w:ascii="宋体" w:hAnsi="宋体" w:cs="宋体"/>
                <w:color w:val="auto"/>
                <w:sz w:val="24"/>
              </w:rPr>
            </w:pPr>
            <w:r>
              <w:rPr>
                <w:rFonts w:hint="eastAsia" w:ascii="宋体" w:hAnsi="宋体" w:cs="宋体"/>
                <w:color w:val="auto"/>
                <w:sz w:val="24"/>
              </w:rPr>
              <w:t>与采购人、其他供应商或者采购代理机构相互串通的</w:t>
            </w:r>
          </w:p>
        </w:tc>
        <w:tc>
          <w:tcPr>
            <w:tcW w:w="1326" w:type="dxa"/>
            <w:vAlign w:val="center"/>
          </w:tcPr>
          <w:p>
            <w:pPr>
              <w:jc w:val="center"/>
              <w:rPr>
                <w:rFonts w:ascii="宋体" w:hAnsi="宋体" w:cs="宋体"/>
                <w:color w:val="auto"/>
                <w:sz w:val="24"/>
              </w:rPr>
            </w:pPr>
            <w:r>
              <w:rPr>
                <w:rFonts w:hint="eastAsia" w:ascii="宋体" w:hAnsi="宋体" w:cs="宋体"/>
                <w:color w:val="auto"/>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cs="宋体"/>
                <w:color w:val="auto"/>
                <w:sz w:val="24"/>
              </w:rPr>
            </w:pPr>
            <w:r>
              <w:rPr>
                <w:rFonts w:hint="eastAsia" w:ascii="宋体" w:hAnsi="宋体" w:cs="宋体"/>
                <w:color w:val="auto"/>
                <w:sz w:val="24"/>
              </w:rPr>
              <w:t>13</w:t>
            </w:r>
          </w:p>
        </w:tc>
        <w:tc>
          <w:tcPr>
            <w:tcW w:w="6433" w:type="dxa"/>
            <w:vAlign w:val="center"/>
          </w:tcPr>
          <w:p>
            <w:pPr>
              <w:autoSpaceDE/>
              <w:autoSpaceDN/>
              <w:adjustRightInd/>
              <w:rPr>
                <w:rFonts w:ascii="宋体" w:hAnsi="宋体" w:cs="宋体"/>
                <w:color w:val="auto"/>
                <w:sz w:val="24"/>
              </w:rPr>
            </w:pPr>
            <w:r>
              <w:rPr>
                <w:rFonts w:hint="eastAsia" w:ascii="宋体" w:hAnsi="宋体" w:cs="宋体"/>
                <w:color w:val="auto"/>
                <w:sz w:val="24"/>
              </w:rPr>
              <w:t>采取不正当手段排挤其他供应商，进行不公平竞争的</w:t>
            </w:r>
          </w:p>
        </w:tc>
        <w:tc>
          <w:tcPr>
            <w:tcW w:w="1326" w:type="dxa"/>
            <w:vAlign w:val="center"/>
          </w:tcPr>
          <w:p>
            <w:pPr>
              <w:jc w:val="center"/>
              <w:rPr>
                <w:rFonts w:ascii="宋体" w:hAnsi="宋体" w:cs="宋体"/>
                <w:color w:val="auto"/>
                <w:sz w:val="24"/>
              </w:rPr>
            </w:pPr>
            <w:r>
              <w:rPr>
                <w:rFonts w:hint="eastAsia" w:ascii="宋体" w:hAnsi="宋体" w:cs="宋体"/>
                <w:color w:val="auto"/>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cs="宋体"/>
                <w:color w:val="auto"/>
                <w:sz w:val="24"/>
              </w:rPr>
            </w:pPr>
            <w:r>
              <w:rPr>
                <w:rFonts w:hint="eastAsia" w:ascii="宋体" w:hAnsi="宋体" w:cs="宋体"/>
                <w:color w:val="auto"/>
                <w:sz w:val="24"/>
              </w:rPr>
              <w:t>14</w:t>
            </w:r>
          </w:p>
        </w:tc>
        <w:tc>
          <w:tcPr>
            <w:tcW w:w="6433" w:type="dxa"/>
            <w:vAlign w:val="center"/>
          </w:tcPr>
          <w:p>
            <w:pPr>
              <w:autoSpaceDE/>
              <w:autoSpaceDN/>
              <w:adjustRightInd/>
              <w:rPr>
                <w:rFonts w:ascii="宋体" w:hAnsi="宋体" w:cs="宋体"/>
                <w:color w:val="auto"/>
                <w:sz w:val="24"/>
              </w:rPr>
            </w:pPr>
            <w:r>
              <w:rPr>
                <w:rFonts w:hint="eastAsia" w:ascii="宋体" w:hAnsi="宋体" w:cs="宋体"/>
                <w:color w:val="auto"/>
                <w:sz w:val="24"/>
              </w:rPr>
              <w:t>中标后与采购人另行订立背离合同实质内容的协议的</w:t>
            </w:r>
          </w:p>
        </w:tc>
        <w:tc>
          <w:tcPr>
            <w:tcW w:w="1326" w:type="dxa"/>
            <w:vAlign w:val="center"/>
          </w:tcPr>
          <w:p>
            <w:pPr>
              <w:jc w:val="center"/>
              <w:rPr>
                <w:rFonts w:ascii="宋体" w:hAnsi="宋体" w:cs="宋体"/>
                <w:color w:val="auto"/>
                <w:sz w:val="24"/>
              </w:rPr>
            </w:pPr>
            <w:r>
              <w:rPr>
                <w:rFonts w:hint="eastAsia" w:ascii="宋体" w:hAnsi="宋体" w:cs="宋体"/>
                <w:color w:val="auto"/>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cs="宋体"/>
                <w:color w:val="auto"/>
                <w:sz w:val="24"/>
              </w:rPr>
            </w:pPr>
            <w:r>
              <w:rPr>
                <w:rFonts w:hint="eastAsia" w:ascii="宋体" w:hAnsi="宋体" w:cs="宋体"/>
                <w:color w:val="auto"/>
                <w:sz w:val="24"/>
              </w:rPr>
              <w:t>15</w:t>
            </w:r>
          </w:p>
        </w:tc>
        <w:tc>
          <w:tcPr>
            <w:tcW w:w="6433" w:type="dxa"/>
            <w:vAlign w:val="center"/>
          </w:tcPr>
          <w:p>
            <w:pPr>
              <w:autoSpaceDE/>
              <w:autoSpaceDN/>
              <w:adjustRightInd/>
              <w:rPr>
                <w:rFonts w:ascii="宋体" w:hAnsi="宋体" w:cs="宋体"/>
                <w:color w:val="auto"/>
                <w:sz w:val="24"/>
              </w:rPr>
            </w:pPr>
            <w:r>
              <w:rPr>
                <w:rFonts w:hint="eastAsia" w:ascii="宋体" w:hAnsi="宋体" w:cs="宋体"/>
                <w:color w:val="auto"/>
                <w:sz w:val="24"/>
              </w:rPr>
              <w:t>事先有承诺，而事后违反承诺内容的</w:t>
            </w:r>
          </w:p>
        </w:tc>
        <w:tc>
          <w:tcPr>
            <w:tcW w:w="1326" w:type="dxa"/>
            <w:vAlign w:val="center"/>
          </w:tcPr>
          <w:p>
            <w:pPr>
              <w:jc w:val="center"/>
              <w:rPr>
                <w:rFonts w:ascii="宋体" w:hAnsi="宋体" w:cs="宋体"/>
                <w:color w:val="auto"/>
                <w:sz w:val="24"/>
              </w:rPr>
            </w:pPr>
            <w:r>
              <w:rPr>
                <w:rFonts w:hint="eastAsia" w:ascii="宋体" w:hAnsi="宋体" w:cs="宋体"/>
                <w:color w:val="auto"/>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cs="宋体"/>
                <w:color w:val="auto"/>
                <w:sz w:val="24"/>
              </w:rPr>
            </w:pPr>
            <w:r>
              <w:rPr>
                <w:rFonts w:hint="eastAsia" w:ascii="宋体" w:hAnsi="宋体" w:cs="宋体"/>
                <w:color w:val="auto"/>
                <w:sz w:val="24"/>
              </w:rPr>
              <w:t>16</w:t>
            </w:r>
          </w:p>
        </w:tc>
        <w:tc>
          <w:tcPr>
            <w:tcW w:w="6433" w:type="dxa"/>
            <w:vAlign w:val="center"/>
          </w:tcPr>
          <w:p>
            <w:pPr>
              <w:autoSpaceDE/>
              <w:autoSpaceDN/>
              <w:adjustRightInd/>
              <w:rPr>
                <w:rFonts w:ascii="宋体" w:hAnsi="宋体" w:cs="宋体"/>
                <w:color w:val="auto"/>
                <w:sz w:val="24"/>
              </w:rPr>
            </w:pPr>
            <w:r>
              <w:rPr>
                <w:rFonts w:hint="eastAsia" w:ascii="宋体" w:hAnsi="宋体" w:cs="宋体"/>
                <w:color w:val="auto"/>
                <w:sz w:val="24"/>
              </w:rPr>
              <w:t>将中标项目转包或违反规定进行分包的</w:t>
            </w:r>
          </w:p>
        </w:tc>
        <w:tc>
          <w:tcPr>
            <w:tcW w:w="1326" w:type="dxa"/>
            <w:vAlign w:val="center"/>
          </w:tcPr>
          <w:p>
            <w:pPr>
              <w:jc w:val="center"/>
              <w:rPr>
                <w:rFonts w:ascii="宋体" w:hAnsi="宋体" w:cs="宋体"/>
                <w:color w:val="auto"/>
                <w:sz w:val="24"/>
              </w:rPr>
            </w:pPr>
            <w:r>
              <w:rPr>
                <w:rFonts w:hint="eastAsia" w:ascii="宋体" w:hAnsi="宋体" w:cs="宋体"/>
                <w:color w:val="auto"/>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cs="宋体"/>
                <w:color w:val="auto"/>
                <w:sz w:val="24"/>
              </w:rPr>
            </w:pPr>
            <w:r>
              <w:rPr>
                <w:rFonts w:hint="eastAsia" w:ascii="宋体" w:hAnsi="宋体" w:cs="宋体"/>
                <w:color w:val="auto"/>
                <w:sz w:val="24"/>
              </w:rPr>
              <w:t>17</w:t>
            </w:r>
          </w:p>
        </w:tc>
        <w:tc>
          <w:tcPr>
            <w:tcW w:w="6433" w:type="dxa"/>
            <w:vAlign w:val="center"/>
          </w:tcPr>
          <w:p>
            <w:pPr>
              <w:autoSpaceDE/>
              <w:autoSpaceDN/>
              <w:adjustRightInd/>
              <w:rPr>
                <w:rFonts w:ascii="宋体" w:hAnsi="宋体" w:cs="宋体"/>
                <w:color w:val="auto"/>
                <w:sz w:val="24"/>
              </w:rPr>
            </w:pPr>
            <w:r>
              <w:rPr>
                <w:rFonts w:hint="eastAsia" w:ascii="宋体" w:hAnsi="宋体" w:cs="宋体"/>
                <w:color w:val="auto"/>
                <w:sz w:val="24"/>
              </w:rPr>
              <w:t>提供虚假资料参加投标的</w:t>
            </w:r>
          </w:p>
        </w:tc>
        <w:tc>
          <w:tcPr>
            <w:tcW w:w="1326" w:type="dxa"/>
            <w:vAlign w:val="center"/>
          </w:tcPr>
          <w:p>
            <w:pPr>
              <w:jc w:val="center"/>
              <w:rPr>
                <w:rFonts w:ascii="宋体" w:hAnsi="宋体" w:cs="宋体"/>
                <w:color w:val="auto"/>
                <w:sz w:val="24"/>
              </w:rPr>
            </w:pPr>
            <w:r>
              <w:rPr>
                <w:rFonts w:hint="eastAsia" w:ascii="宋体" w:hAnsi="宋体" w:cs="宋体"/>
                <w:color w:val="auto"/>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947" w:type="dxa"/>
            <w:vAlign w:val="center"/>
          </w:tcPr>
          <w:p>
            <w:pPr>
              <w:spacing w:line="400" w:lineRule="exact"/>
              <w:jc w:val="center"/>
              <w:rPr>
                <w:rFonts w:ascii="宋体" w:hAnsi="宋体" w:cs="宋体"/>
                <w:color w:val="auto"/>
                <w:sz w:val="24"/>
              </w:rPr>
            </w:pPr>
            <w:r>
              <w:rPr>
                <w:rFonts w:hint="eastAsia" w:ascii="宋体" w:hAnsi="宋体" w:cs="宋体"/>
                <w:color w:val="auto"/>
                <w:sz w:val="24"/>
              </w:rPr>
              <w:t>18</w:t>
            </w:r>
          </w:p>
        </w:tc>
        <w:tc>
          <w:tcPr>
            <w:tcW w:w="6433" w:type="dxa"/>
            <w:vAlign w:val="center"/>
          </w:tcPr>
          <w:p>
            <w:pPr>
              <w:autoSpaceDE/>
              <w:autoSpaceDN/>
              <w:adjustRightInd/>
              <w:rPr>
                <w:rFonts w:ascii="宋体" w:hAnsi="宋体" w:cs="宋体"/>
                <w:color w:val="auto"/>
                <w:sz w:val="24"/>
              </w:rPr>
            </w:pPr>
            <w:r>
              <w:rPr>
                <w:rFonts w:hint="eastAsia" w:ascii="宋体" w:hAnsi="宋体" w:cs="宋体"/>
                <w:color w:val="auto"/>
                <w:sz w:val="24"/>
              </w:rPr>
              <w:t>以他人名义投标或允许他人以自己名义投标，或者以其他方式弄虚作假的</w:t>
            </w:r>
          </w:p>
        </w:tc>
        <w:tc>
          <w:tcPr>
            <w:tcW w:w="1326" w:type="dxa"/>
            <w:vAlign w:val="center"/>
          </w:tcPr>
          <w:p>
            <w:pPr>
              <w:jc w:val="center"/>
              <w:rPr>
                <w:rFonts w:ascii="宋体" w:hAnsi="宋体" w:cs="宋体"/>
                <w:color w:val="auto"/>
                <w:sz w:val="24"/>
              </w:rPr>
            </w:pPr>
            <w:r>
              <w:rPr>
                <w:rFonts w:hint="eastAsia" w:ascii="宋体" w:hAnsi="宋体" w:cs="宋体"/>
                <w:color w:val="auto"/>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vAlign w:val="center"/>
          </w:tcPr>
          <w:p>
            <w:pPr>
              <w:spacing w:line="400" w:lineRule="exact"/>
              <w:jc w:val="center"/>
              <w:rPr>
                <w:rFonts w:ascii="宋体" w:hAnsi="宋体" w:cs="宋体"/>
                <w:color w:val="auto"/>
                <w:sz w:val="24"/>
              </w:rPr>
            </w:pPr>
            <w:r>
              <w:rPr>
                <w:rFonts w:hint="eastAsia" w:ascii="宋体" w:hAnsi="宋体" w:cs="宋体"/>
                <w:color w:val="auto"/>
                <w:sz w:val="24"/>
              </w:rPr>
              <w:t>19</w:t>
            </w:r>
          </w:p>
        </w:tc>
        <w:tc>
          <w:tcPr>
            <w:tcW w:w="6433" w:type="dxa"/>
            <w:vAlign w:val="center"/>
          </w:tcPr>
          <w:p>
            <w:pPr>
              <w:autoSpaceDE/>
              <w:autoSpaceDN/>
              <w:adjustRightInd/>
              <w:rPr>
                <w:rFonts w:ascii="宋体" w:hAnsi="宋体" w:cs="宋体"/>
                <w:color w:val="auto"/>
                <w:sz w:val="24"/>
              </w:rPr>
            </w:pPr>
            <w:r>
              <w:rPr>
                <w:rFonts w:hint="eastAsia" w:ascii="宋体" w:hAnsi="宋体" w:cs="宋体"/>
                <w:color w:val="auto"/>
                <w:sz w:val="24"/>
              </w:rPr>
              <w:t>未按照采购合同约定及时提供全部货物的，或无故拖延工期的</w:t>
            </w:r>
          </w:p>
        </w:tc>
        <w:tc>
          <w:tcPr>
            <w:tcW w:w="1326" w:type="dxa"/>
            <w:vAlign w:val="center"/>
          </w:tcPr>
          <w:p>
            <w:pPr>
              <w:jc w:val="center"/>
              <w:rPr>
                <w:rFonts w:ascii="宋体" w:hAnsi="宋体" w:cs="宋体"/>
                <w:color w:val="auto"/>
                <w:sz w:val="24"/>
              </w:rPr>
            </w:pPr>
            <w:r>
              <w:rPr>
                <w:rFonts w:hint="eastAsia" w:ascii="宋体" w:hAnsi="宋体" w:cs="宋体"/>
                <w:color w:val="auto"/>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vAlign w:val="center"/>
          </w:tcPr>
          <w:p>
            <w:pPr>
              <w:spacing w:line="400" w:lineRule="exact"/>
              <w:jc w:val="center"/>
              <w:rPr>
                <w:rFonts w:ascii="宋体" w:hAnsi="宋体" w:cs="宋体"/>
                <w:color w:val="auto"/>
                <w:sz w:val="24"/>
              </w:rPr>
            </w:pPr>
            <w:r>
              <w:rPr>
                <w:rFonts w:hint="eastAsia" w:ascii="宋体" w:hAnsi="宋体" w:cs="宋体"/>
                <w:color w:val="auto"/>
                <w:sz w:val="24"/>
              </w:rPr>
              <w:t>20</w:t>
            </w:r>
          </w:p>
        </w:tc>
        <w:tc>
          <w:tcPr>
            <w:tcW w:w="6433" w:type="dxa"/>
            <w:vAlign w:val="center"/>
          </w:tcPr>
          <w:p>
            <w:pPr>
              <w:autoSpaceDE/>
              <w:autoSpaceDN/>
              <w:adjustRightInd/>
              <w:rPr>
                <w:rFonts w:ascii="宋体" w:hAnsi="宋体" w:cs="宋体"/>
                <w:color w:val="auto"/>
                <w:sz w:val="24"/>
              </w:rPr>
            </w:pPr>
            <w:r>
              <w:rPr>
                <w:rFonts w:hint="eastAsia" w:ascii="宋体" w:hAnsi="宋体" w:cs="宋体"/>
                <w:color w:val="auto"/>
                <w:sz w:val="24"/>
              </w:rPr>
              <w:t>无故不提供中标要求的型号、配置等产品的，或有拆换、调换、截留产品零部件和备品备件的行为的</w:t>
            </w:r>
          </w:p>
        </w:tc>
        <w:tc>
          <w:tcPr>
            <w:tcW w:w="1326" w:type="dxa"/>
            <w:vAlign w:val="center"/>
          </w:tcPr>
          <w:p>
            <w:pPr>
              <w:jc w:val="center"/>
              <w:rPr>
                <w:rFonts w:ascii="宋体" w:hAnsi="宋体" w:cs="宋体"/>
                <w:color w:val="auto"/>
                <w:sz w:val="24"/>
              </w:rPr>
            </w:pPr>
            <w:r>
              <w:rPr>
                <w:rFonts w:hint="eastAsia" w:ascii="宋体" w:hAnsi="宋体" w:cs="宋体"/>
                <w:color w:val="auto"/>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cs="宋体"/>
                <w:color w:val="auto"/>
                <w:sz w:val="24"/>
              </w:rPr>
            </w:pPr>
            <w:r>
              <w:rPr>
                <w:rFonts w:hint="eastAsia" w:ascii="宋体" w:hAnsi="宋体" w:cs="宋体"/>
                <w:color w:val="auto"/>
                <w:sz w:val="24"/>
              </w:rPr>
              <w:t>21</w:t>
            </w:r>
          </w:p>
        </w:tc>
        <w:tc>
          <w:tcPr>
            <w:tcW w:w="6433" w:type="dxa"/>
            <w:vAlign w:val="center"/>
          </w:tcPr>
          <w:p>
            <w:pPr>
              <w:autoSpaceDE/>
              <w:autoSpaceDN/>
              <w:adjustRightInd/>
              <w:rPr>
                <w:rFonts w:ascii="宋体" w:hAnsi="宋体" w:cs="宋体"/>
                <w:color w:val="auto"/>
                <w:sz w:val="24"/>
              </w:rPr>
            </w:pPr>
            <w:r>
              <w:rPr>
                <w:rFonts w:hint="eastAsia" w:ascii="宋体" w:hAnsi="宋体" w:cs="宋体"/>
                <w:color w:val="auto"/>
                <w:sz w:val="24"/>
              </w:rPr>
              <w:t>为获取自身利益，向采购人及其他有利害关系的单位或个人提供不正当利益的</w:t>
            </w:r>
          </w:p>
        </w:tc>
        <w:tc>
          <w:tcPr>
            <w:tcW w:w="1326" w:type="dxa"/>
            <w:vAlign w:val="center"/>
          </w:tcPr>
          <w:p>
            <w:pPr>
              <w:jc w:val="center"/>
              <w:rPr>
                <w:rFonts w:ascii="宋体" w:hAnsi="宋体" w:cs="宋体"/>
                <w:color w:val="auto"/>
                <w:sz w:val="24"/>
              </w:rPr>
            </w:pPr>
            <w:r>
              <w:rPr>
                <w:rFonts w:hint="eastAsia" w:ascii="宋体" w:hAnsi="宋体" w:cs="宋体"/>
                <w:color w:val="auto"/>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cs="宋体"/>
                <w:color w:val="auto"/>
                <w:sz w:val="24"/>
              </w:rPr>
            </w:pPr>
            <w:r>
              <w:rPr>
                <w:rFonts w:hint="eastAsia" w:ascii="宋体" w:hAnsi="宋体" w:cs="宋体"/>
                <w:color w:val="auto"/>
                <w:sz w:val="24"/>
              </w:rPr>
              <w:t>22</w:t>
            </w:r>
          </w:p>
        </w:tc>
        <w:tc>
          <w:tcPr>
            <w:tcW w:w="6433" w:type="dxa"/>
            <w:vAlign w:val="center"/>
          </w:tcPr>
          <w:p>
            <w:pPr>
              <w:autoSpaceDE/>
              <w:autoSpaceDN/>
              <w:adjustRightInd/>
              <w:rPr>
                <w:rFonts w:ascii="宋体" w:hAnsi="宋体" w:cs="宋体"/>
                <w:color w:val="auto"/>
                <w:sz w:val="24"/>
              </w:rPr>
            </w:pPr>
            <w:r>
              <w:rPr>
                <w:rFonts w:hint="eastAsia" w:ascii="宋体" w:hAnsi="宋体" w:cs="宋体"/>
                <w:color w:val="auto"/>
                <w:sz w:val="24"/>
              </w:rPr>
              <w:t>提供假冒伪劣产品或走私物品的</w:t>
            </w:r>
          </w:p>
        </w:tc>
        <w:tc>
          <w:tcPr>
            <w:tcW w:w="1326" w:type="dxa"/>
            <w:vAlign w:val="center"/>
          </w:tcPr>
          <w:p>
            <w:pPr>
              <w:jc w:val="center"/>
              <w:rPr>
                <w:rFonts w:ascii="宋体" w:hAnsi="宋体" w:cs="宋体"/>
                <w:color w:val="auto"/>
                <w:sz w:val="24"/>
              </w:rPr>
            </w:pPr>
            <w:r>
              <w:rPr>
                <w:rFonts w:hint="eastAsia" w:ascii="宋体" w:hAnsi="宋体" w:cs="宋体"/>
                <w:color w:val="auto"/>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cs="宋体"/>
                <w:color w:val="auto"/>
                <w:sz w:val="24"/>
              </w:rPr>
            </w:pPr>
            <w:r>
              <w:rPr>
                <w:rFonts w:hint="eastAsia" w:ascii="宋体" w:hAnsi="宋体" w:cs="宋体"/>
                <w:color w:val="auto"/>
                <w:sz w:val="24"/>
              </w:rPr>
              <w:t>23</w:t>
            </w:r>
          </w:p>
        </w:tc>
        <w:tc>
          <w:tcPr>
            <w:tcW w:w="6433" w:type="dxa"/>
            <w:vAlign w:val="center"/>
          </w:tcPr>
          <w:p>
            <w:pPr>
              <w:autoSpaceDE/>
              <w:autoSpaceDN/>
              <w:adjustRightInd/>
              <w:rPr>
                <w:rFonts w:ascii="宋体" w:hAnsi="宋体" w:cs="宋体"/>
                <w:color w:val="auto"/>
                <w:sz w:val="24"/>
              </w:rPr>
            </w:pPr>
            <w:r>
              <w:rPr>
                <w:rFonts w:hint="eastAsia" w:ascii="宋体" w:hAnsi="宋体" w:cs="宋体"/>
                <w:color w:val="auto"/>
                <w:sz w:val="24"/>
              </w:rPr>
              <w:t>擅自变更、中止、终止或解除采购合同的</w:t>
            </w:r>
          </w:p>
        </w:tc>
        <w:tc>
          <w:tcPr>
            <w:tcW w:w="1326" w:type="dxa"/>
            <w:vAlign w:val="center"/>
          </w:tcPr>
          <w:p>
            <w:pPr>
              <w:jc w:val="center"/>
              <w:rPr>
                <w:rFonts w:ascii="宋体" w:hAnsi="宋体" w:cs="宋体"/>
                <w:color w:val="auto"/>
                <w:sz w:val="24"/>
              </w:rPr>
            </w:pPr>
            <w:r>
              <w:rPr>
                <w:rFonts w:hint="eastAsia" w:ascii="宋体" w:hAnsi="宋体" w:cs="宋体"/>
                <w:color w:val="auto"/>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cs="宋体"/>
                <w:color w:val="auto"/>
                <w:sz w:val="24"/>
              </w:rPr>
            </w:pPr>
            <w:r>
              <w:rPr>
                <w:rFonts w:hint="eastAsia" w:ascii="宋体" w:hAnsi="宋体" w:cs="宋体"/>
                <w:color w:val="auto"/>
                <w:sz w:val="24"/>
              </w:rPr>
              <w:t>24</w:t>
            </w:r>
          </w:p>
        </w:tc>
        <w:tc>
          <w:tcPr>
            <w:tcW w:w="6433" w:type="dxa"/>
            <w:vAlign w:val="center"/>
          </w:tcPr>
          <w:p>
            <w:pPr>
              <w:autoSpaceDE/>
              <w:autoSpaceDN/>
              <w:adjustRightInd/>
              <w:rPr>
                <w:rFonts w:ascii="宋体" w:hAnsi="宋体" w:cs="宋体"/>
                <w:color w:val="auto"/>
                <w:sz w:val="24"/>
              </w:rPr>
            </w:pPr>
            <w:r>
              <w:rPr>
                <w:rFonts w:hint="eastAsia" w:ascii="宋体" w:hAnsi="宋体" w:cs="宋体"/>
                <w:color w:val="auto"/>
                <w:sz w:val="24"/>
              </w:rPr>
              <w:t>向有关人员行贿或者提供不正当利益谋取中标的</w:t>
            </w:r>
          </w:p>
        </w:tc>
        <w:tc>
          <w:tcPr>
            <w:tcW w:w="1326" w:type="dxa"/>
            <w:vAlign w:val="center"/>
          </w:tcPr>
          <w:p>
            <w:pPr>
              <w:jc w:val="center"/>
              <w:rPr>
                <w:rFonts w:ascii="宋体" w:hAnsi="宋体" w:cs="宋体"/>
                <w:color w:val="auto"/>
                <w:sz w:val="24"/>
              </w:rPr>
            </w:pPr>
            <w:r>
              <w:rPr>
                <w:rFonts w:hint="eastAsia" w:ascii="宋体" w:hAnsi="宋体" w:cs="宋体"/>
                <w:color w:val="auto"/>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cs="宋体"/>
                <w:color w:val="auto"/>
                <w:sz w:val="24"/>
              </w:rPr>
            </w:pPr>
            <w:r>
              <w:rPr>
                <w:rFonts w:hint="eastAsia" w:ascii="宋体" w:hAnsi="宋体" w:cs="宋体"/>
                <w:color w:val="auto"/>
                <w:sz w:val="24"/>
              </w:rPr>
              <w:t>25</w:t>
            </w:r>
          </w:p>
        </w:tc>
        <w:tc>
          <w:tcPr>
            <w:tcW w:w="6433" w:type="dxa"/>
            <w:vAlign w:val="center"/>
          </w:tcPr>
          <w:p>
            <w:pPr>
              <w:autoSpaceDE/>
              <w:autoSpaceDN/>
              <w:adjustRightInd/>
              <w:rPr>
                <w:rFonts w:ascii="宋体" w:hAnsi="宋体" w:cs="宋体"/>
                <w:color w:val="auto"/>
                <w:sz w:val="24"/>
              </w:rPr>
            </w:pPr>
            <w:r>
              <w:rPr>
                <w:rFonts w:hint="eastAsia" w:ascii="宋体" w:hAnsi="宋体" w:cs="宋体"/>
                <w:color w:val="auto"/>
                <w:sz w:val="24"/>
              </w:rPr>
              <w:t>在采购活动期间，对管理机构、采购人、其他投标人、评标专家、中介机构等采购相关机构和人员，采取诋毁、诽谤、胁迫、暴力等不正当手段的</w:t>
            </w:r>
          </w:p>
        </w:tc>
        <w:tc>
          <w:tcPr>
            <w:tcW w:w="1326" w:type="dxa"/>
            <w:vAlign w:val="center"/>
          </w:tcPr>
          <w:p>
            <w:pPr>
              <w:jc w:val="center"/>
              <w:rPr>
                <w:rFonts w:ascii="宋体" w:hAnsi="宋体" w:cs="宋体"/>
                <w:color w:val="auto"/>
                <w:sz w:val="24"/>
              </w:rPr>
            </w:pPr>
            <w:r>
              <w:rPr>
                <w:rFonts w:hint="eastAsia" w:ascii="宋体" w:hAnsi="宋体" w:cs="宋体"/>
                <w:color w:val="auto"/>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cs="宋体"/>
                <w:color w:val="auto"/>
                <w:sz w:val="24"/>
              </w:rPr>
            </w:pPr>
            <w:r>
              <w:rPr>
                <w:rFonts w:hint="eastAsia" w:ascii="宋体" w:hAnsi="宋体" w:cs="宋体"/>
                <w:color w:val="auto"/>
                <w:sz w:val="24"/>
              </w:rPr>
              <w:t>26</w:t>
            </w:r>
          </w:p>
        </w:tc>
        <w:tc>
          <w:tcPr>
            <w:tcW w:w="6433" w:type="dxa"/>
            <w:vAlign w:val="center"/>
          </w:tcPr>
          <w:p>
            <w:pPr>
              <w:autoSpaceDE/>
              <w:autoSpaceDN/>
              <w:adjustRightInd/>
              <w:rPr>
                <w:rFonts w:ascii="宋体" w:hAnsi="宋体" w:cs="宋体"/>
                <w:color w:val="auto"/>
                <w:sz w:val="24"/>
              </w:rPr>
            </w:pPr>
            <w:r>
              <w:rPr>
                <w:rFonts w:hint="eastAsia" w:ascii="宋体" w:hAnsi="宋体" w:cs="宋体"/>
                <w:color w:val="auto"/>
                <w:sz w:val="24"/>
              </w:rPr>
              <w:t>浙江浣江传媒集团有限公司认定的其他违反采购管理的行为</w:t>
            </w:r>
          </w:p>
        </w:tc>
        <w:tc>
          <w:tcPr>
            <w:tcW w:w="1326" w:type="dxa"/>
            <w:vAlign w:val="center"/>
          </w:tcPr>
          <w:p>
            <w:pPr>
              <w:jc w:val="center"/>
              <w:rPr>
                <w:rFonts w:ascii="宋体" w:hAnsi="宋体" w:cs="宋体"/>
                <w:color w:val="auto"/>
                <w:sz w:val="24"/>
              </w:rPr>
            </w:pPr>
            <w:r>
              <w:rPr>
                <w:rFonts w:hint="eastAsia" w:ascii="宋体" w:hAnsi="宋体" w:cs="宋体"/>
                <w:color w:val="auto"/>
                <w:sz w:val="24"/>
              </w:rPr>
              <w:t>酌情处理</w:t>
            </w:r>
          </w:p>
        </w:tc>
      </w:tr>
    </w:tbl>
    <w:p>
      <w:pPr>
        <w:pStyle w:val="5"/>
        <w:spacing w:before="0" w:after="0" w:line="240" w:lineRule="auto"/>
        <w:jc w:val="center"/>
        <w:rPr>
          <w:rFonts w:ascii="宋体" w:hAnsi="宋体" w:eastAsia="宋体" w:cs="宋体"/>
          <w:sz w:val="28"/>
          <w:szCs w:val="28"/>
        </w:rPr>
      </w:pPr>
      <w:r>
        <w:rPr>
          <w:rFonts w:hint="eastAsia" w:ascii="宋体" w:hAnsi="宋体" w:eastAsia="宋体" w:cs="宋体"/>
          <w:sz w:val="28"/>
          <w:szCs w:val="28"/>
        </w:rPr>
        <w:t>十、</w:t>
      </w:r>
      <w:bookmarkEnd w:id="30"/>
      <w:r>
        <w:rPr>
          <w:rFonts w:hint="eastAsia" w:ascii="宋体" w:hAnsi="宋体" w:eastAsia="宋体" w:cs="宋体"/>
          <w:sz w:val="28"/>
          <w:szCs w:val="28"/>
        </w:rPr>
        <w:t>监督和解释</w:t>
      </w:r>
    </w:p>
    <w:p>
      <w:pPr>
        <w:ind w:firstLine="482" w:firstLineChars="200"/>
        <w:rPr>
          <w:rFonts w:ascii="宋体" w:hAnsi="宋体" w:cs="宋体"/>
          <w:color w:val="auto"/>
          <w:sz w:val="24"/>
        </w:rPr>
      </w:pPr>
      <w:r>
        <w:rPr>
          <w:rFonts w:hint="eastAsia" w:ascii="宋体" w:hAnsi="宋体" w:cs="宋体"/>
          <w:b/>
          <w:bCs/>
          <w:color w:val="auto"/>
          <w:sz w:val="24"/>
        </w:rPr>
        <w:t>37.</w:t>
      </w:r>
      <w:r>
        <w:rPr>
          <w:rFonts w:hint="eastAsia" w:ascii="宋体" w:hAnsi="宋体"/>
          <w:color w:val="auto"/>
          <w:sz w:val="24"/>
        </w:rPr>
        <w:t>本次招标活动接受浙江浣江传媒集团有限公司的监督。</w:t>
      </w:r>
    </w:p>
    <w:p>
      <w:pPr>
        <w:ind w:firstLine="482" w:firstLineChars="200"/>
        <w:rPr>
          <w:rFonts w:ascii="宋体" w:hAnsi="宋体" w:cs="宋体"/>
          <w:color w:val="auto"/>
          <w:sz w:val="24"/>
        </w:rPr>
      </w:pPr>
      <w:r>
        <w:rPr>
          <w:rFonts w:hint="eastAsia" w:ascii="宋体" w:hAnsi="宋体" w:cs="宋体"/>
          <w:b/>
          <w:bCs/>
          <w:color w:val="auto"/>
          <w:sz w:val="24"/>
        </w:rPr>
        <w:t>38.</w:t>
      </w:r>
      <w:r>
        <w:rPr>
          <w:rFonts w:hint="eastAsia" w:ascii="宋体" w:hAnsi="宋体" w:cs="宋体"/>
          <w:color w:val="auto"/>
          <w:sz w:val="24"/>
        </w:rPr>
        <w:t>本招标文件的解释权属于采购单位和诸暨市广顺工程管理服务有限公司。</w:t>
      </w:r>
    </w:p>
    <w:p>
      <w:pPr>
        <w:ind w:firstLine="480" w:firstLineChars="200"/>
        <w:rPr>
          <w:rFonts w:ascii="宋体" w:hAnsi="宋体" w:cs="宋体"/>
          <w:color w:val="auto"/>
          <w:sz w:val="24"/>
        </w:rPr>
      </w:pPr>
    </w:p>
    <w:p>
      <w:pPr>
        <w:ind w:firstLine="480" w:firstLineChars="200"/>
        <w:rPr>
          <w:rFonts w:ascii="宋体" w:hAnsi="宋体" w:cs="宋体"/>
          <w:color w:val="auto"/>
          <w:sz w:val="24"/>
        </w:rPr>
      </w:pPr>
    </w:p>
    <w:p>
      <w:pPr>
        <w:jc w:val="center"/>
        <w:rPr>
          <w:rFonts w:ascii="宋体" w:hAnsi="宋体" w:cs="宋体"/>
          <w:b/>
          <w:bCs/>
          <w:color w:val="auto"/>
          <w:sz w:val="36"/>
          <w:szCs w:val="28"/>
        </w:rPr>
      </w:pPr>
    </w:p>
    <w:p>
      <w:pPr>
        <w:pStyle w:val="4"/>
        <w:rPr>
          <w:rFonts w:ascii="宋体" w:hAnsi="宋体" w:eastAsia="宋体" w:cs="宋体"/>
          <w:b w:val="0"/>
          <w:bCs/>
          <w:sz w:val="36"/>
        </w:rPr>
      </w:pPr>
    </w:p>
    <w:p>
      <w:pPr>
        <w:rPr>
          <w:rFonts w:ascii="宋体" w:hAnsi="宋体" w:cs="宋体"/>
        </w:rPr>
      </w:pPr>
    </w:p>
    <w:p>
      <w:pPr>
        <w:rPr>
          <w:rFonts w:ascii="宋体" w:hAnsi="宋体" w:cs="宋体"/>
          <w:b/>
          <w:bCs/>
          <w:color w:val="auto"/>
          <w:sz w:val="36"/>
          <w:szCs w:val="28"/>
        </w:rPr>
      </w:pPr>
    </w:p>
    <w:p>
      <w:pPr>
        <w:jc w:val="center"/>
        <w:rPr>
          <w:rFonts w:ascii="宋体" w:hAnsi="宋体" w:cs="宋体"/>
          <w:color w:val="auto"/>
          <w:sz w:val="24"/>
        </w:rPr>
      </w:pPr>
      <w:r>
        <w:rPr>
          <w:rFonts w:hint="eastAsia" w:ascii="宋体" w:hAnsi="宋体" w:cs="宋体"/>
          <w:b/>
          <w:bCs/>
          <w:color w:val="auto"/>
          <w:sz w:val="36"/>
          <w:szCs w:val="28"/>
        </w:rPr>
        <w:br w:type="page"/>
      </w:r>
      <w:r>
        <w:rPr>
          <w:rFonts w:hint="eastAsia" w:ascii="宋体" w:hAnsi="宋体" w:cs="宋体"/>
          <w:b/>
          <w:bCs/>
          <w:color w:val="auto"/>
          <w:sz w:val="36"/>
          <w:szCs w:val="28"/>
        </w:rPr>
        <w:t>第三章   评标办法及评分标准</w:t>
      </w:r>
    </w:p>
    <w:p>
      <w:pPr>
        <w:ind w:firstLine="480" w:firstLineChars="200"/>
        <w:rPr>
          <w:rFonts w:ascii="宋体" w:hAnsi="宋体" w:cs="宋体"/>
          <w:color w:val="auto"/>
          <w:sz w:val="24"/>
        </w:rPr>
      </w:pPr>
    </w:p>
    <w:p>
      <w:pPr>
        <w:spacing w:line="460" w:lineRule="exact"/>
        <w:ind w:firstLine="480" w:firstLineChars="200"/>
        <w:rPr>
          <w:rFonts w:ascii="宋体" w:hAnsi="宋体" w:cs="宋体"/>
          <w:bCs/>
          <w:sz w:val="24"/>
          <w:szCs w:val="24"/>
        </w:rPr>
      </w:pPr>
      <w:bookmarkStart w:id="31" w:name="_Toc125344513"/>
      <w:r>
        <w:rPr>
          <w:rFonts w:hint="eastAsia" w:ascii="宋体" w:hAnsi="宋体" w:cs="宋体"/>
          <w:bCs/>
          <w:sz w:val="24"/>
          <w:szCs w:val="24"/>
        </w:rPr>
        <w:t>1、采用</w:t>
      </w:r>
      <w:r>
        <w:rPr>
          <w:rFonts w:hint="eastAsia" w:ascii="宋体" w:hAnsi="宋体" w:cs="宋体"/>
          <w:bCs/>
          <w:sz w:val="24"/>
          <w:szCs w:val="24"/>
          <w:u w:val="single"/>
        </w:rPr>
        <w:t>　综合评分法　</w:t>
      </w:r>
      <w:r>
        <w:rPr>
          <w:rFonts w:hint="eastAsia" w:ascii="宋体" w:hAnsi="宋体" w:cs="宋体"/>
          <w:bCs/>
          <w:sz w:val="24"/>
          <w:szCs w:val="24"/>
        </w:rPr>
        <w:t>。即在符合招标文件要求的前提下，择定最高得分者为第一中标候选人，即预中标人。</w:t>
      </w:r>
    </w:p>
    <w:p>
      <w:pPr>
        <w:spacing w:line="460" w:lineRule="exact"/>
        <w:ind w:firstLine="480" w:firstLineChars="200"/>
        <w:rPr>
          <w:rFonts w:ascii="宋体" w:hAnsi="宋体" w:cs="宋体"/>
          <w:bCs/>
          <w:sz w:val="24"/>
          <w:szCs w:val="24"/>
        </w:rPr>
      </w:pPr>
      <w:r>
        <w:rPr>
          <w:rFonts w:hint="eastAsia" w:ascii="宋体" w:hAnsi="宋体" w:cs="宋体"/>
          <w:bCs/>
          <w:sz w:val="24"/>
          <w:szCs w:val="24"/>
        </w:rPr>
        <w:t>2、合格投标人的评标得分为各项目汇总得分，中标候选资格按评标得分由高到低顺序排列，得分相同的，按投标报价由低到高顺序排列；得分且投标报价相同的，按技术指标由高到低顺序排列。排名第一的的投标人为中标候选人。评分过程中采用四舍五入法，并保留小数2位。</w:t>
      </w:r>
    </w:p>
    <w:p>
      <w:pPr>
        <w:spacing w:line="460" w:lineRule="exact"/>
        <w:ind w:firstLine="480" w:firstLineChars="200"/>
        <w:rPr>
          <w:rFonts w:ascii="宋体" w:hAnsi="宋体" w:cs="宋体"/>
          <w:bCs/>
          <w:sz w:val="24"/>
          <w:szCs w:val="24"/>
        </w:rPr>
      </w:pPr>
      <w:r>
        <w:rPr>
          <w:rFonts w:hint="eastAsia" w:ascii="宋体" w:hAnsi="宋体" w:cs="宋体"/>
          <w:bCs/>
          <w:sz w:val="24"/>
          <w:szCs w:val="24"/>
        </w:rPr>
        <w:t>3、评分办法</w:t>
      </w:r>
    </w:p>
    <w:p>
      <w:pPr>
        <w:spacing w:line="460" w:lineRule="exact"/>
        <w:ind w:firstLine="480" w:firstLineChars="200"/>
        <w:rPr>
          <w:rFonts w:ascii="宋体" w:hAnsi="宋体" w:cs="宋体"/>
          <w:bCs/>
          <w:sz w:val="24"/>
          <w:szCs w:val="24"/>
        </w:rPr>
      </w:pPr>
      <w:r>
        <w:rPr>
          <w:rFonts w:hint="eastAsia" w:ascii="宋体" w:hAnsi="宋体" w:cs="宋体"/>
          <w:bCs/>
          <w:sz w:val="24"/>
          <w:szCs w:val="24"/>
        </w:rPr>
        <w:t>（1）满分为100分。总得分=商务技术得分+报价得分；</w:t>
      </w:r>
    </w:p>
    <w:p>
      <w:pPr>
        <w:spacing w:line="460" w:lineRule="exact"/>
        <w:ind w:firstLine="480" w:firstLineChars="200"/>
        <w:rPr>
          <w:rFonts w:ascii="宋体" w:hAnsi="宋体" w:cs="宋体"/>
          <w:bCs/>
          <w:sz w:val="24"/>
          <w:szCs w:val="24"/>
        </w:rPr>
      </w:pPr>
      <w:r>
        <w:rPr>
          <w:rFonts w:hint="eastAsia" w:ascii="宋体" w:hAnsi="宋体" w:cs="宋体"/>
          <w:bCs/>
          <w:sz w:val="24"/>
          <w:szCs w:val="24"/>
        </w:rPr>
        <w:t>（2）</w:t>
      </w:r>
      <w:r>
        <w:rPr>
          <w:rFonts w:hint="eastAsia" w:ascii="宋体" w:hAnsi="宋体" w:cs="宋体"/>
          <w:bCs/>
          <w:color w:val="auto"/>
          <w:sz w:val="24"/>
          <w:szCs w:val="24"/>
        </w:rPr>
        <w:t>商务技术得分</w:t>
      </w:r>
      <w:r>
        <w:rPr>
          <w:rFonts w:hint="eastAsia" w:ascii="宋体" w:hAnsi="宋体" w:cs="宋体"/>
          <w:bCs/>
          <w:sz w:val="24"/>
          <w:szCs w:val="24"/>
        </w:rPr>
        <w:t>=商务技术评分，商务技术评分=所有评委的有效评分的算术平均数。</w:t>
      </w:r>
    </w:p>
    <w:p>
      <w:pPr>
        <w:spacing w:line="460" w:lineRule="exact"/>
        <w:ind w:firstLine="480" w:firstLineChars="200"/>
        <w:rPr>
          <w:rFonts w:ascii="宋体" w:hAnsi="宋体" w:cs="宋体"/>
          <w:bCs/>
          <w:sz w:val="24"/>
          <w:szCs w:val="24"/>
        </w:rPr>
      </w:pPr>
      <w:r>
        <w:rPr>
          <w:rFonts w:hint="eastAsia" w:ascii="宋体" w:hAnsi="宋体" w:cs="宋体"/>
          <w:bCs/>
          <w:sz w:val="24"/>
          <w:szCs w:val="24"/>
        </w:rPr>
        <w:t>（3）</w:t>
      </w:r>
      <w:r>
        <w:rPr>
          <w:rFonts w:hint="eastAsia" w:ascii="宋体" w:hAnsi="宋体" w:cs="宋体"/>
          <w:bCs/>
          <w:color w:val="auto"/>
          <w:sz w:val="24"/>
          <w:szCs w:val="24"/>
        </w:rPr>
        <w:t>报价得分</w:t>
      </w:r>
      <w:r>
        <w:rPr>
          <w:rFonts w:hint="eastAsia" w:ascii="宋体" w:hAnsi="宋体" w:cs="宋体"/>
          <w:bCs/>
          <w:sz w:val="24"/>
          <w:szCs w:val="24"/>
        </w:rPr>
        <w:t>=（评标基准价/投标报价）*价格权值*100，评标基准价=通过商务技术评审的最低有效投标报价，价格权值=30%；</w:t>
      </w:r>
    </w:p>
    <w:p>
      <w:pPr>
        <w:autoSpaceDN w:val="0"/>
        <w:spacing w:line="440" w:lineRule="exact"/>
        <w:ind w:firstLine="480" w:firstLineChars="200"/>
        <w:rPr>
          <w:rFonts w:hint="eastAsia" w:ascii="宋体" w:hAnsi="宋体" w:cs="宋体"/>
          <w:bCs/>
          <w:kern w:val="0"/>
          <w:sz w:val="24"/>
        </w:rPr>
      </w:pPr>
      <w:r>
        <w:rPr>
          <w:rFonts w:hint="eastAsia" w:ascii="宋体" w:hAnsi="宋体" w:cs="宋体"/>
          <w:bCs/>
          <w:kern w:val="0"/>
          <w:sz w:val="24"/>
        </w:rPr>
        <w:t>（4）商务技术分评分细则（70分）</w:t>
      </w:r>
    </w:p>
    <w:tbl>
      <w:tblPr>
        <w:tblStyle w:val="26"/>
        <w:tblW w:w="9216" w:type="dxa"/>
        <w:tblInd w:w="-127" w:type="dxa"/>
        <w:tblLayout w:type="fixed"/>
        <w:tblCellMar>
          <w:top w:w="0" w:type="dxa"/>
          <w:left w:w="108" w:type="dxa"/>
          <w:bottom w:w="0" w:type="dxa"/>
          <w:right w:w="108" w:type="dxa"/>
        </w:tblCellMar>
      </w:tblPr>
      <w:tblGrid>
        <w:gridCol w:w="1232"/>
        <w:gridCol w:w="7200"/>
        <w:gridCol w:w="784"/>
      </w:tblGrid>
      <w:tr>
        <w:tblPrEx>
          <w:tblCellMar>
            <w:top w:w="0" w:type="dxa"/>
            <w:left w:w="108" w:type="dxa"/>
            <w:bottom w:w="0" w:type="dxa"/>
            <w:right w:w="108" w:type="dxa"/>
          </w:tblCellMar>
        </w:tblPrEx>
        <w:trPr>
          <w:trHeight w:val="20" w:hRule="atLeast"/>
        </w:trPr>
        <w:tc>
          <w:tcPr>
            <w:tcW w:w="123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pageBreakBefore w:val="0"/>
              <w:kinsoku/>
              <w:wordWrap/>
              <w:overflowPunct/>
              <w:topLinePunct w:val="0"/>
              <w:bidi w:val="0"/>
              <w:spacing w:line="312" w:lineRule="auto"/>
              <w:jc w:val="center"/>
              <w:textAlignment w:val="auto"/>
              <w:rPr>
                <w:rFonts w:hint="eastAsia" w:ascii="宋体" w:hAnsi="宋体" w:eastAsia="宋体" w:cs="宋体"/>
                <w:b/>
                <w:bCs w:val="0"/>
                <w:iCs/>
                <w:color w:val="auto"/>
                <w:sz w:val="24"/>
                <w:szCs w:val="24"/>
                <w:highlight w:val="none"/>
                <w:lang w:eastAsia="zh-CN"/>
              </w:rPr>
            </w:pPr>
            <w:r>
              <w:rPr>
                <w:rFonts w:hint="eastAsia" w:ascii="宋体" w:hAnsi="宋体" w:eastAsia="宋体" w:cs="宋体"/>
                <w:b/>
                <w:bCs w:val="0"/>
                <w:iCs/>
                <w:color w:val="auto"/>
                <w:sz w:val="24"/>
                <w:szCs w:val="24"/>
                <w:highlight w:val="none"/>
                <w:lang w:eastAsia="zh-CN"/>
              </w:rPr>
              <w:t>评分内容</w:t>
            </w:r>
          </w:p>
        </w:tc>
        <w:tc>
          <w:tcPr>
            <w:tcW w:w="72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pageBreakBefore w:val="0"/>
              <w:widowControl/>
              <w:kinsoku/>
              <w:wordWrap/>
              <w:overflowPunct/>
              <w:topLinePunct w:val="0"/>
              <w:bidi w:val="0"/>
              <w:spacing w:line="312" w:lineRule="auto"/>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评分细则</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pageBreakBefore w:val="0"/>
              <w:kinsoku/>
              <w:wordWrap/>
              <w:overflowPunct/>
              <w:topLinePunct w:val="0"/>
              <w:bidi w:val="0"/>
              <w:spacing w:line="312" w:lineRule="auto"/>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分值</w:t>
            </w:r>
          </w:p>
        </w:tc>
      </w:tr>
      <w:tr>
        <w:tblPrEx>
          <w:tblCellMar>
            <w:top w:w="0" w:type="dxa"/>
            <w:left w:w="108" w:type="dxa"/>
            <w:bottom w:w="0" w:type="dxa"/>
            <w:right w:w="108" w:type="dxa"/>
          </w:tblCellMar>
        </w:tblPrEx>
        <w:trPr>
          <w:trHeight w:val="20" w:hRule="atLeast"/>
        </w:trPr>
        <w:tc>
          <w:tcPr>
            <w:tcW w:w="123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pageBreakBefore w:val="0"/>
              <w:kinsoku/>
              <w:wordWrap/>
              <w:overflowPunct/>
              <w:topLinePunct w:val="0"/>
              <w:bidi w:val="0"/>
              <w:spacing w:line="312" w:lineRule="auto"/>
              <w:jc w:val="center"/>
              <w:textAlignment w:val="auto"/>
              <w:rPr>
                <w:rFonts w:hint="eastAsia" w:ascii="宋体" w:hAnsi="宋体" w:eastAsia="宋体" w:cs="宋体"/>
                <w:bCs/>
                <w:iCs/>
                <w:color w:val="auto"/>
                <w:sz w:val="24"/>
                <w:szCs w:val="24"/>
                <w:highlight w:val="none"/>
              </w:rPr>
            </w:pPr>
            <w:r>
              <w:rPr>
                <w:rFonts w:hint="eastAsia" w:ascii="宋体" w:hAnsi="宋体" w:eastAsia="宋体" w:cs="宋体"/>
                <w:color w:val="auto"/>
                <w:sz w:val="24"/>
                <w:szCs w:val="24"/>
                <w:highlight w:val="none"/>
              </w:rPr>
              <w:t>维保服务方案</w:t>
            </w:r>
          </w:p>
        </w:tc>
        <w:tc>
          <w:tcPr>
            <w:tcW w:w="72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pStyle w:val="12"/>
              <w:pageBreakBefore w:val="0"/>
              <w:kinsoku/>
              <w:wordWrap/>
              <w:overflowPunct/>
              <w:topLinePunct w:val="0"/>
              <w:bidi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维保服务方案设计的完整性、先进性和可行性：</w:t>
            </w:r>
          </w:p>
          <w:p>
            <w:pPr>
              <w:pStyle w:val="12"/>
              <w:pageBreakBefore w:val="0"/>
              <w:numPr>
                <w:ilvl w:val="0"/>
                <w:numId w:val="3"/>
              </w:numPr>
              <w:kinsoku/>
              <w:wordWrap/>
              <w:overflowPunct/>
              <w:topLinePunct w:val="0"/>
              <w:bidi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根据招标文件要求及投标设备，维保服务方案科学合理的，评委比较打分，满分</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pStyle w:val="12"/>
              <w:pageBreakBefore w:val="0"/>
              <w:numPr>
                <w:ilvl w:val="0"/>
                <w:numId w:val="0"/>
              </w:numPr>
              <w:kinsoku/>
              <w:wordWrap/>
              <w:overflowPunct/>
              <w:topLinePunct w:val="0"/>
              <w:bidi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管理与组织到位的，评委比较打分，满分</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pStyle w:val="12"/>
              <w:pageBreakBefore w:val="0"/>
              <w:numPr>
                <w:ilvl w:val="0"/>
                <w:numId w:val="0"/>
              </w:numPr>
              <w:kinsoku/>
              <w:wordWrap/>
              <w:overflowPunct/>
              <w:topLinePunct w:val="0"/>
              <w:bidi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具备完整的质量保证体系和项目风险控制手段和机制的，评委比较打分，满分</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pStyle w:val="12"/>
              <w:pageBreakBefore w:val="0"/>
              <w:numPr>
                <w:ilvl w:val="0"/>
                <w:numId w:val="0"/>
              </w:numPr>
              <w:kinsoku/>
              <w:wordWrap/>
              <w:overflowPunct/>
              <w:topLinePunct w:val="0"/>
              <w:bidi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具有应急预案，评委比较打分，满分</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pStyle w:val="12"/>
              <w:pageBreakBefore w:val="0"/>
              <w:numPr>
                <w:ilvl w:val="0"/>
                <w:numId w:val="0"/>
              </w:numPr>
              <w:kinsoku/>
              <w:wordWrap/>
              <w:overflowPunct/>
              <w:topLinePunct w:val="0"/>
              <w:bidi w:val="0"/>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kern w:val="0"/>
                <w:sz w:val="24"/>
                <w:szCs w:val="24"/>
              </w:rPr>
              <w:t>根据投标人的详细维保服务方案、巡检方案、技术支持和质量保证措施等情况打分，</w:t>
            </w:r>
            <w:r>
              <w:rPr>
                <w:rFonts w:hint="eastAsia" w:ascii="宋体" w:hAnsi="宋体" w:eastAsia="宋体" w:cs="宋体"/>
                <w:color w:val="auto"/>
                <w:kern w:val="0"/>
                <w:sz w:val="24"/>
                <w:szCs w:val="24"/>
                <w:lang w:val="en-US" w:eastAsia="zh-CN"/>
              </w:rPr>
              <w:t>满分</w:t>
            </w:r>
            <w:r>
              <w:rPr>
                <w:rFonts w:hint="eastAsia" w:ascii="宋体" w:hAnsi="宋体" w:eastAsia="宋体" w:cs="宋体"/>
                <w:color w:val="auto"/>
                <w:kern w:val="0"/>
                <w:sz w:val="24"/>
                <w:szCs w:val="24"/>
              </w:rPr>
              <w:t>5分</w:t>
            </w:r>
            <w:r>
              <w:rPr>
                <w:rFonts w:hint="eastAsia" w:ascii="宋体" w:hAnsi="宋体" w:cs="宋体"/>
                <w:color w:val="auto"/>
                <w:kern w:val="0"/>
                <w:sz w:val="24"/>
                <w:szCs w:val="24"/>
                <w:lang w:eastAsia="zh-CN"/>
              </w:rPr>
              <w:t>；</w:t>
            </w:r>
          </w:p>
          <w:p>
            <w:pPr>
              <w:pStyle w:val="12"/>
              <w:pageBreakBefore w:val="0"/>
              <w:numPr>
                <w:ilvl w:val="0"/>
                <w:numId w:val="0"/>
              </w:numPr>
              <w:kinsoku/>
              <w:wordWrap/>
              <w:overflowPunct/>
              <w:topLinePunct w:val="0"/>
              <w:bidi w:val="0"/>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6、根据投标人投标文件中反映的对项目的维护需求理解、对诸暨市现有人社信息系统的熟悉程度进行综合评估，满分5分。</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pageBreakBefore w:val="0"/>
              <w:kinsoku/>
              <w:wordWrap/>
              <w:overflowPunct/>
              <w:topLinePunct w:val="0"/>
              <w:bidi w:val="0"/>
              <w:spacing w:line="312"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r>
      <w:tr>
        <w:tblPrEx>
          <w:tblCellMar>
            <w:top w:w="0" w:type="dxa"/>
            <w:left w:w="108" w:type="dxa"/>
            <w:bottom w:w="0" w:type="dxa"/>
            <w:right w:w="108" w:type="dxa"/>
          </w:tblCellMar>
        </w:tblPrEx>
        <w:trPr>
          <w:trHeight w:val="710" w:hRule="atLeast"/>
        </w:trPr>
        <w:tc>
          <w:tcPr>
            <w:tcW w:w="123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pageBreakBefore w:val="0"/>
              <w:kinsoku/>
              <w:wordWrap/>
              <w:overflowPunct/>
              <w:topLinePunct w:val="0"/>
              <w:bidi w:val="0"/>
              <w:spacing w:line="312" w:lineRule="auto"/>
              <w:jc w:val="center"/>
              <w:textAlignment w:val="auto"/>
              <w:rPr>
                <w:rFonts w:hint="eastAsia" w:ascii="宋体" w:hAnsi="宋体" w:eastAsia="宋体" w:cs="宋体"/>
                <w:bCs/>
                <w:iCs/>
                <w:color w:val="auto"/>
                <w:sz w:val="24"/>
                <w:szCs w:val="24"/>
                <w:highlight w:val="none"/>
                <w:lang w:val="en-US" w:eastAsia="zh-CN"/>
              </w:rPr>
            </w:pPr>
            <w:r>
              <w:rPr>
                <w:rFonts w:hint="eastAsia" w:ascii="宋体" w:hAnsi="宋体" w:eastAsia="宋体" w:cs="宋体"/>
                <w:bCs/>
                <w:iCs/>
                <w:color w:val="auto"/>
                <w:sz w:val="24"/>
                <w:szCs w:val="24"/>
                <w:highlight w:val="none"/>
                <w:lang w:val="en-US" w:eastAsia="zh-CN"/>
              </w:rPr>
              <w:t>投标人</w:t>
            </w:r>
          </w:p>
          <w:p>
            <w:pPr>
              <w:pageBreakBefore w:val="0"/>
              <w:kinsoku/>
              <w:wordWrap/>
              <w:overflowPunct/>
              <w:topLinePunct w:val="0"/>
              <w:bidi w:val="0"/>
              <w:spacing w:line="312" w:lineRule="auto"/>
              <w:jc w:val="center"/>
              <w:textAlignment w:val="auto"/>
              <w:rPr>
                <w:rFonts w:hint="eastAsia" w:ascii="宋体" w:hAnsi="宋体" w:eastAsia="宋体" w:cs="宋体"/>
                <w:bCs/>
                <w:iCs/>
                <w:color w:val="auto"/>
                <w:sz w:val="24"/>
                <w:szCs w:val="24"/>
                <w:highlight w:val="none"/>
                <w:lang w:val="en-US" w:eastAsia="zh-CN"/>
              </w:rPr>
            </w:pPr>
            <w:r>
              <w:rPr>
                <w:rFonts w:hint="eastAsia" w:ascii="宋体" w:hAnsi="宋体" w:eastAsia="宋体" w:cs="宋体"/>
                <w:bCs/>
                <w:iCs/>
                <w:color w:val="auto"/>
                <w:sz w:val="24"/>
                <w:szCs w:val="24"/>
                <w:highlight w:val="none"/>
                <w:lang w:val="en-US" w:eastAsia="zh-CN"/>
              </w:rPr>
              <w:t>资质</w:t>
            </w:r>
          </w:p>
        </w:tc>
        <w:tc>
          <w:tcPr>
            <w:tcW w:w="72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pageBreakBefore w:val="0"/>
              <w:numPr>
                <w:ilvl w:val="0"/>
                <w:numId w:val="4"/>
              </w:numPr>
              <w:kinsoku/>
              <w:wordWrap/>
              <w:overflowPunct/>
              <w:topLinePunct w:val="0"/>
              <w:bidi w:val="0"/>
              <w:spacing w:line="312" w:lineRule="auto"/>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具有ISO20000 IT服务管理体系认证证书、ISO27001：2013信息安全管理体系认证、ISO</w:t>
            </w:r>
            <w:r>
              <w:rPr>
                <w:rFonts w:ascii="宋体" w:hAnsi="宋体" w:eastAsia="宋体" w:cs="Times New Roman"/>
                <w:color w:val="auto"/>
                <w:kern w:val="0"/>
                <w:sz w:val="24"/>
                <w:szCs w:val="24"/>
              </w:rPr>
              <w:t>45000</w:t>
            </w:r>
            <w:r>
              <w:rPr>
                <w:rFonts w:hint="eastAsia" w:ascii="宋体" w:hAnsi="宋体" w:eastAsia="宋体" w:cs="Times New Roman"/>
                <w:color w:val="auto"/>
                <w:kern w:val="0"/>
                <w:sz w:val="24"/>
                <w:szCs w:val="24"/>
              </w:rPr>
              <w:t>职业健康安全管理体系认证、ISO14001：2015环境管理体系认证，各得</w:t>
            </w:r>
            <w:r>
              <w:rPr>
                <w:rFonts w:ascii="宋体" w:hAnsi="宋体" w:eastAsia="宋体" w:cs="Times New Roman"/>
                <w:color w:val="auto"/>
                <w:kern w:val="0"/>
                <w:sz w:val="24"/>
                <w:szCs w:val="24"/>
              </w:rPr>
              <w:t>0.5</w:t>
            </w:r>
            <w:r>
              <w:rPr>
                <w:rFonts w:hint="eastAsia" w:ascii="宋体" w:hAnsi="宋体" w:eastAsia="宋体" w:cs="Times New Roman"/>
                <w:color w:val="auto"/>
                <w:kern w:val="0"/>
                <w:sz w:val="24"/>
                <w:szCs w:val="24"/>
              </w:rPr>
              <w:t>分，最高</w:t>
            </w:r>
            <w:r>
              <w:rPr>
                <w:rFonts w:ascii="宋体" w:hAnsi="宋体" w:eastAsia="宋体" w:cs="Times New Roman"/>
                <w:color w:val="auto"/>
                <w:kern w:val="0"/>
                <w:sz w:val="24"/>
                <w:szCs w:val="24"/>
              </w:rPr>
              <w:t>2</w:t>
            </w:r>
            <w:r>
              <w:rPr>
                <w:rFonts w:hint="eastAsia" w:ascii="宋体" w:hAnsi="宋体" w:eastAsia="宋体" w:cs="Times New Roman"/>
                <w:color w:val="auto"/>
                <w:kern w:val="0"/>
                <w:sz w:val="24"/>
                <w:szCs w:val="24"/>
              </w:rPr>
              <w:t>分；</w:t>
            </w:r>
          </w:p>
          <w:p>
            <w:pPr>
              <w:pStyle w:val="12"/>
              <w:pageBreakBefore w:val="0"/>
              <w:numPr>
                <w:ilvl w:val="0"/>
                <w:numId w:val="3"/>
              </w:numPr>
              <w:kinsoku/>
              <w:wordWrap/>
              <w:overflowPunct/>
              <w:topLinePunct w:val="0"/>
              <w:bidi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Times New Roman"/>
                <w:color w:val="auto"/>
                <w:kern w:val="0"/>
                <w:sz w:val="24"/>
                <w:szCs w:val="24"/>
              </w:rPr>
              <w:t>具有本次维护相关设备厂家Dell emc、联想、Oracle、IBM、新华三、博科、vmware、华为、网神、天融信、奇安信、启明星辰、网御星云、深信服原厂合作证书，根据证书等级，拥有数量横向比较。最</w:t>
            </w:r>
            <w:r>
              <w:rPr>
                <w:rFonts w:hint="eastAsia" w:ascii="宋体" w:hAnsi="宋体" w:eastAsia="宋体" w:cs="宋体"/>
                <w:color w:val="auto"/>
                <w:sz w:val="24"/>
                <w:szCs w:val="24"/>
                <w:highlight w:val="none"/>
              </w:rPr>
              <w:t>高得4分，第二得2分，第三得1分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其他不得分</w:t>
            </w:r>
            <w:r>
              <w:rPr>
                <w:rFonts w:hint="eastAsia" w:ascii="宋体" w:hAnsi="宋体" w:cs="宋体"/>
                <w:color w:val="auto"/>
                <w:sz w:val="24"/>
                <w:szCs w:val="24"/>
                <w:highlight w:val="none"/>
                <w:lang w:val="en-US" w:eastAsia="zh-CN"/>
              </w:rPr>
              <w:t>；</w:t>
            </w:r>
          </w:p>
          <w:p>
            <w:pPr>
              <w:pStyle w:val="12"/>
              <w:pageBreakBefore w:val="0"/>
              <w:numPr>
                <w:ilvl w:val="0"/>
                <w:numId w:val="3"/>
              </w:numPr>
              <w:kinsoku/>
              <w:wordWrap/>
              <w:overflowPunct/>
              <w:topLinePunct w:val="0"/>
              <w:bidi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具有中国电子工业标准化技术协会颁发的ITSS运维服务能力成熟度二级（含）以上资质证书，二级得1分，一级得2分；</w:t>
            </w:r>
          </w:p>
          <w:p>
            <w:pPr>
              <w:pStyle w:val="12"/>
              <w:pageBreakBefore w:val="0"/>
              <w:numPr>
                <w:ilvl w:val="0"/>
                <w:numId w:val="3"/>
              </w:numPr>
              <w:kinsoku/>
              <w:wordWrap/>
              <w:overflowPunct/>
              <w:topLinePunct w:val="0"/>
              <w:bidi w:val="0"/>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具有中国网络安全审查技术与认证中心颁发的信息安全运维服务资质得1分</w:t>
            </w:r>
            <w:r>
              <w:rPr>
                <w:rFonts w:hint="eastAsia" w:ascii="宋体" w:hAnsi="宋体" w:eastAsia="宋体" w:cs="宋体"/>
                <w:color w:val="auto"/>
                <w:sz w:val="24"/>
                <w:szCs w:val="24"/>
                <w:highlight w:val="none"/>
                <w:lang w:eastAsia="zh-CN"/>
              </w:rPr>
              <w:t>；</w:t>
            </w:r>
          </w:p>
          <w:p>
            <w:pPr>
              <w:pStyle w:val="12"/>
              <w:pageBreakBefore w:val="0"/>
              <w:numPr>
                <w:ilvl w:val="0"/>
                <w:numId w:val="3"/>
              </w:numPr>
              <w:kinsoku/>
              <w:wordWrap/>
              <w:overflowPunct/>
              <w:topLinePunct w:val="0"/>
              <w:bidi w:val="0"/>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Times New Roman"/>
                <w:color w:val="auto"/>
                <w:kern w:val="0"/>
                <w:sz w:val="24"/>
                <w:szCs w:val="24"/>
              </w:rPr>
              <w:t>具有业务连续性管理体系认证</w:t>
            </w:r>
            <w:r>
              <w:rPr>
                <w:rFonts w:hint="eastAsia" w:ascii="宋体" w:hAnsi="宋体" w:eastAsia="宋体" w:cs="宋体"/>
                <w:color w:val="auto"/>
                <w:sz w:val="24"/>
                <w:szCs w:val="24"/>
                <w:highlight w:val="none"/>
                <w:lang w:val="en-US" w:eastAsia="zh-CN"/>
              </w:rPr>
              <w:t>得1分；</w:t>
            </w:r>
          </w:p>
          <w:p>
            <w:pPr>
              <w:pStyle w:val="12"/>
              <w:pageBreakBefore w:val="0"/>
              <w:numPr>
                <w:ilvl w:val="0"/>
                <w:numId w:val="3"/>
              </w:numPr>
              <w:kinsoku/>
              <w:wordWrap/>
              <w:overflowPunct/>
              <w:topLinePunct w:val="0"/>
              <w:bidi w:val="0"/>
              <w:spacing w:line="312"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为信息技术应用创新（信创）工作委员会会员单位得1分</w:t>
            </w:r>
            <w:r>
              <w:rPr>
                <w:rFonts w:hint="eastAsia" w:ascii="宋体" w:hAnsi="宋体" w:eastAsia="宋体" w:cs="宋体"/>
                <w:color w:val="auto"/>
                <w:sz w:val="24"/>
                <w:szCs w:val="24"/>
                <w:highlight w:val="none"/>
                <w:lang w:eastAsia="zh-CN"/>
              </w:rPr>
              <w:t>；</w:t>
            </w:r>
          </w:p>
          <w:p>
            <w:pPr>
              <w:pStyle w:val="12"/>
              <w:pageBreakBefore w:val="0"/>
              <w:numPr>
                <w:ilvl w:val="0"/>
                <w:numId w:val="3"/>
              </w:numPr>
              <w:kinsoku/>
              <w:wordWrap/>
              <w:overflowPunct/>
              <w:topLinePunct w:val="0"/>
              <w:bidi w:val="0"/>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具有省级以上部门颁发的信用AAA级证书，得1分</w:t>
            </w:r>
            <w:r>
              <w:rPr>
                <w:rFonts w:hint="eastAsia" w:ascii="宋体" w:hAnsi="宋体" w:eastAsia="宋体" w:cs="宋体"/>
                <w:color w:val="auto"/>
                <w:sz w:val="24"/>
                <w:szCs w:val="24"/>
                <w:highlight w:val="none"/>
                <w:lang w:eastAsia="zh-CN"/>
              </w:rPr>
              <w:t>。</w:t>
            </w:r>
          </w:p>
          <w:p>
            <w:pPr>
              <w:pStyle w:val="12"/>
              <w:pageBreakBefore w:val="0"/>
              <w:numPr>
                <w:ilvl w:val="0"/>
                <w:numId w:val="0"/>
              </w:numPr>
              <w:kinsoku/>
              <w:wordWrap/>
              <w:overflowPunct/>
              <w:topLinePunct w:val="0"/>
              <w:bidi w:val="0"/>
              <w:spacing w:line="312" w:lineRule="auto"/>
              <w:textAlignment w:val="auto"/>
              <w:rPr>
                <w:rFonts w:hint="eastAsia"/>
                <w:color w:val="auto"/>
              </w:rPr>
            </w:pPr>
            <w:r>
              <w:rPr>
                <w:rFonts w:hint="eastAsia" w:ascii="宋体" w:hAnsi="宋体" w:eastAsia="宋体" w:cs="宋体"/>
                <w:color w:val="auto"/>
                <w:sz w:val="24"/>
                <w:szCs w:val="24"/>
                <w:highlight w:val="none"/>
                <w:lang w:val="en-US" w:eastAsia="zh-CN"/>
              </w:rPr>
              <w:t>商务技术文件中</w:t>
            </w:r>
            <w:r>
              <w:rPr>
                <w:rFonts w:hint="eastAsia" w:ascii="宋体" w:hAnsi="宋体" w:eastAsia="宋体" w:cs="宋体"/>
                <w:color w:val="auto"/>
                <w:sz w:val="24"/>
                <w:szCs w:val="24"/>
                <w:highlight w:val="none"/>
              </w:rPr>
              <w:t>提供证书</w:t>
            </w:r>
            <w:r>
              <w:rPr>
                <w:rFonts w:hint="eastAsia" w:ascii="宋体" w:hAnsi="宋体" w:eastAsia="宋体" w:cs="宋体"/>
                <w:color w:val="auto"/>
                <w:sz w:val="24"/>
                <w:szCs w:val="24"/>
                <w:highlight w:val="none"/>
                <w:lang w:val="en-US" w:eastAsia="zh-CN"/>
              </w:rPr>
              <w:t>证书复印件</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原件备查，</w:t>
            </w:r>
            <w:r>
              <w:rPr>
                <w:rFonts w:hint="eastAsia" w:ascii="宋体" w:hAnsi="宋体" w:eastAsia="宋体" w:cs="宋体"/>
                <w:color w:val="auto"/>
                <w:sz w:val="24"/>
                <w:szCs w:val="24"/>
                <w:highlight w:val="none"/>
              </w:rPr>
              <w:t>或者提供颁证证书机关查询网址及截屏（并加盖公章）</w:t>
            </w:r>
            <w:r>
              <w:rPr>
                <w:rFonts w:hint="eastAsia" w:ascii="宋体" w:hAnsi="宋体" w:eastAsia="宋体" w:cs="宋体"/>
                <w:color w:val="auto"/>
                <w:sz w:val="24"/>
                <w:szCs w:val="24"/>
                <w:highlight w:val="none"/>
                <w:lang w:val="en-US" w:eastAsia="zh-CN"/>
              </w:rPr>
              <w:t>证书复印件</w:t>
            </w:r>
            <w:r>
              <w:rPr>
                <w:rFonts w:hint="eastAsia" w:ascii="宋体" w:hAnsi="宋体" w:eastAsia="宋体" w:cs="宋体"/>
                <w:color w:val="auto"/>
                <w:sz w:val="24"/>
                <w:szCs w:val="24"/>
                <w:highlight w:val="none"/>
              </w:rPr>
              <w:t>或无网址截屏不得分。</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pageBreakBefore w:val="0"/>
              <w:kinsoku/>
              <w:wordWrap/>
              <w:overflowPunct/>
              <w:topLinePunct w:val="0"/>
              <w:bidi w:val="0"/>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r>
      <w:tr>
        <w:tblPrEx>
          <w:tblCellMar>
            <w:top w:w="0" w:type="dxa"/>
            <w:left w:w="108" w:type="dxa"/>
            <w:bottom w:w="0" w:type="dxa"/>
            <w:right w:w="108" w:type="dxa"/>
          </w:tblCellMar>
        </w:tblPrEx>
        <w:trPr>
          <w:trHeight w:val="710" w:hRule="atLeast"/>
        </w:trPr>
        <w:tc>
          <w:tcPr>
            <w:tcW w:w="123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pageBreakBefore w:val="0"/>
              <w:kinsoku/>
              <w:wordWrap/>
              <w:overflowPunct/>
              <w:topLinePunct w:val="0"/>
              <w:bidi w:val="0"/>
              <w:spacing w:line="312"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项目实施团队</w:t>
            </w:r>
          </w:p>
        </w:tc>
        <w:tc>
          <w:tcPr>
            <w:tcW w:w="72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pStyle w:val="12"/>
              <w:pageBreakBefore w:val="0"/>
              <w:numPr>
                <w:ilvl w:val="0"/>
                <w:numId w:val="5"/>
              </w:numPr>
              <w:kinsoku/>
              <w:wordWrap/>
              <w:overflowPunct/>
              <w:topLinePunct w:val="0"/>
              <w:bidi w:val="0"/>
              <w:spacing w:line="312"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投标人似派项目经理，同时具备云计算（Cloud Computing）认证证书、中间件认证证书、PMP认证、信息系统集成项目经理、ITIL服务经理、DELL或EMC存储认证、网络CCNP、HCIP、或H3CSE级别网络认证、业务连续性 DRI CBCP认证，具备8项及以上得6分，具备6-7项得4分，具备5项得2分，具备4项得1分，其他不得分。</w:t>
            </w:r>
            <w:r>
              <w:rPr>
                <w:rFonts w:hint="eastAsia" w:ascii="宋体" w:hAnsi="宋体" w:eastAsia="宋体" w:cs="宋体"/>
                <w:color w:val="auto"/>
                <w:sz w:val="24"/>
                <w:szCs w:val="24"/>
                <w:highlight w:val="none"/>
                <w:lang w:val="en-US" w:eastAsia="zh-CN" w:bidi="ar-SA"/>
              </w:rPr>
              <w:br w:type="textWrapping"/>
            </w:r>
            <w:r>
              <w:rPr>
                <w:rFonts w:hint="eastAsia" w:ascii="宋体" w:hAnsi="宋体" w:eastAsia="宋体" w:cs="宋体"/>
                <w:color w:val="auto"/>
                <w:sz w:val="24"/>
                <w:szCs w:val="24"/>
                <w:highlight w:val="none"/>
                <w:lang w:val="en-US" w:eastAsia="zh-CN" w:bidi="ar-SA"/>
              </w:rPr>
              <w:t>2、投标人技术团队具有部核心平台三版认证工程师得1分、华为CCIE或HCIE-RS或H3CTE原厂认证工程师得1分、具有虚拟化VCP原厂认证工程师或者虚拟化VCAP原厂高级认证工程师得1分、具有CISP信息安全认证工程师得1分。</w:t>
            </w:r>
          </w:p>
          <w:p>
            <w:pPr>
              <w:pStyle w:val="12"/>
              <w:pageBreakBefore w:val="0"/>
              <w:numPr>
                <w:ilvl w:val="0"/>
                <w:numId w:val="0"/>
              </w:numPr>
              <w:kinsoku/>
              <w:wordWrap/>
              <w:overflowPunct/>
              <w:topLinePunct w:val="0"/>
              <w:bidi w:val="0"/>
              <w:spacing w:line="312" w:lineRule="auto"/>
              <w:ind w:leftChars="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3、投标人提供Oracle OCP及以上认证工程师得1分，提供Sqlserver认证工程师得1分，WebSphere认证工程师得1分，Weblogic认证工程师得1分，最高得4分。</w:t>
            </w:r>
          </w:p>
          <w:p>
            <w:pPr>
              <w:pStyle w:val="12"/>
              <w:pageBreakBefore w:val="0"/>
              <w:numPr>
                <w:ilvl w:val="0"/>
                <w:numId w:val="0"/>
              </w:numPr>
              <w:kinsoku/>
              <w:wordWrap/>
              <w:overflowPunct/>
              <w:topLinePunct w:val="0"/>
              <w:bidi w:val="0"/>
              <w:spacing w:line="312" w:lineRule="auto"/>
              <w:ind w:leftChars="0"/>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4、投标人每提供一名工信部ITSS IT服务工程师得0.5分，最高得1分；投标人每提供一名华为CCIE或HCIE-RS或H3CTE原厂认证工程师得0.5分，最高得1分；投标人每提供一名HCIP-storage以上原厂认证工程师认证，得0.5分，最高得1分；投标人提供Brocade BCFP原厂认证工程师得得0.5分，最高得1分。</w:t>
            </w:r>
          </w:p>
          <w:p>
            <w:pPr>
              <w:pageBreakBefore w:val="0"/>
              <w:kinsoku/>
              <w:wordWrap/>
              <w:overflowPunct/>
              <w:topLinePunct w:val="0"/>
              <w:bidi w:val="0"/>
              <w:spacing w:line="312"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（以上除项目经理外，各种证书人员不复用，以上提供人员名单、证书复印件</w:t>
            </w:r>
            <w:r>
              <w:rPr>
                <w:rFonts w:hint="eastAsia" w:ascii="宋体" w:hAnsi="宋体" w:cs="宋体"/>
                <w:color w:val="auto"/>
                <w:sz w:val="24"/>
                <w:szCs w:val="24"/>
                <w:highlight w:val="none"/>
                <w:lang w:val="en-US" w:eastAsia="zh-CN" w:bidi="ar-SA"/>
              </w:rPr>
              <w:t>（原件备查）</w:t>
            </w:r>
            <w:r>
              <w:rPr>
                <w:rFonts w:hint="eastAsia" w:ascii="宋体" w:hAnsi="宋体" w:eastAsia="宋体" w:cs="宋体"/>
                <w:color w:val="auto"/>
                <w:sz w:val="24"/>
                <w:szCs w:val="24"/>
                <w:highlight w:val="none"/>
                <w:lang w:val="en-US" w:eastAsia="zh-CN" w:bidi="ar-SA"/>
              </w:rPr>
              <w:t>以及证书认证得官网查询网址、截屏，同时所有证书需在有效期内，及投标人为其缴纳的近6个月社保证明材料，缺一不得分，招标人有权要求投标人提供对应人员的账户密码，提供证书验证，如发现与投标文件的内容不相符合的，将依据提供虚假材料谋取中标、成交的行为处理。）</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pageBreakBefore w:val="0"/>
              <w:kinsoku/>
              <w:wordWrap/>
              <w:overflowPunct/>
              <w:topLinePunct w:val="0"/>
              <w:bidi w:val="0"/>
              <w:spacing w:line="312"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r>
      <w:tr>
        <w:tblPrEx>
          <w:tblCellMar>
            <w:top w:w="0" w:type="dxa"/>
            <w:left w:w="108" w:type="dxa"/>
            <w:bottom w:w="0" w:type="dxa"/>
            <w:right w:w="108" w:type="dxa"/>
          </w:tblCellMar>
        </w:tblPrEx>
        <w:trPr>
          <w:trHeight w:val="20" w:hRule="atLeast"/>
        </w:trPr>
        <w:tc>
          <w:tcPr>
            <w:tcW w:w="123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pageBreakBefore w:val="0"/>
              <w:kinsoku/>
              <w:wordWrap/>
              <w:overflowPunct/>
              <w:topLinePunct w:val="0"/>
              <w:bidi w:val="0"/>
              <w:spacing w:line="312" w:lineRule="auto"/>
              <w:jc w:val="center"/>
              <w:textAlignment w:val="auto"/>
              <w:rPr>
                <w:rFonts w:hint="eastAsia" w:ascii="宋体" w:hAnsi="宋体" w:eastAsia="宋体" w:cs="宋体"/>
                <w:bCs/>
                <w:iCs/>
                <w:color w:val="auto"/>
                <w:sz w:val="24"/>
                <w:szCs w:val="24"/>
                <w:highlight w:val="none"/>
                <w:lang w:eastAsia="zh-CN"/>
              </w:rPr>
            </w:pPr>
            <w:r>
              <w:rPr>
                <w:rFonts w:hint="eastAsia" w:ascii="宋体" w:hAnsi="宋体" w:eastAsia="宋体" w:cs="宋体"/>
                <w:bCs/>
                <w:iCs/>
                <w:color w:val="auto"/>
                <w:sz w:val="24"/>
                <w:szCs w:val="24"/>
                <w:highlight w:val="none"/>
                <w:lang w:val="en-US" w:eastAsia="zh-CN"/>
              </w:rPr>
              <w:t>备品备件</w:t>
            </w:r>
          </w:p>
        </w:tc>
        <w:tc>
          <w:tcPr>
            <w:tcW w:w="72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1、根据投标方备件库的情况，是否能满足采购方需要，若出现紧急故障是否能在第一时间保证采购方系统的稳定安全运行，备件库选址的便利性、响应时间的有效性，备机备件的数量、品类，覆盖程度，得0-</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eastAsia="zh-CN"/>
              </w:rPr>
              <w:t>；</w:t>
            </w:r>
          </w:p>
          <w:p>
            <w:pPr>
              <w:pageBreakBefore w:val="0"/>
              <w:kinsoku/>
              <w:wordWrap/>
              <w:overflowPunct/>
              <w:topLinePunct w:val="0"/>
              <w:bidi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rPr>
              <w:t>2、若采购方出现紧急故障，投标方能提供不低于招标方设备配置的同品牌整机备机的，能提供承诺书的本项得</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(在中标后7个工作日内，如拒绝或故意拖延采购人核实的，或发现与承诺书的内容不相符合的，将依据提供虚假材料谋取中标、成交的行为处理)</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pageBreakBefore w:val="0"/>
              <w:kinsoku/>
              <w:wordWrap/>
              <w:overflowPunct/>
              <w:topLinePunct w:val="0"/>
              <w:bidi w:val="0"/>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r>
      <w:tr>
        <w:tblPrEx>
          <w:tblCellMar>
            <w:top w:w="0" w:type="dxa"/>
            <w:left w:w="108" w:type="dxa"/>
            <w:bottom w:w="0" w:type="dxa"/>
            <w:right w:w="108" w:type="dxa"/>
          </w:tblCellMar>
        </w:tblPrEx>
        <w:trPr>
          <w:trHeight w:val="1139" w:hRule="atLeast"/>
        </w:trPr>
        <w:tc>
          <w:tcPr>
            <w:tcW w:w="123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pageBreakBefore w:val="0"/>
              <w:kinsoku/>
              <w:wordWrap/>
              <w:overflowPunct/>
              <w:topLinePunct w:val="0"/>
              <w:bidi w:val="0"/>
              <w:spacing w:line="312" w:lineRule="auto"/>
              <w:jc w:val="center"/>
              <w:textAlignment w:val="auto"/>
              <w:rPr>
                <w:rFonts w:hint="eastAsia" w:ascii="宋体" w:hAnsi="宋体" w:eastAsia="宋体" w:cs="宋体"/>
                <w:bCs/>
                <w:iCs/>
                <w:color w:val="auto"/>
                <w:sz w:val="24"/>
                <w:szCs w:val="24"/>
                <w:highlight w:val="none"/>
                <w:lang w:eastAsia="zh-CN"/>
              </w:rPr>
            </w:pPr>
            <w:r>
              <w:rPr>
                <w:rFonts w:hint="eastAsia" w:ascii="宋体" w:hAnsi="宋体" w:eastAsia="宋体" w:cs="宋体"/>
                <w:bCs/>
                <w:iCs/>
                <w:color w:val="auto"/>
                <w:sz w:val="24"/>
                <w:szCs w:val="24"/>
                <w:highlight w:val="none"/>
                <w:lang w:eastAsia="zh-CN"/>
              </w:rPr>
              <w:t>售后服务</w:t>
            </w:r>
          </w:p>
        </w:tc>
        <w:tc>
          <w:tcPr>
            <w:tcW w:w="720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pageBreakBefore w:val="0"/>
              <w:kinsoku/>
              <w:wordWrap/>
              <w:overflowPunct/>
              <w:topLinePunct w:val="0"/>
              <w:bidi w:val="0"/>
              <w:spacing w:line="312" w:lineRule="auto"/>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投标人在绍兴地区有较强的本地化服务能力（提供营业执照或租房合同），本地化服务水平及技术团队人数打分，最高得分3；根据投标方提供的售后服务承诺（软件维护、重大活动支持、例行巡检、机构保障、新技术培训）和优惠措施等情况打分，最高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w:t>
            </w:r>
          </w:p>
        </w:tc>
        <w:tc>
          <w:tcPr>
            <w:tcW w:w="78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pageBreakBefore w:val="0"/>
              <w:kinsoku/>
              <w:wordWrap/>
              <w:overflowPunct/>
              <w:topLinePunct w:val="0"/>
              <w:bidi w:val="0"/>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r>
    </w:tbl>
    <w:p>
      <w:pPr>
        <w:rPr>
          <w:rFonts w:hint="eastAsia"/>
        </w:rPr>
      </w:pPr>
    </w:p>
    <w:p>
      <w:pPr>
        <w:pStyle w:val="46"/>
        <w:ind w:left="0" w:leftChars="0" w:firstLine="482" w:firstLineChars="200"/>
        <w:rPr>
          <w:rFonts w:hint="eastAsia"/>
        </w:rPr>
      </w:pPr>
      <w:r>
        <w:rPr>
          <w:rFonts w:hint="eastAsia" w:ascii="宋体" w:hAnsi="宋体" w:eastAsia="宋体" w:cs="宋体"/>
          <w:b/>
          <w:bCs/>
          <w:color w:val="auto"/>
          <w:sz w:val="24"/>
          <w:szCs w:val="24"/>
          <w:highlight w:val="none"/>
          <w:lang w:val="en-US" w:eastAsia="zh-CN" w:bidi="ar"/>
        </w:rPr>
        <w:t>注：</w:t>
      </w:r>
      <w:r>
        <w:rPr>
          <w:rFonts w:hint="eastAsia" w:ascii="宋体" w:hAnsi="宋体" w:cs="宋体"/>
          <w:b/>
          <w:bCs/>
          <w:color w:val="auto"/>
          <w:sz w:val="24"/>
          <w:szCs w:val="24"/>
          <w:highlight w:val="none"/>
          <w:lang w:val="en-US" w:eastAsia="zh-CN" w:bidi="ar"/>
        </w:rPr>
        <w:t>商务技术文件中提供</w:t>
      </w:r>
      <w:r>
        <w:rPr>
          <w:rFonts w:hint="eastAsia" w:ascii="宋体" w:hAnsi="宋体" w:eastAsia="宋体" w:cs="宋体"/>
          <w:b/>
          <w:bCs/>
          <w:color w:val="auto"/>
          <w:sz w:val="24"/>
          <w:szCs w:val="24"/>
          <w:highlight w:val="none"/>
          <w:lang w:val="en-US" w:eastAsia="zh-CN" w:bidi="ar"/>
        </w:rPr>
        <w:t>评分所</w:t>
      </w:r>
      <w:r>
        <w:rPr>
          <w:rFonts w:hint="eastAsia" w:ascii="宋体" w:hAnsi="宋体" w:cs="宋体"/>
          <w:b/>
          <w:bCs/>
          <w:color w:val="auto"/>
          <w:sz w:val="24"/>
          <w:szCs w:val="24"/>
          <w:highlight w:val="none"/>
          <w:lang w:val="en-US" w:eastAsia="zh-CN" w:bidi="ar"/>
        </w:rPr>
        <w:t>需</w:t>
      </w:r>
      <w:r>
        <w:rPr>
          <w:rFonts w:hint="eastAsia" w:ascii="宋体" w:hAnsi="宋体" w:eastAsia="宋体" w:cs="宋体"/>
          <w:b/>
          <w:bCs/>
          <w:color w:val="auto"/>
          <w:sz w:val="24"/>
          <w:szCs w:val="24"/>
          <w:highlight w:val="none"/>
          <w:lang w:val="en-US" w:eastAsia="zh-CN" w:bidi="ar"/>
        </w:rPr>
        <w:t>证书复印件并加盖投标单位</w:t>
      </w:r>
      <w:r>
        <w:rPr>
          <w:rFonts w:hint="eastAsia" w:ascii="宋体" w:hAnsi="宋体" w:cs="宋体"/>
          <w:b/>
          <w:bCs/>
          <w:color w:val="auto"/>
          <w:sz w:val="24"/>
          <w:szCs w:val="24"/>
          <w:highlight w:val="none"/>
          <w:lang w:val="en-US" w:eastAsia="zh-CN" w:bidi="ar"/>
        </w:rPr>
        <w:t>CA签</w:t>
      </w:r>
      <w:r>
        <w:rPr>
          <w:rFonts w:hint="eastAsia" w:ascii="宋体" w:hAnsi="宋体" w:eastAsia="宋体" w:cs="宋体"/>
          <w:b/>
          <w:bCs/>
          <w:color w:val="auto"/>
          <w:sz w:val="24"/>
          <w:szCs w:val="24"/>
          <w:highlight w:val="none"/>
          <w:lang w:val="en-US" w:eastAsia="zh-CN" w:bidi="ar"/>
        </w:rPr>
        <w:t>章（</w:t>
      </w:r>
      <w:r>
        <w:rPr>
          <w:rFonts w:hint="eastAsia" w:ascii="宋体" w:hAnsi="宋体" w:cs="宋体"/>
          <w:b/>
          <w:bCs/>
          <w:color w:val="auto"/>
          <w:sz w:val="24"/>
          <w:szCs w:val="24"/>
          <w:highlight w:val="none"/>
          <w:lang w:val="en-US" w:eastAsia="zh-CN" w:bidi="ar"/>
        </w:rPr>
        <w:t>若证书有</w:t>
      </w:r>
      <w:r>
        <w:rPr>
          <w:rFonts w:hint="eastAsia" w:ascii="宋体" w:hAnsi="宋体" w:eastAsia="宋体" w:cs="宋体"/>
          <w:b/>
          <w:bCs/>
          <w:color w:val="auto"/>
          <w:sz w:val="24"/>
          <w:szCs w:val="24"/>
          <w:highlight w:val="none"/>
          <w:lang w:val="en-US" w:eastAsia="zh-CN" w:bidi="ar"/>
        </w:rPr>
        <w:t>有效期的，证书须在有效期内),</w:t>
      </w:r>
      <w:r>
        <w:rPr>
          <w:rFonts w:hint="eastAsia" w:ascii="宋体" w:hAnsi="宋体" w:cs="宋体"/>
          <w:b/>
          <w:bCs/>
          <w:color w:val="auto"/>
          <w:sz w:val="24"/>
          <w:szCs w:val="24"/>
          <w:highlight w:val="none"/>
          <w:lang w:val="en-US" w:eastAsia="zh-CN" w:bidi="ar"/>
        </w:rPr>
        <w:t>否则</w:t>
      </w:r>
      <w:r>
        <w:rPr>
          <w:rFonts w:hint="eastAsia" w:ascii="宋体" w:hAnsi="宋体" w:eastAsia="宋体" w:cs="宋体"/>
          <w:b/>
          <w:bCs/>
          <w:color w:val="auto"/>
          <w:sz w:val="24"/>
          <w:szCs w:val="24"/>
          <w:highlight w:val="none"/>
          <w:lang w:val="en-US" w:eastAsia="zh-CN" w:bidi="ar"/>
        </w:rPr>
        <w:t>该项不得分。</w:t>
      </w:r>
    </w:p>
    <w:p>
      <w:pPr>
        <w:pStyle w:val="4"/>
        <w:keepNext/>
        <w:keepLines/>
        <w:pageBreakBefore w:val="0"/>
        <w:widowControl w:val="0"/>
        <w:kinsoku/>
        <w:wordWrap/>
        <w:overflowPunct/>
        <w:topLinePunct w:val="0"/>
        <w:autoSpaceDE w:val="0"/>
        <w:autoSpaceDN w:val="0"/>
        <w:bidi w:val="0"/>
        <w:adjustRightInd w:val="0"/>
        <w:snapToGrid/>
        <w:spacing w:before="0" w:line="500" w:lineRule="exact"/>
        <w:jc w:val="center"/>
        <w:textAlignment w:val="auto"/>
        <w:rPr>
          <w:rFonts w:ascii="宋体" w:hAnsi="宋体" w:eastAsia="宋体" w:cs="宋体"/>
          <w:b w:val="0"/>
          <w:bCs/>
          <w:sz w:val="24"/>
        </w:rPr>
      </w:pPr>
      <w:r>
        <w:rPr>
          <w:rFonts w:hint="eastAsia" w:ascii="宋体" w:hAnsi="宋体" w:eastAsia="宋体" w:cs="宋体"/>
          <w:b/>
          <w:bCs/>
          <w:color w:val="auto"/>
          <w:kern w:val="2"/>
          <w:sz w:val="24"/>
          <w:szCs w:val="24"/>
          <w:highlight w:val="none"/>
          <w:lang w:val="en-US" w:eastAsia="zh-CN" w:bidi="ar"/>
        </w:rPr>
        <w:t>（5）通过资格评审和符合性评审的投标人全部入围进行报价评审。</w:t>
      </w:r>
      <w:r>
        <w:rPr>
          <w:rFonts w:hint="eastAsia" w:ascii="宋体" w:hAnsi="宋体" w:eastAsia="宋体" w:cs="宋体"/>
          <w:sz w:val="36"/>
          <w:szCs w:val="36"/>
        </w:rPr>
        <w:br w:type="page"/>
      </w:r>
      <w:r>
        <w:rPr>
          <w:rFonts w:hint="eastAsia" w:ascii="宋体" w:hAnsi="宋体" w:eastAsia="宋体" w:cs="宋体"/>
          <w:sz w:val="36"/>
          <w:szCs w:val="36"/>
        </w:rPr>
        <w:t>第四章   采购</w:t>
      </w:r>
      <w:r>
        <w:rPr>
          <w:rFonts w:hint="eastAsia" w:ascii="宋体" w:hAnsi="宋体" w:eastAsia="宋体" w:cs="宋体"/>
          <w:sz w:val="36"/>
          <w:szCs w:val="36"/>
          <w:lang w:val="en-US" w:eastAsia="zh-CN"/>
        </w:rPr>
        <w:t>内容及</w:t>
      </w:r>
      <w:r>
        <w:rPr>
          <w:rFonts w:hint="eastAsia" w:ascii="宋体" w:hAnsi="宋体" w:eastAsia="宋体" w:cs="宋体"/>
          <w:sz w:val="36"/>
          <w:szCs w:val="36"/>
        </w:rPr>
        <w:t>需求</w:t>
      </w:r>
    </w:p>
    <w:bookmarkEnd w:id="31"/>
    <w:p>
      <w:pPr>
        <w:keepNext w:val="0"/>
        <w:keepLines w:val="0"/>
        <w:pageBreakBefore w:val="0"/>
        <w:widowControl w:val="0"/>
        <w:kinsoku/>
        <w:wordWrap/>
        <w:overflowPunct/>
        <w:topLinePunct w:val="0"/>
        <w:autoSpaceDE w:val="0"/>
        <w:autoSpaceDN w:val="0"/>
        <w:bidi w:val="0"/>
        <w:adjustRightInd w:val="0"/>
        <w:snapToGrid/>
        <w:spacing w:line="324" w:lineRule="auto"/>
        <w:ind w:firstLine="602" w:firstLineChars="200"/>
        <w:textAlignment w:val="auto"/>
        <w:rPr>
          <w:rFonts w:ascii="宋体" w:hAnsi="宋体" w:cs="宋体"/>
          <w:b/>
          <w:bCs/>
          <w:sz w:val="30"/>
          <w:szCs w:val="30"/>
          <w:u w:val="single"/>
        </w:rPr>
      </w:pPr>
      <w:r>
        <w:rPr>
          <w:rFonts w:hint="eastAsia" w:ascii="宋体" w:hAnsi="宋体" w:cs="宋体"/>
          <w:b/>
          <w:bCs/>
          <w:sz w:val="30"/>
          <w:szCs w:val="30"/>
          <w:u w:val="single"/>
        </w:rPr>
        <w:t>产品要求中有参考品牌、型号的仅作为投标方案参考，但投标产品品牌、型号至少应与参考品牌、型号相当。</w:t>
      </w:r>
    </w:p>
    <w:p>
      <w:pPr>
        <w:keepNext w:val="0"/>
        <w:keepLines w:val="0"/>
        <w:pageBreakBefore w:val="0"/>
        <w:widowControl w:val="0"/>
        <w:kinsoku/>
        <w:wordWrap/>
        <w:overflowPunct/>
        <w:topLinePunct w:val="0"/>
        <w:autoSpaceDE w:val="0"/>
        <w:autoSpaceDN w:val="0"/>
        <w:bidi w:val="0"/>
        <w:adjustRightInd w:val="0"/>
        <w:snapToGrid/>
        <w:spacing w:line="324" w:lineRule="auto"/>
        <w:ind w:firstLine="602" w:firstLineChars="200"/>
        <w:textAlignment w:val="auto"/>
        <w:rPr>
          <w:rFonts w:ascii="宋体" w:hAnsi="宋体" w:cs="宋体"/>
          <w:b/>
          <w:sz w:val="24"/>
          <w:szCs w:val="24"/>
          <w:u w:val="single"/>
        </w:rPr>
      </w:pPr>
      <w:r>
        <w:rPr>
          <w:rFonts w:hint="eastAsia" w:ascii="宋体" w:hAnsi="宋体" w:cs="宋体"/>
          <w:b/>
          <w:bCs/>
          <w:sz w:val="30"/>
          <w:szCs w:val="30"/>
          <w:u w:val="single"/>
        </w:rPr>
        <w:t>除参考品牌、型号以外，欢迎其它能满足本项目技术需求且性能与参考品牌、型号相当的产品参加。</w:t>
      </w:r>
    </w:p>
    <w:p>
      <w:pPr>
        <w:spacing w:line="324" w:lineRule="auto"/>
        <w:rPr>
          <w:rFonts w:ascii="宋体" w:hAnsi="宋体" w:cs="宋体"/>
          <w:b/>
          <w:color w:val="FF0000"/>
          <w:sz w:val="24"/>
        </w:rPr>
      </w:pPr>
      <w:r>
        <w:rPr>
          <w:rFonts w:hint="eastAsia" w:ascii="宋体" w:hAnsi="宋体" w:cs="宋体"/>
          <w:b/>
          <w:sz w:val="24"/>
          <w:szCs w:val="24"/>
          <w:u w:val="single"/>
        </w:rPr>
        <w:t>注：★为实质性响应项，不满足则投标无效。“▲”是关键技术参数及要求。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82" w:firstLineChars="200"/>
        <w:jc w:val="left"/>
        <w:textAlignment w:val="auto"/>
        <w:outlineLvl w:val="0"/>
        <w:rPr>
          <w:rFonts w:hint="eastAsia" w:ascii="宋体" w:hAnsi="宋体" w:eastAsia="宋体" w:cs="宋体"/>
          <w:b/>
          <w:color w:val="auto"/>
          <w:sz w:val="24"/>
          <w:szCs w:val="24"/>
          <w:highlight w:val="none"/>
          <w:lang w:val="en-US" w:eastAsia="zh-CN"/>
        </w:rPr>
      </w:pPr>
      <w:bookmarkStart w:id="32" w:name="_Toc4403"/>
      <w:r>
        <w:rPr>
          <w:rFonts w:hint="eastAsia" w:ascii="宋体" w:hAnsi="宋体" w:eastAsia="宋体" w:cs="宋体"/>
          <w:b/>
          <w:color w:val="auto"/>
          <w:sz w:val="24"/>
          <w:szCs w:val="24"/>
          <w:highlight w:val="none"/>
          <w:lang w:val="en-US" w:eastAsia="zh-CN"/>
        </w:rPr>
        <w:t>（一）项目建设背景</w:t>
      </w:r>
      <w:bookmarkEnd w:id="32"/>
    </w:p>
    <w:p>
      <w:pPr>
        <w:pStyle w:val="51"/>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诸暨市人力资源社会保障局拥有两处机房，一个位于办证中心5楼大数据局中心机房，另一个位于永昌路12号。前者主要用于部署人社各类业务应用、人社专网的网络设备和安全设备，后者主要是人社局大楼的弱电机房，主要是局大楼的网络设备、监控设备和安全设备。</w:t>
      </w:r>
    </w:p>
    <w:p>
      <w:pPr>
        <w:pStyle w:val="51"/>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因历史原因和数字化改革的推进，诸暨市人社局尚有部分自建信息系统仍在运行。在实际使用过程中</w:t>
      </w:r>
      <w:r>
        <w:rPr>
          <w:rFonts w:hint="eastAsia" w:ascii="宋体" w:hAnsi="宋体" w:eastAsia="宋体" w:cs="宋体"/>
          <w:color w:val="auto"/>
          <w:sz w:val="24"/>
          <w:szCs w:val="24"/>
          <w:highlight w:val="none"/>
        </w:rPr>
        <w:t>，随着业务的发展和对</w:t>
      </w:r>
      <w:r>
        <w:rPr>
          <w:rFonts w:hint="eastAsia" w:ascii="宋体" w:hAnsi="宋体" w:eastAsia="宋体" w:cs="宋体"/>
          <w:color w:val="auto"/>
          <w:sz w:val="24"/>
          <w:szCs w:val="24"/>
          <w:highlight w:val="none"/>
          <w:lang w:val="en-US" w:eastAsia="zh-CN"/>
        </w:rPr>
        <w:t>自建</w:t>
      </w:r>
      <w:r>
        <w:rPr>
          <w:rFonts w:hint="eastAsia" w:ascii="宋体" w:hAnsi="宋体" w:eastAsia="宋体" w:cs="宋体"/>
          <w:color w:val="auto"/>
          <w:sz w:val="24"/>
          <w:szCs w:val="24"/>
          <w:highlight w:val="none"/>
        </w:rPr>
        <w:t>系统</w:t>
      </w:r>
      <w:r>
        <w:rPr>
          <w:rFonts w:hint="eastAsia" w:ascii="宋体" w:hAnsi="宋体" w:eastAsia="宋体" w:cs="宋体"/>
          <w:color w:val="auto"/>
          <w:sz w:val="24"/>
          <w:szCs w:val="24"/>
          <w:highlight w:val="none"/>
          <w:lang w:val="en-US" w:eastAsia="zh-CN"/>
        </w:rPr>
        <w:t>业务</w:t>
      </w:r>
      <w:r>
        <w:rPr>
          <w:rFonts w:hint="eastAsia" w:ascii="宋体" w:hAnsi="宋体" w:eastAsia="宋体" w:cs="宋体"/>
          <w:color w:val="auto"/>
          <w:sz w:val="24"/>
          <w:szCs w:val="24"/>
          <w:highlight w:val="none"/>
        </w:rPr>
        <w:t>要求的不断提高，</w:t>
      </w:r>
      <w:r>
        <w:rPr>
          <w:rFonts w:hint="eastAsia" w:ascii="宋体" w:hAnsi="宋体" w:eastAsia="宋体" w:cs="宋体"/>
          <w:color w:val="auto"/>
          <w:sz w:val="24"/>
          <w:szCs w:val="24"/>
          <w:highlight w:val="none"/>
          <w:lang w:val="en-US" w:eastAsia="zh-CN"/>
        </w:rPr>
        <w:t>结合实际需要对当前</w:t>
      </w:r>
      <w:r>
        <w:rPr>
          <w:rFonts w:hint="eastAsia" w:ascii="宋体" w:hAnsi="宋体" w:eastAsia="宋体" w:cs="宋体"/>
          <w:color w:val="auto"/>
          <w:sz w:val="24"/>
          <w:szCs w:val="24"/>
          <w:highlight w:val="none"/>
        </w:rPr>
        <w:t>应用信息系统</w:t>
      </w:r>
      <w:r>
        <w:rPr>
          <w:rFonts w:hint="eastAsia" w:ascii="宋体" w:hAnsi="宋体" w:eastAsia="宋体" w:cs="宋体"/>
          <w:color w:val="auto"/>
          <w:sz w:val="24"/>
          <w:szCs w:val="24"/>
          <w:highlight w:val="none"/>
          <w:lang w:val="en-US" w:eastAsia="zh-CN"/>
        </w:rPr>
        <w:t>开展更新及维保工作显得尤为必要</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82" w:firstLineChars="200"/>
        <w:jc w:val="left"/>
        <w:textAlignment w:val="auto"/>
        <w:outlineLvl w:val="0"/>
        <w:rPr>
          <w:rFonts w:hint="default" w:ascii="宋体" w:hAnsi="宋体" w:eastAsia="宋体" w:cs="宋体"/>
          <w:b/>
          <w:color w:val="auto"/>
          <w:sz w:val="24"/>
          <w:szCs w:val="24"/>
          <w:highlight w:val="none"/>
          <w:lang w:val="en-US" w:eastAsia="zh-CN"/>
        </w:rPr>
      </w:pPr>
      <w:bookmarkStart w:id="33" w:name="_Toc10176"/>
      <w:r>
        <w:rPr>
          <w:rFonts w:hint="eastAsia" w:ascii="宋体" w:hAnsi="宋体" w:eastAsia="宋体" w:cs="宋体"/>
          <w:b/>
          <w:color w:val="auto"/>
          <w:sz w:val="24"/>
          <w:szCs w:val="24"/>
          <w:highlight w:val="none"/>
          <w:lang w:val="en-US" w:eastAsia="zh-CN"/>
        </w:rPr>
        <w:t>（二）项目</w:t>
      </w:r>
      <w:bookmarkEnd w:id="33"/>
      <w:r>
        <w:rPr>
          <w:rFonts w:hint="eastAsia" w:ascii="宋体" w:hAnsi="宋体" w:eastAsia="宋体" w:cs="宋体"/>
          <w:b/>
          <w:color w:val="auto"/>
          <w:sz w:val="24"/>
          <w:szCs w:val="24"/>
          <w:highlight w:val="none"/>
          <w:lang w:val="en-US" w:eastAsia="zh-CN"/>
        </w:rPr>
        <w:t>服务要求</w:t>
      </w:r>
    </w:p>
    <w:p>
      <w:pPr>
        <w:pStyle w:val="51"/>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为确保信息系统保持</w:t>
      </w:r>
      <w:r>
        <w:rPr>
          <w:rFonts w:hint="eastAsia" w:ascii="宋体" w:hAnsi="宋体" w:eastAsia="宋体" w:cs="宋体"/>
          <w:color w:val="auto"/>
          <w:sz w:val="24"/>
          <w:szCs w:val="24"/>
          <w:highlight w:val="none"/>
          <w:lang w:eastAsia="zh-CN"/>
        </w:rPr>
        <w:t>7*24</w:t>
      </w:r>
      <w:r>
        <w:rPr>
          <w:rFonts w:hint="eastAsia" w:ascii="宋体" w:hAnsi="宋体" w:eastAsia="宋体" w:cs="宋体"/>
          <w:color w:val="auto"/>
          <w:sz w:val="24"/>
          <w:szCs w:val="24"/>
          <w:highlight w:val="none"/>
        </w:rPr>
        <w:t>小时正常运行，更加稳定高效的为诸暨人社和民生服务，结合业务发展的需求和往年硬件质保服务体系建设经验，开展</w:t>
      </w:r>
      <w:r>
        <w:rPr>
          <w:rFonts w:hint="eastAsia" w:ascii="宋体" w:hAnsi="宋体" w:eastAsia="宋体" w:cs="宋体"/>
          <w:color w:val="auto"/>
          <w:sz w:val="24"/>
          <w:szCs w:val="24"/>
          <w:highlight w:val="none"/>
          <w:lang w:val="en-US" w:eastAsia="zh-CN"/>
        </w:rPr>
        <w:t>2022</w:t>
      </w:r>
      <w:r>
        <w:rPr>
          <w:rFonts w:hint="eastAsia" w:ascii="宋体" w:hAnsi="宋体" w:eastAsia="宋体" w:cs="宋体"/>
          <w:color w:val="auto"/>
          <w:sz w:val="24"/>
          <w:szCs w:val="24"/>
          <w:highlight w:val="none"/>
        </w:rPr>
        <w:t>年度</w:t>
      </w:r>
      <w:r>
        <w:rPr>
          <w:rFonts w:hint="eastAsia" w:ascii="宋体" w:hAnsi="宋体" w:eastAsia="宋体" w:cs="宋体"/>
          <w:color w:val="auto"/>
          <w:sz w:val="24"/>
          <w:szCs w:val="24"/>
          <w:highlight w:val="none"/>
          <w:lang w:val="en-US" w:eastAsia="zh-CN"/>
        </w:rPr>
        <w:t>诸暨市人力资源和社会保障局机房软</w:t>
      </w:r>
      <w:r>
        <w:rPr>
          <w:rFonts w:hint="eastAsia" w:ascii="宋体" w:hAnsi="宋体" w:eastAsia="宋体" w:cs="宋体"/>
          <w:color w:val="auto"/>
          <w:sz w:val="24"/>
          <w:szCs w:val="24"/>
          <w:highlight w:val="none"/>
        </w:rPr>
        <w:t>硬件支撑平台维护工作，全面的提升诸暨</w:t>
      </w:r>
      <w:r>
        <w:rPr>
          <w:rFonts w:hint="eastAsia" w:ascii="宋体" w:hAnsi="宋体" w:eastAsia="宋体" w:cs="宋体"/>
          <w:color w:val="auto"/>
          <w:sz w:val="24"/>
          <w:szCs w:val="24"/>
          <w:highlight w:val="none"/>
          <w:lang w:val="en-US" w:eastAsia="zh-CN"/>
        </w:rPr>
        <w:t>人社</w:t>
      </w:r>
      <w:r>
        <w:rPr>
          <w:rFonts w:hint="eastAsia" w:ascii="宋体" w:hAnsi="宋体" w:eastAsia="宋体" w:cs="宋体"/>
          <w:color w:val="auto"/>
          <w:sz w:val="24"/>
          <w:szCs w:val="24"/>
          <w:highlight w:val="none"/>
        </w:rPr>
        <w:t>信息系统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运行效率和稳定性</w:t>
      </w:r>
      <w:r>
        <w:rPr>
          <w:rFonts w:hint="eastAsia" w:ascii="宋体" w:hAnsi="宋体" w:eastAsia="宋体" w:cs="宋体"/>
          <w:color w:val="auto"/>
          <w:sz w:val="24"/>
          <w:szCs w:val="24"/>
          <w:highlight w:val="none"/>
          <w:lang w:eastAsia="zh-CN"/>
        </w:rPr>
        <w:t>，需要为之建设一套完善的硬件质保和平台维护服务体系。</w:t>
      </w:r>
    </w:p>
    <w:p>
      <w:pPr>
        <w:pStyle w:val="51"/>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1、信息系统无故障运行率达到 99.95%以上；</w:t>
      </w:r>
    </w:p>
    <w:p>
      <w:pPr>
        <w:pStyle w:val="51"/>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 7*24 小时响应，工作服从调度，做好本次项目的日常维护、保养服务；</w:t>
      </w:r>
    </w:p>
    <w:p>
      <w:pPr>
        <w:pStyle w:val="51"/>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3、同时协助信息部门处理好日常信息化工作等事宜；</w:t>
      </w:r>
    </w:p>
    <w:p>
      <w:pPr>
        <w:pStyle w:val="51"/>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每月一次</w:t>
      </w:r>
      <w:r>
        <w:rPr>
          <w:rFonts w:hint="eastAsia" w:ascii="宋体" w:hAnsi="宋体" w:eastAsia="宋体" w:cs="宋体"/>
          <w:color w:val="auto"/>
          <w:sz w:val="24"/>
          <w:szCs w:val="24"/>
          <w:highlight w:val="none"/>
        </w:rPr>
        <w:t>定期上门</w:t>
      </w:r>
      <w:r>
        <w:rPr>
          <w:rFonts w:hint="eastAsia" w:ascii="宋体" w:hAnsi="宋体" w:eastAsia="宋体" w:cs="宋体"/>
          <w:color w:val="auto"/>
          <w:sz w:val="24"/>
          <w:szCs w:val="24"/>
          <w:highlight w:val="none"/>
          <w:lang w:val="en-US" w:eastAsia="zh-CN"/>
        </w:rPr>
        <w:t>机房巡检</w:t>
      </w:r>
      <w:r>
        <w:rPr>
          <w:rFonts w:hint="eastAsia" w:ascii="宋体" w:hAnsi="宋体" w:eastAsia="宋体" w:cs="宋体"/>
          <w:color w:val="auto"/>
          <w:sz w:val="24"/>
          <w:szCs w:val="24"/>
          <w:highlight w:val="none"/>
        </w:rPr>
        <w:t>，对系统的运行做出全面的评估，并提供巡检书面报告及用户的签字确认；</w:t>
      </w:r>
    </w:p>
    <w:p>
      <w:pPr>
        <w:pStyle w:val="51"/>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5、维护期截止前，总结服务工作，并找出存在问题，并就用户系统情况提交年度总结报告；</w:t>
      </w:r>
    </w:p>
    <w:p>
      <w:pPr>
        <w:pStyle w:val="51"/>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6、有完善的文档管理制度，保证运行维护过程中产生的文档受控；</w:t>
      </w:r>
    </w:p>
    <w:p>
      <w:pPr>
        <w:pStyle w:val="51"/>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7、提供现场或其它方式的培训服务及解答用户方技术疑难；</w:t>
      </w:r>
    </w:p>
    <w:p>
      <w:pPr>
        <w:pStyle w:val="51"/>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8、提供7*24不间断的电话服务支持（客服热线、专职工程师手机）， 不限次。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82" w:firstLineChars="200"/>
        <w:jc w:val="left"/>
        <w:textAlignment w:val="auto"/>
        <w:outlineLvl w:val="0"/>
        <w:rPr>
          <w:rFonts w:hint="eastAsia" w:ascii="宋体" w:hAnsi="宋体" w:eastAsia="宋体" w:cs="宋体"/>
          <w:b/>
          <w:color w:val="auto"/>
          <w:sz w:val="24"/>
          <w:szCs w:val="24"/>
          <w:highlight w:val="none"/>
          <w:lang w:val="en-US" w:eastAsia="zh-CN"/>
        </w:rPr>
      </w:pPr>
      <w:bookmarkStart w:id="34" w:name="_Toc2652"/>
      <w:r>
        <w:rPr>
          <w:rFonts w:hint="eastAsia" w:ascii="宋体" w:hAnsi="宋体" w:eastAsia="宋体" w:cs="宋体"/>
          <w:b/>
          <w:color w:val="auto"/>
          <w:sz w:val="24"/>
          <w:szCs w:val="24"/>
          <w:highlight w:val="none"/>
          <w:lang w:val="en-US" w:eastAsia="zh-CN"/>
        </w:rPr>
        <w:t>（三）运维服务原则</w:t>
      </w:r>
      <w:bookmarkEnd w:id="34"/>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1）事前预防为主、事后补救为辅</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坚持日常对维保设备的巡查和预警，形成稳定的维保服务体系。有问题及时处理，保障维保设备稳定运行，极大的降低事故发生概率。</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2）标准统一，与时俱进</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维护方式坚持采用国内统一的信息和技术标准，以标准化推动信息系统的集约化管理。采用可靠而先进可靠的运维方法，对维保设备、网络的硬件资源的进行有效整合，提高系统运行效率和稳定性。</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3）安全可靠，高效运行</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把信息安全放在至关重要的位置，做到信息安全与信息化同步规划、全面提升系统的安全水平，保证数据的安全和系统安全、稳定、高效地运行。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82" w:firstLineChars="200"/>
        <w:jc w:val="left"/>
        <w:textAlignment w:val="auto"/>
        <w:outlineLvl w:val="0"/>
        <w:rPr>
          <w:rFonts w:hint="eastAsia" w:ascii="宋体" w:hAnsi="宋体" w:eastAsia="宋体" w:cs="宋体"/>
          <w:b/>
          <w:color w:val="auto"/>
          <w:sz w:val="24"/>
          <w:szCs w:val="24"/>
          <w:highlight w:val="none"/>
          <w:lang w:val="en-US" w:eastAsia="zh-CN"/>
        </w:rPr>
      </w:pPr>
      <w:bookmarkStart w:id="35" w:name="_Toc1903"/>
      <w:r>
        <w:rPr>
          <w:rFonts w:hint="eastAsia" w:ascii="宋体" w:hAnsi="宋体" w:eastAsia="宋体" w:cs="宋体"/>
          <w:b/>
          <w:color w:val="auto"/>
          <w:sz w:val="24"/>
          <w:szCs w:val="24"/>
          <w:highlight w:val="none"/>
          <w:lang w:val="en-US" w:eastAsia="zh-CN"/>
        </w:rPr>
        <w:t>（四）维保设备清单</w:t>
      </w:r>
      <w:bookmarkEnd w:id="35"/>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82" w:firstLineChars="200"/>
        <w:jc w:val="left"/>
        <w:textAlignment w:val="auto"/>
        <w:outlineLvl w:val="0"/>
        <w:rPr>
          <w:rFonts w:hint="eastAsia" w:ascii="宋体" w:hAnsi="宋体" w:eastAsia="宋体" w:cs="宋体"/>
          <w:b/>
          <w:color w:val="auto"/>
          <w:sz w:val="24"/>
          <w:szCs w:val="24"/>
          <w:highlight w:val="none"/>
          <w:lang w:val="en-US" w:eastAsia="zh-CN"/>
        </w:rPr>
      </w:pPr>
      <w:bookmarkStart w:id="36" w:name="_Toc6762"/>
      <w:r>
        <w:rPr>
          <w:rFonts w:hint="eastAsia" w:ascii="宋体" w:hAnsi="宋体" w:eastAsia="宋体" w:cs="宋体"/>
          <w:b/>
          <w:color w:val="auto"/>
          <w:sz w:val="24"/>
          <w:szCs w:val="24"/>
          <w:highlight w:val="none"/>
          <w:lang w:val="en-US" w:eastAsia="zh-CN"/>
        </w:rPr>
        <w:t>4.1维护设备清单</w:t>
      </w:r>
      <w:bookmarkEnd w:id="36"/>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本项目硬件质保及维护的设备清单如下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并根据运维期间设备的实际增添情况同步增减</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82" w:firstLineChars="200"/>
        <w:jc w:val="left"/>
        <w:textAlignment w:val="auto"/>
        <w:outlineLvl w:val="0"/>
        <w:rPr>
          <w:rFonts w:hint="eastAsia" w:ascii="宋体" w:hAnsi="宋体" w:eastAsia="宋体" w:cs="宋体"/>
          <w:b/>
          <w:color w:val="auto"/>
          <w:sz w:val="24"/>
          <w:szCs w:val="24"/>
          <w:highlight w:val="none"/>
          <w:lang w:val="en-US" w:eastAsia="zh-CN"/>
        </w:rPr>
      </w:pPr>
      <w:bookmarkStart w:id="37" w:name="_Toc6160"/>
      <w:r>
        <w:rPr>
          <w:rFonts w:hint="eastAsia" w:ascii="宋体" w:hAnsi="宋体" w:eastAsia="宋体" w:cs="宋体"/>
          <w:b/>
          <w:color w:val="auto"/>
          <w:sz w:val="24"/>
          <w:szCs w:val="24"/>
          <w:highlight w:val="none"/>
          <w:lang w:val="en-US" w:eastAsia="zh-CN"/>
        </w:rPr>
        <w:t>4.1.1. 服务器类设备清单</w:t>
      </w:r>
      <w:bookmarkEnd w:id="37"/>
    </w:p>
    <w:tbl>
      <w:tblPr>
        <w:tblStyle w:val="26"/>
        <w:tblW w:w="5000" w:type="pct"/>
        <w:tblInd w:w="0" w:type="dxa"/>
        <w:tblLayout w:type="autofit"/>
        <w:tblCellMar>
          <w:top w:w="0" w:type="dxa"/>
          <w:left w:w="108" w:type="dxa"/>
          <w:bottom w:w="0" w:type="dxa"/>
          <w:right w:w="108" w:type="dxa"/>
        </w:tblCellMar>
      </w:tblPr>
      <w:tblGrid>
        <w:gridCol w:w="1205"/>
        <w:gridCol w:w="3222"/>
        <w:gridCol w:w="1502"/>
        <w:gridCol w:w="3925"/>
      </w:tblGrid>
      <w:tr>
        <w:tblPrEx>
          <w:tblCellMar>
            <w:top w:w="0" w:type="dxa"/>
            <w:left w:w="108" w:type="dxa"/>
            <w:bottom w:w="0" w:type="dxa"/>
            <w:right w:w="108" w:type="dxa"/>
          </w:tblCellMar>
        </w:tblPrEx>
        <w:trPr>
          <w:trHeight w:val="280" w:hRule="atLeast"/>
        </w:trPr>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序号</w:t>
            </w:r>
          </w:p>
        </w:tc>
        <w:tc>
          <w:tcPr>
            <w:tcW w:w="163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名称</w:t>
            </w:r>
          </w:p>
        </w:tc>
        <w:tc>
          <w:tcPr>
            <w:tcW w:w="76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品牌</w:t>
            </w:r>
          </w:p>
        </w:tc>
        <w:tc>
          <w:tcPr>
            <w:tcW w:w="1991"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型号</w:t>
            </w:r>
          </w:p>
        </w:tc>
      </w:tr>
      <w:tr>
        <w:tblPrEx>
          <w:tblCellMar>
            <w:top w:w="0" w:type="dxa"/>
            <w:left w:w="108" w:type="dxa"/>
            <w:bottom w:w="0" w:type="dxa"/>
            <w:right w:w="108" w:type="dxa"/>
          </w:tblCellMar>
        </w:tblPrEx>
        <w:trPr>
          <w:trHeight w:val="31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测试库存储</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Dell</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Dell MD3600F</w:t>
            </w:r>
          </w:p>
        </w:tc>
      </w:tr>
      <w:tr>
        <w:tblPrEx>
          <w:tblCellMar>
            <w:top w:w="0" w:type="dxa"/>
            <w:left w:w="108" w:type="dxa"/>
            <w:bottom w:w="0" w:type="dxa"/>
            <w:right w:w="108" w:type="dxa"/>
          </w:tblCellMar>
        </w:tblPrEx>
        <w:trPr>
          <w:trHeight w:val="31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省公共就业前置机</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Dell</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Dell Poweredge R520</w:t>
            </w:r>
          </w:p>
        </w:tc>
      </w:tr>
      <w:tr>
        <w:tblPrEx>
          <w:tblCellMar>
            <w:top w:w="0" w:type="dxa"/>
            <w:left w:w="108" w:type="dxa"/>
            <w:bottom w:w="0" w:type="dxa"/>
            <w:right w:w="108" w:type="dxa"/>
          </w:tblCellMar>
        </w:tblPrEx>
        <w:trPr>
          <w:trHeight w:val="28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虚拟化服务器</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Dell</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Dell Poweredge R720</w:t>
            </w:r>
          </w:p>
        </w:tc>
      </w:tr>
      <w:tr>
        <w:tblPrEx>
          <w:tblCellMar>
            <w:top w:w="0" w:type="dxa"/>
            <w:left w:w="108" w:type="dxa"/>
            <w:bottom w:w="0" w:type="dxa"/>
            <w:right w:w="108" w:type="dxa"/>
          </w:tblCellMar>
        </w:tblPrEx>
        <w:trPr>
          <w:trHeight w:val="28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虚拟化服务器</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Dell</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Dell Poweredge R720</w:t>
            </w:r>
          </w:p>
        </w:tc>
      </w:tr>
      <w:tr>
        <w:tblPrEx>
          <w:tblCellMar>
            <w:top w:w="0" w:type="dxa"/>
            <w:left w:w="108" w:type="dxa"/>
            <w:bottom w:w="0" w:type="dxa"/>
            <w:right w:w="108" w:type="dxa"/>
          </w:tblCellMar>
        </w:tblPrEx>
        <w:trPr>
          <w:trHeight w:val="28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虚拟化服务器</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Dell</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Dell Poweredge R720</w:t>
            </w:r>
          </w:p>
        </w:tc>
      </w:tr>
      <w:tr>
        <w:tblPrEx>
          <w:tblCellMar>
            <w:top w:w="0" w:type="dxa"/>
            <w:left w:w="108" w:type="dxa"/>
            <w:bottom w:w="0" w:type="dxa"/>
            <w:right w:w="108" w:type="dxa"/>
          </w:tblCellMar>
        </w:tblPrEx>
        <w:trPr>
          <w:trHeight w:val="28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服务器</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Dell</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Dell Poweredge R820</w:t>
            </w:r>
          </w:p>
        </w:tc>
      </w:tr>
      <w:tr>
        <w:tblPrEx>
          <w:tblCellMar>
            <w:top w:w="0" w:type="dxa"/>
            <w:left w:w="108" w:type="dxa"/>
            <w:bottom w:w="0" w:type="dxa"/>
            <w:right w:w="108" w:type="dxa"/>
          </w:tblCellMar>
        </w:tblPrEx>
        <w:trPr>
          <w:trHeight w:val="36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存储</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Dell EMC</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Dell EMC SC7020F</w:t>
            </w:r>
          </w:p>
        </w:tc>
      </w:tr>
      <w:tr>
        <w:tblPrEx>
          <w:tblCellMar>
            <w:top w:w="0" w:type="dxa"/>
            <w:left w:w="108" w:type="dxa"/>
            <w:bottom w:w="0" w:type="dxa"/>
            <w:right w:w="108" w:type="dxa"/>
          </w:tblCellMar>
        </w:tblPrEx>
        <w:trPr>
          <w:trHeight w:val="36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数据汇聚库服务器2</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HPE</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DL580G9</w:t>
            </w:r>
          </w:p>
        </w:tc>
      </w:tr>
      <w:tr>
        <w:tblPrEx>
          <w:tblCellMar>
            <w:top w:w="0" w:type="dxa"/>
            <w:left w:w="108" w:type="dxa"/>
            <w:bottom w:w="0" w:type="dxa"/>
            <w:right w:w="108" w:type="dxa"/>
          </w:tblCellMar>
        </w:tblPrEx>
        <w:trPr>
          <w:trHeight w:val="30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数据汇聚库服务器1</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HPE</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DL580G9</w:t>
            </w:r>
          </w:p>
        </w:tc>
      </w:tr>
      <w:tr>
        <w:tblPrEx>
          <w:tblCellMar>
            <w:top w:w="0" w:type="dxa"/>
            <w:left w:w="108" w:type="dxa"/>
            <w:bottom w:w="0" w:type="dxa"/>
            <w:right w:w="108" w:type="dxa"/>
          </w:tblCellMar>
        </w:tblPrEx>
        <w:trPr>
          <w:trHeight w:val="28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五险库主存储</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EMC</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EMC Unity 300</w:t>
            </w:r>
          </w:p>
        </w:tc>
      </w:tr>
      <w:tr>
        <w:tblPrEx>
          <w:tblCellMar>
            <w:top w:w="0" w:type="dxa"/>
            <w:left w:w="108" w:type="dxa"/>
            <w:bottom w:w="0" w:type="dxa"/>
            <w:right w:w="108" w:type="dxa"/>
          </w:tblCellMar>
        </w:tblPrEx>
        <w:trPr>
          <w:trHeight w:val="28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五险库镜像存储</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EMC</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EMC Unity 500</w:t>
            </w:r>
          </w:p>
        </w:tc>
      </w:tr>
      <w:tr>
        <w:tblPrEx>
          <w:tblCellMar>
            <w:top w:w="0" w:type="dxa"/>
            <w:left w:w="108" w:type="dxa"/>
            <w:bottom w:w="0" w:type="dxa"/>
            <w:right w:w="108" w:type="dxa"/>
          </w:tblCellMar>
        </w:tblPrEx>
        <w:trPr>
          <w:trHeight w:val="28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就业数据存储</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EMC</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EMC VNX5200</w:t>
            </w:r>
          </w:p>
        </w:tc>
      </w:tr>
      <w:tr>
        <w:tblPrEx>
          <w:tblCellMar>
            <w:top w:w="0" w:type="dxa"/>
            <w:left w:w="108" w:type="dxa"/>
            <w:bottom w:w="0" w:type="dxa"/>
            <w:right w:w="108" w:type="dxa"/>
          </w:tblCellMar>
        </w:tblPrEx>
        <w:trPr>
          <w:trHeight w:val="28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虚拟化存储</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EMC</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EMC VNX5400</w:t>
            </w:r>
          </w:p>
        </w:tc>
      </w:tr>
      <w:tr>
        <w:tblPrEx>
          <w:tblCellMar>
            <w:top w:w="0" w:type="dxa"/>
            <w:left w:w="108" w:type="dxa"/>
            <w:bottom w:w="0" w:type="dxa"/>
            <w:right w:w="108" w:type="dxa"/>
          </w:tblCellMar>
        </w:tblPrEx>
        <w:trPr>
          <w:trHeight w:val="28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存储网关</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EMC</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EMC VPLEX</w:t>
            </w:r>
          </w:p>
        </w:tc>
      </w:tr>
      <w:tr>
        <w:tblPrEx>
          <w:tblCellMar>
            <w:top w:w="0" w:type="dxa"/>
            <w:left w:w="108" w:type="dxa"/>
            <w:bottom w:w="0" w:type="dxa"/>
            <w:right w:w="108" w:type="dxa"/>
          </w:tblCellMar>
        </w:tblPrEx>
        <w:trPr>
          <w:trHeight w:val="28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就业应用服务器</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HP</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HP DL380G7</w:t>
            </w:r>
          </w:p>
        </w:tc>
      </w:tr>
      <w:tr>
        <w:tblPrEx>
          <w:tblCellMar>
            <w:top w:w="0" w:type="dxa"/>
            <w:left w:w="108" w:type="dxa"/>
            <w:bottom w:w="0" w:type="dxa"/>
            <w:right w:w="108" w:type="dxa"/>
          </w:tblCellMar>
        </w:tblPrEx>
        <w:trPr>
          <w:trHeight w:val="28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迪普自安全交换机管理平台</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HP</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HP DL580G7</w:t>
            </w:r>
          </w:p>
        </w:tc>
      </w:tr>
      <w:tr>
        <w:tblPrEx>
          <w:tblCellMar>
            <w:top w:w="0" w:type="dxa"/>
            <w:left w:w="108" w:type="dxa"/>
            <w:bottom w:w="0" w:type="dxa"/>
            <w:right w:w="108" w:type="dxa"/>
          </w:tblCellMar>
        </w:tblPrEx>
        <w:trPr>
          <w:trHeight w:val="28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桌面云服务器3</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HPE</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HPE DL380 G9</w:t>
            </w:r>
          </w:p>
        </w:tc>
      </w:tr>
      <w:tr>
        <w:tblPrEx>
          <w:tblCellMar>
            <w:top w:w="0" w:type="dxa"/>
            <w:left w:w="108" w:type="dxa"/>
            <w:bottom w:w="0" w:type="dxa"/>
            <w:right w:w="108" w:type="dxa"/>
          </w:tblCellMar>
        </w:tblPrEx>
        <w:trPr>
          <w:trHeight w:val="28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桌面云服务器2</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HPE</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HPE DL380 G9</w:t>
            </w:r>
          </w:p>
        </w:tc>
      </w:tr>
      <w:tr>
        <w:tblPrEx>
          <w:tblCellMar>
            <w:top w:w="0" w:type="dxa"/>
            <w:left w:w="108" w:type="dxa"/>
            <w:bottom w:w="0" w:type="dxa"/>
            <w:right w:w="108" w:type="dxa"/>
          </w:tblCellMar>
        </w:tblPrEx>
        <w:trPr>
          <w:trHeight w:val="28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桌面云服务器1</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HPE</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HPE DL380 G9</w:t>
            </w:r>
          </w:p>
        </w:tc>
      </w:tr>
      <w:tr>
        <w:tblPrEx>
          <w:tblCellMar>
            <w:top w:w="0" w:type="dxa"/>
            <w:left w:w="108" w:type="dxa"/>
            <w:bottom w:w="0" w:type="dxa"/>
            <w:right w:w="108" w:type="dxa"/>
          </w:tblCellMar>
        </w:tblPrEx>
        <w:trPr>
          <w:trHeight w:val="28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数据汇聚库存储</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Huawei</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Huawei OceanStor 5300v3</w:t>
            </w:r>
          </w:p>
        </w:tc>
      </w:tr>
      <w:tr>
        <w:tblPrEx>
          <w:tblCellMar>
            <w:top w:w="0" w:type="dxa"/>
            <w:left w:w="108" w:type="dxa"/>
            <w:bottom w:w="0" w:type="dxa"/>
            <w:right w:w="108" w:type="dxa"/>
          </w:tblCellMar>
        </w:tblPrEx>
        <w:trPr>
          <w:trHeight w:val="28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五险数据库服务器2</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IBM</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IBM P740</w:t>
            </w:r>
          </w:p>
        </w:tc>
      </w:tr>
      <w:tr>
        <w:tblPrEx>
          <w:tblCellMar>
            <w:top w:w="0" w:type="dxa"/>
            <w:left w:w="108" w:type="dxa"/>
            <w:bottom w:w="0" w:type="dxa"/>
            <w:right w:w="108" w:type="dxa"/>
          </w:tblCellMar>
        </w:tblPrEx>
        <w:trPr>
          <w:trHeight w:val="28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五险数据库服务器1</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IBM</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IBM P740</w:t>
            </w:r>
          </w:p>
        </w:tc>
      </w:tr>
      <w:tr>
        <w:tblPrEx>
          <w:tblCellMar>
            <w:top w:w="0" w:type="dxa"/>
            <w:left w:w="108" w:type="dxa"/>
            <w:bottom w:w="0" w:type="dxa"/>
            <w:right w:w="108" w:type="dxa"/>
          </w:tblCellMar>
        </w:tblPrEx>
        <w:trPr>
          <w:trHeight w:val="28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社保用友服务器</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IBM</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IBM X3650 M2</w:t>
            </w:r>
          </w:p>
        </w:tc>
      </w:tr>
      <w:tr>
        <w:tblPrEx>
          <w:tblCellMar>
            <w:top w:w="0" w:type="dxa"/>
            <w:left w:w="108" w:type="dxa"/>
            <w:bottom w:w="0" w:type="dxa"/>
            <w:right w:w="108" w:type="dxa"/>
          </w:tblCellMar>
        </w:tblPrEx>
        <w:trPr>
          <w:trHeight w:val="28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业务测试服务器</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IBM</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IBM X3650 M3</w:t>
            </w:r>
          </w:p>
        </w:tc>
      </w:tr>
      <w:tr>
        <w:tblPrEx>
          <w:tblCellMar>
            <w:top w:w="0" w:type="dxa"/>
            <w:left w:w="108" w:type="dxa"/>
            <w:bottom w:w="0" w:type="dxa"/>
            <w:right w:w="108" w:type="dxa"/>
          </w:tblCellMar>
        </w:tblPrEx>
        <w:trPr>
          <w:trHeight w:val="28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医保用友服务器</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IBM</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IBM X3650 M3 </w:t>
            </w:r>
          </w:p>
        </w:tc>
      </w:tr>
      <w:tr>
        <w:tblPrEx>
          <w:tblCellMar>
            <w:top w:w="0" w:type="dxa"/>
            <w:left w:w="108" w:type="dxa"/>
            <w:bottom w:w="0" w:type="dxa"/>
            <w:right w:w="108" w:type="dxa"/>
          </w:tblCellMar>
        </w:tblPrEx>
        <w:trPr>
          <w:trHeight w:val="28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26</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就业数据库服务器1</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IBM</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IBM X3850 X5</w:t>
            </w:r>
          </w:p>
        </w:tc>
      </w:tr>
      <w:tr>
        <w:tblPrEx>
          <w:tblCellMar>
            <w:top w:w="0" w:type="dxa"/>
            <w:left w:w="108" w:type="dxa"/>
            <w:bottom w:w="0" w:type="dxa"/>
            <w:right w:w="108" w:type="dxa"/>
          </w:tblCellMar>
        </w:tblPrEx>
        <w:trPr>
          <w:trHeight w:val="28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27</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就业数据库服务器2</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IBM</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IBM X3850 X5</w:t>
            </w:r>
          </w:p>
        </w:tc>
      </w:tr>
      <w:tr>
        <w:tblPrEx>
          <w:tblCellMar>
            <w:top w:w="0" w:type="dxa"/>
            <w:left w:w="108" w:type="dxa"/>
            <w:bottom w:w="0" w:type="dxa"/>
            <w:right w:w="108" w:type="dxa"/>
          </w:tblCellMar>
        </w:tblPrEx>
        <w:trPr>
          <w:trHeight w:val="28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28</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虚拟化服务器</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IBM</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IBM X3850 X5</w:t>
            </w:r>
          </w:p>
        </w:tc>
      </w:tr>
      <w:tr>
        <w:tblPrEx>
          <w:tblCellMar>
            <w:top w:w="0" w:type="dxa"/>
            <w:left w:w="108" w:type="dxa"/>
            <w:bottom w:w="0" w:type="dxa"/>
            <w:right w:w="108" w:type="dxa"/>
          </w:tblCellMar>
        </w:tblPrEx>
        <w:trPr>
          <w:trHeight w:val="28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29</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虚拟化服务器</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IBM</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IBM X3850 X5</w:t>
            </w:r>
          </w:p>
        </w:tc>
      </w:tr>
      <w:tr>
        <w:tblPrEx>
          <w:tblCellMar>
            <w:top w:w="0" w:type="dxa"/>
            <w:left w:w="108" w:type="dxa"/>
            <w:bottom w:w="0" w:type="dxa"/>
            <w:right w:w="108" w:type="dxa"/>
          </w:tblCellMar>
        </w:tblPrEx>
        <w:trPr>
          <w:trHeight w:val="28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就业存储</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HP </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MSA2000</w:t>
            </w:r>
          </w:p>
        </w:tc>
      </w:tr>
      <w:tr>
        <w:tblPrEx>
          <w:tblCellMar>
            <w:top w:w="0" w:type="dxa"/>
            <w:left w:w="108" w:type="dxa"/>
            <w:bottom w:w="0" w:type="dxa"/>
            <w:right w:w="108" w:type="dxa"/>
          </w:tblCellMar>
        </w:tblPrEx>
        <w:trPr>
          <w:trHeight w:val="280" w:hRule="atLeast"/>
        </w:trPr>
        <w:tc>
          <w:tcPr>
            <w:tcW w:w="6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16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应用服务器</w:t>
            </w:r>
          </w:p>
        </w:tc>
        <w:tc>
          <w:tcPr>
            <w:tcW w:w="7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DellEMC</w:t>
            </w:r>
          </w:p>
        </w:tc>
        <w:tc>
          <w:tcPr>
            <w:tcW w:w="199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R840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应用服务器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DellEMC</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R840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应用服务器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DellEMC</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R840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小型机管理平台HMC</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IBM</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x3550M3</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备份一体机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容错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容错 FTS8848</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备份一体机扩展柜</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容错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容错 FTS虚拟磁带库</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云桌面控制器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深信服</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深信服VDC2500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82" w:firstLineChars="200"/>
        <w:jc w:val="left"/>
        <w:textAlignment w:val="auto"/>
        <w:outlineLvl w:val="0"/>
        <w:rPr>
          <w:rFonts w:hint="eastAsia" w:ascii="宋体" w:hAnsi="宋体" w:eastAsia="宋体" w:cs="宋体"/>
          <w:b/>
          <w:color w:val="auto"/>
          <w:sz w:val="24"/>
          <w:szCs w:val="24"/>
          <w:highlight w:val="none"/>
          <w:lang w:val="en-US" w:eastAsia="zh-CN"/>
        </w:rPr>
      </w:pPr>
      <w:bookmarkStart w:id="38" w:name="_Toc15311"/>
      <w:r>
        <w:rPr>
          <w:rFonts w:hint="eastAsia" w:ascii="宋体" w:hAnsi="宋体" w:eastAsia="宋体" w:cs="宋体"/>
          <w:b/>
          <w:color w:val="auto"/>
          <w:sz w:val="24"/>
          <w:szCs w:val="24"/>
          <w:highlight w:val="none"/>
          <w:lang w:val="en-US" w:eastAsia="zh-CN"/>
        </w:rPr>
        <w:t>4.1.2. 网络安全类设备清单</w:t>
      </w:r>
      <w:bookmarkEnd w:id="38"/>
    </w:p>
    <w:tbl>
      <w:tblPr>
        <w:tblStyle w:val="26"/>
        <w:tblW w:w="5000" w:type="pct"/>
        <w:tblInd w:w="0" w:type="dxa"/>
        <w:tblLayout w:type="autofit"/>
        <w:tblCellMar>
          <w:top w:w="0" w:type="dxa"/>
          <w:left w:w="108" w:type="dxa"/>
          <w:bottom w:w="0" w:type="dxa"/>
          <w:right w:w="108" w:type="dxa"/>
        </w:tblCellMar>
      </w:tblPr>
      <w:tblGrid>
        <w:gridCol w:w="1082"/>
        <w:gridCol w:w="3580"/>
        <w:gridCol w:w="1382"/>
        <w:gridCol w:w="3810"/>
      </w:tblGrid>
      <w:tr>
        <w:tblPrEx>
          <w:tblCellMar>
            <w:top w:w="0" w:type="dxa"/>
            <w:left w:w="108" w:type="dxa"/>
            <w:bottom w:w="0" w:type="dxa"/>
            <w:right w:w="108" w:type="dxa"/>
          </w:tblCellMar>
        </w:tblPrEx>
        <w:trPr>
          <w:trHeight w:val="280" w:hRule="atLeast"/>
        </w:trPr>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序号</w:t>
            </w:r>
          </w:p>
        </w:tc>
        <w:tc>
          <w:tcPr>
            <w:tcW w:w="18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名称</w:t>
            </w:r>
          </w:p>
        </w:tc>
        <w:tc>
          <w:tcPr>
            <w:tcW w:w="7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品牌</w:t>
            </w:r>
          </w:p>
        </w:tc>
        <w:tc>
          <w:tcPr>
            <w:tcW w:w="19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型号</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网络边界感知</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远望信息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ABPS1700-HX1U</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灾备交换机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华为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CR2B0BKP0811</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路由器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H3C</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H3C ER5100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路由器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H3C</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H3C SR6602-X</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路由器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H3C</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H3C SR6602-X</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路由器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华为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HUAWEI-AR2220-S</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路由器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华为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HUAWEI-AR3200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路由器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华为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HUAWEI-AR3200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路由器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华为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Huawei-AR6300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路由器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华为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Huawei-AR6300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交换机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华为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Huawei-S12708</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交换机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华为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Huawei-S12708</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交换机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华为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HUAWEI-S2700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交换机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华为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HUAWEI-S2700S</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交换机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华为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HUAWEI-S2700S</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交换机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华为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HUAWEI-S3700S</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交换机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华为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HuaWei-s5700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交换机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华为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HuaWei-s5700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交换机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华为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HUAWEI-S5720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交换机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华为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HUAWEI-S5720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交换机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华为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HUAWEI-S5720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交换机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华为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HUAWEI-S5720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数据库审计</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浪潮</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Inspur-sdp1000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网闸</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网御星云</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Leadsec-NetGapSIS-3000-Z6101</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防火墙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网御星云</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Leadsec-Power_V-288</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防火墙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网御星云</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Leadsec-Power-V6000-F3600</w:t>
            </w:r>
          </w:p>
        </w:tc>
      </w:tr>
      <w:tr>
        <w:tblPrEx>
          <w:tblCellMar>
            <w:top w:w="0" w:type="dxa"/>
            <w:left w:w="108" w:type="dxa"/>
            <w:bottom w:w="0" w:type="dxa"/>
            <w:right w:w="108" w:type="dxa"/>
          </w:tblCellMar>
        </w:tblPrEx>
        <w:trPr>
          <w:trHeight w:val="663"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防火墙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网御星云</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Leadsec-Power-V6000-F3600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防火墙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网御星云</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Leadsec-V6000-F2680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防火墙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网御星云</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Leadsec-V6000-F2680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入侵防御系统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网御星云</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Leadsec-v6000-p3320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网络计入控制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远望信息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NACS3200-2H2X</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交换机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华为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Quidway s7706</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交换机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华为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Quidway s7706</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交换机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博达通信</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S3928C</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无线AP控制器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信锐</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SUNRRAY NAE 6100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POE交换机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信锐</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SUNRRAY RS3200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POE交换机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信锐</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SUNRRAY RS3200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POE交换机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信锐</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SUNRRAY RS3300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路由器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TPLINK</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TL-SF1048</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防火墙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天融信</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TOPSEC NGFW4000-UF TG-600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41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堡垒机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天融信</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Topsec TSAG-71114</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42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VPN交换机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华为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USG6550-AC</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43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广域网加速器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深信服</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W0C1150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44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WEB业务审计</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远望信息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WBAS1900-ZX1U</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45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漏扫</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启明星辰</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Style w:val="52"/>
                <w:rFonts w:hint="eastAsia" w:ascii="宋体" w:hAnsi="宋体" w:eastAsia="宋体" w:cs="宋体"/>
                <w:color w:val="auto"/>
                <w:sz w:val="24"/>
                <w:szCs w:val="24"/>
                <w:lang w:val="en-US" w:eastAsia="zh-CN" w:bidi="ar"/>
              </w:rPr>
              <w:t>启明星辰</w:t>
            </w:r>
            <w:r>
              <w:rPr>
                <w:rStyle w:val="53"/>
                <w:rFonts w:hint="eastAsia" w:ascii="宋体" w:hAnsi="宋体" w:eastAsia="宋体" w:cs="宋体"/>
                <w:color w:val="auto"/>
                <w:sz w:val="24"/>
                <w:szCs w:val="24"/>
                <w:lang w:val="en-US" w:eastAsia="zh-CN" w:bidi="ar"/>
              </w:rPr>
              <w:t>CSNS-H2</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46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准入</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奇安信</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天擎</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47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日志审计系统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网神</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Style w:val="54"/>
                <w:rFonts w:hint="eastAsia" w:ascii="宋体" w:hAnsi="宋体" w:eastAsia="宋体" w:cs="宋体"/>
                <w:color w:val="auto"/>
                <w:sz w:val="24"/>
                <w:szCs w:val="24"/>
                <w:lang w:val="en-US" w:eastAsia="zh-CN" w:bidi="ar"/>
              </w:rPr>
              <w:t>网神secfox  M5000-SNI</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48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防火墙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网神</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网神SECGATE3600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49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防火墙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网神</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网神secgate3600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防火墙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网神</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网神secgate3600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网闸</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网御星云</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网神secsis3600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防火墙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网神</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网神Secworld NSG3600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防火墙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网神</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网神Secworld NSG3600</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就业存储光交</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Brocade</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Brocade 300B</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光交Brocade_300B_2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Brocade</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Brocade 300B</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光交Brocade_300B_1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Brocade</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Brocade 300B</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光交Brocade 6505B_2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Brocade</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Brocade 6505B</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光交Brocade 6505B_1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Brocade</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Brocade 6505B</w:t>
            </w:r>
          </w:p>
        </w:tc>
      </w:tr>
    </w:tbl>
    <w:p>
      <w:pPr>
        <w:pStyle w:val="51"/>
        <w:pageBreakBefore w:val="0"/>
        <w:kinsoku/>
        <w:wordWrap/>
        <w:overflowPunct/>
        <w:topLinePunct w:val="0"/>
        <w:autoSpaceDE/>
        <w:autoSpaceDN/>
        <w:bidi w:val="0"/>
        <w:spacing w:line="440" w:lineRule="exact"/>
        <w:ind w:left="0" w:firstLine="482" w:firstLineChars="200"/>
        <w:jc w:val="left"/>
        <w:rPr>
          <w:rFonts w:hint="eastAsia" w:ascii="宋体" w:hAnsi="宋体" w:eastAsia="宋体" w:cs="宋体"/>
          <w:b/>
          <w:color w:val="auto"/>
          <w:sz w:val="24"/>
          <w:szCs w:val="24"/>
          <w:highlight w:val="none"/>
          <w:u w:val="double"/>
        </w:rPr>
      </w:pPr>
      <w:r>
        <w:rPr>
          <w:rFonts w:hint="eastAsia" w:ascii="宋体" w:hAnsi="宋体" w:eastAsia="宋体" w:cs="宋体"/>
          <w:b/>
          <w:color w:val="auto"/>
          <w:sz w:val="24"/>
          <w:szCs w:val="24"/>
          <w:highlight w:val="none"/>
          <w:u w:val="double"/>
        </w:rPr>
        <w:t>注：设备清单还包含维护期内新增设备和机房内未列入表格内的其他设备，但机房中的消防设备除外。</w:t>
      </w:r>
    </w:p>
    <w:p>
      <w:pPr>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82" w:firstLineChars="200"/>
        <w:jc w:val="left"/>
        <w:textAlignment w:val="auto"/>
        <w:outlineLvl w:val="0"/>
        <w:rPr>
          <w:rFonts w:hint="eastAsia" w:ascii="宋体" w:hAnsi="宋体" w:eastAsia="宋体" w:cs="宋体"/>
          <w:b/>
          <w:color w:val="auto"/>
          <w:sz w:val="24"/>
          <w:szCs w:val="24"/>
          <w:highlight w:val="none"/>
          <w:lang w:val="en-US" w:eastAsia="zh-CN"/>
        </w:rPr>
      </w:pPr>
      <w:bookmarkStart w:id="39" w:name="_Toc31026"/>
      <w:r>
        <w:rPr>
          <w:rFonts w:hint="eastAsia" w:ascii="宋体" w:hAnsi="宋体" w:eastAsia="宋体" w:cs="宋体"/>
          <w:b/>
          <w:color w:val="auto"/>
          <w:sz w:val="24"/>
          <w:szCs w:val="24"/>
          <w:highlight w:val="none"/>
          <w:lang w:val="en-US" w:eastAsia="zh-CN"/>
        </w:rPr>
        <w:t>（五）系统运行平台维护服务内容</w:t>
      </w:r>
      <w:bookmarkEnd w:id="39"/>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本项目为服务体系建设类项目，将提供所涉及的硬件质保维护服务内容如下：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82" w:firstLineChars="200"/>
        <w:jc w:val="left"/>
        <w:textAlignment w:val="auto"/>
        <w:outlineLvl w:val="0"/>
        <w:rPr>
          <w:rFonts w:hint="eastAsia" w:ascii="宋体" w:hAnsi="宋体" w:eastAsia="宋体" w:cs="宋体"/>
          <w:b/>
          <w:color w:val="auto"/>
          <w:sz w:val="24"/>
          <w:szCs w:val="24"/>
          <w:highlight w:val="none"/>
          <w:lang w:val="en-US" w:eastAsia="zh-CN"/>
        </w:rPr>
      </w:pPr>
      <w:bookmarkStart w:id="40" w:name="_Toc13067958"/>
      <w:bookmarkStart w:id="41" w:name="_Toc2838"/>
      <w:r>
        <w:rPr>
          <w:rFonts w:hint="eastAsia" w:ascii="宋体" w:hAnsi="宋体" w:eastAsia="宋体" w:cs="宋体"/>
          <w:b/>
          <w:color w:val="auto"/>
          <w:sz w:val="24"/>
          <w:szCs w:val="24"/>
          <w:highlight w:val="none"/>
          <w:lang w:val="en-US" w:eastAsia="zh-CN"/>
        </w:rPr>
        <w:t>5.1集成运维工作一览表</w:t>
      </w:r>
      <w:bookmarkEnd w:id="40"/>
      <w:bookmarkEnd w:id="41"/>
    </w:p>
    <w:tbl>
      <w:tblPr>
        <w:tblStyle w:val="26"/>
        <w:tblW w:w="5000" w:type="pct"/>
        <w:tblInd w:w="0" w:type="dxa"/>
        <w:tblLayout w:type="autofit"/>
        <w:tblCellMar>
          <w:top w:w="0" w:type="dxa"/>
          <w:left w:w="108" w:type="dxa"/>
          <w:bottom w:w="0" w:type="dxa"/>
          <w:right w:w="108" w:type="dxa"/>
        </w:tblCellMar>
      </w:tblPr>
      <w:tblGrid>
        <w:gridCol w:w="537"/>
        <w:gridCol w:w="903"/>
        <w:gridCol w:w="1550"/>
        <w:gridCol w:w="1765"/>
        <w:gridCol w:w="5099"/>
      </w:tblGrid>
      <w:tr>
        <w:tblPrEx>
          <w:tblCellMar>
            <w:top w:w="0" w:type="dxa"/>
            <w:left w:w="108" w:type="dxa"/>
            <w:bottom w:w="0" w:type="dxa"/>
            <w:right w:w="108" w:type="dxa"/>
          </w:tblCellMar>
        </w:tblPrEx>
        <w:trPr>
          <w:trHeight w:val="360" w:hRule="atLeast"/>
        </w:trPr>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45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服务对象</w:t>
            </w:r>
          </w:p>
        </w:tc>
        <w:tc>
          <w:tcPr>
            <w:tcW w:w="78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设备种类</w:t>
            </w:r>
          </w:p>
        </w:tc>
        <w:tc>
          <w:tcPr>
            <w:tcW w:w="89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服务名称</w:t>
            </w:r>
          </w:p>
        </w:tc>
        <w:tc>
          <w:tcPr>
            <w:tcW w:w="258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具体内容</w:t>
            </w:r>
          </w:p>
        </w:tc>
      </w:tr>
      <w:tr>
        <w:tblPrEx>
          <w:tblCellMar>
            <w:top w:w="0" w:type="dxa"/>
            <w:left w:w="108" w:type="dxa"/>
            <w:bottom w:w="0" w:type="dxa"/>
            <w:right w:w="108" w:type="dxa"/>
          </w:tblCellMar>
        </w:tblPrEx>
        <w:trPr>
          <w:trHeight w:val="690" w:hRule="atLeast"/>
        </w:trPr>
        <w:tc>
          <w:tcPr>
            <w:tcW w:w="27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8"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数据库主机</w:t>
            </w:r>
          </w:p>
        </w:tc>
        <w:tc>
          <w:tcPr>
            <w:tcW w:w="786"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小型机</w:t>
            </w:r>
          </w:p>
        </w:tc>
        <w:tc>
          <w:tcPr>
            <w:tcW w:w="89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操作系统维护服务</w:t>
            </w:r>
          </w:p>
        </w:tc>
        <w:tc>
          <w:tcPr>
            <w:tcW w:w="258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1、故障诊断2、技术咨询 3、磁盘空间维护 4、日志维护 5、小版本补丁安装  6、简单产品部署  7、资源使用情况 8、网络连接情况</w:t>
            </w:r>
          </w:p>
        </w:tc>
      </w:tr>
      <w:tr>
        <w:tblPrEx>
          <w:tblCellMar>
            <w:top w:w="0" w:type="dxa"/>
            <w:left w:w="108" w:type="dxa"/>
            <w:bottom w:w="0" w:type="dxa"/>
            <w:right w:w="108" w:type="dxa"/>
          </w:tblCellMar>
        </w:tblPrEx>
        <w:trPr>
          <w:trHeight w:val="690" w:hRule="atLeast"/>
        </w:trPr>
        <w:tc>
          <w:tcPr>
            <w:tcW w:w="27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458"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786"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89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操作系统健康检查服务</w:t>
            </w:r>
          </w:p>
        </w:tc>
        <w:tc>
          <w:tcPr>
            <w:tcW w:w="258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1、运行状态检查2、日志检查 4、空间检查 5、硬件运行情况检查 6、资源使用情况 7、网络连接情况</w:t>
            </w:r>
          </w:p>
        </w:tc>
      </w:tr>
      <w:tr>
        <w:tblPrEx>
          <w:tblCellMar>
            <w:top w:w="0" w:type="dxa"/>
            <w:left w:w="108" w:type="dxa"/>
            <w:bottom w:w="0" w:type="dxa"/>
            <w:right w:w="108" w:type="dxa"/>
          </w:tblCellMar>
        </w:tblPrEx>
        <w:trPr>
          <w:trHeight w:val="690" w:hRule="atLeast"/>
        </w:trPr>
        <w:tc>
          <w:tcPr>
            <w:tcW w:w="27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58"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存储系统</w:t>
            </w:r>
          </w:p>
        </w:tc>
        <w:tc>
          <w:tcPr>
            <w:tcW w:w="786"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磁盘阵列、光纤交换机</w:t>
            </w:r>
          </w:p>
        </w:tc>
        <w:tc>
          <w:tcPr>
            <w:tcW w:w="89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磁盘阵列维护服务</w:t>
            </w:r>
          </w:p>
        </w:tc>
        <w:tc>
          <w:tcPr>
            <w:tcW w:w="258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1、故障诊断 2、技术咨询 3、LUN及空间维护 4、日志维护  5、简单产品部署  6、磁盘维护</w:t>
            </w:r>
          </w:p>
        </w:tc>
      </w:tr>
      <w:tr>
        <w:tblPrEx>
          <w:tblCellMar>
            <w:top w:w="0" w:type="dxa"/>
            <w:left w:w="108" w:type="dxa"/>
            <w:bottom w:w="0" w:type="dxa"/>
            <w:right w:w="108" w:type="dxa"/>
          </w:tblCellMar>
        </w:tblPrEx>
        <w:trPr>
          <w:trHeight w:val="345" w:hRule="atLeast"/>
        </w:trPr>
        <w:tc>
          <w:tcPr>
            <w:tcW w:w="27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458"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786"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89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磁盘阵列硬件健康检查服务</w:t>
            </w:r>
          </w:p>
        </w:tc>
        <w:tc>
          <w:tcPr>
            <w:tcW w:w="258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1、运行状态检查2、日志检查 4、空间检查 5、硬件运行情况检查</w:t>
            </w:r>
          </w:p>
        </w:tc>
      </w:tr>
      <w:tr>
        <w:tblPrEx>
          <w:tblCellMar>
            <w:top w:w="0" w:type="dxa"/>
            <w:left w:w="108" w:type="dxa"/>
            <w:bottom w:w="0" w:type="dxa"/>
            <w:right w:w="108" w:type="dxa"/>
          </w:tblCellMar>
        </w:tblPrEx>
        <w:trPr>
          <w:trHeight w:val="690" w:hRule="atLeast"/>
        </w:trPr>
        <w:tc>
          <w:tcPr>
            <w:tcW w:w="27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458"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786"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89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光纤交换机维护服务</w:t>
            </w:r>
          </w:p>
        </w:tc>
        <w:tc>
          <w:tcPr>
            <w:tcW w:w="258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1、故障诊断 2、技术咨询 3、ZONE维护 4、日志维护  5、简单产品部署</w:t>
            </w:r>
          </w:p>
        </w:tc>
      </w:tr>
      <w:tr>
        <w:trPr>
          <w:trHeight w:val="345" w:hRule="atLeast"/>
        </w:trPr>
        <w:tc>
          <w:tcPr>
            <w:tcW w:w="27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458"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786"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89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光纤交换机康检查服务</w:t>
            </w:r>
          </w:p>
        </w:tc>
        <w:tc>
          <w:tcPr>
            <w:tcW w:w="258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1、硬件运行状态检查  2、日志检查  3、接口状态检查  </w:t>
            </w:r>
          </w:p>
        </w:tc>
      </w:tr>
      <w:tr>
        <w:tblPrEx>
          <w:tblCellMar>
            <w:top w:w="0" w:type="dxa"/>
            <w:left w:w="108" w:type="dxa"/>
            <w:bottom w:w="0" w:type="dxa"/>
            <w:right w:w="108" w:type="dxa"/>
          </w:tblCellMar>
        </w:tblPrEx>
        <w:trPr>
          <w:trHeight w:val="690" w:hRule="atLeast"/>
        </w:trPr>
        <w:tc>
          <w:tcPr>
            <w:tcW w:w="27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458"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备份系统</w:t>
            </w:r>
          </w:p>
        </w:tc>
        <w:tc>
          <w:tcPr>
            <w:tcW w:w="786"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备份软件、备份一体机</w:t>
            </w:r>
          </w:p>
        </w:tc>
        <w:tc>
          <w:tcPr>
            <w:tcW w:w="89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备份软件维护服务</w:t>
            </w:r>
          </w:p>
        </w:tc>
        <w:tc>
          <w:tcPr>
            <w:tcW w:w="258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1、故障诊断2、技术咨询 3、备份空间维护 4、日志维护 5、小版本补丁安装 6、备份作业检查</w:t>
            </w:r>
          </w:p>
        </w:tc>
      </w:tr>
      <w:tr>
        <w:tblPrEx>
          <w:tblCellMar>
            <w:top w:w="0" w:type="dxa"/>
            <w:left w:w="108" w:type="dxa"/>
            <w:bottom w:w="0" w:type="dxa"/>
            <w:right w:w="108" w:type="dxa"/>
          </w:tblCellMar>
        </w:tblPrEx>
        <w:trPr>
          <w:trHeight w:val="345" w:hRule="atLeast"/>
        </w:trPr>
        <w:tc>
          <w:tcPr>
            <w:tcW w:w="27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458"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786"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89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备份软件健康检查服务</w:t>
            </w:r>
          </w:p>
        </w:tc>
        <w:tc>
          <w:tcPr>
            <w:tcW w:w="258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1、运行状态检查2、日志检查 4、空间检查 5、备份情况检查 </w:t>
            </w:r>
          </w:p>
        </w:tc>
      </w:tr>
      <w:tr>
        <w:tblPrEx>
          <w:tblCellMar>
            <w:top w:w="0" w:type="dxa"/>
            <w:left w:w="108" w:type="dxa"/>
            <w:bottom w:w="0" w:type="dxa"/>
            <w:right w:w="108" w:type="dxa"/>
          </w:tblCellMar>
        </w:tblPrEx>
        <w:trPr>
          <w:trHeight w:val="690" w:hRule="atLeast"/>
        </w:trPr>
        <w:tc>
          <w:tcPr>
            <w:tcW w:w="27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458"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786"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89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备份一体机服务</w:t>
            </w:r>
          </w:p>
        </w:tc>
        <w:tc>
          <w:tcPr>
            <w:tcW w:w="258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1、故障诊断 2、技术咨询  3、驱动器维护  4、磁带空间维护 5、日志维护</w:t>
            </w:r>
          </w:p>
        </w:tc>
      </w:tr>
      <w:tr>
        <w:tblPrEx>
          <w:tblCellMar>
            <w:top w:w="0" w:type="dxa"/>
            <w:left w:w="108" w:type="dxa"/>
            <w:bottom w:w="0" w:type="dxa"/>
            <w:right w:w="108" w:type="dxa"/>
          </w:tblCellMar>
        </w:tblPrEx>
        <w:trPr>
          <w:trHeight w:val="345" w:hRule="atLeast"/>
        </w:trPr>
        <w:tc>
          <w:tcPr>
            <w:tcW w:w="27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458"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786"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89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备份一体机健康检查服务</w:t>
            </w:r>
          </w:p>
        </w:tc>
        <w:tc>
          <w:tcPr>
            <w:tcW w:w="258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1、硬件运行状态检查  2、日志检查  3、空间检查 4、驱动器检查</w:t>
            </w:r>
          </w:p>
        </w:tc>
      </w:tr>
      <w:tr>
        <w:tblPrEx>
          <w:tblCellMar>
            <w:top w:w="0" w:type="dxa"/>
            <w:left w:w="108" w:type="dxa"/>
            <w:bottom w:w="0" w:type="dxa"/>
            <w:right w:w="108" w:type="dxa"/>
          </w:tblCellMar>
        </w:tblPrEx>
        <w:trPr>
          <w:trHeight w:val="690" w:hRule="atLeast"/>
        </w:trPr>
        <w:tc>
          <w:tcPr>
            <w:tcW w:w="27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458"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786"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89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物理带库维护服务</w:t>
            </w:r>
          </w:p>
        </w:tc>
        <w:tc>
          <w:tcPr>
            <w:tcW w:w="258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1、故障诊断 2、技术咨询  3、驱动臂维护  4、磁带介质维护 5、日志维护</w:t>
            </w:r>
          </w:p>
        </w:tc>
      </w:tr>
      <w:tr>
        <w:tblPrEx>
          <w:tblCellMar>
            <w:top w:w="0" w:type="dxa"/>
            <w:left w:w="108" w:type="dxa"/>
            <w:bottom w:w="0" w:type="dxa"/>
            <w:right w:w="108" w:type="dxa"/>
          </w:tblCellMar>
        </w:tblPrEx>
        <w:trPr>
          <w:trHeight w:val="345" w:hRule="atLeast"/>
        </w:trPr>
        <w:tc>
          <w:tcPr>
            <w:tcW w:w="27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458"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786"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89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物理带库健康检查服务</w:t>
            </w:r>
          </w:p>
        </w:tc>
        <w:tc>
          <w:tcPr>
            <w:tcW w:w="258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1、硬件运行状态检查  2、日志检查  3、磁带检查 4、驱动臂检查</w:t>
            </w:r>
          </w:p>
        </w:tc>
      </w:tr>
      <w:tr>
        <w:tblPrEx>
          <w:tblCellMar>
            <w:top w:w="0" w:type="dxa"/>
            <w:left w:w="108" w:type="dxa"/>
            <w:bottom w:w="0" w:type="dxa"/>
            <w:right w:w="108" w:type="dxa"/>
          </w:tblCellMar>
        </w:tblPrEx>
        <w:trPr>
          <w:trHeight w:val="690" w:hRule="atLeast"/>
        </w:trPr>
        <w:tc>
          <w:tcPr>
            <w:tcW w:w="27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458"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应用服务器系统</w:t>
            </w:r>
          </w:p>
        </w:tc>
        <w:tc>
          <w:tcPr>
            <w:tcW w:w="786"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各种服务器</w:t>
            </w:r>
          </w:p>
        </w:tc>
        <w:tc>
          <w:tcPr>
            <w:tcW w:w="89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服务器操作系统维护服务</w:t>
            </w:r>
          </w:p>
        </w:tc>
        <w:tc>
          <w:tcPr>
            <w:tcW w:w="258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1、故障诊断  2、技术咨询 3、日志检查 4、磁盘空间维护 5、小版本补丁安装  6、简单产品部署  7、资源使用情况 8、网络连接情况</w:t>
            </w:r>
          </w:p>
        </w:tc>
      </w:tr>
      <w:tr>
        <w:tblPrEx>
          <w:tblCellMar>
            <w:top w:w="0" w:type="dxa"/>
            <w:left w:w="108" w:type="dxa"/>
            <w:bottom w:w="0" w:type="dxa"/>
            <w:right w:w="108" w:type="dxa"/>
          </w:tblCellMar>
        </w:tblPrEx>
        <w:trPr>
          <w:trHeight w:val="690" w:hRule="atLeast"/>
        </w:trPr>
        <w:tc>
          <w:tcPr>
            <w:tcW w:w="27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458"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786"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89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服务器健康检查服务</w:t>
            </w:r>
          </w:p>
        </w:tc>
        <w:tc>
          <w:tcPr>
            <w:tcW w:w="258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1、运行状态检查2、日志检查 4、空间检查 5、硬件运行情况检查 6、资源使用情况 7、网络连接情况</w:t>
            </w:r>
          </w:p>
        </w:tc>
      </w:tr>
      <w:tr>
        <w:tblPrEx>
          <w:tblCellMar>
            <w:top w:w="0" w:type="dxa"/>
            <w:left w:w="108" w:type="dxa"/>
            <w:bottom w:w="0" w:type="dxa"/>
            <w:right w:w="108" w:type="dxa"/>
          </w:tblCellMar>
        </w:tblPrEx>
        <w:trPr>
          <w:trHeight w:val="690" w:hRule="atLeast"/>
        </w:trPr>
        <w:tc>
          <w:tcPr>
            <w:tcW w:w="27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458"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网络系统</w:t>
            </w:r>
          </w:p>
        </w:tc>
        <w:tc>
          <w:tcPr>
            <w:tcW w:w="786"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各种类型网络交换机、路由器</w:t>
            </w:r>
          </w:p>
        </w:tc>
        <w:tc>
          <w:tcPr>
            <w:tcW w:w="89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网络设备操作系统维护服务</w:t>
            </w:r>
          </w:p>
        </w:tc>
        <w:tc>
          <w:tcPr>
            <w:tcW w:w="258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1、故障诊断2、技术咨询 3、安全策略维护 4、日志维护 5、路由维护  6、简单产品部署</w:t>
            </w:r>
          </w:p>
        </w:tc>
      </w:tr>
      <w:tr>
        <w:tblPrEx>
          <w:tblCellMar>
            <w:top w:w="0" w:type="dxa"/>
            <w:left w:w="108" w:type="dxa"/>
            <w:bottom w:w="0" w:type="dxa"/>
            <w:right w:w="108" w:type="dxa"/>
          </w:tblCellMar>
        </w:tblPrEx>
        <w:trPr>
          <w:trHeight w:val="690" w:hRule="atLeast"/>
        </w:trPr>
        <w:tc>
          <w:tcPr>
            <w:tcW w:w="27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458"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786"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89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网络硬件健康检查服务</w:t>
            </w:r>
          </w:p>
        </w:tc>
        <w:tc>
          <w:tcPr>
            <w:tcW w:w="258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1、运行状态检查2、日志检查 4、策略、路由运行情况 5、硬件运行情况检查</w:t>
            </w:r>
          </w:p>
        </w:tc>
      </w:tr>
      <w:tr>
        <w:tblPrEx>
          <w:tblCellMar>
            <w:top w:w="0" w:type="dxa"/>
            <w:left w:w="108" w:type="dxa"/>
            <w:bottom w:w="0" w:type="dxa"/>
            <w:right w:w="108" w:type="dxa"/>
          </w:tblCellMar>
        </w:tblPrEx>
        <w:trPr>
          <w:trHeight w:val="1035" w:hRule="atLeast"/>
        </w:trPr>
        <w:tc>
          <w:tcPr>
            <w:tcW w:w="273" w:type="pct"/>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458" w:type="pct"/>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安全系统</w:t>
            </w:r>
          </w:p>
        </w:tc>
        <w:tc>
          <w:tcPr>
            <w:tcW w:w="786" w:type="pct"/>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安全产品</w:t>
            </w:r>
          </w:p>
        </w:tc>
        <w:tc>
          <w:tcPr>
            <w:tcW w:w="89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安全产品操作系统维护服务</w:t>
            </w:r>
          </w:p>
        </w:tc>
        <w:tc>
          <w:tcPr>
            <w:tcW w:w="258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1、网络安全产品性能检测  2、安全策略设置  3、检测及防护策略检查  4、操作（系统）日志  5、安全审计  6、系统用户安全性检测   7、系统及补丁升级</w:t>
            </w:r>
          </w:p>
        </w:tc>
      </w:tr>
      <w:tr>
        <w:tblPrEx>
          <w:tblCellMar>
            <w:top w:w="0" w:type="dxa"/>
            <w:left w:w="108" w:type="dxa"/>
            <w:bottom w:w="0" w:type="dxa"/>
            <w:right w:w="108" w:type="dxa"/>
          </w:tblCellMar>
        </w:tblPrEx>
        <w:trPr>
          <w:trHeight w:val="795" w:hRule="atLeast"/>
        </w:trPr>
        <w:tc>
          <w:tcPr>
            <w:tcW w:w="273"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458"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786"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89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安全产品硬件健康检查服务</w:t>
            </w:r>
          </w:p>
        </w:tc>
        <w:tc>
          <w:tcPr>
            <w:tcW w:w="258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1、网络安全产品硬件检测 （CPU,内存，硬盘等信息） 2、产品性能及特性检查  3、硬件运行情况检查</w:t>
            </w:r>
          </w:p>
        </w:tc>
      </w:tr>
      <w:tr>
        <w:tblPrEx>
          <w:tblCellMar>
            <w:top w:w="0" w:type="dxa"/>
            <w:left w:w="108" w:type="dxa"/>
            <w:bottom w:w="0" w:type="dxa"/>
            <w:right w:w="108" w:type="dxa"/>
          </w:tblCellMar>
        </w:tblPrEx>
        <w:trPr>
          <w:trHeight w:val="795" w:hRule="atLeast"/>
        </w:trPr>
        <w:tc>
          <w:tcPr>
            <w:tcW w:w="273"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458"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786"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89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病毒库、特征库定期更新</w:t>
            </w:r>
          </w:p>
        </w:tc>
        <w:tc>
          <w:tcPr>
            <w:tcW w:w="258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定期更新病毒库、特征库。</w:t>
            </w:r>
          </w:p>
        </w:tc>
      </w:tr>
      <w:tr>
        <w:tblPrEx>
          <w:tblCellMar>
            <w:top w:w="0" w:type="dxa"/>
            <w:left w:w="108" w:type="dxa"/>
            <w:bottom w:w="0" w:type="dxa"/>
            <w:right w:w="108" w:type="dxa"/>
          </w:tblCellMar>
        </w:tblPrEx>
        <w:trPr>
          <w:trHeight w:val="690" w:hRule="atLeast"/>
        </w:trPr>
        <w:tc>
          <w:tcPr>
            <w:tcW w:w="273"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458"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数据库</w:t>
            </w:r>
          </w:p>
        </w:tc>
        <w:tc>
          <w:tcPr>
            <w:tcW w:w="78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Oracle数据库</w:t>
            </w:r>
          </w:p>
        </w:tc>
        <w:tc>
          <w:tcPr>
            <w:tcW w:w="89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数据库维护服务</w:t>
            </w:r>
          </w:p>
        </w:tc>
        <w:tc>
          <w:tcPr>
            <w:tcW w:w="258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1、故障诊断2、技术咨询 3、表空间维护 4、日志维护 5、小版本补丁安装</w:t>
            </w:r>
          </w:p>
        </w:tc>
      </w:tr>
      <w:tr>
        <w:trPr>
          <w:trHeight w:val="690" w:hRule="atLeast"/>
        </w:trPr>
        <w:tc>
          <w:tcPr>
            <w:tcW w:w="273"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458"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78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p>
        </w:tc>
        <w:tc>
          <w:tcPr>
            <w:tcW w:w="89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数据库健康检查服务</w:t>
            </w:r>
          </w:p>
        </w:tc>
        <w:tc>
          <w:tcPr>
            <w:tcW w:w="258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1、运行状态检查2、日志检查 3、备份情况检查4、表空间检查 5、命中率检查 6、数据库读写及会话信息检查</w:t>
            </w:r>
          </w:p>
        </w:tc>
      </w:tr>
      <w:tr>
        <w:tblPrEx>
          <w:tblCellMar>
            <w:top w:w="0" w:type="dxa"/>
            <w:left w:w="108" w:type="dxa"/>
            <w:bottom w:w="0" w:type="dxa"/>
            <w:right w:w="108" w:type="dxa"/>
          </w:tblCellMar>
        </w:tblPrEx>
        <w:trPr>
          <w:trHeight w:val="690" w:hRule="atLeast"/>
        </w:trPr>
        <w:tc>
          <w:tcPr>
            <w:tcW w:w="2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4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中间件</w:t>
            </w:r>
          </w:p>
        </w:tc>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Tuxedo交易中间件、Weblogic中间件、Jboss中间件</w:t>
            </w:r>
          </w:p>
        </w:tc>
        <w:tc>
          <w:tcPr>
            <w:tcW w:w="89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中间件维护服务</w:t>
            </w:r>
          </w:p>
        </w:tc>
        <w:tc>
          <w:tcPr>
            <w:tcW w:w="258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1、故障诊断2、技术咨询 3、表空间维护 4、日志维护 5、小版本补丁安装</w:t>
            </w:r>
          </w:p>
        </w:tc>
      </w:tr>
      <w:tr>
        <w:tblPrEx>
          <w:tblCellMar>
            <w:top w:w="0" w:type="dxa"/>
            <w:left w:w="108" w:type="dxa"/>
            <w:bottom w:w="0" w:type="dxa"/>
            <w:right w:w="108" w:type="dxa"/>
          </w:tblCellMar>
        </w:tblPrEx>
        <w:trPr>
          <w:trHeight w:val="345" w:hRule="atLeast"/>
        </w:trPr>
        <w:tc>
          <w:tcPr>
            <w:tcW w:w="273" w:type="pct"/>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kern w:val="0"/>
                <w:sz w:val="24"/>
                <w:szCs w:val="24"/>
                <w:highlight w:val="none"/>
              </w:rPr>
            </w:pPr>
          </w:p>
        </w:tc>
        <w:tc>
          <w:tcPr>
            <w:tcW w:w="458" w:type="pct"/>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kern w:val="0"/>
                <w:sz w:val="24"/>
                <w:szCs w:val="24"/>
                <w:highlight w:val="none"/>
              </w:rPr>
            </w:pPr>
          </w:p>
        </w:tc>
        <w:tc>
          <w:tcPr>
            <w:tcW w:w="786" w:type="pct"/>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kern w:val="0"/>
                <w:sz w:val="24"/>
                <w:szCs w:val="24"/>
                <w:highlight w:val="none"/>
              </w:rPr>
            </w:pPr>
          </w:p>
        </w:tc>
        <w:tc>
          <w:tcPr>
            <w:tcW w:w="89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中间件健康检查服务</w:t>
            </w:r>
          </w:p>
        </w:tc>
        <w:tc>
          <w:tcPr>
            <w:tcW w:w="258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1、运行状态检查2、日志检查 3、空间检查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82" w:firstLineChars="200"/>
        <w:jc w:val="left"/>
        <w:textAlignment w:val="auto"/>
        <w:outlineLvl w:val="0"/>
        <w:rPr>
          <w:rFonts w:hint="eastAsia" w:ascii="宋体" w:hAnsi="宋体" w:eastAsia="宋体" w:cs="宋体"/>
          <w:b/>
          <w:color w:val="auto"/>
          <w:sz w:val="24"/>
          <w:szCs w:val="24"/>
          <w:highlight w:val="none"/>
          <w:lang w:val="en-US" w:eastAsia="zh-CN"/>
        </w:rPr>
      </w:pPr>
      <w:bookmarkStart w:id="42" w:name="_Toc27500"/>
      <w:r>
        <w:rPr>
          <w:rFonts w:hint="eastAsia" w:ascii="宋体" w:hAnsi="宋体" w:eastAsia="宋体" w:cs="宋体"/>
          <w:b/>
          <w:color w:val="auto"/>
          <w:sz w:val="24"/>
          <w:szCs w:val="24"/>
          <w:highlight w:val="none"/>
          <w:lang w:val="en-US" w:eastAsia="zh-CN"/>
        </w:rPr>
        <w:t>5.2基础维护</w:t>
      </w:r>
      <w:bookmarkEnd w:id="42"/>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日常维护：处理服务范围内产品的一般远程配置更改如网络的调整，数据库表空间调整等服务；</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故障诊断：处理服务范围内产品的故障诊断，恢复；检查、清理系统或软件 Error Log File；</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技术咨询：向诸暨</w:t>
      </w:r>
      <w:r>
        <w:rPr>
          <w:rFonts w:hint="eastAsia" w:ascii="宋体" w:hAnsi="宋体" w:eastAsia="宋体" w:cs="宋体"/>
          <w:color w:val="auto"/>
          <w:sz w:val="24"/>
          <w:szCs w:val="24"/>
          <w:highlight w:val="none"/>
          <w:lang w:val="en-US" w:eastAsia="zh-CN"/>
        </w:rPr>
        <w:t>人社</w:t>
      </w:r>
      <w:r>
        <w:rPr>
          <w:rFonts w:hint="eastAsia" w:ascii="宋体" w:hAnsi="宋体" w:eastAsia="宋体" w:cs="宋体"/>
          <w:color w:val="auto"/>
          <w:sz w:val="24"/>
          <w:szCs w:val="24"/>
          <w:highlight w:val="none"/>
        </w:rPr>
        <w:t>提供服务范围产品的性能分析及优化的整体解决方案。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82" w:firstLineChars="200"/>
        <w:jc w:val="left"/>
        <w:textAlignment w:val="auto"/>
        <w:outlineLvl w:val="0"/>
        <w:rPr>
          <w:rFonts w:hint="eastAsia" w:ascii="宋体" w:hAnsi="宋体" w:eastAsia="宋体" w:cs="宋体"/>
          <w:b/>
          <w:color w:val="auto"/>
          <w:sz w:val="24"/>
          <w:szCs w:val="24"/>
          <w:highlight w:val="none"/>
          <w:lang w:val="en-US" w:eastAsia="zh-CN"/>
        </w:rPr>
      </w:pPr>
      <w:bookmarkStart w:id="43" w:name="_Toc27604"/>
      <w:r>
        <w:rPr>
          <w:rFonts w:hint="eastAsia" w:ascii="宋体" w:hAnsi="宋体" w:eastAsia="宋体" w:cs="宋体"/>
          <w:b/>
          <w:color w:val="auto"/>
          <w:sz w:val="24"/>
          <w:szCs w:val="24"/>
          <w:highlight w:val="none"/>
          <w:lang w:val="en-US" w:eastAsia="zh-CN"/>
        </w:rPr>
        <w:t>5.3小型机维护服务</w:t>
      </w:r>
      <w:bookmarkEnd w:id="43"/>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服务器承载的应用系统故障，涉及服务器硬件配置和操作系统配置调整的。</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服务器承载的应用系统和数据库升级，涉及服务器硬件、操作系统和集群软件升级的。</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服务器承载的数据库系统和应用系统的迁移。</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服务器运行方式的调整。</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负责从设备原厂商下载更新系统软件合法版本，小版本补丁、系统补丁等。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82" w:firstLineChars="200"/>
        <w:jc w:val="left"/>
        <w:textAlignment w:val="auto"/>
        <w:outlineLvl w:val="0"/>
        <w:rPr>
          <w:rFonts w:hint="eastAsia" w:ascii="宋体" w:hAnsi="宋体" w:eastAsia="宋体" w:cs="宋体"/>
          <w:b/>
          <w:color w:val="auto"/>
          <w:sz w:val="24"/>
          <w:szCs w:val="24"/>
          <w:highlight w:val="none"/>
          <w:lang w:val="en-US" w:eastAsia="zh-CN"/>
        </w:rPr>
      </w:pPr>
      <w:bookmarkStart w:id="44" w:name="_Toc489286709"/>
      <w:bookmarkStart w:id="45" w:name="_Toc7185"/>
      <w:r>
        <w:rPr>
          <w:rFonts w:hint="eastAsia" w:ascii="宋体" w:hAnsi="宋体" w:eastAsia="宋体" w:cs="宋体"/>
          <w:b/>
          <w:color w:val="auto"/>
          <w:sz w:val="24"/>
          <w:szCs w:val="24"/>
          <w:highlight w:val="none"/>
          <w:lang w:val="en-US" w:eastAsia="zh-CN"/>
        </w:rPr>
        <w:t>5.4备份系统维护</w:t>
      </w:r>
      <w:bookmarkEnd w:id="44"/>
      <w:bookmarkEnd w:id="45"/>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期的远程监测和现场巡检监测，指派专业的技术人员，及时观察并处理备份系统的存在的故障与隐患，提供备份系统监测表格及时监测备份系统中各关键要素，对有变更的备份进行即时调整备份策略；并根据实际监测结果，提交详细的监测报告。</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对各应用系统数据库备份的发起时间与保留时间作合理规划，规范备份策略；同时完成对各个应用系统备份情况的监测，具体包括：</w:t>
      </w:r>
    </w:p>
    <w:p>
      <w:pPr>
        <w:pStyle w:val="51"/>
        <w:pageBreakBefore w:val="0"/>
        <w:numPr>
          <w:ilvl w:val="0"/>
          <w:numId w:val="6"/>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城乡居保、企退</w:t>
      </w:r>
      <w:r>
        <w:rPr>
          <w:rFonts w:hint="eastAsia" w:ascii="宋体" w:hAnsi="宋体" w:eastAsia="宋体" w:cs="宋体"/>
          <w:color w:val="auto"/>
          <w:sz w:val="24"/>
          <w:szCs w:val="24"/>
          <w:highlight w:val="none"/>
        </w:rPr>
        <w:t xml:space="preserve">系统 </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数据库备份完成情况、备份时间、数据增长量、归档日志大小、weblogic 配置文件备份检查、Weblogic 应用包及 license 备份检查。</w:t>
      </w:r>
    </w:p>
    <w:p>
      <w:pPr>
        <w:pStyle w:val="51"/>
        <w:pageBreakBefore w:val="0"/>
        <w:numPr>
          <w:ilvl w:val="0"/>
          <w:numId w:val="6"/>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交换库系统 </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数据库备份完成情况、备份时间、数据增长量、归档日志大小、jboss 应用包备份检查、jboss 配置文件备份检查。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82" w:firstLineChars="200"/>
        <w:jc w:val="left"/>
        <w:textAlignment w:val="auto"/>
        <w:outlineLvl w:val="0"/>
        <w:rPr>
          <w:rFonts w:hint="eastAsia" w:ascii="宋体" w:hAnsi="宋体" w:eastAsia="宋体" w:cs="宋体"/>
          <w:b/>
          <w:color w:val="auto"/>
          <w:sz w:val="24"/>
          <w:szCs w:val="24"/>
          <w:highlight w:val="none"/>
          <w:lang w:val="en-US" w:eastAsia="zh-CN"/>
        </w:rPr>
      </w:pPr>
      <w:bookmarkStart w:id="46" w:name="_Toc30193"/>
      <w:r>
        <w:rPr>
          <w:rFonts w:hint="eastAsia" w:ascii="宋体" w:hAnsi="宋体" w:eastAsia="宋体" w:cs="宋体"/>
          <w:b/>
          <w:color w:val="auto"/>
          <w:sz w:val="24"/>
          <w:szCs w:val="24"/>
          <w:highlight w:val="none"/>
          <w:lang w:val="en-US" w:eastAsia="zh-CN"/>
        </w:rPr>
        <w:t>5.5网络维护服务</w:t>
      </w:r>
      <w:bookmarkEnd w:id="46"/>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1)网络设备日志内容检查</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2)网络设备路由表检查</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3)网络设备配置命令检查</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4)网络设备各接口状态检查</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5)网络设备各操作系统检查</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6)网络设备告警情况检查</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7)网络设备表面温度检查</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8)网络设备接口卡指示灯状态</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9)网络设备引擎模块检查</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10)网络设备的配置调整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82" w:firstLineChars="200"/>
        <w:jc w:val="left"/>
        <w:textAlignment w:val="auto"/>
        <w:outlineLvl w:val="0"/>
        <w:rPr>
          <w:rFonts w:hint="eastAsia" w:ascii="宋体" w:hAnsi="宋体" w:eastAsia="宋体" w:cs="宋体"/>
          <w:b/>
          <w:color w:val="auto"/>
          <w:sz w:val="24"/>
          <w:szCs w:val="24"/>
          <w:highlight w:val="none"/>
          <w:lang w:val="en-US" w:eastAsia="zh-CN"/>
        </w:rPr>
      </w:pPr>
      <w:bookmarkStart w:id="47" w:name="_Toc489286710"/>
      <w:bookmarkStart w:id="48" w:name="_Toc27578"/>
      <w:r>
        <w:rPr>
          <w:rFonts w:hint="eastAsia" w:ascii="宋体" w:hAnsi="宋体" w:eastAsia="宋体" w:cs="宋体"/>
          <w:b/>
          <w:color w:val="auto"/>
          <w:sz w:val="24"/>
          <w:szCs w:val="24"/>
          <w:highlight w:val="none"/>
          <w:lang w:val="en-US" w:eastAsia="zh-CN"/>
        </w:rPr>
        <w:t>5.6平台软件维护</w:t>
      </w:r>
      <w:bookmarkEnd w:id="47"/>
      <w:bookmarkEnd w:id="48"/>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期的远程监测和现场巡检监测，指派专业的技术人员，及时观察并处理各个业务应用的平台软件存在的故障与隐患，提供平台软件监测表格及时监测备份系统中各关键要素，并根据实际监测结果，提交详细的监测报告。</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针对现有各个应用平台相关操作系统、数据库、中间件、网络及安全网关平台软件运行情况进行常规检查。具体包括：</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82" w:firstLineChars="200"/>
        <w:jc w:val="left"/>
        <w:textAlignment w:val="auto"/>
        <w:outlineLvl w:val="0"/>
        <w:rPr>
          <w:rFonts w:hint="eastAsia" w:ascii="宋体" w:hAnsi="宋体" w:eastAsia="宋体" w:cs="宋体"/>
          <w:b/>
          <w:color w:val="auto"/>
          <w:sz w:val="24"/>
          <w:szCs w:val="24"/>
          <w:highlight w:val="none"/>
          <w:lang w:val="en-US" w:eastAsia="zh-CN"/>
        </w:rPr>
      </w:pPr>
      <w:bookmarkStart w:id="49" w:name="_Toc30352"/>
      <w:r>
        <w:rPr>
          <w:rFonts w:hint="eastAsia" w:ascii="宋体" w:hAnsi="宋体" w:eastAsia="宋体" w:cs="宋体"/>
          <w:b/>
          <w:color w:val="auto"/>
          <w:sz w:val="24"/>
          <w:szCs w:val="24"/>
          <w:highlight w:val="none"/>
          <w:lang w:val="en-US" w:eastAsia="zh-CN"/>
        </w:rPr>
        <w:t>5.6.1数据库软件的定期检查及维护</w:t>
      </w:r>
      <w:bookmarkEnd w:id="49"/>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对五险、</w:t>
      </w:r>
      <w:r>
        <w:rPr>
          <w:rFonts w:hint="eastAsia" w:ascii="宋体" w:hAnsi="宋体" w:eastAsia="宋体" w:cs="宋体"/>
          <w:color w:val="auto"/>
          <w:sz w:val="24"/>
          <w:szCs w:val="24"/>
          <w:highlight w:val="none"/>
          <w:lang w:val="en-US" w:eastAsia="zh-CN"/>
        </w:rPr>
        <w:t>居保、企退</w:t>
      </w:r>
      <w:r>
        <w:rPr>
          <w:rFonts w:hint="eastAsia" w:ascii="宋体" w:hAnsi="宋体" w:eastAsia="宋体" w:cs="宋体"/>
          <w:color w:val="auto"/>
          <w:sz w:val="24"/>
          <w:szCs w:val="24"/>
          <w:highlight w:val="none"/>
        </w:rPr>
        <w:t>等系统数据库的共享 SQL 共享池命中率、数据字典共享池命中率、数据缓冲区命中率、日志缓冲区命中率、MTS 调度进程竞争、回退段竞争、 MTSFreeList 竞争、CPU 运算时间占用响应时间百分比、磁盘数据文件读次数/秒、磁盘数据文件写次数/秒、数据库实例名、连接数、Process 数目、SGA/PGA 配置、联机日志、表空间、数据文件、数据库无效对象、不扩展对象、死锁、共享内存使用百分比、数据字典缓冲命中失败率、全局缓冲区命中率、表空间使用率、表空间空闲率、已用大小、空闲大小、数据文件或者数据设备的读写次数等关键指标检查，并就出现的问题进行维护。</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具体工作如下：</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1）数据库实例的状态</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2）数据库异常状态的文件</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3）表空间使用率超过90%的</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4）检查实例报警日志和文件大小</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5）检查侦听日志和文件大小</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6）检查操作系统文件系统富余空间</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7）检查操作系统归档日志文件系统富余空间</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8）归档日志产生情况</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9）检查数据库物理备份</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10）检查数据库逻辑备份</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11）查Job是否正常</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12）无效对象</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13）数据库读写信息</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14）数据库会话数信息</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15）命中率历史信息统计</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16）命中率重做日志历史信息统计</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17）命中率排序历史信息统计</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18）命中率共享池信息统计</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19）日常巡检报告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82" w:firstLineChars="200"/>
        <w:jc w:val="left"/>
        <w:textAlignment w:val="auto"/>
        <w:outlineLvl w:val="0"/>
        <w:rPr>
          <w:rFonts w:hint="eastAsia" w:ascii="宋体" w:hAnsi="宋体" w:eastAsia="宋体" w:cs="宋体"/>
          <w:b/>
          <w:color w:val="auto"/>
          <w:sz w:val="24"/>
          <w:szCs w:val="24"/>
          <w:highlight w:val="none"/>
          <w:lang w:val="en-US" w:eastAsia="zh-CN"/>
        </w:rPr>
      </w:pPr>
      <w:bookmarkStart w:id="50" w:name="_Toc28208"/>
      <w:r>
        <w:rPr>
          <w:rFonts w:hint="eastAsia" w:ascii="宋体" w:hAnsi="宋体" w:eastAsia="宋体" w:cs="宋体"/>
          <w:b/>
          <w:color w:val="auto"/>
          <w:sz w:val="24"/>
          <w:szCs w:val="24"/>
          <w:highlight w:val="none"/>
          <w:lang w:val="en-US" w:eastAsia="zh-CN"/>
        </w:rPr>
        <w:t>5.6.2 Weblogic 软件的定期检查及维护</w:t>
      </w:r>
      <w:bookmarkEnd w:id="50"/>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 JVM 情况、Servlet 执行情况、JDBC 连接池性能、JMS 情况、Web 应用情况等各类情况进行检查，并就出现的问题进行维护。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82" w:firstLineChars="200"/>
        <w:jc w:val="left"/>
        <w:textAlignment w:val="auto"/>
        <w:outlineLvl w:val="0"/>
        <w:rPr>
          <w:rFonts w:hint="eastAsia" w:ascii="宋体" w:hAnsi="宋体" w:eastAsia="宋体" w:cs="宋体"/>
          <w:b/>
          <w:color w:val="auto"/>
          <w:sz w:val="24"/>
          <w:szCs w:val="24"/>
          <w:highlight w:val="none"/>
          <w:lang w:val="en-US" w:eastAsia="zh-CN"/>
        </w:rPr>
      </w:pPr>
      <w:bookmarkStart w:id="51" w:name="_Toc26842"/>
      <w:r>
        <w:rPr>
          <w:rFonts w:hint="eastAsia" w:ascii="宋体" w:hAnsi="宋体" w:eastAsia="宋体" w:cs="宋体"/>
          <w:b/>
          <w:color w:val="auto"/>
          <w:sz w:val="24"/>
          <w:szCs w:val="24"/>
          <w:highlight w:val="none"/>
          <w:lang w:val="en-US" w:eastAsia="zh-CN"/>
        </w:rPr>
        <w:t>5.6.3 主机操作软件及其他平台的定期检查及维护</w:t>
      </w:r>
      <w:bookmarkEnd w:id="51"/>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就CPU利用率、CPU使用情况、内存利用率、磁盘信息、进程信息、ICMP 响应时间、连接数等信息进行检查，并就出现的问题进行维护。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82" w:firstLineChars="200"/>
        <w:jc w:val="left"/>
        <w:textAlignment w:val="auto"/>
        <w:outlineLvl w:val="0"/>
        <w:rPr>
          <w:rFonts w:hint="eastAsia" w:ascii="宋体" w:hAnsi="宋体" w:eastAsia="宋体" w:cs="宋体"/>
          <w:b/>
          <w:color w:val="auto"/>
          <w:sz w:val="24"/>
          <w:szCs w:val="24"/>
          <w:highlight w:val="none"/>
          <w:lang w:val="en-US" w:eastAsia="zh-CN"/>
        </w:rPr>
      </w:pPr>
      <w:bookmarkStart w:id="52" w:name="_Toc5741"/>
      <w:r>
        <w:rPr>
          <w:rFonts w:hint="eastAsia" w:ascii="宋体" w:hAnsi="宋体" w:eastAsia="宋体" w:cs="宋体"/>
          <w:b/>
          <w:color w:val="auto"/>
          <w:sz w:val="24"/>
          <w:szCs w:val="24"/>
          <w:highlight w:val="none"/>
          <w:lang w:val="en-US" w:eastAsia="zh-CN"/>
        </w:rPr>
        <w:t>5.6.4网络的定期检查及维护</w:t>
      </w:r>
      <w:bookmarkEnd w:id="52"/>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对五险、</w:t>
      </w:r>
      <w:r>
        <w:rPr>
          <w:rFonts w:hint="eastAsia" w:ascii="宋体" w:hAnsi="宋体" w:eastAsia="宋体" w:cs="宋体"/>
          <w:color w:val="auto"/>
          <w:sz w:val="24"/>
          <w:szCs w:val="24"/>
          <w:highlight w:val="none"/>
          <w:lang w:val="en-US" w:eastAsia="zh-CN"/>
        </w:rPr>
        <w:t>居保、企退</w:t>
      </w:r>
      <w:r>
        <w:rPr>
          <w:rFonts w:hint="eastAsia" w:ascii="宋体" w:hAnsi="宋体" w:eastAsia="宋体" w:cs="宋体"/>
          <w:color w:val="auto"/>
          <w:sz w:val="24"/>
          <w:szCs w:val="24"/>
          <w:highlight w:val="none"/>
        </w:rPr>
        <w:t>等系统的网络设备的 cpu 利用率、cpu 使用情况、内存利用率检查各设备的配置备份情况进行检查，网络安全策略、路由检查，与各两定机构、外联单位、下级部门的链路检查包含链路的容量、链路的上联和下联设备接口、链路状态、主备链路切换、链路上/下行速率、链路上/下行利用率、链路的丢包率、链路的错报率。</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人社局大楼网络设置、安全产品的定期更新。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82" w:firstLineChars="200"/>
        <w:jc w:val="left"/>
        <w:textAlignment w:val="auto"/>
        <w:outlineLvl w:val="0"/>
        <w:rPr>
          <w:rFonts w:hint="eastAsia" w:ascii="宋体" w:hAnsi="宋体" w:eastAsia="宋体" w:cs="宋体"/>
          <w:b/>
          <w:color w:val="auto"/>
          <w:sz w:val="24"/>
          <w:szCs w:val="24"/>
          <w:highlight w:val="none"/>
          <w:lang w:val="en-US" w:eastAsia="zh-CN"/>
        </w:rPr>
      </w:pPr>
      <w:bookmarkStart w:id="53" w:name="_Toc11893"/>
      <w:r>
        <w:rPr>
          <w:rFonts w:hint="eastAsia" w:ascii="宋体" w:hAnsi="宋体" w:eastAsia="宋体" w:cs="宋体"/>
          <w:b/>
          <w:color w:val="auto"/>
          <w:sz w:val="24"/>
          <w:szCs w:val="24"/>
          <w:highlight w:val="none"/>
          <w:lang w:val="en-US" w:eastAsia="zh-CN"/>
        </w:rPr>
        <w:t>5.6.5 存储介质检查及维护</w:t>
      </w:r>
      <w:bookmarkEnd w:id="53"/>
      <w:r>
        <w:rPr>
          <w:rFonts w:hint="eastAsia" w:ascii="宋体" w:hAnsi="宋体" w:eastAsia="宋体" w:cs="宋体"/>
          <w:b/>
          <w:color w:val="auto"/>
          <w:sz w:val="24"/>
          <w:szCs w:val="24"/>
          <w:highlight w:val="none"/>
          <w:lang w:val="en-US" w:eastAsia="zh-CN"/>
        </w:rPr>
        <w:t xml:space="preserve"> </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检查存储介质的情况，检查项目包括存储介质使用状态、存储介质配置检查、磁带库驱动器状态检查、链路检查、设备 I/O 是否正常和磁带/磁盘的实际可用空间。</w:t>
      </w:r>
    </w:p>
    <w:p>
      <w:pPr>
        <w:pStyle w:val="14"/>
        <w:pageBreakBefore w:val="0"/>
        <w:kinsoku/>
        <w:wordWrap/>
        <w:overflowPunct/>
        <w:topLinePunct w:val="0"/>
        <w:autoSpaceDE/>
        <w:autoSpaceDN/>
        <w:bidi w:val="0"/>
        <w:spacing w:after="0" w:line="440" w:lineRule="exact"/>
        <w:ind w:left="0" w:firstLine="482" w:firstLineChars="200"/>
        <w:jc w:val="left"/>
        <w:rPr>
          <w:rFonts w:hint="eastAsia" w:ascii="宋体" w:hAnsi="宋体" w:eastAsia="宋体" w:cs="宋体"/>
          <w:b/>
          <w:color w:val="auto"/>
          <w:kern w:val="2"/>
          <w:sz w:val="24"/>
          <w:szCs w:val="24"/>
          <w:highlight w:val="none"/>
          <w:lang w:val="en-US" w:eastAsia="zh-CN" w:bidi="ar-SA"/>
        </w:rPr>
      </w:pPr>
      <w:bookmarkStart w:id="54" w:name="_Toc22473"/>
      <w:r>
        <w:rPr>
          <w:rFonts w:hint="eastAsia" w:ascii="宋体" w:hAnsi="宋体" w:eastAsia="宋体" w:cs="宋体"/>
          <w:b/>
          <w:color w:val="auto"/>
          <w:kern w:val="2"/>
          <w:sz w:val="24"/>
          <w:szCs w:val="24"/>
          <w:highlight w:val="none"/>
          <w:lang w:val="en-US" w:eastAsia="zh-CN" w:bidi="ar-SA"/>
        </w:rPr>
        <w:t>5.7现场巡检服务</w:t>
      </w:r>
      <w:bookmarkEnd w:id="54"/>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1)小型机每</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一次的专人专项现场巡检</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巡检内容：对小型机产品进行全面的检查，发现故障现场处理，如是设备硬件故障，及时通知相关人员更换故障部件，并跟踪问题解决的情况，出具主机健康检查报告与主机性能分析报告，指出提出存在问题（隐患）和合理建议。</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2)数据库每</w:t>
      </w:r>
      <w:r>
        <w:rPr>
          <w:rFonts w:hint="eastAsia" w:ascii="宋体" w:hAnsi="宋体" w:eastAsia="宋体" w:cs="宋体"/>
          <w:color w:val="auto"/>
          <w:sz w:val="24"/>
          <w:szCs w:val="24"/>
          <w:highlight w:val="none"/>
          <w:lang w:val="en-US" w:eastAsia="zh-CN"/>
        </w:rPr>
        <w:t>月1</w:t>
      </w:r>
      <w:r>
        <w:rPr>
          <w:rFonts w:hint="eastAsia" w:ascii="宋体" w:hAnsi="宋体" w:eastAsia="宋体" w:cs="宋体"/>
          <w:color w:val="auto"/>
          <w:sz w:val="24"/>
          <w:szCs w:val="24"/>
          <w:highlight w:val="none"/>
        </w:rPr>
        <w:t>次专人专项现场巡检</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现场巡检内容： 数据库的基本配置、错误检查、备份恢复、空间管理、对象管理、安全管理、负载管理、性能管理并在现场检查后5天内提供经过分析的详细报告。</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3)服务范围内的其余产品每</w:t>
      </w:r>
      <w:r>
        <w:rPr>
          <w:rFonts w:hint="eastAsia" w:ascii="宋体" w:hAnsi="宋体" w:eastAsia="宋体" w:cs="宋体"/>
          <w:color w:val="auto"/>
          <w:sz w:val="24"/>
          <w:szCs w:val="24"/>
          <w:highlight w:val="none"/>
          <w:lang w:val="en-US" w:eastAsia="zh-CN"/>
        </w:rPr>
        <w:t>月1</w:t>
      </w:r>
      <w:r>
        <w:rPr>
          <w:rFonts w:hint="eastAsia" w:ascii="宋体" w:hAnsi="宋体" w:eastAsia="宋体" w:cs="宋体"/>
          <w:color w:val="auto"/>
          <w:sz w:val="24"/>
          <w:szCs w:val="24"/>
          <w:highlight w:val="none"/>
        </w:rPr>
        <w:t>次专人专项现场巡检</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巡检内容：对服务范围内的其余产品进行全面的检查，发现故障现场处理，如是设备硬件故障，及时通知相关人员更换故障部件，并跟踪问题解决的情况，出具巡检报告，指出提出存在问题（隐患）和合理建议。</w:t>
      </w:r>
    </w:p>
    <w:p>
      <w:pPr>
        <w:pStyle w:val="14"/>
        <w:pageBreakBefore w:val="0"/>
        <w:kinsoku/>
        <w:wordWrap/>
        <w:overflowPunct/>
        <w:topLinePunct w:val="0"/>
        <w:autoSpaceDE/>
        <w:autoSpaceDN/>
        <w:bidi w:val="0"/>
        <w:spacing w:after="0" w:line="440" w:lineRule="exact"/>
        <w:ind w:left="0" w:firstLine="482" w:firstLineChars="200"/>
        <w:jc w:val="left"/>
        <w:rPr>
          <w:rFonts w:hint="eastAsia" w:ascii="宋体" w:hAnsi="宋体" w:eastAsia="宋体" w:cs="宋体"/>
          <w:b/>
          <w:color w:val="auto"/>
          <w:kern w:val="2"/>
          <w:sz w:val="24"/>
          <w:szCs w:val="24"/>
          <w:highlight w:val="none"/>
          <w:lang w:val="en-US" w:eastAsia="zh-CN" w:bidi="ar-SA"/>
        </w:rPr>
      </w:pPr>
      <w:bookmarkStart w:id="55" w:name="_Toc19575"/>
      <w:r>
        <w:rPr>
          <w:rFonts w:hint="eastAsia" w:ascii="宋体" w:hAnsi="宋体" w:eastAsia="宋体" w:cs="宋体"/>
          <w:b/>
          <w:color w:val="auto"/>
          <w:kern w:val="2"/>
          <w:sz w:val="24"/>
          <w:szCs w:val="24"/>
          <w:highlight w:val="none"/>
          <w:lang w:val="en-US" w:eastAsia="zh-CN" w:bidi="ar-SA"/>
        </w:rPr>
        <w:t>5.8优化升级服务</w:t>
      </w:r>
      <w:bookmarkEnd w:id="55"/>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1)硬件设备综合性能优化</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结合诸暨市</w:t>
      </w:r>
      <w:r>
        <w:rPr>
          <w:rFonts w:hint="eastAsia" w:ascii="宋体" w:hAnsi="宋体" w:eastAsia="宋体" w:cs="宋体"/>
          <w:color w:val="auto"/>
          <w:sz w:val="24"/>
          <w:szCs w:val="24"/>
          <w:highlight w:val="none"/>
          <w:lang w:val="en-US" w:eastAsia="zh-CN"/>
        </w:rPr>
        <w:t>人社局机房</w:t>
      </w:r>
      <w:r>
        <w:rPr>
          <w:rFonts w:hint="eastAsia" w:ascii="宋体" w:hAnsi="宋体" w:eastAsia="宋体" w:cs="宋体"/>
          <w:color w:val="auto"/>
          <w:sz w:val="24"/>
          <w:szCs w:val="24"/>
          <w:highlight w:val="none"/>
        </w:rPr>
        <w:t>软件</w:t>
      </w:r>
      <w:r>
        <w:rPr>
          <w:rFonts w:hint="eastAsia" w:ascii="宋体" w:hAnsi="宋体" w:eastAsia="宋体" w:cs="宋体"/>
          <w:color w:val="auto"/>
          <w:sz w:val="24"/>
          <w:szCs w:val="24"/>
          <w:highlight w:val="none"/>
          <w:lang w:val="en-US" w:eastAsia="zh-CN"/>
        </w:rPr>
        <w:t>信息</w:t>
      </w:r>
      <w:r>
        <w:rPr>
          <w:rFonts w:hint="eastAsia" w:ascii="宋体" w:hAnsi="宋体" w:eastAsia="宋体" w:cs="宋体"/>
          <w:color w:val="auto"/>
          <w:sz w:val="24"/>
          <w:szCs w:val="24"/>
          <w:highlight w:val="none"/>
        </w:rPr>
        <w:t>系统的实际部署和建设情况，综合优化和调整硬件设备基本配置，优化升级的内容包括对社保核心网络设备、小型机服务器等设备的配置调整。</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2)软件系统综合性能优化</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对诸暨市</w:t>
      </w:r>
      <w:r>
        <w:rPr>
          <w:rFonts w:hint="eastAsia" w:ascii="宋体" w:hAnsi="宋体" w:eastAsia="宋体" w:cs="宋体"/>
          <w:color w:val="auto"/>
          <w:sz w:val="24"/>
          <w:szCs w:val="24"/>
          <w:highlight w:val="none"/>
          <w:lang w:val="en-US" w:eastAsia="zh-CN"/>
        </w:rPr>
        <w:t>人社局机房的</w:t>
      </w:r>
      <w:r>
        <w:rPr>
          <w:rFonts w:hint="eastAsia" w:ascii="宋体" w:hAnsi="宋体" w:eastAsia="宋体" w:cs="宋体"/>
          <w:color w:val="auto"/>
          <w:sz w:val="24"/>
          <w:szCs w:val="24"/>
          <w:highlight w:val="none"/>
        </w:rPr>
        <w:t>软件信息系统进行分析，通过对软件系统架构的深入分析，从平台软件数据库着手，对平台软件中核心数据库，进行结构调整和性能优化，为软件系统提供服务能力做支撑。</w:t>
      </w:r>
    </w:p>
    <w:p>
      <w:pPr>
        <w:pStyle w:val="14"/>
        <w:pageBreakBefore w:val="0"/>
        <w:kinsoku/>
        <w:wordWrap/>
        <w:overflowPunct/>
        <w:topLinePunct w:val="0"/>
        <w:autoSpaceDE/>
        <w:autoSpaceDN/>
        <w:bidi w:val="0"/>
        <w:spacing w:after="0" w:line="440" w:lineRule="exact"/>
        <w:ind w:left="0" w:firstLine="482" w:firstLineChars="200"/>
        <w:jc w:val="left"/>
        <w:rPr>
          <w:rFonts w:hint="eastAsia" w:ascii="宋体" w:hAnsi="宋体" w:eastAsia="宋体" w:cs="宋体"/>
          <w:b/>
          <w:color w:val="auto"/>
          <w:kern w:val="2"/>
          <w:sz w:val="24"/>
          <w:szCs w:val="24"/>
          <w:highlight w:val="none"/>
          <w:lang w:val="en-US" w:eastAsia="zh-CN" w:bidi="ar-SA"/>
        </w:rPr>
      </w:pPr>
      <w:bookmarkStart w:id="56" w:name="_Toc3485"/>
      <w:r>
        <w:rPr>
          <w:rFonts w:hint="eastAsia" w:ascii="宋体" w:hAnsi="宋体" w:eastAsia="宋体" w:cs="宋体"/>
          <w:b/>
          <w:color w:val="auto"/>
          <w:kern w:val="2"/>
          <w:sz w:val="24"/>
          <w:szCs w:val="24"/>
          <w:highlight w:val="none"/>
          <w:lang w:val="en-US" w:eastAsia="zh-CN" w:bidi="ar-SA"/>
        </w:rPr>
        <w:t>5.9数据恢复服务</w:t>
      </w:r>
      <w:bookmarkEnd w:id="56"/>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对诸暨</w:t>
      </w:r>
      <w:r>
        <w:rPr>
          <w:rFonts w:hint="eastAsia" w:ascii="宋体" w:hAnsi="宋体" w:eastAsia="宋体" w:cs="宋体"/>
          <w:color w:val="auto"/>
          <w:sz w:val="24"/>
          <w:szCs w:val="24"/>
          <w:highlight w:val="none"/>
          <w:lang w:val="en-US" w:eastAsia="zh-CN"/>
        </w:rPr>
        <w:t>人社</w:t>
      </w:r>
      <w:r>
        <w:rPr>
          <w:rFonts w:hint="eastAsia" w:ascii="宋体" w:hAnsi="宋体" w:eastAsia="宋体" w:cs="宋体"/>
          <w:color w:val="auto"/>
          <w:sz w:val="24"/>
          <w:szCs w:val="24"/>
          <w:highlight w:val="none"/>
        </w:rPr>
        <w:t>提供电子数据恢复服务。包括通过技术手段，将保存在台式机硬盘、笔记本硬盘、服务器硬盘、存储磁带库、移动硬盘、U盘、数码存储卡、Mp3等等设备上丢失的电子数据进行抢救和恢复的服务。</w:t>
      </w:r>
    </w:p>
    <w:p>
      <w:pPr>
        <w:pStyle w:val="14"/>
        <w:pageBreakBefore w:val="0"/>
        <w:kinsoku/>
        <w:wordWrap/>
        <w:overflowPunct/>
        <w:topLinePunct w:val="0"/>
        <w:autoSpaceDE/>
        <w:autoSpaceDN/>
        <w:bidi w:val="0"/>
        <w:spacing w:after="0" w:line="440" w:lineRule="exact"/>
        <w:ind w:left="0" w:firstLine="482" w:firstLineChars="200"/>
        <w:jc w:val="left"/>
        <w:rPr>
          <w:rFonts w:hint="eastAsia" w:ascii="宋体" w:hAnsi="宋体" w:eastAsia="宋体" w:cs="宋体"/>
          <w:b/>
          <w:color w:val="auto"/>
          <w:kern w:val="2"/>
          <w:sz w:val="24"/>
          <w:szCs w:val="24"/>
          <w:highlight w:val="none"/>
          <w:lang w:val="en-US" w:eastAsia="zh-CN" w:bidi="ar-SA"/>
        </w:rPr>
      </w:pPr>
      <w:bookmarkStart w:id="57" w:name="_Toc22793"/>
      <w:r>
        <w:rPr>
          <w:rFonts w:hint="eastAsia" w:ascii="宋体" w:hAnsi="宋体" w:eastAsia="宋体" w:cs="宋体"/>
          <w:b/>
          <w:color w:val="auto"/>
          <w:kern w:val="2"/>
          <w:sz w:val="24"/>
          <w:szCs w:val="24"/>
          <w:highlight w:val="none"/>
          <w:lang w:val="en-US" w:eastAsia="zh-CN" w:bidi="ar-SA"/>
        </w:rPr>
        <w:t>5.10协助维护服务</w:t>
      </w:r>
      <w:bookmarkEnd w:id="57"/>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当诸暨</w:t>
      </w:r>
      <w:r>
        <w:rPr>
          <w:rFonts w:hint="eastAsia" w:ascii="宋体" w:hAnsi="宋体" w:eastAsia="宋体" w:cs="宋体"/>
          <w:color w:val="auto"/>
          <w:sz w:val="24"/>
          <w:szCs w:val="24"/>
          <w:highlight w:val="none"/>
          <w:lang w:val="en-US" w:eastAsia="zh-CN"/>
        </w:rPr>
        <w:t>人社</w:t>
      </w:r>
      <w:r>
        <w:rPr>
          <w:rFonts w:hint="eastAsia" w:ascii="宋体" w:hAnsi="宋体" w:eastAsia="宋体" w:cs="宋体"/>
          <w:color w:val="auto"/>
          <w:sz w:val="24"/>
          <w:szCs w:val="24"/>
          <w:highlight w:val="none"/>
        </w:rPr>
        <w:t>软硬件支撑平台发生故障，且故障未能快速定位，由诸暨</w:t>
      </w:r>
      <w:r>
        <w:rPr>
          <w:rFonts w:hint="eastAsia" w:ascii="宋体" w:hAnsi="宋体" w:eastAsia="宋体" w:cs="宋体"/>
          <w:color w:val="auto"/>
          <w:sz w:val="24"/>
          <w:szCs w:val="24"/>
          <w:highlight w:val="none"/>
          <w:lang w:val="en-US" w:eastAsia="zh-CN"/>
        </w:rPr>
        <w:t>人社</w:t>
      </w:r>
      <w:r>
        <w:rPr>
          <w:rFonts w:hint="eastAsia" w:ascii="宋体" w:hAnsi="宋体" w:eastAsia="宋体" w:cs="宋体"/>
          <w:color w:val="auto"/>
          <w:sz w:val="24"/>
          <w:szCs w:val="24"/>
          <w:highlight w:val="none"/>
        </w:rPr>
        <w:t>判定需要协助维护服务的。硬件质保服务商有责任和义务快速响应，派遣专人到达现场协助软件系统维护服务商进行故障检测。</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在确定故障问题后，硬件质保服务商应与软件系统维护服务商一同制定故障处理策略，快速解决问题。在问题处理完毕后，联合完成维护服务报告，并提交至诸暨市</w:t>
      </w:r>
      <w:r>
        <w:rPr>
          <w:rFonts w:hint="eastAsia" w:ascii="宋体" w:hAnsi="宋体" w:eastAsia="宋体" w:cs="宋体"/>
          <w:color w:val="auto"/>
          <w:sz w:val="24"/>
          <w:szCs w:val="24"/>
          <w:highlight w:val="none"/>
          <w:lang w:val="en-US" w:eastAsia="zh-CN"/>
        </w:rPr>
        <w:t>社保中心信息科和人社局信息中心</w:t>
      </w:r>
      <w:r>
        <w:rPr>
          <w:rFonts w:hint="eastAsia" w:ascii="宋体" w:hAnsi="宋体" w:eastAsia="宋体" w:cs="宋体"/>
          <w:color w:val="auto"/>
          <w:sz w:val="24"/>
          <w:szCs w:val="24"/>
          <w:highlight w:val="none"/>
        </w:rPr>
        <w:t>。</w:t>
      </w:r>
    </w:p>
    <w:p>
      <w:pPr>
        <w:pStyle w:val="14"/>
        <w:pageBreakBefore w:val="0"/>
        <w:kinsoku/>
        <w:wordWrap/>
        <w:overflowPunct/>
        <w:topLinePunct w:val="0"/>
        <w:autoSpaceDE/>
        <w:autoSpaceDN/>
        <w:bidi w:val="0"/>
        <w:spacing w:after="0" w:line="440" w:lineRule="exact"/>
        <w:ind w:left="0" w:firstLine="482" w:firstLineChars="200"/>
        <w:jc w:val="left"/>
        <w:rPr>
          <w:rFonts w:hint="eastAsia" w:ascii="宋体" w:hAnsi="宋体" w:eastAsia="宋体" w:cs="宋体"/>
          <w:b/>
          <w:color w:val="auto"/>
          <w:kern w:val="2"/>
          <w:sz w:val="24"/>
          <w:szCs w:val="24"/>
          <w:highlight w:val="none"/>
          <w:lang w:val="en-US" w:eastAsia="zh-CN" w:bidi="ar-SA"/>
        </w:rPr>
      </w:pPr>
      <w:bookmarkStart w:id="58" w:name="_Toc17625"/>
      <w:r>
        <w:rPr>
          <w:rFonts w:hint="eastAsia" w:ascii="宋体" w:hAnsi="宋体" w:eastAsia="宋体" w:cs="宋体"/>
          <w:b/>
          <w:color w:val="auto"/>
          <w:kern w:val="2"/>
          <w:sz w:val="24"/>
          <w:szCs w:val="24"/>
          <w:highlight w:val="none"/>
          <w:lang w:val="en-US" w:eastAsia="zh-CN" w:bidi="ar-SA"/>
        </w:rPr>
        <w:t>（六）设备质保服务内容</w:t>
      </w:r>
      <w:bookmarkEnd w:id="58"/>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对机房硬件设备提供质保服务，提供老设备质保，损坏硬件更换、业务平台日常维护等。要求提供基础性维护、设备档案管理、巡检服务等，具体如下：</w:t>
      </w:r>
    </w:p>
    <w:p>
      <w:pPr>
        <w:pStyle w:val="14"/>
        <w:pageBreakBefore w:val="0"/>
        <w:kinsoku/>
        <w:wordWrap/>
        <w:overflowPunct/>
        <w:topLinePunct w:val="0"/>
        <w:autoSpaceDE/>
        <w:autoSpaceDN/>
        <w:bidi w:val="0"/>
        <w:spacing w:after="0" w:line="440" w:lineRule="exact"/>
        <w:ind w:left="0" w:firstLine="482" w:firstLineChars="200"/>
        <w:jc w:val="left"/>
        <w:rPr>
          <w:rFonts w:hint="eastAsia" w:ascii="宋体" w:hAnsi="宋体" w:eastAsia="宋体" w:cs="宋体"/>
          <w:b/>
          <w:color w:val="auto"/>
          <w:kern w:val="2"/>
          <w:sz w:val="24"/>
          <w:szCs w:val="24"/>
          <w:highlight w:val="none"/>
          <w:lang w:val="en-US" w:eastAsia="zh-CN" w:bidi="ar-SA"/>
        </w:rPr>
      </w:pPr>
      <w:bookmarkStart w:id="59" w:name="_Toc489286727"/>
      <w:bookmarkStart w:id="60" w:name="_Toc26398"/>
      <w:r>
        <w:rPr>
          <w:rFonts w:hint="eastAsia" w:ascii="宋体" w:hAnsi="宋体" w:eastAsia="宋体" w:cs="宋体"/>
          <w:b/>
          <w:color w:val="auto"/>
          <w:kern w:val="2"/>
          <w:sz w:val="24"/>
          <w:szCs w:val="24"/>
          <w:highlight w:val="none"/>
          <w:lang w:val="en-US" w:eastAsia="zh-CN" w:bidi="ar-SA"/>
        </w:rPr>
        <w:t>6.1基础性维护</w:t>
      </w:r>
      <w:bookmarkEnd w:id="59"/>
      <w:bookmarkEnd w:id="60"/>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为了保障诸暨</w:t>
      </w:r>
      <w:r>
        <w:rPr>
          <w:rFonts w:hint="eastAsia" w:ascii="宋体" w:hAnsi="宋体" w:eastAsia="宋体" w:cs="宋体"/>
          <w:color w:val="auto"/>
          <w:sz w:val="24"/>
          <w:szCs w:val="24"/>
          <w:highlight w:val="none"/>
          <w:lang w:val="en-US" w:eastAsia="zh-CN"/>
        </w:rPr>
        <w:t>人社</w:t>
      </w:r>
      <w:r>
        <w:rPr>
          <w:rFonts w:hint="eastAsia" w:ascii="宋体" w:hAnsi="宋体" w:eastAsia="宋体" w:cs="宋体"/>
          <w:color w:val="auto"/>
          <w:sz w:val="24"/>
          <w:szCs w:val="24"/>
          <w:highlight w:val="none"/>
        </w:rPr>
        <w:t>业务及</w:t>
      </w:r>
      <w:r>
        <w:rPr>
          <w:rFonts w:hint="eastAsia" w:ascii="宋体" w:hAnsi="宋体" w:eastAsia="宋体" w:cs="宋体"/>
          <w:color w:val="auto"/>
          <w:sz w:val="24"/>
          <w:szCs w:val="24"/>
          <w:highlight w:val="none"/>
          <w:lang w:val="en-US" w:eastAsia="zh-CN"/>
        </w:rPr>
        <w:t>信息</w:t>
      </w:r>
      <w:r>
        <w:rPr>
          <w:rFonts w:hint="eastAsia" w:ascii="宋体" w:hAnsi="宋体" w:eastAsia="宋体" w:cs="宋体"/>
          <w:color w:val="auto"/>
          <w:sz w:val="24"/>
          <w:szCs w:val="24"/>
          <w:highlight w:val="none"/>
        </w:rPr>
        <w:t>系统的稳定高速可靠运行，处理平台维护服务范围内的系统节点和核心业务系统（如五险系统、</w:t>
      </w:r>
      <w:r>
        <w:rPr>
          <w:rFonts w:hint="eastAsia" w:ascii="宋体" w:hAnsi="宋体" w:eastAsia="宋体" w:cs="宋体"/>
          <w:color w:val="auto"/>
          <w:sz w:val="24"/>
          <w:szCs w:val="24"/>
          <w:highlight w:val="none"/>
          <w:lang w:val="en-US" w:eastAsia="zh-CN"/>
        </w:rPr>
        <w:t>城乡</w:t>
      </w:r>
      <w:r>
        <w:rPr>
          <w:rFonts w:hint="eastAsia" w:ascii="宋体" w:hAnsi="宋体" w:eastAsia="宋体" w:cs="宋体"/>
          <w:color w:val="auto"/>
          <w:sz w:val="24"/>
          <w:szCs w:val="24"/>
          <w:highlight w:val="none"/>
        </w:rPr>
        <w:t>居保系统、</w:t>
      </w:r>
      <w:r>
        <w:rPr>
          <w:rFonts w:hint="eastAsia" w:ascii="宋体" w:hAnsi="宋体" w:eastAsia="宋体" w:cs="宋体"/>
          <w:color w:val="auto"/>
          <w:sz w:val="24"/>
          <w:szCs w:val="24"/>
          <w:highlight w:val="none"/>
          <w:lang w:val="en-US" w:eastAsia="zh-CN"/>
        </w:rPr>
        <w:t>企退管理</w:t>
      </w:r>
      <w:r>
        <w:rPr>
          <w:rFonts w:hint="eastAsia" w:ascii="宋体" w:hAnsi="宋体" w:eastAsia="宋体" w:cs="宋体"/>
          <w:color w:val="auto"/>
          <w:sz w:val="24"/>
          <w:szCs w:val="24"/>
          <w:highlight w:val="none"/>
        </w:rPr>
        <w:t>系统）所需的技术配合和设备故障诊断与恢复。</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当《维护设备清单》中的设备发生故障时，提供检测服务，并出具相关检测报告，并协调原厂商进行系统恢复。</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系统在出现重大故障不能正常工作时系统恢复；</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安排相关技术工程师到用户现场进行软硬件系统的全面巡检服务，例行检测、排除隐患，对软硬件系统的整体运行状态进行评估分析，提供详细巡检报告，并给出优化调整建议。</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（1）全面检查小型机、磁盘阵列、网络及安全设备以及系统软件的运行状况，及时发现各种隐患，并做出相应处理。</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（2）提供软硬件系统存在的问题报告及其解决方案，提出系统整体架构及技术改进建议。</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（3）对IBM小型机主要检查场地环境、主机硬件、系统日志、集群软件、存储外设、系统配置、系统备份、系统总体性能评估等。</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（4）对磁盘阵列检查前后面板指示灯、电源电压、电源风扇、控制器电池、Raid状态、多路径冗余情况、负载均衡、磁盘使用率、IO状态等。</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（5）检查网络及安全设备运行状况，监测网络流量和可用性，及时发现系统的各种报警信息及网络不安全因素，提出相应的解决方案。</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（6）检查网络运行情况，查看设备性能（CPU 利用率，内存利用率，端口状态），查看网络连通性，流量负载情况。</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以下为基础性维护的详细内容：</w:t>
      </w:r>
    </w:p>
    <w:p>
      <w:pPr>
        <w:pStyle w:val="14"/>
        <w:pageBreakBefore w:val="0"/>
        <w:kinsoku/>
        <w:wordWrap/>
        <w:overflowPunct/>
        <w:topLinePunct w:val="0"/>
        <w:autoSpaceDE/>
        <w:autoSpaceDN/>
        <w:bidi w:val="0"/>
        <w:spacing w:after="0" w:line="440" w:lineRule="exact"/>
        <w:ind w:left="0" w:firstLine="482" w:firstLineChars="200"/>
        <w:jc w:val="left"/>
        <w:rPr>
          <w:rFonts w:hint="eastAsia" w:ascii="宋体" w:hAnsi="宋体" w:eastAsia="宋体" w:cs="宋体"/>
          <w:b/>
          <w:color w:val="auto"/>
          <w:kern w:val="2"/>
          <w:sz w:val="24"/>
          <w:szCs w:val="24"/>
          <w:highlight w:val="none"/>
          <w:lang w:val="en-US" w:eastAsia="zh-CN" w:bidi="ar-SA"/>
        </w:rPr>
      </w:pPr>
      <w:bookmarkStart w:id="61" w:name="_Toc338515222"/>
      <w:bookmarkStart w:id="62" w:name="_Toc283300614"/>
      <w:bookmarkStart w:id="63" w:name="_Toc8029"/>
      <w:bookmarkStart w:id="64" w:name="_Toc338514900"/>
      <w:r>
        <w:rPr>
          <w:rFonts w:hint="eastAsia" w:ascii="宋体" w:hAnsi="宋体" w:eastAsia="宋体" w:cs="宋体"/>
          <w:b/>
          <w:color w:val="auto"/>
          <w:kern w:val="2"/>
          <w:sz w:val="24"/>
          <w:szCs w:val="24"/>
          <w:highlight w:val="none"/>
          <w:lang w:val="en-US" w:eastAsia="zh-CN" w:bidi="ar-SA"/>
        </w:rPr>
        <w:t>6.2小型机及主机维护服务</w:t>
      </w:r>
      <w:bookmarkEnd w:id="61"/>
      <w:bookmarkEnd w:id="62"/>
      <w:bookmarkEnd w:id="63"/>
      <w:bookmarkEnd w:id="64"/>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（1）操作系统维护服务</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主要内容包括：</w:t>
      </w:r>
    </w:p>
    <w:p>
      <w:pPr>
        <w:pStyle w:val="51"/>
        <w:pageBreakBefore w:val="0"/>
        <w:numPr>
          <w:ilvl w:val="0"/>
          <w:numId w:val="7"/>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故障诊断</w:t>
      </w:r>
    </w:p>
    <w:p>
      <w:pPr>
        <w:pStyle w:val="51"/>
        <w:pageBreakBefore w:val="0"/>
        <w:numPr>
          <w:ilvl w:val="0"/>
          <w:numId w:val="7"/>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技术咨询</w:t>
      </w:r>
    </w:p>
    <w:p>
      <w:pPr>
        <w:pStyle w:val="51"/>
        <w:pageBreakBefore w:val="0"/>
        <w:numPr>
          <w:ilvl w:val="0"/>
          <w:numId w:val="7"/>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磁盘空间维护</w:t>
      </w:r>
    </w:p>
    <w:p>
      <w:pPr>
        <w:pStyle w:val="51"/>
        <w:pageBreakBefore w:val="0"/>
        <w:numPr>
          <w:ilvl w:val="0"/>
          <w:numId w:val="7"/>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日志维护 </w:t>
      </w:r>
    </w:p>
    <w:p>
      <w:pPr>
        <w:pStyle w:val="51"/>
        <w:pageBreakBefore w:val="0"/>
        <w:numPr>
          <w:ilvl w:val="0"/>
          <w:numId w:val="7"/>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小版本补丁安装</w:t>
      </w:r>
    </w:p>
    <w:p>
      <w:pPr>
        <w:pStyle w:val="51"/>
        <w:pageBreakBefore w:val="0"/>
        <w:numPr>
          <w:ilvl w:val="0"/>
          <w:numId w:val="7"/>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简单产品部署 </w:t>
      </w:r>
    </w:p>
    <w:p>
      <w:pPr>
        <w:pStyle w:val="51"/>
        <w:pageBreakBefore w:val="0"/>
        <w:numPr>
          <w:ilvl w:val="0"/>
          <w:numId w:val="7"/>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资源使用情况</w:t>
      </w:r>
    </w:p>
    <w:p>
      <w:pPr>
        <w:pStyle w:val="51"/>
        <w:pageBreakBefore w:val="0"/>
        <w:numPr>
          <w:ilvl w:val="0"/>
          <w:numId w:val="7"/>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网络连接情况</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（2）操作系统健康检查服务</w:t>
      </w:r>
    </w:p>
    <w:p>
      <w:pPr>
        <w:pStyle w:val="51"/>
        <w:pageBreakBefore w:val="0"/>
        <w:numPr>
          <w:ilvl w:val="0"/>
          <w:numId w:val="8"/>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运行状态检查</w:t>
      </w:r>
    </w:p>
    <w:p>
      <w:pPr>
        <w:pStyle w:val="51"/>
        <w:pageBreakBefore w:val="0"/>
        <w:numPr>
          <w:ilvl w:val="0"/>
          <w:numId w:val="8"/>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日志检查 </w:t>
      </w:r>
    </w:p>
    <w:p>
      <w:pPr>
        <w:pStyle w:val="51"/>
        <w:pageBreakBefore w:val="0"/>
        <w:numPr>
          <w:ilvl w:val="0"/>
          <w:numId w:val="8"/>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空间检查</w:t>
      </w:r>
    </w:p>
    <w:p>
      <w:pPr>
        <w:pStyle w:val="51"/>
        <w:pageBreakBefore w:val="0"/>
        <w:numPr>
          <w:ilvl w:val="0"/>
          <w:numId w:val="8"/>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硬件运行情况检查 </w:t>
      </w:r>
    </w:p>
    <w:p>
      <w:pPr>
        <w:pStyle w:val="51"/>
        <w:pageBreakBefore w:val="0"/>
        <w:numPr>
          <w:ilvl w:val="0"/>
          <w:numId w:val="8"/>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资源使用情况</w:t>
      </w:r>
    </w:p>
    <w:p>
      <w:pPr>
        <w:pStyle w:val="51"/>
        <w:pageBreakBefore w:val="0"/>
        <w:numPr>
          <w:ilvl w:val="0"/>
          <w:numId w:val="8"/>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网络连接情况</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（3）数据库维护服务</w:t>
      </w:r>
      <w:r>
        <w:rPr>
          <w:rFonts w:hint="eastAsia" w:ascii="宋体" w:hAnsi="宋体" w:eastAsia="宋体" w:cs="宋体"/>
          <w:color w:val="auto"/>
          <w:sz w:val="24"/>
          <w:szCs w:val="24"/>
          <w:highlight w:val="none"/>
        </w:rPr>
        <w:tab/>
      </w:r>
    </w:p>
    <w:p>
      <w:pPr>
        <w:pStyle w:val="51"/>
        <w:pageBreakBefore w:val="0"/>
        <w:numPr>
          <w:ilvl w:val="0"/>
          <w:numId w:val="9"/>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故障诊断</w:t>
      </w:r>
    </w:p>
    <w:p>
      <w:pPr>
        <w:pStyle w:val="51"/>
        <w:pageBreakBefore w:val="0"/>
        <w:numPr>
          <w:ilvl w:val="0"/>
          <w:numId w:val="9"/>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技术咨询</w:t>
      </w:r>
    </w:p>
    <w:p>
      <w:pPr>
        <w:pStyle w:val="51"/>
        <w:pageBreakBefore w:val="0"/>
        <w:numPr>
          <w:ilvl w:val="0"/>
          <w:numId w:val="9"/>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表空间维护</w:t>
      </w:r>
    </w:p>
    <w:p>
      <w:pPr>
        <w:pStyle w:val="51"/>
        <w:pageBreakBefore w:val="0"/>
        <w:numPr>
          <w:ilvl w:val="0"/>
          <w:numId w:val="9"/>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日志维护 </w:t>
      </w:r>
    </w:p>
    <w:p>
      <w:pPr>
        <w:pStyle w:val="51"/>
        <w:pageBreakBefore w:val="0"/>
        <w:numPr>
          <w:ilvl w:val="0"/>
          <w:numId w:val="9"/>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小版本补丁安装</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（4）数据库健康检查服务</w:t>
      </w:r>
      <w:r>
        <w:rPr>
          <w:rFonts w:hint="eastAsia" w:ascii="宋体" w:hAnsi="宋体" w:eastAsia="宋体" w:cs="宋体"/>
          <w:color w:val="auto"/>
          <w:sz w:val="24"/>
          <w:szCs w:val="24"/>
          <w:highlight w:val="none"/>
        </w:rPr>
        <w:tab/>
      </w:r>
    </w:p>
    <w:p>
      <w:pPr>
        <w:pStyle w:val="51"/>
        <w:pageBreakBefore w:val="0"/>
        <w:numPr>
          <w:ilvl w:val="0"/>
          <w:numId w:val="10"/>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运行状态检查</w:t>
      </w:r>
    </w:p>
    <w:p>
      <w:pPr>
        <w:pStyle w:val="51"/>
        <w:pageBreakBefore w:val="0"/>
        <w:numPr>
          <w:ilvl w:val="0"/>
          <w:numId w:val="10"/>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日志检查 </w:t>
      </w:r>
    </w:p>
    <w:p>
      <w:pPr>
        <w:pStyle w:val="51"/>
        <w:pageBreakBefore w:val="0"/>
        <w:numPr>
          <w:ilvl w:val="0"/>
          <w:numId w:val="10"/>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备份情况检查</w:t>
      </w:r>
    </w:p>
    <w:p>
      <w:pPr>
        <w:pStyle w:val="51"/>
        <w:pageBreakBefore w:val="0"/>
        <w:numPr>
          <w:ilvl w:val="0"/>
          <w:numId w:val="10"/>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表空间检查</w:t>
      </w:r>
    </w:p>
    <w:p>
      <w:pPr>
        <w:pStyle w:val="51"/>
        <w:pageBreakBefore w:val="0"/>
        <w:numPr>
          <w:ilvl w:val="0"/>
          <w:numId w:val="10"/>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命中率检查 </w:t>
      </w:r>
    </w:p>
    <w:p>
      <w:pPr>
        <w:pStyle w:val="51"/>
        <w:pageBreakBefore w:val="0"/>
        <w:numPr>
          <w:ilvl w:val="0"/>
          <w:numId w:val="10"/>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数据库读写及会话信息检查</w:t>
      </w:r>
    </w:p>
    <w:p>
      <w:pPr>
        <w:pStyle w:val="14"/>
        <w:pageBreakBefore w:val="0"/>
        <w:kinsoku/>
        <w:wordWrap/>
        <w:overflowPunct/>
        <w:topLinePunct w:val="0"/>
        <w:autoSpaceDE/>
        <w:autoSpaceDN/>
        <w:bidi w:val="0"/>
        <w:spacing w:after="0" w:line="440" w:lineRule="exact"/>
        <w:ind w:left="0" w:firstLine="482" w:firstLineChars="200"/>
        <w:jc w:val="left"/>
        <w:rPr>
          <w:rFonts w:hint="eastAsia" w:ascii="宋体" w:hAnsi="宋体" w:eastAsia="宋体" w:cs="宋体"/>
          <w:b/>
          <w:color w:val="auto"/>
          <w:kern w:val="2"/>
          <w:sz w:val="24"/>
          <w:szCs w:val="24"/>
          <w:highlight w:val="none"/>
          <w:lang w:val="en-US" w:eastAsia="zh-CN" w:bidi="ar-SA"/>
        </w:rPr>
      </w:pPr>
      <w:bookmarkStart w:id="65" w:name="_Toc26857"/>
      <w:bookmarkStart w:id="66" w:name="_Toc338515223"/>
      <w:bookmarkStart w:id="67" w:name="_Toc283300615"/>
      <w:bookmarkStart w:id="68" w:name="_Toc338514901"/>
      <w:r>
        <w:rPr>
          <w:rFonts w:hint="eastAsia" w:ascii="宋体" w:hAnsi="宋体" w:eastAsia="宋体" w:cs="宋体"/>
          <w:b/>
          <w:color w:val="auto"/>
          <w:kern w:val="2"/>
          <w:sz w:val="24"/>
          <w:szCs w:val="24"/>
          <w:highlight w:val="none"/>
          <w:lang w:val="en-US" w:eastAsia="zh-CN" w:bidi="ar-SA"/>
        </w:rPr>
        <w:t>6.3安全系统维护服务</w:t>
      </w:r>
      <w:bookmarkEnd w:id="65"/>
      <w:bookmarkEnd w:id="66"/>
      <w:bookmarkEnd w:id="67"/>
      <w:bookmarkEnd w:id="68"/>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（1）安全产品操作系统维护服务</w:t>
      </w:r>
      <w:r>
        <w:rPr>
          <w:rFonts w:hint="eastAsia" w:ascii="宋体" w:hAnsi="宋体" w:eastAsia="宋体" w:cs="宋体"/>
          <w:color w:val="auto"/>
          <w:sz w:val="24"/>
          <w:szCs w:val="24"/>
          <w:highlight w:val="none"/>
        </w:rPr>
        <w:tab/>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网络安全产品性能检测、安全策略设置、检测及防护策略检查、操作（系统）日志、安全审计、系统用户安全性检测、系统及补丁升级。</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（2）安全产品硬件健康检查服务</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网络安全产品硬件检测 （CPU,内存，硬盘等信息）、产品性能及特性检查、硬件运行情况检查。</w:t>
      </w:r>
    </w:p>
    <w:p>
      <w:pPr>
        <w:pStyle w:val="51"/>
        <w:pageBreakBefore w:val="0"/>
        <w:numPr>
          <w:ilvl w:val="0"/>
          <w:numId w:val="11"/>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安全产品病毒库、特征库更新</w:t>
      </w:r>
    </w:p>
    <w:p>
      <w:pPr>
        <w:pStyle w:val="51"/>
        <w:pageBreakBefore w:val="0"/>
        <w:numPr>
          <w:ilvl w:val="0"/>
          <w:numId w:val="0"/>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定期更新安全产品病毒库、特征库。</w:t>
      </w:r>
    </w:p>
    <w:p>
      <w:pPr>
        <w:pStyle w:val="14"/>
        <w:pageBreakBefore w:val="0"/>
        <w:kinsoku/>
        <w:wordWrap/>
        <w:overflowPunct/>
        <w:topLinePunct w:val="0"/>
        <w:autoSpaceDE/>
        <w:autoSpaceDN/>
        <w:bidi w:val="0"/>
        <w:spacing w:after="0" w:line="440" w:lineRule="exact"/>
        <w:ind w:left="0" w:firstLine="482" w:firstLineChars="200"/>
        <w:jc w:val="left"/>
        <w:rPr>
          <w:rFonts w:hint="eastAsia" w:ascii="宋体" w:hAnsi="宋体" w:eastAsia="宋体" w:cs="宋体"/>
          <w:b/>
          <w:color w:val="auto"/>
          <w:kern w:val="2"/>
          <w:sz w:val="24"/>
          <w:szCs w:val="24"/>
          <w:highlight w:val="none"/>
          <w:lang w:val="en-US" w:eastAsia="zh-CN" w:bidi="ar-SA"/>
        </w:rPr>
      </w:pPr>
      <w:bookmarkStart w:id="69" w:name="_Toc338515224"/>
      <w:bookmarkStart w:id="70" w:name="_Toc1818"/>
      <w:bookmarkStart w:id="71" w:name="_Toc283300616"/>
      <w:bookmarkStart w:id="72" w:name="_Toc338514902"/>
      <w:r>
        <w:rPr>
          <w:rFonts w:hint="eastAsia" w:ascii="宋体" w:hAnsi="宋体" w:eastAsia="宋体" w:cs="宋体"/>
          <w:b/>
          <w:color w:val="auto"/>
          <w:kern w:val="2"/>
          <w:sz w:val="24"/>
          <w:szCs w:val="24"/>
          <w:highlight w:val="none"/>
          <w:lang w:val="en-US" w:eastAsia="zh-CN" w:bidi="ar-SA"/>
        </w:rPr>
        <w:t>6.4网络维护服务</w:t>
      </w:r>
      <w:bookmarkEnd w:id="69"/>
      <w:bookmarkEnd w:id="70"/>
      <w:bookmarkEnd w:id="71"/>
      <w:bookmarkEnd w:id="72"/>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（1）网络设备操作系统维护服务</w:t>
      </w:r>
      <w:r>
        <w:rPr>
          <w:rFonts w:hint="eastAsia" w:ascii="宋体" w:hAnsi="宋体" w:eastAsia="宋体" w:cs="宋体"/>
          <w:color w:val="auto"/>
          <w:sz w:val="24"/>
          <w:szCs w:val="24"/>
          <w:highlight w:val="none"/>
        </w:rPr>
        <w:tab/>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故障诊断、技术咨询、安全策略维护、日志维护、路由维护、简单产品部署。</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（2）网络硬件健康检查服务</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运行状态检查、日志检查、策略、路由运行情况、硬件运行情况检查。</w:t>
      </w:r>
    </w:p>
    <w:p>
      <w:pPr>
        <w:pStyle w:val="14"/>
        <w:pageBreakBefore w:val="0"/>
        <w:kinsoku/>
        <w:wordWrap/>
        <w:overflowPunct/>
        <w:topLinePunct w:val="0"/>
        <w:autoSpaceDE/>
        <w:autoSpaceDN/>
        <w:bidi w:val="0"/>
        <w:spacing w:after="0" w:line="440" w:lineRule="exact"/>
        <w:ind w:left="0" w:firstLine="482" w:firstLineChars="200"/>
        <w:jc w:val="left"/>
        <w:rPr>
          <w:rFonts w:hint="eastAsia" w:ascii="宋体" w:hAnsi="宋体" w:eastAsia="宋体" w:cs="宋体"/>
          <w:b/>
          <w:color w:val="auto"/>
          <w:kern w:val="2"/>
          <w:sz w:val="24"/>
          <w:szCs w:val="24"/>
          <w:highlight w:val="none"/>
          <w:lang w:val="en-US" w:eastAsia="zh-CN" w:bidi="ar-SA"/>
        </w:rPr>
      </w:pPr>
      <w:bookmarkStart w:id="73" w:name="_Toc1782"/>
      <w:r>
        <w:rPr>
          <w:rFonts w:hint="eastAsia" w:ascii="宋体" w:hAnsi="宋体" w:eastAsia="宋体" w:cs="宋体"/>
          <w:b/>
          <w:color w:val="auto"/>
          <w:kern w:val="2"/>
          <w:sz w:val="24"/>
          <w:szCs w:val="24"/>
          <w:highlight w:val="none"/>
          <w:lang w:val="en-US" w:eastAsia="zh-CN" w:bidi="ar-SA"/>
        </w:rPr>
        <w:t>6.5磁盘阵列</w:t>
      </w:r>
      <w:bookmarkEnd w:id="73"/>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（1）磁盘阵列维护服务</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故障诊断、技术咨询、LUN及空间维护、日志维护、简单产品部署、磁盘维护。</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（2）磁盘阵列硬件健康检查服务</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运行状态检查、日志检查、空间检查、硬件运行情况检查。</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（3）光纤交换机维护服务</w:t>
      </w:r>
    </w:p>
    <w:p>
      <w:pPr>
        <w:pStyle w:val="51"/>
        <w:pageBreakBefore w:val="0"/>
        <w:numPr>
          <w:ilvl w:val="0"/>
          <w:numId w:val="12"/>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故障诊断 </w:t>
      </w:r>
    </w:p>
    <w:p>
      <w:pPr>
        <w:pStyle w:val="51"/>
        <w:pageBreakBefore w:val="0"/>
        <w:numPr>
          <w:ilvl w:val="0"/>
          <w:numId w:val="12"/>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技术咨询 </w:t>
      </w:r>
    </w:p>
    <w:p>
      <w:pPr>
        <w:pStyle w:val="51"/>
        <w:pageBreakBefore w:val="0"/>
        <w:numPr>
          <w:ilvl w:val="0"/>
          <w:numId w:val="12"/>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ZONE维护</w:t>
      </w:r>
    </w:p>
    <w:p>
      <w:pPr>
        <w:pStyle w:val="51"/>
        <w:pageBreakBefore w:val="0"/>
        <w:numPr>
          <w:ilvl w:val="0"/>
          <w:numId w:val="12"/>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日志维护</w:t>
      </w:r>
    </w:p>
    <w:p>
      <w:pPr>
        <w:pStyle w:val="51"/>
        <w:pageBreakBefore w:val="0"/>
        <w:numPr>
          <w:ilvl w:val="0"/>
          <w:numId w:val="12"/>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简单产品部署</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（4）光纤交换机康检查服务</w:t>
      </w:r>
    </w:p>
    <w:p>
      <w:pPr>
        <w:pStyle w:val="51"/>
        <w:pageBreakBefore w:val="0"/>
        <w:numPr>
          <w:ilvl w:val="0"/>
          <w:numId w:val="13"/>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硬件运行状态检查 </w:t>
      </w:r>
    </w:p>
    <w:p>
      <w:pPr>
        <w:pStyle w:val="51"/>
        <w:pageBreakBefore w:val="0"/>
        <w:numPr>
          <w:ilvl w:val="0"/>
          <w:numId w:val="13"/>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日志检查 </w:t>
      </w:r>
    </w:p>
    <w:p>
      <w:pPr>
        <w:pStyle w:val="51"/>
        <w:pageBreakBefore w:val="0"/>
        <w:numPr>
          <w:ilvl w:val="0"/>
          <w:numId w:val="13"/>
        </w:numPr>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接口状态检查  </w:t>
      </w:r>
    </w:p>
    <w:p>
      <w:pPr>
        <w:pStyle w:val="14"/>
        <w:pageBreakBefore w:val="0"/>
        <w:kinsoku/>
        <w:wordWrap/>
        <w:overflowPunct/>
        <w:topLinePunct w:val="0"/>
        <w:autoSpaceDE/>
        <w:autoSpaceDN/>
        <w:bidi w:val="0"/>
        <w:spacing w:after="0" w:line="440" w:lineRule="exact"/>
        <w:ind w:left="0" w:firstLine="482" w:firstLineChars="200"/>
        <w:jc w:val="left"/>
        <w:rPr>
          <w:rFonts w:hint="eastAsia" w:ascii="宋体" w:hAnsi="宋体" w:eastAsia="宋体" w:cs="宋体"/>
          <w:b/>
          <w:color w:val="auto"/>
          <w:kern w:val="2"/>
          <w:sz w:val="24"/>
          <w:szCs w:val="24"/>
          <w:highlight w:val="none"/>
          <w:lang w:val="en-US" w:eastAsia="zh-CN" w:bidi="ar-SA"/>
        </w:rPr>
      </w:pPr>
      <w:bookmarkStart w:id="74" w:name="_Toc489286728"/>
      <w:bookmarkStart w:id="75" w:name="_Toc22345"/>
      <w:r>
        <w:rPr>
          <w:rFonts w:hint="eastAsia" w:ascii="宋体" w:hAnsi="宋体" w:eastAsia="宋体" w:cs="宋体"/>
          <w:b/>
          <w:color w:val="auto"/>
          <w:kern w:val="2"/>
          <w:sz w:val="24"/>
          <w:szCs w:val="24"/>
          <w:highlight w:val="none"/>
          <w:lang w:val="en-US" w:eastAsia="zh-CN" w:bidi="ar-SA"/>
        </w:rPr>
        <w:t>6.6设备档案管理</w:t>
      </w:r>
      <w:bookmarkEnd w:id="74"/>
      <w:r>
        <w:rPr>
          <w:rFonts w:hint="eastAsia" w:ascii="宋体" w:hAnsi="宋体" w:eastAsia="宋体" w:cs="宋体"/>
          <w:b/>
          <w:color w:val="auto"/>
          <w:kern w:val="2"/>
          <w:sz w:val="24"/>
          <w:szCs w:val="24"/>
          <w:highlight w:val="none"/>
          <w:lang w:val="en-US" w:eastAsia="zh-CN" w:bidi="ar-SA"/>
        </w:rPr>
        <w:t>和工具使用管理</w:t>
      </w:r>
      <w:bookmarkEnd w:id="75"/>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对诸暨</w:t>
      </w:r>
      <w:r>
        <w:rPr>
          <w:rFonts w:hint="eastAsia" w:ascii="宋体" w:hAnsi="宋体" w:eastAsia="宋体" w:cs="宋体"/>
          <w:color w:val="auto"/>
          <w:sz w:val="24"/>
          <w:szCs w:val="24"/>
          <w:highlight w:val="none"/>
          <w:lang w:val="en-US" w:eastAsia="zh-CN"/>
        </w:rPr>
        <w:t>人社各机房</w:t>
      </w:r>
      <w:r>
        <w:rPr>
          <w:rFonts w:hint="eastAsia" w:ascii="宋体" w:hAnsi="宋体" w:eastAsia="宋体" w:cs="宋体"/>
          <w:color w:val="auto"/>
          <w:sz w:val="24"/>
          <w:szCs w:val="24"/>
          <w:highlight w:val="none"/>
        </w:rPr>
        <w:t>的每台设备制定标准系统档案，详细记录设备的设备型号、配置、购置时间、保修期、维修记录和每次故障处理情况，归档整理，分类保存、专人管理，并提交给用户。</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并且对机房内运营商接入线路、网络布线、设备标签、设备具体配置信息、账号密码进行管理，形成文档方式进行归档整理提交给用户。</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对维护工作中涉及的软硬件工具、机房内部基础耗材的管理由维护商自行负责。</w:t>
      </w:r>
    </w:p>
    <w:p>
      <w:pPr>
        <w:pStyle w:val="14"/>
        <w:pageBreakBefore w:val="0"/>
        <w:kinsoku/>
        <w:wordWrap/>
        <w:overflowPunct/>
        <w:topLinePunct w:val="0"/>
        <w:autoSpaceDE/>
        <w:autoSpaceDN/>
        <w:bidi w:val="0"/>
        <w:spacing w:after="0" w:line="440" w:lineRule="exact"/>
        <w:ind w:left="0" w:firstLine="482" w:firstLineChars="200"/>
        <w:jc w:val="left"/>
        <w:rPr>
          <w:rFonts w:hint="eastAsia" w:ascii="宋体" w:hAnsi="宋体" w:eastAsia="宋体" w:cs="宋体"/>
          <w:b/>
          <w:color w:val="auto"/>
          <w:kern w:val="2"/>
          <w:sz w:val="24"/>
          <w:szCs w:val="24"/>
          <w:highlight w:val="none"/>
          <w:lang w:val="en-US" w:eastAsia="zh-CN" w:bidi="ar-SA"/>
        </w:rPr>
      </w:pPr>
      <w:bookmarkStart w:id="76" w:name="_Toc6414"/>
      <w:r>
        <w:rPr>
          <w:rFonts w:hint="eastAsia" w:ascii="宋体" w:hAnsi="宋体" w:eastAsia="宋体" w:cs="宋体"/>
          <w:b/>
          <w:color w:val="auto"/>
          <w:kern w:val="2"/>
          <w:sz w:val="24"/>
          <w:szCs w:val="24"/>
          <w:highlight w:val="none"/>
          <w:lang w:val="en-US" w:eastAsia="zh-CN" w:bidi="ar-SA"/>
        </w:rPr>
        <w:t>（七）服务响应方式</w:t>
      </w:r>
      <w:bookmarkEnd w:id="76"/>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w:t>
      </w:r>
      <w:r>
        <w:rPr>
          <w:rFonts w:hint="eastAsia" w:ascii="宋体" w:hAnsi="宋体" w:eastAsia="宋体" w:cs="宋体"/>
          <w:color w:val="auto"/>
          <w:sz w:val="24"/>
          <w:szCs w:val="24"/>
          <w:highlight w:val="none"/>
          <w:lang w:val="en-US" w:eastAsia="zh-CN"/>
        </w:rPr>
        <w:t>诸暨人社</w:t>
      </w:r>
      <w:r>
        <w:rPr>
          <w:rFonts w:hint="eastAsia" w:ascii="宋体" w:hAnsi="宋体" w:eastAsia="宋体" w:cs="宋体"/>
          <w:color w:val="auto"/>
          <w:sz w:val="24"/>
          <w:szCs w:val="24"/>
          <w:highlight w:val="none"/>
        </w:rPr>
        <w:t>信息系统服务运营体系建设，保障</w:t>
      </w:r>
      <w:r>
        <w:rPr>
          <w:rFonts w:hint="eastAsia" w:ascii="宋体" w:hAnsi="宋体" w:eastAsia="宋体" w:cs="宋体"/>
          <w:color w:val="auto"/>
          <w:sz w:val="24"/>
          <w:szCs w:val="24"/>
          <w:highlight w:val="none"/>
          <w:lang w:val="en-US" w:eastAsia="zh-CN"/>
        </w:rPr>
        <w:t>诸暨人社</w:t>
      </w:r>
      <w:r>
        <w:rPr>
          <w:rFonts w:hint="eastAsia" w:ascii="宋体" w:hAnsi="宋体" w:eastAsia="宋体" w:cs="宋体"/>
          <w:color w:val="auto"/>
          <w:sz w:val="24"/>
          <w:szCs w:val="24"/>
          <w:highlight w:val="none"/>
        </w:rPr>
        <w:t>信息系统安全、可靠、高效运行，本着“用户至上、诚信守诺”的服务原则，更好地服务本项目，提供完善的服务响应和处理的机制，充分保障整个服务运营体系建设的质量。</w:t>
      </w:r>
    </w:p>
    <w:p>
      <w:pPr>
        <w:pStyle w:val="14"/>
        <w:pageBreakBefore w:val="0"/>
        <w:kinsoku/>
        <w:wordWrap/>
        <w:overflowPunct/>
        <w:topLinePunct w:val="0"/>
        <w:autoSpaceDE/>
        <w:autoSpaceDN/>
        <w:bidi w:val="0"/>
        <w:spacing w:after="0" w:line="440" w:lineRule="exact"/>
        <w:ind w:left="0" w:firstLine="482" w:firstLineChars="200"/>
        <w:jc w:val="left"/>
        <w:rPr>
          <w:rFonts w:hint="eastAsia" w:ascii="宋体" w:hAnsi="宋体" w:eastAsia="宋体" w:cs="宋体"/>
          <w:b/>
          <w:color w:val="auto"/>
          <w:kern w:val="2"/>
          <w:sz w:val="24"/>
          <w:szCs w:val="24"/>
          <w:highlight w:val="none"/>
          <w:lang w:val="en-US" w:eastAsia="zh-CN" w:bidi="ar-SA"/>
        </w:rPr>
      </w:pPr>
      <w:bookmarkStart w:id="77" w:name="_Toc5170"/>
      <w:r>
        <w:rPr>
          <w:rFonts w:hint="eastAsia" w:ascii="宋体" w:hAnsi="宋体" w:eastAsia="宋体" w:cs="宋体"/>
          <w:b/>
          <w:color w:val="auto"/>
          <w:kern w:val="2"/>
          <w:sz w:val="24"/>
          <w:szCs w:val="24"/>
          <w:highlight w:val="none"/>
          <w:lang w:val="en-US" w:eastAsia="zh-CN" w:bidi="ar-SA"/>
        </w:rPr>
        <w:t>7.1服务期限</w:t>
      </w:r>
      <w:bookmarkEnd w:id="77"/>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诸暨市人力资源和社会保障局机房软硬件维护</w:t>
      </w:r>
      <w:r>
        <w:rPr>
          <w:rFonts w:hint="eastAsia" w:ascii="宋体" w:hAnsi="宋体" w:eastAsia="宋体" w:cs="宋体"/>
          <w:color w:val="auto"/>
          <w:sz w:val="24"/>
          <w:szCs w:val="24"/>
          <w:highlight w:val="none"/>
        </w:rPr>
        <w:t>项目维护周期为一年（</w:t>
      </w:r>
      <w:r>
        <w:rPr>
          <w:rFonts w:hint="eastAsia" w:ascii="宋体" w:hAnsi="宋体" w:eastAsia="宋体" w:cs="宋体"/>
          <w:b/>
          <w:color w:val="auto"/>
          <w:sz w:val="24"/>
          <w:szCs w:val="24"/>
          <w:highlight w:val="none"/>
        </w:rPr>
        <w:t>202</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年6月3日至202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年6月2日</w:t>
      </w:r>
      <w:r>
        <w:rPr>
          <w:rFonts w:hint="eastAsia" w:ascii="宋体" w:hAnsi="宋体" w:eastAsia="宋体" w:cs="宋体"/>
          <w:color w:val="auto"/>
          <w:sz w:val="24"/>
          <w:szCs w:val="24"/>
          <w:highlight w:val="none"/>
        </w:rPr>
        <w:t>），服务地点为诸暨市</w:t>
      </w:r>
      <w:r>
        <w:rPr>
          <w:rFonts w:hint="eastAsia" w:ascii="宋体" w:hAnsi="宋体" w:eastAsia="宋体" w:cs="宋体"/>
          <w:color w:val="auto"/>
          <w:sz w:val="24"/>
          <w:szCs w:val="24"/>
          <w:highlight w:val="none"/>
          <w:lang w:val="en-US" w:eastAsia="zh-CN"/>
        </w:rPr>
        <w:t>人力资源和社会保障局</w:t>
      </w:r>
      <w:r>
        <w:rPr>
          <w:rFonts w:hint="eastAsia" w:ascii="宋体" w:hAnsi="宋体" w:eastAsia="宋体" w:cs="宋体"/>
          <w:color w:val="auto"/>
          <w:sz w:val="24"/>
          <w:szCs w:val="24"/>
          <w:highlight w:val="none"/>
        </w:rPr>
        <w:t>指定的场所；为项目服务范围内所有软</w:t>
      </w:r>
      <w:r>
        <w:rPr>
          <w:rFonts w:hint="eastAsia" w:ascii="宋体" w:hAnsi="宋体" w:eastAsia="宋体" w:cs="宋体"/>
          <w:color w:val="auto"/>
          <w:sz w:val="24"/>
          <w:szCs w:val="24"/>
          <w:highlight w:val="none"/>
          <w:lang w:val="en-US" w:eastAsia="zh-CN"/>
        </w:rPr>
        <w:t>硬件</w:t>
      </w:r>
      <w:r>
        <w:rPr>
          <w:rFonts w:hint="eastAsia" w:ascii="宋体" w:hAnsi="宋体" w:eastAsia="宋体" w:cs="宋体"/>
          <w:color w:val="auto"/>
          <w:sz w:val="24"/>
          <w:szCs w:val="24"/>
          <w:highlight w:val="none"/>
        </w:rPr>
        <w:t>系统提供技术维护服务。</w:t>
      </w:r>
    </w:p>
    <w:p>
      <w:pPr>
        <w:pStyle w:val="14"/>
        <w:pageBreakBefore w:val="0"/>
        <w:kinsoku/>
        <w:wordWrap/>
        <w:overflowPunct/>
        <w:topLinePunct w:val="0"/>
        <w:autoSpaceDE/>
        <w:autoSpaceDN/>
        <w:bidi w:val="0"/>
        <w:spacing w:after="0" w:line="440" w:lineRule="exact"/>
        <w:ind w:left="0" w:firstLine="482" w:firstLineChars="200"/>
        <w:jc w:val="left"/>
        <w:rPr>
          <w:rFonts w:hint="eastAsia" w:ascii="宋体" w:hAnsi="宋体" w:eastAsia="宋体" w:cs="宋体"/>
          <w:b/>
          <w:color w:val="auto"/>
          <w:kern w:val="2"/>
          <w:sz w:val="24"/>
          <w:szCs w:val="24"/>
          <w:highlight w:val="none"/>
          <w:lang w:val="en-US" w:eastAsia="zh-CN" w:bidi="ar-SA"/>
        </w:rPr>
      </w:pPr>
      <w:bookmarkStart w:id="78" w:name="_Toc5977"/>
      <w:r>
        <w:rPr>
          <w:rFonts w:hint="eastAsia" w:ascii="宋体" w:hAnsi="宋体" w:eastAsia="宋体" w:cs="宋体"/>
          <w:b/>
          <w:color w:val="auto"/>
          <w:kern w:val="2"/>
          <w:sz w:val="24"/>
          <w:szCs w:val="24"/>
          <w:highlight w:val="none"/>
          <w:lang w:val="en-US" w:eastAsia="zh-CN" w:bidi="ar-SA"/>
        </w:rPr>
        <w:t>7.2远程电话支持服务</w:t>
      </w:r>
      <w:bookmarkEnd w:id="78"/>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提供7*24不间断的电话服务支持（客服热线、专职工程师手机），不限次。同时，用户工作人员在使用维保范围内的小型机、存储、网络设备等设备如遇到问题,无论是软件, 硬件或是数据库,都随时可以得到电话支持与帮助。指定一名主要联系人及两名替补联系人与用户方信息管理人员联系。一旦接到用户方请求电话,技术人员将在规定时间内通过电话解决或回答用户所提出的问题。若指定工程师如果因特殊原因离职或更换电话，及时通知用户方，并指定合格的接替人员。</w:t>
      </w:r>
    </w:p>
    <w:p>
      <w:pPr>
        <w:pStyle w:val="14"/>
        <w:pageBreakBefore w:val="0"/>
        <w:kinsoku/>
        <w:wordWrap/>
        <w:overflowPunct/>
        <w:topLinePunct w:val="0"/>
        <w:autoSpaceDE/>
        <w:autoSpaceDN/>
        <w:bidi w:val="0"/>
        <w:spacing w:after="0" w:line="440" w:lineRule="exact"/>
        <w:ind w:left="0" w:firstLine="482" w:firstLineChars="200"/>
        <w:jc w:val="left"/>
        <w:rPr>
          <w:rFonts w:hint="eastAsia" w:ascii="宋体" w:hAnsi="宋体" w:eastAsia="宋体" w:cs="宋体"/>
          <w:b/>
          <w:color w:val="auto"/>
          <w:kern w:val="2"/>
          <w:sz w:val="24"/>
          <w:szCs w:val="24"/>
          <w:highlight w:val="none"/>
          <w:lang w:val="en-US" w:eastAsia="zh-CN" w:bidi="ar-SA"/>
        </w:rPr>
      </w:pPr>
      <w:bookmarkStart w:id="79" w:name="_Toc20062"/>
      <w:r>
        <w:rPr>
          <w:rFonts w:hint="eastAsia" w:ascii="宋体" w:hAnsi="宋体" w:eastAsia="宋体" w:cs="宋体"/>
          <w:b/>
          <w:color w:val="auto"/>
          <w:kern w:val="2"/>
          <w:sz w:val="24"/>
          <w:szCs w:val="24"/>
          <w:highlight w:val="none"/>
          <w:lang w:val="en-US" w:eastAsia="zh-CN" w:bidi="ar-SA"/>
        </w:rPr>
        <w:t>7.3维护响应时间和维护团队</w:t>
      </w:r>
      <w:bookmarkEnd w:id="79"/>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每天（含节假日）24小时，接到故障呼叫提供服务。</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关键问题：当小型机、网络设备及存储系统等机房设备发生故障，或任何影响用户业务正常运作的故障。</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一般问题：不影响用户业务正常运作的故障，专职工程师在第一时间作出反应，及时处理问题、解决故障，后备技术团队做为后备技术支持力量，对疑难问题（软、硬件故障）1～15分钟做出快速电话响应，</w:t>
      </w:r>
      <w:r>
        <w:rPr>
          <w:rFonts w:hint="eastAsia" w:ascii="宋体" w:hAnsi="宋体" w:eastAsia="宋体" w:cs="宋体"/>
          <w:color w:val="auto"/>
          <w:sz w:val="24"/>
          <w:szCs w:val="24"/>
          <w:highlight w:val="none"/>
          <w:lang w:val="en-US" w:eastAsia="zh-CN"/>
        </w:rPr>
        <w:t>30分钟</w:t>
      </w:r>
      <w:r>
        <w:rPr>
          <w:rFonts w:hint="eastAsia" w:ascii="宋体" w:hAnsi="宋体" w:eastAsia="宋体" w:cs="宋体"/>
          <w:color w:val="auto"/>
          <w:sz w:val="24"/>
          <w:szCs w:val="24"/>
          <w:highlight w:val="none"/>
        </w:rPr>
        <w:t>内恢复业务系统，</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小时内到达现场。</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268"/>
        <w:gridCol w:w="2825"/>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268" w:type="dxa"/>
          </w:tcPr>
          <w:p>
            <w:pPr>
              <w:pStyle w:val="5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825" w:type="dxa"/>
          </w:tcPr>
          <w:p>
            <w:pPr>
              <w:pStyle w:val="5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职责</w:t>
            </w:r>
          </w:p>
        </w:tc>
        <w:tc>
          <w:tcPr>
            <w:tcW w:w="2074" w:type="dxa"/>
          </w:tcPr>
          <w:p>
            <w:pPr>
              <w:pStyle w:val="5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68" w:type="dxa"/>
          </w:tcPr>
          <w:p>
            <w:pPr>
              <w:pStyle w:val="5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z w:val="24"/>
                <w:szCs w:val="24"/>
                <w:highlight w:val="none"/>
              </w:rPr>
            </w:pPr>
          </w:p>
        </w:tc>
        <w:tc>
          <w:tcPr>
            <w:tcW w:w="2825" w:type="dxa"/>
          </w:tcPr>
          <w:p>
            <w:pPr>
              <w:pStyle w:val="5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技术总负责</w:t>
            </w:r>
          </w:p>
        </w:tc>
        <w:tc>
          <w:tcPr>
            <w:tcW w:w="2074" w:type="dxa"/>
          </w:tcPr>
          <w:p>
            <w:pPr>
              <w:pStyle w:val="5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68" w:type="dxa"/>
          </w:tcPr>
          <w:p>
            <w:pPr>
              <w:pStyle w:val="5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z w:val="24"/>
                <w:szCs w:val="24"/>
                <w:highlight w:val="none"/>
              </w:rPr>
            </w:pPr>
          </w:p>
        </w:tc>
        <w:tc>
          <w:tcPr>
            <w:tcW w:w="2825" w:type="dxa"/>
          </w:tcPr>
          <w:p>
            <w:pPr>
              <w:pStyle w:val="5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专职工程师（网络）</w:t>
            </w:r>
          </w:p>
        </w:tc>
        <w:tc>
          <w:tcPr>
            <w:tcW w:w="2074" w:type="dxa"/>
          </w:tcPr>
          <w:p>
            <w:pPr>
              <w:pStyle w:val="5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68" w:type="dxa"/>
          </w:tcPr>
          <w:p>
            <w:pPr>
              <w:pStyle w:val="5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z w:val="24"/>
                <w:szCs w:val="24"/>
                <w:highlight w:val="none"/>
              </w:rPr>
            </w:pPr>
          </w:p>
        </w:tc>
        <w:tc>
          <w:tcPr>
            <w:tcW w:w="2825" w:type="dxa"/>
          </w:tcPr>
          <w:p>
            <w:pPr>
              <w:pStyle w:val="5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专职工程师（主机存储）</w:t>
            </w:r>
          </w:p>
        </w:tc>
        <w:tc>
          <w:tcPr>
            <w:tcW w:w="2074" w:type="dxa"/>
          </w:tcPr>
          <w:p>
            <w:pPr>
              <w:pStyle w:val="5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68" w:type="dxa"/>
          </w:tcPr>
          <w:p>
            <w:pPr>
              <w:pStyle w:val="5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z w:val="24"/>
                <w:szCs w:val="24"/>
                <w:highlight w:val="none"/>
              </w:rPr>
            </w:pPr>
          </w:p>
        </w:tc>
        <w:tc>
          <w:tcPr>
            <w:tcW w:w="2825" w:type="dxa"/>
          </w:tcPr>
          <w:p>
            <w:pPr>
              <w:pStyle w:val="5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数据库专家</w:t>
            </w:r>
          </w:p>
        </w:tc>
        <w:tc>
          <w:tcPr>
            <w:tcW w:w="2074" w:type="dxa"/>
          </w:tcPr>
          <w:p>
            <w:pPr>
              <w:pStyle w:val="5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68" w:type="dxa"/>
          </w:tcPr>
          <w:p>
            <w:pPr>
              <w:pStyle w:val="5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z w:val="24"/>
                <w:szCs w:val="24"/>
                <w:highlight w:val="none"/>
              </w:rPr>
            </w:pPr>
          </w:p>
        </w:tc>
        <w:tc>
          <w:tcPr>
            <w:tcW w:w="2825" w:type="dxa"/>
          </w:tcPr>
          <w:p>
            <w:pPr>
              <w:pStyle w:val="5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集成顾问</w:t>
            </w:r>
          </w:p>
        </w:tc>
        <w:tc>
          <w:tcPr>
            <w:tcW w:w="2074" w:type="dxa"/>
          </w:tcPr>
          <w:p>
            <w:pPr>
              <w:pStyle w:val="5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268" w:type="dxa"/>
          </w:tcPr>
          <w:p>
            <w:pPr>
              <w:pStyle w:val="5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z w:val="24"/>
                <w:szCs w:val="24"/>
                <w:highlight w:val="none"/>
              </w:rPr>
            </w:pPr>
          </w:p>
        </w:tc>
        <w:tc>
          <w:tcPr>
            <w:tcW w:w="2825" w:type="dxa"/>
          </w:tcPr>
          <w:p>
            <w:pPr>
              <w:pStyle w:val="5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总调协人</w:t>
            </w:r>
          </w:p>
        </w:tc>
        <w:tc>
          <w:tcPr>
            <w:tcW w:w="2074" w:type="dxa"/>
          </w:tcPr>
          <w:p>
            <w:pPr>
              <w:pStyle w:val="51"/>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sz w:val="24"/>
                <w:szCs w:val="24"/>
                <w:highlight w:val="none"/>
              </w:rPr>
            </w:pPr>
          </w:p>
        </w:tc>
      </w:tr>
    </w:tbl>
    <w:p>
      <w:pPr>
        <w:pStyle w:val="14"/>
        <w:pageBreakBefore w:val="0"/>
        <w:kinsoku/>
        <w:wordWrap/>
        <w:overflowPunct/>
        <w:topLinePunct w:val="0"/>
        <w:autoSpaceDE/>
        <w:autoSpaceDN/>
        <w:bidi w:val="0"/>
        <w:spacing w:after="0" w:line="440" w:lineRule="exact"/>
        <w:ind w:left="0" w:firstLine="482" w:firstLineChars="200"/>
        <w:jc w:val="left"/>
        <w:rPr>
          <w:rFonts w:hint="eastAsia" w:ascii="宋体" w:hAnsi="宋体" w:eastAsia="宋体" w:cs="宋体"/>
          <w:b/>
          <w:color w:val="auto"/>
          <w:kern w:val="2"/>
          <w:sz w:val="24"/>
          <w:szCs w:val="24"/>
          <w:highlight w:val="none"/>
          <w:lang w:val="en-US" w:eastAsia="zh-CN" w:bidi="ar-SA"/>
        </w:rPr>
      </w:pPr>
      <w:bookmarkStart w:id="80" w:name="_Toc19792"/>
      <w:r>
        <w:rPr>
          <w:rFonts w:hint="eastAsia" w:ascii="宋体" w:hAnsi="宋体" w:eastAsia="宋体" w:cs="宋体"/>
          <w:b/>
          <w:color w:val="auto"/>
          <w:kern w:val="2"/>
          <w:sz w:val="24"/>
          <w:szCs w:val="24"/>
          <w:highlight w:val="none"/>
          <w:lang w:val="en-US" w:eastAsia="zh-CN" w:bidi="ar-SA"/>
        </w:rPr>
        <w:t>7.4多样的服务响应方式</w:t>
      </w:r>
      <w:bookmarkEnd w:id="80"/>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1）电话热线服务：呼叫中心统一受理服务请求和服务投诉服务。</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2）远程技术支持：提供远程技术支持服务能。</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3）专职服务：派遣</w:t>
      </w:r>
      <w:r>
        <w:rPr>
          <w:rFonts w:hint="eastAsia" w:ascii="宋体" w:hAnsi="宋体" w:eastAsia="宋体" w:cs="宋体"/>
          <w:b/>
          <w:bCs/>
          <w:color w:val="auto"/>
          <w:sz w:val="24"/>
          <w:szCs w:val="24"/>
          <w:highlight w:val="none"/>
        </w:rPr>
        <w:t>一</w:t>
      </w:r>
      <w:r>
        <w:rPr>
          <w:rFonts w:hint="eastAsia" w:ascii="宋体" w:hAnsi="宋体" w:eastAsia="宋体" w:cs="宋体"/>
          <w:b w:val="0"/>
          <w:bCs w:val="0"/>
          <w:color w:val="auto"/>
          <w:sz w:val="24"/>
          <w:szCs w:val="24"/>
          <w:highlight w:val="none"/>
        </w:rPr>
        <w:t>名</w:t>
      </w:r>
      <w:r>
        <w:rPr>
          <w:rFonts w:hint="eastAsia" w:ascii="宋体" w:hAnsi="宋体" w:eastAsia="宋体" w:cs="宋体"/>
          <w:color w:val="auto"/>
          <w:sz w:val="24"/>
          <w:szCs w:val="24"/>
          <w:highlight w:val="none"/>
        </w:rPr>
        <w:t>具有丰富项目经验的技术工程师，负责诸暨</w:t>
      </w:r>
      <w:r>
        <w:rPr>
          <w:rFonts w:hint="eastAsia" w:ascii="宋体" w:hAnsi="宋体" w:eastAsia="宋体" w:cs="宋体"/>
          <w:color w:val="auto"/>
          <w:sz w:val="24"/>
          <w:szCs w:val="24"/>
          <w:highlight w:val="none"/>
          <w:lang w:val="en-US" w:eastAsia="zh-CN"/>
        </w:rPr>
        <w:t>人社机房</w:t>
      </w:r>
      <w:r>
        <w:rPr>
          <w:rFonts w:hint="eastAsia" w:ascii="宋体" w:hAnsi="宋体" w:eastAsia="宋体" w:cs="宋体"/>
          <w:color w:val="auto"/>
          <w:sz w:val="24"/>
          <w:szCs w:val="24"/>
          <w:highlight w:val="none"/>
        </w:rPr>
        <w:t>软</w:t>
      </w:r>
      <w:r>
        <w:rPr>
          <w:rFonts w:hint="eastAsia" w:ascii="宋体" w:hAnsi="宋体" w:eastAsia="宋体" w:cs="宋体"/>
          <w:color w:val="auto"/>
          <w:sz w:val="24"/>
          <w:szCs w:val="24"/>
          <w:highlight w:val="none"/>
          <w:lang w:val="en-US" w:eastAsia="zh-CN"/>
        </w:rPr>
        <w:t>硬件维保服务</w:t>
      </w:r>
      <w:r>
        <w:rPr>
          <w:rFonts w:hint="eastAsia" w:ascii="宋体" w:hAnsi="宋体" w:eastAsia="宋体" w:cs="宋体"/>
          <w:color w:val="auto"/>
          <w:sz w:val="24"/>
          <w:szCs w:val="24"/>
          <w:highlight w:val="none"/>
        </w:rPr>
        <w:t>。</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4）现场紧急服务：在电话热线和远程支持以及驻地工程师都不能解决问题的情况下，组织技术团队，派遣高级工程师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小时内进行客户现场援助服务。</w:t>
      </w:r>
    </w:p>
    <w:p>
      <w:pPr>
        <w:pStyle w:val="14"/>
        <w:pageBreakBefore w:val="0"/>
        <w:kinsoku/>
        <w:wordWrap/>
        <w:overflowPunct/>
        <w:topLinePunct w:val="0"/>
        <w:autoSpaceDE/>
        <w:autoSpaceDN/>
        <w:bidi w:val="0"/>
        <w:spacing w:after="0" w:line="440" w:lineRule="exact"/>
        <w:ind w:left="0" w:firstLine="482" w:firstLineChars="200"/>
        <w:jc w:val="left"/>
        <w:rPr>
          <w:rFonts w:hint="eastAsia" w:ascii="宋体" w:hAnsi="宋体" w:eastAsia="宋体" w:cs="宋体"/>
          <w:b/>
          <w:color w:val="auto"/>
          <w:kern w:val="2"/>
          <w:sz w:val="24"/>
          <w:szCs w:val="24"/>
          <w:highlight w:val="none"/>
          <w:lang w:val="en-US" w:eastAsia="zh-CN" w:bidi="ar-SA"/>
        </w:rPr>
      </w:pPr>
      <w:bookmarkStart w:id="81" w:name="_Toc29738"/>
      <w:r>
        <w:rPr>
          <w:rFonts w:hint="eastAsia" w:ascii="宋体" w:hAnsi="宋体" w:eastAsia="宋体" w:cs="宋体"/>
          <w:b/>
          <w:color w:val="auto"/>
          <w:kern w:val="2"/>
          <w:sz w:val="24"/>
          <w:szCs w:val="24"/>
          <w:highlight w:val="none"/>
          <w:lang w:val="en-US" w:eastAsia="zh-CN" w:bidi="ar-SA"/>
        </w:rPr>
        <w:t>7.5多种的服务响应机制</w:t>
      </w:r>
      <w:bookmarkEnd w:id="81"/>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1）关键问题：当系统发生故障，或任何影响业务正常运作的故障。 </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响应时间：1～30分钟；</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到场时间：2小时内到达现场；</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修复时间：4小时内修复；</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2）一般问题：不影响用户方业务正常运作的故障</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响应时间：1～30分钟；</w:t>
      </w:r>
    </w:p>
    <w:p>
      <w:pPr>
        <w:pStyle w:val="51"/>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到场时间：4小时内到达现场;</w:t>
      </w:r>
    </w:p>
    <w:p>
      <w:pPr>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修复时间：24小时内修复。</w:t>
      </w:r>
    </w:p>
    <w:p>
      <w:pPr>
        <w:pStyle w:val="36"/>
        <w:pageBreakBefore w:val="0"/>
        <w:numPr>
          <w:ilvl w:val="0"/>
          <w:numId w:val="0"/>
        </w:numPr>
        <w:kinsoku/>
        <w:wordWrap/>
        <w:overflowPunct/>
        <w:topLinePunct w:val="0"/>
        <w:autoSpaceDE/>
        <w:autoSpaceDN/>
        <w:bidi w:val="0"/>
        <w:spacing w:line="440" w:lineRule="exact"/>
        <w:ind w:left="0"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（八）技术资料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8.1 中标供应商应按采购方</w:t>
      </w:r>
      <w:r>
        <w:rPr>
          <w:rFonts w:hint="eastAsia" w:ascii="宋体" w:hAnsi="宋体" w:cs="宋体"/>
          <w:color w:val="auto"/>
          <w:kern w:val="2"/>
          <w:sz w:val="24"/>
          <w:szCs w:val="24"/>
          <w:lang w:val="en-US" w:eastAsia="zh-CN" w:bidi="ar-SA"/>
        </w:rPr>
        <w:t>要求</w:t>
      </w:r>
      <w:r>
        <w:rPr>
          <w:rFonts w:hint="eastAsia" w:ascii="宋体" w:hAnsi="宋体" w:eastAsia="宋体" w:cs="宋体"/>
          <w:color w:val="auto"/>
          <w:kern w:val="2"/>
          <w:sz w:val="24"/>
          <w:szCs w:val="24"/>
          <w:lang w:val="en-US" w:eastAsia="zh-CN" w:bidi="ar-SA"/>
        </w:rPr>
        <w:t>提供使用的有关技术资料。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8.2 没有采购方事先书面同意，中标供应商不得将由采购方提供的有关合同或任何合同条文、规格、计划、资料提供给与履行本合同无关的任何其他人。即使向履行本合同有关的人员提供，也应注意保密并限于履行合同的必需范围。</w:t>
      </w:r>
    </w:p>
    <w:p>
      <w:pPr>
        <w:pStyle w:val="36"/>
        <w:pageBreakBefore w:val="0"/>
        <w:numPr>
          <w:ilvl w:val="0"/>
          <w:numId w:val="0"/>
        </w:numPr>
        <w:kinsoku/>
        <w:wordWrap/>
        <w:overflowPunct/>
        <w:topLinePunct w:val="0"/>
        <w:autoSpaceDE/>
        <w:autoSpaceDN/>
        <w:bidi w:val="0"/>
        <w:spacing w:line="440" w:lineRule="exact"/>
        <w:ind w:left="0" w:firstLine="482" w:firstLineChars="200"/>
        <w:jc w:val="left"/>
        <w:rPr>
          <w:rFonts w:hint="eastAsia" w:ascii="宋体" w:hAnsi="宋体" w:eastAsia="宋体" w:cs="宋体"/>
          <w:b/>
          <w:bCs/>
          <w:color w:val="auto"/>
          <w:sz w:val="24"/>
          <w:szCs w:val="24"/>
          <w:lang w:val="en-US" w:eastAsia="zh-CN"/>
        </w:rPr>
      </w:pPr>
      <w:bookmarkStart w:id="82" w:name="_Toc3809238"/>
      <w:r>
        <w:rPr>
          <w:rFonts w:hint="eastAsia" w:ascii="宋体" w:hAnsi="宋体" w:eastAsia="宋体" w:cs="宋体"/>
          <w:b/>
          <w:bCs/>
          <w:color w:val="auto"/>
          <w:sz w:val="24"/>
          <w:szCs w:val="24"/>
          <w:lang w:val="en-US" w:eastAsia="zh-CN"/>
        </w:rPr>
        <w:t>（九）知识产权</w:t>
      </w:r>
      <w:bookmarkEnd w:id="82"/>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9.1中标供应商应保证提供服务过程中不会侵犯任何第三方的知识产权。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9.2采购人拥有本服务成果的版权。未经采购人同意，中标供应商不得以任何形式擅自对外界发布关于本项目的任何信息。项目完成前，中标供应商不得单独发表或交流与本项目有关的服务成果。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ascii="宋体" w:hAnsi="宋体" w:eastAsia="宋体" w:cs="宋体"/>
          <w:color w:val="auto"/>
          <w:kern w:val="2"/>
          <w:sz w:val="24"/>
          <w:szCs w:val="24"/>
          <w:lang w:val="en-US" w:eastAsia="zh-CN" w:bidi="ar-SA"/>
        </w:rPr>
        <w:t>9.3中标供应商提供的服务必须是不受第三方限制的、免受追索的、符合国家法律、法规及规章规定的服务，中标供应商应保证采购人在本项目范围内使用的成果不受第三方提出的关于专利权、版权、设计、其他知识产权或使用许可的法律纠纷，倘若发生有关的诉讼，完全由中标供应商应诉并承担法律责任和费用。</w:t>
      </w:r>
    </w:p>
    <w:p>
      <w:pPr>
        <w:pStyle w:val="36"/>
        <w:pageBreakBefore w:val="0"/>
        <w:numPr>
          <w:ilvl w:val="0"/>
          <w:numId w:val="0"/>
        </w:numPr>
        <w:kinsoku/>
        <w:wordWrap/>
        <w:overflowPunct/>
        <w:topLinePunct w:val="0"/>
        <w:autoSpaceDE/>
        <w:autoSpaceDN/>
        <w:bidi w:val="0"/>
        <w:spacing w:line="440" w:lineRule="exact"/>
        <w:ind w:lef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十）</w:t>
      </w:r>
      <w:r>
        <w:rPr>
          <w:rFonts w:hint="eastAsia" w:ascii="宋体" w:hAnsi="宋体" w:eastAsia="宋体" w:cs="宋体"/>
          <w:b/>
          <w:bCs/>
          <w:color w:val="auto"/>
          <w:sz w:val="24"/>
          <w:szCs w:val="24"/>
        </w:rPr>
        <w:t>履约保证金</w:t>
      </w:r>
    </w:p>
    <w:p>
      <w:pPr>
        <w:pStyle w:val="36"/>
        <w:pageBreakBefore w:val="0"/>
        <w:kinsoku/>
        <w:wordWrap/>
        <w:overflowPunct/>
        <w:topLinePunct w:val="0"/>
        <w:autoSpaceDE/>
        <w:autoSpaceDN/>
        <w:bidi w:val="0"/>
        <w:spacing w:line="440" w:lineRule="exact"/>
        <w:ind w:left="0" w:firstLine="480" w:firstLineChars="200"/>
        <w:jc w:val="left"/>
        <w:rPr>
          <w:rFonts w:hint="eastAsia" w:ascii="宋体" w:hAnsi="宋体" w:eastAsia="宋体" w:cs="宋体"/>
          <w:color w:val="auto"/>
          <w:kern w:val="2"/>
          <w:sz w:val="24"/>
          <w:szCs w:val="24"/>
          <w:lang w:val="zh-CN"/>
        </w:rPr>
      </w:pPr>
      <w:r>
        <w:rPr>
          <w:rFonts w:hint="eastAsia" w:ascii="宋体" w:hAnsi="宋体" w:eastAsia="宋体" w:cs="宋体"/>
          <w:color w:val="auto"/>
          <w:sz w:val="24"/>
          <w:szCs w:val="24"/>
        </w:rPr>
        <w:t>签订合同前，中标人需向采购单位缴纳合同金额2.5%的履约保证金，服务期满后，经采购单位确认无服务质量问题的，须向中标方无息退还履约保证金。</w:t>
      </w:r>
    </w:p>
    <w:p>
      <w:pPr>
        <w:pStyle w:val="36"/>
        <w:pageBreakBefore w:val="0"/>
        <w:numPr>
          <w:ilvl w:val="0"/>
          <w:numId w:val="0"/>
        </w:numPr>
        <w:kinsoku/>
        <w:wordWrap/>
        <w:overflowPunct/>
        <w:topLinePunct w:val="0"/>
        <w:autoSpaceDE/>
        <w:autoSpaceDN/>
        <w:bidi w:val="0"/>
        <w:spacing w:line="440" w:lineRule="exact"/>
        <w:ind w:left="0" w:firstLine="482" w:firstLineChars="200"/>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（十一）</w:t>
      </w:r>
      <w:r>
        <w:rPr>
          <w:rFonts w:hint="eastAsia" w:ascii="宋体" w:hAnsi="宋体" w:eastAsia="宋体" w:cs="宋体"/>
          <w:b/>
          <w:bCs/>
          <w:color w:val="auto"/>
          <w:sz w:val="24"/>
          <w:szCs w:val="24"/>
          <w:lang w:eastAsia="zh-CN"/>
        </w:rPr>
        <w:t>付款方式</w:t>
      </w:r>
    </w:p>
    <w:p>
      <w:pP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维护服务合格每半年支付一次，每次支付</w:t>
      </w:r>
      <w:r>
        <w:rPr>
          <w:rFonts w:hint="eastAsia" w:ascii="宋体" w:hAnsi="宋体" w:cs="宋体"/>
          <w:color w:val="000000" w:themeColor="text1"/>
          <w:sz w:val="24"/>
          <w:szCs w:val="24"/>
          <w:lang w:val="en-US" w:eastAsia="zh-CN"/>
          <w14:textFill>
            <w14:solidFill>
              <w14:schemeClr w14:val="tx1"/>
            </w14:solidFill>
          </w14:textFill>
        </w:rPr>
        <w:t>合同</w:t>
      </w:r>
      <w:r>
        <w:rPr>
          <w:rFonts w:hint="eastAsia" w:ascii="宋体" w:hAnsi="宋体" w:eastAsia="宋体" w:cs="宋体"/>
          <w:color w:val="000000" w:themeColor="text1"/>
          <w:sz w:val="24"/>
          <w:szCs w:val="24"/>
          <w:lang w:val="en-US" w:eastAsia="zh-CN"/>
          <w14:textFill>
            <w14:solidFill>
              <w14:schemeClr w14:val="tx1"/>
            </w14:solidFill>
          </w14:textFill>
        </w:rPr>
        <w:t>总金额的50%，由使用单位出具服务合格证明后一个月内支付。</w:t>
      </w:r>
    </w:p>
    <w:p>
      <w:pPr>
        <w:pStyle w:val="36"/>
        <w:pageBreakBefore w:val="0"/>
        <w:numPr>
          <w:ilvl w:val="0"/>
          <w:numId w:val="0"/>
        </w:numPr>
        <w:kinsoku/>
        <w:wordWrap/>
        <w:overflowPunct/>
        <w:topLinePunct w:val="0"/>
        <w:autoSpaceDE/>
        <w:autoSpaceDN/>
        <w:bidi w:val="0"/>
        <w:spacing w:line="440" w:lineRule="exact"/>
        <w:ind w:left="0"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（十二）最高限价</w:t>
      </w:r>
    </w:p>
    <w:p>
      <w:pPr>
        <w:pStyle w:val="23"/>
        <w:jc w:val="left"/>
        <w:rPr>
          <w:rFonts w:hint="eastAsia" w:ascii="宋体" w:hAnsi="宋体" w:cs="宋体"/>
          <w:b/>
          <w:bCs/>
          <w:sz w:val="24"/>
          <w:szCs w:val="24"/>
        </w:rPr>
      </w:pPr>
      <w:r>
        <w:rPr>
          <w:rFonts w:hint="eastAsia" w:ascii="宋体" w:hAnsi="宋体" w:eastAsia="宋体" w:cs="宋体"/>
          <w:color w:val="auto"/>
          <w:sz w:val="24"/>
          <w:szCs w:val="24"/>
          <w:lang w:val="zh-CN"/>
        </w:rPr>
        <w:t>本次采购最高限价为人民币</w:t>
      </w:r>
      <w:r>
        <w:rPr>
          <w:rFonts w:hint="eastAsia" w:ascii="宋体" w:hAnsi="宋体" w:eastAsia="宋体" w:cs="宋体"/>
          <w:b/>
          <w:bCs/>
          <w:color w:val="auto"/>
          <w:sz w:val="24"/>
          <w:szCs w:val="24"/>
          <w:u w:val="single"/>
          <w:lang w:val="zh-CN"/>
        </w:rPr>
        <w:t>贰拾玖万伍仟元整（￥</w:t>
      </w:r>
      <w:r>
        <w:rPr>
          <w:rFonts w:hint="eastAsia" w:ascii="宋体" w:hAnsi="宋体" w:eastAsia="宋体" w:cs="宋体"/>
          <w:b/>
          <w:bCs/>
          <w:color w:val="auto"/>
          <w:sz w:val="24"/>
          <w:szCs w:val="24"/>
          <w:u w:val="single"/>
          <w:lang w:val="en-US" w:eastAsia="zh-CN"/>
        </w:rPr>
        <w:t>295000.00）</w:t>
      </w:r>
      <w:r>
        <w:rPr>
          <w:rFonts w:hint="eastAsia" w:ascii="宋体" w:hAnsi="宋体" w:eastAsia="宋体" w:cs="宋体"/>
          <w:color w:val="auto"/>
          <w:sz w:val="24"/>
          <w:szCs w:val="24"/>
          <w:lang w:val="zh-CN"/>
        </w:rPr>
        <w:t>，任何超过最高限价的报价将被认定为无效报价。（投标报价包含</w:t>
      </w:r>
      <w:r>
        <w:rPr>
          <w:rFonts w:hint="eastAsia" w:ascii="宋体" w:hAnsi="宋体" w:eastAsia="宋体" w:cs="宋体"/>
          <w:color w:val="auto"/>
          <w:sz w:val="24"/>
          <w:szCs w:val="24"/>
          <w:lang w:val="en-US" w:eastAsia="zh-CN"/>
        </w:rPr>
        <w:t>为实施本项目所需的</w:t>
      </w:r>
      <w:r>
        <w:rPr>
          <w:rFonts w:hint="eastAsia" w:ascii="宋体" w:hAnsi="宋体" w:eastAsia="宋体" w:cs="宋体"/>
          <w:color w:val="auto"/>
          <w:sz w:val="24"/>
          <w:szCs w:val="24"/>
          <w:lang w:val="zh-CN"/>
        </w:rPr>
        <w:t>一切费用）</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sz w:val="24"/>
          <w:szCs w:val="24"/>
          <w:lang w:val="en-US" w:eastAsia="zh-CN"/>
        </w:rPr>
      </w:pPr>
      <w:r>
        <w:rPr>
          <w:rFonts w:hint="default"/>
          <w:sz w:val="24"/>
          <w:szCs w:val="24"/>
          <w:lang w:val="en-US" w:eastAsia="zh-CN"/>
        </w:rPr>
        <w:br w:type="page"/>
      </w:r>
    </w:p>
    <w:p>
      <w:pPr>
        <w:ind w:firstLine="880" w:firstLineChars="200"/>
        <w:jc w:val="center"/>
        <w:rPr>
          <w:rFonts w:ascii="宋体" w:hAnsi="宋体" w:cs="宋体"/>
          <w:color w:val="auto"/>
          <w:sz w:val="44"/>
          <w:szCs w:val="44"/>
        </w:rPr>
      </w:pPr>
      <w:r>
        <w:rPr>
          <w:rFonts w:hint="eastAsia" w:ascii="宋体" w:hAnsi="宋体" w:cs="宋体"/>
          <w:color w:val="auto"/>
          <w:sz w:val="44"/>
          <w:szCs w:val="44"/>
        </w:rPr>
        <w:t>第五章  采购合同（通用版本）</w:t>
      </w:r>
    </w:p>
    <w:p>
      <w:pPr>
        <w:spacing w:line="480" w:lineRule="auto"/>
        <w:jc w:val="right"/>
        <w:rPr>
          <w:rFonts w:hint="eastAsia"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rPr>
        <w:t>合同编号：ZJHJCM-</w:t>
      </w:r>
      <w:r>
        <w:rPr>
          <w:rFonts w:hint="eastAsia" w:eastAsia="仿宋_GB2312" w:cs="Times New Roman"/>
          <w:sz w:val="24"/>
          <w:szCs w:val="24"/>
          <w:highlight w:val="none"/>
          <w:lang w:val="en-US" w:eastAsia="zh-CN"/>
        </w:rPr>
        <w:t>XXJS-</w:t>
      </w:r>
      <w:r>
        <w:rPr>
          <w:rFonts w:hint="default" w:ascii="Times New Roman" w:hAnsi="Times New Roman" w:eastAsia="仿宋_GB2312" w:cs="Times New Roman"/>
          <w:sz w:val="24"/>
          <w:szCs w:val="24"/>
          <w:highlight w:val="none"/>
        </w:rPr>
        <w:t>202</w:t>
      </w:r>
      <w:r>
        <w:rPr>
          <w:rFonts w:hint="eastAsia" w:eastAsia="仿宋_GB2312" w:cs="Times New Roman"/>
          <w:sz w:val="24"/>
          <w:szCs w:val="24"/>
          <w:highlight w:val="none"/>
          <w:lang w:val="en-US" w:eastAsia="zh-CN"/>
        </w:rPr>
        <w:t>*****</w:t>
      </w:r>
    </w:p>
    <w:p>
      <w:pPr>
        <w:pStyle w:val="10"/>
        <w:jc w:val="right"/>
        <w:rPr>
          <w:rFonts w:hint="default"/>
          <w:lang w:val="en-US" w:eastAsia="zh-CN"/>
        </w:rPr>
      </w:pPr>
      <w:r>
        <w:rPr>
          <w:rFonts w:hint="eastAsia" w:eastAsia="仿宋_GB2312" w:cs="Times New Roman"/>
          <w:sz w:val="24"/>
          <w:szCs w:val="24"/>
          <w:highlight w:val="none"/>
          <w:lang w:val="en-US" w:eastAsia="zh-CN"/>
        </w:rPr>
        <w:t>签订日期：     年     月     日</w:t>
      </w:r>
    </w:p>
    <w:p>
      <w:pPr>
        <w:keepNext w:val="0"/>
        <w:keepLines w:val="0"/>
        <w:pageBreakBefore w:val="0"/>
        <w:widowControl w:val="0"/>
        <w:kinsoku/>
        <w:wordWrap/>
        <w:overflowPunct/>
        <w:topLinePunct w:val="0"/>
        <w:autoSpaceDE w:val="0"/>
        <w:autoSpaceDN w:val="0"/>
        <w:bidi w:val="0"/>
        <w:adjustRightInd w:val="0"/>
        <w:snapToGrid/>
        <w:spacing w:line="252" w:lineRule="auto"/>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color w:val="auto"/>
          <w:sz w:val="24"/>
          <w:szCs w:val="24"/>
          <w:highlight w:val="none"/>
        </w:rPr>
        <w:t>甲方（采购单位）：</w:t>
      </w:r>
      <w:r>
        <w:rPr>
          <w:rFonts w:hint="default" w:ascii="Times New Roman" w:hAnsi="Times New Roman" w:eastAsia="仿宋_GB2312" w:cs="Times New Roman"/>
          <w:color w:val="auto"/>
          <w:sz w:val="24"/>
          <w:szCs w:val="24"/>
          <w:highlight w:val="none"/>
          <w:u w:val="single"/>
        </w:rPr>
        <w:t xml:space="preserve"> </w:t>
      </w:r>
      <w:r>
        <w:rPr>
          <w:rFonts w:hint="default" w:ascii="Times New Roman" w:hAnsi="Times New Roman" w:eastAsia="仿宋_GB2312" w:cs="Times New Roman"/>
          <w:color w:val="auto"/>
          <w:sz w:val="24"/>
          <w:szCs w:val="24"/>
          <w:highlight w:val="none"/>
          <w:u w:val="single"/>
          <w:lang w:eastAsia="zh-CN"/>
        </w:rPr>
        <w:t>诸暨广电信息技术</w:t>
      </w:r>
      <w:r>
        <w:rPr>
          <w:rFonts w:hint="default" w:ascii="Times New Roman" w:hAnsi="Times New Roman" w:eastAsia="仿宋_GB2312" w:cs="Times New Roman"/>
          <w:color w:val="auto"/>
          <w:sz w:val="24"/>
          <w:szCs w:val="24"/>
          <w:highlight w:val="none"/>
          <w:u w:val="single"/>
        </w:rPr>
        <w:t xml:space="preserve">有限公司 </w:t>
      </w:r>
    </w:p>
    <w:p>
      <w:pPr>
        <w:keepNext w:val="0"/>
        <w:keepLines w:val="0"/>
        <w:pageBreakBefore w:val="0"/>
        <w:widowControl w:val="0"/>
        <w:kinsoku/>
        <w:wordWrap/>
        <w:overflowPunct/>
        <w:topLinePunct w:val="0"/>
        <w:autoSpaceDE w:val="0"/>
        <w:autoSpaceDN w:val="0"/>
        <w:bidi w:val="0"/>
        <w:adjustRightInd w:val="0"/>
        <w:snapToGrid/>
        <w:spacing w:line="252" w:lineRule="auto"/>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color w:val="auto"/>
          <w:sz w:val="24"/>
          <w:szCs w:val="24"/>
          <w:highlight w:val="none"/>
        </w:rPr>
        <w:t>乙方（供货单位）：</w:t>
      </w:r>
      <w:r>
        <w:rPr>
          <w:rFonts w:hint="default" w:ascii="Times New Roman" w:hAnsi="Times New Roman" w:eastAsia="仿宋_GB2312" w:cs="Times New Roman"/>
          <w:color w:val="auto"/>
          <w:sz w:val="24"/>
          <w:szCs w:val="24"/>
          <w:highlight w:val="none"/>
          <w:u w:val="single"/>
          <w:lang w:val="en-US" w:eastAsia="zh-CN"/>
        </w:rPr>
        <w:t xml:space="preserve"> </w:t>
      </w:r>
      <w:r>
        <w:rPr>
          <w:rFonts w:hint="eastAsia" w:eastAsia="仿宋_GB2312" w:cs="Times New Roman"/>
          <w:color w:val="auto"/>
          <w:sz w:val="24"/>
          <w:szCs w:val="24"/>
          <w:highlight w:val="none"/>
          <w:u w:val="single"/>
          <w:lang w:val="en-US" w:eastAsia="zh-CN"/>
        </w:rPr>
        <w:t>*******</w:t>
      </w:r>
      <w:r>
        <w:rPr>
          <w:rFonts w:hint="default" w:ascii="Times New Roman" w:hAnsi="Times New Roman" w:eastAsia="仿宋_GB2312" w:cs="Times New Roman"/>
          <w:color w:val="auto"/>
          <w:sz w:val="24"/>
          <w:szCs w:val="24"/>
          <w:highlight w:val="none"/>
          <w:u w:val="single"/>
          <w:lang w:val="en-US" w:eastAsia="zh-CN"/>
        </w:rPr>
        <w:t xml:space="preserve">            </w:t>
      </w:r>
      <w:r>
        <w:rPr>
          <w:rFonts w:hint="eastAsia" w:eastAsia="仿宋_GB2312" w:cs="Times New Roman"/>
          <w:color w:val="auto"/>
          <w:sz w:val="24"/>
          <w:szCs w:val="24"/>
          <w:highlight w:val="none"/>
          <w:u w:val="single"/>
          <w:lang w:val="en-US" w:eastAsia="zh-CN"/>
        </w:rPr>
        <w:t xml:space="preserve">   </w:t>
      </w:r>
      <w:r>
        <w:rPr>
          <w:rFonts w:hint="default" w:ascii="Times New Roman" w:hAnsi="Times New Roman" w:eastAsia="仿宋_GB2312" w:cs="Times New Roman"/>
          <w:color w:val="auto"/>
          <w:sz w:val="24"/>
          <w:szCs w:val="24"/>
          <w:highlight w:val="none"/>
          <w:u w:val="single"/>
        </w:rPr>
        <w:t xml:space="preserve">   </w:t>
      </w:r>
    </w:p>
    <w:p>
      <w:pPr>
        <w:pStyle w:val="10"/>
        <w:rPr>
          <w:rFonts w:hint="default"/>
        </w:rPr>
      </w:pPr>
    </w:p>
    <w:p>
      <w:pPr>
        <w:keepNext w:val="0"/>
        <w:keepLines w:val="0"/>
        <w:pageBreakBefore w:val="0"/>
        <w:widowControl w:val="0"/>
        <w:kinsoku/>
        <w:wordWrap/>
        <w:overflowPunct/>
        <w:topLinePunct w:val="0"/>
        <w:autoSpaceDE w:val="0"/>
        <w:autoSpaceDN w:val="0"/>
        <w:bidi w:val="0"/>
        <w:adjustRightInd w:val="0"/>
        <w:snapToGrid/>
        <w:spacing w:line="252" w:lineRule="auto"/>
        <w:ind w:firstLine="480" w:firstLineChars="20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根据《中华人民共和国</w:t>
      </w:r>
      <w:r>
        <w:rPr>
          <w:rFonts w:hint="default" w:ascii="Times New Roman" w:hAnsi="Times New Roman" w:eastAsia="仿宋_GB2312" w:cs="Times New Roman"/>
          <w:color w:val="auto"/>
          <w:sz w:val="24"/>
          <w:szCs w:val="24"/>
          <w:highlight w:val="none"/>
          <w:lang w:eastAsia="zh-CN"/>
        </w:rPr>
        <w:t>民法典</w:t>
      </w:r>
      <w:r>
        <w:rPr>
          <w:rFonts w:hint="default" w:ascii="Times New Roman" w:hAnsi="Times New Roman" w:eastAsia="仿宋_GB2312" w:cs="Times New Roman"/>
          <w:color w:val="auto"/>
          <w:sz w:val="24"/>
          <w:szCs w:val="24"/>
          <w:highlight w:val="none"/>
        </w:rPr>
        <w:t>》、《中华人民共和国招标投标法》等有关规定，以及</w:t>
      </w:r>
      <w:r>
        <w:rPr>
          <w:rFonts w:hint="eastAsia" w:eastAsia="仿宋_GB2312" w:cs="Times New Roman"/>
          <w:b/>
          <w:bCs/>
          <w:color w:val="000000" w:themeColor="text1"/>
          <w:sz w:val="24"/>
          <w:szCs w:val="24"/>
          <w:highlight w:val="none"/>
          <w:lang w:val="en-US" w:eastAsia="zh-CN"/>
          <w14:textFill>
            <w14:solidFill>
              <w14:schemeClr w14:val="tx1"/>
            </w14:solidFill>
          </w14:textFill>
        </w:rPr>
        <w:t>诸暨市广顺工程管理服务有限公司</w:t>
      </w:r>
      <w:r>
        <w:rPr>
          <w:rFonts w:hint="default" w:ascii="Times New Roman" w:hAnsi="Times New Roman" w:eastAsia="仿宋_GB2312" w:cs="Times New Roman"/>
          <w:b/>
          <w:bCs/>
          <w:color w:val="000000" w:themeColor="text1"/>
          <w:sz w:val="24"/>
          <w:szCs w:val="24"/>
          <w:highlight w:val="none"/>
          <w14:textFill>
            <w14:solidFill>
              <w14:schemeClr w14:val="tx1"/>
            </w14:solidFill>
          </w14:textFill>
        </w:rPr>
        <w:t>（编号：</w:t>
      </w:r>
      <w:r>
        <w:rPr>
          <w:rFonts w:hint="eastAsia" w:eastAsia="仿宋_GB2312" w:cs="Times New Roman"/>
          <w:b/>
          <w:bCs/>
          <w:color w:val="000000" w:themeColor="text1"/>
          <w:sz w:val="24"/>
          <w:szCs w:val="24"/>
          <w:highlight w:val="none"/>
          <w:lang w:val="en-US" w:eastAsia="zh-CN"/>
          <w14:textFill>
            <w14:solidFill>
              <w14:schemeClr w14:val="tx1"/>
            </w14:solidFill>
          </w14:textFill>
        </w:rPr>
        <w:t xml:space="preserve">诸广顺20   </w:t>
      </w:r>
      <w:r>
        <w:rPr>
          <w:rFonts w:hint="default" w:ascii="Times New Roman" w:hAnsi="Times New Roman" w:eastAsia="仿宋_GB2312" w:cs="Times New Roman"/>
          <w:b/>
          <w:bCs/>
          <w:color w:val="000000" w:themeColor="text1"/>
          <w:sz w:val="24"/>
          <w:szCs w:val="24"/>
          <w:highlight w:val="none"/>
          <w14:textFill>
            <w14:solidFill>
              <w14:schemeClr w14:val="tx1"/>
            </w14:solidFill>
          </w14:textFill>
        </w:rPr>
        <w:t>）</w:t>
      </w:r>
      <w:r>
        <w:rPr>
          <w:rFonts w:hint="default" w:ascii="Times New Roman" w:hAnsi="Times New Roman" w:eastAsia="仿宋_GB2312" w:cs="Times New Roman"/>
          <w:color w:val="auto"/>
          <w:sz w:val="24"/>
          <w:szCs w:val="24"/>
          <w:highlight w:val="none"/>
        </w:rPr>
        <w:t>招标文件相关要求，经法定程序采购，双方同意签订以下合同条款，以便双方共同遵守、履行合同。</w:t>
      </w:r>
    </w:p>
    <w:p>
      <w:pPr>
        <w:pStyle w:val="4"/>
        <w:numPr>
          <w:ilvl w:val="0"/>
          <w:numId w:val="14"/>
        </w:numPr>
        <w:bidi w:val="0"/>
        <w:rPr>
          <w:rFonts w:hint="default"/>
        </w:rPr>
      </w:pPr>
      <w:r>
        <w:rPr>
          <w:rFonts w:hint="default"/>
        </w:rPr>
        <w:t>采购产品</w:t>
      </w:r>
    </w:p>
    <w:tbl>
      <w:tblPr>
        <w:tblStyle w:val="26"/>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3586"/>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0" w:type="dxa"/>
            <w:vAlign w:val="center"/>
          </w:tcPr>
          <w:p>
            <w:pPr>
              <w:keepNext w:val="0"/>
              <w:keepLines w:val="0"/>
              <w:pageBreakBefore w:val="0"/>
              <w:widowControl w:val="0"/>
              <w:kinsoku/>
              <w:wordWrap/>
              <w:overflowPunct/>
              <w:topLinePunct w:val="0"/>
              <w:autoSpaceDE w:val="0"/>
              <w:autoSpaceDN w:val="0"/>
              <w:bidi w:val="0"/>
              <w:adjustRightInd w:val="0"/>
              <w:snapToGrid/>
              <w:spacing w:line="252" w:lineRule="auto"/>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产品名称</w:t>
            </w:r>
          </w:p>
        </w:tc>
        <w:tc>
          <w:tcPr>
            <w:tcW w:w="3586" w:type="dxa"/>
            <w:vAlign w:val="center"/>
          </w:tcPr>
          <w:p>
            <w:pPr>
              <w:keepNext w:val="0"/>
              <w:keepLines w:val="0"/>
              <w:pageBreakBefore w:val="0"/>
              <w:widowControl w:val="0"/>
              <w:kinsoku/>
              <w:wordWrap/>
              <w:overflowPunct/>
              <w:topLinePunct w:val="0"/>
              <w:autoSpaceDE w:val="0"/>
              <w:autoSpaceDN w:val="0"/>
              <w:bidi w:val="0"/>
              <w:adjustRightInd w:val="0"/>
              <w:snapToGrid/>
              <w:spacing w:line="252" w:lineRule="auto"/>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shd w:val="clear"/>
              </w:rPr>
              <w:t>规格、型号</w:t>
            </w: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52" w:lineRule="auto"/>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数量</w:t>
            </w:r>
          </w:p>
        </w:tc>
        <w:tc>
          <w:tcPr>
            <w:tcW w:w="1260" w:type="dxa"/>
            <w:vAlign w:val="center"/>
          </w:tcPr>
          <w:p>
            <w:pPr>
              <w:keepNext w:val="0"/>
              <w:keepLines w:val="0"/>
              <w:pageBreakBefore w:val="0"/>
              <w:widowControl w:val="0"/>
              <w:kinsoku/>
              <w:wordWrap/>
              <w:overflowPunct/>
              <w:topLinePunct w:val="0"/>
              <w:autoSpaceDE w:val="0"/>
              <w:autoSpaceDN w:val="0"/>
              <w:bidi w:val="0"/>
              <w:adjustRightInd w:val="0"/>
              <w:snapToGrid/>
              <w:spacing w:line="252" w:lineRule="auto"/>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单价（元）</w:t>
            </w:r>
          </w:p>
        </w:tc>
        <w:tc>
          <w:tcPr>
            <w:tcW w:w="1440" w:type="dxa"/>
            <w:vAlign w:val="center"/>
          </w:tcPr>
          <w:p>
            <w:pPr>
              <w:keepNext w:val="0"/>
              <w:keepLines w:val="0"/>
              <w:pageBreakBefore w:val="0"/>
              <w:widowControl w:val="0"/>
              <w:kinsoku/>
              <w:wordWrap/>
              <w:overflowPunct/>
              <w:topLinePunct w:val="0"/>
              <w:autoSpaceDE w:val="0"/>
              <w:autoSpaceDN w:val="0"/>
              <w:bidi w:val="0"/>
              <w:adjustRightInd w:val="0"/>
              <w:snapToGrid/>
              <w:spacing w:line="252" w:lineRule="auto"/>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610" w:type="dxa"/>
            <w:vAlign w:val="center"/>
          </w:tcPr>
          <w:p>
            <w:pPr>
              <w:widowControl/>
              <w:rPr>
                <w:rFonts w:hint="default" w:ascii="Times New Roman" w:hAnsi="Times New Roman" w:eastAsia="仿宋_GB2312" w:cs="Times New Roman"/>
                <w:color w:val="0070C0"/>
                <w:sz w:val="21"/>
                <w:szCs w:val="21"/>
                <w:highlight w:val="none"/>
              </w:rPr>
            </w:pPr>
          </w:p>
        </w:tc>
        <w:tc>
          <w:tcPr>
            <w:tcW w:w="3586" w:type="dxa"/>
            <w:vAlign w:val="center"/>
          </w:tcPr>
          <w:p>
            <w:pPr>
              <w:widowControl/>
              <w:textAlignment w:val="center"/>
              <w:rPr>
                <w:rFonts w:hint="eastAsia" w:ascii="仿宋_GB2312" w:hAnsi="仿宋_GB2312" w:eastAsia="仿宋_GB2312" w:cs="仿宋_GB2312"/>
                <w:color w:val="0070C0"/>
                <w:sz w:val="21"/>
                <w:szCs w:val="21"/>
                <w:highlight w:val="none"/>
              </w:rPr>
            </w:pPr>
          </w:p>
        </w:tc>
        <w:tc>
          <w:tcPr>
            <w:tcW w:w="1080" w:type="dxa"/>
            <w:vAlign w:val="center"/>
          </w:tcPr>
          <w:p>
            <w:pPr>
              <w:widowControl/>
              <w:jc w:val="center"/>
              <w:rPr>
                <w:rFonts w:hint="default" w:ascii="Times New Roman" w:hAnsi="Times New Roman" w:eastAsia="仿宋_GB2312" w:cs="Times New Roman"/>
                <w:color w:val="0070C0"/>
                <w:sz w:val="21"/>
                <w:szCs w:val="21"/>
                <w:highlight w:val="none"/>
              </w:rPr>
            </w:pPr>
          </w:p>
        </w:tc>
        <w:tc>
          <w:tcPr>
            <w:tcW w:w="1260" w:type="dxa"/>
            <w:vAlign w:val="center"/>
          </w:tcPr>
          <w:p>
            <w:pPr>
              <w:keepNext w:val="0"/>
              <w:keepLines w:val="0"/>
              <w:pageBreakBefore w:val="0"/>
              <w:widowControl w:val="0"/>
              <w:kinsoku/>
              <w:wordWrap/>
              <w:overflowPunct/>
              <w:topLinePunct w:val="0"/>
              <w:autoSpaceDE w:val="0"/>
              <w:autoSpaceDN w:val="0"/>
              <w:bidi w:val="0"/>
              <w:adjustRightInd w:val="0"/>
              <w:snapToGrid/>
              <w:spacing w:line="252" w:lineRule="auto"/>
              <w:jc w:val="center"/>
              <w:rPr>
                <w:rFonts w:hint="default" w:ascii="Times New Roman" w:hAnsi="Times New Roman" w:eastAsia="仿宋_GB2312" w:cs="Times New Roman"/>
                <w:color w:val="0070C0"/>
                <w:sz w:val="21"/>
                <w:szCs w:val="21"/>
                <w:highlight w:val="none"/>
                <w:lang w:val="en-US" w:eastAsia="zh-CN"/>
              </w:rPr>
            </w:pPr>
          </w:p>
        </w:tc>
        <w:tc>
          <w:tcPr>
            <w:tcW w:w="1440" w:type="dxa"/>
            <w:vAlign w:val="center"/>
          </w:tcPr>
          <w:p>
            <w:pPr>
              <w:keepNext w:val="0"/>
              <w:keepLines w:val="0"/>
              <w:pageBreakBefore w:val="0"/>
              <w:widowControl w:val="0"/>
              <w:kinsoku/>
              <w:wordWrap/>
              <w:overflowPunct/>
              <w:topLinePunct w:val="0"/>
              <w:autoSpaceDE w:val="0"/>
              <w:autoSpaceDN w:val="0"/>
              <w:bidi w:val="0"/>
              <w:adjustRightInd w:val="0"/>
              <w:snapToGrid/>
              <w:spacing w:line="252" w:lineRule="auto"/>
              <w:jc w:val="center"/>
              <w:rPr>
                <w:rFonts w:hint="default" w:ascii="Times New Roman" w:hAnsi="Times New Roman" w:eastAsia="仿宋_GB2312" w:cs="Times New Roman"/>
                <w:color w:val="0070C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976" w:type="dxa"/>
            <w:gridSpan w:val="5"/>
            <w:vAlign w:val="center"/>
          </w:tcPr>
          <w:p>
            <w:pPr>
              <w:keepNext w:val="0"/>
              <w:keepLines w:val="0"/>
              <w:pageBreakBefore w:val="0"/>
              <w:widowControl w:val="0"/>
              <w:kinsoku/>
              <w:wordWrap/>
              <w:overflowPunct/>
              <w:topLinePunct w:val="0"/>
              <w:autoSpaceDE w:val="0"/>
              <w:autoSpaceDN w:val="0"/>
              <w:bidi w:val="0"/>
              <w:adjustRightInd w:val="0"/>
              <w:snapToGrid/>
              <w:spacing w:line="252" w:lineRule="auto"/>
              <w:jc w:val="center"/>
              <w:rPr>
                <w:rFonts w:hint="default" w:ascii="Times New Roman" w:hAnsi="Times New Roman" w:eastAsia="仿宋_GB2312" w:cs="Times New Roman"/>
                <w:sz w:val="21"/>
                <w:szCs w:val="21"/>
                <w:highlight w:val="none"/>
                <w:lang w:val="en-US" w:eastAsia="zh-CN"/>
              </w:rPr>
            </w:pPr>
            <w:r>
              <w:rPr>
                <w:rFonts w:hint="eastAsia" w:ascii="仿宋" w:hAnsi="仿宋" w:eastAsia="仿宋" w:cs="仿宋"/>
                <w:b/>
                <w:bCs/>
                <w:i w:val="0"/>
                <w:iCs w:val="0"/>
                <w:color w:val="000000"/>
                <w:kern w:val="0"/>
                <w:sz w:val="24"/>
                <w:szCs w:val="24"/>
                <w:u w:val="none"/>
                <w:lang w:val="en-US" w:eastAsia="zh-CN" w:bidi="ar"/>
              </w:rPr>
              <w:t>合计金额（含税）大写：</w:t>
            </w:r>
            <w:r>
              <w:rPr>
                <w:rFonts w:hint="eastAsia" w:eastAsia="仿宋_GB2312" w:cs="Times New Roman"/>
                <w:b/>
                <w:bCs/>
                <w:color w:val="0070C0"/>
                <w:sz w:val="24"/>
                <w:szCs w:val="24"/>
                <w:highlight w:val="none"/>
                <w:lang w:val="en-US" w:eastAsia="zh-CN"/>
              </w:rPr>
              <w:t xml:space="preserve">    </w:t>
            </w:r>
            <w:r>
              <w:rPr>
                <w:rFonts w:hint="eastAsia" w:ascii="仿宋" w:hAnsi="仿宋" w:eastAsia="仿宋" w:cs="仿宋"/>
                <w:b/>
                <w:bCs/>
                <w:i w:val="0"/>
                <w:iCs w:val="0"/>
                <w:color w:val="000000"/>
                <w:kern w:val="0"/>
                <w:sz w:val="24"/>
                <w:szCs w:val="24"/>
                <w:u w:val="none"/>
                <w:lang w:val="en-US" w:eastAsia="zh-CN" w:bidi="ar"/>
              </w:rPr>
              <w:t>元整              ¥</w:t>
            </w:r>
            <w:r>
              <w:rPr>
                <w:rFonts w:hint="default"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none"/>
                <w:lang w:val="en-US" w:eastAsia="zh-CN" w:bidi="ar"/>
              </w:rPr>
              <w:t xml:space="preserve">   元</w:t>
            </w:r>
          </w:p>
        </w:tc>
      </w:tr>
    </w:tbl>
    <w:p>
      <w:pPr>
        <w:pStyle w:val="4"/>
        <w:bidi w:val="0"/>
        <w:jc w:val="both"/>
        <w:rPr>
          <w:rFonts w:hint="default"/>
        </w:rPr>
      </w:pPr>
      <w:r>
        <w:rPr>
          <w:rFonts w:hint="default"/>
        </w:rPr>
        <w:t>二、技术资料</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项目完结时乙方应提交的成果和整个项目过程电子文档，包括但不限于系统详细设计</w:t>
      </w:r>
      <w:r>
        <w:rPr>
          <w:rFonts w:hint="eastAsia" w:ascii="Times New Roman" w:hAnsi="Times New Roman" w:eastAsia="仿宋_GB2312" w:cs="Times New Roman"/>
          <w:bCs/>
          <w:color w:val="auto"/>
          <w:sz w:val="24"/>
          <w:szCs w:val="24"/>
          <w:highlight w:val="none"/>
          <w:lang w:eastAsia="zh-CN"/>
        </w:rPr>
        <w:t>、</w:t>
      </w:r>
      <w:r>
        <w:rPr>
          <w:rFonts w:hint="default" w:ascii="Times New Roman" w:hAnsi="Times New Roman" w:eastAsia="仿宋_GB2312" w:cs="Times New Roman"/>
          <w:bCs/>
          <w:color w:val="auto"/>
          <w:sz w:val="24"/>
          <w:szCs w:val="24"/>
          <w:highlight w:val="none"/>
        </w:rPr>
        <w:t>系统概要设计</w:t>
      </w:r>
      <w:r>
        <w:rPr>
          <w:rFonts w:hint="eastAsia" w:ascii="Times New Roman" w:hAnsi="Times New Roman" w:eastAsia="仿宋_GB2312" w:cs="Times New Roman"/>
          <w:bCs/>
          <w:color w:val="auto"/>
          <w:sz w:val="24"/>
          <w:szCs w:val="24"/>
          <w:highlight w:val="none"/>
          <w:lang w:eastAsia="zh-CN"/>
        </w:rPr>
        <w:t>、</w:t>
      </w:r>
      <w:r>
        <w:rPr>
          <w:rFonts w:hint="default" w:ascii="Times New Roman" w:hAnsi="Times New Roman" w:eastAsia="仿宋_GB2312" w:cs="Times New Roman"/>
          <w:bCs/>
          <w:color w:val="auto"/>
          <w:sz w:val="24"/>
          <w:szCs w:val="24"/>
          <w:highlight w:val="none"/>
        </w:rPr>
        <w:t>需求分析报告</w:t>
      </w:r>
      <w:r>
        <w:rPr>
          <w:rFonts w:hint="eastAsia" w:ascii="Times New Roman" w:hAnsi="Times New Roman" w:eastAsia="仿宋_GB2312" w:cs="Times New Roman"/>
          <w:bCs/>
          <w:color w:val="auto"/>
          <w:sz w:val="24"/>
          <w:szCs w:val="24"/>
          <w:highlight w:val="none"/>
          <w:lang w:eastAsia="zh-CN"/>
        </w:rPr>
        <w:t>、</w:t>
      </w:r>
      <w:r>
        <w:rPr>
          <w:rFonts w:hint="default" w:ascii="Times New Roman" w:hAnsi="Times New Roman" w:eastAsia="仿宋_GB2312" w:cs="Times New Roman"/>
          <w:bCs/>
          <w:color w:val="auto"/>
          <w:sz w:val="24"/>
          <w:szCs w:val="24"/>
          <w:highlight w:val="none"/>
        </w:rPr>
        <w:t>系统测试方案</w:t>
      </w:r>
      <w:r>
        <w:rPr>
          <w:rFonts w:hint="eastAsia" w:ascii="Times New Roman" w:hAnsi="Times New Roman" w:eastAsia="仿宋_GB2312" w:cs="Times New Roman"/>
          <w:bCs/>
          <w:color w:val="auto"/>
          <w:sz w:val="24"/>
          <w:szCs w:val="24"/>
          <w:highlight w:val="none"/>
          <w:lang w:eastAsia="zh-CN"/>
        </w:rPr>
        <w:t>、</w:t>
      </w:r>
      <w:r>
        <w:rPr>
          <w:rFonts w:hint="default" w:ascii="Times New Roman" w:hAnsi="Times New Roman" w:eastAsia="仿宋_GB2312" w:cs="Times New Roman"/>
          <w:bCs/>
          <w:color w:val="auto"/>
          <w:sz w:val="24"/>
          <w:szCs w:val="24"/>
          <w:highlight w:val="none"/>
        </w:rPr>
        <w:t>安装维护手册</w:t>
      </w:r>
      <w:r>
        <w:rPr>
          <w:rFonts w:hint="eastAsia" w:ascii="Times New Roman" w:hAnsi="Times New Roman" w:eastAsia="仿宋_GB2312" w:cs="Times New Roman"/>
          <w:bCs/>
          <w:color w:val="auto"/>
          <w:sz w:val="24"/>
          <w:szCs w:val="24"/>
          <w:highlight w:val="none"/>
          <w:lang w:eastAsia="zh-CN"/>
        </w:rPr>
        <w:t>、</w:t>
      </w:r>
      <w:r>
        <w:rPr>
          <w:rFonts w:hint="default" w:ascii="Times New Roman" w:hAnsi="Times New Roman" w:eastAsia="仿宋_GB2312" w:cs="Times New Roman"/>
          <w:bCs/>
          <w:color w:val="auto"/>
          <w:sz w:val="24"/>
          <w:szCs w:val="24"/>
          <w:highlight w:val="none"/>
        </w:rPr>
        <w:t>使用操作手册</w:t>
      </w:r>
      <w:r>
        <w:rPr>
          <w:rFonts w:hint="eastAsia" w:ascii="Times New Roman" w:hAnsi="Times New Roman" w:eastAsia="仿宋_GB2312" w:cs="Times New Roman"/>
          <w:bCs/>
          <w:color w:val="auto"/>
          <w:sz w:val="24"/>
          <w:szCs w:val="24"/>
          <w:highlight w:val="none"/>
          <w:lang w:eastAsia="zh-CN"/>
        </w:rPr>
        <w:t>、</w:t>
      </w:r>
      <w:r>
        <w:rPr>
          <w:rFonts w:hint="default" w:ascii="Times New Roman" w:hAnsi="Times New Roman" w:eastAsia="仿宋_GB2312" w:cs="Times New Roman"/>
          <w:bCs/>
          <w:color w:val="auto"/>
          <w:sz w:val="24"/>
          <w:szCs w:val="24"/>
          <w:highlight w:val="none"/>
        </w:rPr>
        <w:t>培训资料</w:t>
      </w:r>
      <w:r>
        <w:rPr>
          <w:rFonts w:hint="eastAsia" w:ascii="Times New Roman" w:hAnsi="Times New Roman" w:eastAsia="仿宋_GB2312" w:cs="Times New Roman"/>
          <w:bCs/>
          <w:color w:val="auto"/>
          <w:sz w:val="24"/>
          <w:szCs w:val="24"/>
          <w:highlight w:val="none"/>
          <w:lang w:eastAsia="zh-CN"/>
        </w:rPr>
        <w:t>、</w:t>
      </w:r>
      <w:r>
        <w:rPr>
          <w:rFonts w:hint="default" w:ascii="Times New Roman" w:hAnsi="Times New Roman" w:eastAsia="仿宋_GB2312" w:cs="Times New Roman"/>
          <w:bCs/>
          <w:color w:val="auto"/>
          <w:sz w:val="24"/>
          <w:szCs w:val="24"/>
          <w:highlight w:val="none"/>
        </w:rPr>
        <w:t>数据结构说明文档</w:t>
      </w:r>
      <w:r>
        <w:rPr>
          <w:rFonts w:hint="eastAsia" w:ascii="Times New Roman" w:hAnsi="Times New Roman" w:eastAsia="仿宋_GB2312" w:cs="Times New Roman"/>
          <w:bCs/>
          <w:color w:val="auto"/>
          <w:sz w:val="24"/>
          <w:szCs w:val="24"/>
          <w:highlight w:val="none"/>
          <w:lang w:val="en-US" w:eastAsia="zh-CN"/>
        </w:rPr>
        <w:t>等</w:t>
      </w:r>
      <w:r>
        <w:rPr>
          <w:rFonts w:hint="default" w:ascii="Times New Roman" w:hAnsi="Times New Roman" w:eastAsia="仿宋_GB2312" w:cs="Times New Roman"/>
          <w:bCs/>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没有甲方事先书面同意，乙方不得将由甲方提供的有关合同或任何合同条文、规格、计划、图纸、</w:t>
      </w:r>
      <w:r>
        <w:rPr>
          <w:rFonts w:hint="eastAsia" w:eastAsia="仿宋_GB2312" w:cs="Times New Roman"/>
          <w:bCs/>
          <w:color w:val="auto"/>
          <w:sz w:val="24"/>
          <w:szCs w:val="24"/>
          <w:highlight w:val="none"/>
          <w:lang w:eastAsia="zh-CN"/>
        </w:rPr>
        <w:t>设想、</w:t>
      </w:r>
      <w:r>
        <w:rPr>
          <w:rFonts w:hint="default" w:ascii="Times New Roman" w:hAnsi="Times New Roman" w:eastAsia="仿宋_GB2312" w:cs="Times New Roman"/>
          <w:bCs/>
          <w:color w:val="auto"/>
          <w:sz w:val="24"/>
          <w:szCs w:val="24"/>
          <w:highlight w:val="none"/>
        </w:rPr>
        <w:t>样品或资料提供给与履行本合同无关的任何其他人。即使向履行本合同有关的人员提供，也应注意保密并限于履行合同的必需范围。</w:t>
      </w:r>
    </w:p>
    <w:p>
      <w:pPr>
        <w:pStyle w:val="4"/>
        <w:bidi w:val="0"/>
        <w:jc w:val="both"/>
        <w:rPr>
          <w:rFonts w:hint="default"/>
        </w:rPr>
      </w:pPr>
      <w:r>
        <w:rPr>
          <w:rFonts w:hint="default"/>
        </w:rPr>
        <w:t>三、知识产权</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乙方应保证所提供的软件或其任何一部分均不会侵犯任何第三方的知识产权。</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left="48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本项目涉及的软件知识产权除核心源代码外均属于甲方所有。</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3</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乙方应保证甲方</w:t>
      </w:r>
      <w:r>
        <w:rPr>
          <w:rFonts w:hint="eastAsia" w:ascii="Times New Roman" w:hAnsi="Times New Roman" w:eastAsia="仿宋_GB2312" w:cs="Times New Roman"/>
          <w:bCs/>
          <w:color w:val="auto"/>
          <w:sz w:val="24"/>
          <w:szCs w:val="24"/>
          <w:highlight w:val="none"/>
          <w:lang w:val="en-US" w:eastAsia="zh-CN"/>
        </w:rPr>
        <w:t>或使用单位</w:t>
      </w:r>
      <w:r>
        <w:rPr>
          <w:rFonts w:hint="default" w:ascii="Times New Roman" w:hAnsi="Times New Roman" w:eastAsia="仿宋_GB2312" w:cs="Times New Roman"/>
          <w:bCs/>
          <w:color w:val="auto"/>
          <w:sz w:val="24"/>
          <w:szCs w:val="24"/>
          <w:highlight w:val="none"/>
        </w:rPr>
        <w:t>在软件使用过程中免受第三方提出的侵权起诉。如发生此类纠纷，由乙方承担一切责任并负责解决。</w:t>
      </w:r>
    </w:p>
    <w:p>
      <w:pPr>
        <w:pStyle w:val="31"/>
        <w:keepNext w:val="0"/>
        <w:keepLines w:val="0"/>
        <w:pageBreakBefore w:val="0"/>
        <w:widowControl w:val="0"/>
        <w:kinsoku/>
        <w:wordWrap/>
        <w:overflowPunct/>
        <w:topLinePunct w:val="0"/>
        <w:autoSpaceDE w:val="0"/>
        <w:autoSpaceDN w:val="0"/>
        <w:bidi w:val="0"/>
        <w:adjustRightInd w:val="0"/>
        <w:snapToGrid/>
        <w:spacing w:line="252" w:lineRule="auto"/>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 xml:space="preserve">  </w:t>
      </w:r>
      <w:r>
        <w:rPr>
          <w:rFonts w:hint="default" w:ascii="Times New Roman" w:hAnsi="Times New Roman" w:eastAsia="仿宋_GB2312" w:cs="Times New Roman"/>
          <w:bCs/>
          <w:color w:val="FF0000"/>
          <w:sz w:val="24"/>
          <w:szCs w:val="24"/>
          <w:highlight w:val="none"/>
        </w:rPr>
        <w:t xml:space="preserve">  </w:t>
      </w:r>
      <w:r>
        <w:rPr>
          <w:rFonts w:hint="default" w:ascii="Times New Roman" w:hAnsi="Times New Roman" w:eastAsia="仿宋_GB2312" w:cs="Times New Roman"/>
          <w:bCs/>
          <w:color w:val="auto"/>
          <w:sz w:val="24"/>
          <w:szCs w:val="24"/>
          <w:highlight w:val="none"/>
        </w:rPr>
        <w:t>4</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根据智慧城市建设要求，此项目建设及运行数据都归甲方所有，做好广电云平台的数据接口对接，且必须接入</w:t>
      </w:r>
      <w:r>
        <w:rPr>
          <w:rFonts w:hint="eastAsia" w:eastAsia="仿宋_GB2312" w:cs="Times New Roman"/>
          <w:bCs/>
          <w:color w:val="auto"/>
          <w:sz w:val="24"/>
          <w:szCs w:val="24"/>
          <w:highlight w:val="none"/>
          <w:lang w:val="en-US" w:eastAsia="zh-CN"/>
        </w:rPr>
        <w:t>诸暨市一体化智能化公共数据</w:t>
      </w:r>
      <w:r>
        <w:rPr>
          <w:rFonts w:hint="default" w:ascii="Times New Roman" w:hAnsi="Times New Roman" w:eastAsia="仿宋_GB2312" w:cs="Times New Roman"/>
          <w:bCs/>
          <w:color w:val="auto"/>
          <w:sz w:val="24"/>
          <w:szCs w:val="24"/>
          <w:highlight w:val="none"/>
        </w:rPr>
        <w:t>平台</w:t>
      </w:r>
      <w:r>
        <w:rPr>
          <w:rFonts w:hint="default" w:ascii="Times New Roman" w:hAnsi="Times New Roman" w:eastAsia="仿宋_GB2312" w:cs="Times New Roman"/>
          <w:bCs/>
          <w:color w:val="auto"/>
          <w:sz w:val="24"/>
          <w:szCs w:val="24"/>
          <w:highlight w:val="none"/>
          <w:lang w:eastAsia="zh-CN"/>
        </w:rPr>
        <w:t>和相关甲方要求的平台</w:t>
      </w:r>
      <w:r>
        <w:rPr>
          <w:rFonts w:hint="default" w:ascii="Times New Roman" w:hAnsi="Times New Roman" w:eastAsia="仿宋_GB2312" w:cs="Times New Roman"/>
          <w:bCs/>
          <w:color w:val="auto"/>
          <w:sz w:val="24"/>
          <w:szCs w:val="24"/>
          <w:highlight w:val="none"/>
        </w:rPr>
        <w:t>，真正实现数据共建、共享、共用。</w:t>
      </w:r>
    </w:p>
    <w:p>
      <w:pPr>
        <w:pStyle w:val="4"/>
        <w:bidi w:val="0"/>
        <w:jc w:val="both"/>
        <w:rPr>
          <w:rFonts w:hint="default"/>
        </w:rPr>
      </w:pPr>
      <w:r>
        <w:rPr>
          <w:rFonts w:hint="default"/>
        </w:rPr>
        <w:t>四、产权担保</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乙方开发中涉及的软件的所有权完全属于乙方，在交付甲方后保证无任何抵押、查封、债务转移等产权瑕疵。</w:t>
      </w:r>
    </w:p>
    <w:p>
      <w:pPr>
        <w:pStyle w:val="4"/>
        <w:bidi w:val="0"/>
        <w:jc w:val="both"/>
        <w:rPr>
          <w:rFonts w:hint="default"/>
        </w:rPr>
      </w:pPr>
      <w:r>
        <w:rPr>
          <w:rFonts w:hint="default"/>
        </w:rPr>
        <w:t>五、转包或分包</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本合同范围的软件，应由乙方直接供应，不得转让他人供应，否则，甲方有权解除合同，没收履约保证金并追究乙方的违约责任。</w:t>
      </w:r>
    </w:p>
    <w:p>
      <w:pPr>
        <w:pStyle w:val="4"/>
        <w:bidi w:val="0"/>
        <w:jc w:val="both"/>
        <w:rPr>
          <w:rFonts w:hint="default"/>
        </w:rPr>
      </w:pPr>
      <w:r>
        <w:rPr>
          <w:rFonts w:hint="default"/>
        </w:rPr>
        <w:t>六、保密义务</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双方应严格保守在合作过程中所了解的对方的商业及技术机密，否则应对由此造成的损失承担赔偿。</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任何一方不得出于除履行本合同以外的任何目的的披露、传播、复制或使用来自另一方的所有或者部分保密信息；不得在未经另一方书面明确同意的前提下向任何第三方披露本项目相关保密信息；本合同履行完毕后，任一方应当将所有涉及保密信息的载体交还另一方或自行做好管理。</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3</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乙方应严格遵循甲方各项安全保密制度，所有信息数据迁移、处理等过程中严禁私自复制、传输，完成建设任务后，乙方使用的用户信息等敏感数据必须物理清除。</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4</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乙方有义务保障平台的稳定性、账户的安全性，因软件系统原因导致平台崩溃、账户盗号或被攻击发布非法信息等引发的问题，所有经济责任及法律责任均由乙方承担。</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eastAsia" w:eastAsia="仿宋_GB2312" w:cs="Times New Roman"/>
          <w:bCs/>
          <w:color w:val="auto"/>
          <w:sz w:val="24"/>
          <w:szCs w:val="24"/>
          <w:highlight w:val="none"/>
          <w:lang w:val="en-US" w:eastAsia="zh-CN"/>
        </w:rPr>
        <w:t>5</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不论本合同是否变更、解除、终止，本条款均有效。</w:t>
      </w:r>
    </w:p>
    <w:p>
      <w:pPr>
        <w:pStyle w:val="4"/>
        <w:bidi w:val="0"/>
        <w:jc w:val="both"/>
        <w:rPr>
          <w:rFonts w:hint="default"/>
        </w:rPr>
      </w:pPr>
      <w:r>
        <w:rPr>
          <w:rFonts w:hint="default"/>
        </w:rPr>
        <w:t>七、履约保证金</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乙方在签订合同之前，须向甲方缴纳履约保证金合同款</w:t>
      </w:r>
      <w:r>
        <w:rPr>
          <w:rFonts w:hint="default" w:ascii="Times New Roman" w:hAnsi="Times New Roman" w:eastAsia="仿宋_GB2312" w:cs="Times New Roman"/>
          <w:bCs/>
          <w:color w:val="auto"/>
          <w:sz w:val="24"/>
          <w:szCs w:val="24"/>
          <w:highlight w:val="none"/>
          <w:lang w:eastAsia="zh-CN"/>
        </w:rPr>
        <w:t>的</w:t>
      </w:r>
      <w:r>
        <w:rPr>
          <w:rFonts w:hint="eastAsia" w:eastAsia="仿宋_GB2312" w:cs="Times New Roman"/>
          <w:bCs/>
          <w:color w:val="auto"/>
          <w:sz w:val="24"/>
          <w:szCs w:val="24"/>
          <w:highlight w:val="none"/>
          <w:lang w:val="en-US" w:eastAsia="zh-CN"/>
        </w:rPr>
        <w:t>2.</w:t>
      </w:r>
      <w:r>
        <w:rPr>
          <w:rFonts w:hint="default" w:ascii="Times New Roman" w:hAnsi="Times New Roman" w:eastAsia="仿宋_GB2312" w:cs="Times New Roman"/>
          <w:bCs/>
          <w:color w:val="auto"/>
          <w:sz w:val="24"/>
          <w:szCs w:val="24"/>
          <w:highlight w:val="none"/>
          <w:lang w:val="en-US" w:eastAsia="zh-CN"/>
        </w:rPr>
        <w:t>5</w:t>
      </w:r>
      <w:r>
        <w:rPr>
          <w:rFonts w:hint="default" w:ascii="Times New Roman" w:hAnsi="Times New Roman" w:eastAsia="仿宋_GB2312" w:cs="Times New Roman"/>
          <w:bCs/>
          <w:color w:val="auto"/>
          <w:sz w:val="24"/>
          <w:szCs w:val="24"/>
          <w:highlight w:val="none"/>
        </w:rPr>
        <w:t>%，即</w:t>
      </w:r>
      <w:r>
        <w:rPr>
          <w:rFonts w:hint="default" w:ascii="Times New Roman" w:hAnsi="Times New Roman" w:eastAsia="仿宋_GB2312" w:cs="Times New Roman"/>
          <w:bCs/>
          <w:color w:val="auto"/>
          <w:sz w:val="24"/>
          <w:szCs w:val="24"/>
          <w:highlight w:val="none"/>
          <w:u w:val="single"/>
          <w:lang w:val="en-US" w:eastAsia="zh-CN"/>
        </w:rPr>
        <w:t xml:space="preserve"> </w:t>
      </w:r>
      <w:r>
        <w:rPr>
          <w:rFonts w:hint="eastAsia" w:eastAsia="仿宋_GB2312" w:cs="Times New Roman"/>
          <w:bCs/>
          <w:color w:val="auto"/>
          <w:sz w:val="24"/>
          <w:szCs w:val="24"/>
          <w:highlight w:val="none"/>
          <w:u w:val="single"/>
          <w:lang w:val="en-US" w:eastAsia="zh-CN"/>
        </w:rPr>
        <w:t xml:space="preserve">**** </w:t>
      </w:r>
      <w:r>
        <w:rPr>
          <w:rFonts w:hint="default" w:ascii="Times New Roman" w:hAnsi="Times New Roman" w:eastAsia="仿宋_GB2312" w:cs="Times New Roman"/>
          <w:bCs/>
          <w:color w:val="auto"/>
          <w:sz w:val="24"/>
          <w:szCs w:val="24"/>
          <w:highlight w:val="none"/>
        </w:rPr>
        <w:t>万元，大写</w:t>
      </w:r>
      <w:r>
        <w:rPr>
          <w:rFonts w:hint="default" w:ascii="Times New Roman" w:hAnsi="Times New Roman" w:eastAsia="仿宋_GB2312" w:cs="Times New Roman"/>
          <w:bCs/>
          <w:color w:val="auto"/>
          <w:sz w:val="24"/>
          <w:szCs w:val="24"/>
          <w:highlight w:val="none"/>
          <w:u w:val="none"/>
        </w:rPr>
        <w:t>：</w:t>
      </w:r>
      <w:r>
        <w:rPr>
          <w:rFonts w:hint="eastAsia" w:eastAsia="仿宋_GB2312" w:cs="Times New Roman"/>
          <w:bCs/>
          <w:color w:val="auto"/>
          <w:sz w:val="24"/>
          <w:szCs w:val="24"/>
          <w:highlight w:val="none"/>
          <w:u w:val="single"/>
          <w:lang w:val="en-US" w:eastAsia="zh-CN"/>
        </w:rPr>
        <w:t>****元</w:t>
      </w:r>
      <w:r>
        <w:rPr>
          <w:rFonts w:hint="default" w:ascii="Times New Roman" w:hAnsi="Times New Roman" w:eastAsia="仿宋_GB2312" w:cs="Times New Roman"/>
          <w:bCs/>
          <w:color w:val="auto"/>
          <w:sz w:val="24"/>
          <w:szCs w:val="24"/>
          <w:highlight w:val="none"/>
        </w:rPr>
        <w:t>整。</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履约保证金在甲方项目验收合格无任何问题一个月内退回，不计息。</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3</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如乙方未能履行合同规定的义务，甲方有权在履约保证金中取得补偿。</w:t>
      </w:r>
    </w:p>
    <w:p>
      <w:pPr>
        <w:pStyle w:val="4"/>
        <w:bidi w:val="0"/>
        <w:jc w:val="both"/>
        <w:rPr>
          <w:rFonts w:hint="default"/>
        </w:rPr>
      </w:pPr>
      <w:r>
        <w:rPr>
          <w:rFonts w:hint="default"/>
        </w:rPr>
        <w:t>八、交货期、交货方式及交货地点</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交货期：乙方应安排足够人力负责项目实施，</w:t>
      </w:r>
      <w:r>
        <w:rPr>
          <w:rFonts w:hint="eastAsia" w:eastAsia="仿宋_GB2312" w:cs="Times New Roman"/>
          <w:bCs/>
          <w:color w:val="auto"/>
          <w:sz w:val="24"/>
          <w:szCs w:val="24"/>
          <w:highlight w:val="none"/>
          <w:lang w:val="en-US" w:eastAsia="zh-CN"/>
        </w:rPr>
        <w:t>自</w:t>
      </w:r>
      <w:r>
        <w:rPr>
          <w:rFonts w:hint="eastAsia" w:ascii="Times New Roman" w:hAnsi="Times New Roman" w:eastAsia="仿宋_GB2312" w:cs="Times New Roman"/>
          <w:bCs/>
          <w:color w:val="auto"/>
          <w:sz w:val="24"/>
          <w:szCs w:val="24"/>
          <w:highlight w:val="none"/>
          <w:lang w:val="en-US" w:eastAsia="zh-CN"/>
        </w:rPr>
        <w:t>合同签订之日起</w:t>
      </w:r>
      <w:r>
        <w:rPr>
          <w:rFonts w:hint="default" w:ascii="Times New Roman" w:hAnsi="Times New Roman" w:eastAsia="仿宋_GB2312" w:cs="Times New Roman"/>
          <w:bCs/>
          <w:color w:val="auto"/>
          <w:sz w:val="24"/>
          <w:szCs w:val="24"/>
          <w:highlight w:val="none"/>
          <w:u w:val="single"/>
          <w:lang w:val="en-US" w:eastAsia="zh-CN"/>
        </w:rPr>
        <w:t xml:space="preserve"> </w:t>
      </w:r>
      <w:r>
        <w:rPr>
          <w:rFonts w:hint="eastAsia" w:eastAsia="仿宋_GB2312" w:cs="Times New Roman"/>
          <w:bCs/>
          <w:color w:val="auto"/>
          <w:sz w:val="24"/>
          <w:szCs w:val="24"/>
          <w:highlight w:val="none"/>
          <w:u w:val="single"/>
          <w:lang w:val="en-US" w:eastAsia="zh-CN"/>
        </w:rPr>
        <w:t xml:space="preserve"> </w:t>
      </w:r>
      <w:r>
        <w:rPr>
          <w:rFonts w:hint="default" w:ascii="Times New Roman" w:hAnsi="Times New Roman" w:eastAsia="仿宋_GB2312" w:cs="Times New Roman"/>
          <w:bCs/>
          <w:color w:val="auto"/>
          <w:sz w:val="24"/>
          <w:szCs w:val="24"/>
          <w:highlight w:val="none"/>
          <w:u w:val="single"/>
          <w:lang w:val="en-US" w:eastAsia="zh-CN"/>
        </w:rPr>
        <w:t xml:space="preserve"> </w:t>
      </w:r>
      <w:r>
        <w:rPr>
          <w:rFonts w:hint="default" w:ascii="Times New Roman" w:hAnsi="Times New Roman" w:eastAsia="仿宋_GB2312" w:cs="Times New Roman"/>
          <w:bCs/>
          <w:color w:val="auto"/>
          <w:sz w:val="24"/>
          <w:szCs w:val="24"/>
          <w:highlight w:val="none"/>
        </w:rPr>
        <w:t>个月内完成实施</w:t>
      </w:r>
      <w:r>
        <w:rPr>
          <w:rFonts w:hint="default" w:ascii="Times New Roman" w:hAnsi="Times New Roman" w:eastAsia="仿宋_GB2312" w:cs="Times New Roman"/>
          <w:bCs/>
          <w:color w:val="auto"/>
          <w:sz w:val="24"/>
          <w:szCs w:val="24"/>
          <w:highlight w:val="none"/>
          <w:lang w:eastAsia="zh-CN"/>
        </w:rPr>
        <w:t>。</w:t>
      </w:r>
      <w:r>
        <w:rPr>
          <w:rFonts w:hint="default" w:ascii="Times New Roman" w:hAnsi="Times New Roman" w:eastAsia="仿宋_GB2312" w:cs="Times New Roman"/>
          <w:bCs/>
          <w:color w:val="auto"/>
          <w:sz w:val="24"/>
          <w:szCs w:val="24"/>
          <w:highlight w:val="none"/>
        </w:rPr>
        <w:t>若</w:t>
      </w:r>
      <w:r>
        <w:rPr>
          <w:rFonts w:hint="default" w:ascii="Times New Roman" w:hAnsi="Times New Roman" w:eastAsia="仿宋_GB2312" w:cs="Times New Roman"/>
          <w:bCs/>
          <w:color w:val="auto"/>
          <w:sz w:val="24"/>
          <w:szCs w:val="24"/>
          <w:highlight w:val="none"/>
          <w:lang w:eastAsia="zh-CN"/>
        </w:rPr>
        <w:t>乙方</w:t>
      </w:r>
      <w:r>
        <w:rPr>
          <w:rFonts w:hint="default" w:ascii="Times New Roman" w:hAnsi="Times New Roman" w:eastAsia="仿宋_GB2312" w:cs="Times New Roman"/>
          <w:bCs/>
          <w:color w:val="auto"/>
          <w:sz w:val="24"/>
          <w:szCs w:val="24"/>
          <w:highlight w:val="none"/>
        </w:rPr>
        <w:t>无合理理由无法在规定时间内有效开展项目实施工作的，则</w:t>
      </w:r>
      <w:r>
        <w:rPr>
          <w:rFonts w:hint="default" w:ascii="Times New Roman" w:hAnsi="Times New Roman" w:eastAsia="仿宋_GB2312" w:cs="Times New Roman"/>
          <w:bCs/>
          <w:color w:val="auto"/>
          <w:sz w:val="24"/>
          <w:szCs w:val="24"/>
          <w:highlight w:val="none"/>
          <w:lang w:eastAsia="zh-CN"/>
        </w:rPr>
        <w:t>甲方</w:t>
      </w:r>
      <w:r>
        <w:rPr>
          <w:rFonts w:hint="default" w:ascii="Times New Roman" w:hAnsi="Times New Roman" w:eastAsia="仿宋_GB2312" w:cs="Times New Roman"/>
          <w:bCs/>
          <w:color w:val="auto"/>
          <w:sz w:val="24"/>
          <w:szCs w:val="24"/>
          <w:highlight w:val="none"/>
        </w:rPr>
        <w:t>有权取消项目合同，由</w:t>
      </w:r>
      <w:r>
        <w:rPr>
          <w:rFonts w:hint="default" w:ascii="Times New Roman" w:hAnsi="Times New Roman" w:eastAsia="仿宋_GB2312" w:cs="Times New Roman"/>
          <w:bCs/>
          <w:color w:val="auto"/>
          <w:sz w:val="24"/>
          <w:szCs w:val="24"/>
          <w:highlight w:val="none"/>
          <w:lang w:eastAsia="zh-CN"/>
        </w:rPr>
        <w:t>乙方</w:t>
      </w:r>
      <w:r>
        <w:rPr>
          <w:rFonts w:hint="default" w:ascii="Times New Roman" w:hAnsi="Times New Roman" w:eastAsia="仿宋_GB2312" w:cs="Times New Roman"/>
          <w:bCs/>
          <w:color w:val="auto"/>
          <w:sz w:val="24"/>
          <w:szCs w:val="24"/>
          <w:highlight w:val="none"/>
        </w:rPr>
        <w:t>承担违约责任。</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lang w:eastAsia="zh-CN"/>
        </w:rPr>
      </w:pPr>
      <w:r>
        <w:rPr>
          <w:rFonts w:hint="default" w:ascii="Times New Roman" w:hAnsi="Times New Roman" w:eastAsia="仿宋_GB2312" w:cs="Times New Roman"/>
          <w:bCs/>
          <w:color w:val="auto"/>
          <w:sz w:val="24"/>
          <w:szCs w:val="24"/>
          <w:highlight w:val="none"/>
        </w:rPr>
        <w:t>2</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lang w:eastAsia="zh-CN"/>
        </w:rPr>
        <w:t>交付内容：包括软件系统在设计、开发、实施等建设过程中形成的一切文档，以及甲方和监理方所要求的与本项目有关的其他文档，包括但不限于：项目需求说明书、设计文档、源代码、可执行代码、测试报告、用户手册、系统维护手册，以及其他在项目方案设计、软件开发等项目建设过程中形成的一切文档，以及甲方和监理方所要求的其他本项目有关文档。</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bCs/>
          <w:color w:val="auto"/>
          <w:sz w:val="24"/>
          <w:szCs w:val="24"/>
          <w:highlight w:val="none"/>
          <w:lang w:val="en-US" w:eastAsia="zh-CN"/>
        </w:rPr>
        <w:t>3</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lang w:eastAsia="zh-CN"/>
        </w:rPr>
        <w:t>成果交付形式：</w:t>
      </w:r>
      <w:r>
        <w:rPr>
          <w:rFonts w:hint="default" w:ascii="Times New Roman" w:hAnsi="Times New Roman" w:eastAsia="仿宋_GB2312" w:cs="Times New Roman"/>
          <w:bCs/>
          <w:color w:val="auto"/>
          <w:sz w:val="24"/>
          <w:szCs w:val="24"/>
          <w:highlight w:val="none"/>
        </w:rPr>
        <w:t>最终用户指定地点现场安装部署（软件的可执行源代码以光盘的形式交付，执行源代码要求具有良好的编程风格，可执行代码以二进制文件或可安装文件的形式提供）。</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left="0"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lang w:val="en-US" w:eastAsia="zh-CN"/>
        </w:rPr>
        <w:t>4</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交货地点：最终用户指定地点。</w:t>
      </w:r>
    </w:p>
    <w:p>
      <w:pPr>
        <w:pStyle w:val="4"/>
        <w:bidi w:val="0"/>
        <w:jc w:val="both"/>
        <w:rPr>
          <w:rFonts w:hint="default"/>
        </w:rPr>
      </w:pPr>
      <w:r>
        <w:rPr>
          <w:rFonts w:hint="default"/>
        </w:rPr>
        <w:t>九、付款方式</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kern w:val="0"/>
          <w:sz w:val="24"/>
          <w:szCs w:val="24"/>
          <w:highlight w:val="none"/>
        </w:rPr>
        <w:t>项目实施完成后由</w:t>
      </w:r>
      <w:r>
        <w:rPr>
          <w:rFonts w:hint="default" w:ascii="Times New Roman" w:hAnsi="Times New Roman" w:eastAsia="仿宋_GB2312" w:cs="Times New Roman"/>
          <w:bCs/>
          <w:color w:val="auto"/>
          <w:kern w:val="0"/>
          <w:sz w:val="24"/>
          <w:szCs w:val="24"/>
          <w:highlight w:val="none"/>
          <w:lang w:eastAsia="zh-CN"/>
        </w:rPr>
        <w:t>乙</w:t>
      </w:r>
      <w:r>
        <w:rPr>
          <w:rFonts w:hint="default" w:ascii="Times New Roman" w:hAnsi="Times New Roman" w:eastAsia="仿宋_GB2312" w:cs="Times New Roman"/>
          <w:bCs/>
          <w:color w:val="auto"/>
          <w:kern w:val="0"/>
          <w:sz w:val="24"/>
          <w:szCs w:val="24"/>
          <w:highlight w:val="none"/>
        </w:rPr>
        <w:t>方申请试运行，不间断试运行</w:t>
      </w:r>
      <w:r>
        <w:rPr>
          <w:rFonts w:hint="default" w:ascii="Times New Roman" w:hAnsi="Times New Roman" w:eastAsia="仿宋_GB2312" w:cs="Times New Roman"/>
          <w:bCs/>
          <w:color w:val="auto"/>
          <w:kern w:val="0"/>
          <w:sz w:val="24"/>
          <w:szCs w:val="24"/>
          <w:highlight w:val="none"/>
          <w:u w:val="single"/>
          <w:lang w:val="en-US" w:eastAsia="zh-CN"/>
        </w:rPr>
        <w:t xml:space="preserve"> </w:t>
      </w:r>
      <w:r>
        <w:rPr>
          <w:rFonts w:hint="eastAsia" w:eastAsia="仿宋_GB2312" w:cs="Times New Roman"/>
          <w:bCs/>
          <w:color w:val="auto"/>
          <w:kern w:val="0"/>
          <w:sz w:val="24"/>
          <w:szCs w:val="24"/>
          <w:highlight w:val="none"/>
          <w:u w:val="single"/>
          <w:lang w:val="en-US" w:eastAsia="zh-CN"/>
        </w:rPr>
        <w:t xml:space="preserve">   </w:t>
      </w:r>
      <w:r>
        <w:rPr>
          <w:rFonts w:hint="default" w:ascii="Times New Roman" w:hAnsi="Times New Roman" w:eastAsia="仿宋_GB2312" w:cs="Times New Roman"/>
          <w:bCs/>
          <w:color w:val="auto"/>
          <w:kern w:val="0"/>
          <w:sz w:val="24"/>
          <w:szCs w:val="24"/>
          <w:highlight w:val="none"/>
          <w:u w:val="single"/>
          <w:lang w:val="en-US" w:eastAsia="zh-CN"/>
        </w:rPr>
        <w:t xml:space="preserve"> </w:t>
      </w:r>
      <w:r>
        <w:rPr>
          <w:rFonts w:hint="default" w:ascii="Times New Roman" w:hAnsi="Times New Roman" w:eastAsia="仿宋_GB2312" w:cs="Times New Roman"/>
          <w:bCs/>
          <w:color w:val="auto"/>
          <w:kern w:val="0"/>
          <w:sz w:val="24"/>
          <w:szCs w:val="24"/>
          <w:highlight w:val="none"/>
        </w:rPr>
        <w:t>个月后，由</w:t>
      </w:r>
      <w:r>
        <w:rPr>
          <w:rFonts w:hint="default" w:ascii="Times New Roman" w:hAnsi="Times New Roman" w:eastAsia="仿宋_GB2312" w:cs="Times New Roman"/>
          <w:bCs/>
          <w:color w:val="auto"/>
          <w:kern w:val="0"/>
          <w:sz w:val="24"/>
          <w:szCs w:val="24"/>
          <w:highlight w:val="none"/>
          <w:lang w:eastAsia="zh-CN"/>
        </w:rPr>
        <w:t>甲方</w:t>
      </w:r>
      <w:r>
        <w:rPr>
          <w:rFonts w:hint="default" w:ascii="Times New Roman" w:hAnsi="Times New Roman" w:eastAsia="仿宋_GB2312" w:cs="Times New Roman"/>
          <w:bCs/>
          <w:color w:val="auto"/>
          <w:kern w:val="0"/>
          <w:sz w:val="24"/>
          <w:szCs w:val="24"/>
          <w:highlight w:val="none"/>
        </w:rPr>
        <w:t>组织专家进行项目验收。</w:t>
      </w:r>
      <w:r>
        <w:rPr>
          <w:rFonts w:hint="default" w:ascii="Times New Roman" w:hAnsi="Times New Roman" w:eastAsia="仿宋_GB2312" w:cs="Times New Roman"/>
          <w:bCs/>
          <w:color w:val="auto"/>
          <w:sz w:val="24"/>
          <w:szCs w:val="24"/>
          <w:highlight w:val="none"/>
        </w:rPr>
        <w:t>经甲方组织项目初验合格后项目所涉费用开始给付。</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具体付款方式：验收合格</w:t>
      </w:r>
      <w:r>
        <w:rPr>
          <w:rFonts w:hint="eastAsia" w:ascii="Times New Roman" w:hAnsi="Times New Roman" w:eastAsia="仿宋_GB2312" w:cs="Times New Roman"/>
          <w:bCs/>
          <w:color w:val="auto"/>
          <w:sz w:val="24"/>
          <w:szCs w:val="24"/>
          <w:highlight w:val="none"/>
          <w:lang w:val="en-US" w:eastAsia="zh-CN"/>
        </w:rPr>
        <w:t>且收到乙方提供的相关材料（包括但不限</w:t>
      </w:r>
      <w:r>
        <w:rPr>
          <w:rFonts w:hint="eastAsia" w:eastAsia="仿宋_GB2312" w:cs="Times New Roman"/>
          <w:bCs/>
          <w:color w:val="auto"/>
          <w:sz w:val="24"/>
          <w:szCs w:val="24"/>
          <w:highlight w:val="none"/>
          <w:lang w:val="en-US" w:eastAsia="zh-CN"/>
        </w:rPr>
        <w:t>增值税专用发票</w:t>
      </w:r>
      <w:r>
        <w:rPr>
          <w:rFonts w:hint="eastAsia" w:ascii="Times New Roman" w:hAnsi="Times New Roman" w:eastAsia="仿宋_GB2312" w:cs="Times New Roman"/>
          <w:bCs/>
          <w:color w:val="auto"/>
          <w:sz w:val="24"/>
          <w:szCs w:val="24"/>
          <w:highlight w:val="none"/>
          <w:lang w:val="en-US" w:eastAsia="zh-CN"/>
        </w:rPr>
        <w:t>、报告书、合同复印件等）</w:t>
      </w:r>
      <w:r>
        <w:rPr>
          <w:rFonts w:hint="default" w:ascii="Times New Roman" w:hAnsi="Times New Roman" w:eastAsia="仿宋_GB2312" w:cs="Times New Roman"/>
          <w:bCs/>
          <w:color w:val="auto"/>
          <w:sz w:val="24"/>
          <w:szCs w:val="24"/>
          <w:highlight w:val="none"/>
        </w:rPr>
        <w:t>后一个月内支付</w:t>
      </w:r>
      <w:r>
        <w:rPr>
          <w:rFonts w:hint="eastAsia" w:eastAsia="仿宋_GB2312" w:cs="Times New Roman"/>
          <w:bCs/>
          <w:color w:val="auto"/>
          <w:sz w:val="24"/>
          <w:szCs w:val="24"/>
          <w:highlight w:val="none"/>
          <w:lang w:val="en-US" w:eastAsia="zh-CN"/>
        </w:rPr>
        <w:t>7</w:t>
      </w:r>
      <w:r>
        <w:rPr>
          <w:rFonts w:hint="default" w:ascii="Times New Roman" w:hAnsi="Times New Roman" w:eastAsia="仿宋_GB2312" w:cs="Times New Roman"/>
          <w:bCs/>
          <w:color w:val="auto"/>
          <w:sz w:val="24"/>
          <w:szCs w:val="24"/>
          <w:highlight w:val="none"/>
        </w:rPr>
        <w:t>0%，即（大写）</w:t>
      </w:r>
      <w:r>
        <w:rPr>
          <w:rFonts w:hint="default" w:ascii="Times New Roman" w:hAnsi="Times New Roman" w:eastAsia="仿宋_GB2312" w:cs="Times New Roman"/>
          <w:bCs/>
          <w:color w:val="auto"/>
          <w:sz w:val="24"/>
          <w:szCs w:val="24"/>
          <w:highlight w:val="none"/>
          <w:u w:val="single"/>
          <w:lang w:val="en-US" w:eastAsia="zh-CN"/>
        </w:rPr>
        <w:t xml:space="preserve"> </w:t>
      </w:r>
      <w:r>
        <w:rPr>
          <w:rFonts w:hint="eastAsia" w:eastAsia="仿宋_GB2312" w:cs="Times New Roman"/>
          <w:bCs/>
          <w:color w:val="auto"/>
          <w:sz w:val="24"/>
          <w:szCs w:val="24"/>
          <w:highlight w:val="none"/>
          <w:u w:val="single"/>
          <w:lang w:val="en-US" w:eastAsia="zh-CN"/>
        </w:rPr>
        <w:t>****</w:t>
      </w:r>
      <w:r>
        <w:rPr>
          <w:rFonts w:hint="default" w:ascii="Times New Roman" w:hAnsi="Times New Roman" w:eastAsia="仿宋_GB2312" w:cs="Times New Roman"/>
          <w:bCs/>
          <w:color w:val="auto"/>
          <w:sz w:val="24"/>
          <w:szCs w:val="24"/>
          <w:highlight w:val="none"/>
          <w:u w:val="single"/>
        </w:rPr>
        <w:t>元整</w:t>
      </w:r>
      <w:r>
        <w:rPr>
          <w:rFonts w:hint="default" w:ascii="Times New Roman" w:hAnsi="Times New Roman" w:eastAsia="仿宋_GB2312" w:cs="Times New Roman"/>
          <w:bCs/>
          <w:color w:val="auto"/>
          <w:sz w:val="24"/>
          <w:szCs w:val="24"/>
          <w:highlight w:val="none"/>
        </w:rPr>
        <w:t xml:space="preserve">，（小写） </w:t>
      </w:r>
      <w:r>
        <w:rPr>
          <w:rFonts w:hint="default" w:ascii="Times New Roman" w:hAnsi="Times New Roman" w:eastAsia="仿宋_GB2312" w:cs="Times New Roman"/>
          <w:bCs/>
          <w:color w:val="auto"/>
          <w:sz w:val="24"/>
          <w:szCs w:val="24"/>
          <w:highlight w:val="none"/>
          <w:u w:val="single"/>
        </w:rPr>
        <w:t>¥</w:t>
      </w:r>
      <w:r>
        <w:rPr>
          <w:rFonts w:hint="default" w:ascii="Times New Roman" w:hAnsi="Times New Roman" w:eastAsia="仿宋_GB2312" w:cs="Times New Roman"/>
          <w:bCs/>
          <w:color w:val="auto"/>
          <w:sz w:val="24"/>
          <w:szCs w:val="24"/>
          <w:highlight w:val="none"/>
          <w:u w:val="single"/>
          <w:lang w:val="en-US" w:eastAsia="zh-CN"/>
        </w:rPr>
        <w:t xml:space="preserve"> </w:t>
      </w:r>
      <w:r>
        <w:rPr>
          <w:rFonts w:hint="eastAsia" w:eastAsia="仿宋_GB2312" w:cs="Times New Roman"/>
          <w:bCs/>
          <w:color w:val="auto"/>
          <w:sz w:val="24"/>
          <w:szCs w:val="24"/>
          <w:highlight w:val="none"/>
          <w:u w:val="single"/>
          <w:lang w:val="en-US" w:eastAsia="zh-CN"/>
        </w:rPr>
        <w:t>***</w:t>
      </w:r>
      <w:r>
        <w:rPr>
          <w:rFonts w:hint="default" w:ascii="Times New Roman" w:hAnsi="Times New Roman" w:eastAsia="仿宋_GB2312" w:cs="Times New Roman"/>
          <w:bCs/>
          <w:color w:val="auto"/>
          <w:sz w:val="24"/>
          <w:szCs w:val="24"/>
          <w:highlight w:val="none"/>
          <w:u w:val="single"/>
          <w:lang w:val="en-US" w:eastAsia="zh-CN"/>
        </w:rPr>
        <w:t xml:space="preserve"> </w:t>
      </w:r>
      <w:r>
        <w:rPr>
          <w:rFonts w:hint="default" w:ascii="Times New Roman" w:hAnsi="Times New Roman" w:eastAsia="仿宋_GB2312" w:cs="Times New Roman"/>
          <w:bCs/>
          <w:color w:val="auto"/>
          <w:sz w:val="24"/>
          <w:szCs w:val="24"/>
          <w:highlight w:val="none"/>
        </w:rPr>
        <w:t>元；验收合格后一年内给付20%，即（大写）</w:t>
      </w:r>
      <w:r>
        <w:rPr>
          <w:rFonts w:hint="default" w:ascii="Times New Roman" w:hAnsi="Times New Roman" w:eastAsia="仿宋_GB2312" w:cs="Times New Roman"/>
          <w:bCs/>
          <w:color w:val="auto"/>
          <w:sz w:val="24"/>
          <w:szCs w:val="24"/>
          <w:highlight w:val="none"/>
          <w:u w:val="single"/>
          <w:lang w:val="en-US" w:eastAsia="zh-CN"/>
        </w:rPr>
        <w:t xml:space="preserve"> </w:t>
      </w:r>
      <w:r>
        <w:rPr>
          <w:rFonts w:hint="eastAsia" w:eastAsia="仿宋_GB2312" w:cs="Times New Roman"/>
          <w:bCs/>
          <w:color w:val="auto"/>
          <w:sz w:val="24"/>
          <w:szCs w:val="24"/>
          <w:highlight w:val="none"/>
          <w:u w:val="single"/>
          <w:lang w:val="en-US" w:eastAsia="zh-CN"/>
        </w:rPr>
        <w:t>****</w:t>
      </w:r>
      <w:r>
        <w:rPr>
          <w:rFonts w:hint="default" w:ascii="Times New Roman" w:hAnsi="Times New Roman" w:eastAsia="仿宋_GB2312" w:cs="Times New Roman"/>
          <w:bCs/>
          <w:color w:val="auto"/>
          <w:sz w:val="24"/>
          <w:szCs w:val="24"/>
          <w:highlight w:val="none"/>
          <w:u w:val="single"/>
        </w:rPr>
        <w:t>元整</w:t>
      </w:r>
      <w:r>
        <w:rPr>
          <w:rFonts w:hint="default" w:ascii="Times New Roman" w:hAnsi="Times New Roman" w:eastAsia="仿宋_GB2312" w:cs="Times New Roman"/>
          <w:bCs/>
          <w:color w:val="auto"/>
          <w:sz w:val="24"/>
          <w:szCs w:val="24"/>
          <w:highlight w:val="none"/>
        </w:rPr>
        <w:t xml:space="preserve">，（小写） </w:t>
      </w:r>
      <w:r>
        <w:rPr>
          <w:rFonts w:hint="default" w:ascii="Times New Roman" w:hAnsi="Times New Roman" w:eastAsia="仿宋_GB2312" w:cs="Times New Roman"/>
          <w:bCs/>
          <w:color w:val="auto"/>
          <w:sz w:val="24"/>
          <w:szCs w:val="24"/>
          <w:highlight w:val="none"/>
          <w:u w:val="single"/>
        </w:rPr>
        <w:t>¥</w:t>
      </w:r>
      <w:r>
        <w:rPr>
          <w:rFonts w:hint="default" w:ascii="Times New Roman" w:hAnsi="Times New Roman" w:eastAsia="仿宋_GB2312" w:cs="Times New Roman"/>
          <w:bCs/>
          <w:color w:val="auto"/>
          <w:sz w:val="24"/>
          <w:szCs w:val="24"/>
          <w:highlight w:val="none"/>
          <w:u w:val="single"/>
          <w:lang w:val="en-US" w:eastAsia="zh-CN"/>
        </w:rPr>
        <w:t xml:space="preserve"> </w:t>
      </w:r>
      <w:r>
        <w:rPr>
          <w:rFonts w:hint="eastAsia" w:eastAsia="仿宋_GB2312" w:cs="Times New Roman"/>
          <w:bCs/>
          <w:color w:val="auto"/>
          <w:sz w:val="24"/>
          <w:szCs w:val="24"/>
          <w:highlight w:val="none"/>
          <w:u w:val="single"/>
          <w:lang w:val="en-US" w:eastAsia="zh-CN"/>
        </w:rPr>
        <w:t>****</w:t>
      </w:r>
      <w:r>
        <w:rPr>
          <w:rFonts w:hint="default" w:ascii="Times New Roman" w:hAnsi="Times New Roman" w:eastAsia="仿宋_GB2312" w:cs="Times New Roman"/>
          <w:bCs/>
          <w:color w:val="auto"/>
          <w:sz w:val="24"/>
          <w:szCs w:val="24"/>
          <w:highlight w:val="none"/>
          <w:u w:val="single"/>
          <w:lang w:val="en-US" w:eastAsia="zh-CN"/>
        </w:rPr>
        <w:t xml:space="preserve"> </w:t>
      </w:r>
      <w:r>
        <w:rPr>
          <w:rFonts w:hint="default" w:ascii="Times New Roman" w:hAnsi="Times New Roman" w:eastAsia="仿宋_GB2312" w:cs="Times New Roman"/>
          <w:bCs/>
          <w:color w:val="auto"/>
          <w:sz w:val="24"/>
          <w:szCs w:val="24"/>
          <w:highlight w:val="none"/>
        </w:rPr>
        <w:t>元；验收合格后三年内给付5%，即（大写）</w:t>
      </w:r>
      <w:r>
        <w:rPr>
          <w:rFonts w:hint="default" w:ascii="Times New Roman" w:hAnsi="Times New Roman" w:eastAsia="仿宋_GB2312" w:cs="Times New Roman"/>
          <w:bCs/>
          <w:color w:val="auto"/>
          <w:sz w:val="24"/>
          <w:szCs w:val="24"/>
          <w:highlight w:val="none"/>
          <w:u w:val="single"/>
          <w:lang w:val="en-US" w:eastAsia="zh-CN"/>
        </w:rPr>
        <w:t xml:space="preserve"> </w:t>
      </w:r>
      <w:r>
        <w:rPr>
          <w:rFonts w:hint="eastAsia" w:eastAsia="仿宋_GB2312" w:cs="Times New Roman"/>
          <w:bCs/>
          <w:color w:val="auto"/>
          <w:sz w:val="24"/>
          <w:szCs w:val="24"/>
          <w:highlight w:val="none"/>
          <w:u w:val="single"/>
          <w:lang w:val="en-US" w:eastAsia="zh-CN"/>
        </w:rPr>
        <w:t>****</w:t>
      </w:r>
      <w:r>
        <w:rPr>
          <w:rFonts w:hint="default" w:ascii="Times New Roman" w:hAnsi="Times New Roman" w:eastAsia="仿宋_GB2312" w:cs="Times New Roman"/>
          <w:bCs/>
          <w:color w:val="auto"/>
          <w:sz w:val="24"/>
          <w:szCs w:val="24"/>
          <w:highlight w:val="none"/>
          <w:u w:val="single"/>
        </w:rPr>
        <w:t>元整</w:t>
      </w:r>
      <w:r>
        <w:rPr>
          <w:rFonts w:hint="default" w:ascii="Times New Roman" w:hAnsi="Times New Roman" w:eastAsia="仿宋_GB2312" w:cs="Times New Roman"/>
          <w:bCs/>
          <w:color w:val="auto"/>
          <w:sz w:val="24"/>
          <w:szCs w:val="24"/>
          <w:highlight w:val="none"/>
        </w:rPr>
        <w:t xml:space="preserve">，（小写） </w:t>
      </w:r>
      <w:r>
        <w:rPr>
          <w:rFonts w:hint="default" w:ascii="Times New Roman" w:hAnsi="Times New Roman" w:eastAsia="仿宋_GB2312" w:cs="Times New Roman"/>
          <w:bCs/>
          <w:color w:val="auto"/>
          <w:sz w:val="24"/>
          <w:szCs w:val="24"/>
          <w:highlight w:val="none"/>
          <w:u w:val="single"/>
        </w:rPr>
        <w:t>¥</w:t>
      </w:r>
      <w:r>
        <w:rPr>
          <w:rFonts w:hint="default" w:ascii="Times New Roman" w:hAnsi="Times New Roman" w:eastAsia="仿宋_GB2312" w:cs="Times New Roman"/>
          <w:bCs/>
          <w:color w:val="auto"/>
          <w:sz w:val="24"/>
          <w:szCs w:val="24"/>
          <w:highlight w:val="none"/>
          <w:u w:val="single"/>
          <w:lang w:val="en-US" w:eastAsia="zh-CN"/>
        </w:rPr>
        <w:t xml:space="preserve"> </w:t>
      </w:r>
      <w:r>
        <w:rPr>
          <w:rFonts w:hint="eastAsia" w:eastAsia="仿宋_GB2312" w:cs="Times New Roman"/>
          <w:bCs/>
          <w:color w:val="auto"/>
          <w:sz w:val="24"/>
          <w:szCs w:val="24"/>
          <w:highlight w:val="none"/>
          <w:u w:val="single"/>
          <w:lang w:val="en-US" w:eastAsia="zh-CN"/>
        </w:rPr>
        <w:t>****</w:t>
      </w:r>
      <w:r>
        <w:rPr>
          <w:rFonts w:hint="default" w:ascii="Times New Roman" w:hAnsi="Times New Roman" w:eastAsia="仿宋_GB2312" w:cs="Times New Roman"/>
          <w:bCs/>
          <w:color w:val="auto"/>
          <w:sz w:val="24"/>
          <w:szCs w:val="24"/>
          <w:highlight w:val="none"/>
          <w:u w:val="single"/>
          <w:lang w:val="en-US" w:eastAsia="zh-CN"/>
        </w:rPr>
        <w:t xml:space="preserve"> </w:t>
      </w:r>
      <w:r>
        <w:rPr>
          <w:rFonts w:hint="default" w:ascii="Times New Roman" w:hAnsi="Times New Roman" w:eastAsia="仿宋_GB2312" w:cs="Times New Roman"/>
          <w:bCs/>
          <w:color w:val="auto"/>
          <w:sz w:val="24"/>
          <w:szCs w:val="24"/>
          <w:highlight w:val="none"/>
        </w:rPr>
        <w:t>元；验收合格后五年内给付5%，即（大写）</w:t>
      </w:r>
      <w:r>
        <w:rPr>
          <w:rFonts w:hint="default" w:ascii="Times New Roman" w:hAnsi="Times New Roman" w:eastAsia="仿宋_GB2312" w:cs="Times New Roman"/>
          <w:bCs/>
          <w:color w:val="auto"/>
          <w:sz w:val="24"/>
          <w:szCs w:val="24"/>
          <w:highlight w:val="none"/>
          <w:u w:val="single"/>
          <w:lang w:val="en-US" w:eastAsia="zh-CN"/>
        </w:rPr>
        <w:t xml:space="preserve"> </w:t>
      </w:r>
      <w:r>
        <w:rPr>
          <w:rFonts w:hint="eastAsia" w:eastAsia="仿宋_GB2312" w:cs="Times New Roman"/>
          <w:bCs/>
          <w:color w:val="auto"/>
          <w:sz w:val="24"/>
          <w:szCs w:val="24"/>
          <w:highlight w:val="none"/>
          <w:u w:val="single"/>
          <w:lang w:val="en-US" w:eastAsia="zh-CN"/>
        </w:rPr>
        <w:t>****</w:t>
      </w:r>
      <w:r>
        <w:rPr>
          <w:rFonts w:hint="default" w:ascii="Times New Roman" w:hAnsi="Times New Roman" w:eastAsia="仿宋_GB2312" w:cs="Times New Roman"/>
          <w:bCs/>
          <w:color w:val="auto"/>
          <w:sz w:val="24"/>
          <w:szCs w:val="24"/>
          <w:highlight w:val="none"/>
          <w:u w:val="single"/>
        </w:rPr>
        <w:t>元整</w:t>
      </w:r>
      <w:r>
        <w:rPr>
          <w:rFonts w:hint="default" w:ascii="Times New Roman" w:hAnsi="Times New Roman" w:eastAsia="仿宋_GB2312" w:cs="Times New Roman"/>
          <w:bCs/>
          <w:color w:val="auto"/>
          <w:sz w:val="24"/>
          <w:szCs w:val="24"/>
          <w:highlight w:val="none"/>
        </w:rPr>
        <w:t xml:space="preserve">，（小写） </w:t>
      </w:r>
      <w:r>
        <w:rPr>
          <w:rFonts w:hint="default" w:ascii="Times New Roman" w:hAnsi="Times New Roman" w:eastAsia="仿宋_GB2312" w:cs="Times New Roman"/>
          <w:bCs/>
          <w:color w:val="auto"/>
          <w:sz w:val="24"/>
          <w:szCs w:val="24"/>
          <w:highlight w:val="none"/>
          <w:u w:val="single"/>
        </w:rPr>
        <w:t>¥</w:t>
      </w:r>
      <w:r>
        <w:rPr>
          <w:rFonts w:hint="default" w:ascii="Times New Roman" w:hAnsi="Times New Roman" w:eastAsia="仿宋_GB2312" w:cs="Times New Roman"/>
          <w:bCs/>
          <w:color w:val="auto"/>
          <w:sz w:val="24"/>
          <w:szCs w:val="24"/>
          <w:highlight w:val="none"/>
          <w:u w:val="single"/>
          <w:lang w:val="en-US" w:eastAsia="zh-CN"/>
        </w:rPr>
        <w:t xml:space="preserve"> </w:t>
      </w:r>
      <w:r>
        <w:rPr>
          <w:rFonts w:hint="eastAsia" w:eastAsia="仿宋_GB2312" w:cs="Times New Roman"/>
          <w:bCs/>
          <w:color w:val="auto"/>
          <w:sz w:val="24"/>
          <w:szCs w:val="24"/>
          <w:highlight w:val="none"/>
          <w:u w:val="single"/>
          <w:lang w:val="en-US" w:eastAsia="zh-CN"/>
        </w:rPr>
        <w:t>****</w:t>
      </w:r>
      <w:r>
        <w:rPr>
          <w:rFonts w:hint="default" w:ascii="Times New Roman" w:hAnsi="Times New Roman" w:eastAsia="仿宋_GB2312" w:cs="Times New Roman"/>
          <w:bCs/>
          <w:color w:val="auto"/>
          <w:sz w:val="24"/>
          <w:szCs w:val="24"/>
          <w:highlight w:val="none"/>
          <w:u w:val="single"/>
          <w:lang w:val="en-US" w:eastAsia="zh-CN"/>
        </w:rPr>
        <w:t xml:space="preserve"> </w:t>
      </w:r>
      <w:r>
        <w:rPr>
          <w:rFonts w:hint="default" w:ascii="Times New Roman" w:hAnsi="Times New Roman" w:eastAsia="仿宋_GB2312" w:cs="Times New Roman"/>
          <w:bCs/>
          <w:color w:val="auto"/>
          <w:sz w:val="24"/>
          <w:szCs w:val="24"/>
          <w:highlight w:val="none"/>
        </w:rPr>
        <w:t>元。（均无息）</w:t>
      </w:r>
    </w:p>
    <w:p>
      <w:pPr>
        <w:pStyle w:val="4"/>
        <w:bidi w:val="0"/>
        <w:jc w:val="both"/>
        <w:rPr>
          <w:rFonts w:hint="default"/>
        </w:rPr>
      </w:pPr>
      <w:r>
        <w:rPr>
          <w:rFonts w:hint="default"/>
        </w:rPr>
        <w:t>十、税费</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left="48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本合同执行中相关的一切税费均由乙方负担。</w:t>
      </w:r>
    </w:p>
    <w:p>
      <w:pPr>
        <w:pStyle w:val="4"/>
        <w:bidi w:val="0"/>
        <w:jc w:val="both"/>
        <w:rPr>
          <w:rFonts w:hint="default"/>
        </w:rPr>
      </w:pPr>
      <w:r>
        <w:rPr>
          <w:rFonts w:hint="default"/>
        </w:rPr>
        <w:t>十一、质量保证及售后服务</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乙方保证本合同中所供应的商品是最新生产的符合国家技术规格和质量标准的出厂原装合格产品。如发生所供商品与</w:t>
      </w:r>
      <w:r>
        <w:rPr>
          <w:rFonts w:hint="eastAsia" w:ascii="Times New Roman" w:hAnsi="Times New Roman" w:eastAsia="仿宋_GB2312" w:cs="Times New Roman"/>
          <w:bCs/>
          <w:color w:val="auto"/>
          <w:sz w:val="24"/>
          <w:szCs w:val="24"/>
          <w:highlight w:val="none"/>
          <w:lang w:val="en-US" w:eastAsia="zh-CN"/>
        </w:rPr>
        <w:t>本</w:t>
      </w:r>
      <w:r>
        <w:rPr>
          <w:rFonts w:hint="default" w:ascii="Times New Roman" w:hAnsi="Times New Roman" w:eastAsia="仿宋_GB2312" w:cs="Times New Roman"/>
          <w:bCs/>
          <w:color w:val="auto"/>
          <w:sz w:val="24"/>
          <w:szCs w:val="24"/>
          <w:highlight w:val="none"/>
        </w:rPr>
        <w:t>合同</w:t>
      </w:r>
      <w:r>
        <w:rPr>
          <w:rFonts w:hint="eastAsia" w:ascii="Times New Roman" w:hAnsi="Times New Roman" w:eastAsia="仿宋_GB2312" w:cs="Times New Roman"/>
          <w:bCs/>
          <w:color w:val="auto"/>
          <w:sz w:val="24"/>
          <w:szCs w:val="24"/>
          <w:highlight w:val="none"/>
          <w:lang w:val="en-US" w:eastAsia="zh-CN"/>
        </w:rPr>
        <w:t>的要求</w:t>
      </w:r>
      <w:r>
        <w:rPr>
          <w:rFonts w:hint="default" w:ascii="Times New Roman" w:hAnsi="Times New Roman" w:eastAsia="仿宋_GB2312" w:cs="Times New Roman"/>
          <w:bCs/>
          <w:color w:val="auto"/>
          <w:sz w:val="24"/>
          <w:szCs w:val="24"/>
          <w:highlight w:val="none"/>
        </w:rPr>
        <w:t>不符，甲方（使用方）有权拒收或退货，由此产生的一切责任和后果由乙方承担。</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乙方提供的软件在质保期内因软件本身的质量问题发生故障，乙方应负责免费更换。对达不到技术要求者，根据实际情况，经双方协商，可按以下办法处理：</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（1）更换：由乙方承担所发生的全部费用。</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（2）退货处理：乙方应退还甲方支付的合同款，同时应承担该软件的直接费用（开发、检验、货款利息及银行手续费等）。</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3</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乙方为本项目内所供应和安装的产品提供至少</w:t>
      </w:r>
      <w:r>
        <w:rPr>
          <w:rFonts w:hint="default" w:ascii="Times New Roman" w:hAnsi="Times New Roman" w:eastAsia="仿宋_GB2312" w:cs="Times New Roman"/>
          <w:b/>
          <w:bCs w:val="0"/>
          <w:color w:val="auto"/>
          <w:sz w:val="24"/>
          <w:szCs w:val="24"/>
          <w:highlight w:val="none"/>
        </w:rPr>
        <w:t>五年</w:t>
      </w:r>
      <w:r>
        <w:rPr>
          <w:rFonts w:hint="default" w:ascii="Times New Roman" w:hAnsi="Times New Roman" w:eastAsia="仿宋_GB2312" w:cs="Times New Roman"/>
          <w:bCs/>
          <w:color w:val="auto"/>
          <w:sz w:val="24"/>
          <w:szCs w:val="24"/>
          <w:highlight w:val="none"/>
        </w:rPr>
        <w:t>的原厂商质保</w:t>
      </w:r>
      <w:r>
        <w:rPr>
          <w:rFonts w:hint="eastAsia" w:eastAsia="仿宋_GB2312" w:cs="Times New Roman"/>
          <w:bCs/>
          <w:color w:val="auto"/>
          <w:sz w:val="24"/>
          <w:szCs w:val="24"/>
          <w:highlight w:val="none"/>
          <w:lang w:val="en-US" w:eastAsia="zh-CN"/>
        </w:rPr>
        <w:t>及</w:t>
      </w:r>
      <w:r>
        <w:rPr>
          <w:rFonts w:hint="eastAsia" w:eastAsia="仿宋_GB2312" w:cs="Times New Roman"/>
          <w:b/>
          <w:bCs w:val="0"/>
          <w:color w:val="auto"/>
          <w:sz w:val="24"/>
          <w:szCs w:val="24"/>
          <w:highlight w:val="none"/>
          <w:lang w:val="en-US" w:eastAsia="zh-CN"/>
        </w:rPr>
        <w:t>五年</w:t>
      </w:r>
      <w:r>
        <w:rPr>
          <w:rFonts w:hint="eastAsia" w:eastAsia="仿宋_GB2312" w:cs="Times New Roman"/>
          <w:bCs/>
          <w:color w:val="auto"/>
          <w:sz w:val="24"/>
          <w:szCs w:val="24"/>
          <w:highlight w:val="none"/>
          <w:lang w:val="en-US" w:eastAsia="zh-CN"/>
        </w:rPr>
        <w:t>整体项目</w:t>
      </w:r>
      <w:r>
        <w:rPr>
          <w:rFonts w:hint="default" w:ascii="Times New Roman" w:hAnsi="Times New Roman" w:eastAsia="仿宋_GB2312" w:cs="Times New Roman"/>
          <w:bCs/>
          <w:color w:val="auto"/>
          <w:sz w:val="24"/>
          <w:szCs w:val="24"/>
          <w:highlight w:val="none"/>
        </w:rPr>
        <w:t>免费售后</w:t>
      </w:r>
      <w:r>
        <w:rPr>
          <w:rFonts w:hint="eastAsia" w:eastAsia="仿宋_GB2312" w:cs="Times New Roman"/>
          <w:bCs/>
          <w:color w:val="auto"/>
          <w:sz w:val="24"/>
          <w:szCs w:val="24"/>
          <w:highlight w:val="none"/>
          <w:lang w:val="en-US" w:eastAsia="zh-CN"/>
        </w:rPr>
        <w:t>维保</w:t>
      </w:r>
      <w:r>
        <w:rPr>
          <w:rFonts w:hint="default" w:ascii="Times New Roman" w:hAnsi="Times New Roman" w:eastAsia="仿宋_GB2312" w:cs="Times New Roman"/>
          <w:bCs/>
          <w:color w:val="auto"/>
          <w:sz w:val="24"/>
          <w:szCs w:val="24"/>
          <w:highlight w:val="none"/>
        </w:rPr>
        <w:t>，质保期从产品验收合格之日起开始计算。</w:t>
      </w:r>
      <w:r>
        <w:rPr>
          <w:rFonts w:hint="default" w:ascii="Times New Roman" w:hAnsi="Times New Roman" w:eastAsia="仿宋_GB2312" w:cs="Times New Roman"/>
          <w:bCs/>
          <w:color w:val="000000" w:themeColor="text1"/>
          <w:sz w:val="24"/>
          <w:szCs w:val="24"/>
          <w:highlight w:val="none"/>
          <w14:textFill>
            <w14:solidFill>
              <w14:schemeClr w14:val="tx1"/>
            </w14:solidFill>
          </w14:textFill>
        </w:rPr>
        <w:t>质保期内所有</w:t>
      </w:r>
      <w:r>
        <w:rPr>
          <w:rFonts w:hint="eastAsia" w:eastAsia="仿宋_GB2312" w:cs="Times New Roman"/>
          <w:bCs/>
          <w:color w:val="000000" w:themeColor="text1"/>
          <w:sz w:val="24"/>
          <w:szCs w:val="24"/>
          <w:highlight w:val="none"/>
          <w:lang w:val="en-US" w:eastAsia="zh-CN"/>
          <w14:textFill>
            <w14:solidFill>
              <w14:schemeClr w14:val="tx1"/>
            </w14:solidFill>
          </w14:textFill>
        </w:rPr>
        <w:t>产品</w:t>
      </w:r>
      <w:r>
        <w:rPr>
          <w:rFonts w:hint="default" w:ascii="Times New Roman" w:hAnsi="Times New Roman" w:eastAsia="仿宋_GB2312" w:cs="Times New Roman"/>
          <w:bCs/>
          <w:color w:val="000000" w:themeColor="text1"/>
          <w:sz w:val="24"/>
          <w:szCs w:val="24"/>
          <w:highlight w:val="none"/>
          <w14:textFill>
            <w14:solidFill>
              <w14:schemeClr w14:val="tx1"/>
            </w14:solidFill>
          </w14:textFill>
        </w:rPr>
        <w:t>免费上门维修服务，提</w:t>
      </w:r>
      <w:r>
        <w:rPr>
          <w:rFonts w:hint="default" w:ascii="Times New Roman" w:hAnsi="Times New Roman" w:eastAsia="仿宋_GB2312" w:cs="Times New Roman"/>
          <w:bCs/>
          <w:color w:val="auto"/>
          <w:sz w:val="24"/>
          <w:szCs w:val="24"/>
          <w:highlight w:val="none"/>
        </w:rPr>
        <w:t>供终身维护。质保期内提供同版本软件免费客户化修改与免费升级服务，并为用户后续的信息化建设提供长期的技术支持。免费售后维护服务期后的维护费用由双方协商确定，但不得超过项目金额的7%。</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eastAsia" w:ascii="Times New Roman" w:hAnsi="Times New Roman" w:eastAsia="仿宋_GB2312" w:cs="Times New Roman"/>
          <w:bCs/>
          <w:color w:val="auto"/>
          <w:sz w:val="24"/>
          <w:szCs w:val="24"/>
          <w:highlight w:val="none"/>
          <w:lang w:eastAsia="zh-CN"/>
        </w:rPr>
      </w:pPr>
      <w:r>
        <w:rPr>
          <w:rFonts w:hint="default" w:ascii="Times New Roman" w:hAnsi="Times New Roman" w:eastAsia="仿宋_GB2312" w:cs="Times New Roman"/>
          <w:bCs/>
          <w:color w:val="auto"/>
          <w:sz w:val="24"/>
          <w:szCs w:val="24"/>
          <w:highlight w:val="none"/>
        </w:rPr>
        <w:t>4</w:t>
      </w:r>
      <w:r>
        <w:rPr>
          <w:rFonts w:hint="eastAsia" w:eastAsia="仿宋_GB2312" w:cs="Times New Roman"/>
          <w:bCs/>
          <w:color w:val="auto"/>
          <w:sz w:val="24"/>
          <w:szCs w:val="24"/>
          <w:highlight w:val="none"/>
          <w:lang w:eastAsia="zh-CN"/>
        </w:rPr>
        <w:t xml:space="preserve">. </w:t>
      </w:r>
      <w:r>
        <w:rPr>
          <w:rFonts w:hint="eastAsia" w:ascii="Times New Roman" w:hAnsi="Times New Roman" w:eastAsia="仿宋_GB2312" w:cs="Times New Roman"/>
          <w:bCs/>
          <w:color w:val="auto"/>
          <w:sz w:val="24"/>
          <w:szCs w:val="24"/>
          <w:highlight w:val="none"/>
          <w:lang w:eastAsia="zh-CN"/>
        </w:rPr>
        <w:t>质保期内乙方提供7*24小时技术支持服务，</w:t>
      </w:r>
      <w:r>
        <w:rPr>
          <w:rFonts w:hint="default" w:ascii="Times New Roman" w:hAnsi="Times New Roman" w:eastAsia="仿宋_GB2312" w:cs="Times New Roman"/>
          <w:bCs/>
          <w:color w:val="auto"/>
          <w:sz w:val="24"/>
          <w:szCs w:val="24"/>
          <w:highlight w:val="none"/>
        </w:rPr>
        <w:t>在接到系统故障通知后，</w:t>
      </w:r>
      <w:r>
        <w:rPr>
          <w:rFonts w:hint="eastAsia" w:ascii="Times New Roman" w:hAnsi="Times New Roman" w:eastAsia="仿宋_GB2312" w:cs="Times New Roman"/>
          <w:bCs/>
          <w:color w:val="auto"/>
          <w:sz w:val="24"/>
          <w:szCs w:val="24"/>
          <w:highlight w:val="none"/>
          <w:lang w:val="en-US" w:eastAsia="zh-CN"/>
        </w:rPr>
        <w:t>乙方</w:t>
      </w:r>
      <w:r>
        <w:rPr>
          <w:rFonts w:hint="default" w:ascii="Times New Roman" w:hAnsi="Times New Roman" w:eastAsia="仿宋_GB2312" w:cs="Times New Roman"/>
          <w:bCs/>
          <w:color w:val="auto"/>
          <w:sz w:val="24"/>
          <w:szCs w:val="24"/>
          <w:highlight w:val="none"/>
        </w:rPr>
        <w:t>必须在</w:t>
      </w:r>
      <w:r>
        <w:rPr>
          <w:rFonts w:hint="eastAsia" w:ascii="Times New Roman" w:hAnsi="Times New Roman" w:eastAsia="仿宋_GB2312" w:cs="Times New Roman"/>
          <w:bCs/>
          <w:color w:val="auto"/>
          <w:sz w:val="24"/>
          <w:szCs w:val="24"/>
          <w:highlight w:val="none"/>
          <w:lang w:val="en-US" w:eastAsia="zh-CN"/>
        </w:rPr>
        <w:t>30分钟</w:t>
      </w:r>
      <w:r>
        <w:rPr>
          <w:rFonts w:hint="default" w:ascii="Times New Roman" w:hAnsi="Times New Roman" w:eastAsia="仿宋_GB2312" w:cs="Times New Roman"/>
          <w:bCs/>
          <w:color w:val="auto"/>
          <w:sz w:val="24"/>
          <w:szCs w:val="24"/>
          <w:highlight w:val="none"/>
        </w:rPr>
        <w:t>内响应。</w:t>
      </w:r>
      <w:r>
        <w:rPr>
          <w:rFonts w:hint="eastAsia" w:ascii="Times New Roman" w:hAnsi="Times New Roman" w:eastAsia="仿宋_GB2312" w:cs="Times New Roman"/>
          <w:bCs/>
          <w:color w:val="auto"/>
          <w:sz w:val="24"/>
          <w:szCs w:val="24"/>
          <w:highlight w:val="none"/>
          <w:lang w:val="en-US" w:eastAsia="zh-CN"/>
        </w:rPr>
        <w:t>轻微问题应立即排除；</w:t>
      </w:r>
      <w:r>
        <w:rPr>
          <w:rFonts w:hint="eastAsia" w:ascii="Times New Roman" w:hAnsi="Times New Roman" w:eastAsia="仿宋_GB2312" w:cs="Times New Roman"/>
          <w:bCs/>
          <w:color w:val="auto"/>
          <w:sz w:val="24"/>
          <w:szCs w:val="24"/>
          <w:highlight w:val="none"/>
        </w:rPr>
        <w:t>一般问题</w:t>
      </w:r>
      <w:r>
        <w:rPr>
          <w:rFonts w:hint="eastAsia" w:ascii="Times New Roman" w:hAnsi="Times New Roman" w:eastAsia="仿宋_GB2312" w:cs="Times New Roman"/>
          <w:bCs/>
          <w:color w:val="auto"/>
          <w:sz w:val="24"/>
          <w:szCs w:val="24"/>
          <w:highlight w:val="none"/>
          <w:lang w:val="en-US" w:eastAsia="zh-CN"/>
        </w:rPr>
        <w:t>1</w:t>
      </w:r>
      <w:r>
        <w:rPr>
          <w:rFonts w:hint="eastAsia" w:ascii="Times New Roman" w:hAnsi="Times New Roman" w:eastAsia="仿宋_GB2312" w:cs="Times New Roman"/>
          <w:bCs/>
          <w:color w:val="auto"/>
          <w:sz w:val="24"/>
          <w:szCs w:val="24"/>
          <w:highlight w:val="none"/>
        </w:rPr>
        <w:t>小时内到达现场</w:t>
      </w:r>
      <w:r>
        <w:rPr>
          <w:rFonts w:hint="default" w:ascii="Times New Roman" w:hAnsi="Times New Roman" w:eastAsia="仿宋_GB2312" w:cs="Times New Roman"/>
          <w:bCs/>
          <w:color w:val="auto"/>
          <w:sz w:val="24"/>
          <w:szCs w:val="24"/>
          <w:highlight w:val="none"/>
        </w:rPr>
        <w:t>（包括维修配件到达服务现场）</w:t>
      </w:r>
      <w:r>
        <w:rPr>
          <w:rFonts w:hint="eastAsia" w:ascii="Times New Roman" w:hAnsi="Times New Roman" w:eastAsia="仿宋_GB2312" w:cs="Times New Roman"/>
          <w:bCs/>
          <w:color w:val="auto"/>
          <w:sz w:val="24"/>
          <w:szCs w:val="24"/>
          <w:highlight w:val="none"/>
        </w:rPr>
        <w:t>，</w:t>
      </w:r>
      <w:r>
        <w:rPr>
          <w:rFonts w:hint="eastAsia" w:ascii="Times New Roman" w:hAnsi="Times New Roman" w:eastAsia="仿宋_GB2312" w:cs="Times New Roman"/>
          <w:bCs/>
          <w:color w:val="auto"/>
          <w:sz w:val="24"/>
          <w:szCs w:val="24"/>
          <w:highlight w:val="none"/>
          <w:lang w:val="en-US" w:eastAsia="zh-CN"/>
        </w:rPr>
        <w:t>故障需2小时内排除；</w:t>
      </w:r>
      <w:r>
        <w:rPr>
          <w:rFonts w:hint="default" w:ascii="Times New Roman" w:hAnsi="Times New Roman" w:eastAsia="仿宋_GB2312" w:cs="Times New Roman"/>
          <w:bCs/>
          <w:color w:val="auto"/>
          <w:sz w:val="24"/>
          <w:szCs w:val="24"/>
          <w:highlight w:val="none"/>
        </w:rPr>
        <w:t>对于影响系统正常运行的严重故障（包括由系统原因引起的），</w:t>
      </w:r>
      <w:r>
        <w:rPr>
          <w:rFonts w:hint="eastAsia" w:ascii="Times New Roman" w:hAnsi="Times New Roman" w:eastAsia="仿宋_GB2312" w:cs="Times New Roman"/>
          <w:bCs/>
          <w:color w:val="auto"/>
          <w:sz w:val="24"/>
          <w:szCs w:val="24"/>
          <w:highlight w:val="none"/>
          <w:lang w:val="en-US" w:eastAsia="zh-CN"/>
        </w:rPr>
        <w:t>乙方</w:t>
      </w:r>
      <w:r>
        <w:rPr>
          <w:rFonts w:hint="default" w:ascii="Times New Roman" w:hAnsi="Times New Roman" w:eastAsia="仿宋_GB2312" w:cs="Times New Roman"/>
          <w:bCs/>
          <w:color w:val="auto"/>
          <w:sz w:val="24"/>
          <w:szCs w:val="24"/>
          <w:highlight w:val="none"/>
        </w:rPr>
        <w:t>的相关技术人员需在接到故障通知后</w:t>
      </w:r>
      <w:r>
        <w:rPr>
          <w:rFonts w:hint="eastAsia" w:ascii="Times New Roman" w:hAnsi="Times New Roman" w:eastAsia="仿宋_GB2312" w:cs="Times New Roman"/>
          <w:bCs/>
          <w:color w:val="auto"/>
          <w:sz w:val="24"/>
          <w:szCs w:val="24"/>
          <w:highlight w:val="none"/>
          <w:lang w:val="en-US" w:eastAsia="zh-CN"/>
        </w:rPr>
        <w:t>半</w:t>
      </w:r>
      <w:r>
        <w:rPr>
          <w:rFonts w:hint="default" w:ascii="Times New Roman" w:hAnsi="Times New Roman" w:eastAsia="仿宋_GB2312" w:cs="Times New Roman"/>
          <w:bCs/>
          <w:color w:val="auto"/>
          <w:sz w:val="24"/>
          <w:szCs w:val="24"/>
          <w:highlight w:val="none"/>
        </w:rPr>
        <w:t>小时内赶到现场（包括维修配件到达服务现场），查找原因，提出解决方案，并工作直至故障修妥完全恢复正常工作为止，一般要求保证系统在</w:t>
      </w:r>
      <w:r>
        <w:rPr>
          <w:rFonts w:hint="eastAsia" w:ascii="Times New Roman" w:hAnsi="Times New Roman" w:eastAsia="仿宋_GB2312" w:cs="Times New Roman"/>
          <w:bCs/>
          <w:color w:val="auto"/>
          <w:sz w:val="24"/>
          <w:szCs w:val="24"/>
          <w:highlight w:val="none"/>
          <w:lang w:val="en-US" w:eastAsia="zh-CN"/>
        </w:rPr>
        <w:t>8</w:t>
      </w:r>
      <w:r>
        <w:rPr>
          <w:rFonts w:hint="default" w:ascii="Times New Roman" w:hAnsi="Times New Roman" w:eastAsia="仿宋_GB2312" w:cs="Times New Roman"/>
          <w:bCs/>
          <w:color w:val="auto"/>
          <w:sz w:val="24"/>
          <w:szCs w:val="24"/>
          <w:highlight w:val="none"/>
        </w:rPr>
        <w:t>小时之内修复，并需要提供确保承诺实现的措施。</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5</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在质保期内，乙方应定时对</w:t>
      </w:r>
      <w:r>
        <w:rPr>
          <w:rFonts w:hint="eastAsia" w:eastAsia="仿宋_GB2312" w:cs="Times New Roman"/>
          <w:bCs/>
          <w:color w:val="auto"/>
          <w:sz w:val="24"/>
          <w:szCs w:val="24"/>
          <w:highlight w:val="none"/>
          <w:lang w:val="en-US" w:eastAsia="zh-CN"/>
        </w:rPr>
        <w:t>系统</w:t>
      </w:r>
      <w:r>
        <w:rPr>
          <w:rFonts w:hint="default" w:ascii="Times New Roman" w:hAnsi="Times New Roman" w:eastAsia="仿宋_GB2312" w:cs="Times New Roman"/>
          <w:bCs/>
          <w:color w:val="auto"/>
          <w:sz w:val="24"/>
          <w:szCs w:val="24"/>
          <w:highlight w:val="none"/>
        </w:rPr>
        <w:t>进行巡检和保养，质保期内每季度巡检1次，并免费处理因产品质量问题导致的故障，若设备发生故障，乙方应先提供备件供甲方使用。</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6</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乙方要提供免费培训（不限人数），培训时间、周期、频率均由甲方指定，以满足系统正常上线、相关人员均可独立熟练操作为准。保证甲方技术人员达到熟练操作、维护的程度，能进行一般的日常维护管理和检修，并能够处理简单的</w:t>
      </w:r>
      <w:r>
        <w:rPr>
          <w:rFonts w:hint="eastAsia" w:eastAsia="仿宋_GB2312" w:cs="Times New Roman"/>
          <w:bCs/>
          <w:color w:val="auto"/>
          <w:sz w:val="24"/>
          <w:szCs w:val="24"/>
          <w:highlight w:val="none"/>
          <w:lang w:val="en-US" w:eastAsia="zh-CN"/>
        </w:rPr>
        <w:t>系统</w:t>
      </w:r>
      <w:r>
        <w:rPr>
          <w:rFonts w:hint="default" w:ascii="Times New Roman" w:hAnsi="Times New Roman" w:eastAsia="仿宋_GB2312" w:cs="Times New Roman"/>
          <w:bCs/>
          <w:color w:val="auto"/>
          <w:sz w:val="24"/>
          <w:szCs w:val="24"/>
          <w:highlight w:val="none"/>
        </w:rPr>
        <w:t>故障。</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7</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软件先进性要求：五年质保期内，乙方免费对软件版本进行升级，确保甲方使用软件一直是行业内最新版本。</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8</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乙方需按照甲方要求提供用户使用报告。</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color w:val="auto"/>
          <w:sz w:val="24"/>
          <w:szCs w:val="24"/>
          <w:highlight w:val="none"/>
        </w:rPr>
      </w:pPr>
      <w:r>
        <w:rPr>
          <w:rFonts w:hint="eastAsia" w:eastAsia="仿宋_GB2312" w:cs="Times New Roman"/>
          <w:color w:val="auto"/>
          <w:sz w:val="24"/>
          <w:szCs w:val="24"/>
          <w:highlight w:val="none"/>
          <w:lang w:val="en-US" w:eastAsia="zh-CN"/>
        </w:rPr>
        <w:t>9</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color w:val="auto"/>
          <w:sz w:val="24"/>
          <w:szCs w:val="24"/>
          <w:highlight w:val="none"/>
        </w:rPr>
        <w:t>项目试运行</w:t>
      </w:r>
      <w:r>
        <w:rPr>
          <w:rFonts w:hint="eastAsia" w:eastAsia="仿宋_GB2312" w:cs="Times New Roman"/>
          <w:color w:val="auto"/>
          <w:sz w:val="24"/>
          <w:szCs w:val="24"/>
          <w:highlight w:val="none"/>
          <w:u w:val="single"/>
          <w:lang w:val="en-US" w:eastAsia="zh-CN"/>
        </w:rPr>
        <w:t xml:space="preserve">     </w:t>
      </w:r>
      <w:r>
        <w:rPr>
          <w:rFonts w:hint="default" w:ascii="Times New Roman" w:hAnsi="Times New Roman" w:eastAsia="仿宋_GB2312" w:cs="Times New Roman"/>
          <w:color w:val="auto"/>
          <w:sz w:val="24"/>
          <w:szCs w:val="24"/>
          <w:highlight w:val="none"/>
        </w:rPr>
        <w:t>个月，试运行期间须由乙方技术员实施现场技术保障。质保期内，乙方派</w:t>
      </w:r>
      <w:r>
        <w:rPr>
          <w:rFonts w:hint="eastAsia" w:eastAsia="仿宋_GB2312" w:cs="Times New Roman"/>
          <w:color w:val="auto"/>
          <w:sz w:val="24"/>
          <w:szCs w:val="24"/>
          <w:highlight w:val="none"/>
          <w:lang w:val="en-US" w:eastAsia="zh-CN"/>
        </w:rPr>
        <w:t>至少</w:t>
      </w:r>
      <w:r>
        <w:rPr>
          <w:rFonts w:hint="eastAsia" w:eastAsia="仿宋_GB2312" w:cs="Times New Roman"/>
          <w:color w:val="auto"/>
          <w:sz w:val="24"/>
          <w:szCs w:val="24"/>
          <w:highlight w:val="none"/>
          <w:u w:val="single"/>
          <w:lang w:val="en-US" w:eastAsia="zh-CN"/>
        </w:rPr>
        <w:t xml:space="preserve">     </w:t>
      </w:r>
      <w:r>
        <w:rPr>
          <w:rFonts w:hint="default" w:ascii="Times New Roman" w:hAnsi="Times New Roman" w:eastAsia="仿宋_GB2312" w:cs="Times New Roman"/>
          <w:color w:val="auto"/>
          <w:sz w:val="24"/>
          <w:szCs w:val="24"/>
          <w:highlight w:val="none"/>
        </w:rPr>
        <w:t>名运行维护人员在甲方指定地点提供</w:t>
      </w:r>
      <w:r>
        <w:rPr>
          <w:rFonts w:hint="eastAsia" w:eastAsia="仿宋_GB2312" w:cs="Times New Roman"/>
          <w:color w:val="auto"/>
          <w:sz w:val="24"/>
          <w:szCs w:val="24"/>
          <w:highlight w:val="none"/>
          <w:u w:val="single"/>
          <w:lang w:val="en-US" w:eastAsia="zh-CN"/>
        </w:rPr>
        <w:t xml:space="preserve">    </w:t>
      </w:r>
      <w:r>
        <w:rPr>
          <w:rFonts w:hint="default" w:ascii="Times New Roman" w:hAnsi="Times New Roman" w:eastAsia="仿宋_GB2312" w:cs="Times New Roman"/>
          <w:color w:val="auto"/>
          <w:sz w:val="24"/>
          <w:szCs w:val="24"/>
          <w:highlight w:val="none"/>
        </w:rPr>
        <w:t>年驻场维护服务，由甲方和</w:t>
      </w:r>
      <w:r>
        <w:rPr>
          <w:rFonts w:hint="default" w:ascii="Times New Roman" w:hAnsi="Times New Roman" w:eastAsia="仿宋_GB2312" w:cs="Times New Roman"/>
          <w:color w:val="auto"/>
          <w:sz w:val="24"/>
          <w:szCs w:val="24"/>
          <w:highlight w:val="none"/>
          <w:lang w:eastAsia="zh-CN"/>
        </w:rPr>
        <w:t>使用单位</w:t>
      </w:r>
      <w:r>
        <w:rPr>
          <w:rFonts w:hint="default" w:ascii="Times New Roman" w:hAnsi="Times New Roman" w:eastAsia="仿宋_GB2312" w:cs="Times New Roman"/>
          <w:color w:val="auto"/>
          <w:sz w:val="24"/>
          <w:szCs w:val="24"/>
          <w:highlight w:val="none"/>
        </w:rPr>
        <w:t>负责考核。</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r>
        <w:rPr>
          <w:rFonts w:hint="eastAsia" w:eastAsia="仿宋_GB2312" w:cs="Times New Roman"/>
          <w:color w:val="auto"/>
          <w:sz w:val="24"/>
          <w:szCs w:val="24"/>
          <w:highlight w:val="none"/>
          <w:lang w:val="en-US" w:eastAsia="zh-CN"/>
        </w:rPr>
        <w:t>0</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color w:val="auto"/>
          <w:sz w:val="24"/>
          <w:szCs w:val="24"/>
          <w:highlight w:val="none"/>
        </w:rPr>
        <w:t>乙方须做出无推诿承诺。即乙方应提供特殊措施，无论由于哪一方产生的问题而使系统发生不正常情况时，在得到甲方通知后，须立即派遣工程师到场，全力协助系统集成商和其他供应商，使系统尽快恢复正常。</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val="0"/>
          <w:color w:val="auto"/>
          <w:sz w:val="24"/>
          <w:szCs w:val="24"/>
          <w:highlight w:val="none"/>
        </w:rPr>
        <w:t>1</w:t>
      </w:r>
      <w:r>
        <w:rPr>
          <w:rFonts w:hint="eastAsia" w:eastAsia="仿宋_GB2312" w:cs="Times New Roman"/>
          <w:bCs w:val="0"/>
          <w:color w:val="auto"/>
          <w:sz w:val="24"/>
          <w:szCs w:val="24"/>
          <w:highlight w:val="none"/>
          <w:lang w:val="en-US" w:eastAsia="zh-CN"/>
        </w:rPr>
        <w:t>1</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val="0"/>
          <w:color w:val="auto"/>
          <w:sz w:val="24"/>
          <w:szCs w:val="24"/>
          <w:highlight w:val="none"/>
          <w:lang w:eastAsia="zh-CN"/>
        </w:rPr>
        <w:t>乙方</w:t>
      </w:r>
      <w:r>
        <w:rPr>
          <w:rFonts w:hint="default" w:ascii="Times New Roman" w:hAnsi="Times New Roman" w:eastAsia="仿宋_GB2312" w:cs="Times New Roman"/>
          <w:bCs w:val="0"/>
          <w:color w:val="auto"/>
          <w:sz w:val="24"/>
          <w:szCs w:val="24"/>
          <w:highlight w:val="none"/>
        </w:rPr>
        <w:t>须无偿开发相关端口和相关协议，配合后续相关软件厂商做对接。中标人还需无偿为第三方APP、小程序或机顶盒等终端提供接口服务，并配合第三方APP、小程序或机顶盒等终端厂商完成接口</w:t>
      </w:r>
      <w:r>
        <w:rPr>
          <w:rFonts w:hint="default" w:ascii="Times New Roman" w:hAnsi="Times New Roman" w:eastAsia="仿宋_GB2312" w:cs="Times New Roman"/>
          <w:bCs/>
          <w:color w:val="auto"/>
          <w:sz w:val="24"/>
          <w:szCs w:val="24"/>
          <w:highlight w:val="none"/>
        </w:rPr>
        <w:t>服务相关功能的开发和调试。</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lang w:val="en-US" w:eastAsia="zh-CN"/>
        </w:rPr>
      </w:pPr>
      <w:r>
        <w:rPr>
          <w:rFonts w:hint="default" w:ascii="Times New Roman" w:hAnsi="Times New Roman" w:eastAsia="仿宋_GB2312" w:cs="Times New Roman"/>
          <w:bCs/>
          <w:color w:val="auto"/>
          <w:sz w:val="24"/>
          <w:szCs w:val="24"/>
          <w:highlight w:val="none"/>
          <w:lang w:val="en-US" w:eastAsia="zh-CN"/>
        </w:rPr>
        <w:t>1</w:t>
      </w:r>
      <w:r>
        <w:rPr>
          <w:rFonts w:hint="eastAsia" w:eastAsia="仿宋_GB2312" w:cs="Times New Roman"/>
          <w:bCs/>
          <w:color w:val="auto"/>
          <w:sz w:val="24"/>
          <w:szCs w:val="24"/>
          <w:highlight w:val="none"/>
          <w:lang w:val="en-US" w:eastAsia="zh-CN"/>
        </w:rPr>
        <w:t>2</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lang w:val="en-US" w:eastAsia="zh-CN"/>
        </w:rPr>
        <w:t>乙方要及时提供新建站点接入平台及数据库的服务，并为日后与其他系统的对接改造提供技术支持。</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lang w:val="en-US" w:eastAsia="zh-CN"/>
        </w:rPr>
        <w:t>1</w:t>
      </w:r>
      <w:r>
        <w:rPr>
          <w:rFonts w:hint="eastAsia" w:eastAsia="仿宋_GB2312" w:cs="Times New Roman"/>
          <w:bCs/>
          <w:color w:val="auto"/>
          <w:sz w:val="24"/>
          <w:szCs w:val="24"/>
          <w:highlight w:val="none"/>
          <w:lang w:val="en-US" w:eastAsia="zh-CN"/>
        </w:rPr>
        <w:t>3</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其他售后服务条款参照招标文件及乙方投标文件中的售后服务承诺执行。</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lang w:val="en-US" w:eastAsia="zh-CN"/>
        </w:rPr>
        <w:t>1</w:t>
      </w:r>
      <w:r>
        <w:rPr>
          <w:rFonts w:hint="eastAsia" w:eastAsia="仿宋_GB2312" w:cs="Times New Roman"/>
          <w:bCs/>
          <w:color w:val="auto"/>
          <w:sz w:val="24"/>
          <w:szCs w:val="24"/>
          <w:highlight w:val="none"/>
          <w:lang w:val="en-US" w:eastAsia="zh-CN"/>
        </w:rPr>
        <w:t>4</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乙方需自觉接受最终用户、甲方单位、监理单位的监督管理。</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bCs/>
          <w:color w:val="auto"/>
          <w:sz w:val="24"/>
          <w:szCs w:val="24"/>
          <w:highlight w:val="none"/>
          <w:lang w:val="en-US" w:eastAsia="zh-CN"/>
        </w:rPr>
        <w:t>1</w:t>
      </w:r>
      <w:r>
        <w:rPr>
          <w:rFonts w:hint="eastAsia" w:eastAsia="仿宋_GB2312" w:cs="Times New Roman"/>
          <w:bCs/>
          <w:color w:val="auto"/>
          <w:sz w:val="24"/>
          <w:szCs w:val="24"/>
          <w:highlight w:val="none"/>
          <w:lang w:val="en-US" w:eastAsia="zh-CN"/>
        </w:rPr>
        <w:t>5</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乙方应保障平台运作过程中采集到的所有数据及信息的安全性；保证数据及信息不外泄，不另作他用。如果因软件系统原因导致数据及信息外泄或另作他用而引发的第三方投诉、追诉、要求赔偿等纠纷而造成甲方</w:t>
      </w:r>
      <w:r>
        <w:rPr>
          <w:rFonts w:hint="eastAsia" w:eastAsia="仿宋_GB2312" w:cs="Times New Roman"/>
          <w:bCs/>
          <w:color w:val="auto"/>
          <w:sz w:val="24"/>
          <w:szCs w:val="24"/>
          <w:highlight w:val="none"/>
          <w:lang w:val="en-US" w:eastAsia="zh-CN"/>
        </w:rPr>
        <w:t>或最终用户</w:t>
      </w:r>
      <w:r>
        <w:rPr>
          <w:rFonts w:hint="default" w:ascii="Times New Roman" w:hAnsi="Times New Roman" w:eastAsia="仿宋_GB2312" w:cs="Times New Roman"/>
          <w:bCs/>
          <w:color w:val="auto"/>
          <w:sz w:val="24"/>
          <w:szCs w:val="24"/>
          <w:highlight w:val="none"/>
        </w:rPr>
        <w:t>损失的，所有经济损失全部由乙方负责承担。</w:t>
      </w:r>
    </w:p>
    <w:p>
      <w:pPr>
        <w:pStyle w:val="4"/>
        <w:bidi w:val="0"/>
        <w:jc w:val="both"/>
        <w:rPr>
          <w:rFonts w:hint="default"/>
        </w:rPr>
      </w:pPr>
      <w:r>
        <w:rPr>
          <w:rFonts w:hint="default"/>
        </w:rPr>
        <w:t>十二、调试和验收</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甲方对乙方提交的软件依据招标文件上的技术规格要求和国家有关质量标准进行现场验收。项目实施完成后由乙方申请试运行，不间断试运行</w:t>
      </w:r>
      <w:r>
        <w:rPr>
          <w:rFonts w:hint="eastAsia" w:eastAsia="仿宋_GB2312" w:cs="Times New Roman"/>
          <w:bCs/>
          <w:color w:val="auto"/>
          <w:sz w:val="24"/>
          <w:szCs w:val="24"/>
          <w:highlight w:val="none"/>
          <w:u w:val="single"/>
          <w:lang w:val="en-US" w:eastAsia="zh-CN"/>
        </w:rPr>
        <w:t xml:space="preserve">    </w:t>
      </w:r>
      <w:r>
        <w:rPr>
          <w:rFonts w:hint="default" w:ascii="Times New Roman" w:hAnsi="Times New Roman" w:eastAsia="仿宋_GB2312" w:cs="Times New Roman"/>
          <w:bCs/>
          <w:color w:val="auto"/>
          <w:sz w:val="24"/>
          <w:szCs w:val="24"/>
          <w:highlight w:val="none"/>
        </w:rPr>
        <w:t>个月后，由甲方组织专家进行项目</w:t>
      </w:r>
      <w:r>
        <w:rPr>
          <w:rFonts w:hint="eastAsia" w:eastAsia="仿宋_GB2312" w:cs="Times New Roman"/>
          <w:bCs/>
          <w:color w:val="auto"/>
          <w:sz w:val="24"/>
          <w:szCs w:val="24"/>
          <w:highlight w:val="none"/>
          <w:lang w:val="en-US" w:eastAsia="zh-CN"/>
        </w:rPr>
        <w:t>验收</w:t>
      </w:r>
      <w:r>
        <w:rPr>
          <w:rFonts w:hint="default" w:ascii="Times New Roman" w:hAnsi="Times New Roman" w:eastAsia="仿宋_GB2312" w:cs="Times New Roman"/>
          <w:bCs/>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乙方交货前应对产品作出全面检查和对验收文件进行整理，并列出清单，作为甲方收货验收和使用的技术条件依据，检验的结果应随软件交甲方。</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3</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甲方对乙方提供的软件在使用前进行调试时，乙方需负责安装并培训甲方的使用操作人员，并协助甲方一起调试，直到符合技术要求，甲方才做验收。</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4</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系统开发完成后，经双方确认后进行系统测试。系统测试由乙方负责，甲方工程师参与，测试系统的需求完成度：</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eastAsia" w:eastAsia="仿宋_GB2312" w:cs="Times New Roman"/>
          <w:bCs/>
          <w:color w:val="auto"/>
          <w:sz w:val="24"/>
          <w:szCs w:val="24"/>
          <w:highlight w:val="none"/>
          <w:lang w:eastAsia="zh-CN"/>
        </w:rPr>
        <w:t>（</w:t>
      </w:r>
      <w:r>
        <w:rPr>
          <w:rFonts w:hint="default" w:ascii="Times New Roman" w:hAnsi="Times New Roman" w:eastAsia="仿宋_GB2312" w:cs="Times New Roman"/>
          <w:bCs/>
          <w:color w:val="auto"/>
          <w:sz w:val="24"/>
          <w:szCs w:val="24"/>
          <w:highlight w:val="none"/>
        </w:rPr>
        <w:t>1）甲方若发现系统功能、性能、安全性不符合招标要求，有权要求乙方根据诸暨市电子政务云平台的相关规定委托第三方测评公司对本项目进行功能和性能第三方测试，其测评结果作为本项目验收依据</w:t>
      </w:r>
      <w:r>
        <w:rPr>
          <w:rFonts w:hint="default" w:ascii="Times New Roman" w:hAnsi="Times New Roman" w:eastAsia="仿宋_GB2312" w:cs="Times New Roman"/>
          <w:bCs/>
          <w:color w:val="auto"/>
          <w:sz w:val="24"/>
          <w:szCs w:val="24"/>
          <w:highlight w:val="none"/>
          <w:lang w:eastAsia="zh-CN"/>
        </w:rPr>
        <w:t>，</w:t>
      </w:r>
      <w:r>
        <w:rPr>
          <w:rFonts w:hint="default" w:ascii="Times New Roman" w:hAnsi="Times New Roman" w:eastAsia="仿宋_GB2312" w:cs="Times New Roman"/>
          <w:bCs/>
          <w:color w:val="auto"/>
          <w:sz w:val="24"/>
          <w:szCs w:val="24"/>
          <w:highlight w:val="none"/>
        </w:rPr>
        <w:t>乙方需积极配合，并承担相应评测费用。</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eastAsia" w:eastAsia="仿宋_GB2312" w:cs="Times New Roman"/>
          <w:bCs/>
          <w:color w:val="auto"/>
          <w:sz w:val="24"/>
          <w:szCs w:val="24"/>
          <w:highlight w:val="none"/>
          <w:lang w:eastAsia="zh-CN"/>
        </w:rPr>
        <w:t>（</w:t>
      </w:r>
      <w:r>
        <w:rPr>
          <w:rFonts w:hint="default" w:ascii="Times New Roman" w:hAnsi="Times New Roman" w:eastAsia="仿宋_GB2312" w:cs="Times New Roman"/>
          <w:bCs/>
          <w:color w:val="auto"/>
          <w:sz w:val="24"/>
          <w:szCs w:val="24"/>
          <w:highlight w:val="none"/>
        </w:rPr>
        <w:t>2）测试将依据本采购文件项目技术要求及项目功能、性能及安全要求。</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eastAsia" w:eastAsia="仿宋_GB2312" w:cs="Times New Roman"/>
          <w:bCs/>
          <w:color w:val="auto"/>
          <w:sz w:val="24"/>
          <w:szCs w:val="24"/>
          <w:highlight w:val="none"/>
          <w:lang w:eastAsia="zh-CN"/>
        </w:rPr>
        <w:t>（</w:t>
      </w:r>
      <w:r>
        <w:rPr>
          <w:rFonts w:hint="default" w:ascii="Times New Roman" w:hAnsi="Times New Roman" w:eastAsia="仿宋_GB2312" w:cs="Times New Roman"/>
          <w:bCs/>
          <w:color w:val="auto"/>
          <w:sz w:val="24"/>
          <w:szCs w:val="24"/>
          <w:highlight w:val="none"/>
        </w:rPr>
        <w:t>3）如果第三方测试没有通过，乙方需在</w:t>
      </w:r>
      <w:r>
        <w:rPr>
          <w:rFonts w:hint="eastAsia" w:eastAsia="仿宋_GB2312" w:cs="Times New Roman"/>
          <w:bCs/>
          <w:color w:val="auto"/>
          <w:sz w:val="24"/>
          <w:szCs w:val="24"/>
          <w:highlight w:val="none"/>
          <w:u w:val="single"/>
          <w:lang w:val="en-US" w:eastAsia="zh-CN"/>
        </w:rPr>
        <w:t>30</w:t>
      </w:r>
      <w:r>
        <w:rPr>
          <w:rFonts w:hint="default" w:ascii="Times New Roman" w:hAnsi="Times New Roman" w:eastAsia="仿宋_GB2312" w:cs="Times New Roman"/>
          <w:bCs/>
          <w:color w:val="auto"/>
          <w:sz w:val="24"/>
          <w:szCs w:val="24"/>
          <w:highlight w:val="none"/>
        </w:rPr>
        <w:t>天内无条件进行整改，直至测评通过方可提请验收</w:t>
      </w:r>
      <w:r>
        <w:rPr>
          <w:rFonts w:hint="default" w:ascii="Times New Roman" w:hAnsi="Times New Roman" w:eastAsia="仿宋_GB2312" w:cs="Times New Roman"/>
          <w:bCs/>
          <w:color w:val="auto"/>
          <w:sz w:val="24"/>
          <w:szCs w:val="24"/>
          <w:highlight w:val="none"/>
          <w:lang w:eastAsia="zh-CN"/>
        </w:rPr>
        <w:t>，</w:t>
      </w:r>
      <w:r>
        <w:rPr>
          <w:rFonts w:hint="default" w:ascii="Times New Roman" w:hAnsi="Times New Roman" w:eastAsia="仿宋_GB2312" w:cs="Times New Roman"/>
          <w:bCs/>
          <w:color w:val="auto"/>
          <w:sz w:val="24"/>
          <w:szCs w:val="24"/>
          <w:highlight w:val="none"/>
        </w:rPr>
        <w:t>如果在</w:t>
      </w:r>
      <w:r>
        <w:rPr>
          <w:rFonts w:hint="eastAsia" w:eastAsia="仿宋_GB2312" w:cs="Times New Roman"/>
          <w:bCs/>
          <w:color w:val="auto"/>
          <w:sz w:val="24"/>
          <w:szCs w:val="24"/>
          <w:highlight w:val="none"/>
          <w:u w:val="single"/>
          <w:lang w:val="en-US" w:eastAsia="zh-CN"/>
        </w:rPr>
        <w:t>30</w:t>
      </w:r>
      <w:r>
        <w:rPr>
          <w:rFonts w:hint="default" w:ascii="Times New Roman" w:hAnsi="Times New Roman" w:eastAsia="仿宋_GB2312" w:cs="Times New Roman"/>
          <w:bCs/>
          <w:color w:val="auto"/>
          <w:sz w:val="24"/>
          <w:szCs w:val="24"/>
          <w:highlight w:val="none"/>
        </w:rPr>
        <w:t>天内整改没有通过，甲方有权终止合同</w:t>
      </w:r>
      <w:r>
        <w:rPr>
          <w:rFonts w:hint="eastAsia" w:eastAsia="仿宋_GB2312" w:cs="Times New Roman"/>
          <w:bCs/>
          <w:color w:val="auto"/>
          <w:sz w:val="24"/>
          <w:szCs w:val="24"/>
          <w:highlight w:val="none"/>
          <w:lang w:eastAsia="zh-CN"/>
        </w:rPr>
        <w:t>，通知自送达乙方处生效</w:t>
      </w:r>
      <w:r>
        <w:rPr>
          <w:rFonts w:hint="default" w:ascii="Times New Roman" w:hAnsi="Times New Roman" w:eastAsia="仿宋_GB2312" w:cs="Times New Roman"/>
          <w:bCs/>
          <w:color w:val="auto"/>
          <w:sz w:val="24"/>
          <w:szCs w:val="24"/>
          <w:highlight w:val="none"/>
        </w:rPr>
        <w:t>，所造成的损失由乙方负责。</w:t>
      </w:r>
    </w:p>
    <w:p>
      <w:pPr>
        <w:pStyle w:val="4"/>
        <w:bidi w:val="0"/>
        <w:jc w:val="both"/>
        <w:rPr>
          <w:rFonts w:hint="default"/>
        </w:rPr>
      </w:pPr>
      <w:r>
        <w:rPr>
          <w:rFonts w:hint="default"/>
        </w:rPr>
        <w:t>十三、违约责任</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甲方无正当理由拒收软件的，甲方向乙方偿付拒收合同总额的百分之五违约金。</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甲方无故逾期验收</w:t>
      </w:r>
      <w:r>
        <w:rPr>
          <w:rFonts w:hint="eastAsia" w:eastAsia="仿宋_GB2312" w:cs="Times New Roman"/>
          <w:bCs/>
          <w:color w:val="auto"/>
          <w:sz w:val="24"/>
          <w:szCs w:val="24"/>
          <w:highlight w:val="none"/>
          <w:lang w:eastAsia="zh-CN"/>
        </w:rPr>
        <w:t>，</w:t>
      </w:r>
      <w:r>
        <w:rPr>
          <w:rFonts w:hint="default" w:ascii="Times New Roman" w:hAnsi="Times New Roman" w:eastAsia="仿宋_GB2312" w:cs="Times New Roman"/>
          <w:bCs/>
          <w:color w:val="auto"/>
          <w:sz w:val="24"/>
          <w:szCs w:val="24"/>
          <w:highlight w:val="none"/>
        </w:rPr>
        <w:t>甲方应按逾期付款总额每日万分之五向乙方支付违约金。</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3</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乙方逾期提交阶段产物的，乙方应按照合同总额每日万分之五向甲方支付违约金，由甲方从履约保证金中扣除。逾期超过约定日期30个工作日不能提交阶段产物的，甲方有权保留进一步追究乙方违约责任的权力。乙方提交的阶段产物如不能通过评审或验收的，视同未提交。乙方因逾期交货或因其他违约行为导致甲方与最终用户解除合同的，乙方应向甲方支付合同总值5%的违约金，如造成甲方损失超过违约金的，超出部分由乙方继续承担赔偿责任。</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4</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乙方所交的软件规格、技术参数、质量不符合合同规定及招标文件规定标准的，甲方有权拒收该软件，乙方愿意更换软件但逾期交货的，按乙方逾期交货处理。乙方拒绝更换软件的，甲方可单方面解除合同。</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5</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项目实施过程中需100%保证采购需求里面的内容，在未</w:t>
      </w:r>
      <w:r>
        <w:rPr>
          <w:rFonts w:hint="eastAsia" w:eastAsia="仿宋_GB2312" w:cs="Times New Roman"/>
          <w:bCs/>
          <w:color w:val="auto"/>
          <w:sz w:val="24"/>
          <w:szCs w:val="24"/>
          <w:highlight w:val="none"/>
          <w:lang w:val="en-US" w:eastAsia="zh-CN"/>
        </w:rPr>
        <w:t>经</w:t>
      </w:r>
      <w:r>
        <w:rPr>
          <w:rFonts w:hint="default" w:ascii="Times New Roman" w:hAnsi="Times New Roman" w:eastAsia="仿宋_GB2312" w:cs="Times New Roman"/>
          <w:bCs/>
          <w:color w:val="auto"/>
          <w:sz w:val="24"/>
          <w:szCs w:val="24"/>
          <w:highlight w:val="none"/>
          <w:lang w:eastAsia="zh-CN"/>
        </w:rPr>
        <w:t>甲</w:t>
      </w:r>
      <w:r>
        <w:rPr>
          <w:rFonts w:hint="default" w:ascii="Times New Roman" w:hAnsi="Times New Roman" w:eastAsia="仿宋_GB2312" w:cs="Times New Roman"/>
          <w:bCs/>
          <w:color w:val="auto"/>
          <w:sz w:val="24"/>
          <w:szCs w:val="24"/>
          <w:highlight w:val="none"/>
        </w:rPr>
        <w:t>方同意中途不得更换，否则</w:t>
      </w:r>
      <w:r>
        <w:rPr>
          <w:rFonts w:hint="default" w:ascii="Times New Roman" w:hAnsi="Times New Roman" w:eastAsia="仿宋_GB2312" w:cs="Times New Roman"/>
          <w:bCs/>
          <w:color w:val="auto"/>
          <w:sz w:val="24"/>
          <w:szCs w:val="24"/>
          <w:highlight w:val="none"/>
          <w:lang w:eastAsia="zh-CN"/>
        </w:rPr>
        <w:t>甲方</w:t>
      </w:r>
      <w:r>
        <w:rPr>
          <w:rFonts w:hint="default" w:ascii="Times New Roman" w:hAnsi="Times New Roman" w:eastAsia="仿宋_GB2312" w:cs="Times New Roman"/>
          <w:bCs/>
          <w:color w:val="auto"/>
          <w:sz w:val="24"/>
          <w:szCs w:val="24"/>
          <w:highlight w:val="none"/>
        </w:rPr>
        <w:t>有权根据实际情况扣除软件开发费</w:t>
      </w:r>
      <w:r>
        <w:rPr>
          <w:rFonts w:hint="eastAsia" w:eastAsia="仿宋_GB2312" w:cs="Times New Roman"/>
          <w:bCs/>
          <w:color w:val="auto"/>
          <w:sz w:val="24"/>
          <w:szCs w:val="24"/>
          <w:highlight w:val="none"/>
          <w:lang w:eastAsia="zh-CN"/>
        </w:rPr>
        <w:t>，</w:t>
      </w:r>
      <w:r>
        <w:rPr>
          <w:rFonts w:hint="default" w:ascii="Times New Roman" w:hAnsi="Times New Roman" w:eastAsia="仿宋_GB2312" w:cs="Times New Roman"/>
          <w:bCs/>
          <w:color w:val="auto"/>
          <w:sz w:val="24"/>
          <w:szCs w:val="24"/>
          <w:highlight w:val="none"/>
        </w:rPr>
        <w:t>保证软件开发的高标准。</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6</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在系统上线运行后，如因乙方技术原因导致系统重大故障的，甲方有权保留进一步追究乙方的违约责任的权力。</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7</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乙方未能在质保期内按要求及时提供技术支持和故障维护，每次支付5000元违约金，如因乙方原因未能及时提供技术支持或故障维护而引起的安全责任事故，所有经济责任及法律责任均由乙方承担。</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8</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乙方在本合同5年质保期内有新版本更新后，未能及时在新版本出现1个月内给</w:t>
      </w:r>
      <w:r>
        <w:rPr>
          <w:rFonts w:hint="eastAsia" w:eastAsia="仿宋_GB2312" w:cs="Times New Roman"/>
          <w:bCs/>
          <w:color w:val="auto"/>
          <w:sz w:val="24"/>
          <w:szCs w:val="24"/>
          <w:highlight w:val="none"/>
          <w:lang w:val="en-US" w:eastAsia="zh-CN"/>
        </w:rPr>
        <w:t>予</w:t>
      </w:r>
      <w:r>
        <w:rPr>
          <w:rFonts w:hint="default" w:ascii="Times New Roman" w:hAnsi="Times New Roman" w:eastAsia="仿宋_GB2312" w:cs="Times New Roman"/>
          <w:bCs/>
          <w:color w:val="auto"/>
          <w:sz w:val="24"/>
          <w:szCs w:val="24"/>
          <w:highlight w:val="none"/>
        </w:rPr>
        <w:t>更新，则按每次版本升级乙方向甲方支付合同总值10%的违约金。</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eastAsia" w:eastAsia="仿宋_GB2312" w:cs="Times New Roman"/>
          <w:bCs/>
          <w:color w:val="auto"/>
          <w:sz w:val="24"/>
          <w:szCs w:val="24"/>
          <w:highlight w:val="none"/>
          <w:lang w:val="en-US" w:eastAsia="zh-CN"/>
        </w:rPr>
        <w:t>9</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若乙方违反了本合同“保密义务”中的任一条款，需向甲方支付合同总值的10%作为违约金；若实际损失超过乙方支付违约金的，甲方有权继续向乙方追偿，因追偿产生的一切费用均由乙方承担。</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eastAsia" w:eastAsia="仿宋_GB2312" w:cs="Times New Roman"/>
          <w:bCs/>
          <w:color w:val="auto"/>
          <w:sz w:val="24"/>
          <w:szCs w:val="24"/>
          <w:highlight w:val="none"/>
          <w:lang w:val="en-US" w:eastAsia="zh-CN"/>
        </w:rPr>
        <w:t>10</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乙方在本合同期内未按甲方要求提供用户使用报告。则乙方需向甲方支付合同总值的5%的违约金。</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w:t>
      </w:r>
      <w:r>
        <w:rPr>
          <w:rFonts w:hint="eastAsia" w:eastAsia="仿宋_GB2312" w:cs="Times New Roman"/>
          <w:bCs/>
          <w:color w:val="auto"/>
          <w:sz w:val="24"/>
          <w:szCs w:val="24"/>
          <w:highlight w:val="none"/>
          <w:lang w:val="en-US" w:eastAsia="zh-CN"/>
        </w:rPr>
        <w:t>1</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未经甲方同意，乙方未能按照售后服务要求提供人员驻场平台运维与定制开发服务，每人每天支付500元违约金</w:t>
      </w:r>
      <w:r>
        <w:rPr>
          <w:rFonts w:hint="eastAsia" w:eastAsia="仿宋_GB2312" w:cs="Times New Roman"/>
          <w:bCs/>
          <w:color w:val="auto"/>
          <w:sz w:val="24"/>
          <w:szCs w:val="24"/>
          <w:highlight w:val="none"/>
          <w:lang w:eastAsia="zh-CN"/>
        </w:rPr>
        <w:t>，</w:t>
      </w:r>
      <w:r>
        <w:rPr>
          <w:rFonts w:hint="eastAsia" w:ascii="仿宋" w:hAnsi="仿宋" w:eastAsia="仿宋" w:cs="仿宋"/>
          <w:bCs/>
          <w:color w:val="auto"/>
          <w:sz w:val="24"/>
          <w:szCs w:val="24"/>
        </w:rPr>
        <w:t>累计达15天，则扣除当年平台运维与定制开发服务费用。</w:t>
      </w:r>
      <w:r>
        <w:rPr>
          <w:rFonts w:hint="default" w:ascii="Times New Roman" w:hAnsi="Times New Roman" w:eastAsia="仿宋_GB2312" w:cs="Times New Roman"/>
          <w:bCs/>
          <w:color w:val="auto"/>
          <w:sz w:val="24"/>
          <w:szCs w:val="24"/>
          <w:highlight w:val="none"/>
        </w:rPr>
        <w:t>如因乙方人员未在场引起的安全责任事故，所有责任由乙方承担。</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eastAsia="仿宋_GB2312"/>
          <w:lang w:val="en-US" w:eastAsia="zh-CN"/>
        </w:rPr>
      </w:pPr>
      <w:r>
        <w:rPr>
          <w:rFonts w:hint="eastAsia" w:ascii="Times New Roman" w:hAnsi="Times New Roman" w:eastAsia="仿宋_GB2312" w:cs="Times New Roman"/>
          <w:bCs/>
          <w:color w:val="auto"/>
          <w:sz w:val="24"/>
          <w:szCs w:val="24"/>
          <w:highlight w:val="none"/>
          <w:lang w:val="en-US" w:eastAsia="zh-CN"/>
        </w:rPr>
        <w:t>1</w:t>
      </w:r>
      <w:r>
        <w:rPr>
          <w:rFonts w:hint="eastAsia" w:eastAsia="仿宋_GB2312" w:cs="Times New Roman"/>
          <w:bCs/>
          <w:color w:val="auto"/>
          <w:sz w:val="24"/>
          <w:szCs w:val="24"/>
          <w:highlight w:val="none"/>
          <w:lang w:val="en-US" w:eastAsia="zh-CN"/>
        </w:rPr>
        <w:t>2</w:t>
      </w:r>
      <w:r>
        <w:rPr>
          <w:rFonts w:hint="eastAsia" w:ascii="Times New Roman" w:hAnsi="Times New Roman" w:eastAsia="仿宋_GB2312" w:cs="Times New Roman"/>
          <w:bCs/>
          <w:color w:val="auto"/>
          <w:sz w:val="24"/>
          <w:szCs w:val="24"/>
          <w:highlight w:val="none"/>
          <w:lang w:val="en-US" w:eastAsia="zh-CN"/>
        </w:rPr>
        <w:t>. 上述因乙方违约造成的损失，甲方均有权从未付款项中扣除。</w:t>
      </w:r>
    </w:p>
    <w:p>
      <w:pPr>
        <w:pStyle w:val="4"/>
        <w:bidi w:val="0"/>
        <w:jc w:val="both"/>
        <w:rPr>
          <w:rFonts w:hint="default"/>
        </w:rPr>
      </w:pPr>
      <w:r>
        <w:rPr>
          <w:rFonts w:hint="default"/>
        </w:rPr>
        <w:t>十四、不可抗力事件处理</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不可抗力事件发生后，应立即通知对方，并寄送有关权威机构出具的证明。</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firstLine="480" w:firstLineChars="20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Cs/>
          <w:color w:val="auto"/>
          <w:sz w:val="24"/>
          <w:szCs w:val="24"/>
          <w:highlight w:val="none"/>
        </w:rPr>
        <w:t>3</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不可抗力事件延续120天以上，双方应通过友好协商，确定是否继续履行合同。</w:t>
      </w:r>
    </w:p>
    <w:p>
      <w:pPr>
        <w:pStyle w:val="4"/>
        <w:bidi w:val="0"/>
        <w:jc w:val="both"/>
        <w:rPr>
          <w:rFonts w:hint="default"/>
        </w:rPr>
      </w:pPr>
      <w:r>
        <w:rPr>
          <w:rFonts w:hint="default"/>
        </w:rPr>
        <w:t>十五、其他约定事项</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left="480" w:firstLine="0" w:firstLineChars="0"/>
        <w:jc w:val="both"/>
        <w:rPr>
          <w:rFonts w:hint="default" w:ascii="Times New Roman" w:hAnsi="Times New Roman" w:eastAsia="仿宋_GB2312" w:cs="Times New Roman"/>
          <w:b w:val="0"/>
          <w:bCs/>
          <w:color w:val="auto"/>
          <w:sz w:val="24"/>
          <w:szCs w:val="24"/>
          <w:highlight w:val="none"/>
        </w:rPr>
      </w:pPr>
      <w:r>
        <w:rPr>
          <w:rFonts w:hint="default" w:ascii="Times New Roman" w:hAnsi="Times New Roman" w:eastAsia="仿宋_GB2312" w:cs="Times New Roman"/>
          <w:b w:val="0"/>
          <w:bCs/>
          <w:color w:val="auto"/>
          <w:sz w:val="24"/>
          <w:szCs w:val="24"/>
          <w:highlight w:val="none"/>
        </w:rPr>
        <w:t>招标文件及乙方投标文件中的服务承诺作为本合同的补充。</w:t>
      </w:r>
    </w:p>
    <w:p>
      <w:pPr>
        <w:pStyle w:val="4"/>
        <w:bidi w:val="0"/>
        <w:jc w:val="both"/>
        <w:rPr>
          <w:rFonts w:hint="default"/>
        </w:rPr>
      </w:pPr>
      <w:r>
        <w:rPr>
          <w:rFonts w:hint="default"/>
        </w:rPr>
        <w:t>十六、解决合同纠纷方式</w:t>
      </w:r>
    </w:p>
    <w:p>
      <w:pPr>
        <w:keepNext w:val="0"/>
        <w:keepLines w:val="0"/>
        <w:pageBreakBefore w:val="0"/>
        <w:widowControl w:val="0"/>
        <w:kinsoku/>
        <w:wordWrap/>
        <w:overflowPunct/>
        <w:topLinePunct w:val="0"/>
        <w:autoSpaceDE w:val="0"/>
        <w:autoSpaceDN w:val="0"/>
        <w:bidi w:val="0"/>
        <w:adjustRightInd w:val="0"/>
        <w:snapToGrid/>
        <w:spacing w:line="252" w:lineRule="auto"/>
        <w:ind w:firstLine="480" w:firstLineChars="20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其它未尽事宜或履行时发生争议，由双方本着诚实信用的原则协商解决，协商不成功可选择：1）向绍兴仲裁委员会</w:t>
      </w:r>
      <w:r>
        <w:rPr>
          <w:rFonts w:eastAsia="仿宋_GB2312"/>
          <w:color w:val="auto"/>
          <w:sz w:val="24"/>
          <w:szCs w:val="24"/>
        </w:rPr>
        <w:t>诸暨分会</w:t>
      </w:r>
      <w:r>
        <w:rPr>
          <w:rFonts w:hint="default" w:ascii="Times New Roman" w:hAnsi="Times New Roman" w:eastAsia="仿宋_GB2312" w:cs="Times New Roman"/>
          <w:color w:val="auto"/>
          <w:sz w:val="24"/>
          <w:szCs w:val="24"/>
          <w:highlight w:val="none"/>
        </w:rPr>
        <w:t>申请仲裁；2）向</w:t>
      </w:r>
      <w:r>
        <w:rPr>
          <w:rFonts w:hint="default" w:ascii="Times New Roman" w:hAnsi="Times New Roman" w:eastAsia="仿宋_GB2312" w:cs="Times New Roman"/>
          <w:color w:val="auto"/>
          <w:sz w:val="24"/>
          <w:szCs w:val="24"/>
          <w:highlight w:val="none"/>
          <w:u w:val="none"/>
        </w:rPr>
        <w:t>诸暨市</w:t>
      </w:r>
      <w:r>
        <w:rPr>
          <w:rFonts w:hint="default" w:ascii="Times New Roman" w:hAnsi="Times New Roman" w:eastAsia="仿宋_GB2312" w:cs="Times New Roman"/>
          <w:color w:val="auto"/>
          <w:sz w:val="24"/>
          <w:szCs w:val="24"/>
          <w:highlight w:val="none"/>
        </w:rPr>
        <w:t>人民法院起诉。</w:t>
      </w:r>
    </w:p>
    <w:p>
      <w:pPr>
        <w:pStyle w:val="4"/>
        <w:bidi w:val="0"/>
        <w:jc w:val="both"/>
        <w:rPr>
          <w:rFonts w:hint="default"/>
        </w:rPr>
      </w:pPr>
      <w:r>
        <w:rPr>
          <w:rFonts w:hint="default"/>
        </w:rPr>
        <w:t>十七、其它</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left="0" w:firstLine="480" w:firstLineChars="2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本项目的招标文件、投标文件、中标通知书作为合同的附件，具有同等法律效力。</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sz w:val="24"/>
          <w:szCs w:val="24"/>
        </w:rPr>
        <w:t>2</w:t>
      </w:r>
      <w:r>
        <w:rPr>
          <w:rFonts w:hint="eastAsia" w:eastAsia="仿宋_GB2312" w:cs="Times New Roman"/>
          <w:color w:val="auto"/>
          <w:sz w:val="24"/>
          <w:szCs w:val="24"/>
          <w:lang w:eastAsia="zh-CN"/>
        </w:rPr>
        <w:t>.</w:t>
      </w:r>
      <w:r>
        <w:rPr>
          <w:rFonts w:hint="eastAsia" w:eastAsia="仿宋_GB2312" w:cs="Times New Roman"/>
          <w:color w:val="auto"/>
          <w:sz w:val="24"/>
          <w:szCs w:val="24"/>
          <w:lang w:val="en-US" w:eastAsia="zh-CN"/>
        </w:rPr>
        <w:t xml:space="preserve"> </w:t>
      </w:r>
      <w:r>
        <w:rPr>
          <w:rFonts w:hint="default" w:ascii="Times New Roman" w:hAnsi="Times New Roman" w:eastAsia="仿宋_GB2312" w:cs="Times New Roman"/>
          <w:bCs/>
          <w:sz w:val="24"/>
          <w:szCs w:val="24"/>
        </w:rPr>
        <w:t>本合同执行中相关的一切税费均由乙方负担。</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left="0" w:firstLine="480" w:firstLineChars="200"/>
        <w:jc w:val="both"/>
        <w:rPr>
          <w:rFonts w:hint="default" w:ascii="Times New Roman" w:hAnsi="Times New Roman" w:eastAsia="仿宋_GB2312" w:cs="Times New Roman"/>
          <w:bCs/>
          <w:color w:val="auto"/>
          <w:sz w:val="24"/>
          <w:szCs w:val="24"/>
          <w:highlight w:val="none"/>
        </w:rPr>
      </w:pPr>
      <w:r>
        <w:rPr>
          <w:rFonts w:hint="eastAsia" w:eastAsia="仿宋_GB2312" w:cs="Times New Roman"/>
          <w:bCs/>
          <w:color w:val="auto"/>
          <w:sz w:val="24"/>
          <w:szCs w:val="24"/>
          <w:highlight w:val="none"/>
          <w:lang w:val="en-US" w:eastAsia="zh-CN"/>
        </w:rPr>
        <w:t>3</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sz w:val="24"/>
          <w:szCs w:val="24"/>
        </w:rPr>
        <w:t>本合同中载明的双方单位地址均为其确认送达地址</w:t>
      </w:r>
      <w:r>
        <w:rPr>
          <w:rFonts w:hint="eastAsia" w:ascii="Times New Roman" w:hAnsi="Times New Roman" w:eastAsia="仿宋_GB2312" w:cs="Times New Roman"/>
          <w:bCs/>
          <w:sz w:val="24"/>
          <w:szCs w:val="24"/>
          <w:lang w:eastAsia="zh-CN"/>
        </w:rPr>
        <w:t>，</w:t>
      </w:r>
      <w:r>
        <w:rPr>
          <w:rFonts w:hint="default" w:ascii="Times New Roman" w:hAnsi="Times New Roman" w:eastAsia="仿宋_GB2312" w:cs="Times New Roman"/>
          <w:bCs/>
          <w:sz w:val="24"/>
          <w:szCs w:val="24"/>
        </w:rPr>
        <w:t>本合同自签</w:t>
      </w:r>
      <w:r>
        <w:rPr>
          <w:rFonts w:hint="default" w:ascii="Times New Roman" w:hAnsi="Times New Roman" w:eastAsia="仿宋_GB2312" w:cs="Times New Roman"/>
          <w:bCs/>
          <w:color w:val="auto"/>
          <w:sz w:val="24"/>
          <w:szCs w:val="24"/>
          <w:highlight w:val="none"/>
        </w:rPr>
        <w:t>订之日起生效。</w:t>
      </w:r>
    </w:p>
    <w:p>
      <w:pPr>
        <w:keepNext w:val="0"/>
        <w:keepLines w:val="0"/>
        <w:pageBreakBefore w:val="0"/>
        <w:widowControl w:val="0"/>
        <w:kinsoku/>
        <w:wordWrap/>
        <w:overflowPunct/>
        <w:topLinePunct w:val="0"/>
        <w:autoSpaceDE w:val="0"/>
        <w:autoSpaceDN w:val="0"/>
        <w:bidi w:val="0"/>
        <w:adjustRightInd w:val="0"/>
        <w:snapToGrid/>
        <w:spacing w:after="156" w:afterLines="50" w:line="252" w:lineRule="auto"/>
        <w:ind w:left="0" w:firstLine="480" w:firstLineChars="200"/>
        <w:jc w:val="both"/>
        <w:rPr>
          <w:rFonts w:hint="default" w:ascii="Times New Roman" w:hAnsi="Times New Roman" w:eastAsia="仿宋_GB2312" w:cs="Times New Roman"/>
          <w:bCs/>
          <w:color w:val="auto"/>
          <w:sz w:val="24"/>
          <w:szCs w:val="24"/>
          <w:highlight w:val="none"/>
          <w:lang w:eastAsia="zh-CN"/>
        </w:rPr>
      </w:pPr>
      <w:r>
        <w:rPr>
          <w:rFonts w:hint="eastAsia" w:eastAsia="仿宋_GB2312" w:cs="Times New Roman"/>
          <w:bCs/>
          <w:color w:val="auto"/>
          <w:sz w:val="24"/>
          <w:szCs w:val="24"/>
          <w:highlight w:val="none"/>
          <w:lang w:val="en-US" w:eastAsia="zh-CN"/>
        </w:rPr>
        <w:t>4</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本合同一式</w:t>
      </w:r>
      <w:r>
        <w:rPr>
          <w:rFonts w:hint="eastAsia" w:ascii="Times New Roman" w:hAnsi="Times New Roman" w:eastAsia="仿宋_GB2312" w:cs="Times New Roman"/>
          <w:color w:val="auto"/>
          <w:sz w:val="24"/>
          <w:szCs w:val="24"/>
          <w:lang w:val="en-US" w:eastAsia="zh-CN"/>
        </w:rPr>
        <w:t>肆</w:t>
      </w:r>
      <w:r>
        <w:rPr>
          <w:rFonts w:hint="default" w:ascii="Times New Roman" w:hAnsi="Times New Roman" w:eastAsia="仿宋_GB2312" w:cs="Times New Roman"/>
          <w:color w:val="auto"/>
          <w:sz w:val="24"/>
          <w:szCs w:val="24"/>
        </w:rPr>
        <w:t>份</w:t>
      </w:r>
      <w:r>
        <w:rPr>
          <w:rFonts w:hint="default" w:ascii="Times New Roman" w:hAnsi="Times New Roman" w:eastAsia="仿宋_GB2312" w:cs="Times New Roman"/>
          <w:bCs/>
          <w:color w:val="auto"/>
          <w:sz w:val="24"/>
          <w:szCs w:val="24"/>
          <w:highlight w:val="none"/>
        </w:rPr>
        <w:t>，甲乙双方各执</w:t>
      </w:r>
      <w:r>
        <w:rPr>
          <w:rFonts w:hint="default" w:ascii="Times New Roman" w:hAnsi="Times New Roman" w:eastAsia="仿宋_GB2312" w:cs="Times New Roman"/>
          <w:bCs/>
          <w:color w:val="auto"/>
          <w:sz w:val="24"/>
          <w:szCs w:val="24"/>
          <w:highlight w:val="none"/>
          <w:lang w:eastAsia="zh-CN"/>
        </w:rPr>
        <w:t>贰</w:t>
      </w:r>
      <w:r>
        <w:rPr>
          <w:rFonts w:hint="default" w:ascii="Times New Roman" w:hAnsi="Times New Roman" w:eastAsia="仿宋_GB2312" w:cs="Times New Roman"/>
          <w:bCs/>
          <w:color w:val="auto"/>
          <w:sz w:val="24"/>
          <w:szCs w:val="24"/>
          <w:highlight w:val="none"/>
        </w:rPr>
        <w:t>份</w:t>
      </w:r>
      <w:r>
        <w:rPr>
          <w:rFonts w:hint="default" w:ascii="Times New Roman" w:hAnsi="Times New Roman" w:eastAsia="仿宋_GB2312" w:cs="Times New Roman"/>
          <w:bCs/>
          <w:color w:val="auto"/>
          <w:sz w:val="24"/>
          <w:szCs w:val="24"/>
          <w:highlight w:val="none"/>
          <w:lang w:eastAsia="zh-CN"/>
        </w:rPr>
        <w:t>。</w:t>
      </w:r>
    </w:p>
    <w:tbl>
      <w:tblPr>
        <w:tblStyle w:val="26"/>
        <w:tblW w:w="9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8"/>
        <w:gridCol w:w="4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608"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甲  方</w:t>
            </w:r>
          </w:p>
        </w:tc>
        <w:tc>
          <w:tcPr>
            <w:tcW w:w="452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4608" w:type="dxa"/>
            <w:vAlign w:val="top"/>
          </w:tcPr>
          <w:p>
            <w:pPr>
              <w:rPr>
                <w:rFonts w:hint="default" w:ascii="Times New Roman" w:hAnsi="Times New Roman" w:eastAsia="仿宋_GB2312" w:cs="Times New Roman"/>
                <w:sz w:val="24"/>
                <w:szCs w:val="24"/>
                <w:u w:val="none"/>
              </w:rPr>
            </w:pPr>
            <w:r>
              <w:rPr>
                <w:rFonts w:hint="default" w:ascii="Times New Roman" w:hAnsi="Times New Roman" w:eastAsia="仿宋_GB2312" w:cs="Times New Roman"/>
                <w:sz w:val="24"/>
                <w:szCs w:val="24"/>
              </w:rPr>
              <w:t>单位名称（盖章）：</w:t>
            </w:r>
            <w:r>
              <w:rPr>
                <w:rFonts w:hint="default" w:ascii="Times New Roman" w:hAnsi="Times New Roman" w:eastAsia="仿宋_GB2312" w:cs="Times New Roman"/>
                <w:sz w:val="24"/>
                <w:szCs w:val="24"/>
                <w:u w:val="none"/>
              </w:rPr>
              <w:t>诸暨广电信息技术有限公司</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单位地址：诸暨市暨阳街道江东路39号</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法定代表人：</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委托代理人：</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传真号码：0575-87256316</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邮政编码：311800</w:t>
            </w:r>
          </w:p>
        </w:tc>
        <w:tc>
          <w:tcPr>
            <w:tcW w:w="4524" w:type="dxa"/>
            <w:vAlign w:val="top"/>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单位名称（盖章）：</w:t>
            </w:r>
            <w:r>
              <w:rPr>
                <w:rFonts w:hint="eastAsia" w:ascii="Times New Roman" w:hAnsi="Times New Roman" w:eastAsia="仿宋_GB2312" w:cs="Times New Roman"/>
                <w:sz w:val="24"/>
                <w:szCs w:val="24"/>
                <w:u w:val="single"/>
                <w:lang w:val="en-US" w:eastAsia="zh-CN"/>
              </w:rPr>
              <w:t>****</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单位地址：</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法定代表人：</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委托代理人：</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传真号码：</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开户银行：</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账    号：</w:t>
            </w:r>
          </w:p>
        </w:tc>
      </w:tr>
    </w:tbl>
    <w:p>
      <w:pPr>
        <w:rPr>
          <w:rFonts w:hint="default" w:ascii="Times New Roman" w:hAnsi="Times New Roman" w:eastAsia="仿宋_GB2312" w:cs="Times New Roman"/>
        </w:rPr>
      </w:pPr>
    </w:p>
    <w:p>
      <w:pPr>
        <w:jc w:val="center"/>
        <w:rPr>
          <w:rFonts w:ascii="宋体" w:hAnsi="宋体" w:cs="宋体"/>
          <w:color w:val="auto"/>
          <w:sz w:val="44"/>
          <w:szCs w:val="44"/>
        </w:rPr>
      </w:pPr>
      <w:r>
        <w:rPr>
          <w:rFonts w:hint="eastAsia" w:ascii="宋体" w:hAnsi="宋体" w:cs="宋体"/>
          <w:color w:val="auto"/>
          <w:sz w:val="44"/>
          <w:szCs w:val="44"/>
        </w:rPr>
        <w:br w:type="page"/>
      </w:r>
    </w:p>
    <w:p>
      <w:pPr>
        <w:jc w:val="center"/>
        <w:rPr>
          <w:rFonts w:ascii="宋体" w:hAnsi="宋体" w:cs="宋体"/>
          <w:color w:val="auto"/>
          <w:sz w:val="44"/>
          <w:szCs w:val="44"/>
        </w:rPr>
      </w:pPr>
      <w:r>
        <w:rPr>
          <w:rFonts w:hint="eastAsia" w:ascii="宋体" w:hAnsi="宋体" w:cs="宋体"/>
          <w:color w:val="auto"/>
          <w:sz w:val="44"/>
          <w:szCs w:val="44"/>
        </w:rPr>
        <w:t>第六章  应提交的有关格式范例</w:t>
      </w:r>
    </w:p>
    <w:p>
      <w:pPr>
        <w:widowControl/>
        <w:tabs>
          <w:tab w:val="left" w:pos="450"/>
          <w:tab w:val="left" w:pos="8280"/>
        </w:tabs>
        <w:spacing w:line="360" w:lineRule="auto"/>
        <w:ind w:firstLine="480"/>
        <w:jc w:val="center"/>
        <w:rPr>
          <w:rFonts w:ascii="宋体" w:hAnsi="宋体" w:cs="宋体"/>
          <w:color w:val="auto"/>
          <w:sz w:val="32"/>
          <w:szCs w:val="32"/>
        </w:rPr>
      </w:pPr>
    </w:p>
    <w:p>
      <w:pPr>
        <w:widowControl/>
        <w:tabs>
          <w:tab w:val="left" w:pos="450"/>
          <w:tab w:val="left" w:pos="2520"/>
          <w:tab w:val="left" w:pos="8280"/>
        </w:tabs>
        <w:spacing w:line="360" w:lineRule="auto"/>
        <w:ind w:firstLine="480"/>
        <w:jc w:val="center"/>
        <w:rPr>
          <w:rFonts w:ascii="宋体" w:hAnsi="宋体" w:cs="宋体"/>
          <w:color w:val="auto"/>
          <w:sz w:val="32"/>
          <w:szCs w:val="32"/>
        </w:rPr>
      </w:pPr>
      <w:r>
        <w:rPr>
          <w:rFonts w:hint="eastAsia" w:ascii="宋体" w:hAnsi="宋体" w:cs="宋体"/>
          <w:color w:val="auto"/>
          <w:sz w:val="32"/>
          <w:szCs w:val="32"/>
        </w:rPr>
        <w:t>一、封面格式</w:t>
      </w:r>
    </w:p>
    <w:p>
      <w:pPr>
        <w:widowControl/>
        <w:tabs>
          <w:tab w:val="left" w:pos="8280"/>
        </w:tabs>
        <w:spacing w:line="360" w:lineRule="auto"/>
        <w:ind w:firstLine="480"/>
        <w:jc w:val="center"/>
        <w:rPr>
          <w:rFonts w:ascii="宋体" w:hAnsi="宋体" w:cs="宋体"/>
          <w:b/>
          <w:color w:val="auto"/>
          <w:sz w:val="32"/>
          <w:szCs w:val="32"/>
        </w:rPr>
      </w:pPr>
    </w:p>
    <w:p>
      <w:pPr>
        <w:widowControl/>
        <w:tabs>
          <w:tab w:val="left" w:pos="8280"/>
        </w:tabs>
        <w:spacing w:line="360" w:lineRule="auto"/>
        <w:ind w:firstLine="480"/>
        <w:jc w:val="center"/>
        <w:rPr>
          <w:rFonts w:ascii="宋体" w:hAnsi="宋体" w:cs="宋体"/>
          <w:b/>
          <w:color w:val="auto"/>
          <w:sz w:val="32"/>
          <w:szCs w:val="32"/>
        </w:rPr>
      </w:pPr>
      <w:r>
        <w:rPr>
          <w:rFonts w:hint="eastAsia" w:ascii="宋体" w:hAnsi="宋体" w:cs="宋体"/>
          <w:b/>
          <w:color w:val="auto"/>
          <w:sz w:val="32"/>
          <w:szCs w:val="32"/>
        </w:rPr>
        <w:t>商务技术文件或报价文件</w:t>
      </w:r>
    </w:p>
    <w:p>
      <w:pPr>
        <w:widowControl/>
        <w:tabs>
          <w:tab w:val="left" w:pos="275"/>
          <w:tab w:val="left" w:pos="8280"/>
        </w:tabs>
        <w:spacing w:line="360" w:lineRule="auto"/>
        <w:ind w:firstLine="480"/>
        <w:jc w:val="left"/>
        <w:rPr>
          <w:rFonts w:ascii="宋体" w:hAnsi="宋体" w:cs="宋体"/>
          <w:b/>
          <w:color w:val="auto"/>
          <w:sz w:val="36"/>
          <w:szCs w:val="36"/>
        </w:rPr>
      </w:pPr>
      <w:r>
        <w:rPr>
          <w:rFonts w:hint="eastAsia" w:ascii="宋体" w:hAnsi="宋体" w:cs="宋体"/>
          <w:b/>
          <w:color w:val="auto"/>
          <w:sz w:val="36"/>
          <w:szCs w:val="36"/>
        </w:rPr>
        <w:tab/>
      </w:r>
    </w:p>
    <w:p>
      <w:pPr>
        <w:widowControl/>
        <w:tabs>
          <w:tab w:val="left" w:pos="275"/>
          <w:tab w:val="left" w:pos="8280"/>
        </w:tabs>
        <w:spacing w:line="360" w:lineRule="auto"/>
        <w:jc w:val="left"/>
        <w:rPr>
          <w:rFonts w:ascii="宋体" w:hAnsi="宋体" w:cs="宋体"/>
          <w:b/>
          <w:color w:val="auto"/>
          <w:sz w:val="32"/>
          <w:szCs w:val="32"/>
          <w:u w:val="single"/>
        </w:rPr>
      </w:pPr>
      <w:r>
        <w:rPr>
          <w:rFonts w:hint="eastAsia" w:ascii="宋体" w:hAnsi="宋体" w:cs="宋体"/>
          <w:b/>
          <w:color w:val="auto"/>
          <w:sz w:val="32"/>
          <w:szCs w:val="32"/>
        </w:rPr>
        <w:t>项目名称：</w:t>
      </w:r>
      <w:r>
        <w:rPr>
          <w:rFonts w:hint="eastAsia" w:ascii="宋体" w:hAnsi="宋体" w:cs="宋体"/>
          <w:b/>
          <w:color w:val="auto"/>
          <w:sz w:val="32"/>
          <w:szCs w:val="32"/>
          <w:u w:val="single"/>
        </w:rPr>
        <w:t xml:space="preserve">                                      </w:t>
      </w:r>
    </w:p>
    <w:p>
      <w:pPr>
        <w:widowControl/>
        <w:tabs>
          <w:tab w:val="left" w:pos="275"/>
          <w:tab w:val="left" w:pos="8280"/>
        </w:tabs>
        <w:spacing w:line="360" w:lineRule="auto"/>
        <w:ind w:firstLine="472" w:firstLineChars="147"/>
        <w:jc w:val="left"/>
        <w:rPr>
          <w:rFonts w:ascii="宋体" w:hAnsi="宋体" w:cs="宋体"/>
          <w:b/>
          <w:color w:val="auto"/>
          <w:sz w:val="32"/>
          <w:szCs w:val="32"/>
        </w:rPr>
      </w:pPr>
    </w:p>
    <w:p>
      <w:pPr>
        <w:widowControl/>
        <w:tabs>
          <w:tab w:val="left" w:pos="275"/>
          <w:tab w:val="left" w:pos="8280"/>
        </w:tabs>
        <w:spacing w:line="360" w:lineRule="auto"/>
        <w:jc w:val="left"/>
        <w:rPr>
          <w:rFonts w:ascii="宋体" w:hAnsi="宋体" w:cs="宋体"/>
          <w:b/>
          <w:color w:val="auto"/>
          <w:sz w:val="36"/>
          <w:szCs w:val="36"/>
        </w:rPr>
      </w:pPr>
      <w:r>
        <w:rPr>
          <w:rFonts w:hint="eastAsia" w:ascii="宋体" w:hAnsi="宋体" w:cs="宋体"/>
          <w:b/>
          <w:color w:val="auto"/>
          <w:sz w:val="32"/>
          <w:szCs w:val="32"/>
        </w:rPr>
        <w:t>项目编号：</w:t>
      </w:r>
      <w:r>
        <w:rPr>
          <w:rFonts w:hint="eastAsia" w:ascii="宋体" w:hAnsi="宋体" w:cs="宋体"/>
          <w:b/>
          <w:color w:val="auto"/>
          <w:sz w:val="32"/>
          <w:szCs w:val="32"/>
          <w:u w:val="single"/>
        </w:rPr>
        <w:t xml:space="preserve">                                      </w:t>
      </w:r>
      <w:r>
        <w:rPr>
          <w:rFonts w:hint="eastAsia" w:ascii="宋体" w:hAnsi="宋体" w:cs="宋体"/>
          <w:b/>
          <w:color w:val="auto"/>
          <w:sz w:val="32"/>
          <w:szCs w:val="32"/>
        </w:rPr>
        <w:t xml:space="preserve">   </w:t>
      </w:r>
    </w:p>
    <w:p>
      <w:pPr>
        <w:widowControl/>
        <w:tabs>
          <w:tab w:val="left" w:pos="765"/>
          <w:tab w:val="left" w:pos="8280"/>
        </w:tabs>
        <w:spacing w:line="360" w:lineRule="auto"/>
        <w:ind w:firstLine="480"/>
        <w:jc w:val="left"/>
        <w:rPr>
          <w:rFonts w:ascii="宋体" w:hAnsi="宋体" w:cs="宋体"/>
          <w:b/>
          <w:color w:val="auto"/>
          <w:sz w:val="36"/>
          <w:szCs w:val="36"/>
        </w:rPr>
      </w:pPr>
      <w:r>
        <w:rPr>
          <w:rFonts w:hint="eastAsia" w:ascii="宋体" w:hAnsi="宋体" w:cs="宋体"/>
          <w:b/>
          <w:color w:val="auto"/>
          <w:sz w:val="36"/>
          <w:szCs w:val="36"/>
        </w:rPr>
        <w:tab/>
      </w:r>
    </w:p>
    <w:p>
      <w:pPr>
        <w:widowControl/>
        <w:tabs>
          <w:tab w:val="left" w:pos="765"/>
          <w:tab w:val="left" w:pos="8280"/>
        </w:tabs>
        <w:spacing w:line="360" w:lineRule="auto"/>
        <w:jc w:val="left"/>
        <w:rPr>
          <w:rFonts w:ascii="宋体" w:hAnsi="宋体" w:cs="宋体"/>
          <w:b/>
          <w:color w:val="auto"/>
          <w:sz w:val="36"/>
          <w:szCs w:val="36"/>
          <w:u w:val="single"/>
        </w:rPr>
      </w:pPr>
      <w:r>
        <w:rPr>
          <w:rFonts w:hint="eastAsia" w:ascii="宋体" w:hAnsi="宋体" w:cs="宋体"/>
          <w:b/>
          <w:color w:val="auto"/>
          <w:sz w:val="32"/>
          <w:szCs w:val="32"/>
        </w:rPr>
        <w:t>投 标 人：</w:t>
      </w:r>
      <w:r>
        <w:rPr>
          <w:rFonts w:hint="eastAsia" w:ascii="宋体" w:hAnsi="宋体" w:cs="宋体"/>
          <w:b/>
          <w:color w:val="auto"/>
          <w:sz w:val="32"/>
          <w:szCs w:val="32"/>
          <w:u w:val="single"/>
        </w:rPr>
        <w:t xml:space="preserve">           （盖章）              </w:t>
      </w:r>
      <w:r>
        <w:rPr>
          <w:rFonts w:ascii="宋体" w:hAnsi="宋体" w:cs="宋体"/>
          <w:b/>
          <w:color w:val="auto"/>
          <w:sz w:val="32"/>
          <w:szCs w:val="32"/>
          <w:u w:val="single"/>
        </w:rPr>
        <w:t xml:space="preserve">     </w:t>
      </w:r>
    </w:p>
    <w:p>
      <w:pPr>
        <w:widowControl/>
        <w:tabs>
          <w:tab w:val="left" w:pos="8280"/>
        </w:tabs>
        <w:spacing w:line="360" w:lineRule="auto"/>
        <w:ind w:firstLine="480"/>
        <w:jc w:val="center"/>
        <w:rPr>
          <w:rFonts w:ascii="宋体" w:hAnsi="宋体" w:cs="宋体"/>
          <w:b/>
          <w:color w:val="auto"/>
          <w:sz w:val="32"/>
          <w:szCs w:val="32"/>
        </w:rPr>
      </w:pPr>
    </w:p>
    <w:p>
      <w:pPr>
        <w:widowControl/>
        <w:tabs>
          <w:tab w:val="left" w:pos="8280"/>
        </w:tabs>
        <w:spacing w:line="360" w:lineRule="auto"/>
        <w:ind w:firstLine="480"/>
        <w:jc w:val="center"/>
        <w:rPr>
          <w:rFonts w:ascii="宋体" w:hAnsi="宋体" w:cs="宋体"/>
          <w:b/>
          <w:color w:val="auto"/>
          <w:sz w:val="32"/>
          <w:szCs w:val="32"/>
        </w:rPr>
      </w:pPr>
    </w:p>
    <w:p>
      <w:pPr>
        <w:widowControl/>
        <w:tabs>
          <w:tab w:val="left" w:pos="350"/>
          <w:tab w:val="left" w:pos="8280"/>
        </w:tabs>
        <w:spacing w:line="360" w:lineRule="auto"/>
        <w:jc w:val="left"/>
        <w:rPr>
          <w:rFonts w:ascii="宋体" w:hAnsi="宋体" w:cs="宋体"/>
          <w:b/>
          <w:color w:val="auto"/>
          <w:sz w:val="32"/>
          <w:szCs w:val="32"/>
        </w:rPr>
      </w:pPr>
      <w:r>
        <w:rPr>
          <w:rFonts w:hint="eastAsia" w:ascii="宋体" w:hAnsi="宋体" w:cs="宋体"/>
          <w:b/>
          <w:color w:val="auto"/>
          <w:sz w:val="32"/>
          <w:szCs w:val="32"/>
        </w:rPr>
        <w:t xml:space="preserve">日期：      </w:t>
      </w:r>
      <w:r>
        <w:rPr>
          <w:rFonts w:hint="eastAsia" w:ascii="宋体" w:hAnsi="宋体" w:cs="宋体"/>
          <w:b/>
          <w:color w:val="auto"/>
          <w:sz w:val="36"/>
          <w:szCs w:val="36"/>
        </w:rPr>
        <w:t xml:space="preserve"> </w:t>
      </w:r>
      <w:r>
        <w:rPr>
          <w:rFonts w:hint="eastAsia" w:ascii="宋体" w:hAnsi="宋体" w:cs="宋体"/>
          <w:b/>
          <w:color w:val="auto"/>
          <w:sz w:val="32"/>
          <w:szCs w:val="32"/>
        </w:rPr>
        <w:t>年</w:t>
      </w:r>
      <w:r>
        <w:rPr>
          <w:rFonts w:hint="eastAsia" w:ascii="宋体" w:hAnsi="宋体" w:cs="宋体"/>
          <w:b/>
          <w:color w:val="auto"/>
          <w:sz w:val="36"/>
          <w:szCs w:val="36"/>
        </w:rPr>
        <w:t xml:space="preserve">     </w:t>
      </w:r>
      <w:r>
        <w:rPr>
          <w:rFonts w:hint="eastAsia" w:ascii="宋体" w:hAnsi="宋体" w:cs="宋体"/>
          <w:b/>
          <w:color w:val="auto"/>
          <w:sz w:val="32"/>
          <w:szCs w:val="32"/>
        </w:rPr>
        <w:t>月</w:t>
      </w:r>
      <w:r>
        <w:rPr>
          <w:rFonts w:hint="eastAsia" w:ascii="宋体" w:hAnsi="宋体" w:cs="宋体"/>
          <w:b/>
          <w:color w:val="auto"/>
          <w:sz w:val="36"/>
          <w:szCs w:val="36"/>
        </w:rPr>
        <w:t xml:space="preserve">     </w:t>
      </w:r>
      <w:r>
        <w:rPr>
          <w:rFonts w:hint="eastAsia" w:ascii="宋体" w:hAnsi="宋体" w:cs="宋体"/>
          <w:b/>
          <w:color w:val="auto"/>
          <w:sz w:val="32"/>
          <w:szCs w:val="32"/>
        </w:rPr>
        <w:t>日</w:t>
      </w:r>
    </w:p>
    <w:p>
      <w:pPr>
        <w:widowControl/>
        <w:tabs>
          <w:tab w:val="left" w:pos="350"/>
          <w:tab w:val="left" w:pos="8280"/>
        </w:tabs>
        <w:spacing w:line="360" w:lineRule="auto"/>
        <w:ind w:firstLine="480"/>
        <w:jc w:val="left"/>
        <w:rPr>
          <w:rFonts w:ascii="宋体" w:hAnsi="宋体" w:cs="宋体"/>
          <w:b/>
          <w:color w:val="auto"/>
          <w:sz w:val="32"/>
          <w:szCs w:val="32"/>
        </w:rPr>
      </w:pPr>
    </w:p>
    <w:p>
      <w:pPr>
        <w:pStyle w:val="5"/>
        <w:spacing w:line="500" w:lineRule="exact"/>
        <w:jc w:val="center"/>
        <w:rPr>
          <w:rFonts w:ascii="宋体" w:hAnsi="宋体" w:eastAsia="宋体" w:cs="宋体"/>
          <w:b w:val="0"/>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pStyle w:val="24"/>
        <w:ind w:firstLine="480"/>
        <w:rPr>
          <w:rFonts w:ascii="宋体" w:hAnsi="宋体" w:cs="宋体"/>
        </w:rPr>
      </w:pPr>
    </w:p>
    <w:p>
      <w:pPr>
        <w:rPr>
          <w:rFonts w:ascii="宋体" w:hAnsi="宋体" w:cs="宋体"/>
          <w:color w:val="auto"/>
        </w:rPr>
      </w:pPr>
    </w:p>
    <w:p>
      <w:pPr>
        <w:pStyle w:val="5"/>
        <w:spacing w:line="500" w:lineRule="exact"/>
        <w:jc w:val="center"/>
        <w:rPr>
          <w:rFonts w:ascii="宋体" w:hAnsi="宋体" w:eastAsia="宋体" w:cs="宋体"/>
          <w:b w:val="0"/>
        </w:rPr>
      </w:pPr>
      <w:r>
        <w:rPr>
          <w:rFonts w:hint="eastAsia" w:ascii="宋体" w:hAnsi="宋体" w:eastAsia="宋体" w:cs="宋体"/>
          <w:b w:val="0"/>
        </w:rPr>
        <w:t>二、投标函（格式）</w:t>
      </w:r>
    </w:p>
    <w:p>
      <w:pPr>
        <w:spacing w:line="660" w:lineRule="exact"/>
        <w:rPr>
          <w:rFonts w:ascii="宋体" w:hAnsi="宋体" w:cs="宋体"/>
          <w:color w:val="auto"/>
          <w:spacing w:val="8"/>
          <w:sz w:val="24"/>
          <w:szCs w:val="24"/>
        </w:rPr>
      </w:pPr>
      <w:r>
        <w:rPr>
          <w:rFonts w:hint="eastAsia" w:ascii="宋体" w:hAnsi="宋体" w:cs="宋体"/>
          <w:color w:val="auto"/>
          <w:spacing w:val="8"/>
          <w:sz w:val="24"/>
          <w:szCs w:val="24"/>
        </w:rPr>
        <w:t>致：</w:t>
      </w:r>
      <w:r>
        <w:rPr>
          <w:rFonts w:hint="eastAsia" w:ascii="宋体" w:hAnsi="宋体" w:cs="宋体"/>
          <w:color w:val="auto"/>
          <w:sz w:val="24"/>
          <w:szCs w:val="24"/>
        </w:rPr>
        <w:t>诸暨市广顺工程管理服务有限公司</w:t>
      </w:r>
    </w:p>
    <w:p>
      <w:pPr>
        <w:spacing w:line="360" w:lineRule="auto"/>
        <w:ind w:firstLine="384" w:firstLineChars="150"/>
        <w:rPr>
          <w:rFonts w:ascii="宋体" w:hAnsi="宋体" w:cs="宋体"/>
          <w:color w:val="auto"/>
          <w:sz w:val="24"/>
          <w:szCs w:val="24"/>
        </w:rPr>
      </w:pPr>
      <w:r>
        <w:rPr>
          <w:rFonts w:hint="eastAsia" w:ascii="宋体" w:hAnsi="宋体" w:cs="宋体"/>
          <w:color w:val="auto"/>
          <w:spacing w:val="8"/>
          <w:sz w:val="24"/>
          <w:szCs w:val="24"/>
        </w:rPr>
        <w:t>根据贵方</w:t>
      </w:r>
      <w:r>
        <w:rPr>
          <w:rFonts w:hint="eastAsia" w:ascii="宋体" w:hAnsi="宋体" w:cs="宋体"/>
          <w:color w:val="auto"/>
          <w:spacing w:val="8"/>
          <w:sz w:val="24"/>
          <w:szCs w:val="24"/>
          <w:u w:val="single"/>
        </w:rPr>
        <w:t xml:space="preserve">                           项目的</w:t>
      </w:r>
      <w:r>
        <w:rPr>
          <w:rFonts w:hint="eastAsia" w:ascii="宋体" w:hAnsi="宋体" w:cs="宋体"/>
          <w:color w:val="auto"/>
          <w:spacing w:val="8"/>
          <w:sz w:val="24"/>
          <w:szCs w:val="24"/>
        </w:rPr>
        <w:t>招标文件（编号：诸广顺 202</w:t>
      </w:r>
      <w:r>
        <w:rPr>
          <w:rFonts w:hint="eastAsia" w:ascii="宋体" w:hAnsi="宋体" w:cs="宋体"/>
          <w:color w:val="auto"/>
          <w:spacing w:val="8"/>
          <w:sz w:val="24"/>
          <w:szCs w:val="24"/>
          <w:lang w:val="en-US" w:eastAsia="zh-CN"/>
        </w:rPr>
        <w:t>2</w:t>
      </w:r>
      <w:r>
        <w:rPr>
          <w:rFonts w:hint="eastAsia" w:ascii="宋体" w:hAnsi="宋体" w:cs="宋体"/>
          <w:color w:val="auto"/>
          <w:spacing w:val="8"/>
          <w:sz w:val="24"/>
          <w:szCs w:val="24"/>
        </w:rPr>
        <w:t xml:space="preserve">-**-**）有关要求， </w:t>
      </w:r>
      <w:r>
        <w:rPr>
          <w:rFonts w:hint="eastAsia" w:ascii="宋体" w:hAnsi="宋体" w:cs="宋体"/>
          <w:color w:val="auto"/>
          <w:spacing w:val="8"/>
          <w:sz w:val="24"/>
          <w:szCs w:val="24"/>
          <w:u w:val="single"/>
        </w:rPr>
        <w:t xml:space="preserve">   　　（投标人全称）       </w:t>
      </w:r>
      <w:r>
        <w:rPr>
          <w:rFonts w:hint="eastAsia" w:ascii="宋体" w:hAnsi="宋体" w:cs="宋体"/>
          <w:color w:val="auto"/>
          <w:spacing w:val="8"/>
          <w:sz w:val="24"/>
          <w:szCs w:val="24"/>
        </w:rPr>
        <w:t>授权</w:t>
      </w:r>
      <w:r>
        <w:rPr>
          <w:rFonts w:hint="eastAsia" w:ascii="宋体" w:hAnsi="宋体" w:cs="宋体"/>
          <w:color w:val="auto"/>
          <w:spacing w:val="8"/>
          <w:sz w:val="24"/>
          <w:szCs w:val="24"/>
          <w:u w:val="single"/>
        </w:rPr>
        <w:t xml:space="preserve">     （委托代理人姓名）   </w:t>
      </w:r>
      <w:r>
        <w:rPr>
          <w:rFonts w:hint="eastAsia" w:ascii="宋体" w:hAnsi="宋体" w:cs="宋体"/>
          <w:color w:val="auto"/>
          <w:sz w:val="24"/>
          <w:szCs w:val="24"/>
        </w:rPr>
        <w:t>为全权代表，参加贵方组织的招标采购活动，并进行投标。为此：</w:t>
      </w:r>
    </w:p>
    <w:p>
      <w:pPr>
        <w:snapToGrid w:val="0"/>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rPr>
        <w:t>1、我方已详细研读了全部招标文件，包括修改文件（如有的话）以及全部参考资料和有关附件等，</w:t>
      </w:r>
      <w:r>
        <w:rPr>
          <w:rFonts w:hint="eastAsia" w:ascii="宋体" w:hAnsi="宋体" w:cs="宋体"/>
          <w:bCs/>
          <w:color w:val="auto"/>
          <w:sz w:val="24"/>
          <w:szCs w:val="24"/>
        </w:rPr>
        <w:t>完全理解并接受招标文件的各项规定和要求，对招标文件的合理性、合法性不再有异议。</w:t>
      </w:r>
    </w:p>
    <w:p>
      <w:pPr>
        <w:tabs>
          <w:tab w:val="left" w:pos="90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2、我方承诺本投标文件在开标之日起至投标有效期满均具有约束力，并严格遵守投标文件中的承诺。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3、我方承诺已经具备招标文件中规定的参加本项目的供应商资格条件。</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4、我方严格按照招标文件的规定报价，并提供招标文件规定的全部投标文件。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5、如我方中标，投标文件将作为本项目合同的组成部分，直到合同履行完毕均保持有效，我方将按招标文件及相关采购法律、法规的规定履行合同责任和义务。</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6、我方完全理解贵方不一定接受最低价的投标。</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7、我方同意向贵方提供任何与该项投标有关的一切数据或资料。若贵方需要，我方愿意提供我方作出的一切承诺的证明材料。</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8、与本次投标有关的一切正式往来通讯，请寄：</w:t>
      </w:r>
    </w:p>
    <w:p>
      <w:pPr>
        <w:spacing w:line="360" w:lineRule="auto"/>
        <w:ind w:firstLine="425"/>
        <w:rPr>
          <w:rFonts w:ascii="宋体" w:hAnsi="宋体" w:cs="宋体"/>
          <w:color w:val="auto"/>
          <w:sz w:val="24"/>
          <w:szCs w:val="24"/>
          <w:u w:val="single"/>
        </w:rPr>
      </w:pPr>
      <w:r>
        <w:rPr>
          <w:rFonts w:hint="eastAsia" w:ascii="宋体" w:hAnsi="宋体" w:cs="宋体"/>
          <w:color w:val="auto"/>
          <w:sz w:val="24"/>
          <w:szCs w:val="24"/>
        </w:rPr>
        <w:t xml:space="preserve"> 地址：</w:t>
      </w:r>
      <w:r>
        <w:rPr>
          <w:rFonts w:hint="eastAsia" w:ascii="宋体" w:hAnsi="宋体" w:cs="宋体"/>
          <w:color w:val="auto"/>
          <w:sz w:val="24"/>
          <w:szCs w:val="24"/>
          <w:u w:val="single"/>
        </w:rPr>
        <w:t xml:space="preserve">                          </w:t>
      </w:r>
      <w:r>
        <w:rPr>
          <w:rFonts w:hint="eastAsia" w:ascii="宋体" w:hAnsi="宋体" w:cs="宋体"/>
          <w:color w:val="auto"/>
          <w:sz w:val="24"/>
          <w:szCs w:val="24"/>
        </w:rPr>
        <w:t>邮编：</w:t>
      </w:r>
      <w:r>
        <w:rPr>
          <w:rFonts w:hint="eastAsia" w:ascii="宋体" w:hAnsi="宋体" w:cs="宋体"/>
          <w:color w:val="auto"/>
          <w:sz w:val="24"/>
          <w:szCs w:val="24"/>
          <w:u w:val="single"/>
        </w:rPr>
        <w:t xml:space="preserve">                     </w:t>
      </w:r>
    </w:p>
    <w:p>
      <w:pPr>
        <w:spacing w:line="360" w:lineRule="auto"/>
        <w:ind w:firstLine="425"/>
        <w:rPr>
          <w:rFonts w:ascii="宋体" w:hAnsi="宋体" w:cs="宋体"/>
          <w:color w:val="auto"/>
          <w:sz w:val="24"/>
          <w:szCs w:val="24"/>
          <w:u w:val="single"/>
        </w:rPr>
      </w:pPr>
      <w:r>
        <w:rPr>
          <w:rFonts w:hint="eastAsia" w:ascii="宋体" w:hAnsi="宋体" w:cs="宋体"/>
          <w:color w:val="auto"/>
          <w:sz w:val="24"/>
          <w:szCs w:val="24"/>
        </w:rPr>
        <w:t xml:space="preserve"> 电话：</w:t>
      </w:r>
      <w:r>
        <w:rPr>
          <w:rFonts w:hint="eastAsia" w:ascii="宋体" w:hAnsi="宋体" w:cs="宋体"/>
          <w:color w:val="auto"/>
          <w:sz w:val="24"/>
          <w:szCs w:val="24"/>
          <w:u w:val="single"/>
        </w:rPr>
        <w:t xml:space="preserve">                          </w:t>
      </w:r>
      <w:r>
        <w:rPr>
          <w:rFonts w:hint="eastAsia" w:ascii="宋体" w:hAnsi="宋体" w:cs="宋体"/>
          <w:color w:val="auto"/>
          <w:sz w:val="24"/>
          <w:szCs w:val="24"/>
        </w:rPr>
        <w:t>传真：</w:t>
      </w:r>
      <w:r>
        <w:rPr>
          <w:rFonts w:hint="eastAsia" w:ascii="宋体" w:hAnsi="宋体" w:cs="宋体"/>
          <w:color w:val="auto"/>
          <w:sz w:val="24"/>
          <w:szCs w:val="24"/>
          <w:u w:val="single"/>
        </w:rPr>
        <w:t xml:space="preserve">                     </w:t>
      </w:r>
    </w:p>
    <w:p>
      <w:pPr>
        <w:spacing w:line="360" w:lineRule="auto"/>
        <w:ind w:firstLine="425"/>
        <w:rPr>
          <w:rFonts w:ascii="宋体" w:hAnsi="宋体" w:cs="宋体"/>
          <w:color w:val="auto"/>
          <w:sz w:val="24"/>
          <w:szCs w:val="24"/>
        </w:rPr>
      </w:pPr>
    </w:p>
    <w:p>
      <w:pPr>
        <w:spacing w:line="360" w:lineRule="auto"/>
        <w:ind w:firstLine="425"/>
        <w:rPr>
          <w:rFonts w:ascii="宋体" w:hAnsi="宋体" w:cs="宋体"/>
          <w:color w:val="auto"/>
          <w:sz w:val="24"/>
          <w:szCs w:val="24"/>
        </w:rPr>
      </w:pPr>
      <w:r>
        <w:rPr>
          <w:rFonts w:hint="eastAsia" w:ascii="宋体" w:hAnsi="宋体" w:cs="宋体"/>
          <w:color w:val="auto"/>
          <w:sz w:val="24"/>
          <w:szCs w:val="24"/>
        </w:rPr>
        <w:t xml:space="preserve"> 投标人名称：</w:t>
      </w:r>
      <w:r>
        <w:rPr>
          <w:rFonts w:hint="eastAsia" w:ascii="宋体" w:hAnsi="宋体" w:cs="宋体"/>
          <w:color w:val="auto"/>
          <w:sz w:val="24"/>
          <w:szCs w:val="24"/>
          <w:u w:val="single"/>
        </w:rPr>
        <w:t xml:space="preserve">             （盖章）          </w:t>
      </w:r>
    </w:p>
    <w:p>
      <w:pPr>
        <w:spacing w:line="360" w:lineRule="auto"/>
        <w:ind w:firstLine="425"/>
        <w:rPr>
          <w:rFonts w:ascii="宋体" w:hAnsi="宋体" w:cs="宋体"/>
          <w:color w:val="auto"/>
          <w:sz w:val="24"/>
          <w:szCs w:val="24"/>
        </w:rPr>
      </w:pPr>
    </w:p>
    <w:p>
      <w:pPr>
        <w:spacing w:line="360" w:lineRule="auto"/>
        <w:ind w:firstLine="425"/>
        <w:rPr>
          <w:rFonts w:ascii="宋体" w:hAnsi="宋体" w:cs="宋体"/>
          <w:color w:val="auto"/>
          <w:sz w:val="24"/>
          <w:szCs w:val="24"/>
          <w:u w:val="single"/>
        </w:rPr>
      </w:pPr>
      <w:r>
        <w:rPr>
          <w:rFonts w:hint="eastAsia" w:ascii="宋体" w:hAnsi="宋体" w:cs="宋体"/>
          <w:color w:val="auto"/>
          <w:sz w:val="24"/>
          <w:szCs w:val="24"/>
        </w:rPr>
        <w:t xml:space="preserve">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pPr>
        <w:spacing w:line="360" w:lineRule="auto"/>
        <w:ind w:firstLine="480" w:firstLineChars="200"/>
        <w:rPr>
          <w:rFonts w:ascii="宋体" w:hAnsi="宋体" w:cs="宋体"/>
          <w:color w:val="auto"/>
          <w:sz w:val="24"/>
          <w:szCs w:val="24"/>
        </w:rPr>
      </w:pPr>
    </w:p>
    <w:p>
      <w:pPr>
        <w:spacing w:line="360" w:lineRule="auto"/>
        <w:ind w:firstLine="480" w:firstLineChars="200"/>
        <w:rPr>
          <w:rFonts w:ascii="宋体" w:hAnsi="宋体" w:cs="宋体"/>
          <w:color w:val="auto"/>
          <w:sz w:val="24"/>
          <w:szCs w:val="24"/>
        </w:rPr>
      </w:pPr>
    </w:p>
    <w:p>
      <w:pPr>
        <w:pStyle w:val="5"/>
        <w:spacing w:line="500" w:lineRule="exact"/>
        <w:jc w:val="center"/>
        <w:rPr>
          <w:rFonts w:ascii="宋体" w:hAnsi="宋体" w:eastAsia="宋体" w:cs="宋体"/>
          <w:b w:val="0"/>
        </w:rPr>
      </w:pPr>
      <w:r>
        <w:rPr>
          <w:rFonts w:hint="eastAsia" w:ascii="宋体" w:hAnsi="宋体" w:eastAsia="宋体" w:cs="宋体"/>
          <w:b w:val="0"/>
        </w:rPr>
        <w:t>三、授权委托书（格式）</w:t>
      </w:r>
    </w:p>
    <w:p>
      <w:pPr>
        <w:spacing w:line="360" w:lineRule="auto"/>
        <w:rPr>
          <w:rFonts w:ascii="宋体" w:hAnsi="宋体" w:cs="宋体"/>
          <w:color w:val="auto"/>
          <w:sz w:val="24"/>
          <w:szCs w:val="24"/>
        </w:rPr>
      </w:pPr>
      <w:r>
        <w:rPr>
          <w:rFonts w:hint="eastAsia" w:ascii="宋体" w:hAnsi="宋体" w:cs="宋体"/>
          <w:color w:val="auto"/>
          <w:sz w:val="24"/>
          <w:szCs w:val="24"/>
        </w:rPr>
        <w:t>致：诸暨市广顺工程管理服务有限公司</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我</w:t>
      </w:r>
      <w:r>
        <w:rPr>
          <w:rFonts w:hint="eastAsia" w:ascii="宋体" w:hAnsi="宋体" w:cs="宋体"/>
          <w:color w:val="auto"/>
          <w:sz w:val="24"/>
          <w:szCs w:val="24"/>
          <w:u w:val="single"/>
        </w:rPr>
        <w:t xml:space="preserve">   (姓名)　</w:t>
      </w:r>
      <w:r>
        <w:rPr>
          <w:rFonts w:hint="eastAsia" w:ascii="宋体" w:hAnsi="宋体" w:cs="宋体"/>
          <w:color w:val="auto"/>
          <w:sz w:val="24"/>
          <w:szCs w:val="24"/>
        </w:rPr>
        <w:t>系</w:t>
      </w:r>
      <w:r>
        <w:rPr>
          <w:rFonts w:hint="eastAsia" w:ascii="宋体" w:hAnsi="宋体" w:cs="宋体"/>
          <w:color w:val="auto"/>
          <w:sz w:val="24"/>
          <w:szCs w:val="24"/>
          <w:u w:val="single"/>
        </w:rPr>
        <w:t xml:space="preserve">        (投标人名称)　　　</w:t>
      </w:r>
      <w:r>
        <w:rPr>
          <w:rFonts w:hint="eastAsia" w:ascii="宋体" w:hAnsi="宋体" w:cs="宋体"/>
          <w:color w:val="auto"/>
          <w:sz w:val="24"/>
          <w:szCs w:val="24"/>
        </w:rPr>
        <w:t>的法定代表人，现授权委托本单位在职职工</w:t>
      </w:r>
      <w:r>
        <w:rPr>
          <w:rFonts w:hint="eastAsia" w:ascii="宋体" w:hAnsi="宋体" w:cs="宋体"/>
          <w:color w:val="auto"/>
          <w:sz w:val="24"/>
          <w:szCs w:val="24"/>
          <w:u w:val="single"/>
        </w:rPr>
        <w:t xml:space="preserve">   (姓名)  　</w:t>
      </w:r>
      <w:r>
        <w:rPr>
          <w:rFonts w:hint="eastAsia" w:ascii="宋体" w:hAnsi="宋体" w:cs="宋体"/>
          <w:color w:val="auto"/>
          <w:sz w:val="24"/>
          <w:szCs w:val="24"/>
        </w:rPr>
        <w:t>，职务</w:t>
      </w:r>
      <w:r>
        <w:rPr>
          <w:rFonts w:hint="eastAsia" w:ascii="宋体" w:hAnsi="宋体" w:cs="宋体"/>
          <w:color w:val="auto"/>
          <w:sz w:val="24"/>
          <w:szCs w:val="24"/>
          <w:u w:val="single"/>
        </w:rPr>
        <w:t xml:space="preserve">           </w:t>
      </w:r>
      <w:r>
        <w:rPr>
          <w:rFonts w:hint="eastAsia" w:ascii="宋体" w:hAnsi="宋体" w:cs="宋体"/>
          <w:color w:val="auto"/>
          <w:sz w:val="24"/>
          <w:szCs w:val="24"/>
        </w:rPr>
        <w:t>，身份证号码</w:t>
      </w:r>
      <w:r>
        <w:rPr>
          <w:rFonts w:hint="eastAsia" w:ascii="宋体" w:hAnsi="宋体" w:cs="宋体"/>
          <w:color w:val="auto"/>
          <w:sz w:val="24"/>
          <w:szCs w:val="24"/>
          <w:u w:val="single"/>
        </w:rPr>
        <w:t xml:space="preserve">                            </w:t>
      </w:r>
      <w:r>
        <w:rPr>
          <w:rFonts w:hint="eastAsia" w:ascii="宋体" w:hAnsi="宋体" w:cs="宋体"/>
          <w:color w:val="auto"/>
          <w:sz w:val="24"/>
          <w:szCs w:val="24"/>
        </w:rPr>
        <w:t>，以我方的名义参加贵</w:t>
      </w:r>
      <w:r>
        <w:rPr>
          <w:rFonts w:hint="eastAsia" w:ascii="宋体" w:hAnsi="宋体" w:cs="宋体"/>
          <w:color w:val="auto"/>
          <w:sz w:val="24"/>
          <w:szCs w:val="24"/>
          <w:lang w:val="en-US" w:eastAsia="zh-CN"/>
        </w:rPr>
        <w:t>单位</w:t>
      </w:r>
      <w:r>
        <w:rPr>
          <w:rFonts w:hint="eastAsia" w:ascii="宋体" w:hAnsi="宋体" w:cs="宋体"/>
          <w:color w:val="auto"/>
          <w:sz w:val="24"/>
          <w:szCs w:val="24"/>
        </w:rPr>
        <w:t>组织的</w:t>
      </w:r>
      <w:r>
        <w:rPr>
          <w:rFonts w:hint="eastAsia" w:ascii="宋体" w:hAnsi="宋体" w:cs="宋体"/>
          <w:color w:val="auto"/>
          <w:sz w:val="24"/>
          <w:szCs w:val="24"/>
          <w:u w:val="single"/>
        </w:rPr>
        <w:t xml:space="preserve">     　(招标项目)        采购项目</w:t>
      </w:r>
      <w:r>
        <w:rPr>
          <w:rFonts w:hint="eastAsia" w:ascii="宋体" w:hAnsi="宋体" w:cs="宋体"/>
          <w:color w:val="auto"/>
          <w:sz w:val="24"/>
          <w:szCs w:val="24"/>
        </w:rPr>
        <w:t>的投标活动，并代表我方全权办理针对上述项目的投标、开标、评标、签约等具体事务和签署相关文件。</w:t>
      </w:r>
    </w:p>
    <w:p>
      <w:pPr>
        <w:snapToGrid w:val="0"/>
        <w:spacing w:line="360" w:lineRule="auto"/>
        <w:rPr>
          <w:rFonts w:ascii="宋体" w:hAnsi="宋体" w:cs="宋体"/>
          <w:color w:val="auto"/>
          <w:sz w:val="24"/>
          <w:szCs w:val="24"/>
        </w:rPr>
      </w:pPr>
      <w:r>
        <w:rPr>
          <w:rFonts w:hint="eastAsia" w:ascii="宋体" w:hAnsi="宋体" w:cs="宋体"/>
          <w:color w:val="auto"/>
          <w:sz w:val="24"/>
          <w:szCs w:val="24"/>
        </w:rPr>
        <w:t xml:space="preserve">    我方对被授权人的签名事项负全部责任。</w:t>
      </w:r>
    </w:p>
    <w:p>
      <w:pPr>
        <w:snapToGrid w:val="0"/>
        <w:spacing w:line="360" w:lineRule="auto"/>
        <w:ind w:firstLine="480"/>
        <w:rPr>
          <w:rFonts w:ascii="宋体" w:hAnsi="宋体" w:cs="宋体"/>
          <w:color w:val="auto"/>
          <w:sz w:val="24"/>
          <w:szCs w:val="24"/>
        </w:rPr>
      </w:pPr>
      <w:r>
        <w:rPr>
          <w:rFonts w:hint="eastAsia" w:ascii="宋体" w:hAnsi="宋体" w:cs="宋体"/>
          <w:color w:val="auto"/>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cs="宋体"/>
          <w:color w:val="auto"/>
          <w:sz w:val="24"/>
          <w:szCs w:val="24"/>
        </w:rPr>
      </w:pPr>
      <w:r>
        <w:rPr>
          <w:rFonts w:hint="eastAsia" w:ascii="宋体" w:hAnsi="宋体" w:cs="宋体"/>
          <w:color w:val="auto"/>
          <w:sz w:val="24"/>
          <w:szCs w:val="24"/>
        </w:rPr>
        <w:t>被授权人无转委托权，特此委托。</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ind w:firstLine="4440" w:firstLineChars="1850"/>
        <w:rPr>
          <w:rFonts w:ascii="宋体" w:hAnsi="宋体" w:cs="宋体"/>
          <w:color w:val="auto"/>
          <w:sz w:val="24"/>
          <w:szCs w:val="24"/>
        </w:rPr>
      </w:pPr>
      <w:r>
        <w:rPr>
          <w:rFonts w:hint="eastAsia" w:ascii="宋体" w:hAnsi="宋体" w:cs="宋体"/>
          <w:color w:val="auto"/>
          <w:sz w:val="24"/>
          <w:szCs w:val="24"/>
        </w:rPr>
        <w:t>投标人：</w:t>
      </w:r>
      <w:r>
        <w:rPr>
          <w:rFonts w:hint="eastAsia" w:ascii="宋体" w:hAnsi="宋体" w:cs="宋体"/>
          <w:color w:val="auto"/>
          <w:sz w:val="24"/>
          <w:szCs w:val="24"/>
          <w:u w:val="single"/>
        </w:rPr>
        <w:t xml:space="preserve">           　　　 (盖章)</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pPr>
        <w:pStyle w:val="5"/>
        <w:spacing w:line="500" w:lineRule="exact"/>
        <w:jc w:val="center"/>
        <w:rPr>
          <w:rFonts w:ascii="宋体" w:hAnsi="宋体" w:eastAsia="宋体" w:cs="宋体"/>
          <w:sz w:val="28"/>
        </w:rPr>
      </w:pPr>
      <w:r>
        <w:rPr>
          <w:rFonts w:hint="eastAsia" w:ascii="宋体" w:hAnsi="宋体" w:eastAsia="宋体" w:cs="宋体"/>
          <w:sz w:val="24"/>
          <w:szCs w:val="24"/>
        </w:rPr>
        <w:br w:type="page"/>
      </w:r>
      <w:r>
        <w:rPr>
          <w:rFonts w:hint="eastAsia" w:ascii="宋体" w:hAnsi="宋体" w:eastAsia="宋体" w:cs="宋体"/>
          <w:b w:val="0"/>
          <w:sz w:val="36"/>
          <w:szCs w:val="36"/>
        </w:rPr>
        <w:t>四、开标一览表（格式）</w:t>
      </w:r>
    </w:p>
    <w:p>
      <w:pPr>
        <w:ind w:left="279" w:leftChars="133"/>
        <w:rPr>
          <w:rFonts w:hint="eastAsia" w:ascii="宋体" w:hAnsi="宋体" w:cs="宋体"/>
          <w:color w:val="auto"/>
          <w:sz w:val="28"/>
          <w:szCs w:val="28"/>
        </w:rPr>
      </w:pPr>
      <w:r>
        <w:rPr>
          <w:rFonts w:hint="eastAsia" w:ascii="宋体" w:hAnsi="宋体" w:cs="宋体"/>
          <w:color w:val="auto"/>
          <w:sz w:val="28"/>
          <w:szCs w:val="28"/>
        </w:rPr>
        <w:t>项目名称：</w:t>
      </w:r>
      <w:r>
        <w:rPr>
          <w:rFonts w:hint="eastAsia" w:ascii="宋体" w:hAnsi="宋体" w:cs="宋体"/>
          <w:color w:val="auto"/>
          <w:sz w:val="28"/>
          <w:szCs w:val="28"/>
          <w:lang w:eastAsia="zh-CN"/>
        </w:rPr>
        <w:t>2022年信息系统硬件维护项目</w:t>
      </w:r>
      <w:r>
        <w:rPr>
          <w:rFonts w:hint="eastAsia" w:ascii="宋体" w:hAnsi="宋体" w:cs="宋体"/>
          <w:color w:val="auto"/>
          <w:sz w:val="28"/>
          <w:szCs w:val="28"/>
        </w:rPr>
        <w:t>项目</w:t>
      </w:r>
    </w:p>
    <w:p>
      <w:pPr>
        <w:ind w:left="279" w:leftChars="133"/>
        <w:rPr>
          <w:rFonts w:hint="eastAsia" w:ascii="宋体" w:hAnsi="宋体" w:cs="宋体"/>
          <w:color w:val="auto"/>
          <w:sz w:val="28"/>
          <w:szCs w:val="28"/>
        </w:rPr>
      </w:pPr>
      <w:r>
        <w:rPr>
          <w:rFonts w:hint="eastAsia" w:ascii="宋体" w:hAnsi="宋体" w:cs="宋体"/>
          <w:color w:val="auto"/>
          <w:sz w:val="28"/>
          <w:szCs w:val="28"/>
        </w:rPr>
        <w:t>编号：诸广顺 20**-**-**</w:t>
      </w:r>
    </w:p>
    <w:p>
      <w:pPr>
        <w:keepNext w:val="0"/>
        <w:keepLines w:val="0"/>
        <w:pageBreakBefore w:val="0"/>
        <w:widowControl w:val="0"/>
        <w:kinsoku/>
        <w:wordWrap/>
        <w:overflowPunct/>
        <w:topLinePunct w:val="0"/>
        <w:autoSpaceDE w:val="0"/>
        <w:autoSpaceDN w:val="0"/>
        <w:bidi w:val="0"/>
        <w:adjustRightInd w:val="0"/>
        <w:snapToGrid/>
        <w:jc w:val="right"/>
        <w:textAlignment w:val="auto"/>
        <w:rPr>
          <w:rFonts w:hint="default"/>
          <w:lang w:val="en-US" w:eastAsia="zh-CN"/>
        </w:rPr>
      </w:pPr>
      <w:r>
        <w:rPr>
          <w:rFonts w:hint="eastAsia"/>
          <w:lang w:val="en-US" w:eastAsia="zh-CN"/>
        </w:rPr>
        <w:t>单位：元</w:t>
      </w:r>
    </w:p>
    <w:tbl>
      <w:tblPr>
        <w:tblStyle w:val="26"/>
        <w:tblW w:w="81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940"/>
        <w:gridCol w:w="2558"/>
        <w:gridCol w:w="2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63" w:hRule="atLeast"/>
          <w:jc w:val="center"/>
        </w:trPr>
        <w:tc>
          <w:tcPr>
            <w:tcW w:w="2940" w:type="dxa"/>
            <w:vMerge w:val="restart"/>
            <w:tcBorders>
              <w:top w:val="single" w:color="000000" w:sz="8" w:space="0"/>
              <w:left w:val="single" w:color="000000" w:sz="8" w:space="0"/>
              <w:right w:val="single" w:color="000000" w:sz="8" w:space="0"/>
            </w:tcBorders>
            <w:shd w:val="clear" w:color="auto" w:fill="FFFFFF"/>
            <w:noWrap w:val="0"/>
            <w:vAlign w:val="center"/>
          </w:tcPr>
          <w:p>
            <w:pPr>
              <w:autoSpaceDE/>
              <w:autoSpaceDN/>
              <w:adjustRightInd/>
              <w:spacing w:line="360" w:lineRule="auto"/>
              <w:jc w:val="center"/>
              <w:rPr>
                <w:rFonts w:hint="eastAsia" w:ascii="宋体" w:hAnsi="宋体" w:eastAsia="宋体" w:cs="宋体"/>
                <w:b/>
                <w:bCs w:val="0"/>
                <w:color w:val="auto"/>
                <w:sz w:val="28"/>
                <w:szCs w:val="28"/>
                <w:lang w:eastAsia="zh-CN"/>
              </w:rPr>
            </w:pPr>
            <w:r>
              <w:rPr>
                <w:rFonts w:hint="eastAsia" w:ascii="宋体" w:hAnsi="宋体" w:eastAsia="宋体" w:cs="宋体"/>
                <w:b/>
                <w:bCs w:val="0"/>
                <w:color w:val="auto"/>
                <w:sz w:val="28"/>
                <w:szCs w:val="28"/>
                <w:lang w:eastAsia="zh-CN"/>
              </w:rPr>
              <w:t>标的</w:t>
            </w:r>
            <w:r>
              <w:rPr>
                <w:rFonts w:hint="eastAsia" w:ascii="宋体" w:hAnsi="宋体" w:eastAsia="宋体" w:cs="宋体"/>
                <w:b/>
                <w:bCs w:val="0"/>
                <w:color w:val="auto"/>
                <w:sz w:val="28"/>
                <w:szCs w:val="28"/>
              </w:rPr>
              <w:t>内容</w:t>
            </w:r>
          </w:p>
        </w:tc>
        <w:tc>
          <w:tcPr>
            <w:tcW w:w="5232" w:type="dxa"/>
            <w:gridSpan w:val="2"/>
            <w:tcBorders>
              <w:top w:val="single" w:color="000000" w:sz="8" w:space="0"/>
              <w:bottom w:val="single" w:color="000000" w:sz="8" w:space="0"/>
              <w:right w:val="single" w:color="000000" w:sz="8" w:space="0"/>
            </w:tcBorders>
            <w:shd w:val="clear" w:color="auto" w:fill="FFFFFF"/>
            <w:noWrap w:val="0"/>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b/>
                <w:bCs w:val="0"/>
                <w:color w:val="auto"/>
                <w:sz w:val="28"/>
                <w:szCs w:val="28"/>
                <w:lang w:val="en-US" w:eastAsia="zh-CN"/>
              </w:rPr>
            </w:pPr>
            <w:r>
              <w:rPr>
                <w:rFonts w:hint="eastAsia" w:ascii="宋体" w:hAnsi="宋体" w:eastAsia="宋体" w:cs="宋体"/>
                <w:b/>
                <w:bCs w:val="0"/>
                <w:sz w:val="28"/>
                <w:szCs w:val="28"/>
              </w:rPr>
              <w:t>投标</w:t>
            </w:r>
            <w:r>
              <w:rPr>
                <w:rFonts w:hint="eastAsia" w:cs="宋体"/>
                <w:b/>
                <w:bCs w:val="0"/>
                <w:sz w:val="28"/>
                <w:szCs w:val="28"/>
                <w:lang w:val="en-US"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63" w:hRule="atLeast"/>
          <w:jc w:val="center"/>
        </w:trPr>
        <w:tc>
          <w:tcPr>
            <w:tcW w:w="2940" w:type="dxa"/>
            <w:vMerge w:val="continue"/>
            <w:tcBorders>
              <w:left w:val="single" w:color="000000" w:sz="8" w:space="0"/>
              <w:bottom w:val="single" w:color="auto" w:sz="4" w:space="0"/>
              <w:right w:val="single" w:color="000000" w:sz="8" w:space="0"/>
            </w:tcBorders>
            <w:shd w:val="clear" w:color="auto" w:fill="FFFFFF"/>
            <w:noWrap w:val="0"/>
            <w:vAlign w:val="center"/>
          </w:tcPr>
          <w:p>
            <w:pPr>
              <w:jc w:val="center"/>
              <w:rPr>
                <w:rFonts w:hint="eastAsia" w:ascii="宋体" w:hAnsi="宋体" w:eastAsia="宋体" w:cs="宋体"/>
                <w:b/>
                <w:bCs w:val="0"/>
                <w:caps w:val="0"/>
                <w:color w:val="auto"/>
                <w:spacing w:val="0"/>
                <w:sz w:val="28"/>
                <w:szCs w:val="28"/>
              </w:rPr>
            </w:pPr>
          </w:p>
        </w:tc>
        <w:tc>
          <w:tcPr>
            <w:tcW w:w="2558" w:type="dxa"/>
            <w:tcBorders>
              <w:left w:val="single" w:color="000000" w:sz="8" w:space="0"/>
              <w:bottom w:val="single" w:color="000000" w:sz="8" w:space="0"/>
              <w:right w:val="single" w:color="000000" w:sz="8" w:space="0"/>
            </w:tcBorders>
            <w:shd w:val="clear" w:color="auto" w:fill="FFFFFF"/>
            <w:noWrap w:val="0"/>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8"/>
                <w:szCs w:val="28"/>
              </w:rPr>
            </w:pPr>
            <w:r>
              <w:rPr>
                <w:rFonts w:hint="eastAsia" w:ascii="宋体" w:hAnsi="宋体" w:eastAsia="宋体" w:cs="宋体"/>
                <w:b/>
                <w:bCs w:val="0"/>
                <w:caps w:val="0"/>
                <w:color w:val="auto"/>
                <w:spacing w:val="0"/>
                <w:sz w:val="28"/>
                <w:szCs w:val="28"/>
              </w:rPr>
              <w:t>小写</w:t>
            </w:r>
          </w:p>
        </w:tc>
        <w:tc>
          <w:tcPr>
            <w:tcW w:w="2674" w:type="dxa"/>
            <w:tcBorders>
              <w:bottom w:val="single" w:color="000000" w:sz="8" w:space="0"/>
              <w:right w:val="single" w:color="000000" w:sz="8" w:space="0"/>
            </w:tcBorders>
            <w:shd w:val="clear" w:color="auto" w:fill="FFFFFF"/>
            <w:noWrap w:val="0"/>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8"/>
                <w:szCs w:val="28"/>
              </w:rPr>
            </w:pPr>
            <w:r>
              <w:rPr>
                <w:rFonts w:hint="eastAsia" w:ascii="宋体" w:hAnsi="宋体" w:eastAsia="宋体" w:cs="宋体"/>
                <w:b/>
                <w:bCs w:val="0"/>
                <w:caps w:val="0"/>
                <w:color w:val="auto"/>
                <w:spacing w:val="0"/>
                <w:sz w:val="28"/>
                <w:szCs w:val="28"/>
              </w:rPr>
              <w:t>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57" w:hRule="atLeast"/>
          <w:jc w:val="center"/>
        </w:trPr>
        <w:tc>
          <w:tcPr>
            <w:tcW w:w="2940"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jc w:val="center"/>
              <w:rPr>
                <w:rFonts w:hint="eastAsia" w:ascii="宋体" w:hAnsi="宋体" w:eastAsia="宋体" w:cs="宋体"/>
                <w:b/>
                <w:bCs w:val="0"/>
                <w:color w:val="auto"/>
                <w:sz w:val="28"/>
                <w:szCs w:val="28"/>
                <w:lang w:eastAsia="zh-CN"/>
              </w:rPr>
            </w:pPr>
          </w:p>
        </w:tc>
        <w:tc>
          <w:tcPr>
            <w:tcW w:w="2558" w:type="dxa"/>
            <w:tcBorders>
              <w:top w:val="single" w:color="auto" w:sz="4" w:space="0"/>
              <w:bottom w:val="single" w:color="auto" w:sz="4" w:space="0"/>
              <w:right w:val="single" w:color="000000" w:sz="8" w:space="0"/>
            </w:tcBorders>
            <w:shd w:val="clear" w:color="auto" w:fill="FFFFFF"/>
            <w:noWrap w:val="0"/>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b/>
                <w:bCs w:val="0"/>
                <w:color w:val="auto"/>
                <w:sz w:val="28"/>
                <w:szCs w:val="28"/>
                <w:lang w:val="en-US" w:eastAsia="zh-CN"/>
              </w:rPr>
            </w:pPr>
          </w:p>
        </w:tc>
        <w:tc>
          <w:tcPr>
            <w:tcW w:w="2674" w:type="dxa"/>
            <w:tcBorders>
              <w:top w:val="single" w:color="auto" w:sz="4" w:space="0"/>
              <w:bottom w:val="single" w:color="auto" w:sz="4" w:space="0"/>
              <w:right w:val="single" w:color="000000" w:sz="8" w:space="0"/>
            </w:tcBorders>
            <w:shd w:val="clear" w:color="auto" w:fill="FFFFFF"/>
            <w:noWrap w:val="0"/>
            <w:vAlign w:val="center"/>
          </w:tcPr>
          <w:p>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8"/>
                <w:szCs w:val="28"/>
                <w:lang w:val="en-US" w:eastAsia="zh-CN"/>
              </w:rPr>
            </w:pPr>
          </w:p>
        </w:tc>
      </w:tr>
    </w:tbl>
    <w:p>
      <w:pPr>
        <w:pStyle w:val="23"/>
        <w:rPr>
          <w:rFonts w:hint="eastAsia" w:ascii="宋体" w:hAnsi="宋体" w:cs="宋体"/>
          <w:color w:val="auto"/>
          <w:sz w:val="28"/>
          <w:szCs w:val="28"/>
        </w:rPr>
      </w:pPr>
    </w:p>
    <w:p>
      <w:pPr>
        <w:pStyle w:val="31"/>
      </w:pPr>
    </w:p>
    <w:p>
      <w:pPr>
        <w:pStyle w:val="14"/>
        <w:rPr>
          <w:rFonts w:hint="eastAsia"/>
        </w:rPr>
      </w:pPr>
    </w:p>
    <w:p>
      <w:pPr>
        <w:ind w:firstLine="280" w:firstLineChars="100"/>
        <w:rPr>
          <w:rFonts w:ascii="宋体" w:hAnsi="宋体" w:cs="宋体"/>
          <w:color w:val="auto"/>
          <w:sz w:val="28"/>
        </w:rPr>
      </w:pPr>
      <w:r>
        <w:rPr>
          <w:rFonts w:hint="eastAsia" w:ascii="宋体" w:hAnsi="宋体" w:cs="宋体"/>
          <w:color w:val="auto"/>
          <w:sz w:val="28"/>
        </w:rPr>
        <w:t>投标人：</w:t>
      </w:r>
      <w:r>
        <w:rPr>
          <w:rFonts w:hint="eastAsia" w:ascii="宋体" w:hAnsi="宋体" w:cs="宋体"/>
          <w:color w:val="auto"/>
          <w:sz w:val="28"/>
          <w:u w:val="single"/>
        </w:rPr>
        <w:t xml:space="preserve">          （盖章）            </w:t>
      </w:r>
      <w:r>
        <w:rPr>
          <w:rFonts w:hint="eastAsia" w:ascii="宋体" w:hAnsi="宋体" w:cs="宋体"/>
          <w:color w:val="auto"/>
          <w:sz w:val="28"/>
        </w:rPr>
        <w:t xml:space="preserve">       </w:t>
      </w:r>
    </w:p>
    <w:p>
      <w:pPr>
        <w:spacing w:line="340" w:lineRule="exact"/>
        <w:ind w:firstLine="280" w:firstLineChars="100"/>
        <w:rPr>
          <w:rFonts w:ascii="宋体" w:hAnsi="宋体" w:cs="宋体"/>
          <w:color w:val="auto"/>
          <w:sz w:val="28"/>
        </w:rPr>
      </w:pPr>
    </w:p>
    <w:p>
      <w:pPr>
        <w:spacing w:line="340" w:lineRule="exact"/>
        <w:ind w:firstLine="280" w:firstLineChars="100"/>
        <w:rPr>
          <w:rFonts w:ascii="宋体" w:hAnsi="宋体" w:cs="宋体"/>
          <w:color w:val="auto"/>
          <w:sz w:val="28"/>
        </w:rPr>
      </w:pPr>
    </w:p>
    <w:p>
      <w:pPr>
        <w:spacing w:line="340" w:lineRule="exact"/>
        <w:ind w:firstLine="280" w:firstLineChars="100"/>
        <w:rPr>
          <w:rFonts w:ascii="宋体" w:hAnsi="宋体" w:cs="宋体"/>
          <w:color w:val="auto"/>
          <w:sz w:val="28"/>
        </w:rPr>
      </w:pPr>
      <w:r>
        <w:rPr>
          <w:rFonts w:hint="eastAsia" w:ascii="宋体" w:hAnsi="宋体" w:cs="宋体"/>
          <w:color w:val="auto"/>
          <w:sz w:val="28"/>
        </w:rPr>
        <w:t>日      期：     年    月    日</w:t>
      </w:r>
    </w:p>
    <w:p>
      <w:pPr>
        <w:pStyle w:val="24"/>
        <w:ind w:left="0" w:leftChars="0" w:firstLine="0" w:firstLineChars="0"/>
        <w:rPr>
          <w:rFonts w:ascii="宋体" w:hAnsi="宋体" w:cs="宋体"/>
        </w:rPr>
      </w:pPr>
    </w:p>
    <w:p>
      <w:pPr>
        <w:spacing w:line="440" w:lineRule="exact"/>
        <w:jc w:val="center"/>
        <w:rPr>
          <w:rFonts w:ascii="宋体" w:hAnsi="宋体" w:cs="宋体"/>
          <w:b/>
          <w:color w:val="auto"/>
          <w:sz w:val="36"/>
          <w:szCs w:val="36"/>
        </w:rPr>
      </w:pPr>
    </w:p>
    <w:p>
      <w:pPr>
        <w:rPr>
          <w:rFonts w:ascii="宋体" w:hAnsi="宋体" w:cs="宋体"/>
        </w:rPr>
      </w:pPr>
    </w:p>
    <w:p>
      <w:pPr>
        <w:rPr>
          <w:rFonts w:hint="eastAsia" w:ascii="宋体" w:hAnsi="宋体" w:eastAsia="宋体" w:cs="宋体"/>
          <w:b w:val="0"/>
          <w:bCs/>
          <w:color w:val="auto"/>
          <w:kern w:val="2"/>
          <w:sz w:val="36"/>
          <w:szCs w:val="36"/>
          <w:lang w:val="en-US" w:eastAsia="zh-CN" w:bidi="ar-SA"/>
        </w:rPr>
      </w:pPr>
      <w:r>
        <w:rPr>
          <w:rFonts w:hint="eastAsia" w:ascii="宋体" w:hAnsi="宋体" w:eastAsia="宋体" w:cs="宋体"/>
          <w:b w:val="0"/>
          <w:bCs/>
          <w:color w:val="auto"/>
          <w:kern w:val="2"/>
          <w:sz w:val="36"/>
          <w:szCs w:val="36"/>
          <w:lang w:val="en-US" w:eastAsia="zh-CN" w:bidi="ar-SA"/>
        </w:rPr>
        <w:br w:type="page"/>
      </w:r>
    </w:p>
    <w:p>
      <w:pPr>
        <w:numPr>
          <w:ilvl w:val="0"/>
          <w:numId w:val="0"/>
        </w:numPr>
        <w:spacing w:line="440" w:lineRule="exact"/>
        <w:jc w:val="center"/>
        <w:rPr>
          <w:rFonts w:ascii="宋体" w:hAnsi="宋体" w:cs="宋体"/>
          <w:b/>
          <w:color w:val="auto"/>
          <w:sz w:val="36"/>
          <w:szCs w:val="36"/>
        </w:rPr>
      </w:pPr>
      <w:r>
        <w:rPr>
          <w:rFonts w:hint="eastAsia" w:ascii="宋体" w:hAnsi="宋体" w:cs="宋体"/>
          <w:b/>
          <w:color w:val="auto"/>
          <w:sz w:val="36"/>
          <w:szCs w:val="36"/>
          <w:lang w:val="en-US" w:eastAsia="zh-CN"/>
        </w:rPr>
        <w:t>五、</w:t>
      </w:r>
      <w:r>
        <w:rPr>
          <w:rFonts w:hint="eastAsia" w:ascii="宋体" w:hAnsi="宋体" w:cs="宋体"/>
          <w:color w:val="auto"/>
          <w:sz w:val="36"/>
          <w:szCs w:val="36"/>
        </w:rPr>
        <w:t>投标承诺书（格式）</w:t>
      </w:r>
    </w:p>
    <w:p>
      <w:pPr>
        <w:spacing w:line="340" w:lineRule="exact"/>
        <w:ind w:firstLine="720" w:firstLineChars="200"/>
        <w:rPr>
          <w:rFonts w:ascii="宋体" w:hAnsi="宋体" w:cs="宋体"/>
          <w:color w:val="auto"/>
          <w:sz w:val="36"/>
          <w:szCs w:val="36"/>
        </w:rPr>
      </w:pPr>
    </w:p>
    <w:p>
      <w:pPr>
        <w:spacing w:line="340" w:lineRule="exact"/>
        <w:ind w:firstLine="420" w:firstLineChars="200"/>
        <w:rPr>
          <w:rFonts w:ascii="宋体" w:hAnsi="宋体" w:cs="宋体"/>
          <w:color w:val="auto"/>
        </w:rPr>
      </w:pPr>
      <w:r>
        <w:rPr>
          <w:rFonts w:hint="eastAsia" w:ascii="宋体" w:hAnsi="宋体" w:cs="宋体"/>
          <w:color w:val="auto"/>
        </w:rPr>
        <w:t>我公司已详细阅读了</w:t>
      </w:r>
      <w:r>
        <w:rPr>
          <w:rFonts w:hint="eastAsia" w:ascii="宋体" w:hAnsi="宋体" w:cs="宋体"/>
          <w:color w:val="auto"/>
          <w:u w:val="single"/>
        </w:rPr>
        <w:t xml:space="preserve">                     </w:t>
      </w:r>
      <w:r>
        <w:rPr>
          <w:rFonts w:hint="eastAsia" w:ascii="宋体" w:hAnsi="宋体" w:cs="宋体"/>
          <w:color w:val="auto"/>
        </w:rPr>
        <w:t>项目（项目编号：</w:t>
      </w:r>
      <w:r>
        <w:rPr>
          <w:rFonts w:hint="eastAsia" w:ascii="宋体" w:hAnsi="宋体" w:cs="宋体"/>
          <w:color w:val="auto"/>
          <w:u w:val="single"/>
        </w:rPr>
        <w:t xml:space="preserve">诸广顺         </w:t>
      </w:r>
      <w:r>
        <w:rPr>
          <w:rFonts w:hint="eastAsia" w:ascii="宋体" w:hAnsi="宋体" w:cs="宋体"/>
          <w:color w:val="auto"/>
        </w:rPr>
        <w:t>）招标文件，现参加该项目投标，并就有关事项作出如下承诺：</w:t>
      </w:r>
    </w:p>
    <w:p>
      <w:pPr>
        <w:spacing w:line="340" w:lineRule="exact"/>
        <w:ind w:firstLine="420" w:firstLineChars="200"/>
        <w:rPr>
          <w:rFonts w:ascii="宋体" w:hAnsi="宋体" w:cs="宋体"/>
          <w:color w:val="auto"/>
        </w:rPr>
      </w:pPr>
      <w:r>
        <w:rPr>
          <w:rFonts w:hint="eastAsia" w:ascii="宋体" w:hAnsi="宋体" w:cs="宋体"/>
          <w:color w:val="auto"/>
        </w:rPr>
        <w:t>一、我公司在该项目招投标及合同履约过程中，不会出现以下行为，否则我公司愿意接受该行为被记录为不良行为，并在不良行为记录时限内放弃在浙江浣江传媒集团投标的资格。</w:t>
      </w:r>
    </w:p>
    <w:p>
      <w:pPr>
        <w:spacing w:line="340" w:lineRule="exact"/>
        <w:ind w:firstLine="420" w:firstLineChars="200"/>
        <w:rPr>
          <w:rFonts w:ascii="宋体" w:hAnsi="宋体" w:cs="宋体"/>
          <w:color w:val="auto"/>
        </w:rPr>
      </w:pPr>
      <w:r>
        <w:rPr>
          <w:rFonts w:hint="eastAsia" w:ascii="宋体" w:hAnsi="宋体" w:cs="宋体"/>
          <w:color w:val="auto"/>
        </w:rPr>
        <w:t>（1）已报名但无故放弃投标(开标前已有书面说明并证实的除外)一年内累计3次以上的；</w:t>
      </w:r>
    </w:p>
    <w:p>
      <w:pPr>
        <w:spacing w:line="340" w:lineRule="exact"/>
        <w:ind w:firstLine="420" w:firstLineChars="200"/>
        <w:rPr>
          <w:rFonts w:ascii="宋体" w:hAnsi="宋体" w:cs="宋体"/>
          <w:color w:val="auto"/>
        </w:rPr>
      </w:pPr>
      <w:r>
        <w:rPr>
          <w:rFonts w:hint="eastAsia" w:ascii="宋体" w:hAnsi="宋体" w:cs="宋体"/>
          <w:color w:val="auto"/>
        </w:rPr>
        <w:t>（2）在招标采购过程中，与采购人进行协商谈判的；</w:t>
      </w:r>
    </w:p>
    <w:p>
      <w:pPr>
        <w:spacing w:line="340" w:lineRule="exact"/>
        <w:ind w:firstLine="420" w:firstLineChars="200"/>
        <w:rPr>
          <w:rFonts w:ascii="宋体" w:hAnsi="宋体" w:cs="宋体"/>
          <w:color w:val="auto"/>
        </w:rPr>
      </w:pPr>
      <w:r>
        <w:rPr>
          <w:rFonts w:hint="eastAsia" w:ascii="宋体" w:hAnsi="宋体" w:cs="宋体"/>
          <w:color w:val="auto"/>
        </w:rPr>
        <w:t>（3）投标有效期内撤回其投标文件的；</w:t>
      </w:r>
    </w:p>
    <w:p>
      <w:pPr>
        <w:spacing w:line="340" w:lineRule="exact"/>
        <w:ind w:firstLine="420" w:firstLineChars="200"/>
        <w:rPr>
          <w:rFonts w:ascii="宋体" w:hAnsi="宋体" w:cs="宋体"/>
          <w:color w:val="auto"/>
        </w:rPr>
      </w:pPr>
      <w:r>
        <w:rPr>
          <w:rFonts w:hint="eastAsia" w:ascii="宋体" w:hAnsi="宋体" w:cs="宋体"/>
          <w:color w:val="auto"/>
        </w:rPr>
        <w:t>（4）拒绝有关部门监督检查或提供虚假情况的；</w:t>
      </w:r>
    </w:p>
    <w:p>
      <w:pPr>
        <w:spacing w:line="340" w:lineRule="exact"/>
        <w:ind w:firstLine="420" w:firstLineChars="200"/>
        <w:rPr>
          <w:rFonts w:ascii="宋体" w:hAnsi="宋体" w:cs="宋体"/>
          <w:color w:val="auto"/>
        </w:rPr>
      </w:pPr>
      <w:r>
        <w:rPr>
          <w:rFonts w:hint="eastAsia" w:ascii="宋体" w:hAnsi="宋体" w:cs="宋体"/>
          <w:color w:val="auto"/>
        </w:rPr>
        <w:t>（5）不积极配合采购单位做好标的验收工作的；</w:t>
      </w:r>
    </w:p>
    <w:p>
      <w:pPr>
        <w:spacing w:line="340" w:lineRule="exact"/>
        <w:ind w:firstLine="420" w:firstLineChars="200"/>
        <w:rPr>
          <w:rFonts w:ascii="宋体" w:hAnsi="宋体" w:cs="宋体"/>
          <w:color w:val="auto"/>
        </w:rPr>
      </w:pPr>
      <w:r>
        <w:rPr>
          <w:rFonts w:hint="eastAsia" w:ascii="宋体" w:hAnsi="宋体" w:cs="宋体"/>
          <w:color w:val="auto"/>
        </w:rPr>
        <w:t>（6）在有关部门的监督检查或考核中被通报批评或处以警告及以上处罚的；</w:t>
      </w:r>
    </w:p>
    <w:p>
      <w:pPr>
        <w:spacing w:line="340" w:lineRule="exact"/>
        <w:ind w:firstLine="420" w:firstLineChars="200"/>
        <w:rPr>
          <w:rFonts w:ascii="宋体" w:hAnsi="宋体" w:cs="宋体"/>
          <w:color w:val="auto"/>
        </w:rPr>
      </w:pPr>
      <w:r>
        <w:rPr>
          <w:rFonts w:hint="eastAsia" w:ascii="宋体" w:hAnsi="宋体" w:cs="宋体"/>
          <w:color w:val="auto"/>
        </w:rPr>
        <w:t>（7）不遵守投标会场纪律，无理取闹，扰乱交易秩序的；</w:t>
      </w:r>
    </w:p>
    <w:p>
      <w:pPr>
        <w:spacing w:line="340" w:lineRule="exact"/>
        <w:ind w:firstLine="420" w:firstLineChars="200"/>
        <w:rPr>
          <w:rFonts w:ascii="宋体" w:hAnsi="宋体" w:cs="宋体"/>
          <w:color w:val="auto"/>
        </w:rPr>
      </w:pPr>
      <w:r>
        <w:rPr>
          <w:rFonts w:hint="eastAsia" w:ascii="宋体" w:hAnsi="宋体" w:cs="宋体"/>
          <w:color w:val="auto"/>
        </w:rPr>
        <w:t>（8）中标后无正当理由放弃中标，或不与采购人签订采购合同，或在签订合同时提出附加条件或更改合同实质性内容，或拒不提交所要求的履约保证金的；</w:t>
      </w:r>
    </w:p>
    <w:p>
      <w:pPr>
        <w:spacing w:line="340" w:lineRule="exact"/>
        <w:ind w:firstLine="420" w:firstLineChars="200"/>
        <w:rPr>
          <w:rFonts w:ascii="宋体" w:hAnsi="宋体" w:cs="宋体"/>
          <w:color w:val="auto"/>
        </w:rPr>
      </w:pPr>
      <w:r>
        <w:rPr>
          <w:rFonts w:hint="eastAsia" w:ascii="宋体" w:hAnsi="宋体" w:cs="宋体"/>
          <w:color w:val="auto"/>
        </w:rPr>
        <w:t>（9）虚假投诉、恶意投诉或未按层级和相关程序逐级质疑、投诉而影响采购工作正常进行或造成不良影响的；</w:t>
      </w:r>
    </w:p>
    <w:p>
      <w:pPr>
        <w:spacing w:line="340" w:lineRule="exact"/>
        <w:ind w:firstLine="420" w:firstLineChars="200"/>
        <w:rPr>
          <w:rFonts w:ascii="宋体" w:hAnsi="宋体" w:cs="宋体"/>
          <w:color w:val="auto"/>
        </w:rPr>
      </w:pPr>
      <w:r>
        <w:rPr>
          <w:rFonts w:hint="eastAsia" w:ascii="宋体" w:hAnsi="宋体" w:cs="宋体"/>
          <w:color w:val="auto"/>
        </w:rPr>
        <w:t>（10）不按照与采购人订立的合同履行义务（包括提供标的、售后服务、技术支持等），严重违反合同规定和廉政合同要求的；</w:t>
      </w:r>
    </w:p>
    <w:p>
      <w:pPr>
        <w:spacing w:line="340" w:lineRule="exact"/>
        <w:ind w:firstLine="420" w:firstLineChars="200"/>
        <w:rPr>
          <w:rFonts w:ascii="宋体" w:hAnsi="宋体" w:cs="宋体"/>
          <w:color w:val="auto"/>
        </w:rPr>
      </w:pPr>
      <w:r>
        <w:rPr>
          <w:rFonts w:hint="eastAsia" w:ascii="宋体" w:hAnsi="宋体" w:cs="宋体"/>
          <w:color w:val="auto"/>
        </w:rPr>
        <w:t>（11）项目负责人不到位，或擅自变换项目负责人，或不认真履行职责造成采购人损失的；</w:t>
      </w:r>
    </w:p>
    <w:p>
      <w:pPr>
        <w:spacing w:line="340" w:lineRule="exact"/>
        <w:ind w:firstLine="420" w:firstLineChars="200"/>
        <w:rPr>
          <w:rFonts w:ascii="宋体" w:hAnsi="宋体" w:cs="宋体"/>
          <w:color w:val="auto"/>
        </w:rPr>
      </w:pPr>
      <w:r>
        <w:rPr>
          <w:rFonts w:hint="eastAsia" w:ascii="宋体" w:hAnsi="宋体" w:cs="宋体"/>
          <w:color w:val="auto"/>
        </w:rPr>
        <w:t>（12）发生经营状况重大变化以及重要担保、重大合同纠纷或诉讼、信用等级和资质变化等可能影响履约能力的重大事项，未及时向浙江浣江传媒集团提供书面报告，因而造成采购人损失的；</w:t>
      </w:r>
    </w:p>
    <w:p>
      <w:pPr>
        <w:spacing w:line="340" w:lineRule="exact"/>
        <w:ind w:firstLine="420" w:firstLineChars="200"/>
        <w:rPr>
          <w:rFonts w:ascii="宋体" w:hAnsi="宋体" w:cs="宋体"/>
          <w:color w:val="auto"/>
        </w:rPr>
      </w:pPr>
      <w:r>
        <w:rPr>
          <w:rFonts w:hint="eastAsia" w:ascii="宋体" w:hAnsi="宋体" w:cs="宋体"/>
          <w:color w:val="auto"/>
        </w:rPr>
        <w:t>（13）与采购人、其他供应商或者采购代理机构相互串通的；</w:t>
      </w:r>
    </w:p>
    <w:p>
      <w:pPr>
        <w:spacing w:line="340" w:lineRule="exact"/>
        <w:ind w:firstLine="420" w:firstLineChars="200"/>
        <w:rPr>
          <w:rFonts w:ascii="宋体" w:hAnsi="宋体" w:cs="宋体"/>
          <w:color w:val="auto"/>
        </w:rPr>
      </w:pPr>
      <w:r>
        <w:rPr>
          <w:rFonts w:hint="eastAsia" w:ascii="宋体" w:hAnsi="宋体" w:cs="宋体"/>
          <w:color w:val="auto"/>
        </w:rPr>
        <w:t>（14）采取不正当手段排挤其他供应商，进行不公平竞争的；</w:t>
      </w:r>
    </w:p>
    <w:p>
      <w:pPr>
        <w:spacing w:line="340" w:lineRule="exact"/>
        <w:ind w:firstLine="420" w:firstLineChars="200"/>
        <w:rPr>
          <w:rFonts w:ascii="宋体" w:hAnsi="宋体" w:cs="宋体"/>
          <w:color w:val="auto"/>
        </w:rPr>
      </w:pPr>
      <w:r>
        <w:rPr>
          <w:rFonts w:hint="eastAsia" w:ascii="宋体" w:hAnsi="宋体" w:cs="宋体"/>
          <w:color w:val="auto"/>
        </w:rPr>
        <w:t>（15）中标后与采购人另行订立背离合同实质内容的协议的；</w:t>
      </w:r>
    </w:p>
    <w:p>
      <w:pPr>
        <w:spacing w:line="340" w:lineRule="exact"/>
        <w:ind w:firstLine="420" w:firstLineChars="200"/>
        <w:rPr>
          <w:rFonts w:ascii="宋体" w:hAnsi="宋体" w:cs="宋体"/>
          <w:color w:val="auto"/>
        </w:rPr>
      </w:pPr>
      <w:r>
        <w:rPr>
          <w:rFonts w:hint="eastAsia" w:ascii="宋体" w:hAnsi="宋体" w:cs="宋体"/>
          <w:color w:val="auto"/>
        </w:rPr>
        <w:t>（16）事先有承诺，而事后违反承诺内容的；</w:t>
      </w:r>
    </w:p>
    <w:p>
      <w:pPr>
        <w:spacing w:line="340" w:lineRule="exact"/>
        <w:ind w:firstLine="420" w:firstLineChars="200"/>
        <w:rPr>
          <w:rFonts w:ascii="宋体" w:hAnsi="宋体" w:cs="宋体"/>
          <w:color w:val="auto"/>
        </w:rPr>
      </w:pPr>
      <w:r>
        <w:rPr>
          <w:rFonts w:hint="eastAsia" w:ascii="宋体" w:hAnsi="宋体" w:cs="宋体"/>
          <w:color w:val="auto"/>
        </w:rPr>
        <w:t>（17）将中标项目转包或违反规定进行分包的；</w:t>
      </w:r>
    </w:p>
    <w:p>
      <w:pPr>
        <w:spacing w:line="340" w:lineRule="exact"/>
        <w:ind w:firstLine="420" w:firstLineChars="200"/>
        <w:rPr>
          <w:rFonts w:ascii="宋体" w:hAnsi="宋体" w:cs="宋体"/>
          <w:color w:val="auto"/>
        </w:rPr>
      </w:pPr>
      <w:r>
        <w:rPr>
          <w:rFonts w:hint="eastAsia" w:ascii="宋体" w:hAnsi="宋体" w:cs="宋体"/>
          <w:color w:val="auto"/>
        </w:rPr>
        <w:t>（18）以他人名义投标或允许他人以自己名义投标，或者以其他方式弄虚作假的；</w:t>
      </w:r>
    </w:p>
    <w:p>
      <w:pPr>
        <w:spacing w:line="340" w:lineRule="exact"/>
        <w:ind w:firstLine="420" w:firstLineChars="200"/>
        <w:rPr>
          <w:rFonts w:ascii="宋体" w:hAnsi="宋体" w:cs="宋体"/>
          <w:color w:val="auto"/>
        </w:rPr>
      </w:pPr>
      <w:r>
        <w:rPr>
          <w:rFonts w:hint="eastAsia" w:ascii="宋体" w:hAnsi="宋体" w:cs="宋体"/>
          <w:color w:val="auto"/>
        </w:rPr>
        <w:t>（19）未按照采购合同约定及时提供全部货物的，或无故拖延工期的；</w:t>
      </w:r>
    </w:p>
    <w:p>
      <w:pPr>
        <w:spacing w:line="340" w:lineRule="exact"/>
        <w:ind w:firstLine="420" w:firstLineChars="200"/>
        <w:rPr>
          <w:rFonts w:ascii="宋体" w:hAnsi="宋体" w:cs="宋体"/>
          <w:color w:val="auto"/>
        </w:rPr>
      </w:pPr>
      <w:r>
        <w:rPr>
          <w:rFonts w:hint="eastAsia" w:ascii="宋体" w:hAnsi="宋体" w:cs="宋体"/>
          <w:color w:val="auto"/>
        </w:rPr>
        <w:t>（20）无故不提供中标要求的型号、配置等产品的，或有拆换、调换、截留产品零部件和备品备件的行为的；</w:t>
      </w:r>
    </w:p>
    <w:p>
      <w:pPr>
        <w:spacing w:line="340" w:lineRule="exact"/>
        <w:ind w:firstLine="420" w:firstLineChars="200"/>
        <w:rPr>
          <w:rFonts w:ascii="宋体" w:hAnsi="宋体" w:cs="宋体"/>
          <w:color w:val="auto"/>
        </w:rPr>
      </w:pPr>
      <w:r>
        <w:rPr>
          <w:rFonts w:hint="eastAsia" w:ascii="宋体" w:hAnsi="宋体" w:cs="宋体"/>
          <w:color w:val="auto"/>
        </w:rPr>
        <w:t>（21）为获取自身利益，向采购人及其他有利害关系的单位或个人提供不正当利益的；</w:t>
      </w:r>
    </w:p>
    <w:p>
      <w:pPr>
        <w:spacing w:line="340" w:lineRule="exact"/>
        <w:ind w:firstLine="420" w:firstLineChars="200"/>
        <w:rPr>
          <w:rFonts w:ascii="宋体" w:hAnsi="宋体" w:cs="宋体"/>
          <w:color w:val="auto"/>
        </w:rPr>
      </w:pPr>
      <w:r>
        <w:rPr>
          <w:rFonts w:hint="eastAsia" w:ascii="宋体" w:hAnsi="宋体" w:cs="宋体"/>
          <w:color w:val="auto"/>
        </w:rPr>
        <w:t>（22）提供假冒伪劣产品或走私物品的；</w:t>
      </w:r>
    </w:p>
    <w:p>
      <w:pPr>
        <w:spacing w:line="340" w:lineRule="exact"/>
        <w:ind w:firstLine="420" w:firstLineChars="200"/>
        <w:rPr>
          <w:rFonts w:ascii="宋体" w:hAnsi="宋体" w:cs="宋体"/>
          <w:color w:val="auto"/>
        </w:rPr>
      </w:pPr>
      <w:r>
        <w:rPr>
          <w:rFonts w:hint="eastAsia" w:ascii="宋体" w:hAnsi="宋体" w:cs="宋体"/>
          <w:color w:val="auto"/>
        </w:rPr>
        <w:t>（23）擅自变更、中止、终止或解除采购合同的；</w:t>
      </w:r>
    </w:p>
    <w:p>
      <w:pPr>
        <w:spacing w:line="340" w:lineRule="exact"/>
        <w:ind w:firstLine="420" w:firstLineChars="200"/>
        <w:rPr>
          <w:rFonts w:ascii="宋体" w:hAnsi="宋体" w:cs="宋体"/>
          <w:color w:val="auto"/>
        </w:rPr>
      </w:pPr>
      <w:r>
        <w:rPr>
          <w:rFonts w:hint="eastAsia" w:ascii="宋体" w:hAnsi="宋体" w:cs="宋体"/>
          <w:color w:val="auto"/>
        </w:rPr>
        <w:t>（24）向有关人员行贿或者提供不正当利益谋取中标的；</w:t>
      </w:r>
    </w:p>
    <w:p>
      <w:pPr>
        <w:spacing w:line="340" w:lineRule="exact"/>
        <w:ind w:firstLine="420" w:firstLineChars="200"/>
        <w:rPr>
          <w:rFonts w:ascii="宋体" w:hAnsi="宋体" w:cs="宋体"/>
          <w:color w:val="auto"/>
        </w:rPr>
      </w:pPr>
      <w:r>
        <w:rPr>
          <w:rFonts w:hint="eastAsia" w:ascii="宋体" w:hAnsi="宋体" w:cs="宋体"/>
          <w:color w:val="auto"/>
        </w:rPr>
        <w:t>（25）在采购活动期间，对管理机构、采购人、其他投标人、评标专家、中介机构等采购相关机构和人员，采取诋毁、诽谤、胁迫、暴力等不正当手段的；</w:t>
      </w:r>
    </w:p>
    <w:p>
      <w:pPr>
        <w:spacing w:line="340" w:lineRule="exact"/>
        <w:ind w:firstLine="420" w:firstLineChars="200"/>
        <w:rPr>
          <w:rFonts w:ascii="宋体" w:hAnsi="宋体" w:cs="宋体"/>
          <w:color w:val="auto"/>
        </w:rPr>
      </w:pPr>
      <w:r>
        <w:rPr>
          <w:rFonts w:hint="eastAsia" w:ascii="宋体" w:hAnsi="宋体" w:cs="宋体"/>
          <w:color w:val="auto"/>
        </w:rPr>
        <w:t>（26）浙江浣江传媒集团有限公司认定的其他违反采购管理的行为。</w:t>
      </w:r>
    </w:p>
    <w:p>
      <w:pPr>
        <w:spacing w:line="340" w:lineRule="exact"/>
        <w:ind w:firstLine="420" w:firstLineChars="200"/>
        <w:rPr>
          <w:rFonts w:ascii="宋体" w:hAnsi="宋体" w:cs="宋体"/>
          <w:color w:val="auto"/>
        </w:rPr>
      </w:pPr>
      <w:r>
        <w:rPr>
          <w:rFonts w:hint="eastAsia" w:ascii="宋体" w:hAnsi="宋体" w:cs="宋体"/>
          <w:color w:val="auto"/>
        </w:rPr>
        <w:t>出现（1）~（6）行为之一，记录时限为6个月；出现（7）~（12）行为之一，记录时限为1年；出现（13）~（17）行为之一，记录时限为2年；出现（18）~（21）行为之一，记录时限为3年；出现（22）~（25）行为之一，记录时限为5年；出现（26）行为，酌情处理。时限以被记录为不良行为之日起算，在记录时限内再次被计为不良行为的，记录时限应从上次记录时限截止日起算。</w:t>
      </w:r>
    </w:p>
    <w:p>
      <w:pPr>
        <w:spacing w:line="340" w:lineRule="exact"/>
        <w:ind w:left="420"/>
        <w:rPr>
          <w:rFonts w:ascii="宋体" w:hAnsi="宋体" w:cs="宋体"/>
          <w:color w:val="auto"/>
        </w:rPr>
      </w:pPr>
      <w:r>
        <w:rPr>
          <w:rFonts w:hint="eastAsia" w:ascii="宋体" w:hAnsi="宋体" w:cs="宋体"/>
          <w:color w:val="auto"/>
        </w:rPr>
        <w:t>二、我公司承诺接受采购文件及澄清修改部分（如有）的全部条款（包括响应文件递交截止时间、保证金、资格条件、评审成交标准以及采购需求等其他所有条款）且无任何异议。如果我公司在递交响应文件后还对采购文件提出质疑的，愿意接受相关部门依法做出的处罚决定。</w:t>
      </w:r>
    </w:p>
    <w:p>
      <w:pPr>
        <w:spacing w:line="340" w:lineRule="exact"/>
        <w:ind w:left="420"/>
        <w:rPr>
          <w:rFonts w:ascii="宋体" w:hAnsi="宋体" w:cs="宋体"/>
          <w:color w:val="auto"/>
        </w:rPr>
      </w:pPr>
      <w:r>
        <w:rPr>
          <w:rFonts w:hint="eastAsia" w:ascii="宋体" w:hAnsi="宋体" w:cs="宋体"/>
          <w:color w:val="auto"/>
        </w:rPr>
        <w:t>三、我公司及其他利害关系人如对该项目的中标公示有异议，将在采购文件规定的公示期限内提出符合以下条件的有效质疑，否则我公司愿意接受相关部门不予受理的决定。</w:t>
      </w:r>
    </w:p>
    <w:p>
      <w:pPr>
        <w:spacing w:line="340" w:lineRule="exact"/>
        <w:ind w:firstLine="420" w:firstLineChars="200"/>
        <w:rPr>
          <w:rFonts w:ascii="宋体" w:hAnsi="宋体" w:cs="宋体"/>
          <w:color w:val="auto"/>
        </w:rPr>
      </w:pPr>
      <w:r>
        <w:rPr>
          <w:rFonts w:hint="eastAsia" w:ascii="宋体" w:hAnsi="宋体" w:cs="宋体"/>
          <w:color w:val="auto"/>
        </w:rPr>
        <w:t>1、质疑人须为采购响应人和其他利害关系人；</w:t>
      </w:r>
    </w:p>
    <w:p>
      <w:pPr>
        <w:spacing w:line="340" w:lineRule="exact"/>
        <w:ind w:firstLine="420" w:firstLineChars="200"/>
        <w:rPr>
          <w:rFonts w:ascii="宋体" w:hAnsi="宋体" w:cs="宋体"/>
          <w:color w:val="auto"/>
        </w:rPr>
      </w:pPr>
      <w:r>
        <w:rPr>
          <w:rFonts w:hint="eastAsia" w:ascii="宋体" w:hAnsi="宋体" w:cs="宋体"/>
          <w:color w:val="auto"/>
        </w:rPr>
        <w:t>2、投诉时，应当递交质疑书，质疑书应当包括下列内容：</w:t>
      </w:r>
    </w:p>
    <w:p>
      <w:pPr>
        <w:spacing w:line="340" w:lineRule="exact"/>
        <w:ind w:firstLine="420" w:firstLineChars="200"/>
        <w:rPr>
          <w:rFonts w:ascii="宋体" w:hAnsi="宋体" w:cs="宋体"/>
          <w:color w:val="auto"/>
        </w:rPr>
      </w:pPr>
      <w:r>
        <w:rPr>
          <w:rFonts w:hint="eastAsia" w:ascii="宋体" w:hAnsi="宋体" w:cs="宋体"/>
          <w:color w:val="auto"/>
        </w:rPr>
        <w:t>（1）质疑人的名称、地址及有效联系方式；</w:t>
      </w:r>
    </w:p>
    <w:p>
      <w:pPr>
        <w:spacing w:line="340" w:lineRule="exact"/>
        <w:ind w:firstLine="420" w:firstLineChars="200"/>
        <w:rPr>
          <w:rFonts w:ascii="宋体" w:hAnsi="宋体" w:cs="宋体"/>
          <w:color w:val="auto"/>
        </w:rPr>
      </w:pPr>
      <w:r>
        <w:rPr>
          <w:rFonts w:hint="eastAsia" w:ascii="宋体" w:hAnsi="宋体" w:cs="宋体"/>
          <w:color w:val="auto"/>
        </w:rPr>
        <w:t>（2）被质疑人的名称、地址及联系方式；</w:t>
      </w:r>
    </w:p>
    <w:p>
      <w:pPr>
        <w:spacing w:line="340" w:lineRule="exact"/>
        <w:ind w:firstLine="420" w:firstLineChars="200"/>
        <w:rPr>
          <w:rFonts w:ascii="宋体" w:hAnsi="宋体" w:cs="宋体"/>
          <w:color w:val="auto"/>
        </w:rPr>
      </w:pPr>
      <w:r>
        <w:rPr>
          <w:rFonts w:hint="eastAsia" w:ascii="宋体" w:hAnsi="宋体" w:cs="宋体"/>
          <w:color w:val="auto"/>
        </w:rPr>
        <w:t>（3）质疑事项的基本事实；</w:t>
      </w:r>
    </w:p>
    <w:p>
      <w:pPr>
        <w:spacing w:line="340" w:lineRule="exact"/>
        <w:ind w:firstLine="420" w:firstLineChars="200"/>
        <w:rPr>
          <w:rFonts w:ascii="宋体" w:hAnsi="宋体" w:cs="宋体"/>
          <w:color w:val="auto"/>
        </w:rPr>
      </w:pPr>
      <w:r>
        <w:rPr>
          <w:rFonts w:hint="eastAsia" w:ascii="宋体" w:hAnsi="宋体" w:cs="宋体"/>
          <w:color w:val="auto"/>
        </w:rPr>
        <w:t>（4）相关请求及主张；</w:t>
      </w:r>
    </w:p>
    <w:p>
      <w:pPr>
        <w:spacing w:line="340" w:lineRule="exact"/>
        <w:ind w:firstLine="420" w:firstLineChars="200"/>
        <w:rPr>
          <w:rFonts w:ascii="宋体" w:hAnsi="宋体" w:cs="宋体"/>
          <w:color w:val="auto"/>
        </w:rPr>
      </w:pPr>
      <w:r>
        <w:rPr>
          <w:rFonts w:hint="eastAsia" w:ascii="宋体" w:hAnsi="宋体" w:cs="宋体"/>
          <w:color w:val="auto"/>
        </w:rPr>
        <w:t>（5）有效线索和相关证明材料；</w:t>
      </w:r>
    </w:p>
    <w:p>
      <w:pPr>
        <w:spacing w:line="340" w:lineRule="exact"/>
        <w:ind w:firstLine="420" w:firstLineChars="200"/>
        <w:rPr>
          <w:rFonts w:ascii="宋体" w:hAnsi="宋体" w:cs="宋体"/>
          <w:color w:val="auto"/>
        </w:rPr>
      </w:pPr>
      <w:r>
        <w:rPr>
          <w:rFonts w:hint="eastAsia" w:ascii="宋体" w:hAnsi="宋体" w:cs="宋体"/>
          <w:color w:val="auto"/>
        </w:rPr>
        <w:t>（6）质疑人是法人的，质疑书必须由其法定代表人或者授权代表签字并加盖公章；其他组织或者个人质疑的，质疑书必须由其主要负责人或者质疑人本人签字，并附有效身份证明复印件。</w:t>
      </w:r>
    </w:p>
    <w:p>
      <w:pPr>
        <w:spacing w:line="340" w:lineRule="exact"/>
        <w:ind w:firstLine="723" w:firstLineChars="400"/>
        <w:rPr>
          <w:rFonts w:ascii="宋体" w:hAnsi="宋体" w:cs="宋体"/>
          <w:b/>
          <w:color w:val="auto"/>
          <w:sz w:val="18"/>
          <w:szCs w:val="18"/>
        </w:rPr>
      </w:pPr>
    </w:p>
    <w:p>
      <w:pPr>
        <w:spacing w:line="340" w:lineRule="exact"/>
        <w:ind w:firstLine="840" w:firstLineChars="400"/>
        <w:rPr>
          <w:rFonts w:ascii="宋体" w:hAnsi="宋体" w:cs="宋体"/>
          <w:color w:val="auto"/>
        </w:rPr>
      </w:pPr>
    </w:p>
    <w:p>
      <w:pPr>
        <w:spacing w:line="340" w:lineRule="exact"/>
        <w:ind w:firstLine="840" w:firstLineChars="400"/>
        <w:rPr>
          <w:rFonts w:ascii="宋体" w:hAnsi="宋体" w:cs="宋体"/>
          <w:color w:val="auto"/>
        </w:rPr>
      </w:pPr>
    </w:p>
    <w:p>
      <w:pPr>
        <w:rPr>
          <w:rFonts w:ascii="宋体" w:hAnsi="宋体" w:cs="宋体"/>
          <w:color w:val="auto"/>
          <w:sz w:val="28"/>
        </w:rPr>
      </w:pPr>
      <w:r>
        <w:rPr>
          <w:rFonts w:hint="eastAsia" w:ascii="宋体" w:hAnsi="宋体" w:cs="宋体"/>
          <w:color w:val="auto"/>
          <w:sz w:val="28"/>
        </w:rPr>
        <w:t>投标人（盖章）：</w:t>
      </w:r>
      <w:r>
        <w:rPr>
          <w:rFonts w:hint="eastAsia" w:ascii="宋体" w:hAnsi="宋体" w:cs="宋体"/>
          <w:color w:val="auto"/>
          <w:sz w:val="28"/>
          <w:u w:val="single"/>
        </w:rPr>
        <w:t xml:space="preserve">                                      </w:t>
      </w:r>
      <w:r>
        <w:rPr>
          <w:rFonts w:hint="eastAsia" w:ascii="宋体" w:hAnsi="宋体" w:cs="宋体"/>
          <w:color w:val="auto"/>
          <w:sz w:val="28"/>
        </w:rPr>
        <w:t xml:space="preserve">      </w:t>
      </w:r>
    </w:p>
    <w:p>
      <w:pPr>
        <w:rPr>
          <w:rFonts w:ascii="宋体" w:hAnsi="宋体" w:cs="宋体"/>
          <w:color w:val="auto"/>
          <w:sz w:val="28"/>
        </w:rPr>
      </w:pPr>
    </w:p>
    <w:p>
      <w:pPr>
        <w:spacing w:line="340" w:lineRule="exact"/>
        <w:rPr>
          <w:rFonts w:ascii="宋体" w:hAnsi="宋体" w:cs="宋体"/>
          <w:color w:val="auto"/>
          <w:sz w:val="28"/>
        </w:rPr>
      </w:pPr>
    </w:p>
    <w:p>
      <w:pPr>
        <w:spacing w:line="340" w:lineRule="exact"/>
        <w:rPr>
          <w:rFonts w:ascii="宋体" w:hAnsi="宋体" w:cs="宋体"/>
          <w:color w:val="auto"/>
          <w:sz w:val="28"/>
        </w:rPr>
      </w:pPr>
    </w:p>
    <w:p>
      <w:pPr>
        <w:spacing w:line="340" w:lineRule="exact"/>
        <w:rPr>
          <w:rFonts w:ascii="宋体" w:hAnsi="宋体" w:cs="宋体"/>
          <w:color w:val="auto"/>
          <w:sz w:val="28"/>
        </w:rPr>
      </w:pPr>
      <w:r>
        <w:rPr>
          <w:rFonts w:hint="eastAsia" w:ascii="宋体" w:hAnsi="宋体" w:cs="宋体"/>
          <w:color w:val="auto"/>
          <w:sz w:val="28"/>
        </w:rPr>
        <w:t>日      期：     年    月    日</w:t>
      </w:r>
    </w:p>
    <w:p>
      <w:pPr>
        <w:spacing w:line="560" w:lineRule="exact"/>
        <w:ind w:firstLine="560" w:firstLineChars="200"/>
        <w:rPr>
          <w:rFonts w:ascii="宋体" w:hAnsi="宋体" w:cs="宋体"/>
          <w:color w:val="auto"/>
          <w:sz w:val="28"/>
        </w:rPr>
      </w:pPr>
    </w:p>
    <w:p>
      <w:pPr>
        <w:spacing w:line="360" w:lineRule="auto"/>
        <w:ind w:firstLine="480" w:firstLineChars="200"/>
        <w:rPr>
          <w:rFonts w:ascii="宋体" w:hAnsi="宋体" w:cs="宋体"/>
          <w:color w:val="auto"/>
          <w:sz w:val="24"/>
          <w:szCs w:val="24"/>
        </w:rPr>
      </w:pPr>
    </w:p>
    <w:p>
      <w:pPr>
        <w:rPr>
          <w:rFonts w:ascii="宋体" w:hAnsi="宋体" w:cs="宋体"/>
          <w:color w:val="auto"/>
        </w:rPr>
      </w:pPr>
    </w:p>
    <w:p>
      <w:pPr>
        <w:rPr>
          <w:rFonts w:ascii="宋体" w:hAnsi="宋体" w:cs="宋体"/>
          <w:color w:val="auto"/>
          <w:sz w:val="36"/>
          <w:szCs w:val="36"/>
        </w:rPr>
      </w:pPr>
    </w:p>
    <w:p>
      <w:pPr>
        <w:rPr>
          <w:rFonts w:hint="eastAsia" w:ascii="宋体" w:hAnsi="宋体" w:cs="宋体"/>
          <w:color w:val="auto"/>
          <w:sz w:val="36"/>
          <w:szCs w:val="36"/>
          <w:lang w:val="en-US" w:eastAsia="zh-CN"/>
        </w:rPr>
      </w:pPr>
      <w:r>
        <w:rPr>
          <w:rFonts w:hint="eastAsia" w:ascii="宋体" w:hAnsi="宋体" w:cs="宋体"/>
          <w:color w:val="auto"/>
          <w:sz w:val="36"/>
          <w:szCs w:val="36"/>
          <w:lang w:val="en-US" w:eastAsia="zh-CN"/>
        </w:rPr>
        <w:br w:type="page"/>
      </w:r>
    </w:p>
    <w:p>
      <w:pPr>
        <w:jc w:val="center"/>
        <w:rPr>
          <w:rFonts w:ascii="宋体" w:hAnsi="宋体" w:cs="宋体"/>
          <w:color w:val="auto"/>
          <w:sz w:val="36"/>
          <w:szCs w:val="36"/>
        </w:rPr>
      </w:pPr>
      <w:r>
        <w:rPr>
          <w:rFonts w:hint="eastAsia" w:ascii="宋体" w:hAnsi="宋体" w:cs="宋体"/>
          <w:color w:val="auto"/>
          <w:sz w:val="36"/>
          <w:szCs w:val="36"/>
          <w:lang w:val="en-US" w:eastAsia="zh-CN"/>
        </w:rPr>
        <w:t>六</w:t>
      </w:r>
      <w:r>
        <w:rPr>
          <w:rFonts w:hint="eastAsia" w:ascii="宋体" w:hAnsi="宋体" w:cs="宋体"/>
          <w:color w:val="auto"/>
          <w:sz w:val="36"/>
          <w:szCs w:val="36"/>
        </w:rPr>
        <w:t>、技 术 偏 离 表</w:t>
      </w:r>
    </w:p>
    <w:tbl>
      <w:tblPr>
        <w:tblStyle w:val="2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60"/>
        <w:gridCol w:w="2762"/>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6"/>
              <w:spacing w:line="400" w:lineRule="atLeast"/>
              <w:jc w:val="center"/>
              <w:rPr>
                <w:rFonts w:ascii="宋体" w:hAnsi="宋体" w:cs="宋体"/>
                <w:szCs w:val="24"/>
              </w:rPr>
            </w:pPr>
            <w:r>
              <w:rPr>
                <w:rFonts w:hint="eastAsia" w:ascii="宋体" w:hAnsi="宋体" w:cs="宋体"/>
                <w:szCs w:val="24"/>
              </w:rPr>
              <w:t>内容</w:t>
            </w:r>
          </w:p>
        </w:tc>
        <w:tc>
          <w:tcPr>
            <w:tcW w:w="2960" w:type="dxa"/>
            <w:vAlign w:val="center"/>
          </w:tcPr>
          <w:p>
            <w:pPr>
              <w:pStyle w:val="16"/>
              <w:spacing w:line="400" w:lineRule="atLeast"/>
              <w:jc w:val="center"/>
              <w:rPr>
                <w:rFonts w:ascii="宋体" w:hAnsi="宋体" w:cs="宋体"/>
                <w:szCs w:val="24"/>
              </w:rPr>
            </w:pPr>
            <w:r>
              <w:rPr>
                <w:rFonts w:hint="eastAsia" w:ascii="宋体" w:hAnsi="宋体" w:cs="宋体"/>
                <w:szCs w:val="24"/>
              </w:rPr>
              <w:t>招标文件</w:t>
            </w:r>
          </w:p>
          <w:p>
            <w:pPr>
              <w:pStyle w:val="16"/>
              <w:spacing w:line="400" w:lineRule="atLeast"/>
              <w:jc w:val="center"/>
              <w:rPr>
                <w:rFonts w:ascii="宋体" w:hAnsi="宋体" w:cs="宋体"/>
                <w:szCs w:val="24"/>
              </w:rPr>
            </w:pPr>
            <w:r>
              <w:rPr>
                <w:rFonts w:hint="eastAsia" w:ascii="宋体" w:hAnsi="宋体" w:cs="宋体"/>
                <w:szCs w:val="24"/>
              </w:rPr>
              <w:t>规范要求</w:t>
            </w:r>
          </w:p>
        </w:tc>
        <w:tc>
          <w:tcPr>
            <w:tcW w:w="2762" w:type="dxa"/>
            <w:vAlign w:val="center"/>
          </w:tcPr>
          <w:p>
            <w:pPr>
              <w:pStyle w:val="16"/>
              <w:spacing w:line="400" w:lineRule="atLeast"/>
              <w:jc w:val="center"/>
              <w:rPr>
                <w:rFonts w:ascii="宋体" w:hAnsi="宋体" w:cs="宋体"/>
                <w:szCs w:val="24"/>
              </w:rPr>
            </w:pPr>
            <w:r>
              <w:rPr>
                <w:rFonts w:hint="eastAsia" w:ascii="宋体" w:hAnsi="宋体" w:cs="宋体"/>
                <w:szCs w:val="24"/>
              </w:rPr>
              <w:t>投标文件</w:t>
            </w:r>
          </w:p>
          <w:p>
            <w:pPr>
              <w:pStyle w:val="16"/>
              <w:spacing w:line="400" w:lineRule="atLeast"/>
              <w:jc w:val="center"/>
              <w:rPr>
                <w:rFonts w:ascii="宋体" w:hAnsi="宋体" w:cs="宋体"/>
                <w:szCs w:val="24"/>
              </w:rPr>
            </w:pPr>
            <w:r>
              <w:rPr>
                <w:rFonts w:hint="eastAsia" w:ascii="宋体" w:hAnsi="宋体" w:cs="宋体"/>
                <w:szCs w:val="24"/>
              </w:rPr>
              <w:t>对应规范</w:t>
            </w:r>
          </w:p>
        </w:tc>
        <w:tc>
          <w:tcPr>
            <w:tcW w:w="1557" w:type="dxa"/>
            <w:vAlign w:val="center"/>
          </w:tcPr>
          <w:p>
            <w:pPr>
              <w:pStyle w:val="16"/>
              <w:spacing w:line="400" w:lineRule="atLeast"/>
              <w:jc w:val="center"/>
              <w:rPr>
                <w:rFonts w:ascii="宋体" w:hAnsi="宋体" w:cs="宋体"/>
                <w:szCs w:val="24"/>
              </w:rPr>
            </w:pPr>
            <w:r>
              <w:rPr>
                <w:rFonts w:hint="eastAsia" w:ascii="宋体" w:hAnsi="宋体" w:cs="宋体"/>
                <w:szCs w:val="24"/>
              </w:rPr>
              <w:t xml:space="preserve"> 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6"/>
              <w:spacing w:line="400" w:lineRule="atLeast"/>
              <w:jc w:val="center"/>
              <w:rPr>
                <w:rFonts w:ascii="宋体" w:hAnsi="宋体" w:cs="宋体"/>
                <w:szCs w:val="24"/>
              </w:rPr>
            </w:pPr>
          </w:p>
        </w:tc>
        <w:tc>
          <w:tcPr>
            <w:tcW w:w="2960" w:type="dxa"/>
            <w:vAlign w:val="center"/>
          </w:tcPr>
          <w:p>
            <w:pPr>
              <w:pStyle w:val="16"/>
              <w:spacing w:line="400" w:lineRule="atLeast"/>
              <w:jc w:val="center"/>
              <w:rPr>
                <w:rFonts w:ascii="宋体" w:hAnsi="宋体" w:cs="宋体"/>
                <w:szCs w:val="24"/>
              </w:rPr>
            </w:pPr>
          </w:p>
        </w:tc>
        <w:tc>
          <w:tcPr>
            <w:tcW w:w="2762" w:type="dxa"/>
            <w:vAlign w:val="center"/>
          </w:tcPr>
          <w:p>
            <w:pPr>
              <w:pStyle w:val="16"/>
              <w:spacing w:line="400" w:lineRule="atLeast"/>
              <w:jc w:val="center"/>
              <w:rPr>
                <w:rFonts w:ascii="宋体" w:hAnsi="宋体" w:cs="宋体"/>
                <w:szCs w:val="24"/>
              </w:rPr>
            </w:pPr>
          </w:p>
        </w:tc>
        <w:tc>
          <w:tcPr>
            <w:tcW w:w="1557" w:type="dxa"/>
            <w:vAlign w:val="center"/>
          </w:tcPr>
          <w:p>
            <w:pPr>
              <w:pStyle w:val="16"/>
              <w:spacing w:line="400" w:lineRule="atLeast"/>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6"/>
              <w:spacing w:line="400" w:lineRule="atLeast"/>
              <w:jc w:val="center"/>
              <w:rPr>
                <w:rFonts w:ascii="宋体" w:hAnsi="宋体" w:cs="宋体"/>
                <w:szCs w:val="24"/>
              </w:rPr>
            </w:pPr>
          </w:p>
        </w:tc>
        <w:tc>
          <w:tcPr>
            <w:tcW w:w="2960" w:type="dxa"/>
            <w:vAlign w:val="center"/>
          </w:tcPr>
          <w:p>
            <w:pPr>
              <w:pStyle w:val="16"/>
              <w:spacing w:line="400" w:lineRule="atLeast"/>
              <w:jc w:val="center"/>
              <w:rPr>
                <w:rFonts w:ascii="宋体" w:hAnsi="宋体" w:cs="宋体"/>
                <w:szCs w:val="24"/>
              </w:rPr>
            </w:pPr>
          </w:p>
        </w:tc>
        <w:tc>
          <w:tcPr>
            <w:tcW w:w="2762" w:type="dxa"/>
            <w:vAlign w:val="center"/>
          </w:tcPr>
          <w:p>
            <w:pPr>
              <w:pStyle w:val="16"/>
              <w:spacing w:line="400" w:lineRule="atLeast"/>
              <w:jc w:val="center"/>
              <w:rPr>
                <w:rFonts w:ascii="宋体" w:hAnsi="宋体" w:cs="宋体"/>
                <w:szCs w:val="24"/>
              </w:rPr>
            </w:pPr>
          </w:p>
        </w:tc>
        <w:tc>
          <w:tcPr>
            <w:tcW w:w="1557" w:type="dxa"/>
            <w:vAlign w:val="center"/>
          </w:tcPr>
          <w:p>
            <w:pPr>
              <w:pStyle w:val="16"/>
              <w:spacing w:line="400" w:lineRule="atLeast"/>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6"/>
              <w:spacing w:line="400" w:lineRule="atLeast"/>
              <w:jc w:val="center"/>
              <w:rPr>
                <w:rFonts w:ascii="宋体" w:hAnsi="宋体" w:cs="宋体"/>
                <w:szCs w:val="24"/>
              </w:rPr>
            </w:pPr>
          </w:p>
        </w:tc>
        <w:tc>
          <w:tcPr>
            <w:tcW w:w="2960" w:type="dxa"/>
            <w:vAlign w:val="center"/>
          </w:tcPr>
          <w:p>
            <w:pPr>
              <w:pStyle w:val="16"/>
              <w:spacing w:line="400" w:lineRule="atLeast"/>
              <w:jc w:val="center"/>
              <w:rPr>
                <w:rFonts w:ascii="宋体" w:hAnsi="宋体" w:cs="宋体"/>
                <w:szCs w:val="24"/>
              </w:rPr>
            </w:pPr>
          </w:p>
        </w:tc>
        <w:tc>
          <w:tcPr>
            <w:tcW w:w="2762" w:type="dxa"/>
            <w:vAlign w:val="center"/>
          </w:tcPr>
          <w:p>
            <w:pPr>
              <w:pStyle w:val="16"/>
              <w:spacing w:line="400" w:lineRule="atLeast"/>
              <w:jc w:val="center"/>
              <w:rPr>
                <w:rFonts w:ascii="宋体" w:hAnsi="宋体" w:cs="宋体"/>
                <w:szCs w:val="24"/>
              </w:rPr>
            </w:pPr>
          </w:p>
        </w:tc>
        <w:tc>
          <w:tcPr>
            <w:tcW w:w="1557" w:type="dxa"/>
            <w:vAlign w:val="center"/>
          </w:tcPr>
          <w:p>
            <w:pPr>
              <w:pStyle w:val="16"/>
              <w:spacing w:line="400" w:lineRule="atLeast"/>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6"/>
              <w:spacing w:line="400" w:lineRule="atLeast"/>
              <w:jc w:val="center"/>
              <w:rPr>
                <w:rFonts w:ascii="宋体" w:hAnsi="宋体" w:cs="宋体"/>
                <w:szCs w:val="24"/>
              </w:rPr>
            </w:pPr>
          </w:p>
        </w:tc>
        <w:tc>
          <w:tcPr>
            <w:tcW w:w="2960" w:type="dxa"/>
            <w:vAlign w:val="center"/>
          </w:tcPr>
          <w:p>
            <w:pPr>
              <w:pStyle w:val="16"/>
              <w:spacing w:line="400" w:lineRule="atLeast"/>
              <w:jc w:val="center"/>
              <w:rPr>
                <w:rFonts w:ascii="宋体" w:hAnsi="宋体" w:cs="宋体"/>
                <w:szCs w:val="24"/>
              </w:rPr>
            </w:pPr>
          </w:p>
        </w:tc>
        <w:tc>
          <w:tcPr>
            <w:tcW w:w="2762" w:type="dxa"/>
            <w:vAlign w:val="center"/>
          </w:tcPr>
          <w:p>
            <w:pPr>
              <w:pStyle w:val="16"/>
              <w:spacing w:line="400" w:lineRule="atLeast"/>
              <w:jc w:val="center"/>
              <w:rPr>
                <w:rFonts w:ascii="宋体" w:hAnsi="宋体" w:cs="宋体"/>
                <w:szCs w:val="24"/>
              </w:rPr>
            </w:pPr>
          </w:p>
        </w:tc>
        <w:tc>
          <w:tcPr>
            <w:tcW w:w="1557" w:type="dxa"/>
            <w:vAlign w:val="center"/>
          </w:tcPr>
          <w:p>
            <w:pPr>
              <w:pStyle w:val="16"/>
              <w:spacing w:line="400" w:lineRule="atLeast"/>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6"/>
              <w:spacing w:line="400" w:lineRule="atLeast"/>
              <w:jc w:val="center"/>
              <w:rPr>
                <w:rFonts w:ascii="宋体" w:hAnsi="宋体" w:cs="宋体"/>
                <w:szCs w:val="24"/>
              </w:rPr>
            </w:pPr>
          </w:p>
        </w:tc>
        <w:tc>
          <w:tcPr>
            <w:tcW w:w="2960" w:type="dxa"/>
            <w:vAlign w:val="center"/>
          </w:tcPr>
          <w:p>
            <w:pPr>
              <w:pStyle w:val="16"/>
              <w:spacing w:line="400" w:lineRule="atLeast"/>
              <w:jc w:val="center"/>
              <w:rPr>
                <w:rFonts w:ascii="宋体" w:hAnsi="宋体" w:cs="宋体"/>
                <w:szCs w:val="24"/>
              </w:rPr>
            </w:pPr>
          </w:p>
        </w:tc>
        <w:tc>
          <w:tcPr>
            <w:tcW w:w="2762" w:type="dxa"/>
            <w:vAlign w:val="center"/>
          </w:tcPr>
          <w:p>
            <w:pPr>
              <w:pStyle w:val="16"/>
              <w:spacing w:line="400" w:lineRule="atLeast"/>
              <w:jc w:val="center"/>
              <w:rPr>
                <w:rFonts w:ascii="宋体" w:hAnsi="宋体" w:cs="宋体"/>
                <w:szCs w:val="24"/>
              </w:rPr>
            </w:pPr>
          </w:p>
        </w:tc>
        <w:tc>
          <w:tcPr>
            <w:tcW w:w="1557" w:type="dxa"/>
            <w:vAlign w:val="center"/>
          </w:tcPr>
          <w:p>
            <w:pPr>
              <w:pStyle w:val="16"/>
              <w:spacing w:line="400" w:lineRule="atLeast"/>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1980" w:type="dxa"/>
            <w:vAlign w:val="center"/>
          </w:tcPr>
          <w:p>
            <w:pPr>
              <w:pStyle w:val="16"/>
              <w:spacing w:line="400" w:lineRule="atLeast"/>
              <w:jc w:val="center"/>
              <w:rPr>
                <w:rFonts w:ascii="宋体" w:hAnsi="宋体" w:cs="宋体"/>
                <w:szCs w:val="24"/>
              </w:rPr>
            </w:pPr>
          </w:p>
        </w:tc>
        <w:tc>
          <w:tcPr>
            <w:tcW w:w="2960" w:type="dxa"/>
            <w:vAlign w:val="center"/>
          </w:tcPr>
          <w:p>
            <w:pPr>
              <w:pStyle w:val="16"/>
              <w:spacing w:line="400" w:lineRule="atLeast"/>
              <w:jc w:val="center"/>
              <w:rPr>
                <w:rFonts w:ascii="宋体" w:hAnsi="宋体" w:cs="宋体"/>
                <w:szCs w:val="24"/>
              </w:rPr>
            </w:pPr>
          </w:p>
        </w:tc>
        <w:tc>
          <w:tcPr>
            <w:tcW w:w="2762" w:type="dxa"/>
            <w:vAlign w:val="center"/>
          </w:tcPr>
          <w:p>
            <w:pPr>
              <w:pStyle w:val="16"/>
              <w:spacing w:line="400" w:lineRule="atLeast"/>
              <w:jc w:val="center"/>
              <w:rPr>
                <w:rFonts w:ascii="宋体" w:hAnsi="宋体" w:cs="宋体"/>
                <w:szCs w:val="24"/>
              </w:rPr>
            </w:pPr>
          </w:p>
        </w:tc>
        <w:tc>
          <w:tcPr>
            <w:tcW w:w="1557" w:type="dxa"/>
            <w:vAlign w:val="center"/>
          </w:tcPr>
          <w:p>
            <w:pPr>
              <w:pStyle w:val="16"/>
              <w:spacing w:line="400" w:lineRule="atLeast"/>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6"/>
              <w:spacing w:line="400" w:lineRule="atLeast"/>
              <w:jc w:val="center"/>
              <w:rPr>
                <w:rFonts w:ascii="宋体" w:hAnsi="宋体" w:cs="宋体"/>
                <w:szCs w:val="24"/>
              </w:rPr>
            </w:pPr>
          </w:p>
        </w:tc>
        <w:tc>
          <w:tcPr>
            <w:tcW w:w="2960" w:type="dxa"/>
            <w:vAlign w:val="center"/>
          </w:tcPr>
          <w:p>
            <w:pPr>
              <w:pStyle w:val="16"/>
              <w:spacing w:line="400" w:lineRule="atLeast"/>
              <w:jc w:val="center"/>
              <w:rPr>
                <w:rFonts w:ascii="宋体" w:hAnsi="宋体" w:cs="宋体"/>
                <w:szCs w:val="24"/>
              </w:rPr>
            </w:pPr>
          </w:p>
        </w:tc>
        <w:tc>
          <w:tcPr>
            <w:tcW w:w="2762" w:type="dxa"/>
            <w:vAlign w:val="center"/>
          </w:tcPr>
          <w:p>
            <w:pPr>
              <w:pStyle w:val="16"/>
              <w:spacing w:line="400" w:lineRule="atLeast"/>
              <w:jc w:val="center"/>
              <w:rPr>
                <w:rFonts w:ascii="宋体" w:hAnsi="宋体" w:cs="宋体"/>
                <w:szCs w:val="24"/>
              </w:rPr>
            </w:pPr>
          </w:p>
        </w:tc>
        <w:tc>
          <w:tcPr>
            <w:tcW w:w="1557" w:type="dxa"/>
            <w:vAlign w:val="center"/>
          </w:tcPr>
          <w:p>
            <w:pPr>
              <w:pStyle w:val="16"/>
              <w:spacing w:line="400" w:lineRule="atLeast"/>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6"/>
              <w:spacing w:line="400" w:lineRule="atLeast"/>
              <w:jc w:val="center"/>
              <w:rPr>
                <w:rFonts w:ascii="宋体" w:hAnsi="宋体" w:cs="宋体"/>
                <w:szCs w:val="24"/>
              </w:rPr>
            </w:pPr>
          </w:p>
        </w:tc>
        <w:tc>
          <w:tcPr>
            <w:tcW w:w="2960" w:type="dxa"/>
            <w:vAlign w:val="center"/>
          </w:tcPr>
          <w:p>
            <w:pPr>
              <w:pStyle w:val="16"/>
              <w:spacing w:line="400" w:lineRule="atLeast"/>
              <w:jc w:val="center"/>
              <w:rPr>
                <w:rFonts w:ascii="宋体" w:hAnsi="宋体" w:cs="宋体"/>
                <w:szCs w:val="24"/>
              </w:rPr>
            </w:pPr>
          </w:p>
        </w:tc>
        <w:tc>
          <w:tcPr>
            <w:tcW w:w="2762" w:type="dxa"/>
            <w:vAlign w:val="center"/>
          </w:tcPr>
          <w:p>
            <w:pPr>
              <w:pStyle w:val="16"/>
              <w:spacing w:line="400" w:lineRule="atLeast"/>
              <w:jc w:val="center"/>
              <w:rPr>
                <w:rFonts w:ascii="宋体" w:hAnsi="宋体" w:cs="宋体"/>
                <w:szCs w:val="24"/>
              </w:rPr>
            </w:pPr>
          </w:p>
        </w:tc>
        <w:tc>
          <w:tcPr>
            <w:tcW w:w="1557" w:type="dxa"/>
            <w:vAlign w:val="center"/>
          </w:tcPr>
          <w:p>
            <w:pPr>
              <w:pStyle w:val="16"/>
              <w:spacing w:line="400" w:lineRule="atLeast"/>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6"/>
              <w:spacing w:line="400" w:lineRule="atLeast"/>
              <w:jc w:val="center"/>
              <w:rPr>
                <w:rFonts w:ascii="宋体" w:hAnsi="宋体" w:cs="宋体"/>
                <w:szCs w:val="24"/>
              </w:rPr>
            </w:pPr>
          </w:p>
        </w:tc>
        <w:tc>
          <w:tcPr>
            <w:tcW w:w="2960" w:type="dxa"/>
            <w:vAlign w:val="center"/>
          </w:tcPr>
          <w:p>
            <w:pPr>
              <w:pStyle w:val="16"/>
              <w:spacing w:line="400" w:lineRule="atLeast"/>
              <w:jc w:val="center"/>
              <w:rPr>
                <w:rFonts w:ascii="宋体" w:hAnsi="宋体" w:cs="宋体"/>
                <w:szCs w:val="24"/>
              </w:rPr>
            </w:pPr>
          </w:p>
        </w:tc>
        <w:tc>
          <w:tcPr>
            <w:tcW w:w="2762" w:type="dxa"/>
            <w:vAlign w:val="center"/>
          </w:tcPr>
          <w:p>
            <w:pPr>
              <w:pStyle w:val="16"/>
              <w:spacing w:line="400" w:lineRule="atLeast"/>
              <w:jc w:val="center"/>
              <w:rPr>
                <w:rFonts w:ascii="宋体" w:hAnsi="宋体" w:cs="宋体"/>
                <w:szCs w:val="24"/>
              </w:rPr>
            </w:pPr>
          </w:p>
        </w:tc>
        <w:tc>
          <w:tcPr>
            <w:tcW w:w="1557" w:type="dxa"/>
            <w:vAlign w:val="center"/>
          </w:tcPr>
          <w:p>
            <w:pPr>
              <w:pStyle w:val="16"/>
              <w:spacing w:line="400" w:lineRule="atLeast"/>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6"/>
              <w:spacing w:line="400" w:lineRule="atLeast"/>
              <w:jc w:val="center"/>
              <w:rPr>
                <w:rFonts w:ascii="宋体" w:hAnsi="宋体" w:cs="宋体"/>
                <w:szCs w:val="24"/>
              </w:rPr>
            </w:pPr>
          </w:p>
        </w:tc>
        <w:tc>
          <w:tcPr>
            <w:tcW w:w="2960" w:type="dxa"/>
            <w:vAlign w:val="center"/>
          </w:tcPr>
          <w:p>
            <w:pPr>
              <w:pStyle w:val="16"/>
              <w:spacing w:line="400" w:lineRule="atLeast"/>
              <w:jc w:val="center"/>
              <w:rPr>
                <w:rFonts w:ascii="宋体" w:hAnsi="宋体" w:cs="宋体"/>
                <w:szCs w:val="24"/>
              </w:rPr>
            </w:pPr>
          </w:p>
        </w:tc>
        <w:tc>
          <w:tcPr>
            <w:tcW w:w="2762" w:type="dxa"/>
            <w:vAlign w:val="center"/>
          </w:tcPr>
          <w:p>
            <w:pPr>
              <w:pStyle w:val="16"/>
              <w:spacing w:line="400" w:lineRule="atLeast"/>
              <w:jc w:val="center"/>
              <w:rPr>
                <w:rFonts w:ascii="宋体" w:hAnsi="宋体" w:cs="宋体"/>
                <w:szCs w:val="24"/>
              </w:rPr>
            </w:pPr>
          </w:p>
        </w:tc>
        <w:tc>
          <w:tcPr>
            <w:tcW w:w="1557" w:type="dxa"/>
            <w:vAlign w:val="center"/>
          </w:tcPr>
          <w:p>
            <w:pPr>
              <w:pStyle w:val="16"/>
              <w:spacing w:line="400" w:lineRule="atLeast"/>
              <w:jc w:val="center"/>
              <w:rPr>
                <w:rFonts w:ascii="宋体" w:hAnsi="宋体" w:cs="宋体"/>
                <w:szCs w:val="24"/>
              </w:rPr>
            </w:pPr>
          </w:p>
        </w:tc>
      </w:tr>
    </w:tbl>
    <w:p>
      <w:pPr>
        <w:pStyle w:val="16"/>
        <w:spacing w:line="400" w:lineRule="atLeast"/>
        <w:rPr>
          <w:rFonts w:ascii="宋体" w:hAnsi="宋体" w:cs="宋体"/>
          <w:szCs w:val="24"/>
        </w:rPr>
      </w:pPr>
      <w:r>
        <w:rPr>
          <w:rFonts w:hint="eastAsia" w:ascii="宋体" w:hAnsi="宋体" w:cs="宋体"/>
          <w:szCs w:val="24"/>
        </w:rPr>
        <w:t>注：</w:t>
      </w:r>
    </w:p>
    <w:p>
      <w:pPr>
        <w:pStyle w:val="16"/>
        <w:spacing w:line="400" w:lineRule="atLeast"/>
        <w:rPr>
          <w:rFonts w:ascii="宋体" w:hAnsi="宋体" w:cs="宋体"/>
          <w:szCs w:val="24"/>
        </w:rPr>
      </w:pPr>
      <w:r>
        <w:rPr>
          <w:rFonts w:hint="eastAsia" w:ascii="宋体" w:hAnsi="宋体" w:cs="宋体"/>
          <w:szCs w:val="24"/>
        </w:rPr>
        <w:t>1、此表须与招标文件“采购需求”相应标项内的所有技术规格（含技术、功能、配置、附加必备条件、售后服务、安装、验收、付款方式等）相比较且一一对应真实逐条填列，并在“偏离情况”栏注明“正偏离”、“负偏离”或“无偏离”。</w:t>
      </w:r>
    </w:p>
    <w:p>
      <w:pPr>
        <w:pStyle w:val="16"/>
        <w:spacing w:line="400" w:lineRule="atLeast"/>
        <w:rPr>
          <w:rFonts w:ascii="宋体" w:hAnsi="宋体" w:cs="宋体"/>
          <w:szCs w:val="24"/>
        </w:rPr>
      </w:pPr>
      <w:r>
        <w:rPr>
          <w:rFonts w:hint="eastAsia" w:ascii="宋体" w:hAnsi="宋体" w:cs="宋体"/>
          <w:szCs w:val="24"/>
        </w:rPr>
        <w:t>2、投标人递交的技术规格书中必须真实逐条列明，否则由投标人自行承担相关风险。</w:t>
      </w:r>
    </w:p>
    <w:p>
      <w:pPr>
        <w:pStyle w:val="16"/>
        <w:spacing w:line="400" w:lineRule="atLeast"/>
        <w:rPr>
          <w:rFonts w:ascii="宋体" w:hAnsi="宋体" w:cs="宋体"/>
          <w:szCs w:val="24"/>
        </w:rPr>
      </w:pPr>
      <w:r>
        <w:rPr>
          <w:rFonts w:hint="eastAsia" w:ascii="宋体" w:hAnsi="宋体" w:cs="宋体"/>
          <w:szCs w:val="24"/>
        </w:rPr>
        <w:t>3、此表在不改变格式的情况下可自行制作。</w:t>
      </w:r>
    </w:p>
    <w:p>
      <w:pPr>
        <w:pStyle w:val="16"/>
        <w:spacing w:line="400" w:lineRule="atLeast"/>
        <w:rPr>
          <w:rFonts w:ascii="宋体" w:hAnsi="宋体" w:cs="宋体"/>
          <w:szCs w:val="24"/>
        </w:rPr>
      </w:pPr>
      <w:r>
        <w:rPr>
          <w:rFonts w:hint="eastAsia" w:ascii="宋体" w:hAnsi="宋体" w:cs="宋体"/>
          <w:szCs w:val="24"/>
        </w:rPr>
        <w:t>4、此表置于商务技术文件中。</w:t>
      </w:r>
    </w:p>
    <w:p>
      <w:pPr>
        <w:rPr>
          <w:rFonts w:ascii="宋体" w:hAnsi="宋体" w:cs="宋体"/>
          <w:color w:val="auto"/>
          <w:sz w:val="28"/>
        </w:rPr>
      </w:pPr>
    </w:p>
    <w:p>
      <w:pPr>
        <w:rPr>
          <w:rFonts w:ascii="宋体" w:hAnsi="宋体" w:cs="宋体"/>
          <w:color w:val="auto"/>
          <w:sz w:val="28"/>
        </w:rPr>
      </w:pPr>
      <w:r>
        <w:rPr>
          <w:rFonts w:hint="eastAsia" w:ascii="宋体" w:hAnsi="宋体" w:cs="宋体"/>
          <w:color w:val="auto"/>
          <w:sz w:val="28"/>
        </w:rPr>
        <w:t>投标人（盖章）：</w:t>
      </w:r>
      <w:r>
        <w:rPr>
          <w:rFonts w:hint="eastAsia" w:ascii="宋体" w:hAnsi="宋体" w:cs="宋体"/>
          <w:color w:val="auto"/>
          <w:sz w:val="28"/>
          <w:u w:val="single"/>
        </w:rPr>
        <w:t xml:space="preserve">                                      </w:t>
      </w:r>
      <w:r>
        <w:rPr>
          <w:rFonts w:hint="eastAsia" w:ascii="宋体" w:hAnsi="宋体" w:cs="宋体"/>
          <w:color w:val="auto"/>
          <w:sz w:val="28"/>
        </w:rPr>
        <w:t xml:space="preserve">      </w:t>
      </w:r>
    </w:p>
    <w:p>
      <w:pPr>
        <w:rPr>
          <w:rFonts w:ascii="宋体" w:hAnsi="宋体" w:cs="宋体"/>
          <w:color w:val="auto"/>
          <w:sz w:val="28"/>
        </w:rPr>
      </w:pPr>
    </w:p>
    <w:p>
      <w:pPr>
        <w:spacing w:line="340" w:lineRule="exact"/>
        <w:rPr>
          <w:rFonts w:ascii="宋体" w:hAnsi="宋体" w:cs="宋体"/>
          <w:color w:val="auto"/>
        </w:rPr>
      </w:pPr>
    </w:p>
    <w:p>
      <w:pPr>
        <w:spacing w:line="340" w:lineRule="exact"/>
        <w:rPr>
          <w:rFonts w:ascii="宋体" w:hAnsi="宋体" w:cs="宋体"/>
          <w:color w:val="auto"/>
          <w:sz w:val="28"/>
        </w:rPr>
      </w:pPr>
      <w:r>
        <w:rPr>
          <w:rFonts w:hint="eastAsia" w:ascii="宋体" w:hAnsi="宋体" w:cs="宋体"/>
          <w:color w:val="auto"/>
          <w:sz w:val="28"/>
        </w:rPr>
        <w:t>日      期：     年    月    日</w:t>
      </w:r>
    </w:p>
    <w:p>
      <w:pPr>
        <w:pStyle w:val="24"/>
        <w:ind w:firstLine="560"/>
        <w:rPr>
          <w:rFonts w:ascii="宋体" w:hAnsi="宋体" w:cs="宋体"/>
          <w:sz w:val="28"/>
        </w:rPr>
      </w:pPr>
    </w:p>
    <w:p>
      <w:pPr>
        <w:pStyle w:val="24"/>
        <w:ind w:firstLine="560"/>
        <w:rPr>
          <w:rFonts w:ascii="宋体" w:hAnsi="宋体" w:cs="宋体"/>
          <w:sz w:val="28"/>
        </w:rPr>
      </w:pPr>
    </w:p>
    <w:p>
      <w:pPr>
        <w:rPr>
          <w:rFonts w:ascii="宋体" w:hAnsi="宋体" w:cs="宋体"/>
          <w:color w:val="auto"/>
        </w:rPr>
      </w:pPr>
    </w:p>
    <w:p/>
    <w:sectPr>
      <w:headerReference r:id="rId4" w:type="first"/>
      <w:headerReference r:id="rId3" w:type="default"/>
      <w:footerReference r:id="rId5" w:type="default"/>
      <w:footerReference r:id="rId6" w:type="even"/>
      <w:pgSz w:w="11906" w:h="16838"/>
      <w:pgMar w:top="1247" w:right="1134" w:bottom="1247" w:left="1134" w:header="851" w:footer="907" w:gutter="0"/>
      <w:pgBorders>
        <w:top w:val="none" w:sz="0" w:space="0"/>
        <w:left w:val="none" w:sz="0" w:space="0"/>
        <w:bottom w:val="none" w:sz="0" w:space="0"/>
        <w:right w:val="none" w:sz="0" w:space="0"/>
      </w:pgBorders>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汉仪细等线简">
    <w:altName w:val="宋体"/>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0"/>
      </w:rPr>
    </w:pPr>
    <w:r>
      <w:fldChar w:fldCharType="begin"/>
    </w:r>
    <w:r>
      <w:rPr>
        <w:rStyle w:val="30"/>
      </w:rPr>
      <w:instrText xml:space="preserve">PAGE  </w:instrText>
    </w:r>
    <w:r>
      <w:fldChar w:fldCharType="separate"/>
    </w:r>
    <w:r>
      <w:rPr>
        <w:rStyle w:val="30"/>
      </w:rPr>
      <w:t>5</w: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0"/>
      </w:rPr>
    </w:pPr>
    <w:r>
      <w:fldChar w:fldCharType="begin"/>
    </w:r>
    <w:r>
      <w:rPr>
        <w:rStyle w:val="30"/>
      </w:rPr>
      <w:instrText xml:space="preserve">PAGE  </w:instrText>
    </w:r>
    <w: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诸暨市广顺工程管理服务有限公司招标文件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060" w:firstLineChars="1700"/>
      <w:jc w:val="both"/>
    </w:pPr>
    <w:r>
      <w:rPr>
        <w:rFonts w:hint="eastAsia"/>
      </w:rPr>
      <w:t>诸暨市广顺工程管理服务有限公司招标文件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826AC0"/>
    <w:multiLevelType w:val="singleLevel"/>
    <w:tmpl w:val="CA826AC0"/>
    <w:lvl w:ilvl="0" w:tentative="0">
      <w:start w:val="1"/>
      <w:numFmt w:val="decimal"/>
      <w:suff w:val="nothing"/>
      <w:lvlText w:val="%1、"/>
      <w:lvlJc w:val="left"/>
    </w:lvl>
  </w:abstractNum>
  <w:abstractNum w:abstractNumId="1">
    <w:nsid w:val="EA7F435C"/>
    <w:multiLevelType w:val="singleLevel"/>
    <w:tmpl w:val="EA7F435C"/>
    <w:lvl w:ilvl="0" w:tentative="0">
      <w:start w:val="1"/>
      <w:numFmt w:val="decimal"/>
      <w:suff w:val="nothing"/>
      <w:lvlText w:val="%1、"/>
      <w:lvlJc w:val="left"/>
    </w:lvl>
  </w:abstractNum>
  <w:abstractNum w:abstractNumId="2">
    <w:nsid w:val="FD703279"/>
    <w:multiLevelType w:val="singleLevel"/>
    <w:tmpl w:val="FD703279"/>
    <w:lvl w:ilvl="0" w:tentative="0">
      <w:start w:val="3"/>
      <w:numFmt w:val="decimal"/>
      <w:suff w:val="nothing"/>
      <w:lvlText w:val="（%1）"/>
      <w:lvlJc w:val="left"/>
    </w:lvl>
  </w:abstractNum>
  <w:abstractNum w:abstractNumId="3">
    <w:nsid w:val="00000000"/>
    <w:multiLevelType w:val="singleLevel"/>
    <w:tmpl w:val="00000000"/>
    <w:lvl w:ilvl="0" w:tentative="0">
      <w:start w:val="1"/>
      <w:numFmt w:val="chineseCounting"/>
      <w:suff w:val="nothing"/>
      <w:lvlText w:val="%1、"/>
      <w:lvlJc w:val="left"/>
      <w:pPr>
        <w:ind w:left="480" w:firstLine="0"/>
      </w:pPr>
      <w:rPr>
        <w:rFonts w:hint="eastAsia"/>
      </w:rPr>
    </w:lvl>
  </w:abstractNum>
  <w:abstractNum w:abstractNumId="4">
    <w:nsid w:val="07D93517"/>
    <w:multiLevelType w:val="multilevel"/>
    <w:tmpl w:val="07D93517"/>
    <w:lvl w:ilvl="0" w:tentative="0">
      <w:start w:val="1"/>
      <w:numFmt w:val="bullet"/>
      <w:lvlText w:val=""/>
      <w:lvlJc w:val="left"/>
      <w:pPr>
        <w:ind w:left="1000" w:hanging="420"/>
      </w:pPr>
      <w:rPr>
        <w:rFonts w:hint="default" w:ascii="Wingdings" w:hAnsi="Wingdings"/>
      </w:rPr>
    </w:lvl>
    <w:lvl w:ilvl="1" w:tentative="0">
      <w:start w:val="1"/>
      <w:numFmt w:val="bullet"/>
      <w:lvlText w:val=""/>
      <w:lvlJc w:val="left"/>
      <w:pPr>
        <w:ind w:left="1420" w:hanging="420"/>
      </w:pPr>
      <w:rPr>
        <w:rFonts w:hint="default" w:ascii="Wingdings" w:hAnsi="Wingdings"/>
      </w:rPr>
    </w:lvl>
    <w:lvl w:ilvl="2" w:tentative="0">
      <w:start w:val="1"/>
      <w:numFmt w:val="bullet"/>
      <w:lvlText w:val=""/>
      <w:lvlJc w:val="left"/>
      <w:pPr>
        <w:ind w:left="1840" w:hanging="420"/>
      </w:pPr>
      <w:rPr>
        <w:rFonts w:hint="default" w:ascii="Wingdings" w:hAnsi="Wingdings"/>
      </w:rPr>
    </w:lvl>
    <w:lvl w:ilvl="3" w:tentative="0">
      <w:start w:val="1"/>
      <w:numFmt w:val="bullet"/>
      <w:lvlText w:val=""/>
      <w:lvlJc w:val="left"/>
      <w:pPr>
        <w:ind w:left="2260" w:hanging="420"/>
      </w:pPr>
      <w:rPr>
        <w:rFonts w:hint="default" w:ascii="Wingdings" w:hAnsi="Wingdings"/>
      </w:rPr>
    </w:lvl>
    <w:lvl w:ilvl="4" w:tentative="0">
      <w:start w:val="1"/>
      <w:numFmt w:val="bullet"/>
      <w:lvlText w:val=""/>
      <w:lvlJc w:val="left"/>
      <w:pPr>
        <w:ind w:left="2680" w:hanging="420"/>
      </w:pPr>
      <w:rPr>
        <w:rFonts w:hint="default" w:ascii="Wingdings" w:hAnsi="Wingdings"/>
      </w:rPr>
    </w:lvl>
    <w:lvl w:ilvl="5" w:tentative="0">
      <w:start w:val="1"/>
      <w:numFmt w:val="bullet"/>
      <w:lvlText w:val=""/>
      <w:lvlJc w:val="left"/>
      <w:pPr>
        <w:ind w:left="3100" w:hanging="420"/>
      </w:pPr>
      <w:rPr>
        <w:rFonts w:hint="default" w:ascii="Wingdings" w:hAnsi="Wingdings"/>
      </w:rPr>
    </w:lvl>
    <w:lvl w:ilvl="6" w:tentative="0">
      <w:start w:val="1"/>
      <w:numFmt w:val="bullet"/>
      <w:lvlText w:val=""/>
      <w:lvlJc w:val="left"/>
      <w:pPr>
        <w:ind w:left="3520" w:hanging="420"/>
      </w:pPr>
      <w:rPr>
        <w:rFonts w:hint="default" w:ascii="Wingdings" w:hAnsi="Wingdings"/>
      </w:rPr>
    </w:lvl>
    <w:lvl w:ilvl="7" w:tentative="0">
      <w:start w:val="1"/>
      <w:numFmt w:val="bullet"/>
      <w:lvlText w:val=""/>
      <w:lvlJc w:val="left"/>
      <w:pPr>
        <w:ind w:left="3940" w:hanging="420"/>
      </w:pPr>
      <w:rPr>
        <w:rFonts w:hint="default" w:ascii="Wingdings" w:hAnsi="Wingdings"/>
      </w:rPr>
    </w:lvl>
    <w:lvl w:ilvl="8" w:tentative="0">
      <w:start w:val="1"/>
      <w:numFmt w:val="bullet"/>
      <w:lvlText w:val=""/>
      <w:lvlJc w:val="left"/>
      <w:pPr>
        <w:ind w:left="4360" w:hanging="420"/>
      </w:pPr>
      <w:rPr>
        <w:rFonts w:hint="default" w:ascii="Wingdings" w:hAnsi="Wingdings"/>
      </w:rPr>
    </w:lvl>
  </w:abstractNum>
  <w:abstractNum w:abstractNumId="5">
    <w:nsid w:val="1A71167C"/>
    <w:multiLevelType w:val="multilevel"/>
    <w:tmpl w:val="1A71167C"/>
    <w:lvl w:ilvl="0" w:tentative="0">
      <w:start w:val="1"/>
      <w:numFmt w:val="bullet"/>
      <w:lvlText w:val=""/>
      <w:lvlJc w:val="left"/>
      <w:pPr>
        <w:ind w:left="1000" w:hanging="420"/>
      </w:pPr>
      <w:rPr>
        <w:rFonts w:hint="default" w:ascii="Wingdings" w:hAnsi="Wingdings"/>
      </w:rPr>
    </w:lvl>
    <w:lvl w:ilvl="1" w:tentative="0">
      <w:start w:val="1"/>
      <w:numFmt w:val="bullet"/>
      <w:lvlText w:val=""/>
      <w:lvlJc w:val="left"/>
      <w:pPr>
        <w:ind w:left="1420" w:hanging="420"/>
      </w:pPr>
      <w:rPr>
        <w:rFonts w:hint="default" w:ascii="Wingdings" w:hAnsi="Wingdings"/>
      </w:rPr>
    </w:lvl>
    <w:lvl w:ilvl="2" w:tentative="0">
      <w:start w:val="1"/>
      <w:numFmt w:val="bullet"/>
      <w:lvlText w:val=""/>
      <w:lvlJc w:val="left"/>
      <w:pPr>
        <w:ind w:left="1840" w:hanging="420"/>
      </w:pPr>
      <w:rPr>
        <w:rFonts w:hint="default" w:ascii="Wingdings" w:hAnsi="Wingdings"/>
      </w:rPr>
    </w:lvl>
    <w:lvl w:ilvl="3" w:tentative="0">
      <w:start w:val="1"/>
      <w:numFmt w:val="bullet"/>
      <w:lvlText w:val=""/>
      <w:lvlJc w:val="left"/>
      <w:pPr>
        <w:ind w:left="2260" w:hanging="420"/>
      </w:pPr>
      <w:rPr>
        <w:rFonts w:hint="default" w:ascii="Wingdings" w:hAnsi="Wingdings"/>
      </w:rPr>
    </w:lvl>
    <w:lvl w:ilvl="4" w:tentative="0">
      <w:start w:val="1"/>
      <w:numFmt w:val="bullet"/>
      <w:lvlText w:val=""/>
      <w:lvlJc w:val="left"/>
      <w:pPr>
        <w:ind w:left="2680" w:hanging="420"/>
      </w:pPr>
      <w:rPr>
        <w:rFonts w:hint="default" w:ascii="Wingdings" w:hAnsi="Wingdings"/>
      </w:rPr>
    </w:lvl>
    <w:lvl w:ilvl="5" w:tentative="0">
      <w:start w:val="1"/>
      <w:numFmt w:val="bullet"/>
      <w:lvlText w:val=""/>
      <w:lvlJc w:val="left"/>
      <w:pPr>
        <w:ind w:left="3100" w:hanging="420"/>
      </w:pPr>
      <w:rPr>
        <w:rFonts w:hint="default" w:ascii="Wingdings" w:hAnsi="Wingdings"/>
      </w:rPr>
    </w:lvl>
    <w:lvl w:ilvl="6" w:tentative="0">
      <w:start w:val="1"/>
      <w:numFmt w:val="bullet"/>
      <w:lvlText w:val=""/>
      <w:lvlJc w:val="left"/>
      <w:pPr>
        <w:ind w:left="3520" w:hanging="420"/>
      </w:pPr>
      <w:rPr>
        <w:rFonts w:hint="default" w:ascii="Wingdings" w:hAnsi="Wingdings"/>
      </w:rPr>
    </w:lvl>
    <w:lvl w:ilvl="7" w:tentative="0">
      <w:start w:val="1"/>
      <w:numFmt w:val="bullet"/>
      <w:lvlText w:val=""/>
      <w:lvlJc w:val="left"/>
      <w:pPr>
        <w:ind w:left="3940" w:hanging="420"/>
      </w:pPr>
      <w:rPr>
        <w:rFonts w:hint="default" w:ascii="Wingdings" w:hAnsi="Wingdings"/>
      </w:rPr>
    </w:lvl>
    <w:lvl w:ilvl="8" w:tentative="0">
      <w:start w:val="1"/>
      <w:numFmt w:val="bullet"/>
      <w:lvlText w:val=""/>
      <w:lvlJc w:val="left"/>
      <w:pPr>
        <w:ind w:left="4360" w:hanging="420"/>
      </w:pPr>
      <w:rPr>
        <w:rFonts w:hint="default" w:ascii="Wingdings" w:hAnsi="Wingdings"/>
      </w:rPr>
    </w:lvl>
  </w:abstractNum>
  <w:abstractNum w:abstractNumId="6">
    <w:nsid w:val="1B8C71EA"/>
    <w:multiLevelType w:val="multilevel"/>
    <w:tmpl w:val="1B8C71EA"/>
    <w:lvl w:ilvl="0" w:tentative="0">
      <w:start w:val="1"/>
      <w:numFmt w:val="bullet"/>
      <w:lvlText w:val=""/>
      <w:lvlJc w:val="left"/>
      <w:pPr>
        <w:ind w:left="1000" w:hanging="420"/>
      </w:pPr>
      <w:rPr>
        <w:rFonts w:hint="default" w:ascii="Wingdings" w:hAnsi="Wingdings"/>
      </w:rPr>
    </w:lvl>
    <w:lvl w:ilvl="1" w:tentative="0">
      <w:start w:val="1"/>
      <w:numFmt w:val="bullet"/>
      <w:lvlText w:val=""/>
      <w:lvlJc w:val="left"/>
      <w:pPr>
        <w:ind w:left="1420" w:hanging="420"/>
      </w:pPr>
      <w:rPr>
        <w:rFonts w:hint="default" w:ascii="Wingdings" w:hAnsi="Wingdings"/>
      </w:rPr>
    </w:lvl>
    <w:lvl w:ilvl="2" w:tentative="0">
      <w:start w:val="1"/>
      <w:numFmt w:val="bullet"/>
      <w:lvlText w:val=""/>
      <w:lvlJc w:val="left"/>
      <w:pPr>
        <w:ind w:left="1840" w:hanging="420"/>
      </w:pPr>
      <w:rPr>
        <w:rFonts w:hint="default" w:ascii="Wingdings" w:hAnsi="Wingdings"/>
      </w:rPr>
    </w:lvl>
    <w:lvl w:ilvl="3" w:tentative="0">
      <w:start w:val="1"/>
      <w:numFmt w:val="bullet"/>
      <w:lvlText w:val=""/>
      <w:lvlJc w:val="left"/>
      <w:pPr>
        <w:ind w:left="2260" w:hanging="420"/>
      </w:pPr>
      <w:rPr>
        <w:rFonts w:hint="default" w:ascii="Wingdings" w:hAnsi="Wingdings"/>
      </w:rPr>
    </w:lvl>
    <w:lvl w:ilvl="4" w:tentative="0">
      <w:start w:val="1"/>
      <w:numFmt w:val="bullet"/>
      <w:lvlText w:val=""/>
      <w:lvlJc w:val="left"/>
      <w:pPr>
        <w:ind w:left="2680" w:hanging="420"/>
      </w:pPr>
      <w:rPr>
        <w:rFonts w:hint="default" w:ascii="Wingdings" w:hAnsi="Wingdings"/>
      </w:rPr>
    </w:lvl>
    <w:lvl w:ilvl="5" w:tentative="0">
      <w:start w:val="1"/>
      <w:numFmt w:val="bullet"/>
      <w:lvlText w:val=""/>
      <w:lvlJc w:val="left"/>
      <w:pPr>
        <w:ind w:left="3100" w:hanging="420"/>
      </w:pPr>
      <w:rPr>
        <w:rFonts w:hint="default" w:ascii="Wingdings" w:hAnsi="Wingdings"/>
      </w:rPr>
    </w:lvl>
    <w:lvl w:ilvl="6" w:tentative="0">
      <w:start w:val="1"/>
      <w:numFmt w:val="bullet"/>
      <w:lvlText w:val=""/>
      <w:lvlJc w:val="left"/>
      <w:pPr>
        <w:ind w:left="3520" w:hanging="420"/>
      </w:pPr>
      <w:rPr>
        <w:rFonts w:hint="default" w:ascii="Wingdings" w:hAnsi="Wingdings"/>
      </w:rPr>
    </w:lvl>
    <w:lvl w:ilvl="7" w:tentative="0">
      <w:start w:val="1"/>
      <w:numFmt w:val="bullet"/>
      <w:lvlText w:val=""/>
      <w:lvlJc w:val="left"/>
      <w:pPr>
        <w:ind w:left="3940" w:hanging="420"/>
      </w:pPr>
      <w:rPr>
        <w:rFonts w:hint="default" w:ascii="Wingdings" w:hAnsi="Wingdings"/>
      </w:rPr>
    </w:lvl>
    <w:lvl w:ilvl="8" w:tentative="0">
      <w:start w:val="1"/>
      <w:numFmt w:val="bullet"/>
      <w:lvlText w:val=""/>
      <w:lvlJc w:val="left"/>
      <w:pPr>
        <w:ind w:left="4360" w:hanging="420"/>
      </w:pPr>
      <w:rPr>
        <w:rFonts w:hint="default" w:ascii="Wingdings" w:hAnsi="Wingdings"/>
      </w:rPr>
    </w:lvl>
  </w:abstractNum>
  <w:abstractNum w:abstractNumId="7">
    <w:nsid w:val="1F861B23"/>
    <w:multiLevelType w:val="multilevel"/>
    <w:tmpl w:val="1F861B23"/>
    <w:lvl w:ilvl="0" w:tentative="0">
      <w:start w:val="1"/>
      <w:numFmt w:val="bullet"/>
      <w:lvlText w:val=""/>
      <w:lvlJc w:val="left"/>
      <w:pPr>
        <w:ind w:left="1000" w:hanging="420"/>
      </w:pPr>
      <w:rPr>
        <w:rFonts w:hint="default" w:ascii="Wingdings" w:hAnsi="Wingdings"/>
      </w:rPr>
    </w:lvl>
    <w:lvl w:ilvl="1" w:tentative="0">
      <w:start w:val="1"/>
      <w:numFmt w:val="bullet"/>
      <w:lvlText w:val=""/>
      <w:lvlJc w:val="left"/>
      <w:pPr>
        <w:ind w:left="1420" w:hanging="420"/>
      </w:pPr>
      <w:rPr>
        <w:rFonts w:hint="default" w:ascii="Wingdings" w:hAnsi="Wingdings"/>
      </w:rPr>
    </w:lvl>
    <w:lvl w:ilvl="2" w:tentative="0">
      <w:start w:val="1"/>
      <w:numFmt w:val="bullet"/>
      <w:lvlText w:val=""/>
      <w:lvlJc w:val="left"/>
      <w:pPr>
        <w:ind w:left="1840" w:hanging="420"/>
      </w:pPr>
      <w:rPr>
        <w:rFonts w:hint="default" w:ascii="Wingdings" w:hAnsi="Wingdings"/>
      </w:rPr>
    </w:lvl>
    <w:lvl w:ilvl="3" w:tentative="0">
      <w:start w:val="1"/>
      <w:numFmt w:val="bullet"/>
      <w:lvlText w:val=""/>
      <w:lvlJc w:val="left"/>
      <w:pPr>
        <w:ind w:left="2260" w:hanging="420"/>
      </w:pPr>
      <w:rPr>
        <w:rFonts w:hint="default" w:ascii="Wingdings" w:hAnsi="Wingdings"/>
      </w:rPr>
    </w:lvl>
    <w:lvl w:ilvl="4" w:tentative="0">
      <w:start w:val="1"/>
      <w:numFmt w:val="bullet"/>
      <w:lvlText w:val=""/>
      <w:lvlJc w:val="left"/>
      <w:pPr>
        <w:ind w:left="2680" w:hanging="420"/>
      </w:pPr>
      <w:rPr>
        <w:rFonts w:hint="default" w:ascii="Wingdings" w:hAnsi="Wingdings"/>
      </w:rPr>
    </w:lvl>
    <w:lvl w:ilvl="5" w:tentative="0">
      <w:start w:val="1"/>
      <w:numFmt w:val="bullet"/>
      <w:lvlText w:val=""/>
      <w:lvlJc w:val="left"/>
      <w:pPr>
        <w:ind w:left="3100" w:hanging="420"/>
      </w:pPr>
      <w:rPr>
        <w:rFonts w:hint="default" w:ascii="Wingdings" w:hAnsi="Wingdings"/>
      </w:rPr>
    </w:lvl>
    <w:lvl w:ilvl="6" w:tentative="0">
      <w:start w:val="1"/>
      <w:numFmt w:val="bullet"/>
      <w:lvlText w:val=""/>
      <w:lvlJc w:val="left"/>
      <w:pPr>
        <w:ind w:left="3520" w:hanging="420"/>
      </w:pPr>
      <w:rPr>
        <w:rFonts w:hint="default" w:ascii="Wingdings" w:hAnsi="Wingdings"/>
      </w:rPr>
    </w:lvl>
    <w:lvl w:ilvl="7" w:tentative="0">
      <w:start w:val="1"/>
      <w:numFmt w:val="bullet"/>
      <w:lvlText w:val=""/>
      <w:lvlJc w:val="left"/>
      <w:pPr>
        <w:ind w:left="3940" w:hanging="420"/>
      </w:pPr>
      <w:rPr>
        <w:rFonts w:hint="default" w:ascii="Wingdings" w:hAnsi="Wingdings"/>
      </w:rPr>
    </w:lvl>
    <w:lvl w:ilvl="8" w:tentative="0">
      <w:start w:val="1"/>
      <w:numFmt w:val="bullet"/>
      <w:lvlText w:val=""/>
      <w:lvlJc w:val="left"/>
      <w:pPr>
        <w:ind w:left="4360" w:hanging="420"/>
      </w:pPr>
      <w:rPr>
        <w:rFonts w:hint="default" w:ascii="Wingdings" w:hAnsi="Wingdings"/>
      </w:rPr>
    </w:lvl>
  </w:abstractNum>
  <w:abstractNum w:abstractNumId="8">
    <w:nsid w:val="3F445CCF"/>
    <w:multiLevelType w:val="multilevel"/>
    <w:tmpl w:val="3F445CCF"/>
    <w:lvl w:ilvl="0" w:tentative="0">
      <w:start w:val="1"/>
      <w:numFmt w:val="bullet"/>
      <w:lvlText w:val=""/>
      <w:lvlJc w:val="left"/>
      <w:pPr>
        <w:ind w:left="1000" w:hanging="420"/>
      </w:pPr>
      <w:rPr>
        <w:rFonts w:hint="default" w:ascii="Wingdings" w:hAnsi="Wingdings"/>
      </w:rPr>
    </w:lvl>
    <w:lvl w:ilvl="1" w:tentative="0">
      <w:start w:val="1"/>
      <w:numFmt w:val="bullet"/>
      <w:lvlText w:val=""/>
      <w:lvlJc w:val="left"/>
      <w:pPr>
        <w:ind w:left="1420" w:hanging="420"/>
      </w:pPr>
      <w:rPr>
        <w:rFonts w:hint="default" w:ascii="Wingdings" w:hAnsi="Wingdings"/>
      </w:rPr>
    </w:lvl>
    <w:lvl w:ilvl="2" w:tentative="0">
      <w:start w:val="1"/>
      <w:numFmt w:val="bullet"/>
      <w:lvlText w:val=""/>
      <w:lvlJc w:val="left"/>
      <w:pPr>
        <w:ind w:left="1840" w:hanging="420"/>
      </w:pPr>
      <w:rPr>
        <w:rFonts w:hint="default" w:ascii="Wingdings" w:hAnsi="Wingdings"/>
      </w:rPr>
    </w:lvl>
    <w:lvl w:ilvl="3" w:tentative="0">
      <w:start w:val="1"/>
      <w:numFmt w:val="bullet"/>
      <w:lvlText w:val=""/>
      <w:lvlJc w:val="left"/>
      <w:pPr>
        <w:ind w:left="2260" w:hanging="420"/>
      </w:pPr>
      <w:rPr>
        <w:rFonts w:hint="default" w:ascii="Wingdings" w:hAnsi="Wingdings"/>
      </w:rPr>
    </w:lvl>
    <w:lvl w:ilvl="4" w:tentative="0">
      <w:start w:val="1"/>
      <w:numFmt w:val="bullet"/>
      <w:lvlText w:val=""/>
      <w:lvlJc w:val="left"/>
      <w:pPr>
        <w:ind w:left="2680" w:hanging="420"/>
      </w:pPr>
      <w:rPr>
        <w:rFonts w:hint="default" w:ascii="Wingdings" w:hAnsi="Wingdings"/>
      </w:rPr>
    </w:lvl>
    <w:lvl w:ilvl="5" w:tentative="0">
      <w:start w:val="1"/>
      <w:numFmt w:val="bullet"/>
      <w:lvlText w:val=""/>
      <w:lvlJc w:val="left"/>
      <w:pPr>
        <w:ind w:left="3100" w:hanging="420"/>
      </w:pPr>
      <w:rPr>
        <w:rFonts w:hint="default" w:ascii="Wingdings" w:hAnsi="Wingdings"/>
      </w:rPr>
    </w:lvl>
    <w:lvl w:ilvl="6" w:tentative="0">
      <w:start w:val="1"/>
      <w:numFmt w:val="bullet"/>
      <w:lvlText w:val=""/>
      <w:lvlJc w:val="left"/>
      <w:pPr>
        <w:ind w:left="3520" w:hanging="420"/>
      </w:pPr>
      <w:rPr>
        <w:rFonts w:hint="default" w:ascii="Wingdings" w:hAnsi="Wingdings"/>
      </w:rPr>
    </w:lvl>
    <w:lvl w:ilvl="7" w:tentative="0">
      <w:start w:val="1"/>
      <w:numFmt w:val="bullet"/>
      <w:lvlText w:val=""/>
      <w:lvlJc w:val="left"/>
      <w:pPr>
        <w:ind w:left="3940" w:hanging="420"/>
      </w:pPr>
      <w:rPr>
        <w:rFonts w:hint="default" w:ascii="Wingdings" w:hAnsi="Wingdings"/>
      </w:rPr>
    </w:lvl>
    <w:lvl w:ilvl="8" w:tentative="0">
      <w:start w:val="1"/>
      <w:numFmt w:val="bullet"/>
      <w:lvlText w:val=""/>
      <w:lvlJc w:val="left"/>
      <w:pPr>
        <w:ind w:left="4360" w:hanging="420"/>
      </w:pPr>
      <w:rPr>
        <w:rFonts w:hint="default" w:ascii="Wingdings" w:hAnsi="Wingdings"/>
      </w:rPr>
    </w:lvl>
  </w:abstractNum>
  <w:abstractNum w:abstractNumId="9">
    <w:nsid w:val="4C7D4529"/>
    <w:multiLevelType w:val="singleLevel"/>
    <w:tmpl w:val="4C7D4529"/>
    <w:lvl w:ilvl="0" w:tentative="0">
      <w:start w:val="1"/>
      <w:numFmt w:val="decimal"/>
      <w:pStyle w:val="9"/>
      <w:lvlText w:val="%1."/>
      <w:lvlJc w:val="left"/>
      <w:pPr>
        <w:tabs>
          <w:tab w:val="left" w:pos="360"/>
        </w:tabs>
        <w:ind w:left="360" w:hanging="360"/>
      </w:pPr>
    </w:lvl>
  </w:abstractNum>
  <w:abstractNum w:abstractNumId="10">
    <w:nsid w:val="53106500"/>
    <w:multiLevelType w:val="multilevel"/>
    <w:tmpl w:val="53106500"/>
    <w:lvl w:ilvl="0" w:tentative="0">
      <w:start w:val="1"/>
      <w:numFmt w:val="decimal"/>
      <w:lvlText w:val="%1."/>
      <w:lvlJc w:val="left"/>
      <w:pPr>
        <w:ind w:left="425" w:hanging="425"/>
      </w:pPr>
      <w:rPr>
        <w:rFonts w:cs="Times New Roman"/>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lvlText w:val="%1.%2"/>
      <w:lvlJc w:val="left"/>
      <w:pPr>
        <w:ind w:left="425" w:hanging="425"/>
      </w:pPr>
      <w:rPr>
        <w:rFonts w:hint="eastAsia"/>
      </w:rPr>
    </w:lvl>
    <w:lvl w:ilvl="2" w:tentative="0">
      <w:start w:val="1"/>
      <w:numFmt w:val="decimal"/>
      <w:lvlText w:val="%1.%2.%3"/>
      <w:lvlJc w:val="left"/>
      <w:pPr>
        <w:ind w:left="425" w:hanging="425"/>
      </w:pPr>
      <w:rPr>
        <w:rFonts w:hint="eastAsia" w:ascii="宋体" w:hAnsi="宋体" w:eastAsia="宋体"/>
        <w:b/>
        <w:i w:val="0"/>
        <w:sz w:val="24"/>
      </w:rPr>
    </w:lvl>
    <w:lvl w:ilvl="3" w:tentative="0">
      <w:start w:val="1"/>
      <w:numFmt w:val="decimal"/>
      <w:lvlText w:val="%1.%2.%3.%4"/>
      <w:lvlJc w:val="left"/>
      <w:pPr>
        <w:ind w:left="425" w:hanging="425"/>
      </w:pPr>
      <w:rPr>
        <w:rFonts w:hint="eastAsia" w:ascii="宋体" w:hAnsi="宋体" w:eastAsia="宋体"/>
        <w:b w:val="0"/>
        <w:i w:val="0"/>
        <w:sz w:val="24"/>
      </w:rPr>
    </w:lvl>
    <w:lvl w:ilvl="4" w:tentative="0">
      <w:start w:val="1"/>
      <w:numFmt w:val="decimal"/>
      <w:lvlText w:val="%1.%2.%3.%4.%5"/>
      <w:lvlJc w:val="left"/>
      <w:pPr>
        <w:ind w:left="425" w:hanging="425"/>
      </w:pPr>
      <w:rPr>
        <w:rFonts w:hint="eastAsia" w:ascii="宋体" w:hAnsi="宋体" w:eastAsia="宋体"/>
        <w:b w:val="0"/>
        <w:i w:val="0"/>
        <w:sz w:val="24"/>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11">
    <w:nsid w:val="5F2554F2"/>
    <w:multiLevelType w:val="multilevel"/>
    <w:tmpl w:val="5F2554F2"/>
    <w:lvl w:ilvl="0" w:tentative="0">
      <w:start w:val="1"/>
      <w:numFmt w:val="bullet"/>
      <w:lvlText w:val=""/>
      <w:lvlJc w:val="left"/>
      <w:pPr>
        <w:ind w:left="1000" w:hanging="420"/>
      </w:pPr>
      <w:rPr>
        <w:rFonts w:hint="default" w:ascii="Wingdings" w:hAnsi="Wingdings"/>
      </w:rPr>
    </w:lvl>
    <w:lvl w:ilvl="1" w:tentative="0">
      <w:start w:val="1"/>
      <w:numFmt w:val="bullet"/>
      <w:lvlText w:val=""/>
      <w:lvlJc w:val="left"/>
      <w:pPr>
        <w:ind w:left="1420" w:hanging="420"/>
      </w:pPr>
      <w:rPr>
        <w:rFonts w:hint="default" w:ascii="Wingdings" w:hAnsi="Wingdings"/>
      </w:rPr>
    </w:lvl>
    <w:lvl w:ilvl="2" w:tentative="0">
      <w:start w:val="1"/>
      <w:numFmt w:val="bullet"/>
      <w:lvlText w:val=""/>
      <w:lvlJc w:val="left"/>
      <w:pPr>
        <w:ind w:left="1840" w:hanging="420"/>
      </w:pPr>
      <w:rPr>
        <w:rFonts w:hint="default" w:ascii="Wingdings" w:hAnsi="Wingdings"/>
      </w:rPr>
    </w:lvl>
    <w:lvl w:ilvl="3" w:tentative="0">
      <w:start w:val="1"/>
      <w:numFmt w:val="bullet"/>
      <w:lvlText w:val=""/>
      <w:lvlJc w:val="left"/>
      <w:pPr>
        <w:ind w:left="2260" w:hanging="420"/>
      </w:pPr>
      <w:rPr>
        <w:rFonts w:hint="default" w:ascii="Wingdings" w:hAnsi="Wingdings"/>
      </w:rPr>
    </w:lvl>
    <w:lvl w:ilvl="4" w:tentative="0">
      <w:start w:val="1"/>
      <w:numFmt w:val="bullet"/>
      <w:lvlText w:val=""/>
      <w:lvlJc w:val="left"/>
      <w:pPr>
        <w:ind w:left="2680" w:hanging="420"/>
      </w:pPr>
      <w:rPr>
        <w:rFonts w:hint="default" w:ascii="Wingdings" w:hAnsi="Wingdings"/>
      </w:rPr>
    </w:lvl>
    <w:lvl w:ilvl="5" w:tentative="0">
      <w:start w:val="1"/>
      <w:numFmt w:val="bullet"/>
      <w:lvlText w:val=""/>
      <w:lvlJc w:val="left"/>
      <w:pPr>
        <w:ind w:left="3100" w:hanging="420"/>
      </w:pPr>
      <w:rPr>
        <w:rFonts w:hint="default" w:ascii="Wingdings" w:hAnsi="Wingdings"/>
      </w:rPr>
    </w:lvl>
    <w:lvl w:ilvl="6" w:tentative="0">
      <w:start w:val="1"/>
      <w:numFmt w:val="bullet"/>
      <w:lvlText w:val=""/>
      <w:lvlJc w:val="left"/>
      <w:pPr>
        <w:ind w:left="3520" w:hanging="420"/>
      </w:pPr>
      <w:rPr>
        <w:rFonts w:hint="default" w:ascii="Wingdings" w:hAnsi="Wingdings"/>
      </w:rPr>
    </w:lvl>
    <w:lvl w:ilvl="7" w:tentative="0">
      <w:start w:val="1"/>
      <w:numFmt w:val="bullet"/>
      <w:lvlText w:val=""/>
      <w:lvlJc w:val="left"/>
      <w:pPr>
        <w:ind w:left="3940" w:hanging="420"/>
      </w:pPr>
      <w:rPr>
        <w:rFonts w:hint="default" w:ascii="Wingdings" w:hAnsi="Wingdings"/>
      </w:rPr>
    </w:lvl>
    <w:lvl w:ilvl="8" w:tentative="0">
      <w:start w:val="1"/>
      <w:numFmt w:val="bullet"/>
      <w:lvlText w:val=""/>
      <w:lvlJc w:val="left"/>
      <w:pPr>
        <w:ind w:left="4360" w:hanging="420"/>
      </w:pPr>
      <w:rPr>
        <w:rFonts w:hint="default" w:ascii="Wingdings" w:hAnsi="Wingdings"/>
      </w:rPr>
    </w:lvl>
  </w:abstractNum>
  <w:abstractNum w:abstractNumId="12">
    <w:nsid w:val="639E5423"/>
    <w:multiLevelType w:val="singleLevel"/>
    <w:tmpl w:val="639E5423"/>
    <w:lvl w:ilvl="0" w:tentative="0">
      <w:start w:val="1"/>
      <w:numFmt w:val="decimal"/>
      <w:suff w:val="nothing"/>
      <w:lvlText w:val="%1、"/>
      <w:lvlJc w:val="left"/>
    </w:lvl>
  </w:abstractNum>
  <w:abstractNum w:abstractNumId="13">
    <w:nsid w:val="65595619"/>
    <w:multiLevelType w:val="multilevel"/>
    <w:tmpl w:val="65595619"/>
    <w:lvl w:ilvl="0" w:tentative="0">
      <w:start w:val="1"/>
      <w:numFmt w:val="bullet"/>
      <w:lvlText w:val=""/>
      <w:lvlJc w:val="left"/>
      <w:pPr>
        <w:ind w:left="1000" w:hanging="420"/>
      </w:pPr>
      <w:rPr>
        <w:rFonts w:hint="default" w:ascii="Wingdings" w:hAnsi="Wingdings"/>
      </w:rPr>
    </w:lvl>
    <w:lvl w:ilvl="1" w:tentative="0">
      <w:start w:val="1"/>
      <w:numFmt w:val="bullet"/>
      <w:lvlText w:val=""/>
      <w:lvlJc w:val="left"/>
      <w:pPr>
        <w:ind w:left="1420" w:hanging="420"/>
      </w:pPr>
      <w:rPr>
        <w:rFonts w:hint="default" w:ascii="Wingdings" w:hAnsi="Wingdings"/>
      </w:rPr>
    </w:lvl>
    <w:lvl w:ilvl="2" w:tentative="0">
      <w:start w:val="1"/>
      <w:numFmt w:val="bullet"/>
      <w:lvlText w:val=""/>
      <w:lvlJc w:val="left"/>
      <w:pPr>
        <w:ind w:left="1840" w:hanging="420"/>
      </w:pPr>
      <w:rPr>
        <w:rFonts w:hint="default" w:ascii="Wingdings" w:hAnsi="Wingdings"/>
      </w:rPr>
    </w:lvl>
    <w:lvl w:ilvl="3" w:tentative="0">
      <w:start w:val="1"/>
      <w:numFmt w:val="bullet"/>
      <w:lvlText w:val=""/>
      <w:lvlJc w:val="left"/>
      <w:pPr>
        <w:ind w:left="2260" w:hanging="420"/>
      </w:pPr>
      <w:rPr>
        <w:rFonts w:hint="default" w:ascii="Wingdings" w:hAnsi="Wingdings"/>
      </w:rPr>
    </w:lvl>
    <w:lvl w:ilvl="4" w:tentative="0">
      <w:start w:val="1"/>
      <w:numFmt w:val="bullet"/>
      <w:lvlText w:val=""/>
      <w:lvlJc w:val="left"/>
      <w:pPr>
        <w:ind w:left="2680" w:hanging="420"/>
      </w:pPr>
      <w:rPr>
        <w:rFonts w:hint="default" w:ascii="Wingdings" w:hAnsi="Wingdings"/>
      </w:rPr>
    </w:lvl>
    <w:lvl w:ilvl="5" w:tentative="0">
      <w:start w:val="1"/>
      <w:numFmt w:val="bullet"/>
      <w:lvlText w:val=""/>
      <w:lvlJc w:val="left"/>
      <w:pPr>
        <w:ind w:left="3100" w:hanging="420"/>
      </w:pPr>
      <w:rPr>
        <w:rFonts w:hint="default" w:ascii="Wingdings" w:hAnsi="Wingdings"/>
      </w:rPr>
    </w:lvl>
    <w:lvl w:ilvl="6" w:tentative="0">
      <w:start w:val="1"/>
      <w:numFmt w:val="bullet"/>
      <w:lvlText w:val=""/>
      <w:lvlJc w:val="left"/>
      <w:pPr>
        <w:ind w:left="3520" w:hanging="420"/>
      </w:pPr>
      <w:rPr>
        <w:rFonts w:hint="default" w:ascii="Wingdings" w:hAnsi="Wingdings"/>
      </w:rPr>
    </w:lvl>
    <w:lvl w:ilvl="7" w:tentative="0">
      <w:start w:val="1"/>
      <w:numFmt w:val="bullet"/>
      <w:lvlText w:val=""/>
      <w:lvlJc w:val="left"/>
      <w:pPr>
        <w:ind w:left="3940" w:hanging="420"/>
      </w:pPr>
      <w:rPr>
        <w:rFonts w:hint="default" w:ascii="Wingdings" w:hAnsi="Wingdings"/>
      </w:rPr>
    </w:lvl>
    <w:lvl w:ilvl="8" w:tentative="0">
      <w:start w:val="1"/>
      <w:numFmt w:val="bullet"/>
      <w:lvlText w:val=""/>
      <w:lvlJc w:val="left"/>
      <w:pPr>
        <w:ind w:left="4360" w:hanging="420"/>
      </w:pPr>
      <w:rPr>
        <w:rFonts w:hint="default" w:ascii="Wingdings" w:hAnsi="Wingdings"/>
      </w:rPr>
    </w:lvl>
  </w:abstractNum>
  <w:num w:numId="1">
    <w:abstractNumId w:val="10"/>
    <w:lvlOverride w:ilvl="0">
      <w:lvl w:ilvl="0" w:tentative="1">
        <w:start w:val="1"/>
        <w:numFmt w:val="decimal"/>
        <w:lvlText w:val="%1."/>
        <w:lvlJc w:val="left"/>
        <w:pPr>
          <w:ind w:left="425" w:hanging="425"/>
        </w:pPr>
        <w:rPr>
          <w:rFonts w:hint="eastAsia" w:ascii="宋体" w:hAnsi="宋体" w:eastAsia="宋体"/>
          <w:b/>
          <w:i w:val="0"/>
          <w:sz w:val="32"/>
        </w:rPr>
      </w:lvl>
    </w:lvlOverride>
    <w:lvlOverride w:ilvl="1">
      <w:lvl w:ilvl="1" w:tentative="1">
        <w:start w:val="1"/>
        <w:numFmt w:val="decimal"/>
        <w:lvlText w:val="%1.%2"/>
        <w:lvlJc w:val="left"/>
        <w:pPr>
          <w:ind w:left="425" w:hanging="425"/>
        </w:pPr>
        <w:rPr>
          <w:rFonts w:hint="eastAsia"/>
        </w:rPr>
      </w:lvl>
    </w:lvlOverride>
    <w:lvlOverride w:ilvl="2">
      <w:lvl w:ilvl="2" w:tentative="1">
        <w:start w:val="1"/>
        <w:numFmt w:val="decimal"/>
        <w:lvlText w:val="%1.%2.%3"/>
        <w:lvlJc w:val="left"/>
        <w:pPr>
          <w:ind w:left="425" w:hanging="425"/>
        </w:pPr>
        <w:rPr>
          <w:rFonts w:hint="eastAsia" w:ascii="宋体" w:hAnsi="宋体" w:eastAsia="宋体"/>
          <w:b/>
          <w:i w:val="0"/>
          <w:sz w:val="24"/>
        </w:rPr>
      </w:lvl>
    </w:lvlOverride>
    <w:lvlOverride w:ilvl="3">
      <w:lvl w:ilvl="3" w:tentative="1">
        <w:start w:val="1"/>
        <w:numFmt w:val="decimal"/>
        <w:pStyle w:val="7"/>
        <w:lvlText w:val="%1.%2.%3.%4"/>
        <w:lvlJc w:val="left"/>
        <w:pPr>
          <w:ind w:left="425" w:hanging="425"/>
        </w:pPr>
        <w:rPr>
          <w:rFonts w:hint="eastAsia" w:ascii="宋体" w:hAnsi="宋体" w:eastAsia="宋体"/>
          <w:b w:val="0"/>
          <w:i w:val="0"/>
          <w:sz w:val="24"/>
        </w:rPr>
      </w:lvl>
    </w:lvlOverride>
    <w:lvlOverride w:ilvl="4">
      <w:lvl w:ilvl="4" w:tentative="1">
        <w:start w:val="1"/>
        <w:numFmt w:val="decimal"/>
        <w:pStyle w:val="8"/>
        <w:lvlText w:val="%1.%2.%3.%4.%5"/>
        <w:lvlJc w:val="left"/>
        <w:pPr>
          <w:ind w:left="425" w:hanging="425"/>
        </w:pPr>
        <w:rPr>
          <w:rFonts w:hint="eastAsia" w:ascii="宋体" w:hAnsi="宋体" w:eastAsia="宋体"/>
          <w:b w:val="0"/>
          <w:i w:val="0"/>
          <w:sz w:val="24"/>
        </w:rPr>
      </w:lvl>
    </w:lvlOverride>
    <w:lvlOverride w:ilvl="5">
      <w:lvl w:ilvl="5" w:tentative="1">
        <w:start w:val="1"/>
        <w:numFmt w:val="decimal"/>
        <w:lvlText w:val="%1.%2.%3.%4.%5.%6"/>
        <w:lvlJc w:val="left"/>
        <w:pPr>
          <w:ind w:left="425" w:hanging="425"/>
        </w:pPr>
        <w:rPr>
          <w:rFonts w:hint="eastAsia"/>
        </w:rPr>
      </w:lvl>
    </w:lvlOverride>
    <w:lvlOverride w:ilvl="6">
      <w:lvl w:ilvl="6" w:tentative="1">
        <w:start w:val="1"/>
        <w:numFmt w:val="decimal"/>
        <w:lvlText w:val="%1.%2.%3.%4.%5.%6.%7"/>
        <w:lvlJc w:val="left"/>
        <w:pPr>
          <w:ind w:left="425" w:hanging="425"/>
        </w:pPr>
        <w:rPr>
          <w:rFonts w:hint="eastAsia"/>
        </w:rPr>
      </w:lvl>
    </w:lvlOverride>
    <w:lvlOverride w:ilvl="7">
      <w:lvl w:ilvl="7" w:tentative="1">
        <w:start w:val="1"/>
        <w:numFmt w:val="decimal"/>
        <w:lvlText w:val="%1.%2.%3.%4.%5.%6.%7.%8"/>
        <w:lvlJc w:val="left"/>
        <w:pPr>
          <w:ind w:left="425" w:hanging="425"/>
        </w:pPr>
        <w:rPr>
          <w:rFonts w:hint="eastAsia"/>
        </w:rPr>
      </w:lvl>
    </w:lvlOverride>
    <w:lvlOverride w:ilvl="8">
      <w:lvl w:ilvl="8" w:tentative="1">
        <w:start w:val="1"/>
        <w:numFmt w:val="decimal"/>
        <w:lvlText w:val="%1.%2.%3.%4.%5.%6.%7.%8.%9"/>
        <w:lvlJc w:val="left"/>
        <w:pPr>
          <w:ind w:left="425" w:hanging="425"/>
        </w:pPr>
        <w:rPr>
          <w:rFonts w:hint="eastAsia"/>
        </w:rPr>
      </w:lvl>
    </w:lvlOverride>
  </w:num>
  <w:num w:numId="2">
    <w:abstractNumId w:val="9"/>
  </w:num>
  <w:num w:numId="3">
    <w:abstractNumId w:val="1"/>
  </w:num>
  <w:num w:numId="4">
    <w:abstractNumId w:val="0"/>
  </w:num>
  <w:num w:numId="5">
    <w:abstractNumId w:val="12"/>
  </w:num>
  <w:num w:numId="6">
    <w:abstractNumId w:val="6"/>
  </w:num>
  <w:num w:numId="7">
    <w:abstractNumId w:val="7"/>
  </w:num>
  <w:num w:numId="8">
    <w:abstractNumId w:val="11"/>
  </w:num>
  <w:num w:numId="9">
    <w:abstractNumId w:val="8"/>
  </w:num>
  <w:num w:numId="10">
    <w:abstractNumId w:val="4"/>
  </w:num>
  <w:num w:numId="11">
    <w:abstractNumId w:val="2"/>
  </w:num>
  <w:num w:numId="12">
    <w:abstractNumId w:val="5"/>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ZDVjMjNkYTNjYjBlZTBjN2RhNzA4NjZjZTgyMjcifQ=="/>
  </w:docVars>
  <w:rsids>
    <w:rsidRoot w:val="006D6B23"/>
    <w:rsid w:val="000C2628"/>
    <w:rsid w:val="006D6B23"/>
    <w:rsid w:val="009C66F4"/>
    <w:rsid w:val="00B90CE7"/>
    <w:rsid w:val="00D227A8"/>
    <w:rsid w:val="01935007"/>
    <w:rsid w:val="01B307FB"/>
    <w:rsid w:val="01FA31C4"/>
    <w:rsid w:val="0476362E"/>
    <w:rsid w:val="050869C8"/>
    <w:rsid w:val="07B45450"/>
    <w:rsid w:val="0D1D7770"/>
    <w:rsid w:val="0E2473AF"/>
    <w:rsid w:val="0F4B48EC"/>
    <w:rsid w:val="11CE024D"/>
    <w:rsid w:val="137A7A67"/>
    <w:rsid w:val="1555221B"/>
    <w:rsid w:val="15DD665D"/>
    <w:rsid w:val="17724755"/>
    <w:rsid w:val="18EA6F23"/>
    <w:rsid w:val="1A597EEB"/>
    <w:rsid w:val="24135688"/>
    <w:rsid w:val="25886B7B"/>
    <w:rsid w:val="26212534"/>
    <w:rsid w:val="2660557E"/>
    <w:rsid w:val="271832D3"/>
    <w:rsid w:val="29160957"/>
    <w:rsid w:val="2F3841E1"/>
    <w:rsid w:val="31805741"/>
    <w:rsid w:val="31B0045F"/>
    <w:rsid w:val="34167E6A"/>
    <w:rsid w:val="349B3D79"/>
    <w:rsid w:val="35A36012"/>
    <w:rsid w:val="362A6E70"/>
    <w:rsid w:val="36EC6E34"/>
    <w:rsid w:val="38076552"/>
    <w:rsid w:val="3B773FBC"/>
    <w:rsid w:val="3CA01273"/>
    <w:rsid w:val="3E804813"/>
    <w:rsid w:val="4588736E"/>
    <w:rsid w:val="461073C4"/>
    <w:rsid w:val="467F664E"/>
    <w:rsid w:val="469367CD"/>
    <w:rsid w:val="46FA442E"/>
    <w:rsid w:val="47054157"/>
    <w:rsid w:val="471775AB"/>
    <w:rsid w:val="48275E95"/>
    <w:rsid w:val="48634620"/>
    <w:rsid w:val="495A0ACB"/>
    <w:rsid w:val="4A902E07"/>
    <w:rsid w:val="4AB60700"/>
    <w:rsid w:val="4F2C7E2F"/>
    <w:rsid w:val="51581F75"/>
    <w:rsid w:val="528E37CB"/>
    <w:rsid w:val="52FC261E"/>
    <w:rsid w:val="54A25370"/>
    <w:rsid w:val="57AC3163"/>
    <w:rsid w:val="581D41D8"/>
    <w:rsid w:val="596F61FA"/>
    <w:rsid w:val="5A213224"/>
    <w:rsid w:val="5F2D4118"/>
    <w:rsid w:val="602C1392"/>
    <w:rsid w:val="60934023"/>
    <w:rsid w:val="60C347F3"/>
    <w:rsid w:val="66B05FA1"/>
    <w:rsid w:val="674C2F91"/>
    <w:rsid w:val="6A635FA8"/>
    <w:rsid w:val="6AA07638"/>
    <w:rsid w:val="6BC7740E"/>
    <w:rsid w:val="6C275755"/>
    <w:rsid w:val="6D5A033F"/>
    <w:rsid w:val="6D6F7960"/>
    <w:rsid w:val="6D794864"/>
    <w:rsid w:val="6EA0254E"/>
    <w:rsid w:val="6F925D7B"/>
    <w:rsid w:val="70E53421"/>
    <w:rsid w:val="729130E1"/>
    <w:rsid w:val="737E6B7F"/>
    <w:rsid w:val="750D6446"/>
    <w:rsid w:val="752B5FD5"/>
    <w:rsid w:val="75E06E43"/>
    <w:rsid w:val="7A940BFC"/>
    <w:rsid w:val="7B7B1DC7"/>
    <w:rsid w:val="7B865772"/>
    <w:rsid w:val="7B955A83"/>
    <w:rsid w:val="7EDE2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rFonts w:ascii="??" w:hAnsi="??" w:eastAsia="??"/>
      <w:b/>
      <w:color w:val="auto"/>
      <w:kern w:val="36"/>
      <w:sz w:val="32"/>
      <w:szCs w:val="28"/>
    </w:rPr>
  </w:style>
  <w:style w:type="paragraph" w:styleId="5">
    <w:name w:val="heading 2"/>
    <w:basedOn w:val="1"/>
    <w:next w:val="1"/>
    <w:qFormat/>
    <w:uiPriority w:val="0"/>
    <w:pPr>
      <w:keepNext/>
      <w:keepLines/>
      <w:autoSpaceDE/>
      <w:autoSpaceDN/>
      <w:adjustRightInd/>
      <w:spacing w:before="260" w:after="260" w:line="416" w:lineRule="auto"/>
      <w:outlineLvl w:val="1"/>
    </w:pPr>
    <w:rPr>
      <w:rFonts w:ascii="Arial" w:hAnsi="Arial" w:eastAsia="黑体"/>
      <w:b/>
      <w:bCs/>
      <w:color w:val="auto"/>
      <w:kern w:val="2"/>
      <w:sz w:val="32"/>
      <w:szCs w:val="32"/>
    </w:rPr>
  </w:style>
  <w:style w:type="paragraph" w:styleId="6">
    <w:name w:val="heading 3"/>
    <w:basedOn w:val="1"/>
    <w:next w:val="1"/>
    <w:qFormat/>
    <w:uiPriority w:val="0"/>
    <w:pPr>
      <w:spacing w:before="20" w:after="20"/>
      <w:ind w:firstLine="400" w:firstLineChars="200"/>
      <w:jc w:val="left"/>
      <w:outlineLvl w:val="2"/>
    </w:pPr>
    <w:rPr>
      <w:rFonts w:ascii="宋体" w:hAnsi="宋体" w:cs="宋体"/>
      <w:b/>
      <w:bCs/>
      <w:sz w:val="24"/>
      <w:szCs w:val="28"/>
      <w:lang w:val="zh-CN" w:bidi="zh-CN"/>
    </w:rPr>
  </w:style>
  <w:style w:type="paragraph" w:styleId="7">
    <w:name w:val="heading 4"/>
    <w:basedOn w:val="1"/>
    <w:next w:val="1"/>
    <w:unhideWhenUsed/>
    <w:qFormat/>
    <w:uiPriority w:val="9"/>
    <w:pPr>
      <w:keepNext/>
      <w:keepLines/>
      <w:numPr>
        <w:ilvl w:val="3"/>
        <w:numId w:val="1"/>
      </w:numPr>
      <w:spacing w:before="280" w:after="290" w:line="377" w:lineRule="auto"/>
      <w:ind w:firstLine="0"/>
      <w:outlineLvl w:val="3"/>
    </w:pPr>
    <w:rPr>
      <w:rFonts w:cstheme="majorBidi"/>
      <w:b/>
      <w:bCs/>
    </w:rPr>
  </w:style>
  <w:style w:type="paragraph" w:styleId="8">
    <w:name w:val="heading 5"/>
    <w:basedOn w:val="1"/>
    <w:next w:val="1"/>
    <w:unhideWhenUsed/>
    <w:qFormat/>
    <w:uiPriority w:val="9"/>
    <w:pPr>
      <w:keepNext/>
      <w:keepLines/>
      <w:numPr>
        <w:ilvl w:val="4"/>
        <w:numId w:val="1"/>
      </w:numPr>
      <w:spacing w:before="280" w:after="290" w:line="376" w:lineRule="auto"/>
      <w:outlineLvl w:val="4"/>
    </w:pPr>
    <w:rPr>
      <w:bCs/>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rPr>
      <w:rFonts w:cs="宋体"/>
    </w:rPr>
  </w:style>
  <w:style w:type="paragraph" w:customStyle="1" w:styleId="3">
    <w:name w:val="Body Text Indent1"/>
    <w:basedOn w:val="1"/>
    <w:next w:val="1"/>
    <w:qFormat/>
    <w:uiPriority w:val="0"/>
    <w:pPr>
      <w:spacing w:after="120"/>
      <w:ind w:left="420" w:leftChars="200"/>
    </w:pPr>
  </w:style>
  <w:style w:type="paragraph" w:styleId="9">
    <w:name w:val="List Number"/>
    <w:basedOn w:val="1"/>
    <w:qFormat/>
    <w:uiPriority w:val="0"/>
    <w:pPr>
      <w:numPr>
        <w:ilvl w:val="0"/>
        <w:numId w:val="2"/>
      </w:numPr>
    </w:pPr>
  </w:style>
  <w:style w:type="paragraph" w:styleId="10">
    <w:name w:val="Normal Indent"/>
    <w:basedOn w:val="1"/>
    <w:next w:val="11"/>
    <w:qFormat/>
    <w:uiPriority w:val="0"/>
    <w:pPr>
      <w:autoSpaceDE/>
      <w:autoSpaceDN/>
      <w:adjustRightInd/>
      <w:ind w:firstLine="420"/>
    </w:pPr>
    <w:rPr>
      <w:color w:val="auto"/>
      <w:kern w:val="2"/>
      <w:szCs w:val="20"/>
    </w:rPr>
  </w:style>
  <w:style w:type="paragraph" w:styleId="11">
    <w:name w:val="Body Text Indent"/>
    <w:basedOn w:val="1"/>
    <w:next w:val="1"/>
    <w:qFormat/>
    <w:uiPriority w:val="0"/>
    <w:pPr>
      <w:spacing w:after="120"/>
      <w:ind w:left="420" w:leftChars="200"/>
    </w:pPr>
  </w:style>
  <w:style w:type="paragraph" w:styleId="12">
    <w:name w:val="annotation text"/>
    <w:basedOn w:val="1"/>
    <w:qFormat/>
    <w:uiPriority w:val="0"/>
    <w:pPr>
      <w:jc w:val="left"/>
    </w:pPr>
  </w:style>
  <w:style w:type="paragraph" w:styleId="13">
    <w:name w:val="Body Text 3"/>
    <w:basedOn w:val="1"/>
    <w:unhideWhenUsed/>
    <w:qFormat/>
    <w:uiPriority w:val="99"/>
    <w:pPr>
      <w:spacing w:after="120"/>
    </w:pPr>
    <w:rPr>
      <w:sz w:val="16"/>
      <w:szCs w:val="16"/>
    </w:rPr>
  </w:style>
  <w:style w:type="paragraph" w:styleId="14">
    <w:name w:val="Body Text"/>
    <w:basedOn w:val="1"/>
    <w:next w:val="1"/>
    <w:link w:val="45"/>
    <w:qFormat/>
    <w:uiPriority w:val="0"/>
    <w:pPr>
      <w:spacing w:after="120"/>
    </w:pPr>
  </w:style>
  <w:style w:type="paragraph" w:styleId="15">
    <w:name w:val="Block Text"/>
    <w:basedOn w:val="1"/>
    <w:qFormat/>
    <w:uiPriority w:val="0"/>
    <w:pPr>
      <w:spacing w:line="300" w:lineRule="auto"/>
      <w:ind w:left="958" w:right="-120" w:rightChars="-120"/>
      <w:jc w:val="left"/>
    </w:pPr>
    <w:rPr>
      <w:rFonts w:ascii="宋体" w:hAnsi="宋体"/>
      <w:sz w:val="28"/>
    </w:rPr>
  </w:style>
  <w:style w:type="paragraph" w:styleId="16">
    <w:name w:val="Plain Text"/>
    <w:basedOn w:val="1"/>
    <w:next w:val="10"/>
    <w:qFormat/>
    <w:uiPriority w:val="0"/>
    <w:pPr>
      <w:autoSpaceDE/>
      <w:autoSpaceDN/>
      <w:adjustRightInd/>
    </w:pPr>
    <w:rPr>
      <w:color w:val="auto"/>
      <w:kern w:val="2"/>
      <w:sz w:val="24"/>
      <w:szCs w:val="20"/>
    </w:rPr>
  </w:style>
  <w:style w:type="paragraph" w:styleId="17">
    <w:name w:val="footer"/>
    <w:basedOn w:val="1"/>
    <w:link w:val="44"/>
    <w:qFormat/>
    <w:uiPriority w:val="0"/>
    <w:pPr>
      <w:tabs>
        <w:tab w:val="center" w:pos="4153"/>
        <w:tab w:val="right" w:pos="8306"/>
      </w:tabs>
      <w:snapToGrid w:val="0"/>
      <w:jc w:val="left"/>
    </w:pPr>
    <w:rPr>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rFonts w:ascii="Calibri" w:hAnsi="Calibri" w:eastAsia="??"/>
      <w:color w:val="auto"/>
      <w:sz w:val="18"/>
      <w:szCs w:val="28"/>
    </w:rPr>
  </w:style>
  <w:style w:type="paragraph" w:styleId="19">
    <w:name w:val="List"/>
    <w:basedOn w:val="1"/>
    <w:next w:val="1"/>
    <w:qFormat/>
    <w:uiPriority w:val="0"/>
    <w:pPr>
      <w:widowControl/>
      <w:topLinePunct/>
      <w:adjustRightInd w:val="0"/>
      <w:snapToGrid w:val="0"/>
      <w:spacing w:before="160" w:after="160" w:line="240" w:lineRule="atLeast"/>
      <w:ind w:left="200" w:hanging="200" w:hangingChars="200"/>
      <w:jc w:val="left"/>
    </w:pPr>
    <w:rPr>
      <w:szCs w:val="21"/>
    </w:rPr>
  </w:style>
  <w:style w:type="paragraph" w:styleId="20">
    <w:name w:val="footnote text"/>
    <w:basedOn w:val="1"/>
    <w:qFormat/>
    <w:uiPriority w:val="99"/>
    <w:pPr>
      <w:jc w:val="left"/>
    </w:pPr>
    <w:rPr>
      <w:kern w:val="1"/>
      <w:sz w:val="18"/>
    </w:rPr>
  </w:style>
  <w:style w:type="paragraph" w:styleId="21">
    <w:name w:val="Body Text Indent 3"/>
    <w:basedOn w:val="1"/>
    <w:qFormat/>
    <w:uiPriority w:val="0"/>
    <w:pPr>
      <w:autoSpaceDE/>
      <w:autoSpaceDN/>
      <w:adjustRightInd/>
      <w:ind w:firstLine="435"/>
    </w:pPr>
    <w:rPr>
      <w:color w:val="auto"/>
      <w:kern w:val="2"/>
      <w:szCs w:val="24"/>
    </w:rPr>
  </w:style>
  <w:style w:type="paragraph" w:styleId="22">
    <w:name w:val="Normal (Web)"/>
    <w:basedOn w:val="1"/>
    <w:unhideWhenUsed/>
    <w:qFormat/>
    <w:uiPriority w:val="99"/>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23">
    <w:name w:val="Body Text First Indent"/>
    <w:basedOn w:val="14"/>
    <w:next w:val="19"/>
    <w:qFormat/>
    <w:uiPriority w:val="0"/>
    <w:pPr>
      <w:spacing w:line="312" w:lineRule="auto"/>
      <w:ind w:firstLine="420"/>
    </w:pPr>
  </w:style>
  <w:style w:type="paragraph" w:styleId="24">
    <w:name w:val="Body Text First Indent 2"/>
    <w:basedOn w:val="11"/>
    <w:next w:val="25"/>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25">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rPr>
  </w:style>
  <w:style w:type="character" w:styleId="30">
    <w:name w:val="page number"/>
    <w:basedOn w:val="28"/>
    <w:qFormat/>
    <w:uiPriority w:val="0"/>
  </w:style>
  <w:style w:type="paragraph" w:customStyle="1" w:styleId="31">
    <w:name w:val="表格文字"/>
    <w:basedOn w:val="32"/>
    <w:next w:val="14"/>
    <w:qFormat/>
    <w:uiPriority w:val="0"/>
    <w:pPr>
      <w:spacing w:line="420" w:lineRule="atLeast"/>
      <w:textAlignment w:val="baseline"/>
    </w:pPr>
  </w:style>
  <w:style w:type="paragraph" w:customStyle="1" w:styleId="32">
    <w:name w:val="表格文字（两侧对齐）"/>
    <w:basedOn w:val="1"/>
    <w:qFormat/>
    <w:uiPriority w:val="0"/>
    <w:pPr>
      <w:snapToGrid w:val="0"/>
    </w:pPr>
    <w:rPr>
      <w:sz w:val="20"/>
      <w:szCs w:val="24"/>
    </w:rPr>
  </w:style>
  <w:style w:type="paragraph" w:customStyle="1" w:styleId="33">
    <w:name w:val="样式 正文首行缩进 2 + Arial"/>
    <w:basedOn w:val="1"/>
    <w:next w:val="1"/>
    <w:qFormat/>
    <w:uiPriority w:val="0"/>
    <w:pPr>
      <w:spacing w:after="120" w:line="320" w:lineRule="atLeast"/>
      <w:ind w:firstLine="200" w:firstLineChars="200"/>
    </w:pPr>
    <w:rPr>
      <w:rFonts w:ascii="Arial" w:hAnsi="Arial"/>
    </w:rPr>
  </w:style>
  <w:style w:type="paragraph" w:customStyle="1" w:styleId="34">
    <w:name w:val="列表段落1"/>
    <w:basedOn w:val="1"/>
    <w:next w:val="1"/>
    <w:qFormat/>
    <w:uiPriority w:val="0"/>
    <w:pPr>
      <w:autoSpaceDE/>
      <w:autoSpaceDN/>
      <w:adjustRightInd/>
      <w:ind w:firstLine="420" w:firstLineChars="200"/>
    </w:pPr>
    <w:rPr>
      <w:rFonts w:ascii="Calibri" w:hAnsi="Calibri"/>
      <w:color w:val="auto"/>
      <w:sz w:val="20"/>
      <w:szCs w:val="22"/>
    </w:rPr>
  </w:style>
  <w:style w:type="table" w:customStyle="1" w:styleId="35">
    <w:name w:val="网格型2"/>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
    <w:name w:val="文本正文宋体缩进"/>
    <w:basedOn w:val="1"/>
    <w:next w:val="1"/>
    <w:qFormat/>
    <w:uiPriority w:val="0"/>
    <w:pPr>
      <w:autoSpaceDE/>
      <w:autoSpaceDN/>
      <w:adjustRightInd/>
      <w:spacing w:line="360" w:lineRule="auto"/>
      <w:ind w:firstLine="480" w:firstLineChars="200"/>
    </w:pPr>
    <w:rPr>
      <w:color w:val="auto"/>
      <w:kern w:val="2"/>
      <w:sz w:val="24"/>
    </w:rPr>
  </w:style>
  <w:style w:type="paragraph" w:customStyle="1" w:styleId="37">
    <w:name w:val="正文文本首行缩进 21"/>
    <w:basedOn w:val="38"/>
    <w:qFormat/>
    <w:uiPriority w:val="0"/>
    <w:pPr>
      <w:ind w:firstLine="420"/>
    </w:pPr>
    <w:rPr>
      <w:rFonts w:cs="宋体"/>
    </w:rPr>
  </w:style>
  <w:style w:type="paragraph" w:customStyle="1" w:styleId="38">
    <w:name w:val="正文文本缩进1"/>
    <w:basedOn w:val="1"/>
    <w:next w:val="1"/>
    <w:qFormat/>
    <w:uiPriority w:val="0"/>
    <w:pPr>
      <w:spacing w:after="120"/>
      <w:ind w:left="420" w:leftChars="200"/>
    </w:pPr>
  </w:style>
  <w:style w:type="paragraph" w:customStyle="1" w:styleId="39">
    <w:name w:val="正文首行缩进 21"/>
    <w:basedOn w:val="1"/>
    <w:qFormat/>
    <w:uiPriority w:val="0"/>
    <w:pPr>
      <w:spacing w:after="120"/>
      <w:ind w:left="420" w:leftChars="200" w:firstLine="420"/>
    </w:pPr>
    <w:rPr>
      <w:rFonts w:cs="宋体"/>
    </w:rPr>
  </w:style>
  <w:style w:type="paragraph" w:customStyle="1" w:styleId="40">
    <w:name w:val="正文文字2"/>
    <w:basedOn w:val="14"/>
    <w:qFormat/>
    <w:uiPriority w:val="0"/>
    <w:pPr>
      <w:autoSpaceDE/>
      <w:autoSpaceDN/>
      <w:spacing w:after="60" w:line="360" w:lineRule="atLeast"/>
      <w:ind w:left="72" w:right="72"/>
      <w:jc w:val="center"/>
      <w:textAlignment w:val="baseline"/>
    </w:pPr>
    <w:rPr>
      <w:rFonts w:ascii="Arial" w:eastAsia="黑体"/>
    </w:rPr>
  </w:style>
  <w:style w:type="paragraph" w:customStyle="1" w:styleId="41">
    <w:name w:val="大纲正文"/>
    <w:basedOn w:val="1"/>
    <w:qFormat/>
    <w:uiPriority w:val="0"/>
    <w:pPr>
      <w:ind w:firstLine="425"/>
    </w:pPr>
  </w:style>
  <w:style w:type="paragraph" w:customStyle="1" w:styleId="42">
    <w:name w:val="我的表格"/>
    <w:basedOn w:val="1"/>
    <w:qFormat/>
    <w:uiPriority w:val="0"/>
    <w:pPr>
      <w:jc w:val="center"/>
    </w:pPr>
    <w:rPr>
      <w:rFonts w:eastAsia="仿宋_GB2312"/>
    </w:rPr>
  </w:style>
  <w:style w:type="paragraph" w:customStyle="1" w:styleId="43">
    <w:name w:val="正文 A"/>
    <w:next w:val="1"/>
    <w:qFormat/>
    <w:uiPriority w:val="0"/>
    <w:pPr>
      <w:widowControl w:val="0"/>
      <w:jc w:val="both"/>
    </w:pPr>
    <w:rPr>
      <w:rFonts w:ascii="Times New Roman" w:hAnsi="Times New Roman" w:eastAsia="汉仪细等线简" w:cs="Arial Unicode MS"/>
      <w:color w:val="000000"/>
      <w:kern w:val="2"/>
      <w:sz w:val="24"/>
      <w:szCs w:val="21"/>
      <w:u w:color="000000"/>
      <w:lang w:val="en-US" w:eastAsia="zh-CN" w:bidi="ar-SA"/>
    </w:rPr>
  </w:style>
  <w:style w:type="character" w:customStyle="1" w:styleId="44">
    <w:name w:val="页脚 字符"/>
    <w:basedOn w:val="28"/>
    <w:link w:val="17"/>
    <w:qFormat/>
    <w:uiPriority w:val="0"/>
    <w:rPr>
      <w:color w:val="000000"/>
      <w:sz w:val="18"/>
      <w:szCs w:val="21"/>
    </w:rPr>
  </w:style>
  <w:style w:type="character" w:customStyle="1" w:styleId="45">
    <w:name w:val="正文文本 字符"/>
    <w:basedOn w:val="28"/>
    <w:link w:val="14"/>
    <w:qFormat/>
    <w:uiPriority w:val="0"/>
    <w:rPr>
      <w:color w:val="000000"/>
      <w:sz w:val="21"/>
      <w:szCs w:val="21"/>
    </w:rPr>
  </w:style>
  <w:style w:type="paragraph" w:customStyle="1" w:styleId="46">
    <w:name w:val="Body Text First Indent 2"/>
    <w:basedOn w:val="47"/>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47">
    <w:name w:val="Body Text Indent"/>
    <w:basedOn w:val="1"/>
    <w:next w:val="1"/>
    <w:qFormat/>
    <w:uiPriority w:val="0"/>
    <w:pPr>
      <w:spacing w:after="120" w:afterLines="0"/>
      <w:ind w:left="420" w:leftChars="200"/>
    </w:pPr>
    <w:rPr>
      <w:color w:val="000000"/>
      <w:sz w:val="21"/>
      <w:szCs w:val="21"/>
    </w:rPr>
  </w:style>
  <w:style w:type="character" w:customStyle="1" w:styleId="48">
    <w:name w:val="font11"/>
    <w:basedOn w:val="28"/>
    <w:qFormat/>
    <w:uiPriority w:val="0"/>
    <w:rPr>
      <w:rFonts w:ascii="Calibri" w:hAnsi="Calibri" w:cs="Calibri"/>
      <w:color w:val="000000"/>
      <w:sz w:val="18"/>
      <w:szCs w:val="18"/>
      <w:u w:val="none"/>
    </w:rPr>
  </w:style>
  <w:style w:type="paragraph" w:customStyle="1" w:styleId="49">
    <w:name w:val="正文缩进1"/>
    <w:basedOn w:val="1"/>
    <w:qFormat/>
    <w:uiPriority w:val="0"/>
    <w:pPr>
      <w:autoSpaceDE/>
      <w:autoSpaceDN/>
      <w:adjustRightInd/>
      <w:ind w:firstLine="420"/>
    </w:pPr>
    <w:rPr>
      <w:color w:val="auto"/>
      <w:kern w:val="2"/>
      <w:szCs w:val="20"/>
    </w:rPr>
  </w:style>
  <w:style w:type="paragraph" w:customStyle="1" w:styleId="50">
    <w:name w:val="[Normal]"/>
    <w:qFormat/>
    <w:uiPriority w:val="0"/>
    <w:rPr>
      <w:rFonts w:ascii="宋体" w:hAnsi="宋体" w:eastAsia="宋体" w:cs="Times New Roman"/>
      <w:sz w:val="24"/>
      <w:szCs w:val="22"/>
      <w:lang w:val="zh-CN" w:eastAsia="zh-CN" w:bidi="ar-SA"/>
    </w:rPr>
  </w:style>
  <w:style w:type="paragraph" w:customStyle="1" w:styleId="51">
    <w:name w:val="投标正文"/>
    <w:basedOn w:val="1"/>
    <w:qFormat/>
    <w:uiPriority w:val="0"/>
    <w:pPr>
      <w:ind w:firstLine="200" w:firstLineChars="200"/>
    </w:pPr>
    <w:rPr>
      <w:sz w:val="24"/>
      <w:szCs w:val="24"/>
    </w:rPr>
  </w:style>
  <w:style w:type="character" w:customStyle="1" w:styleId="52">
    <w:name w:val="font31"/>
    <w:basedOn w:val="28"/>
    <w:qFormat/>
    <w:uiPriority w:val="0"/>
    <w:rPr>
      <w:rFonts w:hint="eastAsia" w:ascii="宋体" w:hAnsi="宋体" w:eastAsia="宋体" w:cs="宋体"/>
      <w:color w:val="FF0000"/>
      <w:sz w:val="24"/>
      <w:szCs w:val="24"/>
      <w:u w:val="none"/>
    </w:rPr>
  </w:style>
  <w:style w:type="character" w:customStyle="1" w:styleId="53">
    <w:name w:val="font21"/>
    <w:basedOn w:val="28"/>
    <w:qFormat/>
    <w:uiPriority w:val="0"/>
    <w:rPr>
      <w:rFonts w:hint="default" w:ascii="Times New Roman" w:hAnsi="Times New Roman" w:cs="Times New Roman"/>
      <w:color w:val="FF0000"/>
      <w:sz w:val="22"/>
      <w:szCs w:val="22"/>
      <w:u w:val="none"/>
    </w:rPr>
  </w:style>
  <w:style w:type="character" w:customStyle="1" w:styleId="54">
    <w:name w:val="font01"/>
    <w:basedOn w:val="2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51</Pages>
  <Words>33198</Words>
  <Characters>36118</Characters>
  <Lines>444</Lines>
  <Paragraphs>125</Paragraphs>
  <TotalTime>1</TotalTime>
  <ScaleCrop>false</ScaleCrop>
  <LinksUpToDate>false</LinksUpToDate>
  <CharactersWithSpaces>37303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2022-01-02T06:33:00Z</dcterms:created>
  <dc:creator>22627</dc:creator>
  <cp:lastModifiedBy>张无忌</cp:lastModifiedBy>
  <dcterms:modified xsi:type="dcterms:W3CDTF">2022-06-13T03:40:47Z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311FFEEA91844E2D9EB0352CC3C60A8A</vt:lpwstr>
  </property>
</Properties>
</file>