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016B">
      <w:pPr>
        <w:autoSpaceDE/>
        <w:autoSpaceDN/>
        <w:spacing w:line="360" w:lineRule="auto"/>
        <w:ind w:left="420" w:hanging="420"/>
        <w:jc w:val="center"/>
        <w:rPr>
          <w:rFonts w:ascii="宋体" w:hAnsi="宋体" w:cs="宋体"/>
          <w:b/>
          <w:bCs/>
          <w:color w:val="auto"/>
          <w:sz w:val="32"/>
          <w:szCs w:val="32"/>
        </w:rPr>
      </w:pPr>
      <w:bookmarkStart w:id="0" w:name="_Toc125344502"/>
    </w:p>
    <w:p w14:paraId="1F42ED8A">
      <w:pPr>
        <w:autoSpaceDE/>
        <w:autoSpaceDN/>
        <w:spacing w:line="360" w:lineRule="auto"/>
        <w:ind w:left="420" w:hanging="420"/>
        <w:jc w:val="center"/>
        <w:rPr>
          <w:rFonts w:ascii="宋体" w:hAnsi="宋体" w:cs="宋体"/>
          <w:b/>
          <w:bCs/>
          <w:color w:val="auto"/>
          <w:sz w:val="32"/>
          <w:szCs w:val="32"/>
        </w:rPr>
      </w:pPr>
    </w:p>
    <w:p w14:paraId="2CD3C9B7">
      <w:pPr>
        <w:autoSpaceDE/>
        <w:autoSpaceDN/>
        <w:spacing w:line="360" w:lineRule="auto"/>
        <w:jc w:val="center"/>
        <w:rPr>
          <w:rFonts w:ascii="宋体" w:hAnsi="宋体" w:cs="宋体"/>
          <w:b/>
          <w:bCs/>
          <w:color w:val="auto"/>
          <w:sz w:val="48"/>
          <w:szCs w:val="48"/>
        </w:rPr>
      </w:pPr>
      <w:r>
        <w:rPr>
          <w:rFonts w:hint="eastAsia" w:ascii="宋体" w:hAnsi="宋体" w:cs="宋体"/>
          <w:b/>
          <w:bCs/>
          <w:color w:val="auto"/>
          <w:sz w:val="48"/>
          <w:szCs w:val="48"/>
        </w:rPr>
        <w:t>诸暨市人民政府暨阳街道办事处及下辖社区2025年度疗休养服务采购项目</w:t>
      </w:r>
    </w:p>
    <w:p w14:paraId="7D02CF71">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（项目编号：浙江新顺2025-05-08）</w:t>
      </w:r>
    </w:p>
    <w:p w14:paraId="21B047F7">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p>
    <w:p w14:paraId="0B44CCAE">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tbl>
      <w:tblPr>
        <w:tblStyle w:val="5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41"/>
      </w:tblGrid>
      <w:tr w14:paraId="5CB5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41" w:type="dxa"/>
            <w:vAlign w:val="center"/>
          </w:tcPr>
          <w:p w14:paraId="4F7C78B8">
            <w:pPr>
              <w:pStyle w:val="47"/>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采购人：</w:t>
            </w:r>
            <w:r>
              <w:rPr>
                <w:rFonts w:hint="eastAsia" w:ascii="仿宋" w:hAnsi="仿宋" w:eastAsia="仿宋" w:cs="楷体_GB2312"/>
                <w:b/>
                <w:bCs/>
                <w:color w:val="auto"/>
                <w:w w:val="95"/>
                <w:kern w:val="0"/>
                <w:sz w:val="30"/>
                <w:szCs w:val="30"/>
              </w:rPr>
              <w:t>诸暨市人民政府暨阳街道办事处</w:t>
            </w:r>
          </w:p>
        </w:tc>
      </w:tr>
      <w:tr w14:paraId="5FAD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041" w:type="dxa"/>
            <w:vAlign w:val="center"/>
          </w:tcPr>
          <w:p w14:paraId="1C86DB9C">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2FA274DD">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二五年五月</w:t>
      </w:r>
    </w:p>
    <w:p w14:paraId="74FF4B5A">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567" w:footer="1508" w:gutter="0"/>
          <w:pgNumType w:fmt="numberInDash"/>
          <w:cols w:space="720" w:num="1"/>
          <w:docGrid w:linePitch="286" w:charSpace="0"/>
        </w:sectPr>
      </w:pPr>
    </w:p>
    <w:p w14:paraId="0E23A9F2">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755F196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第一部分    招标公告</w:t>
      </w:r>
    </w:p>
    <w:p w14:paraId="2C38C6E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第二部分    投标人须知</w:t>
      </w:r>
    </w:p>
    <w:p w14:paraId="58D1CA7E">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第三部分    采购需求</w:t>
      </w:r>
    </w:p>
    <w:p w14:paraId="756D3FDA">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第四部分    评标办法</w:t>
      </w:r>
    </w:p>
    <w:p w14:paraId="51634B67">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第五部分    拟签订的合同文本</w:t>
      </w:r>
    </w:p>
    <w:p w14:paraId="79019266">
      <w:pPr>
        <w:snapToGrid w:val="0"/>
        <w:spacing w:line="480" w:lineRule="auto"/>
        <w:ind w:firstLine="2168" w:firstLineChars="600"/>
        <w:jc w:val="left"/>
        <w:rPr>
          <w:rStyle w:val="64"/>
          <w:rFonts w:ascii="仿宋" w:hAnsi="仿宋" w:eastAsia="仿宋"/>
          <w:b/>
          <w:color w:val="auto"/>
          <w:sz w:val="36"/>
          <w:szCs w:val="36"/>
          <w:u w:val="none"/>
        </w:rPr>
      </w:pPr>
      <w:r>
        <w:rPr>
          <w:rFonts w:hint="eastAsia" w:ascii="仿宋" w:hAnsi="仿宋" w:eastAsia="仿宋"/>
          <w:b/>
          <w:color w:val="auto"/>
          <w:sz w:val="36"/>
          <w:szCs w:val="36"/>
        </w:rPr>
        <w:t>第六部分    应提交的有关格式范例</w:t>
      </w:r>
    </w:p>
    <w:p w14:paraId="1AE83732">
      <w:pPr>
        <w:spacing w:line="360" w:lineRule="auto"/>
        <w:rPr>
          <w:rStyle w:val="64"/>
          <w:rFonts w:ascii="宋体" w:hAnsi="宋体"/>
          <w:color w:val="auto"/>
          <w:sz w:val="30"/>
        </w:rPr>
        <w:sectPr>
          <w:pgSz w:w="11910" w:h="16840"/>
          <w:pgMar w:top="1600" w:right="1260" w:bottom="1700" w:left="1420" w:header="567" w:footer="1508" w:gutter="0"/>
          <w:pgNumType w:fmt="numberInDash"/>
          <w:cols w:space="720" w:num="1"/>
          <w:docGrid w:linePitch="286" w:charSpace="0"/>
        </w:sectPr>
      </w:pPr>
    </w:p>
    <w:p w14:paraId="204FB157">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第一部分  招标公告</w:t>
      </w:r>
      <w:bookmarkEnd w:id="1"/>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7A780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1194EF6E">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2FBA7AE1">
            <w:pPr>
              <w:spacing w:line="360" w:lineRule="exact"/>
              <w:ind w:firstLine="480" w:firstLineChars="200"/>
              <w:rPr>
                <w:rFonts w:ascii="仿宋" w:hAnsi="仿宋" w:eastAsia="仿宋"/>
                <w:b/>
                <w:color w:val="auto"/>
                <w:sz w:val="24"/>
                <w:szCs w:val="24"/>
              </w:rPr>
            </w:pPr>
            <w:r>
              <w:rPr>
                <w:rFonts w:hint="eastAsia" w:ascii="仿宋" w:hAnsi="仿宋" w:eastAsia="仿宋" w:cs="仿宋"/>
                <w:color w:val="auto"/>
                <w:sz w:val="24"/>
                <w:szCs w:val="24"/>
              </w:rPr>
              <w:t>诸暨市人民政府暨阳街道办事处及下辖社区2025年度疗休养服务采购项目</w:t>
            </w:r>
            <w:r>
              <w:rPr>
                <w:rFonts w:hint="eastAsia" w:ascii="仿宋" w:hAnsi="仿宋" w:eastAsia="仿宋"/>
                <w:color w:val="auto"/>
                <w:sz w:val="24"/>
                <w:szCs w:val="24"/>
              </w:rPr>
              <w:t>的潜在投标人应在政采云平台</w:t>
            </w:r>
            <w:r>
              <w:rPr>
                <w:rStyle w:val="257"/>
                <w:rFonts w:ascii="仿宋" w:hAnsi="仿宋" w:eastAsia="仿宋"/>
                <w:color w:val="auto"/>
                <w:sz w:val="24"/>
                <w:szCs w:val="24"/>
              </w:rPr>
              <w:t>（</w:t>
            </w:r>
            <w:r>
              <w:rPr>
                <w:rFonts w:hint="eastAsia" w:ascii="仿宋" w:hAnsi="仿宋" w:eastAsia="仿宋"/>
                <w:color w:val="auto"/>
                <w:sz w:val="24"/>
                <w:szCs w:val="24"/>
              </w:rPr>
              <w:t>https://www.zcygov.cn/</w:t>
            </w:r>
            <w:r>
              <w:rPr>
                <w:rStyle w:val="257"/>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rPr>
              <w:t>06</w:t>
            </w:r>
            <w:r>
              <w:rPr>
                <w:rFonts w:ascii="仿宋" w:hAnsi="仿宋" w:eastAsia="仿宋"/>
                <w:color w:val="auto"/>
                <w:sz w:val="24"/>
                <w:szCs w:val="24"/>
                <w:u w:val="single"/>
              </w:rPr>
              <w:t>月</w:t>
            </w:r>
            <w:r>
              <w:rPr>
                <w:rFonts w:hint="eastAsia" w:ascii="仿宋" w:hAnsi="仿宋" w:eastAsia="仿宋"/>
                <w:color w:val="auto"/>
                <w:sz w:val="24"/>
                <w:szCs w:val="24"/>
                <w:u w:val="single"/>
              </w:rPr>
              <w:t>16</w:t>
            </w:r>
            <w:r>
              <w:rPr>
                <w:rFonts w:ascii="仿宋" w:hAnsi="仿宋" w:eastAsia="仿宋"/>
                <w:color w:val="auto"/>
                <w:sz w:val="24"/>
                <w:szCs w:val="24"/>
                <w:u w:val="single"/>
              </w:rPr>
              <w:t xml:space="preserve">日 </w:t>
            </w:r>
            <w:r>
              <w:rPr>
                <w:rFonts w:hint="eastAsia" w:ascii="仿宋" w:hAnsi="仿宋" w:eastAsia="仿宋"/>
                <w:color w:val="auto"/>
                <w:sz w:val="24"/>
                <w:szCs w:val="24"/>
                <w:u w:val="single"/>
              </w:rPr>
              <w:t>09点00分00秒（北京时间）</w:t>
            </w:r>
            <w:r>
              <w:rPr>
                <w:rFonts w:hint="eastAsia" w:ascii="仿宋" w:hAnsi="仿宋" w:eastAsia="仿宋"/>
                <w:color w:val="auto"/>
                <w:sz w:val="24"/>
                <w:szCs w:val="24"/>
              </w:rPr>
              <w:t>前递交（上传）投标文件。</w:t>
            </w:r>
          </w:p>
        </w:tc>
      </w:tr>
    </w:tbl>
    <w:p w14:paraId="7D104A9A">
      <w:pPr>
        <w:pStyle w:val="3"/>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14:paraId="757BD515">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项目编号：浙江新顺2025-05-08</w:t>
      </w:r>
    </w:p>
    <w:p w14:paraId="2E436913">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项目名称：</w:t>
      </w:r>
      <w:r>
        <w:rPr>
          <w:rFonts w:hint="eastAsia" w:ascii="仿宋" w:hAnsi="仿宋" w:eastAsia="仿宋" w:cs="仿宋"/>
          <w:color w:val="auto"/>
        </w:rPr>
        <w:t>诸暨市人民政府暨阳街道办事处及下辖社区2025年度疗休养服务采购项目</w:t>
      </w:r>
    </w:p>
    <w:p w14:paraId="13DD1EF3">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cs="宋体"/>
          <w:bCs/>
          <w:color w:val="auto"/>
          <w:szCs w:val="21"/>
        </w:rPr>
        <w:t>1636000</w:t>
      </w:r>
    </w:p>
    <w:p w14:paraId="229C8DDA">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hint="eastAsia" w:ascii="仿宋" w:hAnsi="仿宋" w:eastAsia="仿宋" w:cs="宋体"/>
          <w:color w:val="auto"/>
        </w:rPr>
        <w:t>/</w:t>
      </w:r>
    </w:p>
    <w:p w14:paraId="0A311B0A">
      <w:pPr>
        <w:pStyle w:val="47"/>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14:paraId="40E438A3">
      <w:pPr>
        <w:snapToGrid w:val="0"/>
        <w:spacing w:beforeLines="100" w:line="360" w:lineRule="auto"/>
        <w:ind w:firstLine="843" w:firstLineChars="350"/>
        <w:rPr>
          <w:rFonts w:ascii="仿宋" w:hAnsi="仿宋" w:eastAsia="仿宋" w:cs="宋体"/>
          <w:b/>
          <w:color w:val="auto"/>
          <w:sz w:val="24"/>
          <w:szCs w:val="24"/>
        </w:rPr>
      </w:pPr>
      <w:r>
        <w:rPr>
          <w:rFonts w:hint="eastAsia" w:ascii="仿宋" w:hAnsi="仿宋" w:eastAsia="仿宋" w:cs="宋体"/>
          <w:b/>
          <w:color w:val="auto"/>
          <w:sz w:val="24"/>
          <w:szCs w:val="24"/>
        </w:rPr>
        <w:t>标项一</w:t>
      </w:r>
    </w:p>
    <w:p w14:paraId="52FF2AB4">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宋体"/>
          <w:bCs/>
          <w:color w:val="auto"/>
          <w:sz w:val="24"/>
        </w:rPr>
        <w:t>诸暨市人民政府暨阳街道办事处2025年度疗休养服务</w:t>
      </w:r>
    </w:p>
    <w:p w14:paraId="339B08D2">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:不限</w:t>
      </w:r>
    </w:p>
    <w:p w14:paraId="1AA08A84">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bCs/>
          <w:sz w:val="24"/>
        </w:rPr>
        <w:t>826000</w:t>
      </w:r>
    </w:p>
    <w:p w14:paraId="7FCE165B">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p>
    <w:p w14:paraId="5BB93FDB">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238C816A">
      <w:pPr>
        <w:snapToGrid w:val="0"/>
        <w:spacing w:beforeLines="50" w:line="360" w:lineRule="auto"/>
        <w:ind w:firstLine="843" w:firstLineChars="350"/>
        <w:rPr>
          <w:rFonts w:ascii="仿宋" w:hAnsi="仿宋" w:eastAsia="仿宋" w:cs="宋体"/>
          <w:b/>
          <w:color w:val="auto"/>
          <w:sz w:val="24"/>
          <w:szCs w:val="24"/>
        </w:rPr>
      </w:pPr>
      <w:r>
        <w:rPr>
          <w:rFonts w:hint="eastAsia" w:ascii="仿宋" w:hAnsi="仿宋" w:eastAsia="仿宋" w:cs="宋体"/>
          <w:b/>
          <w:color w:val="auto"/>
          <w:sz w:val="24"/>
          <w:szCs w:val="24"/>
        </w:rPr>
        <w:t>标项二</w:t>
      </w:r>
    </w:p>
    <w:p w14:paraId="64EAE155">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宋体"/>
          <w:bCs/>
          <w:color w:val="auto"/>
          <w:sz w:val="24"/>
        </w:rPr>
        <w:t>诸暨市人民政府暨阳街道办事处下辖社区2025年度疗休养服务</w:t>
      </w:r>
    </w:p>
    <w:p w14:paraId="5D919FDD">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338B990D">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bCs/>
          <w:sz w:val="24"/>
        </w:rPr>
        <w:t>810000</w:t>
      </w:r>
    </w:p>
    <w:p w14:paraId="1D5DA85F">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p>
    <w:p w14:paraId="7FA8A9D1">
      <w:pPr>
        <w:snapToGrid w:val="0"/>
        <w:spacing w:line="360" w:lineRule="auto"/>
        <w:ind w:firstLine="840" w:firstLineChars="350"/>
        <w:rPr>
          <w:rFonts w:ascii="仿宋" w:hAnsi="仿宋" w:eastAsia="仿宋" w:cs="宋体"/>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5A91F85D">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w:t>
      </w:r>
      <w:r>
        <w:rPr>
          <w:rFonts w:hint="eastAsia" w:ascii="仿宋" w:hAnsi="仿宋" w:eastAsia="仿宋"/>
          <w:b/>
          <w:color w:val="auto"/>
        </w:rPr>
        <w:t>标项1、2</w:t>
      </w:r>
      <w:r>
        <w:rPr>
          <w:rFonts w:hint="eastAsia" w:ascii="仿宋" w:hAnsi="仿宋" w:eastAsia="仿宋"/>
          <w:color w:val="auto"/>
        </w:rPr>
        <w:t>，详见招标文件采购需求。</w:t>
      </w:r>
    </w:p>
    <w:p w14:paraId="66540114">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323800C1">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14:paraId="63CEBF56">
      <w:pPr>
        <w:pStyle w:val="47"/>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1690F324">
      <w:pPr>
        <w:pStyle w:val="47"/>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p>
    <w:p w14:paraId="0F25A0CE">
      <w:pPr>
        <w:pStyle w:val="47"/>
        <w:spacing w:beforeLines="50" w:beforeAutospacing="0" w:afterLines="50" w:afterAutospacing="0" w:line="360" w:lineRule="exact"/>
        <w:ind w:firstLine="556"/>
        <w:rPr>
          <w:rFonts w:ascii="仿宋" w:hAnsi="仿宋" w:eastAsia="仿宋"/>
          <w:color w:val="auto"/>
        </w:rPr>
      </w:pPr>
      <w:r>
        <w:rPr>
          <w:rFonts w:ascii="仿宋" w:hAnsi="仿宋" w:eastAsia="仿宋"/>
          <w:color w:val="auto"/>
        </w:rPr>
        <w:t>【</w:t>
      </w:r>
      <w:r>
        <w:rPr>
          <w:rFonts w:ascii="仿宋" w:hAnsi="仿宋" w:eastAsia="仿宋"/>
          <w:b/>
          <w:color w:val="auto"/>
        </w:rPr>
        <w:t>标项1、2</w:t>
      </w:r>
      <w:r>
        <w:rPr>
          <w:rFonts w:ascii="仿宋" w:hAnsi="仿宋" w:eastAsia="仿宋"/>
          <w:color w:val="auto"/>
        </w:rPr>
        <w:t>】</w:t>
      </w:r>
      <w:r>
        <w:rPr>
          <w:rFonts w:ascii="仿宋" w:hAnsi="仿宋" w:eastAsia="仿宋"/>
          <w:b/>
          <w:color w:val="auto"/>
        </w:rPr>
        <w:t>：</w:t>
      </w:r>
    </w:p>
    <w:p w14:paraId="5B3D584A">
      <w:pPr>
        <w:pStyle w:val="47"/>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rPr>
        <w:t>□无；</w:t>
      </w:r>
    </w:p>
    <w:p w14:paraId="04077989">
      <w:pPr>
        <w:pStyle w:val="47"/>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专门面向中小企业：</w:t>
      </w:r>
    </w:p>
    <w:p w14:paraId="57398DF8">
      <w:pPr>
        <w:pStyle w:val="47"/>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服务全部由符合政策要求的中小企业承接，提供中小企业声明函；</w:t>
      </w:r>
    </w:p>
    <w:p w14:paraId="7516307E">
      <w:pPr>
        <w:pStyle w:val="47"/>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□服务全部由符合政策要求的小微企业承接，提供中小企业声明函。</w:t>
      </w:r>
    </w:p>
    <w:p w14:paraId="14B8B41F">
      <w:pPr>
        <w:pStyle w:val="47"/>
        <w:widowControl w:val="0"/>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13D34E5B">
      <w:pPr>
        <w:pStyle w:val="47"/>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5E5E7780">
      <w:pPr>
        <w:pStyle w:val="47"/>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w:t>
      </w:r>
    </w:p>
    <w:p w14:paraId="5D1DB906">
      <w:pPr>
        <w:pStyle w:val="47"/>
        <w:spacing w:beforeLines="50" w:beforeAutospacing="0" w:afterLines="50" w:afterAutospacing="0" w:line="360" w:lineRule="exact"/>
        <w:ind w:firstLine="556"/>
        <w:rPr>
          <w:rFonts w:ascii="仿宋" w:hAnsi="仿宋" w:eastAsia="仿宋"/>
          <w:color w:val="auto"/>
        </w:rPr>
      </w:pPr>
      <w:r>
        <w:rPr>
          <w:rFonts w:ascii="仿宋" w:hAnsi="仿宋" w:eastAsia="仿宋"/>
          <w:color w:val="auto"/>
        </w:rPr>
        <w:t>【</w:t>
      </w:r>
      <w:r>
        <w:rPr>
          <w:rFonts w:ascii="仿宋" w:hAnsi="仿宋" w:eastAsia="仿宋"/>
          <w:b/>
          <w:color w:val="auto"/>
        </w:rPr>
        <w:t>标项</w:t>
      </w:r>
      <w:r>
        <w:rPr>
          <w:rFonts w:hint="eastAsia" w:ascii="仿宋" w:hAnsi="仿宋" w:eastAsia="仿宋"/>
          <w:b/>
          <w:color w:val="auto"/>
        </w:rPr>
        <w:t>1、2</w:t>
      </w:r>
      <w:r>
        <w:rPr>
          <w:rFonts w:ascii="仿宋" w:hAnsi="仿宋" w:eastAsia="仿宋"/>
          <w:color w:val="auto"/>
        </w:rPr>
        <w:t>】</w:t>
      </w:r>
      <w:r>
        <w:rPr>
          <w:rFonts w:ascii="仿宋" w:hAnsi="仿宋" w:eastAsia="仿宋"/>
          <w:b/>
          <w:color w:val="auto"/>
        </w:rPr>
        <w:t>：</w:t>
      </w:r>
      <w:r>
        <w:rPr>
          <w:rFonts w:hint="eastAsia" w:ascii="仿宋" w:hAnsi="仿宋" w:eastAsia="仿宋"/>
          <w:color w:val="auto"/>
        </w:rPr>
        <w:t>具有旅游行政管理部门颁发的有效的《旅行社业务经营许可证》</w:t>
      </w:r>
      <w:r>
        <w:rPr>
          <w:rStyle w:val="257"/>
          <w:rFonts w:hint="eastAsia" w:ascii="仿宋" w:hAnsi="仿宋" w:eastAsia="仿宋"/>
          <w:color w:val="auto"/>
        </w:rPr>
        <w:t>。</w:t>
      </w:r>
    </w:p>
    <w:p w14:paraId="38DFE54D">
      <w:pPr>
        <w:pStyle w:val="47"/>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3D19EC">
      <w:pPr>
        <w:pStyle w:val="3"/>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14:paraId="6843EE12">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rPr>
        <w:t>2025年06月16日</w:t>
      </w:r>
      <w:r>
        <w:rPr>
          <w:rFonts w:hint="eastAsia" w:ascii="仿宋" w:hAnsi="仿宋" w:eastAsia="仿宋"/>
          <w:color w:val="auto"/>
        </w:rPr>
        <w:t>，每天上午00:00至12:00，下午12:00至</w:t>
      </w:r>
      <w:r>
        <w:rPr>
          <w:rFonts w:ascii="仿宋" w:hAnsi="仿宋" w:eastAsia="仿宋"/>
          <w:color w:val="auto"/>
        </w:rPr>
        <w:t>23:59</w:t>
      </w:r>
      <w:r>
        <w:rPr>
          <w:rFonts w:hint="eastAsia" w:ascii="仿宋" w:hAnsi="仿宋" w:eastAsia="仿宋"/>
          <w:color w:val="auto"/>
        </w:rPr>
        <w:t>（北京时间，线上获取法定节假日均可，线下获取文件法定节假日除外）</w:t>
      </w:r>
    </w:p>
    <w:p w14:paraId="04113772">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地点（网址）：政采云平台（https://www.zcygov.cn/）</w:t>
      </w:r>
    </w:p>
    <w:p w14:paraId="70F11BAD">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6"/>
          <w:rFonts w:hint="eastAsia" w:ascii="仿宋" w:hAnsi="仿宋" w:eastAsia="仿宋"/>
          <w:b w:val="0"/>
        </w:rPr>
        <w:t>供应商登录政采云平台https://www.zcygov.cn/在线申请获取采购文件（进入“项目采购”应用，在获取采购文件菜单中选择项目，申请获取采购文件）。</w:t>
      </w:r>
    </w:p>
    <w:p w14:paraId="3B597E95">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售价（元）：0</w:t>
      </w:r>
    </w:p>
    <w:p w14:paraId="743FB04C">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14:paraId="6F4CB6F4">
      <w:pPr>
        <w:pStyle w:val="47"/>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rPr>
        <w:t>06月16日 09</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r>
        <w:rPr>
          <w:rFonts w:hint="eastAsia" w:ascii="仿宋" w:hAnsi="仿宋" w:eastAsia="仿宋"/>
          <w:color w:val="auto"/>
        </w:rPr>
        <w:t>（北京时间）</w:t>
      </w:r>
    </w:p>
    <w:p w14:paraId="0E3D07C5">
      <w:pPr>
        <w:pStyle w:val="47"/>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投标地点（网址）：政采云平台（https://www.zcygov.cn/）</w:t>
      </w:r>
    </w:p>
    <w:p w14:paraId="3D70F742">
      <w:pPr>
        <w:pStyle w:val="47"/>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rPr>
        <w:t>2025年06月16日 09</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p>
    <w:p w14:paraId="16282AD1">
      <w:pPr>
        <w:pStyle w:val="47"/>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开标地点（网址）：政采云平台（https://www.zcygov.cn/）</w:t>
      </w:r>
    </w:p>
    <w:p w14:paraId="12B22EDA">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14:paraId="38759136">
      <w:pPr>
        <w:pStyle w:val="47"/>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14:paraId="594E6D85">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14:paraId="2912CA97">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《浙江省财政厅关于进一步发挥政府采购政策功能全力推动经济稳进提质的通知》 （浙财采监</w:t>
      </w:r>
      <w:r>
        <w:rPr>
          <w:rFonts w:hint="eastAsia" w:ascii="仿宋" w:hAnsi="仿宋" w:eastAsia="仿宋"/>
          <w:bCs/>
          <w:color w:val="auto"/>
          <w:sz w:val="24"/>
          <w:szCs w:val="24"/>
        </w:rPr>
        <w:t>〔2022〕</w:t>
      </w:r>
      <w:r>
        <w:rPr>
          <w:rFonts w:ascii="仿宋" w:hAnsi="仿宋" w:eastAsia="仿宋"/>
          <w:color w:val="auto"/>
          <w:sz w:val="24"/>
          <w:szCs w:val="24"/>
        </w:rPr>
        <w:t>3号）、《浙江省财政厅关于进一步促进政府采购公平竞争打造最优营商环境的通知》（浙财采监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22号）、《浙江省财政厅关于进一步加大政府采购支持中小企业力度助力扎实稳住经济的通知》（浙财采监</w:t>
      </w:r>
      <w:r>
        <w:rPr>
          <w:rFonts w:hint="eastAsia" w:ascii="仿宋" w:hAnsi="仿宋" w:eastAsia="仿宋"/>
          <w:bCs/>
          <w:color w:val="auto"/>
          <w:sz w:val="24"/>
          <w:szCs w:val="24"/>
        </w:rPr>
        <w:t>〔2022〕</w:t>
      </w:r>
      <w:r>
        <w:rPr>
          <w:rFonts w:hint="eastAsia" w:ascii="仿宋" w:hAnsi="仿宋" w:eastAsia="仿宋"/>
          <w:color w:val="auto"/>
          <w:sz w:val="24"/>
          <w:szCs w:val="24"/>
        </w:rPr>
        <w:t>8</w:t>
      </w:r>
      <w:r>
        <w:rPr>
          <w:rFonts w:ascii="仿宋" w:hAnsi="仿宋" w:eastAsia="仿宋"/>
          <w:color w:val="auto"/>
          <w:sz w:val="24"/>
          <w:szCs w:val="24"/>
        </w:rPr>
        <w:t>号）已分别于2022年1月29日、2022年2月1日和</w:t>
      </w:r>
      <w:r>
        <w:rPr>
          <w:rFonts w:hint="eastAsia" w:ascii="仿宋" w:hAnsi="仿宋" w:eastAsia="仿宋"/>
          <w:color w:val="auto"/>
          <w:sz w:val="24"/>
          <w:szCs w:val="24"/>
        </w:rPr>
        <w:t>2022年7月1日</w:t>
      </w:r>
      <w:r>
        <w:rPr>
          <w:rFonts w:ascii="仿宋" w:hAnsi="仿宋" w:eastAsia="仿宋"/>
          <w:color w:val="auto"/>
          <w:sz w:val="24"/>
          <w:szCs w:val="24"/>
        </w:rPr>
        <w:t>开始实施，此前有关规定与上述文件内容不一致的，按上述文件要求执行。</w:t>
      </w:r>
    </w:p>
    <w:p w14:paraId="2BF5F824">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根据《浙江省财政厅关于进一步促进政府采购公平竞争打造最优营商环境的通知》（浙财采监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CCD8F2">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3.</w:t>
      </w:r>
      <w:r>
        <w:rPr>
          <w:rFonts w:ascii="仿宋" w:hAnsi="仿宋" w:eastAsia="仿宋"/>
          <w:color w:val="auto"/>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799888">
      <w:pPr>
        <w:pStyle w:val="47"/>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4.其他事项：</w:t>
      </w:r>
    </w:p>
    <w:p w14:paraId="16FAE793">
      <w:pPr>
        <w:pStyle w:val="47"/>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包括节约资源、保护环境、支持创新、促进中小企业发展等。详见招标文件的第二部分总则。</w:t>
      </w:r>
      <w:r>
        <w:rPr>
          <w:rFonts w:hint="eastAsia" w:ascii="仿宋" w:hAnsi="仿宋" w:eastAsia="仿宋"/>
          <w:color w:val="auto"/>
        </w:rPr>
        <w:t>（2）电子招投标的说明：</w:t>
      </w:r>
      <w:r>
        <w:rPr>
          <w:rFonts w:hint="eastAsia" w:ascii="仿宋" w:hAnsi="仿宋" w:eastAsia="仿宋" w:cs="Times New Roman"/>
          <w:color w:val="auto"/>
          <w:szCs w:val="28"/>
        </w:rPr>
        <w:t>①电子招投标：本项目以数据电文形式，依托“政府采购云平台（www.zcygov.cn）”进行招投标活动，不接受纸质投标文件</w:t>
      </w:r>
      <w:r>
        <w:rPr>
          <w:rFonts w:hint="eastAsia" w:ascii="仿宋" w:hAnsi="仿宋" w:eastAsia="仿宋"/>
          <w:color w:val="auto"/>
        </w:rPr>
        <w:t>；②投标准备：</w:t>
      </w:r>
      <w:r>
        <w:rPr>
          <w:rFonts w:ascii="仿宋" w:hAnsi="仿宋" w:eastAsia="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rPr>
        <w:t>采云电子交易客户端”</w:t>
      </w:r>
      <w:r>
        <w:rPr>
          <w:rFonts w:ascii="仿宋" w:hAnsi="仿宋" w:eastAsia="仿宋" w:cs="仿宋_GB2312"/>
          <w:color w:val="000000" w:themeColor="text1"/>
        </w:rPr>
        <w:t>----前往“浙江政府采购网-下载专区-电子交易客户端”进行下载并安装</w:t>
      </w:r>
      <w:r>
        <w:rPr>
          <w:rFonts w:hint="eastAsia" w:ascii="仿宋" w:hAnsi="仿宋" w:eastAsia="仿宋"/>
          <w:color w:val="auto"/>
        </w:rPr>
        <w:t>；③</w:t>
      </w:r>
      <w:r>
        <w:rPr>
          <w:rFonts w:hint="eastAsia" w:ascii="仿宋" w:hAnsi="仿宋" w:eastAsia="仿宋"/>
          <w:color w:val="auto"/>
          <w:szCs w:val="28"/>
        </w:rPr>
        <w:t>招标文件的获取：</w:t>
      </w:r>
      <w:r>
        <w:rPr>
          <w:rFonts w:ascii="仿宋" w:hAnsi="仿宋" w:eastAsia="仿宋" w:cs="仿宋_GB2312"/>
          <w:color w:val="000000" w:themeColor="text1"/>
        </w:rPr>
        <w:t>使用账号登录或者使用CA登录政</w:t>
      </w:r>
      <w:r>
        <w:rPr>
          <w:rFonts w:hint="eastAsia" w:ascii="仿宋" w:hAnsi="仿宋" w:eastAsia="仿宋" w:cs="仿宋_GB2312"/>
          <w:color w:val="000000" w:themeColor="text1"/>
        </w:rPr>
        <w:t>采云平台；进入“项目采购”应用，在获取采购文件菜单中选择项目，获取招标文件</w:t>
      </w:r>
      <w:r>
        <w:rPr>
          <w:rFonts w:hint="eastAsia" w:ascii="仿宋" w:hAnsi="仿宋" w:eastAsia="仿宋"/>
          <w:color w:val="auto"/>
          <w:szCs w:val="28"/>
        </w:rPr>
        <w:t>。</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在“政采云电子交易客户端”中完成“填写基本信息”、“导入投标文件”、“标书关联”、“标书检查”、“电子签名”、“生成电子标书”等操作；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olor w:val="auto"/>
          <w:szCs w:val="28"/>
        </w:rPr>
        <w:t>纸质版；</w:t>
      </w:r>
      <w:r>
        <w:rPr>
          <w:rFonts w:hint="eastAsia" w:ascii="仿宋" w:hAnsi="仿宋" w:eastAsia="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r>
        <w:rPr>
          <w:rFonts w:hint="eastAsia" w:ascii="仿宋" w:hAnsi="仿宋" w:eastAsia="仿宋"/>
          <w:color w:val="auto"/>
        </w:rPr>
        <w:t>（3）招标文件公告期限与招标公告的公告期限一致。</w:t>
      </w:r>
    </w:p>
    <w:p w14:paraId="1461D48D">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14:paraId="74A969E1">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14:paraId="22FD8617">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60"/>
          <w:rFonts w:eastAsia="仿宋" w:cs="Calibri"/>
          <w:color w:val="auto"/>
        </w:rPr>
        <w:t> </w:t>
      </w:r>
      <w:r>
        <w:rPr>
          <w:rFonts w:hint="eastAsia" w:ascii="仿宋" w:hAnsi="仿宋" w:eastAsia="仿宋"/>
          <w:color w:val="auto"/>
        </w:rPr>
        <w:t>称：诸暨市人民政府暨阳街道办事处</w:t>
      </w:r>
    </w:p>
    <w:p w14:paraId="7FAF0BC7">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址：诸暨市红旗路26号</w:t>
      </w:r>
    </w:p>
    <w:p w14:paraId="765257C2">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项目联系人（询问）：陈伟洁</w:t>
      </w:r>
    </w:p>
    <w:p w14:paraId="573817F7">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项目联系方式（询问）：15958585175（工作电话）</w:t>
      </w:r>
    </w:p>
    <w:p w14:paraId="743C9B91">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质疑联系人：钟碧泳</w:t>
      </w:r>
    </w:p>
    <w:p w14:paraId="305D4547">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质疑联系方式：13758589616（工作电话）</w:t>
      </w:r>
      <w:bookmarkStart w:id="38" w:name="_GoBack"/>
      <w:bookmarkEnd w:id="38"/>
    </w:p>
    <w:p w14:paraId="5B4E4008">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14:paraId="09B0000C">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14:paraId="4CADDFAD">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14:paraId="3830874B">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14:paraId="21AD82CE">
      <w:pPr>
        <w:pStyle w:val="47"/>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14:paraId="1A57184A">
      <w:pPr>
        <w:pStyle w:val="47"/>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14:paraId="2868FB4F">
      <w:pPr>
        <w:pStyle w:val="47"/>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14:paraId="68119946">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14:paraId="00BEACBC">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14:paraId="1A3F4E25">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14:paraId="3C898DB5">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联系人：吕雅玲</w:t>
      </w:r>
    </w:p>
    <w:p w14:paraId="4D7B5FE2">
      <w:pPr>
        <w:pStyle w:val="47"/>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0575-87113461</w:t>
      </w:r>
    </w:p>
    <w:p w14:paraId="0D1C6D84">
      <w:pPr>
        <w:pStyle w:val="47"/>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14:paraId="17A6D309">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10" w:footer="454" w:gutter="0"/>
          <w:pgNumType w:fmt="numberInDash" w:start="1"/>
          <w:cols w:space="720" w:num="1"/>
          <w:titlePg/>
          <w:docGrid w:type="lines" w:linePitch="312" w:charSpace="0"/>
        </w:sectPr>
      </w:pPr>
    </w:p>
    <w:bookmarkEnd w:id="0"/>
    <w:p w14:paraId="116F30B9">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第二部分   投标人须知</w:t>
      </w:r>
    </w:p>
    <w:p w14:paraId="548CC16A">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3"/>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47BF4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384880A8">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auto"/>
            <w:vAlign w:val="center"/>
          </w:tcPr>
          <w:p w14:paraId="4E60EEDB">
            <w:pPr>
              <w:pStyle w:val="26"/>
              <w:spacing w:line="300" w:lineRule="auto"/>
              <w:jc w:val="center"/>
              <w:rPr>
                <w:rFonts w:ascii="仿宋" w:hAnsi="仿宋" w:eastAsia="仿宋"/>
                <w:b/>
                <w:szCs w:val="24"/>
              </w:rPr>
            </w:pPr>
            <w:r>
              <w:rPr>
                <w:rFonts w:ascii="仿宋" w:hAnsi="仿宋" w:eastAsia="仿宋"/>
                <w:b/>
                <w:szCs w:val="24"/>
              </w:rPr>
              <w:t>事项</w:t>
            </w:r>
          </w:p>
        </w:tc>
        <w:tc>
          <w:tcPr>
            <w:tcW w:w="7589" w:type="dxa"/>
            <w:tcBorders>
              <w:top w:val="single" w:color="auto" w:sz="12" w:space="0"/>
              <w:bottom w:val="single" w:color="auto" w:sz="6" w:space="0"/>
            </w:tcBorders>
            <w:shd w:val="clear" w:color="auto" w:fill="auto"/>
            <w:vAlign w:val="center"/>
          </w:tcPr>
          <w:p w14:paraId="5F19E20E">
            <w:pPr>
              <w:pStyle w:val="26"/>
              <w:spacing w:line="300" w:lineRule="auto"/>
              <w:jc w:val="center"/>
              <w:rPr>
                <w:rFonts w:ascii="仿宋" w:hAnsi="仿宋" w:eastAsia="仿宋"/>
                <w:b/>
                <w:szCs w:val="24"/>
              </w:rPr>
            </w:pPr>
            <w:r>
              <w:rPr>
                <w:rFonts w:hint="eastAsia" w:ascii="仿宋" w:hAnsi="仿宋" w:eastAsia="仿宋"/>
                <w:b/>
                <w:szCs w:val="24"/>
              </w:rPr>
              <w:t>本项目的特别规定</w:t>
            </w:r>
          </w:p>
        </w:tc>
      </w:tr>
      <w:tr w14:paraId="69039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157D58E">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vAlign w:val="center"/>
          </w:tcPr>
          <w:p w14:paraId="70EB7D7C">
            <w:pPr>
              <w:pStyle w:val="26"/>
              <w:spacing w:line="300" w:lineRule="auto"/>
              <w:jc w:val="center"/>
              <w:rPr>
                <w:rFonts w:ascii="仿宋" w:hAnsi="仿宋" w:eastAsia="仿宋"/>
                <w:b/>
                <w:szCs w:val="24"/>
              </w:rPr>
            </w:pPr>
            <w:r>
              <w:rPr>
                <w:rFonts w:hint="eastAsia" w:ascii="仿宋" w:hAnsi="仿宋" w:eastAsia="仿宋"/>
                <w:b/>
                <w:szCs w:val="24"/>
              </w:rPr>
              <w:t>项目属性</w:t>
            </w:r>
          </w:p>
        </w:tc>
        <w:tc>
          <w:tcPr>
            <w:tcW w:w="7589" w:type="dxa"/>
            <w:vAlign w:val="center"/>
          </w:tcPr>
          <w:p w14:paraId="583076C8">
            <w:pPr>
              <w:pStyle w:val="26"/>
              <w:spacing w:line="300" w:lineRule="auto"/>
              <w:rPr>
                <w:rFonts w:ascii="仿宋" w:hAnsi="仿宋" w:eastAsia="仿宋"/>
                <w:b/>
                <w:szCs w:val="24"/>
              </w:rPr>
            </w:pPr>
            <w:r>
              <w:rPr>
                <w:rFonts w:hint="eastAsia" w:ascii="仿宋" w:hAnsi="仿宋" w:eastAsia="仿宋"/>
                <w:szCs w:val="24"/>
              </w:rPr>
              <w:t>服务类。</w:t>
            </w:r>
          </w:p>
        </w:tc>
      </w:tr>
      <w:tr w14:paraId="258BC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4" w:type="dxa"/>
            <w:vMerge w:val="restart"/>
            <w:vAlign w:val="center"/>
          </w:tcPr>
          <w:p w14:paraId="70C6B884">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Merge w:val="restart"/>
            <w:vAlign w:val="center"/>
          </w:tcPr>
          <w:p w14:paraId="75672986">
            <w:pPr>
              <w:pStyle w:val="26"/>
              <w:spacing w:line="300" w:lineRule="auto"/>
              <w:jc w:val="center"/>
              <w:rPr>
                <w:rFonts w:ascii="仿宋" w:hAnsi="仿宋" w:eastAsia="仿宋"/>
                <w:b/>
                <w:szCs w:val="24"/>
              </w:rPr>
            </w:pPr>
            <w:r>
              <w:rPr>
                <w:rFonts w:hint="eastAsia" w:ascii="仿宋" w:hAnsi="仿宋" w:eastAsia="仿宋" w:cs="仿宋_GB2312"/>
                <w:b/>
              </w:rPr>
              <w:t>采购标的及其对应的中小企业划分标准所属行业</w:t>
            </w:r>
          </w:p>
        </w:tc>
        <w:tc>
          <w:tcPr>
            <w:tcW w:w="7589" w:type="dxa"/>
            <w:vAlign w:val="center"/>
          </w:tcPr>
          <w:p w14:paraId="596C39C6">
            <w:pPr>
              <w:pStyle w:val="26"/>
              <w:spacing w:line="300" w:lineRule="auto"/>
              <w:rPr>
                <w:rFonts w:ascii="仿宋" w:hAnsi="仿宋" w:eastAsia="仿宋"/>
                <w:szCs w:val="24"/>
              </w:rPr>
            </w:pPr>
            <w:r>
              <w:rPr>
                <w:rFonts w:hint="eastAsia" w:ascii="仿宋" w:hAnsi="仿宋" w:eastAsia="仿宋"/>
                <w:szCs w:val="24"/>
              </w:rPr>
              <w:t>标项1：</w:t>
            </w:r>
          </w:p>
          <w:p w14:paraId="13CEF628">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宋体"/>
                <w:bCs/>
                <w:u w:val="single"/>
              </w:rPr>
              <w:t>诸暨市人民政府暨阳街道办事处2025年度疗休养服务</w:t>
            </w:r>
            <w:r>
              <w:rPr>
                <w:rFonts w:hint="eastAsia" w:ascii="仿宋" w:hAnsi="仿宋" w:eastAsia="仿宋"/>
                <w:szCs w:val="24"/>
              </w:rPr>
              <w:t>，属于</w:t>
            </w:r>
            <w:r>
              <w:rPr>
                <w:rFonts w:hint="eastAsia" w:ascii="仿宋" w:hAnsi="仿宋" w:eastAsia="仿宋"/>
                <w:szCs w:val="24"/>
                <w:u w:val="single"/>
              </w:rPr>
              <w:t>租赁和商务服务业</w:t>
            </w:r>
            <w:r>
              <w:rPr>
                <w:rFonts w:hint="eastAsia" w:ascii="仿宋" w:hAnsi="仿宋" w:eastAsia="仿宋"/>
                <w:szCs w:val="24"/>
              </w:rPr>
              <w:t>行业。</w:t>
            </w:r>
          </w:p>
        </w:tc>
      </w:tr>
      <w:tr w14:paraId="1C333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4" w:type="dxa"/>
            <w:vMerge w:val="continue"/>
            <w:vAlign w:val="center"/>
          </w:tcPr>
          <w:p w14:paraId="15AB4CE6">
            <w:pPr>
              <w:pStyle w:val="26"/>
              <w:spacing w:line="300" w:lineRule="auto"/>
              <w:jc w:val="center"/>
              <w:rPr>
                <w:rFonts w:ascii="仿宋" w:hAnsi="仿宋" w:eastAsia="仿宋"/>
                <w:b/>
                <w:szCs w:val="24"/>
              </w:rPr>
            </w:pPr>
          </w:p>
        </w:tc>
        <w:tc>
          <w:tcPr>
            <w:tcW w:w="1776" w:type="dxa"/>
            <w:vMerge w:val="continue"/>
            <w:vAlign w:val="center"/>
          </w:tcPr>
          <w:p w14:paraId="23657440">
            <w:pPr>
              <w:pStyle w:val="26"/>
              <w:spacing w:line="300" w:lineRule="auto"/>
              <w:jc w:val="center"/>
              <w:rPr>
                <w:rFonts w:ascii="仿宋" w:hAnsi="仿宋" w:eastAsia="仿宋" w:cs="仿宋_GB2312"/>
                <w:b/>
              </w:rPr>
            </w:pPr>
          </w:p>
        </w:tc>
        <w:tc>
          <w:tcPr>
            <w:tcW w:w="7589" w:type="dxa"/>
            <w:vAlign w:val="center"/>
          </w:tcPr>
          <w:p w14:paraId="126FDCAA">
            <w:pPr>
              <w:pStyle w:val="26"/>
              <w:spacing w:line="300" w:lineRule="auto"/>
              <w:rPr>
                <w:rFonts w:ascii="仿宋" w:hAnsi="仿宋" w:eastAsia="仿宋"/>
                <w:szCs w:val="24"/>
              </w:rPr>
            </w:pPr>
            <w:r>
              <w:rPr>
                <w:rFonts w:hint="eastAsia" w:ascii="仿宋" w:hAnsi="仿宋" w:eastAsia="仿宋"/>
                <w:szCs w:val="24"/>
              </w:rPr>
              <w:t>标项2：</w:t>
            </w:r>
          </w:p>
          <w:p w14:paraId="243EF018">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宋体"/>
                <w:bCs/>
                <w:u w:val="single"/>
              </w:rPr>
              <w:t>诸暨市人民政府暨阳街道办事处下辖社区2025年度疗休养服务</w:t>
            </w:r>
            <w:r>
              <w:rPr>
                <w:rFonts w:hint="eastAsia" w:ascii="仿宋" w:hAnsi="仿宋" w:eastAsia="仿宋"/>
                <w:szCs w:val="24"/>
              </w:rPr>
              <w:t>，属于</w:t>
            </w:r>
            <w:r>
              <w:rPr>
                <w:rFonts w:hint="eastAsia" w:ascii="仿宋" w:hAnsi="仿宋" w:eastAsia="仿宋"/>
                <w:szCs w:val="24"/>
                <w:u w:val="single"/>
              </w:rPr>
              <w:t>租赁和商务服务业</w:t>
            </w:r>
            <w:r>
              <w:rPr>
                <w:rFonts w:hint="eastAsia" w:ascii="仿宋" w:hAnsi="仿宋" w:eastAsia="仿宋"/>
                <w:szCs w:val="24"/>
              </w:rPr>
              <w:t>行业。</w:t>
            </w:r>
          </w:p>
        </w:tc>
      </w:tr>
      <w:tr w14:paraId="57B77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13A41E0">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14:paraId="0971186D">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14:paraId="38E041D6">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35BF00B0">
            <w:pPr>
              <w:spacing w:line="300" w:lineRule="auto"/>
              <w:rPr>
                <w:rFonts w:ascii="仿宋" w:hAnsi="仿宋" w:eastAsia="仿宋"/>
                <w:color w:val="auto"/>
                <w:sz w:val="24"/>
              </w:rPr>
            </w:pPr>
            <w:r>
              <w:rPr>
                <w:rFonts w:hint="eastAsia" w:ascii="仿宋" w:hAnsi="仿宋" w:eastAsia="仿宋"/>
                <w:color w:val="auto"/>
                <w:sz w:val="24"/>
                <w:szCs w:val="24"/>
              </w:rPr>
              <w:t>□可以就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1F855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27CCE3C">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14:paraId="70D96BE7">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14:paraId="4B084994">
            <w:pPr>
              <w:spacing w:line="300" w:lineRule="auto"/>
              <w:rPr>
                <w:rFonts w:ascii="仿宋" w:hAnsi="仿宋" w:eastAsia="仿宋"/>
                <w:color w:val="auto"/>
                <w:sz w:val="24"/>
                <w:szCs w:val="24"/>
              </w:rPr>
            </w:pPr>
            <w:r>
              <w:rPr>
                <w:rFonts w:hint="eastAsia" w:ascii="仿宋" w:hAnsi="仿宋" w:eastAsia="仿宋"/>
                <w:color w:val="auto"/>
                <w:sz w:val="24"/>
                <w:szCs w:val="24"/>
              </w:rPr>
              <w:t>□A</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p w14:paraId="5C208615">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B【不同意分包】。</w:t>
            </w:r>
          </w:p>
        </w:tc>
      </w:tr>
      <w:tr w14:paraId="55D58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02679F0">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14:paraId="70BECDA6">
            <w:pPr>
              <w:pStyle w:val="26"/>
              <w:spacing w:line="300" w:lineRule="auto"/>
              <w:jc w:val="center"/>
              <w:rPr>
                <w:rFonts w:ascii="仿宋" w:hAnsi="仿宋" w:eastAsia="仿宋" w:cs="仿宋_GB2312"/>
                <w:b/>
              </w:rPr>
            </w:pPr>
            <w:r>
              <w:rPr>
                <w:rFonts w:hint="eastAsia" w:ascii="仿宋" w:hAnsi="仿宋" w:eastAsia="仿宋" w:cs="仿宋_GB2312"/>
                <w:b/>
              </w:rPr>
              <w:t>开标前答疑会或现场考察</w:t>
            </w:r>
          </w:p>
        </w:tc>
        <w:tc>
          <w:tcPr>
            <w:tcW w:w="7589" w:type="dxa"/>
            <w:vAlign w:val="center"/>
          </w:tcPr>
          <w:p w14:paraId="07B32D3A">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73888F15">
            <w:pPr>
              <w:spacing w:line="300" w:lineRule="auto"/>
              <w:rPr>
                <w:rFonts w:ascii="仿宋" w:hAnsi="仿宋" w:eastAsia="仿宋"/>
                <w:color w:val="auto"/>
                <w:sz w:val="24"/>
                <w:szCs w:val="24"/>
              </w:rPr>
            </w:pPr>
            <w:r>
              <w:rPr>
                <w:rFonts w:hint="eastAsia" w:ascii="仿宋" w:hAnsi="仿宋" w:eastAsia="仿宋"/>
                <w:color w:val="auto"/>
                <w:sz w:val="24"/>
              </w:rPr>
              <w:t>□B组织，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w:t>
            </w:r>
          </w:p>
          <w:p w14:paraId="54D5DACE">
            <w:pPr>
              <w:spacing w:line="300" w:lineRule="auto"/>
              <w:rPr>
                <w:rFonts w:ascii="仿宋" w:hAnsi="仿宋" w:eastAsia="仿宋"/>
                <w:color w:val="auto"/>
                <w:sz w:val="24"/>
              </w:rPr>
            </w:pPr>
            <w:r>
              <w:rPr>
                <w:rFonts w:hint="eastAsia" w:ascii="仿宋" w:hAnsi="仿宋" w:eastAsia="仿宋"/>
                <w:color w:val="auto"/>
                <w:sz w:val="24"/>
              </w:rPr>
              <w:t>□C不统一组织，供应商在获取采购文件后，自行至项目现场考察。地点：</w:t>
            </w:r>
            <w:r>
              <w:rPr>
                <w:rFonts w:hint="eastAsia" w:ascii="仿宋" w:hAnsi="仿宋" w:eastAsia="仿宋"/>
                <w:color w:val="auto"/>
                <w:u w:val="single"/>
              </w:rPr>
              <w:t>__/_</w:t>
            </w:r>
            <w:r>
              <w:rPr>
                <w:rFonts w:hint="eastAsia" w:ascii="仿宋" w:hAnsi="仿宋" w:eastAsia="仿宋"/>
                <w:color w:val="auto"/>
                <w:sz w:val="24"/>
              </w:rPr>
              <w:t>，联系人：</w:t>
            </w:r>
            <w:r>
              <w:rPr>
                <w:rFonts w:hint="eastAsia" w:ascii="仿宋" w:hAnsi="仿宋" w:eastAsia="仿宋"/>
                <w:color w:val="auto"/>
                <w:u w:val="single"/>
              </w:rPr>
              <w:t>__/_</w:t>
            </w:r>
            <w:r>
              <w:rPr>
                <w:rFonts w:hint="eastAsia" w:ascii="仿宋" w:hAnsi="仿宋" w:eastAsia="仿宋"/>
                <w:color w:val="auto"/>
                <w:sz w:val="24"/>
              </w:rPr>
              <w:t>，联系方式：</w:t>
            </w:r>
            <w:r>
              <w:rPr>
                <w:rFonts w:hint="eastAsia" w:ascii="仿宋" w:hAnsi="仿宋" w:eastAsia="仿宋"/>
                <w:color w:val="auto"/>
                <w:u w:val="single"/>
              </w:rPr>
              <w:t>__/_</w:t>
            </w:r>
            <w:r>
              <w:rPr>
                <w:rFonts w:hint="eastAsia" w:ascii="仿宋" w:hAnsi="仿宋" w:eastAsia="仿宋"/>
                <w:color w:val="auto"/>
                <w:sz w:val="24"/>
                <w:szCs w:val="24"/>
              </w:rPr>
              <w:t>。</w:t>
            </w:r>
          </w:p>
        </w:tc>
      </w:tr>
      <w:tr w14:paraId="64C77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AD2190D">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14:paraId="6D3C0787">
            <w:pPr>
              <w:pStyle w:val="26"/>
              <w:spacing w:line="300" w:lineRule="auto"/>
              <w:jc w:val="center"/>
              <w:rPr>
                <w:rFonts w:ascii="仿宋" w:hAnsi="仿宋" w:eastAsia="仿宋" w:cs="仿宋_GB2312"/>
                <w:b/>
              </w:rPr>
            </w:pPr>
            <w:r>
              <w:rPr>
                <w:rFonts w:hint="eastAsia" w:ascii="仿宋" w:hAnsi="仿宋" w:eastAsia="仿宋" w:cs="仿宋_GB2312"/>
                <w:b/>
              </w:rPr>
              <w:t>样品提供</w:t>
            </w:r>
          </w:p>
        </w:tc>
        <w:tc>
          <w:tcPr>
            <w:tcW w:w="7589" w:type="dxa"/>
            <w:vAlign w:val="center"/>
          </w:tcPr>
          <w:p w14:paraId="4E53A11F">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A【不要求提供】。</w:t>
            </w:r>
          </w:p>
          <w:p w14:paraId="43F05B52">
            <w:pPr>
              <w:spacing w:line="300" w:lineRule="auto"/>
              <w:rPr>
                <w:rFonts w:ascii="仿宋" w:hAnsi="仿宋" w:eastAsia="仿宋"/>
                <w:color w:val="auto"/>
                <w:sz w:val="24"/>
                <w:szCs w:val="24"/>
              </w:rPr>
            </w:pPr>
            <w:r>
              <w:rPr>
                <w:rFonts w:hint="eastAsia" w:ascii="仿宋" w:hAnsi="仿宋" w:eastAsia="仿宋"/>
                <w:color w:val="auto"/>
                <w:sz w:val="24"/>
              </w:rPr>
              <w:t>□B要求提供，具体规定</w:t>
            </w:r>
            <w:r>
              <w:rPr>
                <w:rFonts w:hint="eastAsia" w:ascii="仿宋" w:hAnsi="仿宋" w:eastAsia="仿宋"/>
                <w:color w:val="auto"/>
                <w:sz w:val="24"/>
                <w:szCs w:val="24"/>
              </w:rPr>
              <w:t>如下：</w:t>
            </w:r>
          </w:p>
          <w:p w14:paraId="2AEAD376">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snapToGrid w:val="0"/>
                <w:color w:val="000000" w:themeColor="text1"/>
                <w:kern w:val="28"/>
                <w:sz w:val="24"/>
              </w:rPr>
              <w:t>样品：</w:t>
            </w:r>
            <w:r>
              <w:rPr>
                <w:rFonts w:hint="eastAsia" w:ascii="仿宋" w:hAnsi="仿宋" w:eastAsia="仿宋"/>
                <w:color w:val="auto"/>
                <w:u w:val="single"/>
              </w:rPr>
              <w:t>__/_</w:t>
            </w:r>
            <w:r>
              <w:rPr>
                <w:rFonts w:hint="eastAsia" w:ascii="仿宋" w:hAnsi="仿宋" w:eastAsia="仿宋" w:cs="Arial"/>
                <w:color w:val="000000" w:themeColor="text1"/>
                <w:sz w:val="24"/>
              </w:rPr>
              <w:t>;</w:t>
            </w:r>
          </w:p>
          <w:p w14:paraId="7F84E1E4">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snapToGrid w:val="0"/>
                <w:color w:val="000000" w:themeColor="text1"/>
                <w:kern w:val="28"/>
                <w:sz w:val="24"/>
              </w:rPr>
              <w:t>样品制作的标准和要求：</w:t>
            </w:r>
            <w:r>
              <w:rPr>
                <w:rFonts w:hint="eastAsia" w:ascii="仿宋" w:hAnsi="仿宋" w:eastAsia="仿宋"/>
                <w:color w:val="auto"/>
                <w:u w:val="single"/>
              </w:rPr>
              <w:t>__/_</w:t>
            </w:r>
            <w:r>
              <w:rPr>
                <w:rFonts w:hint="eastAsia" w:ascii="仿宋" w:hAnsi="仿宋" w:eastAsia="仿宋"/>
                <w:color w:val="000000" w:themeColor="text1"/>
                <w:sz w:val="24"/>
              </w:rPr>
              <w:t>；</w:t>
            </w:r>
          </w:p>
          <w:p w14:paraId="4C7DD32D">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3）样品的评审方法以及评审标准</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w:t>
            </w:r>
          </w:p>
          <w:p w14:paraId="371C6D25">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4）是否需要随样品提交检测报告</w:t>
            </w:r>
            <w:r>
              <w:rPr>
                <w:rFonts w:hint="eastAsia" w:ascii="仿宋" w:hAnsi="仿宋" w:eastAsia="仿宋"/>
                <w:color w:val="000000" w:themeColor="text1"/>
                <w:sz w:val="24"/>
              </w:rPr>
              <w:t>：</w:t>
            </w:r>
            <w:r>
              <w:rPr>
                <w:rFonts w:hint="eastAsia" w:ascii="仿宋" w:hAnsi="仿宋" w:eastAsia="仿宋"/>
                <w:color w:val="auto"/>
                <w:sz w:val="24"/>
              </w:rPr>
              <w:t>□</w:t>
            </w:r>
            <w:r>
              <w:rPr>
                <w:rFonts w:ascii="仿宋" w:hAnsi="仿宋" w:eastAsia="仿宋"/>
                <w:color w:val="000000" w:themeColor="text1"/>
                <w:sz w:val="24"/>
              </w:rPr>
              <w:t>否；</w:t>
            </w:r>
            <w:r>
              <w:rPr>
                <w:rFonts w:hint="eastAsia" w:ascii="仿宋" w:hAnsi="仿宋" w:eastAsia="仿宋"/>
                <w:color w:val="auto"/>
                <w:sz w:val="24"/>
              </w:rPr>
              <w:t>□</w:t>
            </w:r>
            <w:r>
              <w:rPr>
                <w:rFonts w:ascii="仿宋" w:hAnsi="仿宋" w:eastAsia="仿宋"/>
                <w:color w:val="000000" w:themeColor="text1"/>
                <w:sz w:val="24"/>
              </w:rPr>
              <w:t>是，检测机构的要求</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；检测内容：</w:t>
            </w:r>
            <w:r>
              <w:rPr>
                <w:rFonts w:hint="eastAsia" w:ascii="仿宋" w:hAnsi="仿宋" w:eastAsia="仿宋"/>
                <w:color w:val="auto"/>
                <w:u w:val="single"/>
              </w:rPr>
              <w:t>__/_</w:t>
            </w:r>
            <w:r>
              <w:rPr>
                <w:rFonts w:hint="eastAsia" w:ascii="仿宋" w:hAnsi="仿宋" w:eastAsia="仿宋"/>
                <w:color w:val="000000" w:themeColor="text1"/>
                <w:sz w:val="24"/>
              </w:rPr>
              <w:t>。</w:t>
            </w:r>
          </w:p>
          <w:p w14:paraId="09EFECC2">
            <w:pPr>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5）提供样品的时间：</w:t>
            </w:r>
            <w:r>
              <w:rPr>
                <w:rFonts w:hint="eastAsia" w:ascii="仿宋" w:hAnsi="仿宋" w:eastAsia="仿宋"/>
                <w:color w:val="auto"/>
                <w:u w:val="single"/>
              </w:rPr>
              <w:t>__/_</w:t>
            </w:r>
            <w:r>
              <w:rPr>
                <w:rFonts w:hint="eastAsia" w:ascii="仿宋" w:hAnsi="仿宋" w:eastAsia="仿宋"/>
                <w:color w:val="000000" w:themeColor="text1"/>
                <w:sz w:val="24"/>
              </w:rPr>
              <w:t>；地点：</w:t>
            </w:r>
            <w:r>
              <w:rPr>
                <w:rFonts w:hint="eastAsia" w:ascii="仿宋" w:hAnsi="仿宋" w:eastAsia="仿宋"/>
                <w:color w:val="auto"/>
                <w:u w:val="single"/>
              </w:rPr>
              <w:t>__/_</w:t>
            </w:r>
            <w:r>
              <w:rPr>
                <w:rFonts w:hint="eastAsia" w:ascii="仿宋" w:hAnsi="仿宋" w:eastAsia="仿宋"/>
                <w:color w:val="000000" w:themeColor="text1"/>
                <w:sz w:val="24"/>
              </w:rPr>
              <w:t>；联系人：</w:t>
            </w:r>
            <w:r>
              <w:rPr>
                <w:rFonts w:hint="eastAsia" w:ascii="仿宋" w:hAnsi="仿宋" w:eastAsia="仿宋"/>
                <w:color w:val="auto"/>
                <w:u w:val="single"/>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auto"/>
                <w:u w:val="single"/>
              </w:rPr>
              <w:t>__/_</w:t>
            </w:r>
            <w:r>
              <w:rPr>
                <w:rFonts w:hint="eastAsia" w:ascii="仿宋" w:hAnsi="仿宋" w:eastAsia="仿宋"/>
                <w:color w:val="000000" w:themeColor="text1"/>
                <w:sz w:val="24"/>
              </w:rPr>
              <w:t>。请投标人在上述时间内提供样品并按规定位置安装完毕。超过截止时间或者未送达指定地点的，采购人或采购代理机构将不予接收，并将清场并封闭样品现场。</w:t>
            </w:r>
          </w:p>
          <w:p w14:paraId="5F5C59B0">
            <w:pPr>
              <w:spacing w:line="276" w:lineRule="auto"/>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236997A3">
            <w:pPr>
              <w:spacing w:line="300" w:lineRule="auto"/>
              <w:rPr>
                <w:rFonts w:ascii="仿宋" w:hAnsi="仿宋" w:eastAsia="仿宋"/>
                <w:color w:val="auto"/>
                <w:sz w:val="24"/>
              </w:rPr>
            </w:pPr>
            <w:r>
              <w:rPr>
                <w:rFonts w:hint="eastAsia" w:ascii="仿宋" w:hAnsi="仿宋" w:eastAsia="仿宋"/>
                <w:color w:val="000000" w:themeColor="text1"/>
                <w:sz w:val="24"/>
              </w:rPr>
              <w:t>（</w:t>
            </w:r>
            <w:r>
              <w:rPr>
                <w:rFonts w:ascii="仿宋" w:hAnsi="仿宋" w:eastAsia="仿宋"/>
                <w:color w:val="000000" w:themeColor="text1"/>
                <w:sz w:val="24"/>
              </w:rPr>
              <w:t>7）制作、运输、安装和保管样品所发生的一切费用由投标人自理。</w:t>
            </w:r>
          </w:p>
        </w:tc>
      </w:tr>
      <w:tr w14:paraId="09EB8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89A255F">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14:paraId="3DFFECBB">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14:paraId="0ECE5554">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095D3A23">
            <w:pPr>
              <w:spacing w:line="300" w:lineRule="auto"/>
              <w:rPr>
                <w:rFonts w:ascii="仿宋" w:hAnsi="仿宋" w:eastAsia="仿宋"/>
                <w:color w:val="auto"/>
              </w:rPr>
            </w:pPr>
            <w:r>
              <w:rPr>
                <w:rFonts w:hint="eastAsia" w:ascii="仿宋" w:hAnsi="仿宋" w:eastAsia="仿宋"/>
                <w:color w:val="auto"/>
                <w:sz w:val="24"/>
              </w:rPr>
              <w:t>□B组织，具体规定</w:t>
            </w:r>
            <w:r>
              <w:rPr>
                <w:rFonts w:hint="eastAsia" w:ascii="仿宋" w:hAnsi="仿宋" w:eastAsia="仿宋"/>
                <w:color w:val="auto"/>
                <w:sz w:val="24"/>
                <w:szCs w:val="24"/>
              </w:rPr>
              <w:t>如下：</w:t>
            </w:r>
          </w:p>
          <w:p w14:paraId="7C9723FE">
            <w:pPr>
              <w:spacing w:line="300" w:lineRule="auto"/>
              <w:rPr>
                <w:rFonts w:ascii="仿宋" w:hAnsi="仿宋" w:eastAsia="仿宋"/>
                <w:color w:val="auto"/>
                <w:sz w:val="24"/>
              </w:rPr>
            </w:pPr>
            <w:r>
              <w:rPr>
                <w:rFonts w:hint="eastAsia" w:ascii="仿宋" w:hAnsi="仿宋" w:eastAsia="仿宋"/>
                <w:color w:val="auto"/>
                <w:sz w:val="24"/>
              </w:rPr>
              <w:t>（1）在评标时安排每个投标人进行方案讲解演示。每个投标人时间不超过</w:t>
            </w:r>
            <w:r>
              <w:rPr>
                <w:rFonts w:hint="eastAsia" w:ascii="仿宋" w:hAnsi="仿宋" w:eastAsia="仿宋"/>
                <w:color w:val="auto"/>
                <w:u w:val="single"/>
              </w:rPr>
              <w:t>__/_</w:t>
            </w:r>
            <w:r>
              <w:rPr>
                <w:rFonts w:hint="eastAsia" w:ascii="仿宋" w:hAnsi="仿宋" w:eastAsia="仿宋"/>
                <w:color w:val="auto"/>
                <w:sz w:val="24"/>
              </w:rPr>
              <w:t>分钟，讲解次序以投标文件解密时间先后次序为准，讲解演示人员不超过</w:t>
            </w:r>
            <w:r>
              <w:rPr>
                <w:rFonts w:hint="eastAsia" w:ascii="仿宋" w:hAnsi="仿宋" w:eastAsia="仿宋"/>
                <w:color w:val="auto"/>
                <w:u w:val="single"/>
              </w:rPr>
              <w:t>__/_</w:t>
            </w:r>
            <w:r>
              <w:rPr>
                <w:rFonts w:hint="eastAsia" w:ascii="仿宋" w:hAnsi="仿宋" w:eastAsia="仿宋"/>
                <w:color w:val="auto"/>
                <w:sz w:val="24"/>
              </w:rPr>
              <w:t>人。讲解演示结束后按要求解答评标委员会提问。</w:t>
            </w:r>
          </w:p>
          <w:p w14:paraId="2593435C">
            <w:pPr>
              <w:spacing w:line="300" w:lineRule="auto"/>
              <w:rPr>
                <w:rFonts w:ascii="仿宋" w:hAnsi="仿宋" w:eastAsia="仿宋"/>
                <w:color w:val="auto"/>
                <w:sz w:val="24"/>
              </w:rPr>
            </w:pPr>
            <w:r>
              <w:rPr>
                <w:rFonts w:hint="eastAsia" w:ascii="仿宋" w:hAnsi="仿宋" w:eastAsia="仿宋"/>
                <w:color w:val="auto"/>
                <w:sz w:val="24"/>
              </w:rPr>
              <w:t>（2）方案讲解演示可选择以下其中一种方式：</w:t>
            </w:r>
          </w:p>
          <w:p w14:paraId="0418532A">
            <w:pPr>
              <w:spacing w:line="300" w:lineRule="auto"/>
              <w:rPr>
                <w:rFonts w:ascii="仿宋" w:hAnsi="仿宋" w:eastAsia="仿宋"/>
                <w:color w:val="auto"/>
                <w:sz w:val="24"/>
              </w:rPr>
            </w:pPr>
            <w:r>
              <w:rPr>
                <w:rFonts w:hint="eastAsia" w:ascii="仿宋" w:hAnsi="仿宋" w:eastAsia="仿宋"/>
                <w:color w:val="auto"/>
                <w:sz w:val="24"/>
              </w:rPr>
              <w:t>方式一：政采云平台在线讲解演示。政采云平台在线讲解需投标人根据政采云平台操作要求做好准备工作，提前完善软硬件配置环境。</w:t>
            </w:r>
          </w:p>
          <w:p w14:paraId="47A5973A">
            <w:pPr>
              <w:spacing w:line="300" w:lineRule="auto"/>
              <w:rPr>
                <w:rFonts w:ascii="仿宋" w:hAnsi="仿宋" w:eastAsia="仿宋"/>
                <w:color w:val="auto"/>
                <w:sz w:val="24"/>
              </w:rPr>
            </w:pPr>
            <w:r>
              <w:rPr>
                <w:rFonts w:hint="eastAsia" w:ascii="仿宋" w:hAnsi="仿宋" w:eastAsia="仿宋"/>
                <w:color w:val="auto"/>
                <w:sz w:val="24"/>
              </w:rPr>
              <w:t>方式二：现场讲解演示。现场讲解地点为</w:t>
            </w:r>
            <w:r>
              <w:rPr>
                <w:rFonts w:hint="eastAsia" w:ascii="仿宋" w:hAnsi="仿宋" w:eastAsia="仿宋"/>
                <w:color w:val="auto"/>
                <w:u w:val="single"/>
              </w:rPr>
              <w:t>__/_</w:t>
            </w:r>
            <w:r>
              <w:rPr>
                <w:rFonts w:hint="eastAsia" w:ascii="仿宋" w:hAnsi="仿宋" w:eastAsia="仿宋"/>
                <w:color w:val="auto"/>
                <w:sz w:val="24"/>
              </w:rPr>
              <w:t>，讲解演示所用电脑等设备由投标人自备。现场讲解演示人员进场时提供讲解人员名单（加盖公章或授权代表签名）及身份证明，否则不得讲解演示。</w:t>
            </w:r>
          </w:p>
          <w:p w14:paraId="5FEF434B">
            <w:pPr>
              <w:spacing w:line="300" w:lineRule="auto"/>
              <w:rPr>
                <w:rFonts w:ascii="仿宋" w:hAnsi="仿宋" w:eastAsia="仿宋"/>
                <w:color w:val="auto"/>
                <w:sz w:val="24"/>
              </w:rPr>
            </w:pPr>
            <w:r>
              <w:rPr>
                <w:rFonts w:hint="eastAsia" w:ascii="仿宋" w:hAnsi="仿宋" w:eastAsia="仿宋"/>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9476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Merge w:val="restart"/>
            <w:vAlign w:val="center"/>
          </w:tcPr>
          <w:p w14:paraId="01E86146">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Merge w:val="restart"/>
            <w:vAlign w:val="center"/>
          </w:tcPr>
          <w:p w14:paraId="11B1E218">
            <w:pPr>
              <w:pStyle w:val="26"/>
              <w:spacing w:line="300" w:lineRule="auto"/>
              <w:jc w:val="center"/>
              <w:rPr>
                <w:rFonts w:ascii="仿宋" w:hAnsi="仿宋" w:eastAsia="仿宋" w:cs="仿宋_GB2312"/>
                <w:b/>
              </w:rPr>
            </w:pPr>
            <w:r>
              <w:rPr>
                <w:rFonts w:hint="eastAsia" w:ascii="仿宋" w:hAnsi="仿宋" w:eastAsia="仿宋" w:cs="仿宋_GB2312"/>
                <w:b/>
              </w:rPr>
              <w:t>投标人应当提供的资格、资信证明文件</w:t>
            </w:r>
          </w:p>
        </w:tc>
        <w:tc>
          <w:tcPr>
            <w:tcW w:w="7589" w:type="dxa"/>
            <w:vAlign w:val="center"/>
          </w:tcPr>
          <w:p w14:paraId="2CF8C55D">
            <w:pPr>
              <w:spacing w:line="300" w:lineRule="auto"/>
              <w:rPr>
                <w:rFonts w:ascii="仿宋" w:hAnsi="仿宋" w:eastAsia="仿宋"/>
                <w:color w:val="auto"/>
                <w:sz w:val="24"/>
              </w:rPr>
            </w:pPr>
            <w:r>
              <w:rPr>
                <w:rFonts w:hint="eastAsia" w:ascii="仿宋" w:hAnsi="仿宋" w:eastAsia="仿宋"/>
                <w:color w:val="auto"/>
                <w:sz w:val="24"/>
              </w:rPr>
              <w:t>（1）资格证明文件：见招标文件第二部分11.1。</w:t>
            </w:r>
          </w:p>
          <w:p w14:paraId="15D47C5D">
            <w:pPr>
              <w:spacing w:line="300" w:lineRule="auto"/>
              <w:rPr>
                <w:rFonts w:ascii="仿宋" w:hAnsi="仿宋" w:eastAsia="仿宋"/>
                <w:color w:val="auto"/>
                <w:sz w:val="24"/>
              </w:rPr>
            </w:pPr>
            <w:r>
              <w:rPr>
                <w:rFonts w:hint="eastAsia" w:ascii="仿宋" w:hAnsi="仿宋" w:eastAsia="仿宋"/>
                <w:color w:val="auto"/>
                <w:sz w:val="24"/>
              </w:rPr>
              <w:t>投标人未提供有效的资格证明文件的，视为投标人不具备招标文件中规定的资格要求，投标无效。</w:t>
            </w:r>
          </w:p>
        </w:tc>
      </w:tr>
      <w:tr w14:paraId="7FD57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005D9D73">
            <w:pPr>
              <w:pStyle w:val="26"/>
              <w:spacing w:line="300" w:lineRule="auto"/>
              <w:jc w:val="center"/>
              <w:rPr>
                <w:rFonts w:ascii="仿宋" w:hAnsi="仿宋" w:eastAsia="仿宋"/>
                <w:b/>
                <w:szCs w:val="24"/>
              </w:rPr>
            </w:pPr>
          </w:p>
        </w:tc>
        <w:tc>
          <w:tcPr>
            <w:tcW w:w="1776" w:type="dxa"/>
            <w:vMerge w:val="continue"/>
            <w:vAlign w:val="center"/>
          </w:tcPr>
          <w:p w14:paraId="61E23EC2">
            <w:pPr>
              <w:pStyle w:val="26"/>
              <w:spacing w:line="300" w:lineRule="auto"/>
              <w:jc w:val="center"/>
              <w:rPr>
                <w:rFonts w:ascii="仿宋" w:hAnsi="仿宋" w:eastAsia="仿宋" w:cs="仿宋_GB2312"/>
                <w:b/>
              </w:rPr>
            </w:pPr>
          </w:p>
        </w:tc>
        <w:tc>
          <w:tcPr>
            <w:tcW w:w="7589" w:type="dxa"/>
            <w:vAlign w:val="center"/>
          </w:tcPr>
          <w:p w14:paraId="113954AA">
            <w:pPr>
              <w:spacing w:line="300" w:lineRule="auto"/>
              <w:rPr>
                <w:rFonts w:ascii="仿宋" w:hAnsi="仿宋" w:eastAsia="仿宋"/>
                <w:color w:val="auto"/>
                <w:sz w:val="24"/>
              </w:rPr>
            </w:pPr>
            <w:r>
              <w:rPr>
                <w:rFonts w:hint="eastAsia" w:ascii="仿宋" w:hAnsi="仿宋" w:eastAsia="仿宋"/>
                <w:color w:val="auto"/>
                <w:sz w:val="24"/>
              </w:rPr>
              <w:t>（2）资信证明文件：根据招标文件第四部分评标标准提供。</w:t>
            </w:r>
          </w:p>
        </w:tc>
      </w:tr>
      <w:tr w14:paraId="03B9F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3254461">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14:paraId="075DB298">
            <w:pPr>
              <w:pStyle w:val="26"/>
              <w:spacing w:line="300" w:lineRule="auto"/>
              <w:jc w:val="center"/>
              <w:rPr>
                <w:rFonts w:ascii="仿宋" w:hAnsi="仿宋" w:eastAsia="仿宋" w:cs="仿宋_GB2312"/>
                <w:b/>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14:paraId="4B3FFEF2">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无。</w:t>
            </w:r>
          </w:p>
          <w:p w14:paraId="4F7A9F68">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33FC8AC5">
            <w:pPr>
              <w:spacing w:line="300"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14:paraId="65138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0E9C23A8">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14:paraId="16916FFB">
            <w:pPr>
              <w:pStyle w:val="26"/>
              <w:spacing w:line="300" w:lineRule="auto"/>
              <w:jc w:val="center"/>
              <w:rPr>
                <w:rFonts w:ascii="仿宋" w:hAnsi="仿宋" w:eastAsia="仿宋"/>
                <w:b/>
                <w:szCs w:val="24"/>
              </w:rPr>
            </w:pPr>
            <w:r>
              <w:rPr>
                <w:rFonts w:ascii="仿宋" w:hAnsi="仿宋" w:eastAsia="仿宋"/>
                <w:b/>
                <w:szCs w:val="24"/>
              </w:rPr>
              <w:t>报价要求</w:t>
            </w:r>
          </w:p>
        </w:tc>
        <w:tc>
          <w:tcPr>
            <w:tcW w:w="7589" w:type="dxa"/>
            <w:vAlign w:val="center"/>
          </w:tcPr>
          <w:p w14:paraId="1049A9C4">
            <w:pPr>
              <w:spacing w:line="276" w:lineRule="auto"/>
              <w:rPr>
                <w:rFonts w:ascii="仿宋" w:hAnsi="仿宋" w:eastAsia="仿宋"/>
                <w:color w:val="auto"/>
                <w:sz w:val="24"/>
              </w:rPr>
            </w:pPr>
            <w:r>
              <w:rPr>
                <w:rFonts w:hint="eastAsia" w:ascii="仿宋" w:hAnsi="仿宋" w:eastAsia="仿宋"/>
                <w:color w:val="auto"/>
                <w:sz w:val="24"/>
              </w:rPr>
              <w:t>（1）有关本项目实施所需的所有费用（含税费）均计入报价。</w:t>
            </w:r>
            <w:r>
              <w:rPr>
                <w:rFonts w:hint="eastAsia" w:ascii="仿宋" w:hAnsi="仿宋" w:eastAsia="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rPr>
              <w:t>投标文件中价格全部采用人民币报价。招标文件未列明，而投标人认为必需的费用也需列入报价。</w:t>
            </w:r>
            <w:r>
              <w:rPr>
                <w:rFonts w:hint="eastAsia" w:ascii="仿宋" w:hAnsi="仿宋" w:eastAsia="仿宋"/>
                <w:b/>
                <w:color w:val="auto"/>
                <w:sz w:val="24"/>
              </w:rPr>
              <w:t>提醒：验收时检测费用由采购人承担，不包含在投标总价中。</w:t>
            </w:r>
          </w:p>
          <w:p w14:paraId="6632659A">
            <w:pPr>
              <w:spacing w:line="276" w:lineRule="auto"/>
              <w:rPr>
                <w:rFonts w:ascii="仿宋" w:hAnsi="仿宋" w:eastAsia="仿宋"/>
                <w:color w:val="auto"/>
                <w:sz w:val="24"/>
              </w:rPr>
            </w:pPr>
            <w:r>
              <w:rPr>
                <w:rFonts w:hint="eastAsia" w:ascii="仿宋" w:hAnsi="仿宋" w:eastAsia="仿宋"/>
                <w:color w:val="auto"/>
                <w:sz w:val="24"/>
              </w:rPr>
              <w:t>（2）</w:t>
            </w:r>
            <w:r>
              <w:rPr>
                <w:rFonts w:hint="eastAsia" w:ascii="仿宋" w:hAnsi="仿宋" w:eastAsia="仿宋"/>
                <w:b/>
                <w:color w:val="auto"/>
                <w:sz w:val="24"/>
              </w:rPr>
              <w:t>投标报价出现下列情形的，投标无效：</w:t>
            </w:r>
          </w:p>
          <w:p w14:paraId="0255A769">
            <w:pPr>
              <w:spacing w:line="276" w:lineRule="auto"/>
              <w:ind w:firstLine="240" w:firstLineChars="100"/>
              <w:rPr>
                <w:rFonts w:ascii="仿宋" w:hAnsi="仿宋" w:eastAsia="仿宋"/>
                <w:color w:val="auto"/>
                <w:sz w:val="24"/>
              </w:rPr>
            </w:pPr>
            <w:r>
              <w:rPr>
                <w:rFonts w:hint="eastAsia" w:ascii="仿宋" w:hAnsi="仿宋" w:eastAsia="仿宋"/>
                <w:color w:val="auto"/>
                <w:sz w:val="24"/>
              </w:rPr>
              <w:t>①投标文件出现不是唯一的、有选择性投标报价的；</w:t>
            </w:r>
          </w:p>
          <w:p w14:paraId="6B7C6AC7">
            <w:pPr>
              <w:spacing w:line="276" w:lineRule="auto"/>
              <w:ind w:firstLine="240" w:firstLineChars="100"/>
              <w:rPr>
                <w:rFonts w:ascii="仿宋" w:hAnsi="仿宋" w:eastAsia="仿宋"/>
                <w:color w:val="auto"/>
                <w:sz w:val="24"/>
              </w:rPr>
            </w:pPr>
            <w:r>
              <w:rPr>
                <w:rFonts w:hint="eastAsia" w:ascii="仿宋" w:hAnsi="仿宋" w:eastAsia="仿宋"/>
                <w:color w:val="auto"/>
                <w:sz w:val="24"/>
              </w:rPr>
              <w:t>②投标报价超过招标文件中规定的预算金额或者最高限价的;</w:t>
            </w:r>
          </w:p>
          <w:p w14:paraId="4BF354DB">
            <w:pPr>
              <w:spacing w:line="276" w:lineRule="auto"/>
              <w:ind w:firstLine="240" w:firstLineChars="100"/>
              <w:rPr>
                <w:rFonts w:ascii="仿宋" w:hAnsi="仿宋" w:eastAsia="仿宋"/>
                <w:color w:val="auto"/>
                <w:sz w:val="24"/>
              </w:rPr>
            </w:pPr>
            <w:r>
              <w:rPr>
                <w:rFonts w:hint="eastAsia" w:ascii="仿宋" w:hAnsi="仿宋" w:eastAsia="仿宋"/>
                <w:color w:val="auto"/>
                <w:sz w:val="24"/>
              </w:rPr>
              <w:t>③报价明显低于其他通过符合性审查投标人的报价，有可能影响产品质量或者不能诚信履约的，未能按要求提供书面说明或者提交相关证明材料证明其报价合理性的;</w:t>
            </w:r>
          </w:p>
          <w:p w14:paraId="3D856D50">
            <w:pPr>
              <w:spacing w:line="276" w:lineRule="auto"/>
              <w:ind w:firstLine="240" w:firstLineChars="100"/>
              <w:rPr>
                <w:rFonts w:ascii="仿宋" w:hAnsi="仿宋" w:eastAsia="仿宋"/>
                <w:color w:val="auto"/>
                <w:sz w:val="24"/>
              </w:rPr>
            </w:pPr>
            <w:r>
              <w:rPr>
                <w:rFonts w:hint="eastAsia" w:ascii="仿宋" w:hAnsi="仿宋" w:eastAsia="仿宋"/>
                <w:color w:val="auto"/>
                <w:sz w:val="24"/>
              </w:rPr>
              <w:t>④投标人对根据修正原则修正后的报价不确认的。</w:t>
            </w:r>
          </w:p>
        </w:tc>
      </w:tr>
      <w:tr w14:paraId="00305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9AF3460">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14:paraId="6B087FA3">
            <w:pPr>
              <w:pStyle w:val="26"/>
              <w:spacing w:line="300" w:lineRule="auto"/>
              <w:jc w:val="center"/>
              <w:rPr>
                <w:rFonts w:ascii="仿宋" w:hAnsi="仿宋" w:eastAsia="仿宋"/>
                <w:b/>
                <w:szCs w:val="24"/>
              </w:rPr>
            </w:pPr>
            <w:r>
              <w:rPr>
                <w:rFonts w:ascii="仿宋" w:hAnsi="仿宋" w:eastAsia="仿宋"/>
                <w:b/>
                <w:szCs w:val="24"/>
              </w:rPr>
              <w:t>中小企业信用融资</w:t>
            </w:r>
          </w:p>
        </w:tc>
        <w:tc>
          <w:tcPr>
            <w:tcW w:w="7589" w:type="dxa"/>
            <w:vAlign w:val="center"/>
          </w:tcPr>
          <w:p w14:paraId="4C454CC2">
            <w:pPr>
              <w:spacing w:line="276" w:lineRule="auto"/>
              <w:rPr>
                <w:rFonts w:ascii="仿宋" w:hAnsi="仿宋" w:eastAsia="仿宋"/>
                <w:color w:val="auto"/>
                <w:sz w:val="24"/>
              </w:rPr>
            </w:pPr>
            <w:r>
              <w:rPr>
                <w:rFonts w:hint="eastAsia" w:ascii="仿宋" w:hAnsi="仿宋" w:eastAsia="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A34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1301A03">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14:paraId="528A1D61">
            <w:pPr>
              <w:pStyle w:val="26"/>
              <w:spacing w:line="300" w:lineRule="auto"/>
              <w:jc w:val="center"/>
              <w:rPr>
                <w:rFonts w:ascii="仿宋" w:hAnsi="仿宋" w:eastAsia="仿宋"/>
                <w:b/>
                <w:szCs w:val="24"/>
              </w:rPr>
            </w:pPr>
            <w:r>
              <w:rPr>
                <w:rFonts w:ascii="仿宋" w:hAnsi="仿宋" w:eastAsia="仿宋"/>
                <w:b/>
                <w:szCs w:val="24"/>
              </w:rPr>
              <w:t>备份投标文件送达地点和签收人</w:t>
            </w:r>
          </w:p>
        </w:tc>
        <w:tc>
          <w:tcPr>
            <w:tcW w:w="7589" w:type="dxa"/>
            <w:vAlign w:val="center"/>
          </w:tcPr>
          <w:p w14:paraId="7532A7B4">
            <w:pPr>
              <w:spacing w:line="276" w:lineRule="auto"/>
              <w:rPr>
                <w:rFonts w:ascii="仿宋" w:hAnsi="仿宋" w:eastAsia="仿宋"/>
                <w:color w:val="auto"/>
                <w:sz w:val="24"/>
              </w:rPr>
            </w:pPr>
            <w:r>
              <w:rPr>
                <w:rFonts w:hint="eastAsia" w:ascii="仿宋" w:hAnsi="仿宋" w:eastAsia="仿宋"/>
                <w:color w:val="000000" w:themeColor="text1"/>
                <w:sz w:val="24"/>
              </w:rPr>
              <w:t>备份投标文件送达地点：</w:t>
            </w:r>
            <w:r>
              <w:rPr>
                <w:rFonts w:hint="eastAsia" w:ascii="仿宋" w:hAnsi="仿宋" w:eastAsia="仿宋"/>
                <w:color w:val="000000" w:themeColor="text1"/>
                <w:sz w:val="24"/>
                <w:u w:val="single"/>
              </w:rPr>
              <w:t>详见招标公告中采购代理机构信息（地址）</w:t>
            </w:r>
            <w:r>
              <w:rPr>
                <w:rFonts w:hint="eastAsia" w:ascii="仿宋" w:hAnsi="仿宋" w:eastAsia="仿宋"/>
                <w:color w:val="000000" w:themeColor="text1"/>
                <w:sz w:val="24"/>
              </w:rPr>
              <w:t>；备份投标文件签收人：</w:t>
            </w:r>
            <w:r>
              <w:rPr>
                <w:rFonts w:hint="eastAsia" w:ascii="仿宋" w:hAnsi="仿宋" w:eastAsia="仿宋"/>
                <w:color w:val="000000" w:themeColor="text1"/>
                <w:sz w:val="24"/>
                <w:u w:val="single"/>
              </w:rPr>
              <w:t>详见招标公告中采购代理机构信息（项目联系人）</w:t>
            </w:r>
            <w:r>
              <w:rPr>
                <w:rFonts w:hint="eastAsia" w:ascii="仿宋" w:hAnsi="仿宋" w:eastAsia="仿宋"/>
                <w:color w:val="000000" w:themeColor="text1"/>
                <w:sz w:val="24"/>
              </w:rPr>
              <w:t>。</w:t>
            </w:r>
            <w:r>
              <w:rPr>
                <w:rFonts w:hint="eastAsia" w:ascii="仿宋" w:hAnsi="仿宋" w:eastAsia="仿宋"/>
                <w:b/>
                <w:color w:val="000000" w:themeColor="text1"/>
                <w:sz w:val="24"/>
              </w:rPr>
              <w:t>采购人、采购代理机构不强制或变相强制投标人提交备份投标文件。</w:t>
            </w:r>
          </w:p>
        </w:tc>
      </w:tr>
      <w:tr w14:paraId="6CA1B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D40714F">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14:paraId="677E33BA">
            <w:pPr>
              <w:pStyle w:val="26"/>
              <w:spacing w:line="300" w:lineRule="auto"/>
              <w:jc w:val="center"/>
              <w:rPr>
                <w:rFonts w:ascii="仿宋" w:hAnsi="仿宋" w:eastAsia="仿宋"/>
                <w:b/>
                <w:szCs w:val="24"/>
              </w:rPr>
            </w:pPr>
            <w:r>
              <w:rPr>
                <w:rFonts w:ascii="仿宋" w:hAnsi="仿宋" w:eastAsia="仿宋"/>
                <w:b/>
                <w:szCs w:val="24"/>
              </w:rPr>
              <w:t>履约保证金</w:t>
            </w:r>
          </w:p>
        </w:tc>
        <w:tc>
          <w:tcPr>
            <w:tcW w:w="7589" w:type="dxa"/>
            <w:vAlign w:val="center"/>
          </w:tcPr>
          <w:p w14:paraId="25737A95">
            <w:pPr>
              <w:spacing w:line="276" w:lineRule="auto"/>
              <w:rPr>
                <w:rFonts w:ascii="仿宋" w:hAnsi="仿宋" w:eastAsia="仿宋"/>
                <w:color w:val="000000" w:themeColor="text1"/>
                <w:sz w:val="24"/>
              </w:rPr>
            </w:pPr>
            <w:r>
              <w:rPr>
                <w:rFonts w:hint="eastAsia" w:ascii="仿宋" w:hAnsi="仿宋" w:eastAsia="仿宋"/>
                <w:color w:val="auto"/>
                <w:sz w:val="24"/>
                <w:szCs w:val="24"/>
              </w:rPr>
              <w:t>本项目无需缴纳履约保证金。</w:t>
            </w:r>
          </w:p>
        </w:tc>
      </w:tr>
      <w:tr w14:paraId="3B13B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F7ED13A">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14:paraId="52F0738C">
            <w:pPr>
              <w:pStyle w:val="26"/>
              <w:spacing w:line="300" w:lineRule="auto"/>
              <w:jc w:val="center"/>
              <w:rPr>
                <w:rFonts w:ascii="仿宋" w:hAnsi="仿宋" w:eastAsia="仿宋"/>
                <w:b/>
                <w:szCs w:val="24"/>
              </w:rPr>
            </w:pPr>
            <w:r>
              <w:rPr>
                <w:rFonts w:ascii="仿宋" w:hAnsi="仿宋" w:eastAsia="仿宋"/>
                <w:b/>
                <w:szCs w:val="24"/>
              </w:rPr>
              <w:t>招标代理</w:t>
            </w:r>
          </w:p>
          <w:p w14:paraId="71FAAAF2">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14:paraId="7344699E">
            <w:pPr>
              <w:spacing w:line="276" w:lineRule="auto"/>
              <w:rPr>
                <w:rStyle w:val="56"/>
                <w:rFonts w:ascii="仿宋" w:hAnsi="仿宋" w:eastAsia="仿宋" w:cs="宋体"/>
                <w:b w:val="0"/>
                <w:color w:val="auto"/>
                <w:sz w:val="24"/>
                <w:szCs w:val="24"/>
              </w:rPr>
            </w:pPr>
            <w:r>
              <w:rPr>
                <w:rFonts w:hint="eastAsia" w:ascii="仿宋" w:hAnsi="仿宋" w:eastAsia="仿宋"/>
                <w:color w:val="auto"/>
                <w:sz w:val="24"/>
                <w:szCs w:val="24"/>
              </w:rPr>
              <w:t>1.招标代理服务费收费标准：</w:t>
            </w:r>
            <w:r>
              <w:rPr>
                <w:rFonts w:hint="eastAsia" w:ascii="仿宋" w:hAnsi="仿宋" w:eastAsia="仿宋" w:cs="宋体"/>
                <w:color w:val="auto"/>
                <w:kern w:val="2"/>
                <w:sz w:val="24"/>
                <w:szCs w:val="24"/>
              </w:rPr>
              <w:t>招标代理服务费以</w:t>
            </w:r>
            <w:r>
              <w:rPr>
                <w:rStyle w:val="56"/>
                <w:rFonts w:hint="eastAsia" w:ascii="仿宋" w:hAnsi="仿宋" w:eastAsia="仿宋" w:cs="宋体"/>
                <w:b w:val="0"/>
                <w:color w:val="auto"/>
                <w:sz w:val="24"/>
                <w:szCs w:val="24"/>
              </w:rPr>
              <w:t>本项目各标项的</w:t>
            </w:r>
            <w:r>
              <w:rPr>
                <w:rFonts w:hint="eastAsia" w:ascii="仿宋" w:hAnsi="仿宋" w:eastAsia="仿宋" w:cs="宋体"/>
                <w:color w:val="auto"/>
                <w:kern w:val="2"/>
                <w:sz w:val="24"/>
                <w:szCs w:val="24"/>
              </w:rPr>
              <w:t>预算</w:t>
            </w:r>
            <w:r>
              <w:rPr>
                <w:rStyle w:val="56"/>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6"/>
                <w:rFonts w:hint="eastAsia" w:ascii="仿宋" w:hAnsi="仿宋" w:eastAsia="仿宋" w:cs="宋体"/>
                <w:b w:val="0"/>
                <w:color w:val="auto"/>
                <w:sz w:val="24"/>
                <w:szCs w:val="24"/>
              </w:rPr>
              <w:t>按以下费率标准计算：</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3E3E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0813EC81">
                  <w:pPr>
                    <w:spacing w:line="300" w:lineRule="auto"/>
                    <w:jc w:val="center"/>
                    <w:rPr>
                      <w:rStyle w:val="56"/>
                      <w:rFonts w:ascii="仿宋" w:hAnsi="仿宋" w:eastAsia="仿宋" w:cs="宋体"/>
                      <w:b w:val="0"/>
                      <w:color w:val="auto"/>
                      <w:sz w:val="24"/>
                      <w:szCs w:val="24"/>
                    </w:rPr>
                  </w:pPr>
                  <w:r>
                    <w:rPr>
                      <w:rStyle w:val="56"/>
                      <w:rFonts w:ascii="仿宋" w:hAnsi="仿宋" w:eastAsia="仿宋" w:cs="宋体"/>
                      <w:b w:val="0"/>
                      <w:color w:val="auto"/>
                      <w:sz w:val="24"/>
                      <w:szCs w:val="24"/>
                    </w:rPr>
                    <w:t>金额（万元）</w:t>
                  </w:r>
                </w:p>
              </w:tc>
              <w:tc>
                <w:tcPr>
                  <w:tcW w:w="1985" w:type="dxa"/>
                  <w:vAlign w:val="center"/>
                </w:tcPr>
                <w:p w14:paraId="280B5033">
                  <w:pPr>
                    <w:spacing w:line="300" w:lineRule="auto"/>
                    <w:jc w:val="center"/>
                    <w:rPr>
                      <w:rStyle w:val="56"/>
                      <w:rFonts w:ascii="仿宋" w:hAnsi="仿宋" w:eastAsia="仿宋" w:cs="宋体"/>
                      <w:b w:val="0"/>
                      <w:color w:val="auto"/>
                      <w:sz w:val="24"/>
                      <w:szCs w:val="24"/>
                    </w:rPr>
                  </w:pPr>
                  <w:r>
                    <w:rPr>
                      <w:rStyle w:val="56"/>
                      <w:rFonts w:ascii="仿宋" w:hAnsi="仿宋" w:eastAsia="仿宋" w:cs="宋体"/>
                      <w:b w:val="0"/>
                      <w:color w:val="auto"/>
                      <w:sz w:val="24"/>
                      <w:szCs w:val="24"/>
                    </w:rPr>
                    <w:t>费率</w:t>
                  </w:r>
                </w:p>
              </w:tc>
            </w:tr>
            <w:tr w14:paraId="199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4B55825D">
                  <w:pPr>
                    <w:spacing w:line="300" w:lineRule="auto"/>
                    <w:jc w:val="center"/>
                    <w:rPr>
                      <w:rStyle w:val="56"/>
                      <w:rFonts w:ascii="仿宋" w:hAnsi="仿宋" w:eastAsia="仿宋" w:cs="宋体"/>
                      <w:b w:val="0"/>
                      <w:color w:val="auto"/>
                      <w:sz w:val="24"/>
                      <w:szCs w:val="24"/>
                    </w:rPr>
                  </w:pPr>
                  <w:r>
                    <w:rPr>
                      <w:rStyle w:val="56"/>
                      <w:rFonts w:hint="eastAsia" w:ascii="仿宋" w:hAnsi="仿宋" w:eastAsia="仿宋" w:cs="宋体"/>
                      <w:b w:val="0"/>
                      <w:color w:val="auto"/>
                      <w:sz w:val="24"/>
                      <w:szCs w:val="24"/>
                    </w:rPr>
                    <w:t>100（含）以下部分</w:t>
                  </w:r>
                </w:p>
              </w:tc>
              <w:tc>
                <w:tcPr>
                  <w:tcW w:w="1985" w:type="dxa"/>
                  <w:vAlign w:val="center"/>
                </w:tcPr>
                <w:p w14:paraId="06E87F32">
                  <w:pPr>
                    <w:spacing w:line="300" w:lineRule="auto"/>
                    <w:jc w:val="center"/>
                    <w:rPr>
                      <w:rStyle w:val="56"/>
                      <w:rFonts w:ascii="仿宋" w:hAnsi="仿宋" w:eastAsia="仿宋" w:cs="宋体"/>
                      <w:b w:val="0"/>
                      <w:color w:val="auto"/>
                      <w:sz w:val="24"/>
                      <w:szCs w:val="24"/>
                    </w:rPr>
                  </w:pPr>
                  <w:r>
                    <w:rPr>
                      <w:rStyle w:val="56"/>
                      <w:rFonts w:hint="eastAsia" w:ascii="仿宋" w:hAnsi="仿宋" w:eastAsia="仿宋" w:cs="宋体"/>
                      <w:b w:val="0"/>
                      <w:color w:val="auto"/>
                      <w:sz w:val="24"/>
                      <w:szCs w:val="24"/>
                    </w:rPr>
                    <w:t>1.5%</w:t>
                  </w:r>
                </w:p>
              </w:tc>
            </w:tr>
          </w:tbl>
          <w:p w14:paraId="67BF0A0D">
            <w:pPr>
              <w:spacing w:line="276" w:lineRule="auto"/>
              <w:rPr>
                <w:rFonts w:ascii="仿宋" w:hAnsi="仿宋" w:eastAsia="仿宋"/>
                <w:color w:val="auto"/>
                <w:sz w:val="24"/>
                <w:szCs w:val="24"/>
              </w:rPr>
            </w:pPr>
            <w:r>
              <w:rPr>
                <w:rFonts w:hint="eastAsia" w:ascii="仿宋" w:hAnsi="仿宋" w:eastAsia="仿宋"/>
                <w:color w:val="auto"/>
                <w:sz w:val="24"/>
                <w:szCs w:val="24"/>
              </w:rPr>
              <w:t>计算方式：招标代理服务费=预算金额×费率。</w:t>
            </w:r>
          </w:p>
          <w:p w14:paraId="59B16FB5">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14:paraId="29FB12C6">
            <w:pPr>
              <w:spacing w:line="276" w:lineRule="auto"/>
              <w:rPr>
                <w:rFonts w:ascii="仿宋" w:hAnsi="仿宋" w:eastAsia="仿宋"/>
                <w:color w:val="000000" w:themeColor="text1"/>
                <w:sz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08A04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253E164B">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14:paraId="61A8A472">
            <w:pPr>
              <w:pStyle w:val="26"/>
              <w:spacing w:line="300" w:lineRule="auto"/>
              <w:jc w:val="center"/>
              <w:rPr>
                <w:rFonts w:ascii="仿宋" w:hAnsi="仿宋" w:eastAsia="仿宋"/>
                <w:b/>
                <w:szCs w:val="24"/>
              </w:rPr>
            </w:pPr>
            <w:r>
              <w:rPr>
                <w:rFonts w:ascii="仿宋" w:hAnsi="仿宋" w:eastAsia="仿宋"/>
                <w:b/>
                <w:szCs w:val="24"/>
              </w:rPr>
              <w:t>重要提醒</w:t>
            </w:r>
          </w:p>
        </w:tc>
        <w:tc>
          <w:tcPr>
            <w:tcW w:w="7589" w:type="dxa"/>
            <w:vAlign w:val="center"/>
          </w:tcPr>
          <w:p w14:paraId="4F9FC684">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09145F79">
            <w:pPr>
              <w:spacing w:line="276" w:lineRule="auto"/>
              <w:rPr>
                <w:rFonts w:ascii="仿宋" w:hAnsi="仿宋" w:eastAsia="仿宋"/>
                <w:color w:val="000000" w:themeColor="text1"/>
                <w:sz w:val="24"/>
              </w:rPr>
            </w:pPr>
            <w:r>
              <w:rPr>
                <w:rFonts w:hint="eastAsia" w:ascii="仿宋" w:hAnsi="仿宋" w:eastAsia="仿宋"/>
                <w:color w:val="auto"/>
                <w:sz w:val="24"/>
                <w:szCs w:val="24"/>
              </w:rPr>
              <w:t>（2）如本前附表规定与投标人须知条款的内容有不一致的，以本前附表为准。</w:t>
            </w:r>
          </w:p>
        </w:tc>
      </w:tr>
      <w:tr w14:paraId="20125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707E2792">
            <w:pPr>
              <w:pStyle w:val="26"/>
              <w:spacing w:line="300" w:lineRule="auto"/>
              <w:jc w:val="center"/>
              <w:rPr>
                <w:rFonts w:ascii="仿宋" w:hAnsi="仿宋" w:eastAsia="仿宋"/>
                <w:b/>
                <w:szCs w:val="24"/>
              </w:rPr>
            </w:pPr>
            <w:r>
              <w:rPr>
                <w:rFonts w:hint="eastAsia" w:ascii="仿宋" w:hAnsi="仿宋" w:eastAsia="仿宋"/>
                <w:b/>
                <w:szCs w:val="24"/>
              </w:rPr>
              <w:t>16</w:t>
            </w:r>
          </w:p>
        </w:tc>
        <w:tc>
          <w:tcPr>
            <w:tcW w:w="1776" w:type="dxa"/>
            <w:vAlign w:val="center"/>
          </w:tcPr>
          <w:p w14:paraId="1AC9FBE3">
            <w:pPr>
              <w:pStyle w:val="26"/>
              <w:spacing w:line="300" w:lineRule="auto"/>
              <w:jc w:val="center"/>
              <w:rPr>
                <w:rFonts w:ascii="仿宋" w:hAnsi="仿宋" w:eastAsia="仿宋"/>
                <w:b/>
                <w:szCs w:val="24"/>
              </w:rPr>
            </w:pPr>
            <w:r>
              <w:rPr>
                <w:rFonts w:ascii="仿宋" w:hAnsi="仿宋" w:eastAsia="仿宋"/>
                <w:b/>
                <w:szCs w:val="24"/>
              </w:rPr>
              <w:t>特别说明</w:t>
            </w:r>
          </w:p>
        </w:tc>
        <w:tc>
          <w:tcPr>
            <w:tcW w:w="7589" w:type="dxa"/>
            <w:vAlign w:val="center"/>
          </w:tcPr>
          <w:p w14:paraId="7CF287E5">
            <w:pPr>
              <w:spacing w:line="276" w:lineRule="auto"/>
              <w:rPr>
                <w:rFonts w:ascii="仿宋" w:hAnsi="仿宋" w:eastAsia="仿宋" w:cs="宋体"/>
                <w:sz w:val="24"/>
                <w:szCs w:val="24"/>
              </w:rPr>
            </w:pPr>
            <w:r>
              <w:rPr>
                <w:rFonts w:hint="eastAsia" w:ascii="仿宋" w:hAnsi="仿宋" w:eastAsia="仿宋"/>
                <w:color w:val="auto"/>
                <w:sz w:val="24"/>
                <w:szCs w:val="24"/>
              </w:rPr>
              <w:t>（1）</w:t>
            </w:r>
            <w:r>
              <w:rPr>
                <w:rFonts w:hint="eastAsia" w:ascii="仿宋" w:hAnsi="仿宋" w:eastAsia="仿宋" w:cs="宋体"/>
                <w:sz w:val="24"/>
                <w:szCs w:val="24"/>
              </w:rPr>
              <w:t>本项目两个标项均采用同一商务技术评分细则（详见</w:t>
            </w:r>
            <w:r>
              <w:rPr>
                <w:rFonts w:hint="eastAsia" w:ascii="仿宋" w:hAnsi="仿宋" w:eastAsia="仿宋"/>
                <w:color w:val="auto"/>
                <w:sz w:val="24"/>
              </w:rPr>
              <w:t>招标文件第四部分评标标准</w:t>
            </w:r>
            <w:r>
              <w:rPr>
                <w:rFonts w:hint="eastAsia" w:ascii="仿宋" w:hAnsi="仿宋" w:eastAsia="仿宋" w:cs="宋体"/>
                <w:sz w:val="24"/>
                <w:szCs w:val="24"/>
              </w:rPr>
              <w:t>），按标项1到标项2的先后顺序依次进行评审。</w:t>
            </w:r>
          </w:p>
          <w:p w14:paraId="7A42E2CB">
            <w:pPr>
              <w:spacing w:line="276" w:lineRule="auto"/>
              <w:rPr>
                <w:rFonts w:ascii="仿宋" w:hAnsi="仿宋" w:eastAsia="仿宋" w:cs="宋体"/>
                <w:color w:val="auto"/>
                <w:sz w:val="24"/>
              </w:rPr>
            </w:pPr>
            <w:r>
              <w:rPr>
                <w:rFonts w:hint="eastAsia" w:ascii="仿宋" w:hAnsi="仿宋" w:eastAsia="仿宋" w:cs="宋体"/>
                <w:sz w:val="24"/>
                <w:szCs w:val="24"/>
              </w:rPr>
              <w:t>（2）</w:t>
            </w:r>
            <w:r>
              <w:rPr>
                <w:rFonts w:ascii="仿宋" w:hAnsi="仿宋" w:eastAsia="仿宋" w:cs="宋体"/>
                <w:color w:val="auto"/>
                <w:sz w:val="24"/>
              </w:rPr>
              <w:t>如投标人参与多个标项投标的，按各个标项分别编制资格文件、商务技术文件、报价文件。</w:t>
            </w:r>
          </w:p>
          <w:p w14:paraId="7C955429">
            <w:pPr>
              <w:snapToGrid w:val="0"/>
              <w:spacing w:line="276" w:lineRule="auto"/>
              <w:rPr>
                <w:rFonts w:ascii="仿宋" w:hAnsi="仿宋" w:eastAsia="仿宋"/>
                <w:color w:val="auto"/>
                <w:sz w:val="24"/>
                <w:szCs w:val="24"/>
              </w:rPr>
            </w:pPr>
            <w:r>
              <w:rPr>
                <w:rFonts w:hint="eastAsia" w:ascii="仿宋" w:hAnsi="仿宋" w:eastAsia="仿宋" w:cs="宋体"/>
                <w:color w:val="auto"/>
                <w:sz w:val="24"/>
              </w:rPr>
              <w:t>（3）</w:t>
            </w:r>
            <w:r>
              <w:rPr>
                <w:rFonts w:hint="eastAsia" w:ascii="仿宋" w:hAnsi="仿宋" w:eastAsia="仿宋" w:cs="宋体"/>
                <w:sz w:val="24"/>
                <w:szCs w:val="24"/>
              </w:rPr>
              <w:t>投标人可以选择单个或多个标项投标，但同一个投标人最多只能成为其中一个标项的第一中标候选人；已在之前任一标项中被推荐为第一中标候选人的供应商不再进入后续标项的评审。</w:t>
            </w:r>
          </w:p>
        </w:tc>
      </w:tr>
    </w:tbl>
    <w:p w14:paraId="75E5BA5F">
      <w:pPr>
        <w:rPr>
          <w:rFonts w:ascii="宋体" w:hAnsi="宋体"/>
          <w:color w:val="auto"/>
        </w:rPr>
      </w:pPr>
    </w:p>
    <w:p w14:paraId="72797792">
      <w:pPr>
        <w:rPr>
          <w:rFonts w:ascii="宋体" w:hAnsi="宋体"/>
          <w:color w:val="auto"/>
        </w:rPr>
        <w:sectPr>
          <w:pgSz w:w="11906" w:h="16838"/>
          <w:pgMar w:top="1134" w:right="1247" w:bottom="1021" w:left="1247" w:header="567" w:footer="454" w:gutter="0"/>
          <w:pgNumType w:fmt="numberInDash"/>
          <w:cols w:space="720" w:num="1"/>
          <w:titlePg/>
          <w:docGrid w:type="lines" w:linePitch="312" w:charSpace="0"/>
        </w:sectPr>
      </w:pPr>
    </w:p>
    <w:bookmarkEnd w:id="2"/>
    <w:p w14:paraId="338B318E">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548CD2B0">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14:paraId="355EBF88">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w:t>
      </w:r>
      <w:r>
        <w:rPr>
          <w:rFonts w:hint="eastAsia" w:ascii="仿宋" w:hAnsi="仿宋" w:eastAsia="仿宋" w:cs="宋体"/>
          <w:color w:val="auto"/>
          <w:sz w:val="24"/>
        </w:rPr>
        <w:t>资格审查与信用信息查询、评标、定标、合同、验收等行为（法律、法规另有规定的，从其规定）。</w:t>
      </w:r>
    </w:p>
    <w:p w14:paraId="6E04ABE0">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070438E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5038EE2F">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652EA39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1C144905">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2.4“负责人”系指法人企业的法定负责人，或者其他组织为法律、行政法规规定代表单位行使职权的主要负责人，或自然人本人。</w:t>
      </w:r>
    </w:p>
    <w:p w14:paraId="28D8755A">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14:paraId="445404CF">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14:paraId="4C2772A0">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5D11A6FD">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3.采购项目需要落实的政府采购政策</w:t>
      </w:r>
    </w:p>
    <w:p w14:paraId="7339331D">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177F3128">
      <w:pPr>
        <w:pStyle w:val="26"/>
        <w:snapToGrid w:val="0"/>
        <w:spacing w:line="276" w:lineRule="auto"/>
        <w:ind w:left="1" w:firstLine="480" w:firstLineChars="200"/>
        <w:rPr>
          <w:rFonts w:ascii="仿宋" w:hAnsi="仿宋" w:eastAsia="仿宋"/>
        </w:rPr>
      </w:pPr>
      <w:r>
        <w:rPr>
          <w:rFonts w:hint="eastAsia" w:ascii="仿宋" w:hAnsi="仿宋" w:eastAsia="仿宋"/>
        </w:rPr>
        <w:t>3.2支持绿色发展</w:t>
      </w:r>
    </w:p>
    <w:p w14:paraId="00FFE5B1">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rPr>
        <w:t>★</w:t>
      </w:r>
      <w:r>
        <w:rPr>
          <w:rFonts w:hint="eastAsia" w:ascii="仿宋" w:hAnsi="仿宋" w:eastAsia="仿宋"/>
          <w:b/>
        </w:rPr>
        <w:t>采购人拟采购的产品属于政府强制采购的节能产品品目清单范围的，投标人相应的投标产品未获得国家确定的认证机构出具的、处于有效期之内的节能产品认证证书的，投标无效。</w:t>
      </w:r>
    </w:p>
    <w:p w14:paraId="0E53A3F1">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14:paraId="1696D1B4">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olor w:val="000000" w:themeColor="text1"/>
        </w:rPr>
        <w:t>鼓励采购单位优先采购绿色包装产品、绿色物流配送服务以及循环利用产品。</w:t>
      </w:r>
    </w:p>
    <w:p w14:paraId="67875387">
      <w:pPr>
        <w:pStyle w:val="26"/>
        <w:snapToGrid w:val="0"/>
        <w:spacing w:line="276" w:lineRule="auto"/>
        <w:ind w:left="1" w:firstLine="480" w:firstLineChars="200"/>
        <w:rPr>
          <w:rFonts w:ascii="仿宋" w:hAnsi="仿宋" w:eastAsia="仿宋"/>
        </w:rPr>
      </w:pPr>
      <w:r>
        <w:rPr>
          <w:rFonts w:hint="eastAsia" w:ascii="仿宋" w:hAnsi="仿宋" w:eastAsia="仿宋"/>
        </w:rPr>
        <w:t>3.3支持中小企业发展</w:t>
      </w:r>
    </w:p>
    <w:p w14:paraId="439DC3D2">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3.3.1</w:t>
      </w:r>
      <w:r>
        <w:rPr>
          <w:rFonts w:hint="eastAsia" w:ascii="仿宋" w:hAnsi="仿宋" w:eastAsia="仿宋"/>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240007">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符合中小企业划分标准的个体工商户，在政府采购活动中视同中小企业。</w:t>
      </w:r>
    </w:p>
    <w:p w14:paraId="6FDA0BD8">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3.3.2在政府采购活动中，投标人提供的货物或者服务符合下列情形的，方可享受中小企业扶持政策：</w:t>
      </w:r>
    </w:p>
    <w:p w14:paraId="3B7E407F">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43877D4C">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746F2545">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以联合体形式参加政府采购活动，联合体各方均为中小企业的，联合体视同中小企业。其中，联合体各方均为小微企业的，联合体视同小微企业。</w:t>
      </w:r>
    </w:p>
    <w:p w14:paraId="265009E5">
      <w:pPr>
        <w:spacing w:line="276" w:lineRule="auto"/>
        <w:ind w:firstLine="480" w:firstLineChars="200"/>
        <w:rPr>
          <w:rFonts w:ascii="仿宋" w:hAnsi="仿宋" w:eastAsia="仿宋"/>
          <w:bCs/>
          <w:color w:val="auto"/>
          <w:sz w:val="24"/>
          <w:u w:val="single"/>
        </w:rPr>
      </w:pPr>
      <w:r>
        <w:rPr>
          <w:rFonts w:hint="eastAsia" w:ascii="仿宋" w:hAnsi="仿宋" w:eastAsia="仿宋"/>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hAnsi="仿宋" w:eastAsia="仿宋"/>
          <w:bCs/>
          <w:color w:val="auto"/>
          <w:sz w:val="24"/>
        </w:rPr>
        <w:t>0%</w:t>
      </w:r>
      <w:r>
        <w:rPr>
          <w:rFonts w:hint="eastAsia" w:ascii="仿宋" w:hAnsi="仿宋" w:eastAsia="仿宋"/>
          <w:bCs/>
          <w:color w:val="auto"/>
          <w:sz w:val="24"/>
        </w:rPr>
        <w:t>（招标文件第四部分评标办法明确具体的扣除比例，未明确的，给予</w:t>
      </w:r>
      <w:r>
        <w:rPr>
          <w:rFonts w:ascii="仿宋" w:hAnsi="仿宋" w:eastAsia="仿宋"/>
          <w:bCs/>
          <w:color w:val="auto"/>
          <w:sz w:val="24"/>
        </w:rPr>
        <w:t>20</w:t>
      </w:r>
      <w:r>
        <w:rPr>
          <w:rFonts w:hint="eastAsia" w:ascii="仿宋" w:hAnsi="仿宋" w:eastAsia="仿宋"/>
          <w:bCs/>
          <w:color w:val="auto"/>
          <w:sz w:val="24"/>
        </w:rPr>
        <w:t>%的扣除）</w:t>
      </w:r>
      <w:r>
        <w:rPr>
          <w:rFonts w:ascii="仿宋" w:hAnsi="仿宋" w:eastAsia="仿宋"/>
          <w:bCs/>
          <w:color w:val="auto"/>
          <w:sz w:val="24"/>
        </w:rPr>
        <w:t>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4%-6</w:t>
      </w:r>
      <w:r>
        <w:rPr>
          <w:rFonts w:ascii="仿宋" w:hAnsi="仿宋" w:eastAsia="仿宋"/>
          <w:bCs/>
          <w:color w:val="auto"/>
          <w:sz w:val="24"/>
        </w:rPr>
        <w:t>%</w:t>
      </w:r>
      <w:r>
        <w:rPr>
          <w:rFonts w:hint="eastAsia" w:ascii="仿宋" w:hAnsi="仿宋" w:eastAsia="仿宋"/>
          <w:bCs/>
          <w:color w:val="auto"/>
          <w:sz w:val="24"/>
        </w:rPr>
        <w:t>（招标文件第四部分评标办法明确具体的扣除比例，未明确的，给予6%的扣除）</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14:paraId="4A906A93">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14:paraId="262616D4">
      <w:pPr>
        <w:pStyle w:val="26"/>
        <w:snapToGrid w:val="0"/>
        <w:spacing w:line="276" w:lineRule="auto"/>
        <w:ind w:left="1" w:firstLine="480" w:firstLineChars="200"/>
        <w:rPr>
          <w:rFonts w:ascii="仿宋" w:hAnsi="仿宋" w:eastAsia="仿宋"/>
          <w:bCs/>
        </w:rPr>
      </w:pPr>
      <w:r>
        <w:rPr>
          <w:rFonts w:hint="eastAsia" w:ascii="仿宋" w:hAnsi="仿宋" w:eastAsia="仿宋" w:cs="Times New Roman"/>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14:paraId="6A7379F4">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3.3.6符合《政府采购促进中小企业发展管理办法》（财库〔2020〕46号）规定可享受中小企业扶持政策的供应商参加本项目投标活动，投标文件中应按照招标文件要求提供《中小企业声明函》；《中小企业声明函》填写企业类型错误，导致该企业享受本不能享受的中小企业扶持政策，投标无效并依法承担法律责任。</w:t>
      </w:r>
    </w:p>
    <w:p w14:paraId="0C137E99">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3.3.7</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14:paraId="5077A306">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3.4支持创新发展</w:t>
      </w:r>
    </w:p>
    <w:p w14:paraId="70F6DC6C">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.4.1</w:t>
      </w:r>
      <w:r>
        <w:rPr>
          <w:rFonts w:hint="eastAsia" w:ascii="仿宋" w:hAnsi="仿宋" w:eastAsia="仿宋" w:cs="Times New Roman"/>
          <w:bCs/>
          <w:kern w:val="0"/>
          <w:szCs w:val="21"/>
        </w:rPr>
        <w:t>首台套、“制造精品”、“专精特新”等创新产品按规定享受政府采购支持政策。</w:t>
      </w:r>
    </w:p>
    <w:p w14:paraId="743716CA">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3.4.2采购人应当贯彻落实知识产权保护相关法律法规，应当采购使用正版软件。</w:t>
      </w:r>
    </w:p>
    <w:p w14:paraId="5153B624">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3.5平等对待内外资企业和符合条件的破产重整企业</w:t>
      </w:r>
    </w:p>
    <w:p w14:paraId="7213A1B0">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平等对待内外资企业和符合条件的破产重整企业，切实保障企业公平竞争，平等维护企业的合法利益。</w:t>
      </w:r>
    </w:p>
    <w:p w14:paraId="06E48BD5">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4.询问、</w:t>
      </w:r>
      <w:r>
        <w:rPr>
          <w:rFonts w:ascii="仿宋" w:hAnsi="仿宋" w:eastAsia="仿宋"/>
          <w:b/>
          <w:color w:val="auto"/>
          <w:sz w:val="24"/>
        </w:rPr>
        <w:t>质疑和投诉</w:t>
      </w:r>
    </w:p>
    <w:p w14:paraId="35DDAA94">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1询问</w:t>
      </w:r>
    </w:p>
    <w:p w14:paraId="46E98961">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3B675209">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2质疑</w:t>
      </w:r>
    </w:p>
    <w:p w14:paraId="0F74EB6B">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4.2.1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9CDF2A5">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4.2.1.1对招标文件提出质疑的，质疑期限为供应商获取招标文件之日或者招标文件公告期限届满之日起计算（供应商在招标文件公告期限届满后获取招标文件的，</w:t>
      </w:r>
      <w:r>
        <w:rPr>
          <w:rFonts w:ascii="仿宋" w:hAnsi="仿宋" w:eastAsia="仿宋"/>
          <w:szCs w:val="24"/>
        </w:rPr>
        <w:t>以招标文件公告期限届满之日起计算</w:t>
      </w:r>
      <w:r>
        <w:rPr>
          <w:rFonts w:hint="eastAsia" w:ascii="仿宋" w:hAnsi="仿宋" w:eastAsia="仿宋"/>
          <w:szCs w:val="24"/>
        </w:rPr>
        <w:t>）。</w:t>
      </w:r>
    </w:p>
    <w:p w14:paraId="5B55273A">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对采购过程提出质疑的，质疑期限为各采购程序环节结束之日起计算。</w:t>
      </w:r>
    </w:p>
    <w:p w14:paraId="5034E712">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4.2.1.3</w:t>
      </w:r>
      <w:r>
        <w:rPr>
          <w:rFonts w:ascii="仿宋" w:hAnsi="仿宋" w:eastAsia="仿宋"/>
          <w:szCs w:val="24"/>
        </w:rPr>
        <w:t>对采购结果提出质疑的，质疑期限自采购结果公告期限届满之日起计算。</w:t>
      </w:r>
    </w:p>
    <w:p w14:paraId="1A789135">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4.2.2</w:t>
      </w:r>
      <w:r>
        <w:rPr>
          <w:rFonts w:hint="eastAsia" w:ascii="仿宋" w:hAnsi="仿宋" w:eastAsia="仿宋"/>
          <w:bCs/>
          <w:szCs w:val="24"/>
        </w:rPr>
        <w:t>供应商应当在法定质疑期内一次性提出针对同一采购程序环节的质疑。</w:t>
      </w:r>
    </w:p>
    <w:p w14:paraId="30857198">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4.2.3提出质疑的供应商应当是参与所质疑项目采购活动的供应商。未按招标公告相关规定依法获取招标文件的供应商对招标文件提出的质疑，采购人或采购代理机构将不予处理。</w:t>
      </w:r>
    </w:p>
    <w:p w14:paraId="50420A99">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4.2.4</w:t>
      </w:r>
      <w:r>
        <w:rPr>
          <w:rFonts w:hint="eastAsia" w:ascii="仿宋" w:hAnsi="仿宋" w:eastAsia="仿宋"/>
          <w:szCs w:val="24"/>
        </w:rPr>
        <w:t>供应商提出质疑应当提交质疑函和必要的证明材料。质疑函应当包括下列内容：</w:t>
      </w:r>
    </w:p>
    <w:p w14:paraId="71D1DE30">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70F6D7CE">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0A0C8EB7">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2D34E4BF">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45A3B23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201FBAA5">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332EBFFC">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3FCE7F63">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2BB53115">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4.3投诉</w:t>
      </w:r>
    </w:p>
    <w:p w14:paraId="094D8E8F">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14:paraId="19394D34">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14:paraId="2A58B624">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14:paraId="714CF21D">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14:paraId="66A58980">
      <w:pPr>
        <w:pStyle w:val="3"/>
        <w:spacing w:before="0" w:after="0" w:line="276" w:lineRule="auto"/>
        <w:jc w:val="center"/>
        <w:rPr>
          <w:rFonts w:ascii="仿宋" w:hAnsi="仿宋" w:eastAsia="仿宋"/>
          <w:color w:val="auto"/>
          <w:sz w:val="28"/>
          <w:szCs w:val="28"/>
        </w:rPr>
      </w:pPr>
      <w:bookmarkStart w:id="3" w:name="_Toc125344504"/>
      <w:r>
        <w:rPr>
          <w:rFonts w:hint="eastAsia" w:ascii="仿宋" w:hAnsi="仿宋" w:eastAsia="仿宋"/>
          <w:color w:val="auto"/>
          <w:sz w:val="28"/>
          <w:szCs w:val="28"/>
        </w:rPr>
        <w:t>二、招标文件</w:t>
      </w:r>
      <w:bookmarkEnd w:id="3"/>
      <w:r>
        <w:rPr>
          <w:rFonts w:hint="eastAsia" w:ascii="仿宋" w:hAnsi="仿宋" w:eastAsia="仿宋"/>
          <w:color w:val="auto"/>
          <w:sz w:val="28"/>
          <w:szCs w:val="28"/>
        </w:rPr>
        <w:t>的构成、澄清、修改</w:t>
      </w:r>
    </w:p>
    <w:p w14:paraId="61568374">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5.招标文件的构成</w:t>
      </w:r>
    </w:p>
    <w:p w14:paraId="5514F12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5.1招标文件包括下列文件及附件：</w:t>
      </w:r>
    </w:p>
    <w:p w14:paraId="2AD21C00">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w:t>
      </w:r>
      <w:r>
        <w:rPr>
          <w:rFonts w:ascii="仿宋" w:hAnsi="仿宋" w:eastAsia="仿宋"/>
          <w:color w:val="auto"/>
          <w:sz w:val="24"/>
        </w:rPr>
        <w:t>1招标公告</w:t>
      </w:r>
      <w:r>
        <w:rPr>
          <w:rFonts w:hint="eastAsia" w:ascii="仿宋" w:hAnsi="仿宋" w:eastAsia="仿宋"/>
          <w:color w:val="auto"/>
          <w:sz w:val="24"/>
        </w:rPr>
        <w:t>；</w:t>
      </w:r>
    </w:p>
    <w:p w14:paraId="4DF53A68">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5.1.2投标人须知；</w:t>
      </w:r>
    </w:p>
    <w:p w14:paraId="1278FAE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5.1.3采购需求；</w:t>
      </w:r>
    </w:p>
    <w:p w14:paraId="5A9273FE">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5.1.4评标办法；</w:t>
      </w:r>
    </w:p>
    <w:p w14:paraId="2F67F1E7">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5.1.5拟签订的合同文本；</w:t>
      </w:r>
    </w:p>
    <w:p w14:paraId="30B14CC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5.1.6应提交的有关格式范例。</w:t>
      </w:r>
    </w:p>
    <w:p w14:paraId="128ECB09">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5.2与本项目有关的</w:t>
      </w:r>
      <w:r>
        <w:rPr>
          <w:rFonts w:ascii="仿宋" w:hAnsi="仿宋" w:eastAsia="仿宋"/>
          <w:color w:val="auto"/>
          <w:sz w:val="24"/>
        </w:rPr>
        <w:t>澄清</w:t>
      </w:r>
      <w:r>
        <w:rPr>
          <w:rFonts w:hint="eastAsia" w:ascii="仿宋" w:hAnsi="仿宋" w:eastAsia="仿宋"/>
          <w:color w:val="auto"/>
          <w:sz w:val="24"/>
        </w:rPr>
        <w:t>或者修改的内容为招标文件的组成部分。</w:t>
      </w:r>
    </w:p>
    <w:p w14:paraId="7ED4EA5E">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6.招标文件的澄清、修改</w:t>
      </w:r>
    </w:p>
    <w:p w14:paraId="2A0A8183">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6.1已依法获取招标文件的潜在投标人，若有问题需要澄清，应于投标截止时间前，以书面形式向采购代理机构提出。</w:t>
      </w:r>
    </w:p>
    <w:p w14:paraId="05F7A8B4">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198C9F">
      <w:pPr>
        <w:pStyle w:val="3"/>
        <w:spacing w:before="0" w:after="0" w:line="276" w:lineRule="auto"/>
        <w:jc w:val="center"/>
        <w:rPr>
          <w:rFonts w:ascii="仿宋" w:hAnsi="仿宋" w:eastAsia="仿宋"/>
          <w:color w:val="auto"/>
          <w:sz w:val="28"/>
          <w:szCs w:val="28"/>
        </w:rPr>
      </w:pPr>
      <w:bookmarkStart w:id="4" w:name="_Toc125344505"/>
      <w:r>
        <w:rPr>
          <w:rFonts w:hint="eastAsia" w:ascii="仿宋" w:hAnsi="仿宋" w:eastAsia="仿宋"/>
          <w:color w:val="auto"/>
          <w:sz w:val="28"/>
          <w:szCs w:val="28"/>
        </w:rPr>
        <w:t>三、投标</w:t>
      </w:r>
      <w:bookmarkEnd w:id="4"/>
    </w:p>
    <w:p w14:paraId="28630EAC">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7.招标文件的获取</w:t>
      </w:r>
    </w:p>
    <w:p w14:paraId="6D3E7185">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详见招标公告中获取招标文件的时间期限、地点、方式及招标文件售价</w:t>
      </w:r>
      <w:r>
        <w:rPr>
          <w:rFonts w:hint="eastAsia" w:ascii="仿宋" w:hAnsi="仿宋" w:eastAsia="仿宋"/>
          <w:color w:val="auto"/>
          <w:sz w:val="24"/>
          <w:szCs w:val="24"/>
        </w:rPr>
        <w:t>。</w:t>
      </w:r>
    </w:p>
    <w:p w14:paraId="7F96DC60">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8.开标前答疑会或现场考察</w:t>
      </w:r>
    </w:p>
    <w:p w14:paraId="66C9CC8F">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14:paraId="490B620E">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9.投标保证金</w:t>
      </w:r>
    </w:p>
    <w:p w14:paraId="2039950D">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14:paraId="22494C7C">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10.投标文件的语言</w:t>
      </w:r>
    </w:p>
    <w:p w14:paraId="769F5707">
      <w:pPr>
        <w:snapToGrid w:val="0"/>
        <w:spacing w:line="276" w:lineRule="auto"/>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投标文件及投标人与采购有关的来往通知、函件和文件均应使用中文。</w:t>
      </w:r>
    </w:p>
    <w:p w14:paraId="4D5E5DA8">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11.投标文件的组成</w:t>
      </w:r>
    </w:p>
    <w:p w14:paraId="1C5BE4E8">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11.1资格文件：</w:t>
      </w:r>
    </w:p>
    <w:p w14:paraId="01E42F33">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11.1.1符合参加政府采购活动应当具备的一般条件的承诺函；</w:t>
      </w:r>
    </w:p>
    <w:p w14:paraId="7A2A9AB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11.1.2落实政府采购政策需满足的资格要求（如果有）；</w:t>
      </w:r>
    </w:p>
    <w:p w14:paraId="26AF81B0">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11.1.3本项目的特定资格要求（如果有）。</w:t>
      </w:r>
    </w:p>
    <w:p w14:paraId="6CD7C599">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11.2商务技术文件：</w:t>
      </w:r>
    </w:p>
    <w:p w14:paraId="66333D7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11.2.1投标函；</w:t>
      </w:r>
    </w:p>
    <w:p w14:paraId="4EDA23FC">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11.2.2授权委托书或法定代表人（单位负责人、自然人本人）身份证明；</w:t>
      </w:r>
    </w:p>
    <w:p w14:paraId="59287D6B">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11.2.3符合性审查资料；</w:t>
      </w:r>
    </w:p>
    <w:p w14:paraId="0374585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11.2.4评标标准相应的商务技术资料；</w:t>
      </w:r>
    </w:p>
    <w:p w14:paraId="281DA10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11.2.5投标标的清单；</w:t>
      </w:r>
    </w:p>
    <w:p w14:paraId="7A2D2157">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11.2.6商务技术偏离表；</w:t>
      </w:r>
    </w:p>
    <w:p w14:paraId="3AE45FF9">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11.2.7政府采购供应商廉洁自律承诺书。</w:t>
      </w:r>
    </w:p>
    <w:p w14:paraId="2286EC71">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11.3报价文件：</w:t>
      </w:r>
    </w:p>
    <w:p w14:paraId="0A4F6A9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11.3.1开标一览表（报价表）。</w:t>
      </w:r>
    </w:p>
    <w:p w14:paraId="7D123775">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14:paraId="1473CC61">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投标人提供虚假材料投标的，投标无效。</w:t>
      </w:r>
    </w:p>
    <w:p w14:paraId="12B31BF2">
      <w:pPr>
        <w:snapToGrid w:val="0"/>
        <w:spacing w:line="276" w:lineRule="auto"/>
        <w:ind w:firstLine="891" w:firstLineChars="370"/>
        <w:jc w:val="left"/>
        <w:rPr>
          <w:rFonts w:ascii="仿宋" w:hAnsi="仿宋" w:eastAsia="仿宋" w:cstheme="minorBidi"/>
          <w:color w:val="auto"/>
          <w:kern w:val="2"/>
          <w:sz w:val="24"/>
          <w:szCs w:val="22"/>
        </w:rPr>
      </w:pPr>
      <w:r>
        <w:rPr>
          <w:rFonts w:hint="eastAsia" w:ascii="仿宋" w:hAnsi="仿宋" w:eastAsia="仿宋"/>
          <w:b/>
          <w:color w:val="auto"/>
          <w:sz w:val="24"/>
        </w:rPr>
        <w:t>投标人应对投标文件中材料的真实性、合法性负责。</w:t>
      </w:r>
      <w:r>
        <w:rPr>
          <w:rFonts w:hint="eastAsia" w:ascii="仿宋" w:hAnsi="仿宋" w:eastAsia="仿宋" w:cstheme="minorBidi"/>
          <w:color w:val="auto"/>
          <w:kern w:val="2"/>
          <w:sz w:val="24"/>
          <w:szCs w:val="22"/>
        </w:rPr>
        <w:t>投标人可事先在公开官网查询、核对相关证书和报告内容，确保投标文件资料准确无误。</w:t>
      </w:r>
    </w:p>
    <w:p w14:paraId="53CEEA6B">
      <w:pPr>
        <w:pStyle w:val="26"/>
        <w:spacing w:line="276" w:lineRule="auto"/>
        <w:ind w:firstLine="482" w:firstLineChars="200"/>
        <w:rPr>
          <w:rFonts w:ascii="仿宋" w:hAnsi="仿宋" w:eastAsia="仿宋"/>
          <w:b/>
          <w:szCs w:val="24"/>
        </w:rPr>
      </w:pPr>
      <w:r>
        <w:rPr>
          <w:rFonts w:hint="eastAsia" w:ascii="仿宋" w:hAnsi="仿宋" w:eastAsia="仿宋"/>
          <w:b/>
          <w:szCs w:val="24"/>
        </w:rPr>
        <w:t>12.投标文件的编制</w:t>
      </w:r>
    </w:p>
    <w:p w14:paraId="0E6E0554">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w:t>
      </w:r>
      <w:r>
        <w:rPr>
          <w:rFonts w:hint="eastAsia" w:ascii="仿宋" w:hAnsi="仿宋" w:eastAsia="仿宋"/>
        </w:rPr>
        <w:t>如果本项目分多个标项的，投标人应按所投标项提交相应的投标文件。</w:t>
      </w:r>
      <w:r>
        <w:rPr>
          <w:rFonts w:ascii="仿宋" w:hAnsi="仿宋" w:eastAsia="仿宋"/>
        </w:rPr>
        <w:t>各投标人在编制投标文件时请按照招标文件</w:t>
      </w:r>
      <w:r>
        <w:rPr>
          <w:rFonts w:hint="eastAsia" w:ascii="仿宋" w:hAnsi="仿宋" w:eastAsia="仿宋"/>
          <w:szCs w:val="24"/>
        </w:rPr>
        <w:t>第六部分</w:t>
      </w:r>
      <w:r>
        <w:rPr>
          <w:rFonts w:hint="eastAsia" w:ascii="仿宋" w:hAnsi="仿宋" w:eastAsia="仿宋"/>
        </w:rPr>
        <w:t>规定的格式进行，混乱的编排导致投标文件被误读或者评标委员会查找不到有效文件是投标人的风险。</w:t>
      </w:r>
    </w:p>
    <w:p w14:paraId="6FD00525">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2</w:t>
      </w:r>
      <w:r>
        <w:rPr>
          <w:rFonts w:ascii="仿宋" w:hAnsi="仿宋" w:eastAsia="仿宋"/>
        </w:rPr>
        <w:t>投标人进行电子投标应安装客户端软件—“政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14:paraId="5552E615">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14:paraId="3ED28544">
      <w:pPr>
        <w:pStyle w:val="26"/>
        <w:spacing w:line="276" w:lineRule="auto"/>
        <w:ind w:firstLine="482" w:firstLineChars="200"/>
        <w:rPr>
          <w:rFonts w:ascii="仿宋" w:hAnsi="仿宋" w:eastAsia="仿宋"/>
          <w:b/>
        </w:rPr>
      </w:pPr>
      <w:r>
        <w:rPr>
          <w:rFonts w:hint="eastAsia" w:ascii="仿宋" w:hAnsi="仿宋" w:eastAsia="仿宋"/>
          <w:b/>
        </w:rPr>
        <w:t>13.投标文件的签署、盖章</w:t>
      </w:r>
    </w:p>
    <w:p w14:paraId="7C5F868B">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1</w:t>
      </w:r>
      <w:r>
        <w:rPr>
          <w:rFonts w:ascii="仿宋" w:hAnsi="仿宋" w:eastAsia="仿宋"/>
          <w:szCs w:val="24"/>
        </w:rPr>
        <w:t>投标文件按照招标文件第六部分格式要求进行签署、盖章</w:t>
      </w:r>
      <w:r>
        <w:rPr>
          <w:rFonts w:hint="eastAsia" w:ascii="仿宋" w:hAnsi="仿宋" w:eastAsia="仿宋"/>
          <w:szCs w:val="24"/>
        </w:rPr>
        <w:t>。</w:t>
      </w:r>
      <w:r>
        <w:rPr>
          <w:rFonts w:hint="eastAsia" w:ascii="仿宋" w:hAnsi="仿宋" w:eastAsia="仿宋"/>
        </w:rPr>
        <w:t>★</w:t>
      </w:r>
      <w:r>
        <w:rPr>
          <w:rFonts w:hint="eastAsia" w:ascii="仿宋" w:hAnsi="仿宋" w:eastAsia="仿宋"/>
          <w:b/>
        </w:rPr>
        <w:t>投标人的投标文件未按照招标文件要求签署、盖章的，其投标无效</w:t>
      </w:r>
      <w:r>
        <w:rPr>
          <w:rFonts w:hint="eastAsia" w:ascii="仿宋" w:hAnsi="仿宋" w:eastAsia="仿宋"/>
        </w:rPr>
        <w:t>。</w:t>
      </w:r>
    </w:p>
    <w:p w14:paraId="498750B6">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2</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14:paraId="70BA9928">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3</w:t>
      </w:r>
      <w:r>
        <w:rPr>
          <w:rFonts w:ascii="仿宋" w:hAnsi="仿宋" w:eastAsia="仿宋"/>
        </w:rPr>
        <w:t>招标文件对投标文件签署、盖章的要求适用于电子签名。</w:t>
      </w:r>
    </w:p>
    <w:p w14:paraId="5015D17E">
      <w:pPr>
        <w:pStyle w:val="26"/>
        <w:spacing w:line="276" w:lineRule="auto"/>
        <w:ind w:firstLine="482" w:firstLineChars="200"/>
        <w:rPr>
          <w:rFonts w:ascii="仿宋" w:hAnsi="仿宋" w:eastAsia="仿宋"/>
          <w:b/>
        </w:rPr>
      </w:pPr>
      <w:r>
        <w:rPr>
          <w:rFonts w:hint="eastAsia" w:ascii="仿宋" w:hAnsi="仿宋" w:eastAsia="仿宋"/>
          <w:b/>
        </w:rPr>
        <w:t>14.投标文件的提交、补充、修改、撤回</w:t>
      </w:r>
    </w:p>
    <w:p w14:paraId="52EABDE2">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.1</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EF0025">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14:paraId="6CFF2086">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14:paraId="3017FE7F">
      <w:pPr>
        <w:pStyle w:val="26"/>
        <w:spacing w:line="276" w:lineRule="auto"/>
        <w:ind w:firstLine="482" w:firstLineChars="200"/>
        <w:rPr>
          <w:rFonts w:ascii="仿宋" w:hAnsi="仿宋" w:eastAsia="仿宋"/>
          <w:b/>
        </w:rPr>
      </w:pPr>
      <w:r>
        <w:rPr>
          <w:rFonts w:hint="eastAsia" w:ascii="仿宋" w:hAnsi="仿宋" w:eastAsia="仿宋"/>
          <w:b/>
        </w:rPr>
        <w:t>15.备份投标文件</w:t>
      </w:r>
    </w:p>
    <w:p w14:paraId="6DA1D10C">
      <w:pPr>
        <w:pStyle w:val="8"/>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15.1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EMS或顺丰快递方式向采购代理机构提交以介质（U盘）存储的数据电文形式的“备份投标文件”一份。“备份投标文件”送达地点及签收人等信息见招标文件</w:t>
      </w:r>
      <w:r>
        <w:rPr>
          <w:rFonts w:hint="eastAsia" w:ascii="仿宋" w:hAnsi="仿宋" w:eastAsia="仿宋"/>
          <w:sz w:val="24"/>
          <w:szCs w:val="24"/>
        </w:rPr>
        <w:t>第一部分招标公告。</w:t>
      </w:r>
    </w:p>
    <w:p w14:paraId="3A8DB732">
      <w:pPr>
        <w:pStyle w:val="8"/>
        <w:snapToGrid w:val="0"/>
        <w:spacing w:line="276"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宋体"/>
          <w:b/>
          <w:sz w:val="24"/>
          <w:szCs w:val="24"/>
        </w:rPr>
        <w:t>不符合上述制作、存储、密封规定的备份投标文件将被视为无效或者被拒绝接收。</w:t>
      </w:r>
    </w:p>
    <w:p w14:paraId="3917A019">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117D422A">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FF90004">
      <w:pPr>
        <w:pStyle w:val="26"/>
        <w:spacing w:line="276" w:lineRule="auto"/>
        <w:ind w:firstLine="482" w:firstLineChars="200"/>
        <w:rPr>
          <w:rFonts w:ascii="仿宋" w:hAnsi="仿宋" w:eastAsia="仿宋"/>
          <w:szCs w:val="24"/>
        </w:rPr>
      </w:pPr>
      <w:r>
        <w:rPr>
          <w:rFonts w:hint="eastAsia" w:ascii="仿宋" w:hAnsi="仿宋" w:eastAsia="仿宋"/>
          <w:b/>
          <w:szCs w:val="24"/>
        </w:rPr>
        <w:t>15.5</w:t>
      </w:r>
      <w:r>
        <w:rPr>
          <w:rFonts w:hint="eastAsia" w:ascii="仿宋" w:hAnsi="仿宋" w:eastAsia="仿宋" w:cs="宋体"/>
          <w:b/>
          <w:szCs w:val="24"/>
        </w:rPr>
        <w:t>投标人仅提交备份投标文件，未在电子交易平台传输递交投标文件的，投标无效。</w:t>
      </w:r>
    </w:p>
    <w:p w14:paraId="5FEAFD05">
      <w:pPr>
        <w:pStyle w:val="26"/>
        <w:spacing w:line="276" w:lineRule="auto"/>
        <w:ind w:firstLine="482" w:firstLineChars="200"/>
        <w:rPr>
          <w:rFonts w:ascii="仿宋" w:hAnsi="仿宋" w:eastAsia="仿宋"/>
          <w:b/>
          <w:szCs w:val="24"/>
        </w:rPr>
      </w:pPr>
      <w:r>
        <w:rPr>
          <w:rFonts w:hint="eastAsia" w:ascii="仿宋" w:hAnsi="仿宋" w:eastAsia="仿宋"/>
          <w:b/>
          <w:szCs w:val="24"/>
        </w:rPr>
        <w:t>16.投标文件的无效处理</w:t>
      </w:r>
    </w:p>
    <w:p w14:paraId="580A8F7E">
      <w:pPr>
        <w:pStyle w:val="26"/>
        <w:spacing w:line="276" w:lineRule="auto"/>
        <w:ind w:firstLine="480" w:firstLineChars="200"/>
        <w:rPr>
          <w:rFonts w:ascii="仿宋" w:hAnsi="仿宋" w:eastAsia="仿宋"/>
          <w:szCs w:val="24"/>
        </w:rPr>
      </w:pPr>
      <w:r>
        <w:rPr>
          <w:rFonts w:hint="eastAsia" w:ascii="仿宋" w:hAnsi="仿宋" w:eastAsia="仿宋" w:cs="宋体"/>
          <w:szCs w:val="24"/>
        </w:rPr>
        <w:t>有招标文件第四部分</w:t>
      </w:r>
      <w:r>
        <w:rPr>
          <w:rFonts w:ascii="仿宋" w:hAnsi="仿宋" w:eastAsia="仿宋" w:cs="宋体"/>
          <w:szCs w:val="24"/>
        </w:rPr>
        <w:t>4.2规定</w:t>
      </w:r>
      <w:r>
        <w:rPr>
          <w:rFonts w:hint="eastAsia" w:ascii="仿宋" w:hAnsi="仿宋" w:eastAsia="仿宋" w:cs="宋体"/>
          <w:szCs w:val="24"/>
        </w:rPr>
        <w:t>的情形之一的，投标无效。</w:t>
      </w:r>
    </w:p>
    <w:p w14:paraId="7AB1598E">
      <w:pPr>
        <w:pStyle w:val="15"/>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17.投标有效期</w:t>
      </w:r>
    </w:p>
    <w:p w14:paraId="3E925C9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rPr>
        <w:t>★</w:t>
      </w:r>
      <w:r>
        <w:rPr>
          <w:rFonts w:hint="eastAsia" w:ascii="仿宋" w:hAnsi="仿宋" w:eastAsia="仿宋"/>
          <w:b/>
          <w:szCs w:val="24"/>
        </w:rPr>
        <w:t>投标人的投标文件中承诺的投标有效期少于招标文件中载明的投标有效期的，投标无效</w:t>
      </w:r>
      <w:r>
        <w:rPr>
          <w:rFonts w:hint="eastAsia" w:ascii="仿宋" w:hAnsi="仿宋" w:eastAsia="仿宋"/>
          <w:szCs w:val="24"/>
        </w:rPr>
        <w:t>。</w:t>
      </w:r>
    </w:p>
    <w:p w14:paraId="163747B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.2投标文件合格投递后，自投标截止日期起，在投标有效期内有效。</w:t>
      </w:r>
    </w:p>
    <w:p w14:paraId="5CA14EB0">
      <w:pPr>
        <w:pStyle w:val="26"/>
        <w:snapToGrid w:val="0"/>
        <w:spacing w:line="276" w:lineRule="auto"/>
        <w:ind w:firstLine="480" w:firstLineChars="200"/>
        <w:rPr>
          <w:rFonts w:ascii="仿宋" w:hAnsi="仿宋" w:eastAsia="仿宋"/>
        </w:rPr>
      </w:pPr>
      <w:r>
        <w:rPr>
          <w:rFonts w:hint="eastAsia" w:ascii="仿宋" w:hAnsi="仿宋" w:eastAsia="仿宋"/>
          <w:szCs w:val="24"/>
        </w:rPr>
        <w:t>17</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1B7457BA">
      <w:pPr>
        <w:pStyle w:val="26"/>
        <w:snapToGrid w:val="0"/>
        <w:spacing w:line="276" w:lineRule="auto"/>
        <w:ind w:firstLine="480" w:firstLineChars="200"/>
        <w:rPr>
          <w:rFonts w:ascii="仿宋" w:hAnsi="仿宋" w:eastAsia="仿宋"/>
        </w:rPr>
      </w:pPr>
      <w:r>
        <w:rPr>
          <w:rFonts w:hint="eastAsia" w:ascii="仿宋" w:hAnsi="仿宋" w:eastAsia="仿宋"/>
        </w:rPr>
        <w:t>17.4在投标截止时间起至投标有效期届满，供应商投标文件不可撤销。</w:t>
      </w:r>
    </w:p>
    <w:p w14:paraId="1B4C4558">
      <w:pPr>
        <w:pStyle w:val="3"/>
        <w:spacing w:before="0" w:after="0" w:line="276" w:lineRule="auto"/>
        <w:jc w:val="center"/>
        <w:rPr>
          <w:rFonts w:ascii="仿宋" w:hAnsi="仿宋" w:eastAsia="仿宋"/>
          <w:color w:val="auto"/>
          <w:sz w:val="28"/>
          <w:szCs w:val="28"/>
        </w:rPr>
      </w:pPr>
      <w:bookmarkStart w:id="5" w:name="_Toc125344507"/>
      <w:r>
        <w:rPr>
          <w:rFonts w:hint="eastAsia" w:ascii="仿宋" w:hAnsi="仿宋" w:eastAsia="仿宋"/>
          <w:color w:val="auto"/>
          <w:sz w:val="28"/>
          <w:szCs w:val="28"/>
        </w:rPr>
        <w:t>四、开标</w:t>
      </w:r>
      <w:bookmarkEnd w:id="5"/>
      <w:r>
        <w:rPr>
          <w:rFonts w:hint="eastAsia" w:ascii="仿宋" w:hAnsi="仿宋" w:eastAsia="仿宋"/>
          <w:color w:val="auto"/>
          <w:sz w:val="28"/>
          <w:szCs w:val="28"/>
        </w:rPr>
        <w:t>、资格审查与信用信息查询</w:t>
      </w:r>
    </w:p>
    <w:p w14:paraId="6402AC65">
      <w:pPr>
        <w:spacing w:line="276" w:lineRule="auto"/>
        <w:ind w:firstLine="482" w:firstLineChars="200"/>
        <w:rPr>
          <w:rFonts w:ascii="仿宋" w:hAnsi="仿宋" w:eastAsia="仿宋"/>
          <w:b/>
          <w:color w:val="auto"/>
          <w:sz w:val="24"/>
        </w:rPr>
      </w:pPr>
      <w:r>
        <w:rPr>
          <w:rFonts w:hint="eastAsia" w:ascii="仿宋" w:hAnsi="仿宋" w:eastAsia="仿宋"/>
          <w:b/>
          <w:bCs/>
          <w:color w:val="auto"/>
          <w:sz w:val="24"/>
        </w:rPr>
        <w:t>18.</w:t>
      </w:r>
      <w:r>
        <w:rPr>
          <w:rFonts w:hint="eastAsia" w:ascii="仿宋" w:hAnsi="仿宋" w:eastAsia="仿宋"/>
          <w:b/>
          <w:color w:val="auto"/>
          <w:sz w:val="24"/>
        </w:rPr>
        <w:t>开标</w:t>
      </w:r>
    </w:p>
    <w:p w14:paraId="26E5A5D0">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rPr>
        <w:t>18.1</w:t>
      </w:r>
      <w:r>
        <w:rPr>
          <w:rFonts w:hint="eastAsia" w:ascii="仿宋" w:hAnsi="仿宋" w:eastAsia="仿宋" w:cstheme="minorBidi"/>
          <w:color w:val="auto"/>
          <w:kern w:val="2"/>
          <w:sz w:val="24"/>
          <w:szCs w:val="24"/>
        </w:rPr>
        <w:t>采购代理机构按照招标文件规定的时间通过电子交易平台组织开标，所有投标人均应当准时在线参加。投标人不足3家的，不得开标。</w:t>
      </w:r>
    </w:p>
    <w:p w14:paraId="1994DF8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18.2</w:t>
      </w:r>
      <w:r>
        <w:rPr>
          <w:rFonts w:ascii="仿宋" w:hAnsi="仿宋" w:eastAsia="仿宋"/>
          <w:szCs w:val="24"/>
        </w:rPr>
        <w:t>开标时，电子交易平台按开标时间自动提取所有投标文件。采购代理机构依托电子交易平台发起开始解密指令，</w:t>
      </w:r>
      <w:r>
        <w:rPr>
          <w:rFonts w:hint="eastAsia" w:ascii="仿宋" w:hAnsi="仿宋" w:eastAsia="仿宋" w:cs="Times New Roman"/>
          <w:szCs w:val="24"/>
        </w:rPr>
        <w:t>投标人按照平台提示和招标文件的规定在半小时内完成在线解密。</w:t>
      </w:r>
    </w:p>
    <w:p w14:paraId="1AEA257D">
      <w:pPr>
        <w:pStyle w:val="26"/>
        <w:snapToGrid w:val="0"/>
        <w:spacing w:line="276" w:lineRule="auto"/>
        <w:ind w:firstLine="480" w:firstLineChars="200"/>
        <w:rPr>
          <w:rFonts w:ascii="仿宋" w:hAnsi="仿宋" w:eastAsia="仿宋"/>
        </w:rPr>
      </w:pPr>
      <w:r>
        <w:rPr>
          <w:rFonts w:hint="eastAsia" w:ascii="仿宋" w:hAnsi="仿宋" w:eastAsia="仿宋"/>
          <w:szCs w:val="24"/>
        </w:rPr>
        <w:t>18.3投标文件未按时解密，投标人提供了备份投标文件的，以备份投标文件作为依据，否则视为投标文件撤回。投标文件已按时解密的，备份投标文件自动失效。</w:t>
      </w:r>
    </w:p>
    <w:p w14:paraId="65754C7B">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19.资格审查</w:t>
      </w:r>
    </w:p>
    <w:p w14:paraId="2881E05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1</w:t>
      </w:r>
      <w:r>
        <w:rPr>
          <w:rFonts w:ascii="仿宋" w:hAnsi="仿宋" w:eastAsia="仿宋"/>
          <w:szCs w:val="24"/>
        </w:rPr>
        <w:t>开标后，</w:t>
      </w:r>
      <w:r>
        <w:rPr>
          <w:rFonts w:hint="eastAsia" w:ascii="仿宋" w:hAnsi="仿宋" w:eastAsia="仿宋"/>
          <w:szCs w:val="24"/>
        </w:rPr>
        <w:t>采购人或采购代理机构依据法律法规和招标文件的规定，对投标人的资格进行审查。</w:t>
      </w:r>
    </w:p>
    <w:p w14:paraId="12367CC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2投标人未按照招标文件要求提供与资格条件相应的有效资格证明材料的，视为投标人不具备招标文件中规定的资格要求，其投标无效。</w:t>
      </w:r>
    </w:p>
    <w:p w14:paraId="7AD0542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3</w:t>
      </w:r>
      <w:r>
        <w:rPr>
          <w:rFonts w:ascii="仿宋" w:hAnsi="仿宋" w:eastAsia="仿宋"/>
          <w:szCs w:val="24"/>
        </w:rPr>
        <w:t>对未通过资格审查的投标人，告知其未通过的原因。</w:t>
      </w:r>
    </w:p>
    <w:p w14:paraId="1903621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4</w:t>
      </w:r>
      <w:r>
        <w:rPr>
          <w:rFonts w:ascii="仿宋" w:hAnsi="仿宋" w:eastAsia="仿宋"/>
          <w:szCs w:val="24"/>
        </w:rPr>
        <w:t>合格投标人不足3家的，不再评标。</w:t>
      </w:r>
    </w:p>
    <w:p w14:paraId="437FB01E">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20.信用信息查询</w:t>
      </w:r>
    </w:p>
    <w:p w14:paraId="1622D83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.1信用信息查询渠道及截止时间：采购代理机构将在资格审查时通过“信用中国”网站(www.creditchina.gov.cn)、中国政府采购网(www.ccgp.gov.cn)渠道查询投标人</w:t>
      </w:r>
      <w:r>
        <w:rPr>
          <w:rFonts w:hint="eastAsia" w:ascii="仿宋" w:hAnsi="仿宋" w:eastAsia="仿宋"/>
          <w:szCs w:val="24"/>
        </w:rPr>
        <w:t>接受资格审查时的信用记录</w:t>
      </w:r>
      <w:r>
        <w:rPr>
          <w:rFonts w:ascii="仿宋" w:hAnsi="仿宋" w:eastAsia="仿宋"/>
          <w:szCs w:val="24"/>
        </w:rPr>
        <w:t>。</w:t>
      </w:r>
    </w:p>
    <w:p w14:paraId="3DFABA7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.2信用信息查询记录和证据留存的具体方式：现场查询的投标人的信用记录、查询结果经确认后将与采购文件一起存档。</w:t>
      </w:r>
    </w:p>
    <w:p w14:paraId="7D89EC9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14:paraId="57E58FEA">
      <w:pPr>
        <w:pStyle w:val="26"/>
        <w:snapToGrid w:val="0"/>
        <w:spacing w:line="276" w:lineRule="auto"/>
        <w:ind w:firstLine="480" w:firstLineChars="200"/>
        <w:rPr>
          <w:rFonts w:ascii="仿宋" w:hAnsi="仿宋" w:eastAsia="仿宋"/>
        </w:rPr>
      </w:pPr>
      <w:r>
        <w:rPr>
          <w:rFonts w:hint="eastAsia" w:ascii="仿宋" w:hAnsi="仿宋" w:eastAsia="仿宋"/>
          <w:szCs w:val="24"/>
        </w:rPr>
        <w:t>20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bookmarkStart w:id="6" w:name="_Toc125344508"/>
    </w:p>
    <w:p w14:paraId="7E873FA9">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五、评标</w:t>
      </w:r>
      <w:bookmarkEnd w:id="6"/>
    </w:p>
    <w:p w14:paraId="5C55258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b/>
          <w:szCs w:val="24"/>
        </w:rPr>
        <w:t>详见招标文件第四部分评标办法。</w:t>
      </w:r>
    </w:p>
    <w:p w14:paraId="6026872A">
      <w:pPr>
        <w:pStyle w:val="3"/>
        <w:spacing w:before="0" w:after="0" w:line="276" w:lineRule="auto"/>
        <w:jc w:val="center"/>
        <w:rPr>
          <w:rFonts w:ascii="仿宋" w:hAnsi="仿宋" w:eastAsia="仿宋"/>
          <w:color w:val="auto"/>
          <w:sz w:val="28"/>
          <w:szCs w:val="28"/>
        </w:rPr>
      </w:pPr>
      <w:bookmarkStart w:id="7" w:name="_Toc125344509"/>
      <w:r>
        <w:rPr>
          <w:rFonts w:hint="eastAsia" w:ascii="仿宋" w:hAnsi="仿宋" w:eastAsia="仿宋"/>
          <w:color w:val="auto"/>
          <w:sz w:val="28"/>
          <w:szCs w:val="28"/>
        </w:rPr>
        <w:t>六、</w:t>
      </w:r>
      <w:bookmarkEnd w:id="7"/>
      <w:r>
        <w:rPr>
          <w:rFonts w:hint="eastAsia" w:ascii="仿宋" w:hAnsi="仿宋" w:eastAsia="仿宋"/>
          <w:color w:val="auto"/>
          <w:sz w:val="28"/>
          <w:szCs w:val="28"/>
        </w:rPr>
        <w:t>定标</w:t>
      </w:r>
    </w:p>
    <w:p w14:paraId="18803EF7">
      <w:pPr>
        <w:pStyle w:val="41"/>
        <w:spacing w:line="276" w:lineRule="auto"/>
        <w:ind w:firstLine="472" w:firstLineChars="196"/>
        <w:rPr>
          <w:rFonts w:ascii="仿宋" w:hAnsi="仿宋" w:eastAsia="仿宋"/>
          <w:b/>
          <w:sz w:val="24"/>
        </w:rPr>
      </w:pPr>
      <w:r>
        <w:rPr>
          <w:rFonts w:hint="eastAsia" w:ascii="仿宋" w:hAnsi="仿宋" w:eastAsia="仿宋"/>
          <w:b/>
          <w:bCs/>
          <w:sz w:val="24"/>
        </w:rPr>
        <w:t>22.确定中标供应商</w:t>
      </w:r>
    </w:p>
    <w:p w14:paraId="1AF2EB97">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3E88F317">
      <w:pPr>
        <w:pStyle w:val="41"/>
        <w:spacing w:line="276" w:lineRule="auto"/>
        <w:ind w:firstLine="472" w:firstLineChars="196"/>
        <w:rPr>
          <w:rFonts w:ascii="仿宋" w:hAnsi="仿宋" w:eastAsia="仿宋"/>
          <w:b/>
          <w:bCs/>
          <w:sz w:val="24"/>
        </w:rPr>
      </w:pPr>
      <w:r>
        <w:rPr>
          <w:rFonts w:hint="eastAsia" w:ascii="仿宋" w:hAnsi="仿宋" w:eastAsia="仿宋"/>
          <w:b/>
          <w:bCs/>
          <w:sz w:val="24"/>
        </w:rPr>
        <w:t>23.中标通知与中标结果公告</w:t>
      </w:r>
    </w:p>
    <w:p w14:paraId="605C7996">
      <w:pPr>
        <w:spacing w:line="276" w:lineRule="auto"/>
        <w:ind w:firstLine="480" w:firstLineChars="200"/>
        <w:rPr>
          <w:rFonts w:ascii="仿宋" w:hAnsi="仿宋" w:eastAsia="仿宋"/>
          <w:color w:val="auto"/>
          <w:sz w:val="24"/>
        </w:rPr>
      </w:pPr>
      <w:r>
        <w:rPr>
          <w:rFonts w:hint="eastAsia" w:ascii="仿宋" w:hAnsi="仿宋" w:eastAsia="仿宋"/>
          <w:color w:val="auto"/>
          <w:sz w:val="24"/>
        </w:rPr>
        <w:t>23.1自中标人确定之日起2个工作日内，采购代理机构通过电子交易平台向中标人发出中标通知书，同时编制发布采购结果公告。采购代理机构也可以以纸质形式进行中标通知。</w:t>
      </w:r>
    </w:p>
    <w:p w14:paraId="775FC25D">
      <w:pPr>
        <w:spacing w:line="276" w:lineRule="auto"/>
        <w:ind w:firstLine="480" w:firstLineChars="200"/>
        <w:rPr>
          <w:rFonts w:ascii="仿宋" w:hAnsi="仿宋" w:eastAsia="仿宋"/>
          <w:color w:val="auto"/>
          <w:sz w:val="24"/>
        </w:rPr>
      </w:pPr>
      <w:r>
        <w:rPr>
          <w:rFonts w:hint="eastAsia" w:ascii="仿宋" w:hAnsi="仿宋" w:eastAsia="仿宋"/>
          <w:color w:val="auto"/>
          <w:sz w:val="24"/>
        </w:rPr>
        <w:t>23.2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273A9356">
      <w:pPr>
        <w:spacing w:line="276" w:lineRule="auto"/>
        <w:ind w:firstLine="480" w:firstLineChars="200"/>
        <w:rPr>
          <w:rFonts w:ascii="仿宋" w:hAnsi="仿宋" w:eastAsia="仿宋"/>
          <w:color w:val="auto"/>
          <w:sz w:val="24"/>
        </w:rPr>
      </w:pPr>
      <w:r>
        <w:rPr>
          <w:rFonts w:hint="eastAsia" w:ascii="仿宋" w:hAnsi="仿宋" w:eastAsia="仿宋"/>
          <w:color w:val="auto"/>
          <w:sz w:val="24"/>
        </w:rPr>
        <w:t>23.3公告期限为1个工作日。</w:t>
      </w:r>
    </w:p>
    <w:p w14:paraId="61386BCB">
      <w:pPr>
        <w:spacing w:line="276" w:lineRule="auto"/>
        <w:ind w:firstLine="480" w:firstLineChars="200"/>
        <w:rPr>
          <w:rFonts w:ascii="仿宋" w:hAnsi="仿宋" w:eastAsia="仿宋"/>
          <w:color w:val="auto"/>
          <w:sz w:val="24"/>
        </w:rPr>
      </w:pPr>
      <w:r>
        <w:rPr>
          <w:rFonts w:hint="eastAsia" w:ascii="仿宋" w:hAnsi="仿宋" w:eastAsia="仿宋"/>
          <w:color w:val="auto"/>
          <w:sz w:val="24"/>
        </w:rPr>
        <w:t>23.4由于中标供应商原因导致重新采购的，中标供应商应当承担支付代理费和专家评审费等费用在内的赔偿责任。</w:t>
      </w:r>
    </w:p>
    <w:p w14:paraId="0449093D">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七、合同授予</w:t>
      </w:r>
    </w:p>
    <w:p w14:paraId="4907F100">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Cs/>
          <w:color w:val="auto"/>
          <w:sz w:val="24"/>
        </w:rPr>
        <w:t>合同主要条款详见第五部分拟签订的合同文本。</w:t>
      </w:r>
    </w:p>
    <w:p w14:paraId="2C100FB8">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25.合同的签订</w:t>
      </w:r>
    </w:p>
    <w:p w14:paraId="2E138616">
      <w:pPr>
        <w:spacing w:line="276" w:lineRule="auto"/>
        <w:ind w:firstLine="480" w:firstLineChars="200"/>
        <w:rPr>
          <w:rFonts w:ascii="仿宋" w:hAnsi="仿宋" w:eastAsia="仿宋"/>
          <w:bCs/>
          <w:color w:val="auto"/>
          <w:sz w:val="24"/>
        </w:rPr>
      </w:pPr>
      <w:r>
        <w:rPr>
          <w:rFonts w:hint="eastAsia" w:ascii="仿宋" w:hAnsi="仿宋" w:eastAsia="仿宋"/>
          <w:color w:val="auto"/>
          <w:sz w:val="24"/>
        </w:rPr>
        <w:t>25.1采购人与中标人应当在中标通知书发出之日起30日内，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14:paraId="416FD1D0">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25.2中标人按规定的日期、时间、地点，由法定代表人或其授权代表与采购人代表签订合同。如中标人为联合体的，由联合体成员各方法定代表人或其授权代表与采购人代表签订合同。</w:t>
      </w:r>
    </w:p>
    <w:p w14:paraId="27479A76">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如签订合同并生效后，供应商无故拒绝或延期，除按照合同条款处理外，列入不良行为记录一次，并给予通报。</w:t>
      </w:r>
    </w:p>
    <w:p w14:paraId="16B65D3B">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14:paraId="3062E3F0">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14:paraId="118ED837">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26.</w:t>
      </w:r>
      <w:r>
        <w:rPr>
          <w:rFonts w:ascii="仿宋" w:hAnsi="仿宋" w:eastAsia="仿宋"/>
          <w:b/>
          <w:bCs/>
          <w:color w:val="auto"/>
          <w:sz w:val="24"/>
        </w:rPr>
        <w:t>履约保证金</w:t>
      </w:r>
    </w:p>
    <w:p w14:paraId="230842D1">
      <w:pPr>
        <w:spacing w:line="276" w:lineRule="auto"/>
        <w:ind w:firstLine="480" w:firstLineChars="200"/>
        <w:rPr>
          <w:rFonts w:ascii="仿宋" w:hAnsi="仿宋" w:eastAsia="仿宋"/>
          <w:color w:val="auto"/>
          <w:sz w:val="24"/>
        </w:rPr>
      </w:pPr>
      <w:r>
        <w:rPr>
          <w:rFonts w:hint="eastAsia" w:ascii="仿宋" w:hAnsi="仿宋" w:eastAsia="仿宋"/>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rPr>
        <w:t>1</w:t>
      </w:r>
      <w:r>
        <w:rPr>
          <w:rFonts w:hint="eastAsia" w:ascii="仿宋" w:hAnsi="仿宋" w:eastAsia="仿宋"/>
          <w:color w:val="auto"/>
          <w:sz w:val="24"/>
        </w:rPr>
        <w:t>%。鼓励和支持供应商以银行、保险公司出具的保函形式提供履约保证金。采购人不得拒收履约保函，项目验收结束后应及时退还，</w:t>
      </w:r>
      <w:r>
        <w:rPr>
          <w:rFonts w:ascii="仿宋" w:hAnsi="仿宋" w:eastAsia="仿宋"/>
          <w:color w:val="auto"/>
          <w:sz w:val="24"/>
        </w:rPr>
        <w:t>延迟退还的，应当按照合同约定和法律规定承担相应的赔偿责任</w:t>
      </w:r>
      <w:r>
        <w:rPr>
          <w:rFonts w:hint="eastAsia" w:ascii="仿宋" w:hAnsi="仿宋" w:eastAsia="仿宋"/>
          <w:color w:val="auto"/>
          <w:sz w:val="24"/>
        </w:rPr>
        <w:t>。</w:t>
      </w:r>
    </w:p>
    <w:p w14:paraId="33359C19">
      <w:pPr>
        <w:spacing w:line="276" w:lineRule="auto"/>
        <w:ind w:firstLine="480" w:firstLineChars="200"/>
        <w:rPr>
          <w:rFonts w:ascii="仿宋" w:hAnsi="仿宋" w:eastAsia="仿宋"/>
          <w:color w:val="auto"/>
          <w:sz w:val="24"/>
        </w:rPr>
      </w:pPr>
      <w:r>
        <w:rPr>
          <w:rFonts w:hint="eastAsia" w:ascii="仿宋" w:hAnsi="仿宋" w:eastAsia="仿宋"/>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FED7EFB">
      <w:pPr>
        <w:spacing w:line="276" w:lineRule="auto"/>
        <w:ind w:firstLine="482" w:firstLineChars="200"/>
        <w:rPr>
          <w:rFonts w:ascii="仿宋" w:hAnsi="仿宋" w:eastAsia="仿宋"/>
          <w:b/>
          <w:color w:val="auto"/>
          <w:sz w:val="24"/>
        </w:rPr>
      </w:pPr>
      <w:r>
        <w:rPr>
          <w:rFonts w:hint="eastAsia" w:ascii="仿宋" w:hAnsi="仿宋" w:eastAsia="仿宋"/>
          <w:b/>
          <w:color w:val="auto"/>
          <w:sz w:val="24"/>
        </w:rPr>
        <w:t>27.预付款</w:t>
      </w:r>
    </w:p>
    <w:p w14:paraId="6AAAA3A0">
      <w:pPr>
        <w:spacing w:line="276" w:lineRule="auto"/>
        <w:ind w:firstLine="480" w:firstLineChars="200"/>
        <w:rPr>
          <w:rFonts w:ascii="仿宋" w:hAnsi="仿宋" w:eastAsia="仿宋"/>
          <w:b/>
          <w:color w:val="auto"/>
          <w:sz w:val="24"/>
        </w:rPr>
      </w:pPr>
      <w:r>
        <w:rPr>
          <w:rFonts w:hint="eastAsia" w:ascii="仿宋" w:hAnsi="仿宋" w:eastAsia="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9542FF0">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14:paraId="113E00DA">
      <w:pPr>
        <w:spacing w:line="276" w:lineRule="auto"/>
        <w:ind w:firstLine="482" w:firstLineChars="200"/>
        <w:rPr>
          <w:rFonts w:ascii="仿宋" w:hAnsi="仿宋" w:eastAsia="仿宋"/>
          <w:color w:val="auto"/>
          <w:sz w:val="24"/>
        </w:rPr>
      </w:pPr>
      <w:r>
        <w:rPr>
          <w:rFonts w:hint="eastAsia" w:ascii="仿宋" w:hAnsi="仿宋" w:eastAsia="仿宋"/>
          <w:b/>
          <w:color w:val="auto"/>
          <w:sz w:val="24"/>
        </w:rPr>
        <w:t>28.电子交易活动的中止。</w:t>
      </w:r>
      <w:r>
        <w:rPr>
          <w:rFonts w:hint="eastAsia" w:ascii="仿宋" w:hAnsi="仿宋" w:eastAsia="仿宋"/>
          <w:color w:val="auto"/>
          <w:sz w:val="24"/>
        </w:rPr>
        <w:t>采购过程中出现以下情形，导致电子交易平台无法正常运行，或者无法保证电子交易的公平、公正和安全时，采购代理机构可中止电子交易活动：</w:t>
      </w:r>
    </w:p>
    <w:p w14:paraId="07717B3E">
      <w:pPr>
        <w:pStyle w:val="41"/>
        <w:spacing w:line="276" w:lineRule="auto"/>
        <w:ind w:firstLine="480" w:firstLineChars="200"/>
        <w:rPr>
          <w:rFonts w:ascii="仿宋" w:hAnsi="仿宋" w:eastAsia="仿宋"/>
          <w:sz w:val="24"/>
        </w:rPr>
      </w:pPr>
      <w:r>
        <w:rPr>
          <w:rFonts w:hint="eastAsia" w:ascii="仿宋" w:hAnsi="仿宋" w:eastAsia="仿宋"/>
          <w:sz w:val="24"/>
        </w:rPr>
        <w:t>28.1电子交易平台发生故障而无法登录访问的；</w:t>
      </w:r>
      <w:r>
        <w:rPr>
          <w:rFonts w:hint="eastAsia" w:ascii="宋体" w:hAnsi="宋体" w:eastAsia="仿宋"/>
          <w:sz w:val="24"/>
        </w:rPr>
        <w:t> </w:t>
      </w:r>
    </w:p>
    <w:p w14:paraId="145DD409">
      <w:pPr>
        <w:pStyle w:val="41"/>
        <w:spacing w:line="276" w:lineRule="auto"/>
        <w:ind w:firstLine="480" w:firstLineChars="200"/>
        <w:rPr>
          <w:rFonts w:ascii="仿宋" w:hAnsi="仿宋" w:eastAsia="仿宋"/>
          <w:sz w:val="24"/>
        </w:rPr>
      </w:pPr>
      <w:r>
        <w:rPr>
          <w:rFonts w:hint="eastAsia" w:ascii="仿宋" w:hAnsi="仿宋" w:eastAsia="仿宋"/>
          <w:sz w:val="24"/>
        </w:rPr>
        <w:t>28.2电子交易平台应用或数据库出现错误，不能进行正常操作的；</w:t>
      </w:r>
    </w:p>
    <w:p w14:paraId="7F095C83">
      <w:pPr>
        <w:pStyle w:val="41"/>
        <w:spacing w:line="276" w:lineRule="auto"/>
        <w:ind w:firstLine="480" w:firstLineChars="200"/>
        <w:rPr>
          <w:rFonts w:ascii="仿宋" w:hAnsi="仿宋" w:eastAsia="仿宋"/>
          <w:sz w:val="24"/>
        </w:rPr>
      </w:pPr>
      <w:r>
        <w:rPr>
          <w:rFonts w:hint="eastAsia" w:ascii="仿宋" w:hAnsi="仿宋" w:eastAsia="仿宋"/>
          <w:sz w:val="24"/>
        </w:rPr>
        <w:t>28.3电子交易平台发现严重安全漏洞，有潜在泄密危险的；</w:t>
      </w:r>
    </w:p>
    <w:p w14:paraId="5108BF6D">
      <w:pPr>
        <w:pStyle w:val="41"/>
        <w:spacing w:line="276" w:lineRule="auto"/>
        <w:ind w:firstLine="480" w:firstLineChars="200"/>
        <w:rPr>
          <w:rFonts w:ascii="仿宋" w:hAnsi="仿宋" w:eastAsia="仿宋"/>
          <w:sz w:val="24"/>
        </w:rPr>
      </w:pPr>
      <w:r>
        <w:rPr>
          <w:rFonts w:hint="eastAsia" w:ascii="仿宋" w:hAnsi="仿宋" w:eastAsia="仿宋"/>
          <w:sz w:val="24"/>
        </w:rPr>
        <w:t>28.4病毒发作导致不能进行正常操作的；</w:t>
      </w:r>
      <w:r>
        <w:rPr>
          <w:rFonts w:hint="eastAsia" w:ascii="宋体" w:hAnsi="宋体" w:eastAsia="仿宋"/>
          <w:sz w:val="24"/>
        </w:rPr>
        <w:t> </w:t>
      </w:r>
    </w:p>
    <w:p w14:paraId="25E55A20">
      <w:pPr>
        <w:pStyle w:val="41"/>
        <w:spacing w:line="276" w:lineRule="auto"/>
        <w:ind w:firstLine="480" w:firstLineChars="200"/>
        <w:rPr>
          <w:rFonts w:ascii="仿宋" w:hAnsi="仿宋" w:eastAsia="仿宋"/>
          <w:sz w:val="24"/>
        </w:rPr>
      </w:pPr>
      <w:r>
        <w:rPr>
          <w:rFonts w:hint="eastAsia" w:ascii="仿宋" w:hAnsi="仿宋" w:eastAsia="仿宋"/>
          <w:sz w:val="24"/>
        </w:rPr>
        <w:t>28.5其他无法保证电子交易的公平、公正和安全的情况。</w:t>
      </w:r>
    </w:p>
    <w:p w14:paraId="1D5DB1AD">
      <w:pPr>
        <w:spacing w:line="276" w:lineRule="auto"/>
        <w:ind w:firstLine="480" w:firstLineChars="200"/>
        <w:rPr>
          <w:rFonts w:ascii="仿宋" w:hAnsi="仿宋" w:eastAsia="仿宋"/>
          <w:color w:val="auto"/>
          <w:sz w:val="24"/>
        </w:rPr>
      </w:pPr>
      <w:r>
        <w:rPr>
          <w:rFonts w:hint="eastAsia" w:ascii="仿宋" w:hAnsi="仿宋" w:eastAsia="仿宋"/>
          <w:color w:val="auto"/>
          <w:sz w:val="24"/>
        </w:rPr>
        <w:t>29.出现前款规定情形，不影响采购公平、公正性的，采购代理机构可以待上述情形消除后继续组织电子交易活动，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14:paraId="40139DAE">
      <w:pPr>
        <w:pStyle w:val="3"/>
        <w:spacing w:before="0" w:after="0" w:line="276" w:lineRule="auto"/>
        <w:jc w:val="center"/>
        <w:rPr>
          <w:color w:val="auto"/>
        </w:rPr>
      </w:pPr>
      <w:r>
        <w:rPr>
          <w:rFonts w:hint="eastAsia" w:ascii="仿宋" w:hAnsi="仿宋" w:eastAsia="仿宋"/>
          <w:color w:val="auto"/>
          <w:sz w:val="28"/>
          <w:szCs w:val="28"/>
        </w:rPr>
        <w:t>九、验收</w:t>
      </w:r>
    </w:p>
    <w:p w14:paraId="3F8CB437">
      <w:pPr>
        <w:spacing w:line="276" w:lineRule="auto"/>
        <w:ind w:firstLine="480" w:firstLineChars="200"/>
        <w:rPr>
          <w:rFonts w:ascii="仿宋" w:hAnsi="仿宋" w:eastAsia="仿宋"/>
          <w:color w:val="auto"/>
          <w:sz w:val="24"/>
        </w:rPr>
      </w:pPr>
      <w:r>
        <w:rPr>
          <w:rFonts w:hint="eastAsia" w:ascii="仿宋" w:hAnsi="仿宋" w:eastAsia="仿宋"/>
          <w:color w:val="auto"/>
          <w:sz w:val="24"/>
        </w:rPr>
        <w:t>30.验收</w:t>
      </w:r>
    </w:p>
    <w:p w14:paraId="1B900B0A">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748C65">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14:paraId="43F9D05A">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8AF825">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203EF6">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15475D2">
      <w:pPr>
        <w:spacing w:line="276" w:lineRule="auto"/>
        <w:ind w:firstLine="480" w:firstLineChars="200"/>
        <w:rPr>
          <w:rFonts w:ascii="仿宋" w:hAnsi="仿宋" w:eastAsia="仿宋" w:cs="Helvetica"/>
          <w:color w:val="auto"/>
          <w:sz w:val="24"/>
        </w:rPr>
        <w:sectPr>
          <w:pgSz w:w="11906" w:h="16838"/>
          <w:pgMar w:top="1134" w:right="1247" w:bottom="1021" w:left="1247" w:header="567" w:footer="454" w:gutter="0"/>
          <w:pgNumType w:fmt="numberInDash"/>
          <w:cols w:space="720" w:num="1"/>
          <w:titlePg/>
          <w:docGrid w:type="lines" w:linePitch="312" w:charSpace="0"/>
        </w:sectPr>
      </w:pPr>
    </w:p>
    <w:p w14:paraId="1FAB3D47">
      <w:pPr>
        <w:pStyle w:val="2"/>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第三部分   采购需求</w:t>
      </w:r>
    </w:p>
    <w:p w14:paraId="3FBBEAAD">
      <w:pPr>
        <w:spacing w:line="360" w:lineRule="auto"/>
        <w:rPr>
          <w:rFonts w:ascii="仿宋" w:hAnsi="仿宋" w:eastAsia="仿宋" w:cs="仿宋"/>
          <w:b/>
          <w:bCs/>
          <w:sz w:val="24"/>
          <w:szCs w:val="24"/>
        </w:rPr>
      </w:pPr>
      <w:r>
        <w:rPr>
          <w:rFonts w:hint="eastAsia" w:ascii="仿宋" w:hAnsi="仿宋" w:eastAsia="仿宋" w:cs="仿宋"/>
          <w:b/>
          <w:bCs/>
          <w:color w:val="auto"/>
          <w:sz w:val="24"/>
          <w:szCs w:val="24"/>
        </w:rPr>
        <w:t>一、项目概况</w:t>
      </w:r>
    </w:p>
    <w:p w14:paraId="3A55768C">
      <w:pPr>
        <w:spacing w:afterLines="50" w:line="360" w:lineRule="auto"/>
        <w:ind w:firstLine="556"/>
        <w:jc w:val="left"/>
        <w:rPr>
          <w:rFonts w:ascii="仿宋" w:hAnsi="仿宋" w:eastAsia="仿宋"/>
          <w:sz w:val="24"/>
          <w:szCs w:val="24"/>
        </w:rPr>
      </w:pPr>
      <w:r>
        <w:rPr>
          <w:rFonts w:hint="eastAsia" w:ascii="仿宋" w:hAnsi="仿宋" w:eastAsia="仿宋"/>
          <w:color w:val="auto"/>
          <w:sz w:val="24"/>
          <w:szCs w:val="24"/>
        </w:rPr>
        <w:t>1、诸暨市人民政府暨阳街道办事处及下辖社区2025年度疗休养服务采购项目主要服务街道办事处及下辖社区职工暑期疗休养活动，包括整个活动期间所有参加人员的食、宿、行等全部服务内容。</w:t>
      </w:r>
    </w:p>
    <w:p w14:paraId="3AFF5D5B">
      <w:pPr>
        <w:spacing w:afterLines="50" w:line="360" w:lineRule="auto"/>
        <w:ind w:firstLine="556"/>
        <w:jc w:val="left"/>
        <w:rPr>
          <w:rFonts w:ascii="仿宋" w:hAnsi="仿宋" w:eastAsia="仿宋"/>
          <w:sz w:val="24"/>
          <w:szCs w:val="24"/>
        </w:rPr>
      </w:pPr>
      <w:r>
        <w:rPr>
          <w:rFonts w:hint="eastAsia" w:ascii="仿宋" w:hAnsi="仿宋" w:eastAsia="仿宋"/>
          <w:color w:val="auto"/>
          <w:sz w:val="24"/>
          <w:szCs w:val="24"/>
        </w:rPr>
        <w:t>2、本项目各标项最终参与疗休养人数以实际成行总人数为准。</w:t>
      </w:r>
    </w:p>
    <w:p w14:paraId="0EFC7015">
      <w:pPr>
        <w:spacing w:line="360" w:lineRule="auto"/>
        <w:rPr>
          <w:rFonts w:ascii="仿宋" w:hAnsi="仿宋" w:eastAsia="仿宋" w:cs="仿宋"/>
          <w:b/>
          <w:bCs/>
          <w:sz w:val="24"/>
          <w:szCs w:val="24"/>
        </w:rPr>
      </w:pPr>
      <w:r>
        <w:rPr>
          <w:rFonts w:hint="eastAsia" w:ascii="仿宋" w:hAnsi="仿宋" w:eastAsia="仿宋" w:cs="仿宋"/>
          <w:b/>
          <w:bCs/>
          <w:color w:val="auto"/>
          <w:sz w:val="24"/>
          <w:szCs w:val="24"/>
        </w:rPr>
        <w:t>二、</w:t>
      </w:r>
      <w:r>
        <w:rPr>
          <w:rFonts w:ascii="仿宋" w:hAnsi="仿宋" w:eastAsia="仿宋" w:cs="仿宋"/>
          <w:b/>
          <w:bCs/>
          <w:color w:val="auto"/>
          <w:sz w:val="24"/>
          <w:szCs w:val="24"/>
        </w:rPr>
        <w:t>疗休养线路</w:t>
      </w:r>
    </w:p>
    <w:tbl>
      <w:tblPr>
        <w:tblStyle w:val="329"/>
        <w:tblpPr w:leftFromText="180" w:rightFromText="180" w:vertAnchor="text" w:horzAnchor="margin" w:tblpY="116"/>
        <w:tblOverlap w:val="never"/>
        <w:tblW w:w="97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440"/>
        <w:gridCol w:w="826"/>
        <w:gridCol w:w="2923"/>
        <w:gridCol w:w="5001"/>
      </w:tblGrid>
      <w:tr w14:paraId="40610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60" w:type="dxa"/>
            <w:gridSpan w:val="5"/>
          </w:tcPr>
          <w:p w14:paraId="566B0787">
            <w:pPr>
              <w:pStyle w:val="328"/>
              <w:spacing w:before="160" w:line="225" w:lineRule="auto"/>
              <w:ind w:left="4979"/>
              <w:rPr>
                <w:rFonts w:ascii="仿宋" w:hAnsi="仿宋" w:eastAsia="仿宋"/>
                <w:b/>
                <w:bCs/>
                <w:szCs w:val="24"/>
              </w:rPr>
            </w:pPr>
            <w:r>
              <w:rPr>
                <w:rFonts w:hint="eastAsia" w:ascii="仿宋" w:hAnsi="仿宋" w:eastAsia="仿宋"/>
                <w:b/>
                <w:bCs/>
                <w:szCs w:val="24"/>
              </w:rPr>
              <w:t>省内外</w:t>
            </w:r>
          </w:p>
        </w:tc>
      </w:tr>
      <w:tr w14:paraId="5894F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70" w:type="dxa"/>
            <w:vAlign w:val="center"/>
          </w:tcPr>
          <w:p w14:paraId="4B97778F">
            <w:pPr>
              <w:pStyle w:val="328"/>
              <w:spacing w:before="80" w:line="232" w:lineRule="auto"/>
              <w:rPr>
                <w:rFonts w:ascii="仿宋" w:hAnsi="仿宋" w:eastAsia="仿宋"/>
                <w:b/>
                <w:bCs/>
                <w:szCs w:val="24"/>
              </w:rPr>
            </w:pPr>
            <w:r>
              <w:rPr>
                <w:rFonts w:hint="eastAsia" w:ascii="仿宋" w:hAnsi="仿宋" w:eastAsia="仿宋"/>
                <w:b/>
                <w:bCs/>
                <w:szCs w:val="24"/>
              </w:rPr>
              <w:t>编号</w:t>
            </w:r>
          </w:p>
        </w:tc>
        <w:tc>
          <w:tcPr>
            <w:tcW w:w="440" w:type="dxa"/>
          </w:tcPr>
          <w:p w14:paraId="517FD443">
            <w:pPr>
              <w:pStyle w:val="328"/>
              <w:spacing w:before="53" w:line="229" w:lineRule="auto"/>
              <w:ind w:left="126"/>
              <w:rPr>
                <w:rFonts w:ascii="仿宋" w:hAnsi="仿宋" w:eastAsia="仿宋"/>
                <w:b/>
                <w:bCs/>
                <w:szCs w:val="24"/>
              </w:rPr>
            </w:pPr>
            <w:r>
              <w:rPr>
                <w:rFonts w:hint="eastAsia" w:ascii="仿宋" w:hAnsi="仿宋" w:eastAsia="仿宋"/>
                <w:b/>
                <w:bCs/>
                <w:spacing w:val="-4"/>
                <w:szCs w:val="24"/>
              </w:rPr>
              <w:t>区域</w:t>
            </w:r>
          </w:p>
        </w:tc>
        <w:tc>
          <w:tcPr>
            <w:tcW w:w="826" w:type="dxa"/>
            <w:vAlign w:val="center"/>
          </w:tcPr>
          <w:p w14:paraId="10C554CB">
            <w:pPr>
              <w:pStyle w:val="328"/>
              <w:spacing w:before="52" w:line="233" w:lineRule="auto"/>
              <w:ind w:left="110"/>
              <w:jc w:val="center"/>
              <w:rPr>
                <w:rFonts w:ascii="仿宋" w:hAnsi="仿宋" w:eastAsia="仿宋"/>
                <w:b/>
                <w:bCs/>
                <w:szCs w:val="24"/>
              </w:rPr>
            </w:pPr>
            <w:r>
              <w:rPr>
                <w:rFonts w:hint="eastAsia" w:ascii="仿宋" w:hAnsi="仿宋" w:eastAsia="仿宋"/>
                <w:b/>
                <w:bCs/>
                <w:spacing w:val="3"/>
                <w:szCs w:val="24"/>
              </w:rPr>
              <w:t>地点</w:t>
            </w:r>
          </w:p>
        </w:tc>
        <w:tc>
          <w:tcPr>
            <w:tcW w:w="2923" w:type="dxa"/>
            <w:vAlign w:val="center"/>
          </w:tcPr>
          <w:p w14:paraId="01518E22">
            <w:pPr>
              <w:pStyle w:val="328"/>
              <w:spacing w:before="53" w:line="228" w:lineRule="auto"/>
              <w:jc w:val="center"/>
              <w:rPr>
                <w:rFonts w:ascii="仿宋" w:hAnsi="仿宋" w:eastAsia="仿宋"/>
                <w:b/>
                <w:bCs/>
                <w:szCs w:val="24"/>
              </w:rPr>
            </w:pPr>
            <w:r>
              <w:rPr>
                <w:rFonts w:hint="eastAsia" w:ascii="仿宋" w:hAnsi="仿宋" w:eastAsia="仿宋"/>
                <w:b/>
                <w:bCs/>
                <w:spacing w:val="2"/>
                <w:szCs w:val="24"/>
              </w:rPr>
              <w:t>线路</w:t>
            </w:r>
          </w:p>
        </w:tc>
        <w:tc>
          <w:tcPr>
            <w:tcW w:w="5001" w:type="dxa"/>
            <w:vAlign w:val="center"/>
          </w:tcPr>
          <w:p w14:paraId="2DB45763">
            <w:pPr>
              <w:pStyle w:val="328"/>
              <w:spacing w:before="53" w:line="228" w:lineRule="auto"/>
              <w:jc w:val="center"/>
              <w:rPr>
                <w:rFonts w:ascii="仿宋" w:hAnsi="仿宋" w:eastAsia="仿宋"/>
                <w:b/>
                <w:bCs/>
                <w:szCs w:val="24"/>
              </w:rPr>
            </w:pPr>
            <w:r>
              <w:rPr>
                <w:rFonts w:hint="eastAsia" w:ascii="仿宋" w:hAnsi="仿宋" w:eastAsia="仿宋"/>
                <w:b/>
                <w:bCs/>
                <w:spacing w:val="5"/>
                <w:szCs w:val="24"/>
              </w:rPr>
              <w:t>大致景点</w:t>
            </w:r>
          </w:p>
        </w:tc>
      </w:tr>
      <w:tr w14:paraId="6C4FB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0" w:type="dxa"/>
            <w:shd w:val="clear" w:color="auto" w:fill="auto"/>
            <w:vAlign w:val="center"/>
          </w:tcPr>
          <w:p w14:paraId="247E55D0">
            <w:pPr>
              <w:pStyle w:val="328"/>
              <w:spacing w:before="252" w:line="182" w:lineRule="auto"/>
              <w:jc w:val="center"/>
              <w:rPr>
                <w:rFonts w:ascii="仿宋" w:hAnsi="仿宋" w:eastAsia="仿宋"/>
                <w:b/>
                <w:bCs/>
                <w:snapToGrid w:val="0"/>
                <w:szCs w:val="24"/>
              </w:rPr>
            </w:pPr>
            <w:r>
              <w:rPr>
                <w:rFonts w:hint="eastAsia" w:ascii="仿宋" w:hAnsi="仿宋" w:eastAsia="仿宋"/>
                <w:b/>
                <w:bCs/>
                <w:spacing w:val="-7"/>
                <w:szCs w:val="24"/>
              </w:rPr>
              <w:t>1</w:t>
            </w:r>
          </w:p>
        </w:tc>
        <w:tc>
          <w:tcPr>
            <w:tcW w:w="440" w:type="dxa"/>
            <w:vMerge w:val="restart"/>
            <w:shd w:val="clear" w:color="auto" w:fill="auto"/>
            <w:vAlign w:val="center"/>
          </w:tcPr>
          <w:p w14:paraId="26D11D01">
            <w:pPr>
              <w:jc w:val="center"/>
              <w:rPr>
                <w:rFonts w:ascii="仿宋" w:hAnsi="仿宋" w:eastAsia="仿宋" w:cs="宋体"/>
                <w:sz w:val="24"/>
                <w:szCs w:val="24"/>
              </w:rPr>
            </w:pPr>
            <w:r>
              <w:rPr>
                <w:rFonts w:hint="eastAsia" w:ascii="仿宋" w:hAnsi="仿宋" w:eastAsia="仿宋" w:cs="宋体"/>
                <w:color w:val="auto"/>
                <w:sz w:val="24"/>
                <w:szCs w:val="24"/>
              </w:rPr>
              <w:t>省内外</w:t>
            </w:r>
          </w:p>
        </w:tc>
        <w:tc>
          <w:tcPr>
            <w:tcW w:w="826" w:type="dxa"/>
            <w:shd w:val="clear" w:color="auto" w:fill="auto"/>
            <w:vAlign w:val="center"/>
          </w:tcPr>
          <w:p w14:paraId="55C9CFAA">
            <w:pPr>
              <w:pStyle w:val="328"/>
              <w:spacing w:before="65" w:line="230" w:lineRule="auto"/>
              <w:jc w:val="center"/>
              <w:rPr>
                <w:rFonts w:ascii="仿宋" w:hAnsi="仿宋" w:eastAsia="仿宋"/>
                <w:szCs w:val="24"/>
              </w:rPr>
            </w:pPr>
            <w:r>
              <w:rPr>
                <w:rFonts w:hint="eastAsia" w:ascii="仿宋" w:hAnsi="仿宋" w:eastAsia="仿宋"/>
                <w:spacing w:val="4"/>
                <w:szCs w:val="24"/>
              </w:rPr>
              <w:t>福建</w:t>
            </w:r>
          </w:p>
        </w:tc>
        <w:tc>
          <w:tcPr>
            <w:tcW w:w="2923" w:type="dxa"/>
            <w:shd w:val="clear" w:color="auto" w:fill="auto"/>
            <w:vAlign w:val="center"/>
          </w:tcPr>
          <w:p w14:paraId="47B02AE4">
            <w:pPr>
              <w:pStyle w:val="328"/>
              <w:spacing w:before="185" w:line="266" w:lineRule="exact"/>
              <w:ind w:left="110"/>
              <w:jc w:val="center"/>
              <w:rPr>
                <w:rFonts w:ascii="仿宋" w:hAnsi="仿宋" w:eastAsia="仿宋"/>
                <w:snapToGrid w:val="0"/>
                <w:szCs w:val="24"/>
              </w:rPr>
            </w:pPr>
            <w:r>
              <w:rPr>
                <w:rFonts w:hint="eastAsia" w:ascii="仿宋" w:hAnsi="仿宋" w:eastAsia="仿宋"/>
                <w:spacing w:val="7"/>
                <w:position w:val="1"/>
                <w:szCs w:val="24"/>
              </w:rPr>
              <w:t>福州/平潭岛/泉州五日</w:t>
            </w:r>
          </w:p>
        </w:tc>
        <w:tc>
          <w:tcPr>
            <w:tcW w:w="5001" w:type="dxa"/>
            <w:shd w:val="clear" w:color="auto" w:fill="auto"/>
          </w:tcPr>
          <w:p w14:paraId="0D3611CC">
            <w:pPr>
              <w:pStyle w:val="328"/>
              <w:spacing w:before="208" w:line="228" w:lineRule="auto"/>
              <w:ind w:left="113"/>
              <w:rPr>
                <w:rFonts w:ascii="仿宋" w:hAnsi="仿宋" w:eastAsia="仿宋"/>
                <w:snapToGrid w:val="0"/>
                <w:szCs w:val="24"/>
              </w:rPr>
            </w:pPr>
            <w:r>
              <w:rPr>
                <w:rFonts w:hint="eastAsia" w:ascii="仿宋" w:hAnsi="仿宋" w:eastAsia="仿宋"/>
                <w:spacing w:val="8"/>
                <w:szCs w:val="24"/>
              </w:rPr>
              <w:t>三坊七巷、北部湾景交大套票、拉网、篝火</w:t>
            </w:r>
            <w:r>
              <w:rPr>
                <w:rFonts w:hint="eastAsia" w:ascii="Segoe UI Emoji" w:hAnsi="Segoe UI Emoji" w:eastAsia="仿宋" w:cs="Segoe UI Emoji"/>
                <w:spacing w:val="8"/>
                <w:szCs w:val="24"/>
              </w:rPr>
              <w:t>＋</w:t>
            </w:r>
            <w:r>
              <w:rPr>
                <w:rFonts w:hint="eastAsia" w:ascii="仿宋" w:hAnsi="仿宋" w:eastAsia="仿宋" w:cs="仿宋"/>
                <w:spacing w:val="8"/>
                <w:szCs w:val="24"/>
              </w:rPr>
              <w:t>自助烧烤、</w:t>
            </w:r>
            <w:r>
              <w:rPr>
                <w:rFonts w:hint="eastAsia" w:ascii="仿宋" w:hAnsi="仿宋" w:eastAsia="仿宋"/>
                <w:spacing w:val="8"/>
                <w:szCs w:val="24"/>
              </w:rPr>
              <w:t>68海里、蓝眼泪体验馆、将军山套票</w:t>
            </w:r>
            <w:r>
              <w:rPr>
                <w:rFonts w:hint="eastAsia" w:ascii="仿宋" w:hAnsi="仿宋" w:eastAsia="仿宋"/>
                <w:szCs w:val="24"/>
              </w:rPr>
              <w:t>、开元寺、西街、蟳埔民俗文化渔村、宋元茶楼、清源山。</w:t>
            </w:r>
          </w:p>
        </w:tc>
      </w:tr>
      <w:tr w14:paraId="18F31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0" w:type="dxa"/>
            <w:shd w:val="clear" w:color="auto" w:fill="auto"/>
            <w:vAlign w:val="center"/>
          </w:tcPr>
          <w:p w14:paraId="0AF5A63A">
            <w:pPr>
              <w:pStyle w:val="328"/>
              <w:spacing w:before="77" w:line="181" w:lineRule="auto"/>
              <w:jc w:val="center"/>
              <w:rPr>
                <w:rFonts w:ascii="仿宋" w:hAnsi="仿宋" w:eastAsia="仿宋"/>
                <w:b/>
                <w:bCs/>
                <w:snapToGrid w:val="0"/>
                <w:szCs w:val="24"/>
              </w:rPr>
            </w:pPr>
            <w:r>
              <w:rPr>
                <w:rFonts w:hint="eastAsia" w:ascii="仿宋" w:hAnsi="仿宋" w:eastAsia="仿宋"/>
                <w:b/>
                <w:bCs/>
                <w:spacing w:val="-1"/>
                <w:szCs w:val="24"/>
              </w:rPr>
              <w:t>2</w:t>
            </w:r>
          </w:p>
        </w:tc>
        <w:tc>
          <w:tcPr>
            <w:tcW w:w="440" w:type="dxa"/>
            <w:vMerge w:val="continue"/>
            <w:shd w:val="clear" w:color="auto" w:fill="auto"/>
            <w:textDirection w:val="tbRlV"/>
          </w:tcPr>
          <w:p w14:paraId="389010C1">
            <w:pPr>
              <w:rPr>
                <w:rFonts w:ascii="仿宋" w:hAnsi="仿宋" w:eastAsia="仿宋" w:cs="宋体"/>
                <w:snapToGrid w:val="0"/>
                <w:sz w:val="24"/>
                <w:szCs w:val="24"/>
                <w:lang w:eastAsia="en-US"/>
              </w:rPr>
            </w:pPr>
          </w:p>
        </w:tc>
        <w:tc>
          <w:tcPr>
            <w:tcW w:w="826" w:type="dxa"/>
            <w:vMerge w:val="restart"/>
            <w:shd w:val="clear" w:color="auto" w:fill="auto"/>
            <w:vAlign w:val="center"/>
          </w:tcPr>
          <w:p w14:paraId="609583C9">
            <w:pPr>
              <w:jc w:val="center"/>
              <w:rPr>
                <w:rFonts w:ascii="仿宋" w:hAnsi="仿宋" w:eastAsia="仿宋" w:cs="宋体"/>
                <w:snapToGrid w:val="0"/>
                <w:sz w:val="24"/>
                <w:szCs w:val="24"/>
              </w:rPr>
            </w:pPr>
            <w:r>
              <w:rPr>
                <w:rFonts w:hint="eastAsia" w:ascii="仿宋" w:hAnsi="仿宋" w:eastAsia="仿宋" w:cs="宋体"/>
                <w:snapToGrid w:val="0"/>
                <w:color w:val="auto"/>
                <w:sz w:val="24"/>
                <w:szCs w:val="24"/>
              </w:rPr>
              <w:t>浙江</w:t>
            </w:r>
          </w:p>
        </w:tc>
        <w:tc>
          <w:tcPr>
            <w:tcW w:w="2923" w:type="dxa"/>
            <w:shd w:val="clear" w:color="auto" w:fill="auto"/>
            <w:vAlign w:val="center"/>
          </w:tcPr>
          <w:p w14:paraId="40906A48">
            <w:pPr>
              <w:pStyle w:val="328"/>
              <w:spacing w:before="32" w:line="228" w:lineRule="auto"/>
              <w:ind w:left="113"/>
              <w:jc w:val="center"/>
              <w:rPr>
                <w:rFonts w:ascii="仿宋" w:hAnsi="仿宋" w:eastAsia="仿宋"/>
                <w:snapToGrid w:val="0"/>
                <w:szCs w:val="24"/>
              </w:rPr>
            </w:pPr>
            <w:r>
              <w:rPr>
                <w:rFonts w:hint="eastAsia" w:ascii="仿宋" w:hAnsi="仿宋" w:eastAsia="仿宋"/>
                <w:spacing w:val="7"/>
                <w:szCs w:val="24"/>
              </w:rPr>
              <w:t>建德、千岛湖疗养五日</w:t>
            </w:r>
          </w:p>
        </w:tc>
        <w:tc>
          <w:tcPr>
            <w:tcW w:w="5001" w:type="dxa"/>
            <w:shd w:val="clear" w:color="auto" w:fill="auto"/>
          </w:tcPr>
          <w:p w14:paraId="49044F95">
            <w:pPr>
              <w:pStyle w:val="328"/>
              <w:spacing w:before="31" w:line="228" w:lineRule="auto"/>
              <w:ind w:left="116"/>
              <w:rPr>
                <w:rFonts w:ascii="仿宋" w:hAnsi="仿宋" w:eastAsia="仿宋"/>
                <w:snapToGrid w:val="0"/>
                <w:szCs w:val="24"/>
              </w:rPr>
            </w:pPr>
            <w:r>
              <w:rPr>
                <w:rFonts w:hint="eastAsia" w:ascii="仿宋" w:hAnsi="仿宋" w:eastAsia="仿宋"/>
                <w:spacing w:val="6"/>
                <w:szCs w:val="24"/>
              </w:rPr>
              <w:t>灵栖洞（含魔毯）、制作建德豆腐包、大慈岩（含索道）、新安江水电站、千岛湖景区、新叶古村、梦幻新安江。</w:t>
            </w:r>
          </w:p>
        </w:tc>
      </w:tr>
      <w:tr w14:paraId="4DD0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70" w:type="dxa"/>
            <w:shd w:val="clear" w:color="auto" w:fill="auto"/>
            <w:vAlign w:val="center"/>
          </w:tcPr>
          <w:p w14:paraId="18648501">
            <w:pPr>
              <w:pStyle w:val="328"/>
              <w:spacing w:before="77" w:line="181" w:lineRule="auto"/>
              <w:jc w:val="center"/>
              <w:rPr>
                <w:rFonts w:ascii="仿宋" w:hAnsi="仿宋" w:eastAsia="仿宋"/>
                <w:b/>
                <w:bCs/>
                <w:spacing w:val="-1"/>
                <w:szCs w:val="24"/>
              </w:rPr>
            </w:pPr>
            <w:r>
              <w:rPr>
                <w:rFonts w:hint="eastAsia" w:ascii="仿宋" w:hAnsi="仿宋" w:eastAsia="仿宋"/>
                <w:b/>
                <w:bCs/>
                <w:spacing w:val="-1"/>
                <w:szCs w:val="24"/>
              </w:rPr>
              <w:t>3</w:t>
            </w:r>
          </w:p>
        </w:tc>
        <w:tc>
          <w:tcPr>
            <w:tcW w:w="440" w:type="dxa"/>
            <w:vMerge w:val="continue"/>
            <w:shd w:val="clear" w:color="auto" w:fill="auto"/>
            <w:textDirection w:val="tbRlV"/>
          </w:tcPr>
          <w:p w14:paraId="79D895A4">
            <w:pPr>
              <w:rPr>
                <w:rFonts w:ascii="仿宋" w:hAnsi="仿宋" w:eastAsia="仿宋" w:cs="宋体"/>
                <w:snapToGrid w:val="0"/>
                <w:sz w:val="24"/>
                <w:szCs w:val="24"/>
                <w:lang w:eastAsia="en-US"/>
              </w:rPr>
            </w:pPr>
          </w:p>
        </w:tc>
        <w:tc>
          <w:tcPr>
            <w:tcW w:w="826" w:type="dxa"/>
            <w:vMerge w:val="continue"/>
            <w:shd w:val="clear" w:color="auto" w:fill="auto"/>
          </w:tcPr>
          <w:p w14:paraId="5CE222E7">
            <w:pPr>
              <w:jc w:val="center"/>
              <w:rPr>
                <w:rFonts w:ascii="仿宋" w:hAnsi="仿宋" w:eastAsia="仿宋" w:cs="宋体"/>
                <w:snapToGrid w:val="0"/>
                <w:sz w:val="24"/>
                <w:szCs w:val="24"/>
                <w:lang w:eastAsia="en-US"/>
              </w:rPr>
            </w:pPr>
          </w:p>
        </w:tc>
        <w:tc>
          <w:tcPr>
            <w:tcW w:w="2923" w:type="dxa"/>
            <w:shd w:val="clear" w:color="auto" w:fill="auto"/>
            <w:vAlign w:val="center"/>
          </w:tcPr>
          <w:p w14:paraId="09F68250">
            <w:pPr>
              <w:pStyle w:val="328"/>
              <w:spacing w:before="32" w:line="228" w:lineRule="auto"/>
              <w:ind w:left="113"/>
              <w:jc w:val="center"/>
              <w:rPr>
                <w:rFonts w:ascii="仿宋" w:hAnsi="仿宋" w:eastAsia="仿宋"/>
                <w:spacing w:val="7"/>
                <w:szCs w:val="24"/>
              </w:rPr>
            </w:pPr>
            <w:r>
              <w:rPr>
                <w:rFonts w:hint="eastAsia" w:ascii="仿宋" w:hAnsi="仿宋" w:eastAsia="仿宋"/>
                <w:spacing w:val="7"/>
                <w:szCs w:val="24"/>
              </w:rPr>
              <w:t>湖州疗养五日</w:t>
            </w:r>
          </w:p>
        </w:tc>
        <w:tc>
          <w:tcPr>
            <w:tcW w:w="5001" w:type="dxa"/>
            <w:shd w:val="clear" w:color="auto" w:fill="auto"/>
          </w:tcPr>
          <w:p w14:paraId="6F337D35">
            <w:pPr>
              <w:pStyle w:val="328"/>
              <w:spacing w:before="31" w:line="228" w:lineRule="auto"/>
              <w:ind w:left="116"/>
              <w:rPr>
                <w:rFonts w:ascii="仿宋" w:hAnsi="仿宋" w:eastAsia="仿宋"/>
                <w:spacing w:val="6"/>
                <w:szCs w:val="24"/>
              </w:rPr>
            </w:pPr>
            <w:r>
              <w:rPr>
                <w:rFonts w:hint="eastAsia" w:ascii="仿宋" w:hAnsi="仿宋" w:eastAsia="仿宋"/>
                <w:spacing w:val="6"/>
                <w:szCs w:val="24"/>
              </w:rPr>
              <w:t>莫干山、下渚湖、</w:t>
            </w:r>
            <w:r>
              <w:rPr>
                <w:rFonts w:hint="eastAsia" w:ascii="仿宋" w:hAnsi="仿宋" w:eastAsia="仿宋"/>
                <w:szCs w:val="24"/>
              </w:rPr>
              <w:t>庾村民国风情街、</w:t>
            </w:r>
            <w:r>
              <w:rPr>
                <w:rFonts w:hint="eastAsia" w:ascii="仿宋" w:hAnsi="仿宋" w:eastAsia="仿宋"/>
                <w:spacing w:val="6"/>
                <w:szCs w:val="24"/>
              </w:rPr>
              <w:t>湖州影视城、渔人码头、醉美太湖、高尔夫俱乐部、南浔古镇、龙之梦动物园。</w:t>
            </w:r>
          </w:p>
        </w:tc>
      </w:tr>
    </w:tbl>
    <w:p w14:paraId="4A84E408">
      <w:pPr>
        <w:ind w:firstLine="480" w:firstLineChars="200"/>
        <w:rPr>
          <w:rFonts w:ascii="仿宋" w:hAnsi="仿宋" w:eastAsia="仿宋"/>
          <w:sz w:val="24"/>
          <w:szCs w:val="24"/>
        </w:rPr>
      </w:pPr>
      <w:r>
        <w:rPr>
          <w:rFonts w:hint="eastAsia" w:ascii="仿宋" w:hAnsi="仿宋" w:eastAsia="仿宋"/>
          <w:color w:val="auto"/>
          <w:sz w:val="24"/>
          <w:szCs w:val="24"/>
        </w:rPr>
        <w:t>备注：</w:t>
      </w:r>
    </w:p>
    <w:p w14:paraId="204C056F">
      <w:pPr>
        <w:spacing w:line="440" w:lineRule="exact"/>
        <w:ind w:firstLine="480" w:firstLineChars="200"/>
        <w:jc w:val="left"/>
        <w:rPr>
          <w:rFonts w:ascii="仿宋" w:hAnsi="仿宋" w:eastAsia="仿宋" w:cs="仿宋"/>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投标人可根据</w:t>
      </w:r>
      <w:r>
        <w:rPr>
          <w:rFonts w:hint="eastAsia" w:ascii="仿宋" w:hAnsi="仿宋" w:eastAsia="仿宋" w:cs="仿宋"/>
          <w:color w:val="auto"/>
          <w:sz w:val="24"/>
          <w:szCs w:val="24"/>
        </w:rPr>
        <w:t>采购人</w:t>
      </w:r>
      <w:r>
        <w:rPr>
          <w:rFonts w:ascii="仿宋" w:hAnsi="仿宋" w:eastAsia="仿宋" w:cs="仿宋"/>
          <w:color w:val="auto"/>
          <w:sz w:val="24"/>
          <w:szCs w:val="24"/>
        </w:rPr>
        <w:t>推荐景点制定合理的疗休养线路（省内</w:t>
      </w:r>
      <w:r>
        <w:rPr>
          <w:rFonts w:hint="eastAsia" w:ascii="仿宋" w:hAnsi="仿宋" w:eastAsia="仿宋" w:cs="仿宋"/>
          <w:color w:val="auto"/>
          <w:sz w:val="24"/>
          <w:szCs w:val="24"/>
        </w:rPr>
        <w:t>2</w:t>
      </w:r>
      <w:r>
        <w:rPr>
          <w:rFonts w:ascii="仿宋" w:hAnsi="仿宋" w:eastAsia="仿宋" w:cs="仿宋"/>
          <w:color w:val="auto"/>
          <w:sz w:val="24"/>
          <w:szCs w:val="24"/>
        </w:rPr>
        <w:t>条、省外1条），但不限于推荐景点。</w:t>
      </w:r>
    </w:p>
    <w:p w14:paraId="729F0882">
      <w:pPr>
        <w:spacing w:line="440" w:lineRule="exact"/>
        <w:ind w:firstLine="480" w:firstLineChars="200"/>
        <w:jc w:val="left"/>
        <w:rPr>
          <w:rFonts w:ascii="仿宋" w:hAnsi="仿宋" w:eastAsia="仿宋" w:cs="仿宋"/>
          <w:sz w:val="24"/>
          <w:szCs w:val="24"/>
        </w:rPr>
      </w:pPr>
      <w:r>
        <w:rPr>
          <w:rFonts w:ascii="仿宋" w:hAnsi="仿宋" w:eastAsia="仿宋" w:cs="仿宋"/>
          <w:color w:val="auto"/>
          <w:sz w:val="24"/>
          <w:szCs w:val="24"/>
        </w:rPr>
        <w:t>2、根据出行时间等实际情况，投标人可推荐制定更丰富的疗休养线路。但不限于以上</w:t>
      </w:r>
      <w:r>
        <w:rPr>
          <w:rFonts w:hint="eastAsia" w:ascii="仿宋" w:hAnsi="仿宋" w:eastAsia="仿宋" w:cs="仿宋"/>
          <w:color w:val="auto"/>
          <w:sz w:val="24"/>
          <w:szCs w:val="24"/>
        </w:rPr>
        <w:t>3</w:t>
      </w:r>
      <w:r>
        <w:rPr>
          <w:rFonts w:ascii="仿宋" w:hAnsi="仿宋" w:eastAsia="仿宋" w:cs="仿宋"/>
          <w:color w:val="auto"/>
          <w:sz w:val="24"/>
          <w:szCs w:val="24"/>
        </w:rPr>
        <w:t>条疗休养线路。</w:t>
      </w:r>
    </w:p>
    <w:p w14:paraId="6BCBA300">
      <w:pPr>
        <w:spacing w:line="440" w:lineRule="exact"/>
        <w:jc w:val="left"/>
        <w:rPr>
          <w:rFonts w:ascii="仿宋" w:hAnsi="仿宋" w:eastAsia="仿宋" w:cs="仿宋"/>
          <w:sz w:val="24"/>
          <w:szCs w:val="24"/>
        </w:rPr>
      </w:pPr>
      <w:r>
        <w:rPr>
          <w:rFonts w:hint="eastAsia" w:ascii="仿宋" w:hAnsi="仿宋" w:eastAsia="仿宋" w:cs="仿宋"/>
          <w:b/>
          <w:bCs/>
          <w:color w:val="auto"/>
          <w:sz w:val="24"/>
          <w:szCs w:val="24"/>
        </w:rPr>
        <w:t>三、疗休养天数和人均费用：</w:t>
      </w:r>
      <w:r>
        <w:rPr>
          <w:rFonts w:hint="eastAsia" w:ascii="仿宋" w:hAnsi="仿宋" w:eastAsia="仿宋" w:cs="仿宋"/>
          <w:color w:val="auto"/>
          <w:sz w:val="24"/>
          <w:szCs w:val="24"/>
        </w:rPr>
        <w:t>疗休养5天，预算费用3000元/人,包含食、宿、景点门票、交通等所有费用。</w:t>
      </w:r>
    </w:p>
    <w:p w14:paraId="0D13DAD3">
      <w:pPr>
        <w:spacing w:line="440" w:lineRule="exact"/>
        <w:jc w:val="left"/>
        <w:rPr>
          <w:rFonts w:ascii="仿宋" w:hAnsi="仿宋" w:eastAsia="仿宋" w:cs="仿宋"/>
          <w:sz w:val="24"/>
          <w:szCs w:val="24"/>
        </w:rPr>
      </w:pPr>
      <w:r>
        <w:rPr>
          <w:rFonts w:hint="eastAsia" w:ascii="仿宋" w:hAnsi="仿宋" w:eastAsia="仿宋" w:cs="仿宋"/>
          <w:b/>
          <w:bCs/>
          <w:color w:val="auto"/>
          <w:sz w:val="24"/>
          <w:szCs w:val="24"/>
        </w:rPr>
        <w:t>四、交通工具：</w:t>
      </w:r>
      <w:r>
        <w:rPr>
          <w:rFonts w:hint="eastAsia" w:ascii="仿宋" w:hAnsi="仿宋" w:eastAsia="仿宋" w:cs="仿宋"/>
          <w:color w:val="auto"/>
          <w:sz w:val="24"/>
          <w:szCs w:val="24"/>
        </w:rPr>
        <w:t>全程空调旅游车、景区内所有交通等,要求一人一座，根据实际人数决定所乘车辆类型；车况好，车位充足，空调效果好，司机服务态度好、技术好，确保行程安全。省外：大交通高铁往返，火车站接送。</w:t>
      </w:r>
    </w:p>
    <w:p w14:paraId="7CB00B9F">
      <w:pPr>
        <w:spacing w:line="440" w:lineRule="exact"/>
        <w:jc w:val="left"/>
        <w:rPr>
          <w:rFonts w:ascii="仿宋" w:hAnsi="仿宋" w:eastAsia="仿宋" w:cs="仿宋"/>
          <w:sz w:val="24"/>
          <w:szCs w:val="24"/>
        </w:rPr>
      </w:pPr>
      <w:r>
        <w:rPr>
          <w:rFonts w:hint="eastAsia" w:ascii="仿宋" w:hAnsi="仿宋" w:eastAsia="仿宋" w:cs="仿宋"/>
          <w:b/>
          <w:bCs/>
          <w:color w:val="auto"/>
          <w:sz w:val="24"/>
          <w:szCs w:val="24"/>
        </w:rPr>
        <w:t>五、住宿要求：</w:t>
      </w:r>
      <w:r>
        <w:rPr>
          <w:rFonts w:hint="eastAsia" w:ascii="仿宋" w:hAnsi="仿宋" w:eastAsia="仿宋" w:cs="仿宋"/>
          <w:color w:val="auto"/>
          <w:sz w:val="24"/>
          <w:szCs w:val="24"/>
        </w:rPr>
        <w:t>线路不低于四星级/四钻标准酒店双人标准间，（投标文件中需注明宾馆具体名称，海岛除外），含空调、</w:t>
      </w:r>
      <w:r>
        <w:rPr>
          <w:rFonts w:ascii="仿宋" w:hAnsi="仿宋" w:eastAsia="仿宋" w:cs="仿宋"/>
          <w:color w:val="auto"/>
          <w:sz w:val="24"/>
          <w:szCs w:val="24"/>
        </w:rPr>
        <w:t>24小时热水以及洗漱用品、免费充电、上网等服务，交通便利、环境较好、干净卫生、服务优质，有较强的接待能力，同时配套设施齐全、使用安全方便。如出现单男、单女情况，</w:t>
      </w:r>
      <w:r>
        <w:rPr>
          <w:rFonts w:hint="eastAsia" w:ascii="仿宋" w:hAnsi="仿宋" w:eastAsia="仿宋" w:cs="仿宋"/>
          <w:color w:val="auto"/>
          <w:sz w:val="24"/>
          <w:szCs w:val="24"/>
        </w:rPr>
        <w:t>采购人</w:t>
      </w:r>
      <w:r>
        <w:rPr>
          <w:rFonts w:ascii="仿宋" w:hAnsi="仿宋" w:eastAsia="仿宋" w:cs="仿宋"/>
          <w:color w:val="auto"/>
          <w:sz w:val="24"/>
          <w:szCs w:val="24"/>
        </w:rPr>
        <w:t>不另补客房差价。</w:t>
      </w:r>
    </w:p>
    <w:p w14:paraId="71707D23">
      <w:pPr>
        <w:spacing w:line="440" w:lineRule="exact"/>
        <w:jc w:val="left"/>
        <w:rPr>
          <w:rFonts w:ascii="仿宋" w:hAnsi="仿宋" w:eastAsia="仿宋" w:cs="仿宋"/>
          <w:sz w:val="24"/>
          <w:szCs w:val="24"/>
        </w:rPr>
      </w:pPr>
      <w:r>
        <w:rPr>
          <w:rFonts w:hint="eastAsia" w:ascii="仿宋" w:hAnsi="仿宋" w:eastAsia="仿宋" w:cs="仿宋"/>
          <w:b/>
          <w:bCs/>
          <w:color w:val="auto"/>
          <w:sz w:val="24"/>
          <w:szCs w:val="24"/>
        </w:rPr>
        <w:t>六、餐饮要求：</w:t>
      </w:r>
      <w:r>
        <w:rPr>
          <w:rFonts w:hint="eastAsia" w:ascii="仿宋" w:hAnsi="仿宋" w:eastAsia="仿宋" w:cs="仿宋"/>
          <w:color w:val="auto"/>
          <w:sz w:val="24"/>
          <w:szCs w:val="24"/>
        </w:rPr>
        <w:t>省内线不低于中餐50元/人标准、晚餐80元/人标准，以及宾馆提供的标准早餐；省外疗休养不低于中餐50元/人标准、晚餐50元/人标准，以及宾馆提供的标准早餐。用餐数按旅游天数计。</w:t>
      </w:r>
    </w:p>
    <w:p w14:paraId="16CE4D3F">
      <w:pPr>
        <w:spacing w:line="440" w:lineRule="exact"/>
        <w:jc w:val="left"/>
        <w:rPr>
          <w:rFonts w:ascii="仿宋" w:hAnsi="仿宋" w:eastAsia="仿宋" w:cs="仿宋"/>
          <w:b/>
          <w:bCs/>
          <w:sz w:val="24"/>
        </w:rPr>
      </w:pPr>
      <w:r>
        <w:rPr>
          <w:rFonts w:hint="eastAsia" w:ascii="仿宋" w:hAnsi="仿宋" w:eastAsia="仿宋" w:cs="仿宋"/>
          <w:b/>
          <w:bCs/>
          <w:color w:val="auto"/>
          <w:sz w:val="24"/>
          <w:szCs w:val="24"/>
        </w:rPr>
        <w:t>七、其他责任</w:t>
      </w:r>
    </w:p>
    <w:p w14:paraId="2BE93837">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1、中标人必须遵守劳动法相关规定，与每位员工签订劳动合同，出现劳动纠纷事件一律与招标人无关，并加强对员工的培训、教育，爱护公共财物，确保安全工作，杜绝各类事故。</w:t>
      </w:r>
    </w:p>
    <w:p w14:paraId="059AF9E8">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2、中标人工作人员的日常管理及人身安全和发生的安全事故等均由中标人管理和承担，出现安全事件一律与采购人无关。</w:t>
      </w:r>
    </w:p>
    <w:p w14:paraId="6A538BCD">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3、中标人应自觉接受、配合采购人的考核。</w:t>
      </w:r>
    </w:p>
    <w:p w14:paraId="736C4D50">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4、因中标人违约造成疗养者误机（车、船），中标人应承担疗养者直接经济损失。</w:t>
      </w:r>
    </w:p>
    <w:p w14:paraId="72F77122">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5、中标人安排的餐饮未达到约定标准的，未达标一次应承担疗养费用4％的违约金。</w:t>
      </w:r>
    </w:p>
    <w:p w14:paraId="1E381105">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6、中标人安排的交通工具未达到约定标准的，未达标一次应承担疗养费用4％的违约金。</w:t>
      </w:r>
    </w:p>
    <w:p w14:paraId="4455CB6F">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7、中标人安排的住宿未达到约定标准的，未达标一次应承担疗养费用6％的违约金。</w:t>
      </w:r>
    </w:p>
    <w:p w14:paraId="23C47EBC">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8、因不可归责于中标人和疗养者的原因而减少疗养项目的，中标人可与疗养者协商提供替代项目，如协商不成中标人应退还该项目的费用及相应的导服费用。</w:t>
      </w:r>
    </w:p>
    <w:p w14:paraId="632F4CFD">
      <w:pPr>
        <w:spacing w:line="440" w:lineRule="exact"/>
        <w:ind w:firstLine="480" w:firstLineChars="200"/>
        <w:rPr>
          <w:rFonts w:ascii="仿宋" w:hAnsi="仿宋" w:eastAsia="仿宋" w:cs="仿宋"/>
          <w:sz w:val="24"/>
        </w:rPr>
      </w:pPr>
      <w:r>
        <w:rPr>
          <w:rFonts w:hint="eastAsia" w:ascii="仿宋" w:hAnsi="仿宋" w:eastAsia="仿宋" w:cs="仿宋"/>
          <w:color w:val="auto"/>
          <w:sz w:val="24"/>
          <w:szCs w:val="24"/>
        </w:rPr>
        <w:t>9、中标人擅自变更或减少疗养项目的，每变更一项应支付疗养费用5％的违约金，并退还因项目变更而减少支出的费用；每减少一项应支付疗养费用5％的违约金，并退还相应疗养项目的导服费、门票等各项费用。</w:t>
      </w:r>
    </w:p>
    <w:p w14:paraId="5B741721">
      <w:pPr>
        <w:spacing w:line="440" w:lineRule="exact"/>
        <w:ind w:firstLine="480" w:firstLineChars="200"/>
        <w:rPr>
          <w:rFonts w:ascii="仿宋" w:hAnsi="仿宋" w:eastAsia="仿宋" w:cs="仿宋"/>
          <w:sz w:val="24"/>
          <w:szCs w:val="24"/>
        </w:rPr>
      </w:pPr>
      <w:r>
        <w:rPr>
          <w:rFonts w:hint="eastAsia" w:ascii="仿宋" w:hAnsi="仿宋" w:eastAsia="仿宋" w:cs="仿宋"/>
          <w:color w:val="auto"/>
          <w:sz w:val="24"/>
          <w:szCs w:val="24"/>
        </w:rPr>
        <w:t>10、单次活动结束后，职工疗休养情况反馈意见（好、较好、一般、差），反馈结果“较好及以上”85%（含）以上的，全额支付；70%- 85%的，扣总金额1%；60-70%的，扣总金额2%；60%以下的，扣总金额3%，若累计2次为60%以下的，取消中标资格。</w:t>
      </w:r>
    </w:p>
    <w:p w14:paraId="06F431E2">
      <w:pPr>
        <w:spacing w:line="440" w:lineRule="exact"/>
        <w:jc w:val="left"/>
        <w:rPr>
          <w:rFonts w:ascii="仿宋" w:hAnsi="仿宋" w:eastAsia="仿宋" w:cs="仿宋"/>
          <w:b/>
          <w:bCs/>
          <w:sz w:val="24"/>
          <w:szCs w:val="24"/>
        </w:rPr>
      </w:pPr>
      <w:r>
        <w:rPr>
          <w:rFonts w:hint="eastAsia" w:ascii="仿宋" w:hAnsi="仿宋" w:eastAsia="仿宋" w:cs="仿宋"/>
          <w:b/>
          <w:bCs/>
          <w:color w:val="auto"/>
          <w:sz w:val="24"/>
          <w:szCs w:val="24"/>
        </w:rPr>
        <w:t>八、报价要求</w:t>
      </w:r>
    </w:p>
    <w:p w14:paraId="12ECB5FF">
      <w:pPr>
        <w:pStyle w:val="51"/>
        <w:widowControl/>
        <w:numPr>
          <w:ilvl w:val="0"/>
          <w:numId w:val="11"/>
        </w:numPr>
        <w:autoSpaceDE/>
        <w:autoSpaceDN/>
        <w:adjustRightInd/>
        <w:spacing w:after="0" w:line="312" w:lineRule="auto"/>
      </w:pPr>
      <w:r>
        <w:rPr>
          <w:rFonts w:hint="eastAsia"/>
          <w:color w:val="auto"/>
        </w:rPr>
        <w:t xml:space="preserve">本项目标项一疗休养费用标准为3000 元/人（3000元/人为含税单价，包括但不限于门票费、导游费、住宿费、餐饮费、交通费、水费、水果费、保险费、管理费、利润、税金、风险费及其它招标文件及政策性规定的所有费用，实行固定单价包干。） </w:t>
      </w:r>
    </w:p>
    <w:p w14:paraId="74EA84CC">
      <w:pPr>
        <w:pStyle w:val="51"/>
        <w:widowControl/>
        <w:spacing w:after="0" w:line="312" w:lineRule="auto"/>
      </w:pPr>
      <w:r>
        <w:rPr>
          <w:rFonts w:hint="eastAsia"/>
          <w:color w:val="auto"/>
        </w:rPr>
        <w:t>标项二疗休养费用标准为3</w:t>
      </w:r>
      <w:r>
        <w:rPr>
          <w:color w:val="auto"/>
        </w:rPr>
        <w:t>0</w:t>
      </w:r>
      <w:r>
        <w:rPr>
          <w:rFonts w:hint="eastAsia"/>
          <w:color w:val="auto"/>
        </w:rPr>
        <w:t>00 元/人（3</w:t>
      </w:r>
      <w:r>
        <w:rPr>
          <w:color w:val="auto"/>
        </w:rPr>
        <w:t>0</w:t>
      </w:r>
      <w:r>
        <w:rPr>
          <w:rFonts w:hint="eastAsia"/>
          <w:color w:val="auto"/>
        </w:rPr>
        <w:t>00元/人为含税单价，包括但不限于门票费、导游费、住宿费、餐饮费、交通费、水费、水果费、保险费、管理费、利润、税金、风险费及其它招标文件及政策性规定的所有费用，实行固定单价包干。）</w:t>
      </w:r>
    </w:p>
    <w:p w14:paraId="6A7DA36B">
      <w:pPr>
        <w:pStyle w:val="51"/>
        <w:widowControl/>
        <w:numPr>
          <w:ilvl w:val="0"/>
          <w:numId w:val="11"/>
        </w:numPr>
        <w:autoSpaceDE/>
        <w:autoSpaceDN/>
        <w:adjustRightInd/>
        <w:spacing w:after="0" w:line="312" w:lineRule="auto"/>
      </w:pPr>
      <w:r>
        <w:rPr>
          <w:rFonts w:hint="eastAsia"/>
          <w:color w:val="auto"/>
        </w:rPr>
        <w:t>以上费用包含25元/人意外险，中标人必须为每个人购买意外险。</w:t>
      </w:r>
    </w:p>
    <w:p w14:paraId="39504641">
      <w:pPr>
        <w:snapToGrid w:val="0"/>
        <w:spacing w:line="360" w:lineRule="auto"/>
        <w:rPr>
          <w:rFonts w:ascii="仿宋" w:hAnsi="仿宋" w:eastAsia="仿宋" w:cs="仿宋"/>
          <w:b/>
          <w:bCs/>
          <w:sz w:val="24"/>
          <w:szCs w:val="24"/>
        </w:rPr>
      </w:pPr>
      <w:r>
        <w:rPr>
          <w:rFonts w:hint="eastAsia" w:ascii="仿宋" w:hAnsi="仿宋" w:eastAsia="仿宋" w:cs="仿宋"/>
          <w:b/>
          <w:bCs/>
          <w:color w:val="auto"/>
          <w:sz w:val="24"/>
          <w:szCs w:val="24"/>
        </w:rPr>
        <w:t>九、服务期限</w:t>
      </w:r>
    </w:p>
    <w:p w14:paraId="7137F6D3">
      <w:pPr>
        <w:snapToGrid w:val="0"/>
        <w:spacing w:line="360" w:lineRule="auto"/>
        <w:ind w:firstLine="480" w:firstLineChars="200"/>
      </w:pPr>
      <w:r>
        <w:rPr>
          <w:rFonts w:hint="eastAsia" w:ascii="仿宋" w:hAnsi="仿宋" w:eastAsia="仿宋" w:cs="仿宋"/>
          <w:color w:val="auto"/>
          <w:sz w:val="24"/>
          <w:szCs w:val="24"/>
        </w:rPr>
        <w:t>自合同签订之日起至2025年12月31日止或各标项采购预算金额满为止。</w:t>
      </w:r>
    </w:p>
    <w:p w14:paraId="47229337">
      <w:pPr>
        <w:spacing w:line="360" w:lineRule="auto"/>
        <w:rPr>
          <w:rFonts w:ascii="仿宋" w:hAnsi="仿宋" w:eastAsia="仿宋" w:cs="仿宋"/>
          <w:b/>
          <w:bCs/>
          <w:sz w:val="24"/>
          <w:szCs w:val="24"/>
        </w:rPr>
      </w:pPr>
      <w:r>
        <w:rPr>
          <w:rFonts w:hint="eastAsia" w:ascii="仿宋" w:hAnsi="仿宋" w:eastAsia="仿宋" w:cs="仿宋"/>
          <w:b/>
          <w:bCs/>
          <w:color w:val="auto"/>
          <w:sz w:val="24"/>
          <w:szCs w:val="24"/>
        </w:rPr>
        <w:t>十、付款方式</w:t>
      </w:r>
    </w:p>
    <w:p w14:paraId="71A349E6">
      <w:pPr>
        <w:pStyle w:val="51"/>
        <w:widowControl/>
        <w:spacing w:after="0" w:line="312" w:lineRule="auto"/>
        <w:rPr>
          <w:rFonts w:cs="仿宋"/>
        </w:rPr>
      </w:pPr>
      <w:r>
        <w:rPr>
          <w:rFonts w:hint="eastAsia" w:cs="仿宋"/>
          <w:color w:val="auto"/>
        </w:rPr>
        <w:t>各标项每月结算，费用由中标人按实际金额提供增值税发票与采购人结算，最终结算价按照实际参加人数按实结算，采购人在下月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14:paraId="3C1ED18C">
      <w:pPr>
        <w:spacing w:line="360" w:lineRule="auto"/>
        <w:rPr>
          <w:rFonts w:ascii="仿宋" w:hAnsi="仿宋" w:eastAsia="仿宋" w:cs="宋体"/>
          <w:b/>
          <w:sz w:val="24"/>
          <w:szCs w:val="24"/>
        </w:rPr>
      </w:pPr>
      <w:r>
        <w:rPr>
          <w:rFonts w:hint="eastAsia" w:ascii="仿宋" w:hAnsi="仿宋" w:eastAsia="仿宋" w:cs="宋体"/>
          <w:b/>
          <w:color w:val="auto"/>
          <w:sz w:val="24"/>
          <w:szCs w:val="24"/>
        </w:rPr>
        <w:t>十一、特别说明</w:t>
      </w:r>
    </w:p>
    <w:p w14:paraId="4A19C5DA">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本项目两个标项均采用同一“采购需求”，“采购需求”（除已明确区分标项</w:t>
      </w:r>
      <w:r>
        <w:rPr>
          <w:rFonts w:ascii="仿宋" w:hAnsi="仿宋" w:eastAsia="仿宋"/>
          <w:color w:val="auto"/>
          <w:sz w:val="24"/>
          <w:szCs w:val="24"/>
        </w:rPr>
        <w:t>1</w:t>
      </w:r>
      <w:r>
        <w:rPr>
          <w:rFonts w:hint="eastAsia" w:ascii="仿宋" w:hAnsi="仿宋" w:eastAsia="仿宋"/>
          <w:color w:val="auto"/>
          <w:sz w:val="24"/>
          <w:szCs w:val="24"/>
        </w:rPr>
        <w:t>、标项</w:t>
      </w:r>
      <w:r>
        <w:rPr>
          <w:rFonts w:ascii="仿宋" w:hAnsi="仿宋" w:eastAsia="仿宋"/>
          <w:color w:val="auto"/>
          <w:sz w:val="24"/>
          <w:szCs w:val="24"/>
        </w:rPr>
        <w:t>2</w:t>
      </w:r>
      <w:r>
        <w:rPr>
          <w:rFonts w:hint="eastAsia" w:ascii="仿宋" w:hAnsi="仿宋" w:eastAsia="仿宋"/>
          <w:color w:val="auto"/>
          <w:sz w:val="24"/>
          <w:szCs w:val="24"/>
        </w:rPr>
        <w:t>的情况外）所涉及的所有技术服务、商务等条款要求均适用于每个标项。投标供应商应当充分考虑并对上述所有要求发起完整的投标响应。</w:t>
      </w:r>
    </w:p>
    <w:p w14:paraId="610FE570">
      <w:pPr>
        <w:rPr>
          <w:rFonts w:ascii="仿宋" w:hAnsi="仿宋" w:eastAsia="仿宋"/>
          <w:color w:val="auto"/>
          <w:sz w:val="24"/>
        </w:rPr>
        <w:sectPr>
          <w:pgSz w:w="11906" w:h="16838"/>
          <w:pgMar w:top="1134" w:right="1247" w:bottom="1021" w:left="1247" w:header="567" w:footer="454" w:gutter="0"/>
          <w:pgNumType w:fmt="numberInDash"/>
          <w:cols w:space="720" w:num="1"/>
          <w:titlePg/>
          <w:docGrid w:type="lines" w:linePitch="312" w:charSpace="0"/>
        </w:sectPr>
      </w:pPr>
    </w:p>
    <w:p w14:paraId="297B520A">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第四部分   评标办法</w:t>
      </w:r>
    </w:p>
    <w:p w14:paraId="15C38941">
      <w:pPr>
        <w:spacing w:line="300" w:lineRule="auto"/>
        <w:rPr>
          <w:rFonts w:ascii="仿宋" w:hAnsi="仿宋" w:eastAsia="仿宋"/>
          <w:b/>
          <w:color w:val="auto"/>
          <w:sz w:val="28"/>
          <w:szCs w:val="28"/>
        </w:rPr>
      </w:pPr>
      <w:bookmarkStart w:id="8" w:name="_Toc125344512"/>
      <w:r>
        <w:rPr>
          <w:rFonts w:hint="eastAsia" w:ascii="仿宋" w:hAnsi="仿宋" w:eastAsia="仿宋"/>
          <w:b/>
          <w:color w:val="auto"/>
          <w:sz w:val="28"/>
          <w:szCs w:val="28"/>
        </w:rPr>
        <w:t>一、评标方法</w:t>
      </w:r>
    </w:p>
    <w:p w14:paraId="6F333F10">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14:paraId="581D2929">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14:paraId="5371D747">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24523DBC">
      <w:pPr>
        <w:spacing w:line="300" w:lineRule="auto"/>
        <w:rPr>
          <w:rFonts w:ascii="仿宋" w:hAnsi="仿宋" w:eastAsia="仿宋"/>
          <w:b/>
          <w:color w:val="auto"/>
          <w:sz w:val="28"/>
          <w:szCs w:val="28"/>
        </w:rPr>
      </w:pPr>
      <w:r>
        <w:rPr>
          <w:rFonts w:hint="eastAsia" w:ascii="仿宋" w:hAnsi="仿宋" w:eastAsia="仿宋"/>
          <w:b/>
          <w:color w:val="auto"/>
          <w:sz w:val="28"/>
          <w:szCs w:val="28"/>
        </w:rPr>
        <w:t>二、评标标准</w:t>
      </w:r>
    </w:p>
    <w:p w14:paraId="1EE87D86">
      <w:pPr>
        <w:spacing w:line="360" w:lineRule="auto"/>
        <w:ind w:firstLine="472" w:firstLineChars="196"/>
        <w:rPr>
          <w:rFonts w:ascii="仿宋" w:hAnsi="仿宋" w:eastAsia="仿宋"/>
          <w:b/>
          <w:color w:val="auto"/>
          <w:sz w:val="24"/>
          <w:szCs w:val="24"/>
        </w:rPr>
      </w:pPr>
      <w:r>
        <w:rPr>
          <w:rFonts w:hint="eastAsia" w:ascii="仿宋" w:hAnsi="仿宋" w:eastAsia="仿宋"/>
          <w:b/>
          <w:color w:val="auto"/>
          <w:sz w:val="24"/>
          <w:szCs w:val="24"/>
        </w:rPr>
        <w:t>1.商务技术分（90分）</w:t>
      </w:r>
    </w:p>
    <w:p w14:paraId="5F5AF2E1">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14:paraId="33E05635">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r>
        <w:rPr>
          <w:rFonts w:hint="eastAsia" w:ascii="仿宋" w:hAnsi="仿宋" w:eastAsia="仿宋"/>
          <w:b/>
          <w:i/>
          <w:sz w:val="24"/>
          <w:szCs w:val="24"/>
        </w:rPr>
        <w:t>（标项1、2）</w:t>
      </w:r>
    </w:p>
    <w:tbl>
      <w:tblPr>
        <w:tblStyle w:val="5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20"/>
        <w:gridCol w:w="6105"/>
        <w:gridCol w:w="978"/>
      </w:tblGrid>
      <w:tr w14:paraId="408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6333E31F">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序号</w:t>
            </w:r>
          </w:p>
        </w:tc>
        <w:tc>
          <w:tcPr>
            <w:tcW w:w="1920" w:type="dxa"/>
            <w:vAlign w:val="center"/>
          </w:tcPr>
          <w:p w14:paraId="3429F5AA">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项 目</w:t>
            </w:r>
          </w:p>
        </w:tc>
        <w:tc>
          <w:tcPr>
            <w:tcW w:w="6105" w:type="dxa"/>
            <w:vAlign w:val="center"/>
          </w:tcPr>
          <w:p w14:paraId="365A39C1">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评分标准</w:t>
            </w:r>
          </w:p>
        </w:tc>
        <w:tc>
          <w:tcPr>
            <w:tcW w:w="978" w:type="dxa"/>
            <w:vAlign w:val="center"/>
          </w:tcPr>
          <w:p w14:paraId="1AB6C946">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分值</w:t>
            </w:r>
          </w:p>
        </w:tc>
      </w:tr>
      <w:tr w14:paraId="254D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Merge w:val="restart"/>
            <w:vAlign w:val="center"/>
          </w:tcPr>
          <w:p w14:paraId="25EDA1F8">
            <w:pPr>
              <w:snapToGrid w:val="0"/>
              <w:jc w:val="center"/>
              <w:rPr>
                <w:b/>
                <w:bCs/>
              </w:rPr>
            </w:pPr>
            <w:r>
              <w:rPr>
                <w:rFonts w:ascii="仿宋" w:hAnsi="仿宋" w:eastAsia="仿宋" w:cs="宋体"/>
                <w:b/>
                <w:bCs/>
                <w:color w:val="auto"/>
                <w:sz w:val="24"/>
                <w:szCs w:val="24"/>
              </w:rPr>
              <w:t>1</w:t>
            </w:r>
          </w:p>
        </w:tc>
        <w:tc>
          <w:tcPr>
            <w:tcW w:w="1920" w:type="dxa"/>
            <w:vMerge w:val="restart"/>
            <w:vAlign w:val="center"/>
          </w:tcPr>
          <w:p w14:paraId="1D464012">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企业资信</w:t>
            </w:r>
          </w:p>
        </w:tc>
        <w:tc>
          <w:tcPr>
            <w:tcW w:w="6105" w:type="dxa"/>
            <w:vAlign w:val="center"/>
          </w:tcPr>
          <w:p w14:paraId="232B4E70">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自2023年1月1日以来（以颁发时间为准），投标人获得过县级及以上政府或主管部门颁发的与旅游行业相关的荣誉奖项的，每提供一个得2分，最高得</w:t>
            </w:r>
            <w:r>
              <w:rPr>
                <w:rFonts w:ascii="仿宋" w:hAnsi="仿宋" w:eastAsia="仿宋" w:cs="仿宋"/>
                <w:color w:val="auto"/>
                <w:sz w:val="24"/>
                <w:szCs w:val="24"/>
              </w:rPr>
              <w:t>2</w:t>
            </w:r>
            <w:r>
              <w:rPr>
                <w:rFonts w:hint="eastAsia" w:ascii="仿宋" w:hAnsi="仿宋" w:eastAsia="仿宋" w:cs="仿宋"/>
                <w:color w:val="auto"/>
                <w:sz w:val="24"/>
                <w:szCs w:val="24"/>
              </w:rPr>
              <w:t>分。</w:t>
            </w:r>
          </w:p>
          <w:p w14:paraId="1906A928">
            <w:pPr>
              <w:widowControl/>
              <w:spacing w:line="440" w:lineRule="exact"/>
              <w:jc w:val="left"/>
              <w:rPr>
                <w:rFonts w:ascii="仿宋" w:hAnsi="仿宋" w:eastAsia="仿宋" w:cs="宋体"/>
                <w:b/>
                <w:bCs/>
                <w:sz w:val="24"/>
                <w:szCs w:val="24"/>
              </w:rPr>
            </w:pPr>
            <w:r>
              <w:rPr>
                <w:rFonts w:hint="eastAsia" w:ascii="仿宋" w:hAnsi="仿宋" w:eastAsia="仿宋" w:cs="仿宋"/>
                <w:color w:val="auto"/>
                <w:sz w:val="24"/>
                <w:szCs w:val="24"/>
              </w:rPr>
              <w:t>（提供相关荣誉证书或发文复印件并加盖投标人公章，否则不得分。）</w:t>
            </w:r>
          </w:p>
        </w:tc>
        <w:tc>
          <w:tcPr>
            <w:tcW w:w="978" w:type="dxa"/>
            <w:vAlign w:val="center"/>
          </w:tcPr>
          <w:p w14:paraId="21807EF3">
            <w:pPr>
              <w:pStyle w:val="345"/>
              <w:jc w:val="center"/>
              <w:rPr>
                <w:rFonts w:ascii="仿宋" w:hAnsi="仿宋" w:eastAsia="仿宋" w:cs="仿宋"/>
                <w:sz w:val="24"/>
                <w:szCs w:val="24"/>
              </w:rPr>
            </w:pPr>
            <w:r>
              <w:rPr>
                <w:rFonts w:ascii="仿宋" w:hAnsi="仿宋" w:eastAsia="仿宋" w:cs="仿宋"/>
                <w:sz w:val="24"/>
                <w:szCs w:val="24"/>
              </w:rPr>
              <w:t>2</w:t>
            </w:r>
          </w:p>
        </w:tc>
      </w:tr>
      <w:tr w14:paraId="3A68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Merge w:val="continue"/>
            <w:vAlign w:val="center"/>
          </w:tcPr>
          <w:p w14:paraId="53B67F37">
            <w:pPr>
              <w:snapToGrid w:val="0"/>
              <w:jc w:val="center"/>
              <w:rPr>
                <w:rFonts w:ascii="仿宋" w:hAnsi="仿宋" w:eastAsia="仿宋" w:cs="宋体"/>
                <w:b/>
                <w:bCs/>
                <w:sz w:val="24"/>
                <w:szCs w:val="24"/>
              </w:rPr>
            </w:pPr>
          </w:p>
        </w:tc>
        <w:tc>
          <w:tcPr>
            <w:tcW w:w="1920" w:type="dxa"/>
            <w:vMerge w:val="continue"/>
            <w:vAlign w:val="center"/>
          </w:tcPr>
          <w:p w14:paraId="0CDE896F">
            <w:pPr>
              <w:snapToGrid w:val="0"/>
              <w:jc w:val="center"/>
              <w:rPr>
                <w:rFonts w:ascii="仿宋" w:hAnsi="仿宋" w:eastAsia="仿宋" w:cs="宋体"/>
                <w:b/>
                <w:bCs/>
                <w:sz w:val="24"/>
                <w:szCs w:val="24"/>
              </w:rPr>
            </w:pPr>
          </w:p>
        </w:tc>
        <w:tc>
          <w:tcPr>
            <w:tcW w:w="6105" w:type="dxa"/>
            <w:vAlign w:val="center"/>
          </w:tcPr>
          <w:p w14:paraId="4462E0BA">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投标人具有有效期内的ISO9001质量管理体系认证的，得2分。</w:t>
            </w:r>
          </w:p>
          <w:p w14:paraId="1EEBC5CD">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w:t>
            </w:r>
            <w:r>
              <w:rPr>
                <w:rFonts w:hint="eastAsia" w:ascii="仿宋" w:hAnsi="仿宋" w:eastAsia="仿宋" w:cs="仿宋"/>
                <w:bCs/>
                <w:color w:val="auto"/>
                <w:w w:val="90"/>
                <w:sz w:val="24"/>
              </w:rPr>
              <w:t>提供证书复印件</w:t>
            </w:r>
            <w:r>
              <w:rPr>
                <w:rFonts w:hint="eastAsia" w:ascii="仿宋" w:hAnsi="仿宋" w:eastAsia="仿宋" w:cs="仿宋"/>
                <w:color w:val="auto"/>
                <w:w w:val="90"/>
                <w:sz w:val="24"/>
              </w:rPr>
              <w:t>以及全国认证认可信息公共服务平台证书信息查询截图</w:t>
            </w:r>
            <w:r>
              <w:rPr>
                <w:rFonts w:hint="eastAsia" w:ascii="仿宋" w:hAnsi="仿宋" w:eastAsia="仿宋" w:cs="仿宋"/>
                <w:color w:val="auto"/>
                <w:sz w:val="24"/>
                <w:szCs w:val="24"/>
              </w:rPr>
              <w:t>并加盖投标人公章</w:t>
            </w:r>
            <w:r>
              <w:rPr>
                <w:rFonts w:hint="eastAsia" w:ascii="仿宋" w:hAnsi="仿宋" w:eastAsia="仿宋" w:cs="仿宋"/>
                <w:bCs/>
                <w:color w:val="auto"/>
                <w:w w:val="90"/>
                <w:sz w:val="24"/>
              </w:rPr>
              <w:t>，否则不得分。</w:t>
            </w:r>
            <w:r>
              <w:rPr>
                <w:rFonts w:hint="eastAsia" w:ascii="仿宋" w:hAnsi="仿宋" w:eastAsia="仿宋" w:cs="仿宋"/>
                <w:color w:val="auto"/>
                <w:sz w:val="24"/>
                <w:szCs w:val="24"/>
              </w:rPr>
              <w:t>）</w:t>
            </w:r>
          </w:p>
        </w:tc>
        <w:tc>
          <w:tcPr>
            <w:tcW w:w="978" w:type="dxa"/>
            <w:vAlign w:val="center"/>
          </w:tcPr>
          <w:p w14:paraId="3EB43C05">
            <w:pPr>
              <w:pStyle w:val="345"/>
              <w:jc w:val="center"/>
              <w:rPr>
                <w:rFonts w:ascii="仿宋" w:hAnsi="仿宋" w:eastAsia="仿宋" w:cs="仿宋"/>
                <w:sz w:val="24"/>
                <w:szCs w:val="24"/>
              </w:rPr>
            </w:pPr>
            <w:r>
              <w:rPr>
                <w:rFonts w:hint="eastAsia" w:ascii="仿宋" w:hAnsi="仿宋" w:eastAsia="仿宋" w:cs="仿宋"/>
                <w:sz w:val="24"/>
                <w:szCs w:val="24"/>
              </w:rPr>
              <w:t>2</w:t>
            </w:r>
          </w:p>
        </w:tc>
      </w:tr>
      <w:tr w14:paraId="16B4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Merge w:val="continue"/>
            <w:vAlign w:val="center"/>
          </w:tcPr>
          <w:p w14:paraId="0C7533CC">
            <w:pPr>
              <w:pStyle w:val="285"/>
              <w:jc w:val="center"/>
              <w:rPr>
                <w:b/>
                <w:bCs/>
              </w:rPr>
            </w:pPr>
          </w:p>
        </w:tc>
        <w:tc>
          <w:tcPr>
            <w:tcW w:w="1920" w:type="dxa"/>
            <w:vMerge w:val="continue"/>
            <w:vAlign w:val="center"/>
          </w:tcPr>
          <w:p w14:paraId="07395DFA">
            <w:pPr>
              <w:snapToGrid w:val="0"/>
              <w:jc w:val="center"/>
              <w:rPr>
                <w:rFonts w:ascii="仿宋" w:hAnsi="仿宋" w:eastAsia="仿宋" w:cs="宋体"/>
                <w:b/>
                <w:bCs/>
                <w:sz w:val="24"/>
                <w:szCs w:val="24"/>
              </w:rPr>
            </w:pPr>
          </w:p>
        </w:tc>
        <w:tc>
          <w:tcPr>
            <w:tcW w:w="6105" w:type="dxa"/>
            <w:vAlign w:val="center"/>
          </w:tcPr>
          <w:p w14:paraId="261E6062">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投标人具有旅游行政主管部门评定为四星级及以上旅行社的得</w:t>
            </w:r>
            <w:r>
              <w:rPr>
                <w:rFonts w:ascii="仿宋" w:hAnsi="仿宋" w:eastAsia="仿宋" w:cs="仿宋"/>
                <w:color w:val="auto"/>
                <w:sz w:val="24"/>
                <w:szCs w:val="24"/>
              </w:rPr>
              <w:t>3</w:t>
            </w:r>
            <w:r>
              <w:rPr>
                <w:rFonts w:hint="eastAsia" w:ascii="仿宋" w:hAnsi="仿宋" w:eastAsia="仿宋" w:cs="仿宋"/>
                <w:color w:val="auto"/>
                <w:sz w:val="24"/>
                <w:szCs w:val="24"/>
              </w:rPr>
              <w:t>分，三星级旅行社得</w:t>
            </w:r>
            <w:r>
              <w:rPr>
                <w:rFonts w:ascii="仿宋" w:hAnsi="仿宋" w:eastAsia="仿宋" w:cs="仿宋"/>
                <w:color w:val="auto"/>
                <w:sz w:val="24"/>
                <w:szCs w:val="24"/>
              </w:rPr>
              <w:t>1</w:t>
            </w:r>
            <w:r>
              <w:rPr>
                <w:rFonts w:hint="eastAsia" w:ascii="仿宋" w:hAnsi="仿宋" w:eastAsia="仿宋" w:cs="仿宋"/>
                <w:color w:val="auto"/>
                <w:sz w:val="24"/>
                <w:szCs w:val="24"/>
              </w:rPr>
              <w:t>分，低于三星级的不得分。</w:t>
            </w:r>
          </w:p>
          <w:p w14:paraId="4F3A1FD6">
            <w:pPr>
              <w:widowControl/>
              <w:spacing w:line="440" w:lineRule="exact"/>
              <w:jc w:val="left"/>
              <w:rPr>
                <w:rFonts w:ascii="仿宋" w:hAnsi="仿宋" w:eastAsia="仿宋" w:cs="宋体"/>
                <w:b/>
                <w:bCs/>
                <w:sz w:val="24"/>
                <w:szCs w:val="24"/>
              </w:rPr>
            </w:pPr>
            <w:r>
              <w:rPr>
                <w:rFonts w:hint="eastAsia" w:ascii="仿宋" w:hAnsi="仿宋" w:eastAsia="仿宋" w:cs="仿宋"/>
                <w:color w:val="auto"/>
                <w:sz w:val="24"/>
                <w:szCs w:val="24"/>
              </w:rPr>
              <w:t>（提供旅游主管部门颁发的星级证书或相关证明材料复印件并加盖投标人公章，否则不得分。）</w:t>
            </w:r>
          </w:p>
        </w:tc>
        <w:tc>
          <w:tcPr>
            <w:tcW w:w="978" w:type="dxa"/>
            <w:vAlign w:val="center"/>
          </w:tcPr>
          <w:p w14:paraId="27C7DE12">
            <w:pPr>
              <w:pStyle w:val="345"/>
              <w:jc w:val="center"/>
              <w:rPr>
                <w:rFonts w:ascii="仿宋" w:hAnsi="仿宋" w:eastAsia="仿宋" w:cs="仿宋"/>
                <w:sz w:val="24"/>
                <w:szCs w:val="24"/>
              </w:rPr>
            </w:pPr>
            <w:r>
              <w:rPr>
                <w:rFonts w:ascii="仿宋" w:hAnsi="仿宋" w:eastAsia="仿宋" w:cs="仿宋"/>
                <w:sz w:val="24"/>
                <w:szCs w:val="24"/>
              </w:rPr>
              <w:t>3</w:t>
            </w:r>
          </w:p>
        </w:tc>
      </w:tr>
      <w:tr w14:paraId="056B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56897BA2">
            <w:pPr>
              <w:pStyle w:val="285"/>
              <w:jc w:val="center"/>
              <w:rPr>
                <w:rFonts w:ascii="仿宋" w:hAnsi="仿宋" w:eastAsia="仿宋" w:cs="宋体"/>
                <w:b/>
                <w:bCs/>
                <w:sz w:val="24"/>
              </w:rPr>
            </w:pPr>
            <w:r>
              <w:rPr>
                <w:rFonts w:hint="eastAsia" w:ascii="仿宋" w:hAnsi="仿宋" w:eastAsia="仿宋" w:cs="宋体"/>
                <w:b/>
                <w:bCs/>
                <w:color w:val="auto"/>
                <w:sz w:val="24"/>
              </w:rPr>
              <w:t>2</w:t>
            </w:r>
          </w:p>
        </w:tc>
        <w:tc>
          <w:tcPr>
            <w:tcW w:w="1920" w:type="dxa"/>
            <w:vAlign w:val="center"/>
          </w:tcPr>
          <w:p w14:paraId="6D97C2EF">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项目业绩</w:t>
            </w:r>
          </w:p>
        </w:tc>
        <w:tc>
          <w:tcPr>
            <w:tcW w:w="6105" w:type="dxa"/>
            <w:vAlign w:val="center"/>
          </w:tcPr>
          <w:p w14:paraId="70B55A3D">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投标人自2023年1月1日以来（以合同签订时间为准）具有类似旅游服务项目合同业绩的每个得0.5分，最高得1分。</w:t>
            </w:r>
          </w:p>
          <w:p w14:paraId="3FA060BB">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（提供合同复印件并加盖投标人公章，否则不得分。）</w:t>
            </w:r>
          </w:p>
        </w:tc>
        <w:tc>
          <w:tcPr>
            <w:tcW w:w="978" w:type="dxa"/>
            <w:vAlign w:val="center"/>
          </w:tcPr>
          <w:p w14:paraId="68CEDA3C">
            <w:pPr>
              <w:pStyle w:val="345"/>
              <w:jc w:val="center"/>
              <w:rPr>
                <w:rFonts w:ascii="仿宋" w:hAnsi="仿宋" w:eastAsia="仿宋" w:cs="仿宋"/>
                <w:sz w:val="24"/>
                <w:szCs w:val="24"/>
              </w:rPr>
            </w:pPr>
            <w:r>
              <w:rPr>
                <w:rFonts w:hint="eastAsia" w:ascii="仿宋" w:hAnsi="仿宋" w:eastAsia="仿宋" w:cs="仿宋"/>
                <w:sz w:val="24"/>
                <w:szCs w:val="24"/>
              </w:rPr>
              <w:t>1</w:t>
            </w:r>
          </w:p>
        </w:tc>
      </w:tr>
      <w:tr w14:paraId="2F99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33523DAC">
            <w:pPr>
              <w:pStyle w:val="285"/>
              <w:jc w:val="center"/>
              <w:rPr>
                <w:rFonts w:ascii="仿宋" w:hAnsi="仿宋" w:eastAsia="仿宋" w:cs="宋体"/>
                <w:b/>
                <w:bCs/>
                <w:sz w:val="24"/>
              </w:rPr>
            </w:pPr>
            <w:r>
              <w:rPr>
                <w:rFonts w:hint="eastAsia" w:ascii="仿宋" w:hAnsi="仿宋" w:eastAsia="仿宋" w:cs="宋体"/>
                <w:b/>
                <w:bCs/>
                <w:color w:val="auto"/>
                <w:sz w:val="24"/>
              </w:rPr>
              <w:t>3</w:t>
            </w:r>
          </w:p>
        </w:tc>
        <w:tc>
          <w:tcPr>
            <w:tcW w:w="1920" w:type="dxa"/>
            <w:vAlign w:val="center"/>
          </w:tcPr>
          <w:p w14:paraId="237A5BCA">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安全证明</w:t>
            </w:r>
          </w:p>
        </w:tc>
        <w:tc>
          <w:tcPr>
            <w:tcW w:w="6105" w:type="dxa"/>
            <w:vAlign w:val="center"/>
          </w:tcPr>
          <w:p w14:paraId="44AEAB3B">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自2023年1月1日以来，投标人组织无安全责任事故的得5分。</w:t>
            </w:r>
          </w:p>
          <w:p w14:paraId="1BA8EC10">
            <w:pPr>
              <w:widowControl/>
              <w:spacing w:line="440" w:lineRule="exact"/>
              <w:jc w:val="left"/>
            </w:pPr>
            <w:r>
              <w:rPr>
                <w:rFonts w:hint="eastAsia" w:ascii="仿宋" w:hAnsi="仿宋" w:eastAsia="仿宋" w:cs="仿宋"/>
                <w:color w:val="auto"/>
                <w:sz w:val="24"/>
                <w:szCs w:val="24"/>
              </w:rPr>
              <w:t>（需提供当地旅游局开具的旅行安全事故证明并加盖投标人公章，不提供不得分。）</w:t>
            </w:r>
          </w:p>
        </w:tc>
        <w:tc>
          <w:tcPr>
            <w:tcW w:w="978" w:type="dxa"/>
            <w:vAlign w:val="center"/>
          </w:tcPr>
          <w:p w14:paraId="27E5C6F8">
            <w:pPr>
              <w:pStyle w:val="345"/>
              <w:jc w:val="center"/>
              <w:rPr>
                <w:rFonts w:ascii="仿宋" w:hAnsi="仿宋" w:eastAsia="仿宋" w:cs="仿宋"/>
                <w:sz w:val="24"/>
                <w:szCs w:val="24"/>
              </w:rPr>
            </w:pPr>
            <w:r>
              <w:rPr>
                <w:rFonts w:hint="eastAsia" w:ascii="仿宋" w:hAnsi="仿宋" w:eastAsia="仿宋" w:cs="仿宋"/>
                <w:sz w:val="24"/>
                <w:szCs w:val="24"/>
              </w:rPr>
              <w:t>5</w:t>
            </w:r>
          </w:p>
        </w:tc>
      </w:tr>
      <w:tr w14:paraId="5D35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Merge w:val="restart"/>
            <w:vAlign w:val="center"/>
          </w:tcPr>
          <w:p w14:paraId="61870C98">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4</w:t>
            </w:r>
          </w:p>
        </w:tc>
        <w:tc>
          <w:tcPr>
            <w:tcW w:w="1920" w:type="dxa"/>
            <w:vMerge w:val="restart"/>
            <w:vAlign w:val="center"/>
          </w:tcPr>
          <w:p w14:paraId="1231AD81">
            <w:pPr>
              <w:widowControl/>
              <w:spacing w:line="440" w:lineRule="exact"/>
              <w:jc w:val="center"/>
              <w:rPr>
                <w:rFonts w:ascii="仿宋" w:hAnsi="仿宋" w:eastAsia="仿宋" w:cs="仿宋"/>
                <w:b/>
                <w:bCs/>
                <w:sz w:val="24"/>
              </w:rPr>
            </w:pPr>
            <w:r>
              <w:rPr>
                <w:rFonts w:hint="eastAsia" w:ascii="仿宋" w:hAnsi="仿宋" w:eastAsia="仿宋" w:cs="仿宋"/>
                <w:b/>
                <w:bCs/>
                <w:color w:val="auto"/>
                <w:sz w:val="24"/>
              </w:rPr>
              <w:t>人员配备</w:t>
            </w:r>
          </w:p>
        </w:tc>
        <w:tc>
          <w:tcPr>
            <w:tcW w:w="6105" w:type="dxa"/>
            <w:vAlign w:val="center"/>
          </w:tcPr>
          <w:p w14:paraId="41DABB6F">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本项目服务团队人员不少于10人（含项目总负责人一名）得5分，不满足上述人数要求的每少一人扣1分，扣完为止。</w:t>
            </w:r>
          </w:p>
          <w:p w14:paraId="29AE8798">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（商务技术文件中需提供拟投入本项目团队人员清单（格式自拟）、以及投标人为其缴纳的近三个月内任意一个月社保证明</w:t>
            </w:r>
            <w:r>
              <w:rPr>
                <w:rFonts w:ascii="仿宋" w:hAnsi="仿宋" w:eastAsia="仿宋" w:cs="仿宋"/>
                <w:sz w:val="24"/>
                <w:szCs w:val="24"/>
              </w:rPr>
              <w:t>（社保缴纳证明以社保机构出具的社保证明为准）</w:t>
            </w:r>
            <w:r>
              <w:rPr>
                <w:rFonts w:hint="eastAsia" w:ascii="仿宋" w:hAnsi="仿宋" w:eastAsia="仿宋" w:cs="仿宋"/>
                <w:color w:val="auto"/>
                <w:sz w:val="24"/>
                <w:szCs w:val="24"/>
              </w:rPr>
              <w:t>并加盖投标人公章，不提供或提供不全的不得分。）</w:t>
            </w:r>
          </w:p>
        </w:tc>
        <w:tc>
          <w:tcPr>
            <w:tcW w:w="978" w:type="dxa"/>
            <w:vAlign w:val="center"/>
          </w:tcPr>
          <w:p w14:paraId="037A99B0">
            <w:pPr>
              <w:widowControl/>
              <w:spacing w:line="440" w:lineRule="exact"/>
              <w:jc w:val="center"/>
              <w:rPr>
                <w:rFonts w:ascii="仿宋" w:hAnsi="仿宋" w:eastAsia="仿宋" w:cs="仿宋"/>
                <w:sz w:val="24"/>
                <w:szCs w:val="24"/>
              </w:rPr>
            </w:pPr>
            <w:r>
              <w:rPr>
                <w:rFonts w:hint="eastAsia" w:ascii="仿宋" w:hAnsi="仿宋" w:eastAsia="仿宋" w:cs="仿宋"/>
                <w:color w:val="auto"/>
                <w:sz w:val="24"/>
                <w:szCs w:val="24"/>
              </w:rPr>
              <w:t>5</w:t>
            </w:r>
          </w:p>
        </w:tc>
      </w:tr>
      <w:tr w14:paraId="17DB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795" w:type="dxa"/>
            <w:vMerge w:val="continue"/>
            <w:vAlign w:val="center"/>
          </w:tcPr>
          <w:p w14:paraId="57BA6D3F">
            <w:pPr>
              <w:snapToGrid w:val="0"/>
              <w:jc w:val="center"/>
              <w:rPr>
                <w:rFonts w:ascii="仿宋" w:hAnsi="仿宋" w:eastAsia="仿宋" w:cs="宋体"/>
                <w:b/>
                <w:bCs/>
                <w:sz w:val="24"/>
                <w:szCs w:val="24"/>
              </w:rPr>
            </w:pPr>
          </w:p>
        </w:tc>
        <w:tc>
          <w:tcPr>
            <w:tcW w:w="1920" w:type="dxa"/>
            <w:vMerge w:val="continue"/>
            <w:vAlign w:val="center"/>
          </w:tcPr>
          <w:p w14:paraId="1A3FCB71">
            <w:pPr>
              <w:widowControl/>
              <w:spacing w:line="440" w:lineRule="exact"/>
              <w:jc w:val="center"/>
              <w:rPr>
                <w:rFonts w:ascii="仿宋" w:hAnsi="仿宋" w:eastAsia="仿宋" w:cs="仿宋"/>
                <w:b/>
                <w:bCs/>
                <w:sz w:val="24"/>
              </w:rPr>
            </w:pPr>
          </w:p>
        </w:tc>
        <w:tc>
          <w:tcPr>
            <w:tcW w:w="6105" w:type="dxa"/>
            <w:vAlign w:val="center"/>
          </w:tcPr>
          <w:p w14:paraId="5E61F753">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本项目服务导游不少于2人得3分，不满足上述人数要求不得分。</w:t>
            </w:r>
          </w:p>
          <w:p w14:paraId="325EA96E">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（商务技术文件中需提供人员相关证书复印件以及投标人为其缴纳的近三个月内任意一个月社保证明</w:t>
            </w:r>
            <w:r>
              <w:rPr>
                <w:rFonts w:ascii="仿宋" w:hAnsi="仿宋" w:eastAsia="仿宋" w:cs="仿宋"/>
                <w:color w:val="auto"/>
                <w:sz w:val="24"/>
                <w:szCs w:val="24"/>
              </w:rPr>
              <w:t>（社保缴纳证明以社保机构出具的社保证明为准）</w:t>
            </w:r>
            <w:r>
              <w:rPr>
                <w:rFonts w:hint="eastAsia" w:ascii="仿宋" w:hAnsi="仿宋" w:eastAsia="仿宋" w:cs="仿宋"/>
                <w:color w:val="auto"/>
                <w:sz w:val="24"/>
                <w:szCs w:val="24"/>
              </w:rPr>
              <w:t>并加盖投标人公章，不提供或提供不全的不得分。）</w:t>
            </w:r>
          </w:p>
        </w:tc>
        <w:tc>
          <w:tcPr>
            <w:tcW w:w="978" w:type="dxa"/>
            <w:vAlign w:val="center"/>
          </w:tcPr>
          <w:p w14:paraId="1F6845E3">
            <w:pPr>
              <w:widowControl/>
              <w:spacing w:line="440" w:lineRule="exact"/>
              <w:jc w:val="center"/>
              <w:rPr>
                <w:rFonts w:ascii="仿宋" w:hAnsi="仿宋" w:eastAsia="仿宋" w:cs="仿宋"/>
                <w:sz w:val="24"/>
                <w:szCs w:val="24"/>
              </w:rPr>
            </w:pPr>
            <w:r>
              <w:rPr>
                <w:rFonts w:hint="eastAsia" w:ascii="仿宋" w:hAnsi="仿宋" w:eastAsia="仿宋" w:cs="仿宋"/>
                <w:color w:val="auto"/>
                <w:sz w:val="24"/>
                <w:szCs w:val="24"/>
              </w:rPr>
              <w:t>3</w:t>
            </w:r>
          </w:p>
        </w:tc>
      </w:tr>
      <w:tr w14:paraId="2ACA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Merge w:val="restart"/>
            <w:vAlign w:val="center"/>
          </w:tcPr>
          <w:p w14:paraId="40AD8D25">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5</w:t>
            </w:r>
          </w:p>
        </w:tc>
        <w:tc>
          <w:tcPr>
            <w:tcW w:w="1920" w:type="dxa"/>
            <w:vMerge w:val="restart"/>
            <w:vAlign w:val="center"/>
          </w:tcPr>
          <w:p w14:paraId="4AC2D50A">
            <w:pPr>
              <w:widowControl/>
              <w:spacing w:line="440" w:lineRule="exact"/>
              <w:jc w:val="center"/>
              <w:rPr>
                <w:rFonts w:ascii="仿宋" w:hAnsi="仿宋" w:eastAsia="仿宋" w:cs="仿宋"/>
                <w:b/>
                <w:bCs/>
                <w:sz w:val="24"/>
                <w:szCs w:val="24"/>
              </w:rPr>
            </w:pPr>
            <w:r>
              <w:rPr>
                <w:rFonts w:hint="eastAsia" w:ascii="仿宋" w:hAnsi="仿宋" w:eastAsia="仿宋" w:cs="仿宋"/>
                <w:b/>
                <w:bCs/>
                <w:color w:val="auto"/>
                <w:sz w:val="24"/>
                <w:szCs w:val="24"/>
              </w:rPr>
              <w:t>线路安排</w:t>
            </w:r>
          </w:p>
        </w:tc>
        <w:tc>
          <w:tcPr>
            <w:tcW w:w="6105" w:type="dxa"/>
            <w:vAlign w:val="center"/>
          </w:tcPr>
          <w:p w14:paraId="7935F263">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根据投标人提供的疗休养行程安排方案进行综合评分。优于项目需求的得5-6分，基本符合项目需求的得3-4分，部分符合项目需求的得1-2分,不符合项目需求的得0分。</w:t>
            </w:r>
          </w:p>
        </w:tc>
        <w:tc>
          <w:tcPr>
            <w:tcW w:w="978" w:type="dxa"/>
            <w:vAlign w:val="center"/>
          </w:tcPr>
          <w:p w14:paraId="644AD9A2">
            <w:pPr>
              <w:widowControl/>
              <w:spacing w:line="440" w:lineRule="exact"/>
              <w:ind w:left="-115" w:leftChars="-55" w:right="-115" w:rightChars="-55"/>
              <w:jc w:val="center"/>
              <w:rPr>
                <w:rFonts w:ascii="仿宋" w:hAnsi="仿宋" w:eastAsia="仿宋" w:cs="仿宋"/>
                <w:sz w:val="24"/>
                <w:szCs w:val="24"/>
              </w:rPr>
            </w:pPr>
            <w:r>
              <w:rPr>
                <w:rFonts w:hint="eastAsia" w:ascii="仿宋" w:hAnsi="仿宋" w:eastAsia="仿宋" w:cs="仿宋"/>
                <w:color w:val="auto"/>
                <w:sz w:val="24"/>
                <w:szCs w:val="24"/>
              </w:rPr>
              <w:t>6</w:t>
            </w:r>
          </w:p>
        </w:tc>
      </w:tr>
      <w:tr w14:paraId="600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Merge w:val="continue"/>
            <w:vAlign w:val="center"/>
          </w:tcPr>
          <w:p w14:paraId="588C4C14">
            <w:pPr>
              <w:snapToGrid w:val="0"/>
              <w:jc w:val="center"/>
              <w:rPr>
                <w:rFonts w:ascii="仿宋" w:hAnsi="仿宋" w:eastAsia="仿宋" w:cs="宋体"/>
                <w:b/>
                <w:bCs/>
                <w:sz w:val="24"/>
                <w:szCs w:val="24"/>
              </w:rPr>
            </w:pPr>
          </w:p>
        </w:tc>
        <w:tc>
          <w:tcPr>
            <w:tcW w:w="1920" w:type="dxa"/>
            <w:vMerge w:val="continue"/>
            <w:vAlign w:val="center"/>
          </w:tcPr>
          <w:p w14:paraId="60B266EC">
            <w:pPr>
              <w:widowControl/>
              <w:spacing w:line="440" w:lineRule="exact"/>
              <w:jc w:val="center"/>
              <w:rPr>
                <w:rFonts w:ascii="仿宋" w:hAnsi="仿宋" w:eastAsia="仿宋" w:cs="仿宋"/>
                <w:b/>
                <w:bCs/>
                <w:sz w:val="24"/>
              </w:rPr>
            </w:pPr>
          </w:p>
        </w:tc>
        <w:tc>
          <w:tcPr>
            <w:tcW w:w="6105" w:type="dxa"/>
            <w:vAlign w:val="center"/>
          </w:tcPr>
          <w:p w14:paraId="515C04B9">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根据投标人提供的住宿方案进行综合评分。优于项目需求的得5-6分，基本符合项目需求的得3-4分，部分符合项目需求的得1-2分,不符合项目需求的得0分。</w:t>
            </w:r>
          </w:p>
        </w:tc>
        <w:tc>
          <w:tcPr>
            <w:tcW w:w="978" w:type="dxa"/>
            <w:vAlign w:val="center"/>
          </w:tcPr>
          <w:p w14:paraId="758AE5AA">
            <w:pPr>
              <w:widowControl/>
              <w:spacing w:line="440" w:lineRule="exact"/>
              <w:ind w:left="-115" w:leftChars="-55" w:right="-115" w:rightChars="-55"/>
              <w:jc w:val="center"/>
              <w:rPr>
                <w:rFonts w:ascii="仿宋" w:hAnsi="仿宋" w:eastAsia="仿宋" w:cs="仿宋"/>
                <w:sz w:val="24"/>
                <w:szCs w:val="24"/>
              </w:rPr>
            </w:pPr>
            <w:r>
              <w:rPr>
                <w:rFonts w:hint="eastAsia" w:ascii="仿宋" w:hAnsi="仿宋" w:eastAsia="仿宋" w:cs="仿宋"/>
                <w:color w:val="auto"/>
                <w:sz w:val="24"/>
                <w:szCs w:val="24"/>
              </w:rPr>
              <w:t>6</w:t>
            </w:r>
          </w:p>
        </w:tc>
      </w:tr>
      <w:tr w14:paraId="5C76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95" w:type="dxa"/>
            <w:vMerge w:val="continue"/>
            <w:vAlign w:val="center"/>
          </w:tcPr>
          <w:p w14:paraId="5DF8D053">
            <w:pPr>
              <w:snapToGrid w:val="0"/>
              <w:jc w:val="center"/>
              <w:rPr>
                <w:rFonts w:ascii="仿宋" w:hAnsi="仿宋" w:eastAsia="仿宋" w:cs="宋体"/>
                <w:b/>
                <w:bCs/>
                <w:sz w:val="24"/>
                <w:szCs w:val="24"/>
              </w:rPr>
            </w:pPr>
          </w:p>
        </w:tc>
        <w:tc>
          <w:tcPr>
            <w:tcW w:w="1920" w:type="dxa"/>
            <w:vMerge w:val="continue"/>
            <w:vAlign w:val="center"/>
          </w:tcPr>
          <w:p w14:paraId="4EDF14FB">
            <w:pPr>
              <w:widowControl/>
              <w:spacing w:line="440" w:lineRule="exact"/>
              <w:jc w:val="center"/>
              <w:rPr>
                <w:rFonts w:ascii="仿宋" w:hAnsi="仿宋" w:eastAsia="仿宋" w:cs="仿宋"/>
                <w:b/>
                <w:bCs/>
                <w:sz w:val="24"/>
                <w:szCs w:val="24"/>
              </w:rPr>
            </w:pPr>
          </w:p>
        </w:tc>
        <w:tc>
          <w:tcPr>
            <w:tcW w:w="6105" w:type="dxa"/>
            <w:vAlign w:val="center"/>
          </w:tcPr>
          <w:p w14:paraId="53C0436F">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根据投标人提供的餐饮方案进行综合评分。优于项目需求的得5-6分，基本符合项目需求的得3-4分，部分符合项目需求的得1-2分,不符合项目需求的得0分。</w:t>
            </w:r>
          </w:p>
        </w:tc>
        <w:tc>
          <w:tcPr>
            <w:tcW w:w="978" w:type="dxa"/>
            <w:vAlign w:val="center"/>
          </w:tcPr>
          <w:p w14:paraId="6D604522">
            <w:pPr>
              <w:widowControl/>
              <w:spacing w:line="440" w:lineRule="exact"/>
              <w:ind w:left="-115" w:leftChars="-55" w:right="-115" w:rightChars="-55"/>
              <w:jc w:val="center"/>
              <w:rPr>
                <w:rFonts w:ascii="仿宋" w:hAnsi="仿宋" w:eastAsia="仿宋" w:cs="仿宋"/>
                <w:sz w:val="24"/>
                <w:szCs w:val="24"/>
              </w:rPr>
            </w:pPr>
            <w:r>
              <w:rPr>
                <w:rFonts w:hint="eastAsia" w:ascii="仿宋" w:hAnsi="仿宋" w:eastAsia="仿宋" w:cs="仿宋"/>
                <w:color w:val="auto"/>
                <w:sz w:val="24"/>
                <w:szCs w:val="24"/>
              </w:rPr>
              <w:t>6</w:t>
            </w:r>
          </w:p>
        </w:tc>
      </w:tr>
      <w:tr w14:paraId="52E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95" w:type="dxa"/>
            <w:vMerge w:val="continue"/>
            <w:vAlign w:val="center"/>
          </w:tcPr>
          <w:p w14:paraId="5DF1F102">
            <w:pPr>
              <w:snapToGrid w:val="0"/>
              <w:jc w:val="center"/>
              <w:rPr>
                <w:rFonts w:ascii="仿宋" w:hAnsi="仿宋" w:eastAsia="仿宋" w:cs="宋体"/>
                <w:b/>
                <w:bCs/>
                <w:sz w:val="24"/>
                <w:szCs w:val="24"/>
              </w:rPr>
            </w:pPr>
          </w:p>
        </w:tc>
        <w:tc>
          <w:tcPr>
            <w:tcW w:w="1920" w:type="dxa"/>
            <w:vMerge w:val="continue"/>
            <w:vAlign w:val="center"/>
          </w:tcPr>
          <w:p w14:paraId="4C029BDA">
            <w:pPr>
              <w:widowControl/>
              <w:spacing w:line="440" w:lineRule="exact"/>
              <w:jc w:val="center"/>
              <w:rPr>
                <w:rFonts w:ascii="仿宋" w:hAnsi="仿宋" w:eastAsia="仿宋" w:cs="仿宋"/>
                <w:b/>
                <w:bCs/>
                <w:sz w:val="24"/>
                <w:szCs w:val="24"/>
              </w:rPr>
            </w:pPr>
          </w:p>
        </w:tc>
        <w:tc>
          <w:tcPr>
            <w:tcW w:w="6105" w:type="dxa"/>
            <w:vAlign w:val="center"/>
          </w:tcPr>
          <w:p w14:paraId="0D2C0512">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根据投标人提供的车辆安排方案进行综合评分。优于项目需求的得5-6分、基本符合项目需求的得3-4分，部分符合项目需求的得1-2分,不符合项目需求的得0分。</w:t>
            </w:r>
          </w:p>
        </w:tc>
        <w:tc>
          <w:tcPr>
            <w:tcW w:w="978" w:type="dxa"/>
            <w:vAlign w:val="center"/>
          </w:tcPr>
          <w:p w14:paraId="5754E6B4">
            <w:pPr>
              <w:widowControl/>
              <w:spacing w:line="440" w:lineRule="exact"/>
              <w:ind w:left="-115" w:leftChars="-55" w:right="-115" w:rightChars="-55"/>
              <w:jc w:val="center"/>
              <w:rPr>
                <w:rFonts w:ascii="仿宋" w:hAnsi="仿宋" w:eastAsia="仿宋" w:cs="仿宋"/>
                <w:sz w:val="24"/>
                <w:szCs w:val="24"/>
              </w:rPr>
            </w:pPr>
            <w:r>
              <w:rPr>
                <w:rFonts w:hint="eastAsia" w:ascii="仿宋" w:hAnsi="仿宋" w:eastAsia="仿宋" w:cs="仿宋"/>
                <w:color w:val="auto"/>
                <w:sz w:val="24"/>
                <w:szCs w:val="24"/>
              </w:rPr>
              <w:t>6</w:t>
            </w:r>
          </w:p>
        </w:tc>
      </w:tr>
      <w:tr w14:paraId="0B7D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5" w:type="dxa"/>
            <w:vMerge w:val="continue"/>
            <w:vAlign w:val="center"/>
          </w:tcPr>
          <w:p w14:paraId="28DE5DC5">
            <w:pPr>
              <w:snapToGrid w:val="0"/>
              <w:jc w:val="center"/>
              <w:rPr>
                <w:rFonts w:ascii="仿宋" w:hAnsi="仿宋" w:eastAsia="仿宋" w:cs="宋体"/>
                <w:b/>
                <w:bCs/>
                <w:sz w:val="24"/>
                <w:szCs w:val="24"/>
              </w:rPr>
            </w:pPr>
          </w:p>
        </w:tc>
        <w:tc>
          <w:tcPr>
            <w:tcW w:w="1920" w:type="dxa"/>
            <w:vMerge w:val="continue"/>
            <w:vAlign w:val="center"/>
          </w:tcPr>
          <w:p w14:paraId="180F40EF">
            <w:pPr>
              <w:widowControl/>
              <w:spacing w:line="440" w:lineRule="exact"/>
              <w:jc w:val="center"/>
              <w:rPr>
                <w:rFonts w:ascii="仿宋" w:hAnsi="仿宋" w:eastAsia="仿宋" w:cs="仿宋"/>
                <w:b/>
                <w:bCs/>
                <w:sz w:val="24"/>
                <w:szCs w:val="24"/>
              </w:rPr>
            </w:pPr>
          </w:p>
        </w:tc>
        <w:tc>
          <w:tcPr>
            <w:tcW w:w="6105" w:type="dxa"/>
            <w:vAlign w:val="center"/>
          </w:tcPr>
          <w:p w14:paraId="45F0552F">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根据额外提供的增值服务进行综合评分。完全符合整体需求的得5-6分，基本符合用户需求得3-4分，部分符合用户需求得1-2分，未提供不得分。</w:t>
            </w:r>
          </w:p>
        </w:tc>
        <w:tc>
          <w:tcPr>
            <w:tcW w:w="978" w:type="dxa"/>
            <w:vAlign w:val="center"/>
          </w:tcPr>
          <w:p w14:paraId="093D78AC">
            <w:pPr>
              <w:widowControl/>
              <w:spacing w:line="440" w:lineRule="exact"/>
              <w:ind w:left="-115" w:leftChars="-55" w:right="-115" w:rightChars="-55"/>
              <w:jc w:val="center"/>
              <w:rPr>
                <w:rFonts w:ascii="仿宋" w:hAnsi="仿宋" w:eastAsia="仿宋" w:cs="仿宋"/>
                <w:sz w:val="24"/>
                <w:szCs w:val="24"/>
              </w:rPr>
            </w:pPr>
            <w:r>
              <w:rPr>
                <w:rFonts w:hint="eastAsia" w:ascii="仿宋" w:hAnsi="仿宋" w:eastAsia="仿宋" w:cs="仿宋"/>
                <w:color w:val="auto"/>
                <w:sz w:val="24"/>
                <w:szCs w:val="24"/>
              </w:rPr>
              <w:t>6</w:t>
            </w:r>
          </w:p>
        </w:tc>
      </w:tr>
      <w:tr w14:paraId="6065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553B9829">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6</w:t>
            </w:r>
          </w:p>
        </w:tc>
        <w:tc>
          <w:tcPr>
            <w:tcW w:w="1920" w:type="dxa"/>
            <w:vAlign w:val="center"/>
          </w:tcPr>
          <w:p w14:paraId="45CE3399">
            <w:pPr>
              <w:snapToGrid w:val="0"/>
              <w:jc w:val="center"/>
              <w:rPr>
                <w:rFonts w:ascii="仿宋" w:hAnsi="仿宋" w:eastAsia="仿宋" w:cs="宋体"/>
                <w:b/>
                <w:bCs/>
                <w:sz w:val="24"/>
                <w:szCs w:val="24"/>
              </w:rPr>
            </w:pPr>
            <w:r>
              <w:rPr>
                <w:rFonts w:hint="eastAsia" w:ascii="仿宋" w:hAnsi="仿宋" w:eastAsia="仿宋" w:cs="仿宋"/>
                <w:b/>
                <w:bCs/>
                <w:color w:val="auto"/>
                <w:sz w:val="24"/>
              </w:rPr>
              <w:t>管理制度</w:t>
            </w:r>
          </w:p>
        </w:tc>
        <w:tc>
          <w:tcPr>
            <w:tcW w:w="6105" w:type="dxa"/>
            <w:vAlign w:val="center"/>
          </w:tcPr>
          <w:p w14:paraId="5975F523">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根据投标人提供的管理制度进行综合评分。</w:t>
            </w:r>
          </w:p>
          <w:p w14:paraId="55E83CD4">
            <w:pPr>
              <w:widowControl/>
              <w:spacing w:line="440" w:lineRule="exact"/>
              <w:jc w:val="left"/>
              <w:rPr>
                <w:rFonts w:ascii="仿宋" w:hAnsi="仿宋" w:eastAsia="仿宋"/>
                <w:sz w:val="24"/>
              </w:rPr>
            </w:pPr>
            <w:r>
              <w:rPr>
                <w:rFonts w:hint="eastAsia" w:ascii="仿宋" w:hAnsi="仿宋" w:eastAsia="仿宋" w:cs="仿宋"/>
                <w:color w:val="auto"/>
                <w:sz w:val="24"/>
                <w:szCs w:val="24"/>
              </w:rPr>
              <w:t>（管理制度健全，能有效保障本次服务，对服务人员有效管控的得7-8分；投标人管理制度较为健全，对服务人员管控较为有效的得4-6分；投标人管理制度及对服务人员管控一般、不够健全，需进一步完善的得1-3分；未提供不得分。）</w:t>
            </w:r>
          </w:p>
        </w:tc>
        <w:tc>
          <w:tcPr>
            <w:tcW w:w="978" w:type="dxa"/>
            <w:vAlign w:val="center"/>
          </w:tcPr>
          <w:p w14:paraId="61BD6941">
            <w:pPr>
              <w:pStyle w:val="345"/>
              <w:jc w:val="center"/>
              <w:rPr>
                <w:rFonts w:ascii="仿宋" w:hAnsi="仿宋" w:eastAsia="仿宋" w:cs="仿宋"/>
                <w:sz w:val="24"/>
                <w:szCs w:val="24"/>
              </w:rPr>
            </w:pPr>
            <w:r>
              <w:rPr>
                <w:rFonts w:hint="eastAsia" w:ascii="仿宋" w:hAnsi="仿宋" w:eastAsia="仿宋" w:cs="仿宋"/>
                <w:sz w:val="24"/>
                <w:szCs w:val="24"/>
              </w:rPr>
              <w:t>8</w:t>
            </w:r>
          </w:p>
        </w:tc>
      </w:tr>
      <w:tr w14:paraId="21DA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7457A19E">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7</w:t>
            </w:r>
          </w:p>
        </w:tc>
        <w:tc>
          <w:tcPr>
            <w:tcW w:w="1920" w:type="dxa"/>
            <w:vAlign w:val="center"/>
          </w:tcPr>
          <w:p w14:paraId="3DA766CA">
            <w:pPr>
              <w:widowControl/>
              <w:spacing w:line="440" w:lineRule="exact"/>
              <w:jc w:val="center"/>
              <w:rPr>
                <w:rFonts w:ascii="仿宋" w:hAnsi="仿宋" w:eastAsia="仿宋" w:cs="仿宋"/>
                <w:b/>
                <w:bCs/>
                <w:sz w:val="24"/>
              </w:rPr>
            </w:pPr>
            <w:r>
              <w:rPr>
                <w:rFonts w:hint="eastAsia" w:ascii="仿宋" w:hAnsi="仿宋" w:eastAsia="仿宋" w:cs="仿宋"/>
                <w:b/>
                <w:bCs/>
                <w:color w:val="auto"/>
                <w:sz w:val="24"/>
              </w:rPr>
              <w:t>售后服务方案</w:t>
            </w:r>
          </w:p>
        </w:tc>
        <w:tc>
          <w:tcPr>
            <w:tcW w:w="6105" w:type="dxa"/>
            <w:vAlign w:val="center"/>
          </w:tcPr>
          <w:p w14:paraId="410A5BE3">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w:t>
            </w:r>
            <w:bookmarkStart w:id="9" w:name="_Hlk82960089"/>
            <w:r>
              <w:rPr>
                <w:rFonts w:hint="eastAsia" w:ascii="仿宋" w:hAnsi="仿宋" w:eastAsia="仿宋" w:cs="仿宋"/>
                <w:color w:val="auto"/>
                <w:sz w:val="24"/>
                <w:szCs w:val="24"/>
              </w:rPr>
              <w:t>售后服务方案</w:t>
            </w:r>
            <w:bookmarkEnd w:id="9"/>
            <w:r>
              <w:rPr>
                <w:rFonts w:hint="eastAsia" w:ascii="仿宋" w:hAnsi="仿宋" w:eastAsia="仿宋" w:cs="仿宋"/>
                <w:color w:val="auto"/>
                <w:sz w:val="24"/>
                <w:szCs w:val="24"/>
              </w:rPr>
              <w:t>、服务响应时间、配套服务等情况进行综合评分。</w:t>
            </w:r>
          </w:p>
          <w:p w14:paraId="089C4C3B">
            <w:pPr>
              <w:widowControl/>
              <w:spacing w:line="440" w:lineRule="exact"/>
              <w:jc w:val="left"/>
              <w:rPr>
                <w:rFonts w:ascii="仿宋_GB2312" w:hAnsi="仿宋_GB2312" w:eastAsia="仿宋_GB2312" w:cs="仿宋_GB2312"/>
                <w:sz w:val="24"/>
                <w:szCs w:val="24"/>
              </w:rPr>
            </w:pPr>
            <w:r>
              <w:rPr>
                <w:rFonts w:hint="eastAsia" w:ascii="仿宋" w:hAnsi="仿宋" w:eastAsia="仿宋" w:cs="仿宋"/>
                <w:color w:val="auto"/>
                <w:sz w:val="24"/>
                <w:szCs w:val="24"/>
              </w:rPr>
              <w:t>（服务体系完善、响应迅速，问题处理方式科学合理，配套服务优越的得</w:t>
            </w:r>
            <w:r>
              <w:rPr>
                <w:rFonts w:ascii="仿宋" w:hAnsi="仿宋" w:eastAsia="仿宋" w:cs="仿宋"/>
                <w:color w:val="auto"/>
                <w:sz w:val="24"/>
                <w:szCs w:val="24"/>
              </w:rPr>
              <w:t>7</w:t>
            </w: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分；服务体系较好、响应较快、问题处理方式基本合理，配套服务较优越的得4-</w:t>
            </w:r>
            <w:r>
              <w:rPr>
                <w:rFonts w:ascii="仿宋" w:hAnsi="仿宋" w:eastAsia="仿宋" w:cs="仿宋"/>
                <w:color w:val="auto"/>
                <w:sz w:val="24"/>
                <w:szCs w:val="24"/>
              </w:rPr>
              <w:t>6</w:t>
            </w:r>
            <w:r>
              <w:rPr>
                <w:rFonts w:hint="eastAsia" w:ascii="仿宋" w:hAnsi="仿宋" w:eastAsia="仿宋" w:cs="仿宋"/>
                <w:color w:val="auto"/>
                <w:sz w:val="24"/>
                <w:szCs w:val="24"/>
              </w:rPr>
              <w:t>分；服务体系、响应速度、问题处理方式、配套服务不能很好符合项目实际开展的得1-3分；未提供不得分。）</w:t>
            </w:r>
          </w:p>
        </w:tc>
        <w:tc>
          <w:tcPr>
            <w:tcW w:w="978" w:type="dxa"/>
            <w:vAlign w:val="center"/>
          </w:tcPr>
          <w:p w14:paraId="7FA90EF4">
            <w:pPr>
              <w:widowControl/>
              <w:spacing w:line="440" w:lineRule="exact"/>
              <w:jc w:val="center"/>
              <w:rPr>
                <w:rFonts w:ascii="仿宋" w:hAnsi="仿宋" w:eastAsia="仿宋" w:cs="仿宋"/>
                <w:sz w:val="24"/>
                <w:szCs w:val="24"/>
              </w:rPr>
            </w:pPr>
            <w:r>
              <w:rPr>
                <w:rFonts w:ascii="仿宋" w:hAnsi="仿宋" w:eastAsia="仿宋" w:cs="仿宋"/>
                <w:color w:val="auto"/>
                <w:sz w:val="24"/>
                <w:szCs w:val="24"/>
              </w:rPr>
              <w:t>10</w:t>
            </w:r>
          </w:p>
        </w:tc>
      </w:tr>
      <w:tr w14:paraId="0F0A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48C86B40">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8</w:t>
            </w:r>
          </w:p>
        </w:tc>
        <w:tc>
          <w:tcPr>
            <w:tcW w:w="1920" w:type="dxa"/>
            <w:vAlign w:val="center"/>
          </w:tcPr>
          <w:p w14:paraId="318003F9">
            <w:pPr>
              <w:widowControl/>
              <w:spacing w:line="440" w:lineRule="exact"/>
              <w:jc w:val="center"/>
              <w:rPr>
                <w:rFonts w:ascii="仿宋" w:hAnsi="仿宋" w:eastAsia="仿宋" w:cs="仿宋_GB2312"/>
                <w:b/>
                <w:bCs/>
                <w:sz w:val="24"/>
              </w:rPr>
            </w:pPr>
            <w:r>
              <w:rPr>
                <w:rFonts w:hint="eastAsia" w:ascii="仿宋" w:hAnsi="仿宋" w:eastAsia="仿宋" w:cs="仿宋_GB2312"/>
                <w:b/>
                <w:bCs/>
                <w:color w:val="auto"/>
                <w:sz w:val="24"/>
                <w:szCs w:val="24"/>
              </w:rPr>
              <w:t>应急保障预案</w:t>
            </w:r>
          </w:p>
        </w:tc>
        <w:tc>
          <w:tcPr>
            <w:tcW w:w="6105" w:type="dxa"/>
            <w:vAlign w:val="center"/>
          </w:tcPr>
          <w:p w14:paraId="6C576318">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根据投标人提供的突发事件（自然灾害、疾病、交通状况）的应急保障预案情况进行综合评分。</w:t>
            </w:r>
          </w:p>
          <w:p w14:paraId="11C94214">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(预案内容完善、措施得力、可行性高的得</w:t>
            </w:r>
            <w:r>
              <w:rPr>
                <w:rFonts w:ascii="仿宋" w:hAnsi="仿宋" w:eastAsia="仿宋" w:cs="仿宋"/>
                <w:color w:val="auto"/>
                <w:sz w:val="24"/>
                <w:szCs w:val="24"/>
              </w:rPr>
              <w:t>6</w:t>
            </w:r>
            <w:r>
              <w:rPr>
                <w:rFonts w:hint="eastAsia" w:ascii="仿宋" w:hAnsi="仿宋" w:eastAsia="仿宋" w:cs="仿宋"/>
                <w:color w:val="auto"/>
                <w:sz w:val="24"/>
                <w:szCs w:val="24"/>
              </w:rPr>
              <w:t>-8分；预案内容较完善、措施适当的得</w:t>
            </w:r>
            <w:r>
              <w:rPr>
                <w:rFonts w:ascii="仿宋" w:hAnsi="仿宋" w:eastAsia="仿宋" w:cs="仿宋"/>
                <w:color w:val="auto"/>
                <w:sz w:val="24"/>
                <w:szCs w:val="24"/>
              </w:rPr>
              <w:t>3</w:t>
            </w: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分；预案内容不完善、措施可行性弱的得1-</w:t>
            </w:r>
            <w:r>
              <w:rPr>
                <w:rFonts w:ascii="仿宋" w:hAnsi="仿宋" w:eastAsia="仿宋" w:cs="仿宋"/>
                <w:color w:val="auto"/>
                <w:sz w:val="24"/>
                <w:szCs w:val="24"/>
              </w:rPr>
              <w:t>2</w:t>
            </w:r>
            <w:r>
              <w:rPr>
                <w:rFonts w:hint="eastAsia" w:ascii="仿宋" w:hAnsi="仿宋" w:eastAsia="仿宋" w:cs="仿宋"/>
                <w:color w:val="auto"/>
                <w:sz w:val="24"/>
                <w:szCs w:val="24"/>
              </w:rPr>
              <w:t>分；未提供不得分。)</w:t>
            </w:r>
          </w:p>
        </w:tc>
        <w:tc>
          <w:tcPr>
            <w:tcW w:w="978" w:type="dxa"/>
            <w:vAlign w:val="center"/>
          </w:tcPr>
          <w:p w14:paraId="00D2F518">
            <w:pPr>
              <w:widowControl/>
              <w:spacing w:line="440" w:lineRule="exact"/>
              <w:jc w:val="center"/>
              <w:rPr>
                <w:rFonts w:ascii="仿宋" w:hAnsi="仿宋" w:eastAsia="仿宋" w:cs="仿宋"/>
                <w:sz w:val="24"/>
                <w:szCs w:val="24"/>
              </w:rPr>
            </w:pPr>
            <w:r>
              <w:rPr>
                <w:rFonts w:hint="eastAsia" w:ascii="仿宋" w:hAnsi="仿宋" w:eastAsia="仿宋" w:cs="仿宋"/>
                <w:color w:val="auto"/>
                <w:sz w:val="24"/>
                <w:szCs w:val="24"/>
              </w:rPr>
              <w:t>8</w:t>
            </w:r>
          </w:p>
        </w:tc>
      </w:tr>
      <w:tr w14:paraId="74EE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70B21A52">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9</w:t>
            </w:r>
          </w:p>
        </w:tc>
        <w:tc>
          <w:tcPr>
            <w:tcW w:w="1920" w:type="dxa"/>
            <w:vAlign w:val="center"/>
          </w:tcPr>
          <w:p w14:paraId="6B66B764">
            <w:pPr>
              <w:widowControl/>
              <w:spacing w:line="440" w:lineRule="exact"/>
              <w:jc w:val="center"/>
              <w:rPr>
                <w:rFonts w:ascii="仿宋" w:hAnsi="仿宋" w:eastAsia="仿宋" w:cs="仿宋"/>
                <w:b/>
                <w:bCs/>
                <w:sz w:val="24"/>
              </w:rPr>
            </w:pPr>
            <w:r>
              <w:rPr>
                <w:rFonts w:hint="eastAsia" w:ascii="仿宋" w:hAnsi="仿宋" w:eastAsia="仿宋" w:cs="仿宋_GB2312"/>
                <w:b/>
                <w:bCs/>
                <w:color w:val="auto"/>
                <w:sz w:val="24"/>
                <w:szCs w:val="24"/>
              </w:rPr>
              <w:t>安全及服务质量保障措施</w:t>
            </w:r>
          </w:p>
        </w:tc>
        <w:tc>
          <w:tcPr>
            <w:tcW w:w="6105" w:type="dxa"/>
            <w:vAlign w:val="center"/>
          </w:tcPr>
          <w:p w14:paraId="24450D86">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投标人针对疗休养安全及服务质量保证措施进行综合评分。</w:t>
            </w:r>
          </w:p>
          <w:p w14:paraId="1B52EAA4">
            <w:pPr>
              <w:widowControl/>
              <w:spacing w:line="440" w:lineRule="exact"/>
              <w:jc w:val="left"/>
              <w:rPr>
                <w:rFonts w:ascii="仿宋" w:hAnsi="仿宋" w:eastAsia="仿宋" w:cs="仿宋"/>
                <w:sz w:val="24"/>
              </w:rPr>
            </w:pPr>
            <w:r>
              <w:rPr>
                <w:rFonts w:hint="eastAsia" w:ascii="仿宋" w:hAnsi="仿宋" w:eastAsia="仿宋" w:cs="仿宋"/>
                <w:color w:val="auto"/>
                <w:sz w:val="24"/>
                <w:szCs w:val="24"/>
              </w:rPr>
              <w:t>（措施内容完整合理且满足项目需求的，得7-10分；措施内容符合项目需求但存在不足之处，</w:t>
            </w:r>
            <w:r>
              <w:rPr>
                <w:rFonts w:hint="eastAsia" w:ascii="仿宋" w:hAnsi="仿宋" w:eastAsia="仿宋" w:cs="仿宋"/>
                <w:sz w:val="24"/>
                <w:szCs w:val="24"/>
              </w:rPr>
              <w:t>总体较完整合理的，</w:t>
            </w:r>
            <w:r>
              <w:rPr>
                <w:rFonts w:hint="eastAsia" w:ascii="仿宋" w:hAnsi="仿宋" w:eastAsia="仿宋" w:cs="仿宋"/>
                <w:color w:val="auto"/>
                <w:sz w:val="24"/>
                <w:szCs w:val="24"/>
              </w:rPr>
              <w:t>得4-6分；</w:t>
            </w:r>
            <w:r>
              <w:rPr>
                <w:rFonts w:hint="eastAsia" w:ascii="仿宋" w:hAnsi="仿宋" w:eastAsia="仿宋" w:cs="仿宋"/>
                <w:sz w:val="24"/>
                <w:szCs w:val="24"/>
              </w:rPr>
              <w:t>措施内容不全、欠缺合理性，总体与项目需求切合度较差的，</w:t>
            </w:r>
            <w:r>
              <w:rPr>
                <w:rFonts w:hint="eastAsia" w:ascii="仿宋" w:hAnsi="仿宋" w:eastAsia="仿宋" w:cs="仿宋"/>
                <w:color w:val="auto"/>
                <w:sz w:val="24"/>
                <w:szCs w:val="24"/>
              </w:rPr>
              <w:t>得1-3分；不提供不得分。）</w:t>
            </w:r>
          </w:p>
        </w:tc>
        <w:tc>
          <w:tcPr>
            <w:tcW w:w="978" w:type="dxa"/>
            <w:vAlign w:val="center"/>
          </w:tcPr>
          <w:p w14:paraId="5F9ED481">
            <w:pPr>
              <w:widowControl/>
              <w:spacing w:line="440" w:lineRule="exact"/>
              <w:jc w:val="center"/>
              <w:rPr>
                <w:rFonts w:ascii="仿宋" w:hAnsi="仿宋" w:eastAsia="仿宋" w:cs="仿宋"/>
                <w:sz w:val="24"/>
                <w:szCs w:val="24"/>
              </w:rPr>
            </w:pPr>
            <w:r>
              <w:rPr>
                <w:rFonts w:hint="eastAsia" w:ascii="仿宋" w:hAnsi="仿宋" w:eastAsia="仿宋" w:cs="仿宋"/>
                <w:color w:val="auto"/>
                <w:sz w:val="24"/>
                <w:szCs w:val="24"/>
              </w:rPr>
              <w:t>10</w:t>
            </w:r>
          </w:p>
        </w:tc>
      </w:tr>
      <w:tr w14:paraId="7A5A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30A3B873">
            <w:pPr>
              <w:snapToGrid w:val="0"/>
              <w:jc w:val="center"/>
              <w:rPr>
                <w:rFonts w:ascii="仿宋" w:hAnsi="仿宋" w:eastAsia="仿宋" w:cs="宋体"/>
                <w:b/>
                <w:bCs/>
                <w:sz w:val="24"/>
                <w:szCs w:val="24"/>
              </w:rPr>
            </w:pPr>
            <w:r>
              <w:rPr>
                <w:rFonts w:hint="eastAsia" w:ascii="仿宋" w:hAnsi="仿宋" w:eastAsia="仿宋" w:cs="宋体"/>
                <w:b/>
                <w:bCs/>
                <w:color w:val="auto"/>
                <w:sz w:val="24"/>
                <w:szCs w:val="24"/>
              </w:rPr>
              <w:t>10</w:t>
            </w:r>
          </w:p>
        </w:tc>
        <w:tc>
          <w:tcPr>
            <w:tcW w:w="1920" w:type="dxa"/>
            <w:vAlign w:val="center"/>
          </w:tcPr>
          <w:p w14:paraId="7813216A">
            <w:pPr>
              <w:snapToGrid w:val="0"/>
              <w:jc w:val="center"/>
              <w:rPr>
                <w:rFonts w:ascii="仿宋" w:hAnsi="仿宋" w:eastAsia="仿宋" w:cs="仿宋"/>
                <w:b/>
                <w:bCs/>
                <w:sz w:val="24"/>
                <w:szCs w:val="24"/>
              </w:rPr>
            </w:pPr>
            <w:r>
              <w:rPr>
                <w:rFonts w:hint="eastAsia" w:ascii="仿宋" w:hAnsi="仿宋" w:eastAsia="仿宋" w:cs="仿宋"/>
                <w:b/>
                <w:bCs/>
                <w:color w:val="auto"/>
                <w:sz w:val="24"/>
                <w:szCs w:val="24"/>
              </w:rPr>
              <w:t>保险承诺</w:t>
            </w:r>
          </w:p>
        </w:tc>
        <w:tc>
          <w:tcPr>
            <w:tcW w:w="6105" w:type="dxa"/>
            <w:vAlign w:val="center"/>
          </w:tcPr>
          <w:p w14:paraId="6D157437">
            <w:pPr>
              <w:widowControl/>
              <w:spacing w:line="440" w:lineRule="exact"/>
              <w:jc w:val="left"/>
              <w:rPr>
                <w:rFonts w:ascii="仿宋" w:hAnsi="仿宋" w:eastAsia="仿宋" w:cs="仿宋"/>
                <w:sz w:val="24"/>
                <w:szCs w:val="24"/>
              </w:rPr>
            </w:pPr>
            <w:r>
              <w:rPr>
                <w:rFonts w:hint="eastAsia" w:ascii="仿宋" w:hAnsi="仿宋" w:eastAsia="仿宋" w:cs="仿宋"/>
                <w:color w:val="auto"/>
                <w:sz w:val="24"/>
                <w:szCs w:val="24"/>
              </w:rPr>
              <w:t>根据投标人提供的旅行社责任险的额度评分：旅行社责任险不低于100万的得1分，在100万基础上每增加10万额外加 0.5分，本项最高得3分。（提供保单等相关证明材料复印件并加盖投标人公章，否则不得分。）</w:t>
            </w:r>
          </w:p>
        </w:tc>
        <w:tc>
          <w:tcPr>
            <w:tcW w:w="978" w:type="dxa"/>
            <w:vAlign w:val="center"/>
          </w:tcPr>
          <w:p w14:paraId="70F227C7">
            <w:pPr>
              <w:widowControl/>
              <w:spacing w:line="440" w:lineRule="exact"/>
              <w:jc w:val="center"/>
              <w:rPr>
                <w:rFonts w:ascii="仿宋" w:hAnsi="仿宋" w:eastAsia="仿宋" w:cs="仿宋"/>
                <w:sz w:val="24"/>
                <w:szCs w:val="24"/>
              </w:rPr>
            </w:pPr>
            <w:r>
              <w:rPr>
                <w:rFonts w:hint="eastAsia" w:ascii="仿宋" w:hAnsi="仿宋" w:eastAsia="仿宋" w:cs="仿宋"/>
                <w:color w:val="auto"/>
                <w:sz w:val="24"/>
                <w:szCs w:val="24"/>
              </w:rPr>
              <w:t>3</w:t>
            </w:r>
          </w:p>
        </w:tc>
      </w:tr>
    </w:tbl>
    <w:p w14:paraId="35AE690E">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w:t>
      </w:r>
    </w:p>
    <w:p w14:paraId="2309B172">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①上述评审细则中要求提供的相关材料需加盖投标人公章的均为CA签章，且相关材料具备有效期限的均需在有效期内，未按要求提供的不得分。</w:t>
      </w:r>
    </w:p>
    <w:p w14:paraId="22ACC11B">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②投标人编制投标文件（商务技术文件部分）时，建议按上述评审细则的顺序提供评分标准中相对应的商务技术资料。</w:t>
      </w:r>
    </w:p>
    <w:p w14:paraId="34375072">
      <w:pPr>
        <w:spacing w:line="360" w:lineRule="auto"/>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2.报价分（10分）</w:t>
      </w:r>
    </w:p>
    <w:tbl>
      <w:tblPr>
        <w:tblStyle w:val="53"/>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7208"/>
      </w:tblGrid>
      <w:tr w14:paraId="23E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6C02541">
            <w:pPr>
              <w:snapToGrid w:val="0"/>
              <w:spacing w:line="300" w:lineRule="auto"/>
              <w:jc w:val="center"/>
              <w:rPr>
                <w:rFonts w:ascii="仿宋" w:hAnsi="仿宋" w:eastAsia="仿宋" w:cs="宋体"/>
                <w:b/>
                <w:bCs/>
                <w:sz w:val="24"/>
                <w:szCs w:val="24"/>
              </w:rPr>
            </w:pPr>
            <w:r>
              <w:rPr>
                <w:rFonts w:hint="eastAsia" w:ascii="仿宋" w:hAnsi="仿宋" w:eastAsia="仿宋" w:cs="宋体"/>
                <w:b/>
                <w:bCs/>
                <w:sz w:val="24"/>
                <w:szCs w:val="24"/>
              </w:rPr>
              <w:t>标项</w:t>
            </w:r>
          </w:p>
        </w:tc>
        <w:tc>
          <w:tcPr>
            <w:tcW w:w="1701" w:type="dxa"/>
            <w:tcBorders>
              <w:top w:val="single" w:color="auto" w:sz="4" w:space="0"/>
              <w:left w:val="single" w:color="auto" w:sz="4" w:space="0"/>
              <w:bottom w:val="single" w:color="auto" w:sz="4" w:space="0"/>
              <w:right w:val="single" w:color="auto" w:sz="4" w:space="0"/>
            </w:tcBorders>
            <w:noWrap/>
            <w:vAlign w:val="center"/>
          </w:tcPr>
          <w:p w14:paraId="6607024C">
            <w:pPr>
              <w:snapToGrid w:val="0"/>
              <w:spacing w:line="300" w:lineRule="auto"/>
              <w:jc w:val="center"/>
              <w:rPr>
                <w:rFonts w:ascii="仿宋" w:hAnsi="仿宋" w:eastAsia="仿宋" w:cs="宋体"/>
                <w:bCs/>
                <w:sz w:val="24"/>
                <w:szCs w:val="24"/>
              </w:rPr>
            </w:pPr>
            <w:r>
              <w:rPr>
                <w:rFonts w:hint="eastAsia" w:ascii="仿宋" w:hAnsi="仿宋" w:eastAsia="仿宋" w:cs="宋体"/>
                <w:bCs/>
                <w:sz w:val="24"/>
                <w:szCs w:val="24"/>
              </w:rPr>
              <w:t>价格权值</w:t>
            </w:r>
          </w:p>
        </w:tc>
        <w:tc>
          <w:tcPr>
            <w:tcW w:w="7208" w:type="dxa"/>
            <w:tcBorders>
              <w:top w:val="single" w:color="auto" w:sz="4" w:space="0"/>
              <w:left w:val="single" w:color="auto" w:sz="4" w:space="0"/>
              <w:bottom w:val="single" w:color="auto" w:sz="4" w:space="0"/>
              <w:right w:val="single" w:color="auto" w:sz="4" w:space="0"/>
            </w:tcBorders>
            <w:noWrap/>
            <w:vAlign w:val="center"/>
          </w:tcPr>
          <w:p w14:paraId="430C1BF6">
            <w:pPr>
              <w:snapToGrid w:val="0"/>
              <w:spacing w:line="300" w:lineRule="auto"/>
              <w:jc w:val="center"/>
              <w:rPr>
                <w:rFonts w:ascii="仿宋" w:hAnsi="仿宋" w:eastAsia="仿宋" w:cs="宋体"/>
                <w:bCs/>
                <w:sz w:val="24"/>
                <w:szCs w:val="24"/>
              </w:rPr>
            </w:pPr>
            <w:r>
              <w:rPr>
                <w:rFonts w:hint="eastAsia" w:ascii="仿宋" w:hAnsi="仿宋" w:eastAsia="仿宋" w:cs="宋体"/>
                <w:bCs/>
                <w:sz w:val="24"/>
                <w:szCs w:val="24"/>
              </w:rPr>
              <w:t>计算方法</w:t>
            </w:r>
          </w:p>
        </w:tc>
      </w:tr>
      <w:tr w14:paraId="3772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6058CF4">
            <w:pPr>
              <w:widowControl/>
              <w:spacing w:line="300" w:lineRule="auto"/>
              <w:jc w:val="center"/>
              <w:rPr>
                <w:rFonts w:ascii="仿宋" w:hAnsi="仿宋" w:eastAsia="仿宋" w:cs="仿宋_GB2312"/>
                <w:b/>
                <w:sz w:val="24"/>
              </w:rPr>
            </w:pPr>
            <w:r>
              <w:rPr>
                <w:rFonts w:hint="eastAsia" w:ascii="仿宋" w:hAnsi="仿宋" w:eastAsia="仿宋" w:cs="仿宋_GB2312"/>
                <w:b/>
                <w:sz w:val="24"/>
              </w:rPr>
              <w:t>标项1</w:t>
            </w:r>
          </w:p>
        </w:tc>
        <w:tc>
          <w:tcPr>
            <w:tcW w:w="1701" w:type="dxa"/>
            <w:vMerge w:val="restart"/>
            <w:tcBorders>
              <w:top w:val="single" w:color="auto" w:sz="4" w:space="0"/>
              <w:left w:val="single" w:color="auto" w:sz="4" w:space="0"/>
              <w:right w:val="single" w:color="auto" w:sz="4" w:space="0"/>
            </w:tcBorders>
            <w:noWrap/>
            <w:vAlign w:val="center"/>
          </w:tcPr>
          <w:p w14:paraId="06941E89">
            <w:pPr>
              <w:widowControl/>
              <w:spacing w:line="30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sz w:val="24"/>
              </w:rPr>
              <w:t>1</w:t>
            </w:r>
          </w:p>
        </w:tc>
        <w:tc>
          <w:tcPr>
            <w:tcW w:w="7208" w:type="dxa"/>
            <w:tcBorders>
              <w:top w:val="single" w:color="auto" w:sz="4" w:space="0"/>
              <w:left w:val="single" w:color="auto" w:sz="4" w:space="0"/>
              <w:bottom w:val="single" w:color="auto" w:sz="4" w:space="0"/>
              <w:right w:val="single" w:color="auto" w:sz="4" w:space="0"/>
            </w:tcBorders>
            <w:noWrap/>
            <w:vAlign w:val="center"/>
          </w:tcPr>
          <w:p w14:paraId="550709DD">
            <w:pPr>
              <w:spacing w:line="300" w:lineRule="auto"/>
              <w:rPr>
                <w:rFonts w:ascii="仿宋" w:hAnsi="仿宋" w:eastAsia="仿宋" w:cs="仿宋_GB2312"/>
                <w:sz w:val="24"/>
              </w:rPr>
            </w:pPr>
            <w:r>
              <w:rPr>
                <w:rFonts w:hint="eastAsia" w:ascii="仿宋" w:hAnsi="仿宋" w:eastAsia="仿宋" w:cs="仿宋_GB2312"/>
                <w:sz w:val="24"/>
              </w:rPr>
              <w:t>疗休养费用（固定）：标项一：3000元/人为含税单价。疗休养费用不得有任何偏离，未按固定费用标准报价的报价无效，作无效投标处理。</w:t>
            </w:r>
          </w:p>
          <w:p w14:paraId="2E501918">
            <w:pPr>
              <w:widowControl/>
              <w:spacing w:line="300" w:lineRule="auto"/>
              <w:rPr>
                <w:rFonts w:ascii="仿宋" w:hAnsi="仿宋" w:eastAsia="仿宋" w:cs="仿宋_GB2312"/>
                <w:sz w:val="24"/>
              </w:rPr>
            </w:pPr>
            <w:r>
              <w:rPr>
                <w:rFonts w:hint="eastAsia" w:ascii="仿宋" w:hAnsi="仿宋" w:eastAsia="仿宋" w:cs="仿宋_GB2312"/>
                <w:sz w:val="24"/>
              </w:rPr>
              <w:t>投标供应商通过报价文件的符合性评审，其报价分均为10分。</w:t>
            </w:r>
          </w:p>
        </w:tc>
      </w:tr>
      <w:tr w14:paraId="2814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2B6DFCB">
            <w:pPr>
              <w:widowControl/>
              <w:spacing w:line="300" w:lineRule="auto"/>
              <w:jc w:val="center"/>
              <w:rPr>
                <w:rFonts w:ascii="仿宋" w:hAnsi="仿宋" w:eastAsia="仿宋" w:cs="仿宋_GB2312"/>
                <w:b/>
                <w:sz w:val="24"/>
              </w:rPr>
            </w:pPr>
            <w:r>
              <w:rPr>
                <w:rFonts w:hint="eastAsia" w:ascii="仿宋" w:hAnsi="仿宋" w:eastAsia="仿宋" w:cs="仿宋_GB2312"/>
                <w:b/>
                <w:sz w:val="24"/>
              </w:rPr>
              <w:t>标项2</w:t>
            </w:r>
          </w:p>
        </w:tc>
        <w:tc>
          <w:tcPr>
            <w:tcW w:w="1701" w:type="dxa"/>
            <w:vMerge w:val="continue"/>
            <w:tcBorders>
              <w:left w:val="single" w:color="auto" w:sz="4" w:space="0"/>
              <w:bottom w:val="single" w:color="auto" w:sz="4" w:space="0"/>
              <w:right w:val="single" w:color="auto" w:sz="4" w:space="0"/>
            </w:tcBorders>
            <w:noWrap/>
            <w:vAlign w:val="center"/>
          </w:tcPr>
          <w:p w14:paraId="55751F6E">
            <w:pPr>
              <w:widowControl/>
              <w:spacing w:line="300" w:lineRule="auto"/>
              <w:jc w:val="center"/>
              <w:rPr>
                <w:rFonts w:ascii="仿宋" w:hAnsi="仿宋" w:eastAsia="仿宋" w:cs="仿宋_GB2312"/>
                <w:sz w:val="24"/>
              </w:rPr>
            </w:pPr>
          </w:p>
        </w:tc>
        <w:tc>
          <w:tcPr>
            <w:tcW w:w="7208" w:type="dxa"/>
            <w:tcBorders>
              <w:top w:val="single" w:color="auto" w:sz="4" w:space="0"/>
              <w:left w:val="single" w:color="auto" w:sz="4" w:space="0"/>
              <w:bottom w:val="single" w:color="auto" w:sz="4" w:space="0"/>
              <w:right w:val="single" w:color="auto" w:sz="4" w:space="0"/>
            </w:tcBorders>
            <w:noWrap/>
            <w:vAlign w:val="center"/>
          </w:tcPr>
          <w:p w14:paraId="2F017623">
            <w:pPr>
              <w:spacing w:line="300" w:lineRule="auto"/>
              <w:rPr>
                <w:rFonts w:ascii="仿宋" w:hAnsi="仿宋" w:eastAsia="仿宋" w:cs="仿宋_GB2312"/>
                <w:sz w:val="24"/>
              </w:rPr>
            </w:pPr>
            <w:r>
              <w:rPr>
                <w:rFonts w:hint="eastAsia" w:ascii="仿宋" w:hAnsi="仿宋" w:eastAsia="仿宋" w:cs="仿宋_GB2312"/>
                <w:sz w:val="24"/>
              </w:rPr>
              <w:t>疗休养费用（固定）：标项二：3</w:t>
            </w:r>
            <w:r>
              <w:rPr>
                <w:rFonts w:ascii="仿宋" w:hAnsi="仿宋" w:eastAsia="仿宋" w:cs="仿宋_GB2312"/>
                <w:sz w:val="24"/>
              </w:rPr>
              <w:t>000</w:t>
            </w:r>
            <w:r>
              <w:rPr>
                <w:rFonts w:hint="eastAsia" w:ascii="仿宋" w:hAnsi="仿宋" w:eastAsia="仿宋" w:cs="仿宋_GB2312"/>
                <w:sz w:val="24"/>
              </w:rPr>
              <w:t>元/人为含税单价。疗休养费用不得有任何偏离，未按固定费用标准报价的报价无效，作无效投标处理。</w:t>
            </w:r>
          </w:p>
          <w:p w14:paraId="07102F25">
            <w:pPr>
              <w:widowControl/>
              <w:spacing w:line="300" w:lineRule="auto"/>
              <w:rPr>
                <w:rFonts w:ascii="仿宋" w:hAnsi="仿宋" w:eastAsia="仿宋" w:cs="仿宋_GB2312"/>
                <w:sz w:val="24"/>
              </w:rPr>
            </w:pPr>
            <w:r>
              <w:rPr>
                <w:rFonts w:hint="eastAsia" w:ascii="仿宋" w:hAnsi="仿宋" w:eastAsia="仿宋" w:cs="仿宋_GB2312"/>
                <w:sz w:val="24"/>
              </w:rPr>
              <w:t>投标供应商通过报价文件的符合性评审，其报价分均为10分。</w:t>
            </w:r>
          </w:p>
        </w:tc>
      </w:tr>
    </w:tbl>
    <w:p w14:paraId="410606E2">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注：本项目标项1、标项2均采用固定价格采购，其价格部分不作竞争，投标人应当按招标文件要求提供固定报价。</w:t>
      </w:r>
    </w:p>
    <w:p w14:paraId="34FE08D6">
      <w:pPr>
        <w:spacing w:line="300" w:lineRule="auto"/>
        <w:rPr>
          <w:rFonts w:ascii="仿宋" w:hAnsi="仿宋" w:eastAsia="仿宋"/>
          <w:b/>
          <w:color w:val="auto"/>
          <w:sz w:val="28"/>
          <w:szCs w:val="28"/>
        </w:rPr>
      </w:pPr>
      <w:r>
        <w:rPr>
          <w:rFonts w:hint="eastAsia" w:ascii="仿宋" w:hAnsi="仿宋" w:eastAsia="仿宋"/>
          <w:b/>
          <w:color w:val="auto"/>
          <w:sz w:val="28"/>
          <w:szCs w:val="28"/>
        </w:rPr>
        <w:t>三、评标程序</w:t>
      </w:r>
    </w:p>
    <w:p w14:paraId="2EE32BAF">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3.1</w:t>
      </w:r>
      <w:r>
        <w:rPr>
          <w:rFonts w:ascii="仿宋" w:hAnsi="仿宋" w:eastAsia="仿宋"/>
          <w:b/>
          <w:szCs w:val="24"/>
        </w:rPr>
        <w:t>符合性审查。</w:t>
      </w:r>
      <w:r>
        <w:rPr>
          <w:rFonts w:ascii="仿宋" w:hAnsi="仿宋" w:eastAsia="仿宋"/>
          <w:szCs w:val="24"/>
        </w:rPr>
        <w:t>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14:paraId="632407BD">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3.2比较与评价。</w:t>
      </w:r>
      <w:r>
        <w:rPr>
          <w:rFonts w:ascii="仿宋" w:hAnsi="仿宋" w:eastAsia="仿宋"/>
          <w:szCs w:val="24"/>
        </w:rPr>
        <w:t>评标委员会应当按照招标文件中规定的评标方法和标准，对符合性审查合格的投标文件进行商务和技术评估，综合比较与评价。</w:t>
      </w:r>
    </w:p>
    <w:p w14:paraId="749960D4">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3.3</w:t>
      </w:r>
      <w:r>
        <w:rPr>
          <w:rFonts w:ascii="仿宋" w:hAnsi="仿宋" w:eastAsia="仿宋"/>
          <w:b/>
          <w:szCs w:val="24"/>
        </w:rPr>
        <w:t>汇总商务技术得分。</w:t>
      </w:r>
      <w:r>
        <w:rPr>
          <w:rFonts w:hint="eastAsia" w:ascii="仿宋" w:hAnsi="仿宋" w:eastAsia="仿宋"/>
          <w:szCs w:val="24"/>
        </w:rPr>
        <w:t>评标委员会各成员应当独立对每个投标人的商务和技术文件进行评价，并汇总商务技术得分情况。</w:t>
      </w:r>
    </w:p>
    <w:p w14:paraId="0A0F7F44">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3.4</w:t>
      </w:r>
      <w:r>
        <w:rPr>
          <w:rFonts w:ascii="仿宋" w:hAnsi="仿宋" w:eastAsia="仿宋"/>
          <w:b/>
          <w:szCs w:val="24"/>
        </w:rPr>
        <w:t>报价评审</w:t>
      </w:r>
    </w:p>
    <w:p w14:paraId="4D8BADA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w:t>
      </w:r>
      <w:r>
        <w:rPr>
          <w:rFonts w:ascii="仿宋" w:hAnsi="仿宋" w:eastAsia="仿宋"/>
          <w:szCs w:val="24"/>
        </w:rPr>
        <w:t>投标文件报价出现前后不一致的，按照下列规定修正：</w:t>
      </w:r>
    </w:p>
    <w:p w14:paraId="6FE7C76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3.4.1.1</w:t>
      </w:r>
      <w:r>
        <w:rPr>
          <w:rFonts w:ascii="仿宋" w:hAnsi="仿宋" w:eastAsia="仿宋"/>
          <w:szCs w:val="24"/>
        </w:rPr>
        <w:t>投标文件中开标一览表(报价表)内容与投标文件中相应内容不一致的，以开标一览表(报价表)为准;</w:t>
      </w:r>
    </w:p>
    <w:p w14:paraId="68C6445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3.4.1.2</w:t>
      </w:r>
      <w:r>
        <w:rPr>
          <w:rFonts w:ascii="仿宋" w:hAnsi="仿宋" w:eastAsia="仿宋"/>
          <w:szCs w:val="24"/>
        </w:rPr>
        <w:t>大写金额和小写金额不一致的，以大写金额为准;</w:t>
      </w:r>
    </w:p>
    <w:p w14:paraId="6FB9BDC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3.4.1.3</w:t>
      </w:r>
      <w:r>
        <w:rPr>
          <w:rFonts w:ascii="仿宋" w:hAnsi="仿宋" w:eastAsia="仿宋"/>
          <w:szCs w:val="24"/>
        </w:rPr>
        <w:t>单价金额小数点或者百分比有明显错位的，以开标一览表的总价为准，并修改单价;</w:t>
      </w:r>
    </w:p>
    <w:p w14:paraId="447EEFB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3.4.1.4</w:t>
      </w:r>
      <w:r>
        <w:rPr>
          <w:rFonts w:ascii="仿宋" w:hAnsi="仿宋" w:eastAsia="仿宋"/>
          <w:szCs w:val="24"/>
        </w:rPr>
        <w:t>总价金额与按单价汇总金额不一致的，以单价金额计算结果为准。</w:t>
      </w:r>
    </w:p>
    <w:p w14:paraId="5EA5572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3.1.4.5</w:t>
      </w:r>
      <w:r>
        <w:rPr>
          <w:rFonts w:ascii="仿宋" w:hAnsi="仿宋" w:eastAsia="仿宋"/>
          <w:szCs w:val="24"/>
        </w:rPr>
        <w:t>同时出现两种以上不一致的，按照</w:t>
      </w:r>
      <w:r>
        <w:rPr>
          <w:rFonts w:hint="eastAsia" w:ascii="仿宋" w:hAnsi="仿宋" w:eastAsia="仿宋"/>
          <w:szCs w:val="24"/>
        </w:rPr>
        <w:t>3.4.1规定的顺序修正。修正后的报价按照财政部第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14:paraId="71EABE9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3.4.2投标文件出现不是唯一的、有选择性投标报价的，投标无效。</w:t>
      </w:r>
    </w:p>
    <w:p w14:paraId="730FAA2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3.4.3投标报价超过招标文件中规定的预算金额或者最高限价的，投标无效。</w:t>
      </w:r>
    </w:p>
    <w:p w14:paraId="68E46CE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14:paraId="37C105B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3.4.5对于未预留份额专门面向中小企业的政府采购货物或服务项目，以及预留份额政府采购货物或服务项目中的非预留部分标项，对小型和微型企业的投标报价给予2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r>
        <w:rPr>
          <w:rFonts w:hint="eastAsia" w:ascii="仿宋" w:hAnsi="仿宋" w:eastAsia="仿宋"/>
          <w:szCs w:val="24"/>
          <w:u w:val="single"/>
        </w:rPr>
        <w:t>（本项目不适用）</w:t>
      </w:r>
    </w:p>
    <w:p w14:paraId="454EF26C">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3.5排序与推荐。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ascii="仿宋" w:hAnsi="仿宋" w:eastAsia="仿宋"/>
          <w:szCs w:val="24"/>
        </w:rPr>
        <w:t>（本项目各标项推荐中标候选人数量：</w:t>
      </w:r>
      <w:r>
        <w:rPr>
          <w:rFonts w:hint="eastAsia" w:ascii="仿宋" w:hAnsi="仿宋" w:eastAsia="仿宋"/>
          <w:szCs w:val="24"/>
        </w:rPr>
        <w:t>1</w:t>
      </w:r>
      <w:r>
        <w:rPr>
          <w:rFonts w:ascii="仿宋" w:hAnsi="仿宋" w:eastAsia="仿宋"/>
          <w:szCs w:val="24"/>
        </w:rPr>
        <w:t>）</w:t>
      </w:r>
    </w:p>
    <w:p w14:paraId="0F90FF5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912647">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3.6</w:t>
      </w:r>
      <w:r>
        <w:rPr>
          <w:rFonts w:ascii="仿宋" w:hAnsi="仿宋" w:eastAsia="仿宋"/>
          <w:b/>
          <w:szCs w:val="24"/>
        </w:rPr>
        <w:t>编写评标报告。</w:t>
      </w:r>
      <w:r>
        <w:rPr>
          <w:rFonts w:ascii="仿宋" w:hAnsi="仿宋" w:eastAsia="仿宋"/>
          <w:szCs w:val="24"/>
        </w:rPr>
        <w:t>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14:paraId="0BBC057A">
      <w:pPr>
        <w:pStyle w:val="26"/>
        <w:snapToGrid w:val="0"/>
        <w:spacing w:line="276" w:lineRule="auto"/>
        <w:rPr>
          <w:rFonts w:ascii="仿宋" w:hAnsi="仿宋" w:eastAsia="仿宋"/>
          <w:b/>
          <w:sz w:val="28"/>
          <w:szCs w:val="28"/>
        </w:rPr>
      </w:pPr>
      <w:r>
        <w:rPr>
          <w:rFonts w:hint="eastAsia" w:ascii="仿宋" w:hAnsi="仿宋" w:eastAsia="仿宋"/>
          <w:b/>
          <w:sz w:val="28"/>
          <w:szCs w:val="28"/>
        </w:rPr>
        <w:t>四.评标中的其他事项</w:t>
      </w:r>
    </w:p>
    <w:p w14:paraId="0205B04A">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4.1投标人澄清、说明或者补正。</w:t>
      </w:r>
      <w:r>
        <w:rPr>
          <w:rFonts w:hint="eastAsia" w:ascii="仿宋" w:hAnsi="仿宋" w:eastAsia="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912447">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4.2</w:t>
      </w:r>
      <w:r>
        <w:rPr>
          <w:rFonts w:ascii="仿宋" w:hAnsi="仿宋" w:eastAsia="仿宋"/>
          <w:b/>
          <w:szCs w:val="24"/>
        </w:rPr>
        <w:t>投标无效。</w:t>
      </w:r>
      <w:r>
        <w:rPr>
          <w:rFonts w:hint="eastAsia" w:ascii="仿宋" w:hAnsi="仿宋" w:eastAsia="仿宋"/>
          <w:szCs w:val="24"/>
        </w:rPr>
        <w:t>有下列情形之一的，投标无效：</w:t>
      </w:r>
    </w:p>
    <w:p w14:paraId="2431C45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w:t>
      </w:r>
      <w:r>
        <w:rPr>
          <w:rFonts w:ascii="仿宋" w:hAnsi="仿宋" w:eastAsia="仿宋"/>
          <w:szCs w:val="24"/>
        </w:rPr>
        <w:t>投标人不具备招标文件中规定的资格要求的（投标人未提供有效的资格文件的，视为投标人不具备招标文件中规定的资格要求）；</w:t>
      </w:r>
    </w:p>
    <w:p w14:paraId="2855CA9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4.2.2</w:t>
      </w:r>
      <w:r>
        <w:rPr>
          <w:rFonts w:ascii="仿宋" w:hAnsi="仿宋" w:eastAsia="仿宋"/>
          <w:szCs w:val="24"/>
        </w:rPr>
        <w:t>投标文件未按照招标文件要求签署、盖章的；</w:t>
      </w:r>
    </w:p>
    <w:p w14:paraId="463DEFD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4.2.3采购人拟采购的产品属于政府强制采购的节能产品品目清单范围的，投标人相应的投标产品未获得国家确定的认证机构出具的、处于有效期之内的节能产品认证证书的；</w:t>
      </w:r>
    </w:p>
    <w:p w14:paraId="59C598A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4.2.4</w:t>
      </w:r>
      <w:r>
        <w:rPr>
          <w:rFonts w:ascii="仿宋" w:hAnsi="仿宋" w:eastAsia="仿宋"/>
          <w:szCs w:val="24"/>
        </w:rPr>
        <w:t>投标文件含有采购人不能接受的附加条件的；</w:t>
      </w:r>
    </w:p>
    <w:p w14:paraId="264B5A7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4.2.5</w:t>
      </w:r>
      <w:r>
        <w:rPr>
          <w:rFonts w:ascii="仿宋" w:hAnsi="仿宋" w:eastAsia="仿宋"/>
          <w:szCs w:val="24"/>
        </w:rPr>
        <w:t>投标文件中承诺的投标有效期少于招标文件中载明的投标有效期的；</w:t>
      </w:r>
    </w:p>
    <w:p w14:paraId="397DECA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4.2.6</w:t>
      </w:r>
      <w:r>
        <w:rPr>
          <w:rFonts w:ascii="仿宋" w:hAnsi="仿宋" w:eastAsia="仿宋"/>
          <w:szCs w:val="24"/>
        </w:rPr>
        <w:t>投标文件出现不是唯一的、有选择性投标报价的；</w:t>
      </w:r>
    </w:p>
    <w:p w14:paraId="1A40DE7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4.2.7</w:t>
      </w:r>
      <w:r>
        <w:rPr>
          <w:rFonts w:ascii="仿宋" w:hAnsi="仿宋" w:eastAsia="仿宋"/>
          <w:szCs w:val="24"/>
        </w:rPr>
        <w:t>投标报价超过招标文件中规定的预算金额或者最高限价的；</w:t>
      </w:r>
    </w:p>
    <w:p w14:paraId="58F44D5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14:paraId="1F4A346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4.2.9</w:t>
      </w:r>
      <w:r>
        <w:rPr>
          <w:rFonts w:ascii="仿宋" w:hAnsi="仿宋" w:eastAsia="仿宋"/>
          <w:szCs w:val="24"/>
        </w:rPr>
        <w:t>投标人对根据修正原则修正后的报价不确认的；</w:t>
      </w:r>
    </w:p>
    <w:p w14:paraId="77661DF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4.2.10投标人提供虚假材料投标的；</w:t>
      </w:r>
    </w:p>
    <w:p w14:paraId="7B86CB9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4.2.11</w:t>
      </w:r>
      <w:r>
        <w:rPr>
          <w:rFonts w:ascii="仿宋" w:hAnsi="仿宋" w:eastAsia="仿宋"/>
          <w:szCs w:val="24"/>
        </w:rPr>
        <w:t>投标人有恶意串通、妨碍其他投标人的竞争行为、损害采购人或者其他投标人的合法权益情形的；</w:t>
      </w:r>
    </w:p>
    <w:p w14:paraId="7C86CF2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15D78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4.2.13</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14:paraId="36E861D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4.2.14</w:t>
      </w:r>
      <w:r>
        <w:rPr>
          <w:rFonts w:hint="eastAsia" w:ascii="仿宋" w:hAnsi="仿宋" w:eastAsia="仿宋" w:cs="宋体"/>
          <w:bCs/>
          <w:kern w:val="0"/>
          <w:szCs w:val="24"/>
        </w:rPr>
        <w:t>投标文件不满足招标文件的其它实质性要求的；</w:t>
      </w:r>
    </w:p>
    <w:p w14:paraId="36351F8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4.2.15</w:t>
      </w:r>
      <w:r>
        <w:rPr>
          <w:rFonts w:ascii="仿宋" w:hAnsi="仿宋" w:eastAsia="仿宋"/>
          <w:szCs w:val="24"/>
        </w:rPr>
        <w:t>法律、法规、规章（适用本市的）及省级以上规范性文件（适用本市的）规定的其他无效情形。</w:t>
      </w:r>
    </w:p>
    <w:p w14:paraId="2E4742C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14:paraId="0BE5B98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5.1</w:t>
      </w:r>
      <w:r>
        <w:rPr>
          <w:rFonts w:ascii="仿宋" w:hAnsi="仿宋" w:eastAsia="仿宋"/>
          <w:szCs w:val="24"/>
        </w:rPr>
        <w:t>符合专业条件的供应商或者对招标文件作实质响应的供应商不足3家的；</w:t>
      </w:r>
    </w:p>
    <w:p w14:paraId="2FCE4C4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5.2</w:t>
      </w:r>
      <w:r>
        <w:rPr>
          <w:rFonts w:ascii="仿宋" w:hAnsi="仿宋" w:eastAsia="仿宋"/>
          <w:szCs w:val="24"/>
        </w:rPr>
        <w:t>出现影响采购公正的违法、违规行为的；</w:t>
      </w:r>
    </w:p>
    <w:p w14:paraId="4ECB0DB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5.3</w:t>
      </w:r>
      <w:r>
        <w:rPr>
          <w:rFonts w:ascii="仿宋" w:hAnsi="仿宋" w:eastAsia="仿宋"/>
          <w:szCs w:val="24"/>
        </w:rPr>
        <w:t>投标人的报价均超过了采购预算，采购人不能支付的；</w:t>
      </w:r>
    </w:p>
    <w:p w14:paraId="6064625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5.4</w:t>
      </w:r>
      <w:r>
        <w:rPr>
          <w:rFonts w:ascii="仿宋" w:hAnsi="仿宋" w:eastAsia="仿宋"/>
          <w:szCs w:val="24"/>
        </w:rPr>
        <w:t>因重大变故，采购任务取消的。</w:t>
      </w:r>
    </w:p>
    <w:p w14:paraId="402AE31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14:paraId="14C6303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7B204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7.重新开展采购。有政府采购法第七十一条、第七十二条规定的违法行为之一，影响或者可能影响中标结果的，依照下列规定处理：</w:t>
      </w:r>
    </w:p>
    <w:p w14:paraId="78F8C98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7.1未确定中标供应商的，终止本次政府采购活动，重新开展政府采购活动。</w:t>
      </w:r>
    </w:p>
    <w:p w14:paraId="0684DBF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7.2已确定中标供应商但尚未签订政府采购合同的，中标结果无效，从合格的中标候选人中另行确定中标供应商；没有合格的中标候选人的，重新开展政府采购活动。</w:t>
      </w:r>
    </w:p>
    <w:p w14:paraId="082D584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7.3政府采购合同已签订但尚未履行的，撤销合同，从合格的中标候选人中另行确定中标供应商；没有合格的中标候选人的，重新开展政府采购活动。</w:t>
      </w:r>
    </w:p>
    <w:p w14:paraId="4E4935A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7.4政府采购合同已经履行，给采购人、供应商造成损失的，由责任人承担赔偿责任。</w:t>
      </w:r>
    </w:p>
    <w:p w14:paraId="71159FB9">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7.5政府采购当事人有其他违反政府采购法或者政府采购法实施条例等法律法规规定的行为，经改正后仍然影响或者可能影响中标结果或者依法被认定为中标无效的，依照7.1-7.4规定处理。</w:t>
      </w:r>
    </w:p>
    <w:p w14:paraId="0F86596E">
      <w:pPr>
        <w:rPr>
          <w:rFonts w:ascii="宋体" w:hAnsi="宋体"/>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093E0CC2">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第五部分拟签订的合同文本</w:t>
      </w:r>
    </w:p>
    <w:p w14:paraId="6E611024">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14:paraId="1A1BAB42">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405B5225">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6FAA2C92">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14:paraId="0AAB9DD7">
      <w:pPr>
        <w:spacing w:before="120" w:line="288" w:lineRule="auto"/>
        <w:rPr>
          <w:rFonts w:ascii="仿宋" w:hAnsi="仿宋" w:eastAsia="仿宋" w:cs="仿宋"/>
          <w:color w:val="auto"/>
          <w:sz w:val="24"/>
        </w:rPr>
      </w:pPr>
    </w:p>
    <w:p w14:paraId="0057B436">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14:paraId="4A692EF1">
      <w:pPr>
        <w:spacing w:line="288" w:lineRule="auto"/>
        <w:rPr>
          <w:rFonts w:ascii="仿宋" w:hAnsi="仿宋" w:eastAsia="仿宋" w:cs="仿宋"/>
          <w:color w:val="auto"/>
          <w:sz w:val="24"/>
        </w:rPr>
      </w:pPr>
    </w:p>
    <w:p w14:paraId="419905B6">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14:paraId="5EBFAD8E">
      <w:pPr>
        <w:spacing w:before="120" w:line="288" w:lineRule="auto"/>
        <w:rPr>
          <w:rFonts w:ascii="仿宋" w:hAnsi="仿宋" w:eastAsia="仿宋" w:cs="仿宋"/>
          <w:color w:val="auto"/>
          <w:sz w:val="24"/>
        </w:rPr>
      </w:pPr>
    </w:p>
    <w:p w14:paraId="3A5D622F">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14:paraId="4EAA963C">
      <w:pPr>
        <w:spacing w:before="120" w:line="288" w:lineRule="auto"/>
        <w:rPr>
          <w:rFonts w:ascii="仿宋" w:hAnsi="仿宋" w:eastAsia="仿宋" w:cs="仿宋"/>
          <w:color w:val="auto"/>
          <w:sz w:val="24"/>
        </w:rPr>
      </w:pPr>
    </w:p>
    <w:p w14:paraId="304B2009">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14:paraId="7822FD9A">
      <w:pPr>
        <w:spacing w:before="120" w:line="288" w:lineRule="auto"/>
        <w:rPr>
          <w:rFonts w:ascii="仿宋" w:hAnsi="仿宋" w:eastAsia="仿宋" w:cs="仿宋"/>
          <w:color w:val="auto"/>
          <w:sz w:val="24"/>
        </w:rPr>
      </w:pPr>
    </w:p>
    <w:p w14:paraId="31720C63">
      <w:pPr>
        <w:spacing w:beforeLines="50"/>
        <w:ind w:firstLine="960" w:firstLineChars="400"/>
        <w:rPr>
          <w:rFonts w:ascii="仿宋" w:hAnsi="仿宋" w:eastAsia="仿宋" w:cs="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14:paraId="3BA41FAA">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14:paraId="4AF95B33">
      <w:pPr>
        <w:spacing w:line="276" w:lineRule="auto"/>
        <w:ind w:firstLine="480" w:firstLineChars="200"/>
        <w:rPr>
          <w:rFonts w:ascii="仿宋" w:hAnsi="仿宋" w:eastAsia="仿宋" w:cs="仿宋"/>
          <w:color w:val="auto"/>
          <w:sz w:val="24"/>
        </w:rPr>
      </w:pPr>
      <w:bookmarkStart w:id="10" w:name="_Toc3029"/>
      <w:bookmarkStart w:id="11" w:name="_Toc2232"/>
      <w:bookmarkStart w:id="12" w:name="_Toc24059"/>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5905BC63">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 合同组成部分</w:t>
      </w:r>
      <w:bookmarkEnd w:id="10"/>
      <w:bookmarkEnd w:id="11"/>
      <w:bookmarkEnd w:id="12"/>
    </w:p>
    <w:p w14:paraId="73DE52EB">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1AFE67">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37B22BE0">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14:paraId="4DD8BF96">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212D4D72">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14:paraId="24AF561F">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14:paraId="2A47157B">
      <w:pPr>
        <w:spacing w:line="276" w:lineRule="auto"/>
        <w:ind w:firstLine="482" w:firstLineChars="200"/>
        <w:outlineLvl w:val="0"/>
        <w:rPr>
          <w:rFonts w:ascii="仿宋" w:hAnsi="仿宋" w:eastAsia="仿宋" w:cs="仿宋"/>
          <w:b/>
          <w:color w:val="auto"/>
          <w:sz w:val="24"/>
        </w:rPr>
      </w:pPr>
      <w:bookmarkStart w:id="13" w:name="_Toc21295"/>
      <w:bookmarkStart w:id="14" w:name="_Toc24300"/>
      <w:bookmarkStart w:id="15" w:name="_Toc27126"/>
      <w:r>
        <w:rPr>
          <w:rFonts w:hint="eastAsia" w:ascii="仿宋" w:hAnsi="仿宋" w:eastAsia="仿宋" w:cs="仿宋"/>
          <w:b/>
          <w:color w:val="auto"/>
          <w:sz w:val="24"/>
        </w:rPr>
        <w:t xml:space="preserve">1.2 </w:t>
      </w:r>
      <w:bookmarkEnd w:id="13"/>
      <w:bookmarkEnd w:id="14"/>
      <w:bookmarkEnd w:id="15"/>
      <w:r>
        <w:rPr>
          <w:rFonts w:hint="eastAsia" w:ascii="仿宋" w:hAnsi="仿宋" w:eastAsia="仿宋" w:cs="仿宋"/>
          <w:b/>
          <w:color w:val="auto"/>
          <w:sz w:val="24"/>
        </w:rPr>
        <w:t>标的</w:t>
      </w:r>
    </w:p>
    <w:p w14:paraId="2C86D396">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1.2.1 服务内容：</w:t>
      </w:r>
      <w:r>
        <w:rPr>
          <w:rFonts w:ascii="宋体" w:hAnsi="宋体"/>
          <w:color w:val="auto"/>
          <w:u w:val="single"/>
        </w:rPr>
        <w:t xml:space="preserve">　　             　      </w:t>
      </w:r>
      <w:r>
        <w:rPr>
          <w:rFonts w:hint="eastAsia" w:ascii="仿宋" w:hAnsi="仿宋" w:eastAsia="仿宋" w:cs="仿宋"/>
          <w:color w:val="auto"/>
          <w:sz w:val="24"/>
        </w:rPr>
        <w:t>；</w:t>
      </w:r>
    </w:p>
    <w:p w14:paraId="0DC504DE">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1.2.2 服务标准：</w:t>
      </w:r>
      <w:r>
        <w:rPr>
          <w:rFonts w:ascii="宋体" w:hAnsi="宋体"/>
          <w:color w:val="auto"/>
          <w:u w:val="single"/>
        </w:rPr>
        <w:t xml:space="preserve">　　             　      </w:t>
      </w:r>
      <w:r>
        <w:rPr>
          <w:rFonts w:hint="eastAsia" w:ascii="仿宋" w:hAnsi="仿宋" w:eastAsia="仿宋" w:cs="仿宋"/>
          <w:color w:val="auto"/>
          <w:sz w:val="24"/>
        </w:rPr>
        <w:t>；</w:t>
      </w:r>
    </w:p>
    <w:p w14:paraId="26483B64">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1.2.3 技术保障</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14:paraId="39840C4E">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1.2.4 服务人员组成：</w:t>
      </w:r>
      <w:r>
        <w:rPr>
          <w:rFonts w:ascii="宋体" w:hAnsi="宋体"/>
          <w:color w:val="auto"/>
          <w:u w:val="single"/>
        </w:rPr>
        <w:t xml:space="preserve">　　             　      </w:t>
      </w:r>
      <w:r>
        <w:rPr>
          <w:rFonts w:hint="eastAsia" w:ascii="仿宋" w:hAnsi="仿宋" w:eastAsia="仿宋" w:cs="仿宋"/>
          <w:color w:val="auto"/>
          <w:sz w:val="24"/>
        </w:rPr>
        <w:t>；</w:t>
      </w:r>
    </w:p>
    <w:p w14:paraId="72C3B28C">
      <w:pPr>
        <w:pStyle w:val="266"/>
        <w:spacing w:before="0" w:beforeAutospacing="0" w:after="0" w:afterAutospacing="0" w:line="276" w:lineRule="auto"/>
        <w:ind w:firstLine="482"/>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0FABFF45">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1.2.5.1 货物名称、品牌、规格型号、花色：；</w:t>
      </w:r>
    </w:p>
    <w:p w14:paraId="7F36C0EE">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1.2.5.2 货物数量：；</w:t>
      </w:r>
    </w:p>
    <w:p w14:paraId="50C3EA7C">
      <w:pPr>
        <w:spacing w:line="276" w:lineRule="auto"/>
        <w:ind w:firstLine="482"/>
        <w:rPr>
          <w:rFonts w:ascii="仿宋" w:hAnsi="仿宋" w:eastAsia="仿宋" w:cs="仿宋"/>
          <w:color w:val="auto"/>
          <w:sz w:val="24"/>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7E6ACA8E">
      <w:pPr>
        <w:spacing w:line="276" w:lineRule="auto"/>
        <w:ind w:firstLine="482" w:firstLineChars="200"/>
        <w:outlineLvl w:val="0"/>
        <w:rPr>
          <w:rFonts w:ascii="仿宋" w:hAnsi="仿宋" w:eastAsia="仿宋" w:cs="仿宋"/>
          <w:b/>
          <w:color w:val="auto"/>
          <w:sz w:val="24"/>
        </w:rPr>
      </w:pPr>
      <w:bookmarkStart w:id="16" w:name="_Toc23292"/>
      <w:bookmarkStart w:id="17" w:name="_Toc21551"/>
      <w:bookmarkStart w:id="18" w:name="_Toc21631"/>
      <w:r>
        <w:rPr>
          <w:rFonts w:hint="eastAsia" w:ascii="仿宋" w:hAnsi="仿宋" w:eastAsia="仿宋" w:cs="仿宋"/>
          <w:b/>
          <w:color w:val="auto"/>
          <w:sz w:val="24"/>
        </w:rPr>
        <w:t>1.3 价款</w:t>
      </w:r>
      <w:bookmarkEnd w:id="16"/>
      <w:bookmarkEnd w:id="17"/>
      <w:bookmarkEnd w:id="18"/>
    </w:p>
    <w:p w14:paraId="62994C69">
      <w:pPr>
        <w:spacing w:line="276" w:lineRule="auto"/>
        <w:ind w:firstLine="480" w:firstLineChars="200"/>
        <w:rPr>
          <w:rFonts w:ascii="仿宋" w:hAnsi="仿宋" w:eastAsia="仿宋"/>
          <w:color w:val="auto"/>
          <w:sz w:val="24"/>
        </w:rPr>
      </w:pPr>
      <w:bookmarkStart w:id="19" w:name="_Toc10340"/>
      <w:bookmarkStart w:id="20" w:name="_Toc1814"/>
      <w:bookmarkStart w:id="21" w:name="_Toc22618"/>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14:paraId="3D8C47F4">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337AF548">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CF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062BAB">
            <w:pPr>
              <w:pStyle w:val="159"/>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5F556C15">
            <w:pPr>
              <w:pStyle w:val="159"/>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0EA66FAA">
            <w:pPr>
              <w:pStyle w:val="159"/>
              <w:spacing w:line="276" w:lineRule="auto"/>
              <w:ind w:firstLine="240"/>
              <w:jc w:val="center"/>
              <w:rPr>
                <w:rFonts w:ascii="仿宋" w:hAnsi="仿宋" w:eastAsia="仿宋"/>
                <w:sz w:val="24"/>
                <w:szCs w:val="24"/>
              </w:rPr>
            </w:pPr>
            <w:r>
              <w:rPr>
                <w:rFonts w:ascii="仿宋" w:hAnsi="仿宋" w:eastAsia="仿宋"/>
                <w:sz w:val="24"/>
                <w:szCs w:val="24"/>
              </w:rPr>
              <w:t>分项价格</w:t>
            </w:r>
          </w:p>
        </w:tc>
      </w:tr>
      <w:tr w14:paraId="6C68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44202C">
            <w:pPr>
              <w:pStyle w:val="159"/>
              <w:spacing w:line="276" w:lineRule="auto"/>
              <w:ind w:firstLine="240"/>
              <w:jc w:val="center"/>
              <w:rPr>
                <w:rFonts w:ascii="仿宋" w:hAnsi="仿宋" w:eastAsia="仿宋"/>
                <w:sz w:val="24"/>
                <w:szCs w:val="24"/>
              </w:rPr>
            </w:pPr>
          </w:p>
        </w:tc>
        <w:tc>
          <w:tcPr>
            <w:tcW w:w="3402" w:type="dxa"/>
            <w:vAlign w:val="center"/>
          </w:tcPr>
          <w:p w14:paraId="3AE0DA5D">
            <w:pPr>
              <w:pStyle w:val="159"/>
              <w:spacing w:line="276" w:lineRule="auto"/>
              <w:ind w:firstLine="240"/>
              <w:jc w:val="center"/>
              <w:rPr>
                <w:rFonts w:ascii="仿宋" w:hAnsi="仿宋" w:eastAsia="仿宋"/>
                <w:sz w:val="24"/>
                <w:szCs w:val="24"/>
              </w:rPr>
            </w:pPr>
          </w:p>
        </w:tc>
        <w:tc>
          <w:tcPr>
            <w:tcW w:w="2552" w:type="dxa"/>
            <w:vAlign w:val="center"/>
          </w:tcPr>
          <w:p w14:paraId="523616C2">
            <w:pPr>
              <w:pStyle w:val="159"/>
              <w:spacing w:line="276" w:lineRule="auto"/>
              <w:ind w:firstLine="240"/>
              <w:jc w:val="center"/>
              <w:rPr>
                <w:rFonts w:ascii="仿宋" w:hAnsi="仿宋" w:eastAsia="仿宋"/>
                <w:sz w:val="24"/>
                <w:szCs w:val="24"/>
              </w:rPr>
            </w:pPr>
          </w:p>
        </w:tc>
      </w:tr>
      <w:tr w14:paraId="58A5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0F2B0A">
            <w:pPr>
              <w:pStyle w:val="159"/>
              <w:spacing w:line="276" w:lineRule="auto"/>
              <w:ind w:firstLine="240"/>
              <w:jc w:val="center"/>
              <w:rPr>
                <w:rFonts w:ascii="仿宋" w:hAnsi="仿宋" w:eastAsia="仿宋"/>
                <w:sz w:val="24"/>
                <w:szCs w:val="24"/>
              </w:rPr>
            </w:pPr>
          </w:p>
        </w:tc>
        <w:tc>
          <w:tcPr>
            <w:tcW w:w="3402" w:type="dxa"/>
            <w:vAlign w:val="center"/>
          </w:tcPr>
          <w:p w14:paraId="0ED67FD0">
            <w:pPr>
              <w:pStyle w:val="159"/>
              <w:spacing w:line="276" w:lineRule="auto"/>
              <w:ind w:firstLine="240"/>
              <w:jc w:val="center"/>
              <w:rPr>
                <w:rFonts w:ascii="仿宋" w:hAnsi="仿宋" w:eastAsia="仿宋"/>
                <w:sz w:val="24"/>
                <w:szCs w:val="24"/>
              </w:rPr>
            </w:pPr>
          </w:p>
        </w:tc>
        <w:tc>
          <w:tcPr>
            <w:tcW w:w="2552" w:type="dxa"/>
            <w:vAlign w:val="center"/>
          </w:tcPr>
          <w:p w14:paraId="012258F4">
            <w:pPr>
              <w:pStyle w:val="159"/>
              <w:spacing w:line="276" w:lineRule="auto"/>
              <w:ind w:firstLine="240"/>
              <w:jc w:val="center"/>
              <w:rPr>
                <w:rFonts w:ascii="仿宋" w:hAnsi="仿宋" w:eastAsia="仿宋"/>
                <w:sz w:val="24"/>
                <w:szCs w:val="24"/>
              </w:rPr>
            </w:pPr>
          </w:p>
        </w:tc>
      </w:tr>
      <w:tr w14:paraId="57A0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CC7782">
            <w:pPr>
              <w:pStyle w:val="159"/>
              <w:spacing w:line="276" w:lineRule="auto"/>
              <w:ind w:firstLine="240"/>
              <w:jc w:val="center"/>
              <w:rPr>
                <w:rFonts w:ascii="仿宋" w:hAnsi="仿宋" w:eastAsia="仿宋"/>
                <w:sz w:val="24"/>
                <w:szCs w:val="24"/>
              </w:rPr>
            </w:pPr>
          </w:p>
        </w:tc>
        <w:tc>
          <w:tcPr>
            <w:tcW w:w="3402" w:type="dxa"/>
            <w:vAlign w:val="center"/>
          </w:tcPr>
          <w:p w14:paraId="4A8D5300">
            <w:pPr>
              <w:pStyle w:val="159"/>
              <w:spacing w:line="276" w:lineRule="auto"/>
              <w:ind w:firstLine="240"/>
              <w:jc w:val="center"/>
              <w:rPr>
                <w:rFonts w:ascii="仿宋" w:hAnsi="仿宋" w:eastAsia="仿宋"/>
                <w:sz w:val="24"/>
                <w:szCs w:val="24"/>
              </w:rPr>
            </w:pPr>
          </w:p>
        </w:tc>
        <w:tc>
          <w:tcPr>
            <w:tcW w:w="2552" w:type="dxa"/>
            <w:vAlign w:val="center"/>
          </w:tcPr>
          <w:p w14:paraId="43E5C2E0">
            <w:pPr>
              <w:pStyle w:val="159"/>
              <w:spacing w:line="276" w:lineRule="auto"/>
              <w:ind w:firstLine="240"/>
              <w:jc w:val="center"/>
              <w:rPr>
                <w:rFonts w:ascii="仿宋" w:hAnsi="仿宋" w:eastAsia="仿宋"/>
                <w:sz w:val="24"/>
                <w:szCs w:val="24"/>
              </w:rPr>
            </w:pPr>
          </w:p>
        </w:tc>
      </w:tr>
      <w:tr w14:paraId="212A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2D2B17">
            <w:pPr>
              <w:pStyle w:val="159"/>
              <w:spacing w:line="276" w:lineRule="auto"/>
              <w:ind w:firstLine="240"/>
              <w:jc w:val="center"/>
              <w:rPr>
                <w:rFonts w:ascii="仿宋" w:hAnsi="仿宋" w:eastAsia="仿宋"/>
                <w:sz w:val="24"/>
                <w:szCs w:val="24"/>
              </w:rPr>
            </w:pPr>
          </w:p>
        </w:tc>
        <w:tc>
          <w:tcPr>
            <w:tcW w:w="3402" w:type="dxa"/>
            <w:vAlign w:val="center"/>
          </w:tcPr>
          <w:p w14:paraId="4BF87EDC">
            <w:pPr>
              <w:pStyle w:val="159"/>
              <w:spacing w:line="276" w:lineRule="auto"/>
              <w:ind w:firstLine="240"/>
              <w:jc w:val="center"/>
              <w:rPr>
                <w:rFonts w:ascii="仿宋" w:hAnsi="仿宋" w:eastAsia="仿宋"/>
                <w:sz w:val="24"/>
                <w:szCs w:val="24"/>
              </w:rPr>
            </w:pPr>
          </w:p>
        </w:tc>
        <w:tc>
          <w:tcPr>
            <w:tcW w:w="2552" w:type="dxa"/>
            <w:vAlign w:val="center"/>
          </w:tcPr>
          <w:p w14:paraId="7A36D8DE">
            <w:pPr>
              <w:pStyle w:val="159"/>
              <w:spacing w:line="276" w:lineRule="auto"/>
              <w:ind w:firstLine="240"/>
              <w:jc w:val="center"/>
              <w:rPr>
                <w:rFonts w:ascii="仿宋" w:hAnsi="仿宋" w:eastAsia="仿宋"/>
                <w:sz w:val="24"/>
                <w:szCs w:val="24"/>
              </w:rPr>
            </w:pPr>
          </w:p>
        </w:tc>
      </w:tr>
      <w:tr w14:paraId="5C1B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8C9AD5B">
            <w:pPr>
              <w:pStyle w:val="159"/>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77489659">
            <w:pPr>
              <w:pStyle w:val="159"/>
              <w:spacing w:line="276" w:lineRule="auto"/>
              <w:ind w:firstLine="240"/>
              <w:jc w:val="center"/>
              <w:rPr>
                <w:rFonts w:ascii="仿宋" w:hAnsi="仿宋" w:eastAsia="仿宋"/>
                <w:sz w:val="24"/>
                <w:szCs w:val="24"/>
              </w:rPr>
            </w:pPr>
          </w:p>
        </w:tc>
      </w:tr>
    </w:tbl>
    <w:p w14:paraId="0954198C">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5C1215EA">
      <w:pPr>
        <w:spacing w:line="276" w:lineRule="auto"/>
        <w:ind w:firstLine="480" w:firstLineChars="200"/>
        <w:outlineLvl w:val="0"/>
        <w:rPr>
          <w:rFonts w:ascii="宋体" w:hAnsi="宋体" w:cs="宋体"/>
          <w:color w:val="auto"/>
          <w:sz w:val="24"/>
          <w:szCs w:val="24"/>
        </w:rPr>
      </w:pPr>
      <w:r>
        <w:rPr>
          <w:rFonts w:hint="eastAsia" w:ascii="仿宋" w:hAnsi="仿宋" w:eastAsia="仿宋" w:cs="宋体"/>
          <w:color w:val="auto"/>
          <w:sz w:val="24"/>
          <w:szCs w:val="24"/>
        </w:rPr>
        <w:t>1.3.3其他计价方式。</w:t>
      </w:r>
    </w:p>
    <w:p w14:paraId="240D4A48">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9"/>
      <w:bookmarkEnd w:id="20"/>
      <w:bookmarkEnd w:id="21"/>
      <w:r>
        <w:rPr>
          <w:rFonts w:hint="eastAsia" w:ascii="仿宋" w:hAnsi="仿宋" w:eastAsia="仿宋" w:cs="仿宋"/>
          <w:b/>
          <w:color w:val="auto"/>
          <w:sz w:val="24"/>
        </w:rPr>
        <w:t>履约保证金</w:t>
      </w:r>
    </w:p>
    <w:p w14:paraId="703FC150">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（是/否）</w:t>
      </w:r>
      <w:r>
        <w:rPr>
          <w:rFonts w:hint="eastAsia" w:ascii="仿宋" w:hAnsi="仿宋" w:eastAsia="仿宋" w:cs="仿宋"/>
          <w:color w:val="auto"/>
          <w:sz w:val="24"/>
        </w:rPr>
        <w:t>需要支付履约保证金。若需要支付履约保证金的，则：</w:t>
      </w:r>
    </w:p>
    <w:p w14:paraId="3EA87707">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000000" w:themeColor="text1"/>
          <w:sz w:val="24"/>
        </w:rPr>
        <w:t>%</w:t>
      </w:r>
      <w:r>
        <w:rPr>
          <w:rFonts w:hint="eastAsia" w:ascii="仿宋" w:hAnsi="仿宋" w:eastAsia="仿宋" w:cs="仿宋"/>
          <w:color w:val="auto"/>
          <w:sz w:val="24"/>
        </w:rPr>
        <w:t>；</w:t>
      </w:r>
    </w:p>
    <w:p w14:paraId="3CAF2EC6">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841CA05">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405A8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1.4.4</w:t>
      </w:r>
      <w:r>
        <w:rPr>
          <w:rFonts w:hint="eastAsia" w:ascii="仿宋" w:hAnsi="仿宋" w:eastAsia="仿宋" w:cs="仿宋"/>
          <w:color w:val="000000" w:themeColor="text1"/>
          <w:sz w:val="24"/>
        </w:rPr>
        <w:t>甲方在项目验收结束后及时退还履约保证金。甲方在项目通过验收之日起</w:t>
      </w:r>
      <w:r>
        <w:rPr>
          <w:rFonts w:hint="eastAsia" w:ascii="仿宋" w:hAnsi="仿宋" w:eastAsia="仿宋"/>
          <w:color w:val="auto"/>
          <w:sz w:val="24"/>
          <w:u w:val="single"/>
        </w:rPr>
        <w:t>___</w:t>
      </w:r>
      <w:r>
        <w:rPr>
          <w:rFonts w:hint="eastAsia" w:ascii="仿宋" w:hAnsi="仿宋" w:eastAsia="仿宋" w:cs="仿宋"/>
          <w:color w:val="000000" w:themeColor="text1"/>
          <w:sz w:val="24"/>
        </w:rPr>
        <w:t>个工作日内将履约保证金无息退还乙方，逾期退还的，乙方可要求甲方支付违约金，违约金按每迟延退还一日的应退还而未退还金额的</w:t>
      </w:r>
      <w:r>
        <w:rPr>
          <w:rFonts w:hint="eastAsia" w:ascii="仿宋" w:hAnsi="仿宋" w:eastAsia="仿宋" w:cs="宋体"/>
          <w:sz w:val="24"/>
          <w:szCs w:val="24"/>
          <w:u w:val="single"/>
        </w:rPr>
        <w:t>0.05（可根据情况修改）</w:t>
      </w:r>
      <w:r>
        <w:rPr>
          <w:rFonts w:hint="eastAsia" w:ascii="仿宋" w:hAnsi="仿宋" w:eastAsia="仿宋" w:cs="仿宋"/>
          <w:color w:val="000000" w:themeColor="text1"/>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000000" w:themeColor="text1"/>
          <w:sz w:val="24"/>
        </w:rPr>
        <w:t>%。</w:t>
      </w:r>
    </w:p>
    <w:p w14:paraId="0B9B6AF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Start w:id="22" w:name="_Toc21423"/>
      <w:bookmarkStart w:id="23" w:name="_Toc19554"/>
      <w:bookmarkStart w:id="24" w:name="_Toc27250"/>
      <w:r>
        <w:rPr>
          <w:rFonts w:hint="eastAsia" w:ascii="仿宋" w:hAnsi="仿宋" w:eastAsia="仿宋" w:cs="仿宋"/>
          <w:b/>
          <w:color w:val="auto"/>
          <w:sz w:val="24"/>
        </w:rPr>
        <w:t>预付款</w:t>
      </w:r>
    </w:p>
    <w:p w14:paraId="224F6CC3">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甲方（是/否）需要支付预付款。若需要支付预付款的，则：</w:t>
      </w:r>
    </w:p>
    <w:p w14:paraId="5A870EE8">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1.5.1预付款比例、支付方式、时间详见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023059B8">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1.5.2预付款的扣回方式详见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0DCCA45B">
      <w:pPr>
        <w:spacing w:line="276" w:lineRule="auto"/>
        <w:ind w:firstLine="480" w:firstLineChars="200"/>
        <w:rPr>
          <w:rFonts w:ascii="仿宋" w:hAnsi="仿宋" w:eastAsia="仿宋" w:cs="仿宋"/>
          <w:b/>
          <w:color w:val="auto"/>
          <w:sz w:val="24"/>
        </w:rPr>
      </w:pPr>
      <w:r>
        <w:rPr>
          <w:rFonts w:hint="eastAsia" w:ascii="仿宋" w:hAnsi="仿宋" w:eastAsia="仿宋" w:cs="仿宋"/>
          <w:color w:val="000000" w:themeColor="text1"/>
          <w:sz w:val="24"/>
          <w:szCs w:val="24"/>
        </w:rPr>
        <w:t>1.5.3预付款的担保措施详见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szCs w:val="24"/>
        </w:rPr>
        <w:t>。</w:t>
      </w:r>
    </w:p>
    <w:p w14:paraId="1C982E89">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w:t>
      </w:r>
      <w:bookmarkEnd w:id="22"/>
      <w:bookmarkEnd w:id="23"/>
      <w:bookmarkEnd w:id="24"/>
      <w:r>
        <w:rPr>
          <w:rFonts w:hint="eastAsia" w:ascii="仿宋" w:hAnsi="仿宋" w:eastAsia="仿宋" w:cs="仿宋"/>
          <w:b/>
          <w:color w:val="auto"/>
          <w:sz w:val="24"/>
        </w:rPr>
        <w:t>资金支付</w:t>
      </w:r>
    </w:p>
    <w:p w14:paraId="38E31C08">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EA9A70">
      <w:pPr>
        <w:spacing w:line="276"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000000" w:themeColor="text1"/>
          <w:sz w:val="24"/>
        </w:rPr>
        <w:t>1.6.2资金支付的方式、时间和条件详见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18CCC717">
      <w:pPr>
        <w:spacing w:line="276" w:lineRule="auto"/>
        <w:ind w:firstLine="482" w:firstLineChars="200"/>
        <w:outlineLvl w:val="0"/>
        <w:rPr>
          <w:rFonts w:ascii="仿宋" w:hAnsi="仿宋" w:eastAsia="仿宋" w:cs="仿宋"/>
          <w:b/>
          <w:color w:val="auto"/>
          <w:sz w:val="24"/>
        </w:rPr>
      </w:pPr>
      <w:bookmarkStart w:id="25" w:name="_Toc15583"/>
      <w:bookmarkStart w:id="26" w:name="_Toc16021"/>
      <w:bookmarkStart w:id="27" w:name="_Toc28375"/>
      <w:r>
        <w:rPr>
          <w:rFonts w:hint="eastAsia" w:ascii="仿宋" w:hAnsi="仿宋" w:eastAsia="仿宋" w:cs="仿宋"/>
          <w:b/>
          <w:color w:val="auto"/>
          <w:sz w:val="24"/>
        </w:rPr>
        <w:t>1.7</w:t>
      </w:r>
      <w:bookmarkEnd w:id="25"/>
      <w:bookmarkEnd w:id="26"/>
      <w:bookmarkEnd w:id="27"/>
      <w:r>
        <w:rPr>
          <w:rFonts w:hint="eastAsia" w:ascii="仿宋" w:hAnsi="仿宋" w:eastAsia="仿宋" w:cs="仿宋"/>
          <w:b/>
          <w:color w:val="auto"/>
          <w:sz w:val="24"/>
        </w:rPr>
        <w:t>履行期限、地点和方式</w:t>
      </w:r>
    </w:p>
    <w:p w14:paraId="11E51A58">
      <w:pPr>
        <w:spacing w:line="276"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rPr>
        <w:t>1.7.1 服务交付（实施）的时间（期限）：</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14486E19">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1.7.2 服务交付（实施）的地点（地域范围）：</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04015828">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1.7.3 服务交付（实施）的方式：</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7E7F83A">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1.7.4若服务涉及货物的，则货物的：</w:t>
      </w:r>
    </w:p>
    <w:p w14:paraId="7EF8C1B0">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1.7.4.1 交付期限：详见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3FB1481E">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1.7.4.2 交付地点：</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09FFAEFA">
      <w:pPr>
        <w:pStyle w:val="266"/>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color w:val="000000" w:themeColor="text1"/>
        </w:rPr>
        <w:t>1.7.4.3 交付方式：</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7F42FB71">
      <w:pPr>
        <w:spacing w:line="276" w:lineRule="auto"/>
        <w:ind w:firstLine="482" w:firstLineChars="200"/>
        <w:outlineLvl w:val="0"/>
        <w:rPr>
          <w:rFonts w:ascii="仿宋" w:hAnsi="仿宋" w:eastAsia="仿宋" w:cs="仿宋"/>
          <w:b/>
          <w:color w:val="auto"/>
          <w:sz w:val="24"/>
        </w:rPr>
      </w:pPr>
      <w:bookmarkStart w:id="28" w:name="_Toc7245"/>
      <w:bookmarkStart w:id="29" w:name="_Toc15322"/>
      <w:bookmarkStart w:id="30" w:name="_Toc11173"/>
      <w:r>
        <w:rPr>
          <w:rFonts w:hint="eastAsia" w:ascii="仿宋" w:hAnsi="仿宋" w:eastAsia="仿宋" w:cs="仿宋"/>
          <w:b/>
          <w:color w:val="auto"/>
          <w:sz w:val="24"/>
        </w:rPr>
        <w:t xml:space="preserve">1.8 </w:t>
      </w:r>
      <w:bookmarkEnd w:id="28"/>
      <w:bookmarkEnd w:id="29"/>
      <w:bookmarkEnd w:id="30"/>
      <w:r>
        <w:rPr>
          <w:rFonts w:hint="eastAsia" w:ascii="仿宋" w:hAnsi="仿宋" w:eastAsia="仿宋" w:cs="仿宋"/>
          <w:b/>
          <w:color w:val="auto"/>
          <w:sz w:val="24"/>
        </w:rPr>
        <w:t>违约责任</w:t>
      </w:r>
    </w:p>
    <w:p w14:paraId="0DCB2824">
      <w:pPr>
        <w:pStyle w:val="266"/>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.1 除不可抗力外，如果乙方没有按照本合同约定的期限</w:t>
      </w:r>
      <w:r>
        <w:rPr>
          <w:rFonts w:hint="eastAsia" w:ascii="仿宋" w:hAnsi="仿宋" w:eastAsia="仿宋" w:cs="仿宋"/>
          <w:color w:val="000000" w:themeColor="text1"/>
        </w:rPr>
        <w:t>、</w:t>
      </w:r>
      <w:r>
        <w:rPr>
          <w:rFonts w:ascii="仿宋" w:hAnsi="仿宋" w:eastAsia="仿宋" w:cs="仿宋"/>
          <w:color w:val="000000" w:themeColor="text1"/>
        </w:rPr>
        <w:t>地点和方式</w:t>
      </w:r>
      <w:r>
        <w:rPr>
          <w:rFonts w:hint="eastAsia" w:ascii="仿宋" w:hAnsi="仿宋" w:eastAsia="仿宋" w:cs="仿宋"/>
          <w:color w:val="000000" w:themeColor="text1"/>
        </w:rPr>
        <w:t>交付服务成果或者实施服务</w:t>
      </w:r>
      <w:r>
        <w:rPr>
          <w:rFonts w:ascii="仿宋" w:hAnsi="仿宋" w:eastAsia="仿宋" w:cs="仿宋"/>
          <w:color w:val="000000" w:themeColor="text1"/>
        </w:rPr>
        <w:t>，那么甲方可要求乙方支付违约金</w:t>
      </w:r>
      <w:r>
        <w:rPr>
          <w:rFonts w:hint="eastAsia" w:ascii="仿宋" w:hAnsi="仿宋" w:eastAsia="仿宋" w:cs="仿宋"/>
          <w:color w:val="000000" w:themeColor="text1"/>
        </w:rPr>
        <w:t>，迟延履行</w:t>
      </w:r>
      <w:r>
        <w:rPr>
          <w:rFonts w:ascii="仿宋" w:hAnsi="仿宋" w:eastAsia="仿宋" w:cs="仿宋"/>
          <w:color w:val="000000" w:themeColor="text1"/>
        </w:rPr>
        <w:t>违约金按每迟延</w:t>
      </w:r>
      <w:r>
        <w:rPr>
          <w:rFonts w:hint="eastAsia" w:ascii="仿宋" w:hAnsi="仿宋" w:eastAsia="仿宋" w:cs="仿宋"/>
          <w:color w:val="000000" w:themeColor="text1"/>
        </w:rPr>
        <w:t>履行</w:t>
      </w:r>
      <w:r>
        <w:rPr>
          <w:rFonts w:ascii="仿宋" w:hAnsi="仿宋" w:eastAsia="仿宋" w:cs="仿宋"/>
          <w:color w:val="000000" w:themeColor="text1"/>
        </w:rPr>
        <w:t>一日的应提供而未</w:t>
      </w:r>
      <w:r>
        <w:rPr>
          <w:rFonts w:hint="eastAsia" w:ascii="仿宋" w:hAnsi="仿宋" w:eastAsia="仿宋" w:cs="仿宋"/>
          <w:color w:val="000000" w:themeColor="text1"/>
        </w:rPr>
        <w:t>提供</w:t>
      </w:r>
      <w:r>
        <w:rPr>
          <w:rFonts w:ascii="仿宋" w:hAnsi="仿宋" w:eastAsia="仿宋" w:cs="仿宋"/>
          <w:color w:val="000000" w:themeColor="text1"/>
        </w:rPr>
        <w:t>服务价格的</w:t>
      </w:r>
      <w:r>
        <w:rPr>
          <w:rFonts w:hint="eastAsia" w:ascii="仿宋" w:hAnsi="仿宋" w:eastAsia="仿宋" w:cs="仿宋"/>
          <w:u w:val="single"/>
        </w:rPr>
        <w:t>0.05（可根据情况修改）</w:t>
      </w:r>
      <w:r>
        <w:rPr>
          <w:rFonts w:hint="eastAsia" w:ascii="仿宋" w:hAnsi="仿宋" w:eastAsia="仿宋" w:cs="仿宋"/>
          <w:color w:val="000000" w:themeColor="text1"/>
        </w:rPr>
        <w:t>%</w:t>
      </w:r>
      <w:r>
        <w:rPr>
          <w:rFonts w:ascii="仿宋" w:hAnsi="仿宋" w:eastAsia="仿宋" w:cs="仿宋"/>
          <w:color w:val="000000" w:themeColor="text1"/>
        </w:rPr>
        <w:t>计算</w:t>
      </w:r>
      <w:r>
        <w:rPr>
          <w:rFonts w:hint="eastAsia" w:ascii="仿宋" w:hAnsi="仿宋" w:eastAsia="仿宋" w:cs="仿宋"/>
          <w:color w:val="000000" w:themeColor="text1"/>
        </w:rPr>
        <w:t>，</w:t>
      </w:r>
      <w:r>
        <w:rPr>
          <w:rFonts w:ascii="仿宋" w:hAnsi="仿宋" w:eastAsia="仿宋" w:cs="仿宋"/>
          <w:color w:val="000000" w:themeColor="text1"/>
        </w:rPr>
        <w:t>最高限额为</w:t>
      </w:r>
      <w:r>
        <w:rPr>
          <w:rFonts w:hint="eastAsia" w:ascii="仿宋" w:hAnsi="仿宋" w:eastAsia="仿宋" w:cs="仿宋"/>
          <w:color w:val="000000" w:themeColor="text1"/>
        </w:rPr>
        <w:t>本</w:t>
      </w:r>
      <w:r>
        <w:rPr>
          <w:rFonts w:ascii="仿宋" w:hAnsi="仿宋" w:eastAsia="仿宋" w:cs="仿宋"/>
          <w:color w:val="000000" w:themeColor="text1"/>
        </w:rPr>
        <w:t>合同总价的</w:t>
      </w:r>
      <w:r>
        <w:rPr>
          <w:rFonts w:hint="eastAsia" w:ascii="仿宋" w:hAnsi="仿宋" w:eastAsia="仿宋"/>
          <w:u w:val="single"/>
        </w:rPr>
        <w:t>_20_</w:t>
      </w:r>
      <w:r>
        <w:rPr>
          <w:rFonts w:hint="eastAsia" w:ascii="仿宋" w:hAnsi="仿宋" w:eastAsia="仿宋" w:cs="仿宋"/>
          <w:color w:val="000000" w:themeColor="text1"/>
        </w:rPr>
        <w:t>%；</w:t>
      </w:r>
      <w:r>
        <w:rPr>
          <w:rFonts w:ascii="仿宋" w:hAnsi="仿宋" w:eastAsia="仿宋" w:cs="仿宋"/>
          <w:color w:val="000000" w:themeColor="text1"/>
        </w:rPr>
        <w:t>迟延</w:t>
      </w:r>
      <w:r>
        <w:rPr>
          <w:rFonts w:hint="eastAsia" w:ascii="仿宋" w:hAnsi="仿宋" w:eastAsia="仿宋" w:cs="仿宋"/>
          <w:color w:val="000000" w:themeColor="text1"/>
        </w:rPr>
        <w:t>履行</w:t>
      </w:r>
      <w:r>
        <w:rPr>
          <w:rFonts w:ascii="仿宋" w:hAnsi="仿宋" w:eastAsia="仿宋" w:cs="仿宋"/>
          <w:color w:val="000000" w:themeColor="text1"/>
        </w:rPr>
        <w:t>的违约金计算数额达到前述最高限额之日起</w:t>
      </w:r>
      <w:r>
        <w:rPr>
          <w:rFonts w:hint="eastAsia" w:ascii="仿宋" w:hAnsi="仿宋" w:eastAsia="仿宋" w:cs="仿宋"/>
          <w:color w:val="000000" w:themeColor="text1"/>
        </w:rPr>
        <w:t>，</w:t>
      </w:r>
      <w:r>
        <w:rPr>
          <w:rFonts w:ascii="仿宋" w:hAnsi="仿宋" w:eastAsia="仿宋" w:cs="仿宋"/>
          <w:color w:val="000000" w:themeColor="text1"/>
        </w:rPr>
        <w:t>甲方有权在要求乙方支付违约金的同时</w:t>
      </w:r>
      <w:r>
        <w:rPr>
          <w:rFonts w:hint="eastAsia" w:ascii="仿宋" w:hAnsi="仿宋" w:eastAsia="仿宋" w:cs="仿宋"/>
          <w:color w:val="000000" w:themeColor="text1"/>
        </w:rPr>
        <w:t>，书面通知乙方</w:t>
      </w:r>
      <w:r>
        <w:rPr>
          <w:rFonts w:ascii="仿宋" w:hAnsi="仿宋" w:eastAsia="仿宋" w:cs="仿宋"/>
          <w:color w:val="000000" w:themeColor="text1"/>
        </w:rPr>
        <w:t>解除本合同</w:t>
      </w:r>
      <w:r>
        <w:rPr>
          <w:rFonts w:hint="eastAsia" w:ascii="仿宋" w:hAnsi="仿宋" w:eastAsia="仿宋" w:cs="仿宋"/>
          <w:color w:val="000000" w:themeColor="text1"/>
        </w:rPr>
        <w:t>；</w:t>
      </w:r>
    </w:p>
    <w:p w14:paraId="528996EE">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%；迟延交付货物的违约金计算数额达到前述最高限额之日起，甲方有权在要求乙方支付违约金的同时，书面通知乙方解除本合同；</w:t>
      </w:r>
    </w:p>
    <w:p w14:paraId="2C952B4C">
      <w:pPr>
        <w:pStyle w:val="266"/>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w:t>
      </w:r>
      <w:r>
        <w:rPr>
          <w:rFonts w:hint="eastAsia" w:ascii="仿宋" w:hAnsi="仿宋" w:eastAsia="仿宋" w:cs="仿宋"/>
          <w:color w:val="000000" w:themeColor="text1"/>
        </w:rPr>
        <w:t>3除不可抗力外，如果甲方没有按照本合同约定的付款方式付款，那么乙方可要求甲方支付违约金，违约金按每迟延付款一日的应付而未付款的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%；迟延付款的违约金计算数额达到前述最高限额之日起，乙方有权在要求甲方支付违约金的同时，书面通知甲方解除本合同；</w:t>
      </w:r>
    </w:p>
    <w:p w14:paraId="4FDD7295">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378A78">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138DB9">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14:paraId="6D92470B">
      <w:pPr>
        <w:pStyle w:val="266"/>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1.8.7违约责任</w:t>
      </w:r>
      <w:r>
        <w:rPr>
          <w:rFonts w:hint="eastAsia" w:ascii="仿宋" w:hAnsi="仿宋" w:eastAsia="仿宋" w:cs="仿宋"/>
          <w:b/>
          <w:i/>
          <w:u w:val="single"/>
        </w:rPr>
        <w:t>合同专用条款</w:t>
      </w:r>
      <w:r>
        <w:rPr>
          <w:rFonts w:hint="eastAsia" w:ascii="仿宋" w:hAnsi="仿宋" w:eastAsia="仿宋" w:cs="仿宋"/>
          <w:color w:val="000000" w:themeColor="text1"/>
        </w:rPr>
        <w:t>另有约定的，从其约定。</w:t>
      </w:r>
    </w:p>
    <w:p w14:paraId="6EF93996">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1.9 合同争议的解决</w:t>
      </w:r>
    </w:p>
    <w:p w14:paraId="5921E89D">
      <w:pPr>
        <w:spacing w:line="276"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___</w:t>
      </w:r>
      <w:r>
        <w:rPr>
          <w:rFonts w:hint="eastAsia" w:ascii="仿宋" w:hAnsi="仿宋" w:eastAsia="仿宋" w:cs="仿宋"/>
          <w:color w:val="auto"/>
          <w:sz w:val="24"/>
        </w:rPr>
        <w:t>条款规定的方式解决：</w:t>
      </w:r>
    </w:p>
    <w:p w14:paraId="202FFA60">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5580A1C3">
      <w:pPr>
        <w:pStyle w:val="266"/>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rPr>
        <w:t>1.9.2 向</w:t>
      </w:r>
      <w:r>
        <w:rPr>
          <w:rFonts w:hint="eastAsia" w:ascii="仿宋" w:hAnsi="仿宋" w:eastAsia="仿宋" w:cs="仿宋"/>
          <w:b/>
          <w:i/>
          <w:u w:val="single"/>
        </w:rPr>
        <w:t>合同专用条款</w:t>
      </w:r>
      <w:r>
        <w:rPr>
          <w:rFonts w:hint="eastAsia" w:ascii="仿宋" w:hAnsi="仿宋" w:eastAsia="仿宋" w:cs="仿宋"/>
        </w:rPr>
        <w:t>人民法院起诉。</w:t>
      </w:r>
    </w:p>
    <w:p w14:paraId="2D8B9D4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1.10合同生效</w:t>
      </w:r>
    </w:p>
    <w:p w14:paraId="45E2B20F">
      <w:pPr>
        <w:pStyle w:val="266"/>
        <w:spacing w:before="0" w:beforeAutospacing="0" w:after="0" w:afterAutospacing="0" w:line="276" w:lineRule="auto"/>
        <w:ind w:firstLine="480" w:firstLineChars="200"/>
        <w:rPr>
          <w:rFonts w:ascii="仿宋" w:hAnsi="仿宋" w:eastAsia="仿宋" w:cs="仿宋"/>
          <w:b/>
        </w:rPr>
      </w:pPr>
      <w:r>
        <w:rPr>
          <w:rFonts w:hint="eastAsia" w:ascii="仿宋" w:hAnsi="仿宋" w:eastAsia="仿宋" w:cs="仿宋"/>
        </w:rPr>
        <w:t>本合同自双方当事人盖章签字时生效。</w:t>
      </w:r>
    </w:p>
    <w:p w14:paraId="6905923F">
      <w:pPr>
        <w:spacing w:line="288" w:lineRule="auto"/>
        <w:rPr>
          <w:rFonts w:ascii="仿宋" w:hAnsi="仿宋" w:eastAsia="仿宋" w:cs="仿宋"/>
          <w:color w:val="auto"/>
          <w:sz w:val="24"/>
          <w:lang w:val="zh-CN"/>
        </w:rPr>
      </w:pPr>
    </w:p>
    <w:p w14:paraId="35FDC6E2">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63ED3375">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EF95193">
      <w:pPr>
        <w:spacing w:line="288" w:lineRule="auto"/>
        <w:rPr>
          <w:rFonts w:ascii="仿宋" w:hAnsi="仿宋" w:eastAsia="仿宋" w:cs="仿宋"/>
          <w:color w:val="auto"/>
          <w:sz w:val="24"/>
          <w:lang w:val="zh-CN"/>
        </w:rPr>
      </w:pPr>
    </w:p>
    <w:p w14:paraId="653C5998">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5CE39A63">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69729D5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4B06AE96">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6345E661">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428B7F51">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7A2DC24D">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639A0945">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0FF02056">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7550917B">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7184597B">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14AD1138">
      <w:pPr>
        <w:rPr>
          <w:rFonts w:ascii="仿宋" w:hAnsi="仿宋" w:eastAsia="仿宋"/>
          <w:b/>
          <w:color w:val="auto"/>
        </w:rPr>
      </w:pPr>
      <w:r>
        <w:rPr>
          <w:rFonts w:hint="eastAsia" w:ascii="仿宋" w:hAnsi="仿宋" w:eastAsia="仿宋" w:cs="仿宋"/>
          <w:color w:val="auto"/>
          <w:sz w:val="24"/>
        </w:rPr>
        <w:t>开户账号：                               开户账号：</w:t>
      </w:r>
    </w:p>
    <w:p w14:paraId="42B6EA1C">
      <w:pPr>
        <w:spacing w:beforeLines="50"/>
        <w:rPr>
          <w:rFonts w:ascii="仿宋" w:hAnsi="仿宋" w:eastAsia="仿宋"/>
          <w:b/>
          <w:color w:val="auto"/>
        </w:rPr>
        <w:sectPr>
          <w:pgSz w:w="11906" w:h="16838"/>
          <w:pgMar w:top="1247" w:right="1247" w:bottom="1247" w:left="1247" w:header="567" w:footer="454" w:gutter="0"/>
          <w:pgNumType w:fmt="numberInDash"/>
          <w:cols w:space="720" w:num="1"/>
          <w:titlePg/>
          <w:docGrid w:type="lines" w:linePitch="312" w:charSpace="0"/>
        </w:sectPr>
      </w:pPr>
    </w:p>
    <w:p w14:paraId="5B0B8DC5">
      <w:pPr>
        <w:pStyle w:val="8"/>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14:paraId="1EF27999">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 定义</w:t>
      </w:r>
    </w:p>
    <w:p w14:paraId="1057EBC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本合同中的下列</w:t>
      </w:r>
      <w:r>
        <w:rPr>
          <w:rFonts w:hint="eastAsia" w:ascii="仿宋" w:hAnsi="仿宋" w:eastAsia="仿宋"/>
          <w:color w:val="auto"/>
          <w:sz w:val="24"/>
          <w:szCs w:val="24"/>
        </w:rPr>
        <w:t>词</w:t>
      </w:r>
      <w:r>
        <w:rPr>
          <w:rFonts w:ascii="仿宋" w:hAnsi="仿宋" w:eastAsia="仿宋"/>
          <w:color w:val="auto"/>
          <w:sz w:val="24"/>
          <w:szCs w:val="24"/>
        </w:rPr>
        <w:t>语应</w:t>
      </w:r>
      <w:r>
        <w:rPr>
          <w:rFonts w:hint="eastAsia" w:ascii="仿宋" w:hAnsi="仿宋" w:eastAsia="仿宋"/>
          <w:color w:val="auto"/>
          <w:sz w:val="24"/>
          <w:szCs w:val="24"/>
        </w:rPr>
        <w:t>按以下内容进行</w:t>
      </w:r>
      <w:r>
        <w:rPr>
          <w:rFonts w:ascii="仿宋" w:hAnsi="仿宋" w:eastAsia="仿宋"/>
          <w:color w:val="auto"/>
          <w:sz w:val="24"/>
          <w:szCs w:val="24"/>
        </w:rPr>
        <w:t>解释：</w:t>
      </w:r>
    </w:p>
    <w:p w14:paraId="250297F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 “合同”系指采购人和</w:t>
      </w:r>
      <w:r>
        <w:rPr>
          <w:rFonts w:hint="eastAsia" w:ascii="仿宋" w:hAnsi="仿宋" w:eastAsia="仿宋"/>
          <w:color w:val="auto"/>
          <w:sz w:val="24"/>
          <w:szCs w:val="24"/>
        </w:rPr>
        <w:t>中标或成交</w:t>
      </w:r>
      <w:r>
        <w:rPr>
          <w:rFonts w:ascii="仿宋" w:hAnsi="仿宋" w:eastAsia="仿宋"/>
          <w:color w:val="auto"/>
          <w:sz w:val="24"/>
          <w:szCs w:val="24"/>
        </w:rPr>
        <w:t>供应商签订的载明双方当事人所达成的协议，并包括所有的附件、附录和构成合同的其他文件。</w:t>
      </w:r>
    </w:p>
    <w:p w14:paraId="42D229D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2.1.2 “合同价”系指根据合同约定，</w:t>
      </w:r>
      <w:r>
        <w:rPr>
          <w:rFonts w:hint="eastAsia" w:ascii="仿宋" w:hAnsi="仿宋" w:eastAsia="仿宋"/>
          <w:color w:val="auto"/>
          <w:sz w:val="24"/>
          <w:szCs w:val="24"/>
        </w:rPr>
        <w:t>中标或成交</w:t>
      </w:r>
      <w:r>
        <w:rPr>
          <w:rFonts w:ascii="仿宋" w:hAnsi="仿宋" w:eastAsia="仿宋"/>
          <w:color w:val="auto"/>
          <w:sz w:val="24"/>
          <w:szCs w:val="24"/>
        </w:rPr>
        <w:t>供应商在完全履行合同义务后</w:t>
      </w:r>
      <w:r>
        <w:rPr>
          <w:rFonts w:hint="eastAsia" w:ascii="仿宋" w:hAnsi="仿宋" w:eastAsia="仿宋"/>
          <w:color w:val="auto"/>
          <w:sz w:val="24"/>
          <w:szCs w:val="24"/>
        </w:rPr>
        <w:t>，</w:t>
      </w:r>
      <w:r>
        <w:rPr>
          <w:rFonts w:ascii="仿宋" w:hAnsi="仿宋" w:eastAsia="仿宋"/>
          <w:color w:val="auto"/>
          <w:sz w:val="24"/>
          <w:szCs w:val="24"/>
        </w:rPr>
        <w:t>采购人应支付给</w:t>
      </w:r>
      <w:r>
        <w:rPr>
          <w:rFonts w:hint="eastAsia" w:ascii="仿宋" w:hAnsi="仿宋" w:eastAsia="仿宋"/>
          <w:color w:val="auto"/>
          <w:sz w:val="24"/>
          <w:szCs w:val="24"/>
        </w:rPr>
        <w:t>中标或成交</w:t>
      </w:r>
      <w:r>
        <w:rPr>
          <w:rFonts w:ascii="仿宋" w:hAnsi="仿宋" w:eastAsia="仿宋"/>
          <w:color w:val="auto"/>
          <w:sz w:val="24"/>
          <w:szCs w:val="24"/>
        </w:rPr>
        <w:t>供应商的价格。</w:t>
      </w:r>
    </w:p>
    <w:p w14:paraId="1B2B798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2.1.3 “</w:t>
      </w:r>
      <w:r>
        <w:rPr>
          <w:rFonts w:hint="eastAsia" w:ascii="仿宋" w:hAnsi="仿宋" w:eastAsia="仿宋"/>
          <w:color w:val="auto"/>
          <w:sz w:val="24"/>
          <w:szCs w:val="24"/>
        </w:rPr>
        <w:t>服务</w:t>
      </w:r>
      <w:r>
        <w:rPr>
          <w:rFonts w:ascii="仿宋" w:hAnsi="仿宋" w:eastAsia="仿宋"/>
          <w:color w:val="auto"/>
          <w:sz w:val="24"/>
          <w:szCs w:val="24"/>
        </w:rPr>
        <w:t>”系指</w:t>
      </w:r>
      <w:r>
        <w:rPr>
          <w:rFonts w:hint="eastAsia" w:ascii="仿宋" w:hAnsi="仿宋" w:eastAsia="仿宋"/>
          <w:color w:val="auto"/>
          <w:sz w:val="24"/>
          <w:szCs w:val="24"/>
        </w:rPr>
        <w:t>中标或成交供应商</w:t>
      </w:r>
      <w:r>
        <w:rPr>
          <w:rFonts w:ascii="仿宋" w:hAnsi="仿宋" w:eastAsia="仿宋"/>
          <w:color w:val="auto"/>
          <w:sz w:val="24"/>
          <w:szCs w:val="24"/>
        </w:rPr>
        <w:t>根据合同约定应向采购人</w:t>
      </w:r>
      <w:r>
        <w:rPr>
          <w:rFonts w:hint="eastAsia" w:ascii="仿宋" w:hAnsi="仿宋" w:eastAsia="仿宋"/>
          <w:color w:val="auto"/>
          <w:sz w:val="24"/>
          <w:szCs w:val="24"/>
        </w:rPr>
        <w:t>履行</w:t>
      </w:r>
      <w:r>
        <w:rPr>
          <w:rFonts w:ascii="仿宋" w:hAnsi="仿宋" w:eastAsia="仿宋"/>
          <w:color w:val="auto"/>
          <w:sz w:val="24"/>
          <w:szCs w:val="24"/>
        </w:rPr>
        <w:t>的</w:t>
      </w:r>
      <w:r>
        <w:rPr>
          <w:rFonts w:hint="eastAsia" w:ascii="仿宋" w:hAnsi="仿宋" w:eastAsia="仿宋"/>
          <w:color w:val="auto"/>
          <w:sz w:val="24"/>
          <w:szCs w:val="24"/>
        </w:rPr>
        <w:t>除货物和工程以外的其他政府采购对象，包括采购人自身需要的服务和向社会公众提供的公共服务。</w:t>
      </w:r>
    </w:p>
    <w:p w14:paraId="0CDAD12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 “</w:t>
      </w:r>
      <w:r>
        <w:rPr>
          <w:rFonts w:hint="eastAsia" w:ascii="仿宋" w:hAnsi="仿宋" w:eastAsia="仿宋"/>
          <w:color w:val="auto"/>
          <w:sz w:val="24"/>
          <w:szCs w:val="24"/>
        </w:rPr>
        <w:t>甲方</w:t>
      </w:r>
      <w:r>
        <w:rPr>
          <w:rFonts w:ascii="仿宋" w:hAnsi="仿宋" w:eastAsia="仿宋"/>
          <w:color w:val="auto"/>
          <w:sz w:val="24"/>
          <w:szCs w:val="24"/>
        </w:rPr>
        <w:t>”系指与</w:t>
      </w:r>
      <w:r>
        <w:rPr>
          <w:rFonts w:hint="eastAsia" w:ascii="仿宋" w:hAnsi="仿宋" w:eastAsia="仿宋"/>
          <w:color w:val="auto"/>
          <w:sz w:val="24"/>
          <w:szCs w:val="24"/>
        </w:rPr>
        <w:t>中标或成交供应商</w:t>
      </w:r>
      <w:r>
        <w:rPr>
          <w:rFonts w:ascii="仿宋" w:hAnsi="仿宋" w:eastAsia="仿宋"/>
          <w:color w:val="auto"/>
          <w:sz w:val="24"/>
          <w:szCs w:val="24"/>
        </w:rPr>
        <w:t>签署合同的采购人</w:t>
      </w:r>
      <w:r>
        <w:rPr>
          <w:rFonts w:hint="eastAsia" w:ascii="仿宋" w:hAnsi="仿宋" w:eastAsia="仿宋"/>
          <w:color w:val="auto"/>
          <w:sz w:val="24"/>
          <w:szCs w:val="24"/>
        </w:rPr>
        <w:t>；采购人委托采购代理机构代表其与乙方签订合同的，采购人的授权委托书作为合同附件。</w:t>
      </w:r>
    </w:p>
    <w:p w14:paraId="26425AA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2.1.5 “乙方”系指根据合同约定提供服务的</w:t>
      </w:r>
      <w:r>
        <w:rPr>
          <w:rFonts w:hint="eastAsia" w:ascii="仿宋" w:hAnsi="仿宋" w:eastAsia="仿宋"/>
          <w:color w:val="auto"/>
          <w:sz w:val="24"/>
          <w:szCs w:val="24"/>
        </w:rPr>
        <w:t>中标或成交</w:t>
      </w:r>
      <w:r>
        <w:rPr>
          <w:rFonts w:ascii="仿宋" w:hAnsi="仿宋" w:eastAsia="仿宋"/>
          <w:color w:val="auto"/>
          <w:sz w:val="24"/>
          <w:szCs w:val="24"/>
        </w:rPr>
        <w:t>供应商</w:t>
      </w:r>
      <w:r>
        <w:rPr>
          <w:rFonts w:hint="eastAsia" w:ascii="仿宋" w:hAnsi="仿宋" w:eastAsia="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7118C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2.1.6 “现场”系指合同约定提供服务的地点。</w:t>
      </w:r>
    </w:p>
    <w:p w14:paraId="41F1A4C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2.2 技术规范</w:t>
      </w:r>
    </w:p>
    <w:p w14:paraId="0F53D045">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服务</w:t>
      </w:r>
      <w:r>
        <w:rPr>
          <w:rFonts w:ascii="仿宋" w:hAnsi="仿宋" w:eastAsia="仿宋"/>
          <w:color w:val="auto"/>
          <w:sz w:val="24"/>
          <w:szCs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szCs w:val="24"/>
        </w:rPr>
        <w:t>；</w:t>
      </w:r>
      <w:r>
        <w:rPr>
          <w:rFonts w:ascii="仿宋" w:hAnsi="仿宋" w:eastAsia="仿宋"/>
          <w:color w:val="auto"/>
          <w:sz w:val="24"/>
          <w:szCs w:val="24"/>
        </w:rPr>
        <w:t>如果采购文件中没有技术规范的相应说明，那么应以国家有关部门最新颁布的相应标准</w:t>
      </w:r>
      <w:r>
        <w:rPr>
          <w:rFonts w:hint="eastAsia" w:ascii="仿宋" w:hAnsi="仿宋" w:eastAsia="仿宋"/>
          <w:color w:val="auto"/>
          <w:sz w:val="24"/>
          <w:szCs w:val="24"/>
        </w:rPr>
        <w:t>和</w:t>
      </w:r>
      <w:r>
        <w:rPr>
          <w:rFonts w:ascii="仿宋" w:hAnsi="仿宋" w:eastAsia="仿宋"/>
          <w:color w:val="auto"/>
          <w:sz w:val="24"/>
          <w:szCs w:val="24"/>
        </w:rPr>
        <w:t>规范为准。</w:t>
      </w:r>
    </w:p>
    <w:p w14:paraId="0684CD1A">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2.3 知识产权</w:t>
      </w:r>
    </w:p>
    <w:p w14:paraId="2B9A87C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2.3.1 </w:t>
      </w:r>
      <w:r>
        <w:rPr>
          <w:rFonts w:hint="eastAsia" w:ascii="仿宋" w:hAnsi="仿宋" w:eastAsia="仿宋"/>
          <w:color w:val="auto"/>
          <w:sz w:val="24"/>
          <w:szCs w:val="24"/>
        </w:rPr>
        <w:t>乙</w:t>
      </w:r>
      <w:r>
        <w:rPr>
          <w:rFonts w:ascii="仿宋" w:hAnsi="仿宋" w:eastAsia="仿宋"/>
          <w:color w:val="auto"/>
          <w:sz w:val="24"/>
          <w:szCs w:val="24"/>
        </w:rPr>
        <w:t>方应保证</w:t>
      </w:r>
      <w:r>
        <w:rPr>
          <w:rFonts w:hint="eastAsia" w:ascii="仿宋" w:hAnsi="仿宋" w:eastAsia="仿宋"/>
          <w:color w:val="auto"/>
          <w:sz w:val="24"/>
          <w:szCs w:val="24"/>
        </w:rPr>
        <w:t>其提供的服务</w:t>
      </w:r>
      <w:r>
        <w:rPr>
          <w:rFonts w:ascii="仿宋" w:hAnsi="仿宋" w:eastAsia="仿宋"/>
          <w:color w:val="auto"/>
          <w:sz w:val="24"/>
          <w:szCs w:val="24"/>
        </w:rPr>
        <w:t>不受任何第三方提出的侵犯其著作权、商标权、专利权等知识产权方面的起诉</w:t>
      </w:r>
      <w:r>
        <w:rPr>
          <w:rFonts w:hint="eastAsia" w:ascii="仿宋" w:hAnsi="仿宋" w:eastAsia="仿宋"/>
          <w:color w:val="auto"/>
          <w:sz w:val="24"/>
          <w:szCs w:val="24"/>
        </w:rPr>
        <w:t>；</w:t>
      </w:r>
      <w:r>
        <w:rPr>
          <w:rFonts w:ascii="仿宋" w:hAnsi="仿宋" w:eastAsia="仿宋"/>
          <w:color w:val="auto"/>
          <w:sz w:val="24"/>
          <w:szCs w:val="24"/>
        </w:rPr>
        <w:t>如果任何第三方提出侵权</w:t>
      </w:r>
      <w:r>
        <w:rPr>
          <w:rFonts w:hint="eastAsia" w:ascii="仿宋" w:hAnsi="仿宋" w:eastAsia="仿宋"/>
          <w:color w:val="auto"/>
          <w:sz w:val="24"/>
          <w:szCs w:val="24"/>
        </w:rPr>
        <w:t>指控</w:t>
      </w:r>
      <w:r>
        <w:rPr>
          <w:rFonts w:ascii="仿宋" w:hAnsi="仿宋" w:eastAsia="仿宋"/>
          <w:color w:val="auto"/>
          <w:sz w:val="24"/>
          <w:szCs w:val="24"/>
        </w:rPr>
        <w:t>，那么乙方须与该第三方交涉并承担由此发生的一切责任、费用和赔偿</w:t>
      </w:r>
      <w:r>
        <w:rPr>
          <w:rFonts w:hint="eastAsia" w:ascii="仿宋" w:hAnsi="仿宋" w:eastAsia="仿宋"/>
          <w:color w:val="auto"/>
          <w:sz w:val="24"/>
          <w:szCs w:val="24"/>
        </w:rPr>
        <w:t>，乙方还应及时澄清相关信息，使甲方声誉免受损害，甲方保留追责的权利。</w:t>
      </w:r>
    </w:p>
    <w:p w14:paraId="1A0BFD0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合同涉及技术成果的归属和收益的分成办法的，</w:t>
      </w: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5DB4B73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2.4 </w:t>
      </w:r>
      <w:r>
        <w:rPr>
          <w:rFonts w:hint="eastAsia" w:ascii="仿宋" w:hAnsi="仿宋" w:eastAsia="仿宋"/>
          <w:b/>
          <w:color w:val="auto"/>
          <w:sz w:val="24"/>
          <w:szCs w:val="24"/>
        </w:rPr>
        <w:t>履约检查和问题反馈</w:t>
      </w:r>
    </w:p>
    <w:p w14:paraId="0FFA5F3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2.4.1甲方</w:t>
      </w:r>
      <w:r>
        <w:rPr>
          <w:rFonts w:hint="eastAsia" w:ascii="仿宋" w:hAnsi="仿宋" w:eastAsia="仿宋"/>
          <w:color w:val="auto"/>
          <w:sz w:val="24"/>
          <w:szCs w:val="24"/>
        </w:rPr>
        <w:t>有权</w:t>
      </w:r>
      <w:r>
        <w:rPr>
          <w:rFonts w:ascii="仿宋" w:hAnsi="仿宋" w:eastAsia="仿宋"/>
          <w:color w:val="auto"/>
          <w:sz w:val="24"/>
          <w:szCs w:val="24"/>
        </w:rPr>
        <w:t>在其认为必要时</w:t>
      </w:r>
      <w:r>
        <w:rPr>
          <w:rFonts w:hint="eastAsia" w:ascii="仿宋" w:hAnsi="仿宋" w:eastAsia="仿宋"/>
          <w:color w:val="auto"/>
          <w:sz w:val="24"/>
          <w:szCs w:val="24"/>
        </w:rPr>
        <w:t>，对乙方是否能够按照合同约定提供服务进行履约检查，以确保乙方所提供的服务能够依约满足甲方之项目需求，但不得因履约检查妨碍乙方的正常工作，乙方应予积极配合；</w:t>
      </w:r>
    </w:p>
    <w:p w14:paraId="6E71AAB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2.4.2 </w:t>
      </w:r>
      <w:r>
        <w:rPr>
          <w:rFonts w:hint="eastAsia" w:ascii="仿宋" w:hAnsi="仿宋" w:eastAsia="仿宋"/>
          <w:color w:val="auto"/>
          <w:sz w:val="24"/>
          <w:szCs w:val="24"/>
        </w:rPr>
        <w:t>合同履行期间，甲方有权将履行过程中出现的问题反馈给乙方，双方当事人应以书面形式约定需要完善和改进的内容。</w:t>
      </w:r>
    </w:p>
    <w:p w14:paraId="61F0A2F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2.5 结算方式和付款条件</w:t>
      </w:r>
    </w:p>
    <w:p w14:paraId="66DC609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606BB7A7">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2.6 技术资料和保密义务</w:t>
      </w:r>
    </w:p>
    <w:p w14:paraId="59A3335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2.6.1 乙方有权依据合同约定和项目需要，向甲方了解有关情况，调阅有关资料等，甲方应予积极配合；</w:t>
      </w:r>
    </w:p>
    <w:p w14:paraId="0A6E177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2.6.2 </w:t>
      </w:r>
      <w:r>
        <w:rPr>
          <w:rFonts w:hint="eastAsia" w:ascii="仿宋" w:hAnsi="仿宋" w:eastAsia="仿宋"/>
          <w:color w:val="auto"/>
          <w:sz w:val="24"/>
          <w:szCs w:val="24"/>
        </w:rPr>
        <w:t>乙方有义务妥善保管和保护由甲方提供的前款信息和资料等；</w:t>
      </w:r>
    </w:p>
    <w:p w14:paraId="68A8FE1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2.6.3 </w:t>
      </w:r>
      <w:r>
        <w:rPr>
          <w:rFonts w:hint="eastAsia" w:ascii="仿宋" w:hAnsi="仿宋" w:eastAsia="仿宋"/>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szCs w:val="24"/>
        </w:rPr>
        <w:t>技术情报</w:t>
      </w:r>
      <w:r>
        <w:rPr>
          <w:rFonts w:hint="eastAsia" w:ascii="仿宋" w:hAnsi="仿宋" w:eastAsia="仿宋"/>
          <w:color w:val="auto"/>
          <w:sz w:val="24"/>
          <w:szCs w:val="24"/>
        </w:rPr>
        <w:t>、</w:t>
      </w:r>
      <w:r>
        <w:rPr>
          <w:rFonts w:ascii="仿宋" w:hAnsi="仿宋" w:eastAsia="仿宋"/>
          <w:color w:val="auto"/>
          <w:sz w:val="24"/>
          <w:szCs w:val="24"/>
        </w:rPr>
        <w:t>技术资料</w:t>
      </w:r>
      <w:r>
        <w:rPr>
          <w:rFonts w:hint="eastAsia" w:ascii="仿宋" w:hAnsi="仿宋" w:eastAsia="仿宋"/>
          <w:color w:val="auto"/>
          <w:sz w:val="24"/>
          <w:szCs w:val="24"/>
        </w:rPr>
        <w:t>、商业秘密和商业信息等，并采取一切合理和必要措施和方式防止任何第三方接触到对方当事人的上述保密信息和资料。</w:t>
      </w:r>
    </w:p>
    <w:p w14:paraId="17A60A1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14:paraId="7B11965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2.7.1 </w:t>
      </w:r>
      <w:r>
        <w:rPr>
          <w:rFonts w:hint="eastAsia" w:ascii="仿宋" w:hAnsi="仿宋" w:eastAsia="仿宋"/>
          <w:color w:val="auto"/>
          <w:sz w:val="24"/>
          <w:szCs w:val="24"/>
        </w:rPr>
        <w:t>乙方应建立和完善履行合同的内部质量保证体系，并提供相关内部规章制度给甲方，以便甲方进行监督检查；</w:t>
      </w:r>
    </w:p>
    <w:p w14:paraId="468630C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2.7.2 </w:t>
      </w:r>
      <w:r>
        <w:rPr>
          <w:rFonts w:hint="eastAsia" w:ascii="仿宋" w:hAnsi="仿宋" w:eastAsia="仿宋"/>
          <w:color w:val="auto"/>
          <w:sz w:val="24"/>
          <w:szCs w:val="24"/>
        </w:rPr>
        <w:t>乙方应保证履行合同的人员数量和素质、软件和硬件设备的配置、场地、环境和设施等满足全面履行合同的要求，并应接受甲方的监督检查。</w:t>
      </w:r>
    </w:p>
    <w:p w14:paraId="1C57EAD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2.8 </w:t>
      </w:r>
      <w:r>
        <w:rPr>
          <w:rFonts w:hint="eastAsia" w:ascii="仿宋" w:hAnsi="仿宋" w:eastAsia="仿宋"/>
          <w:b/>
          <w:color w:val="auto"/>
          <w:sz w:val="24"/>
          <w:szCs w:val="24"/>
        </w:rPr>
        <w:t>延迟履行</w:t>
      </w:r>
    </w:p>
    <w:p w14:paraId="2DE89F4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甲乙双方签订合同后，乙方应按照合同约定履行合同义务，除不可抗力外，乙方不得延迟履行。</w:t>
      </w:r>
      <w:r>
        <w:rPr>
          <w:rFonts w:ascii="仿宋" w:hAnsi="仿宋" w:eastAsia="仿宋"/>
          <w:color w:val="auto"/>
          <w:sz w:val="24"/>
          <w:szCs w:val="24"/>
        </w:rPr>
        <w:t>在合同履行过程中，如果</w:t>
      </w:r>
      <w:r>
        <w:rPr>
          <w:rFonts w:hint="eastAsia" w:ascii="仿宋" w:hAnsi="仿宋" w:eastAsia="仿宋"/>
          <w:color w:val="auto"/>
          <w:sz w:val="24"/>
          <w:szCs w:val="24"/>
        </w:rPr>
        <w:t>因不可抗力，</w:t>
      </w:r>
      <w:r>
        <w:rPr>
          <w:rFonts w:ascii="仿宋" w:hAnsi="仿宋" w:eastAsia="仿宋"/>
          <w:color w:val="auto"/>
          <w:sz w:val="24"/>
          <w:szCs w:val="24"/>
        </w:rPr>
        <w:t>乙方遇到不能按时</w:t>
      </w:r>
      <w:r>
        <w:rPr>
          <w:rFonts w:hint="eastAsia" w:ascii="仿宋" w:hAnsi="仿宋" w:eastAsia="仿宋"/>
          <w:color w:val="auto"/>
          <w:sz w:val="24"/>
          <w:szCs w:val="24"/>
        </w:rPr>
        <w:t>提供服务</w:t>
      </w:r>
      <w:r>
        <w:rPr>
          <w:rFonts w:ascii="仿宋" w:hAnsi="仿宋" w:eastAsia="仿宋"/>
          <w:color w:val="auto"/>
          <w:sz w:val="24"/>
          <w:szCs w:val="24"/>
        </w:rPr>
        <w:t>的情况，应及时以书面形式将不能按时</w:t>
      </w:r>
      <w:r>
        <w:rPr>
          <w:rFonts w:hint="eastAsia" w:ascii="仿宋" w:hAnsi="仿宋" w:eastAsia="仿宋"/>
          <w:color w:val="auto"/>
          <w:sz w:val="24"/>
          <w:szCs w:val="24"/>
        </w:rPr>
        <w:t>提供服务</w:t>
      </w:r>
      <w:r>
        <w:rPr>
          <w:rFonts w:ascii="仿宋" w:hAnsi="仿宋" w:eastAsia="仿宋"/>
          <w:color w:val="auto"/>
          <w:sz w:val="24"/>
          <w:szCs w:val="24"/>
        </w:rPr>
        <w:t>的理由、预期延误时间通知甲方</w:t>
      </w:r>
      <w:r>
        <w:rPr>
          <w:rFonts w:hint="eastAsia" w:ascii="仿宋" w:hAnsi="仿宋" w:eastAsia="仿宋"/>
          <w:color w:val="auto"/>
          <w:sz w:val="24"/>
          <w:szCs w:val="24"/>
        </w:rPr>
        <w:t>；甲</w:t>
      </w:r>
      <w:r>
        <w:rPr>
          <w:rFonts w:ascii="仿宋" w:hAnsi="仿宋" w:eastAsia="仿宋"/>
          <w:color w:val="auto"/>
          <w:sz w:val="24"/>
          <w:szCs w:val="24"/>
        </w:rPr>
        <w:t>方收到乙方通知后，认为其理由正当的，可以书面形式酌情同意乙方可以延长</w:t>
      </w:r>
      <w:r>
        <w:rPr>
          <w:rFonts w:hint="eastAsia" w:ascii="仿宋" w:hAnsi="仿宋" w:eastAsia="仿宋"/>
          <w:color w:val="auto"/>
          <w:sz w:val="24"/>
          <w:szCs w:val="24"/>
        </w:rPr>
        <w:t>履行</w:t>
      </w:r>
      <w:r>
        <w:rPr>
          <w:rFonts w:ascii="仿宋" w:hAnsi="仿宋" w:eastAsia="仿宋"/>
          <w:color w:val="auto"/>
          <w:sz w:val="24"/>
          <w:szCs w:val="24"/>
        </w:rPr>
        <w:t>的具体时间。</w:t>
      </w:r>
    </w:p>
    <w:p w14:paraId="4B5A479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2.9 </w:t>
      </w:r>
      <w:r>
        <w:rPr>
          <w:rFonts w:hint="eastAsia" w:ascii="仿宋" w:hAnsi="仿宋" w:eastAsia="仿宋"/>
          <w:b/>
          <w:color w:val="auto"/>
          <w:sz w:val="24"/>
          <w:szCs w:val="24"/>
        </w:rPr>
        <w:t>合同变更</w:t>
      </w:r>
    </w:p>
    <w:p w14:paraId="515C98BF">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4A2C79A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2.10 合同转让和分包</w:t>
      </w:r>
    </w:p>
    <w:p w14:paraId="6259499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合同的权利义务依法不</w:t>
      </w:r>
      <w:r>
        <w:rPr>
          <w:rFonts w:hint="eastAsia" w:ascii="仿宋" w:hAnsi="仿宋" w:eastAsia="仿宋"/>
          <w:color w:val="auto"/>
          <w:sz w:val="24"/>
          <w:szCs w:val="24"/>
        </w:rPr>
        <w:t>得</w:t>
      </w:r>
      <w:r>
        <w:rPr>
          <w:rFonts w:ascii="仿宋" w:hAnsi="仿宋" w:eastAsia="仿宋"/>
          <w:color w:val="auto"/>
          <w:sz w:val="24"/>
          <w:szCs w:val="24"/>
        </w:rPr>
        <w:t>转让</w:t>
      </w:r>
      <w:r>
        <w:rPr>
          <w:rFonts w:hint="eastAsia" w:ascii="仿宋" w:hAnsi="仿宋" w:eastAsia="仿宋"/>
          <w:color w:val="auto"/>
          <w:sz w:val="24"/>
          <w:szCs w:val="24"/>
        </w:rPr>
        <w:t>，</w:t>
      </w:r>
      <w:r>
        <w:rPr>
          <w:rFonts w:ascii="仿宋" w:hAnsi="仿宋" w:eastAsia="仿宋"/>
          <w:color w:val="auto"/>
          <w:sz w:val="24"/>
          <w:szCs w:val="24"/>
        </w:rPr>
        <w:t>但经甲方</w:t>
      </w:r>
      <w:r>
        <w:rPr>
          <w:rFonts w:hint="eastAsia" w:ascii="仿宋" w:hAnsi="仿宋" w:eastAsia="仿宋"/>
          <w:color w:val="auto"/>
          <w:sz w:val="24"/>
          <w:szCs w:val="24"/>
        </w:rPr>
        <w:t>书面同意，乙方可以依法采取分包方式履行合同，即：依法可以</w:t>
      </w:r>
      <w:r>
        <w:rPr>
          <w:rFonts w:ascii="仿宋" w:hAnsi="仿宋" w:eastAsia="仿宋"/>
          <w:color w:val="auto"/>
          <w:sz w:val="24"/>
          <w:szCs w:val="24"/>
        </w:rPr>
        <w:t>将合同项下的部分非主体、非关键性工作分包给他人完成</w:t>
      </w:r>
      <w:r>
        <w:rPr>
          <w:rFonts w:hint="eastAsia" w:ascii="仿宋" w:hAnsi="仿宋" w:eastAsia="仿宋"/>
          <w:color w:val="auto"/>
          <w:sz w:val="24"/>
          <w:szCs w:val="24"/>
        </w:rPr>
        <w:t>，</w:t>
      </w:r>
      <w:r>
        <w:rPr>
          <w:rFonts w:ascii="仿宋" w:hAnsi="仿宋" w:eastAsia="仿宋"/>
          <w:color w:val="auto"/>
          <w:sz w:val="24"/>
          <w:szCs w:val="24"/>
        </w:rPr>
        <w:t>接受分包的人应当具备相应的资格条件，并不得再次分包</w:t>
      </w:r>
      <w:r>
        <w:rPr>
          <w:rFonts w:hint="eastAsia" w:ascii="仿宋" w:hAnsi="仿宋" w:eastAsia="仿宋"/>
          <w:color w:val="auto"/>
          <w:sz w:val="24"/>
          <w:szCs w:val="24"/>
        </w:rPr>
        <w:t>，</w:t>
      </w:r>
      <w:r>
        <w:rPr>
          <w:rFonts w:ascii="仿宋" w:hAnsi="仿宋" w:eastAsia="仿宋"/>
          <w:color w:val="auto"/>
          <w:sz w:val="24"/>
          <w:szCs w:val="24"/>
        </w:rPr>
        <w:t>且乙方应就分包项目向甲方负责</w:t>
      </w:r>
      <w:r>
        <w:rPr>
          <w:rFonts w:hint="eastAsia" w:ascii="仿宋" w:hAnsi="仿宋" w:eastAsia="仿宋"/>
          <w:color w:val="auto"/>
          <w:sz w:val="24"/>
          <w:szCs w:val="24"/>
        </w:rPr>
        <w:t>，</w:t>
      </w:r>
      <w:r>
        <w:rPr>
          <w:rFonts w:ascii="仿宋" w:hAnsi="仿宋" w:eastAsia="仿宋"/>
          <w:color w:val="auto"/>
          <w:sz w:val="24"/>
          <w:szCs w:val="24"/>
        </w:rPr>
        <w:t>并</w:t>
      </w:r>
      <w:r>
        <w:rPr>
          <w:rFonts w:hint="eastAsia" w:ascii="仿宋" w:hAnsi="仿宋" w:eastAsia="仿宋"/>
          <w:color w:val="auto"/>
          <w:sz w:val="24"/>
          <w:szCs w:val="24"/>
        </w:rPr>
        <w:t>与分包供应商就分包项目向甲方承担连带责任。</w:t>
      </w:r>
    </w:p>
    <w:p w14:paraId="143D606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2.11 不可抗力</w:t>
      </w:r>
    </w:p>
    <w:p w14:paraId="10F3598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szCs w:val="24"/>
        </w:rPr>
        <w:t>；</w:t>
      </w:r>
    </w:p>
    <w:p w14:paraId="755EC8E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2.11.2 </w:t>
      </w:r>
      <w:r>
        <w:rPr>
          <w:rFonts w:hint="eastAsia" w:ascii="仿宋" w:hAnsi="仿宋" w:eastAsia="仿宋"/>
          <w:color w:val="auto"/>
          <w:sz w:val="24"/>
          <w:szCs w:val="24"/>
        </w:rPr>
        <w:t>因不可抗力致使不能实现合同目的的，当事人可以解除合同；</w:t>
      </w:r>
    </w:p>
    <w:p w14:paraId="77E5C82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2.11.3 </w:t>
      </w:r>
      <w:r>
        <w:rPr>
          <w:rFonts w:hint="eastAsia" w:ascii="仿宋" w:hAnsi="仿宋" w:eastAsia="仿宋"/>
          <w:color w:val="auto"/>
          <w:sz w:val="24"/>
          <w:szCs w:val="24"/>
        </w:rPr>
        <w:t>因</w:t>
      </w:r>
      <w:r>
        <w:rPr>
          <w:rFonts w:ascii="仿宋" w:hAnsi="仿宋" w:eastAsia="仿宋"/>
          <w:color w:val="auto"/>
          <w:sz w:val="24"/>
          <w:szCs w:val="24"/>
        </w:rPr>
        <w:t>不可抗力致使合同有变更必要的，双方当事人应在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约定时间内以书面形式变更合同</w:t>
      </w:r>
      <w:r>
        <w:rPr>
          <w:rFonts w:hint="eastAsia" w:ascii="仿宋" w:hAnsi="仿宋" w:eastAsia="仿宋"/>
          <w:color w:val="auto"/>
          <w:sz w:val="24"/>
          <w:szCs w:val="24"/>
        </w:rPr>
        <w:t>；</w:t>
      </w:r>
    </w:p>
    <w:p w14:paraId="6433DB7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2.11.4受</w:t>
      </w:r>
      <w:r>
        <w:rPr>
          <w:rFonts w:hint="eastAsia" w:ascii="仿宋" w:hAnsi="仿宋" w:eastAsia="仿宋"/>
          <w:color w:val="auto"/>
          <w:sz w:val="24"/>
          <w:szCs w:val="24"/>
        </w:rPr>
        <w:t>不可抗力</w:t>
      </w:r>
      <w:r>
        <w:rPr>
          <w:rFonts w:ascii="仿宋" w:hAnsi="仿宋" w:eastAsia="仿宋"/>
          <w:color w:val="auto"/>
          <w:sz w:val="24"/>
          <w:szCs w:val="24"/>
        </w:rPr>
        <w:t>影响的一方在不可抗力发生后</w:t>
      </w:r>
      <w:r>
        <w:rPr>
          <w:rFonts w:hint="eastAsia" w:ascii="仿宋" w:hAnsi="仿宋" w:eastAsia="仿宋"/>
          <w:color w:val="auto"/>
          <w:sz w:val="24"/>
          <w:szCs w:val="24"/>
        </w:rPr>
        <w:t>，</w:t>
      </w:r>
      <w:r>
        <w:rPr>
          <w:rFonts w:ascii="仿宋" w:hAnsi="仿宋" w:eastAsia="仿宋"/>
          <w:color w:val="auto"/>
          <w:sz w:val="24"/>
          <w:szCs w:val="24"/>
        </w:rPr>
        <w:t>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约定时间内以书面形式通知</w:t>
      </w:r>
      <w:r>
        <w:rPr>
          <w:rFonts w:hint="eastAsia" w:ascii="仿宋" w:hAnsi="仿宋" w:eastAsia="仿宋"/>
          <w:color w:val="auto"/>
          <w:sz w:val="24"/>
          <w:szCs w:val="24"/>
        </w:rPr>
        <w:t>对</w:t>
      </w:r>
      <w:r>
        <w:rPr>
          <w:rFonts w:ascii="仿宋" w:hAnsi="仿宋" w:eastAsia="仿宋"/>
          <w:color w:val="auto"/>
          <w:sz w:val="24"/>
          <w:szCs w:val="24"/>
        </w:rPr>
        <w:t>方当事人，并在</w:t>
      </w:r>
      <w:r>
        <w:rPr>
          <w:rFonts w:ascii="仿宋" w:hAnsi="仿宋" w:eastAsia="仿宋"/>
          <w:b/>
          <w:i/>
          <w:color w:val="auto"/>
          <w:sz w:val="24"/>
          <w:szCs w:val="24"/>
          <w:u w:val="single"/>
        </w:rPr>
        <w:t>合同专用条款</w:t>
      </w:r>
      <w:r>
        <w:rPr>
          <w:rFonts w:ascii="仿宋" w:hAnsi="仿宋" w:eastAsia="仿宋"/>
          <w:color w:val="auto"/>
          <w:sz w:val="24"/>
          <w:szCs w:val="24"/>
        </w:rPr>
        <w:t>约定时间内，将有关部门出具的证明文件送达</w:t>
      </w:r>
      <w:r>
        <w:rPr>
          <w:rFonts w:hint="eastAsia" w:ascii="仿宋" w:hAnsi="仿宋" w:eastAsia="仿宋"/>
          <w:color w:val="auto"/>
          <w:sz w:val="24"/>
          <w:szCs w:val="24"/>
        </w:rPr>
        <w:t>对方当事人</w:t>
      </w:r>
      <w:r>
        <w:rPr>
          <w:rFonts w:ascii="仿宋" w:hAnsi="仿宋" w:eastAsia="仿宋"/>
          <w:color w:val="auto"/>
          <w:sz w:val="24"/>
          <w:szCs w:val="24"/>
        </w:rPr>
        <w:t>。</w:t>
      </w:r>
    </w:p>
    <w:p w14:paraId="38DC875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2.12 税费</w:t>
      </w:r>
    </w:p>
    <w:p w14:paraId="1E8F4CE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与合同有关的一切税费</w:t>
      </w:r>
      <w:r>
        <w:rPr>
          <w:rFonts w:hint="eastAsia" w:ascii="仿宋" w:hAnsi="仿宋" w:eastAsia="仿宋"/>
          <w:color w:val="auto"/>
          <w:sz w:val="24"/>
          <w:szCs w:val="24"/>
        </w:rPr>
        <w:t>，</w:t>
      </w:r>
      <w:r>
        <w:rPr>
          <w:rFonts w:ascii="仿宋" w:hAnsi="仿宋" w:eastAsia="仿宋"/>
          <w:color w:val="auto"/>
          <w:sz w:val="24"/>
          <w:szCs w:val="24"/>
        </w:rPr>
        <w:t>均按照中华人民共和国法律的相关规定缴纳。</w:t>
      </w:r>
    </w:p>
    <w:p w14:paraId="492F4047">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2.13 乙方破产</w:t>
      </w:r>
    </w:p>
    <w:p w14:paraId="0947C2D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如果乙方破产导致合同无法履行时，甲方可以书面形式通知乙方终止合同且不给予乙方任何补偿和赔偿</w:t>
      </w:r>
      <w:r>
        <w:rPr>
          <w:rFonts w:hint="eastAsia" w:ascii="仿宋" w:hAnsi="仿宋" w:eastAsia="仿宋"/>
          <w:color w:val="auto"/>
          <w:sz w:val="24"/>
          <w:szCs w:val="24"/>
        </w:rPr>
        <w:t>，但合同的</w:t>
      </w:r>
      <w:r>
        <w:rPr>
          <w:rFonts w:ascii="仿宋" w:hAnsi="仿宋" w:eastAsia="仿宋"/>
          <w:color w:val="auto"/>
          <w:sz w:val="24"/>
          <w:szCs w:val="24"/>
        </w:rPr>
        <w:t>终止不损害或不影响甲方已经采取或将要采取的任何要求乙方支付违约金</w:t>
      </w:r>
      <w:r>
        <w:rPr>
          <w:rFonts w:hint="eastAsia" w:ascii="仿宋" w:hAnsi="仿宋" w:eastAsia="仿宋"/>
          <w:color w:val="auto"/>
          <w:sz w:val="24"/>
          <w:szCs w:val="24"/>
        </w:rPr>
        <w:t>、</w:t>
      </w:r>
      <w:r>
        <w:rPr>
          <w:rFonts w:ascii="仿宋" w:hAnsi="仿宋" w:eastAsia="仿宋"/>
          <w:color w:val="auto"/>
          <w:sz w:val="24"/>
          <w:szCs w:val="24"/>
        </w:rPr>
        <w:t>赔偿损失等的行动或补救措施的权利</w:t>
      </w:r>
      <w:r>
        <w:rPr>
          <w:rFonts w:hint="eastAsia" w:ascii="仿宋" w:hAnsi="仿宋" w:eastAsia="仿宋"/>
          <w:color w:val="auto"/>
          <w:sz w:val="24"/>
          <w:szCs w:val="24"/>
        </w:rPr>
        <w:t>。</w:t>
      </w:r>
    </w:p>
    <w:p w14:paraId="71B27EF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2.14 合同中止、终止</w:t>
      </w:r>
    </w:p>
    <w:p w14:paraId="1582818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2.14.1 </w:t>
      </w:r>
      <w:r>
        <w:rPr>
          <w:rFonts w:hint="eastAsia" w:ascii="仿宋" w:hAnsi="仿宋" w:eastAsia="仿宋"/>
          <w:color w:val="auto"/>
          <w:sz w:val="24"/>
          <w:szCs w:val="24"/>
        </w:rPr>
        <w:t>双方当事人不得擅自中止或者终止合同；</w:t>
      </w:r>
    </w:p>
    <w:p w14:paraId="6AE227B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290797C1">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2.15 检验和验收</w:t>
      </w:r>
    </w:p>
    <w:p w14:paraId="40EE36B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2.15.1 </w:t>
      </w:r>
      <w:r>
        <w:rPr>
          <w:rFonts w:hint="eastAsia" w:ascii="仿宋" w:hAnsi="仿宋" w:eastAsia="仿宋"/>
          <w:color w:val="auto"/>
          <w:sz w:val="24"/>
          <w:szCs w:val="24"/>
        </w:rPr>
        <w:t>乙方按照</w:t>
      </w:r>
      <w:r>
        <w:rPr>
          <w:rFonts w:ascii="仿宋" w:hAnsi="仿宋" w:eastAsia="仿宋"/>
          <w:b/>
          <w:i/>
          <w:color w:val="auto"/>
          <w:sz w:val="24"/>
          <w:szCs w:val="24"/>
          <w:u w:val="single"/>
        </w:rPr>
        <w:t>合同专用条款</w:t>
      </w:r>
      <w:r>
        <w:rPr>
          <w:rFonts w:ascii="仿宋" w:hAnsi="仿宋" w:eastAsia="仿宋"/>
          <w:color w:val="auto"/>
          <w:sz w:val="24"/>
          <w:szCs w:val="24"/>
        </w:rPr>
        <w:t>的约定</w:t>
      </w:r>
      <w:r>
        <w:rPr>
          <w:rFonts w:hint="eastAsia" w:ascii="仿宋" w:hAnsi="仿宋" w:eastAsia="仿宋"/>
          <w:color w:val="auto"/>
          <w:sz w:val="24"/>
          <w:szCs w:val="24"/>
        </w:rPr>
        <w:t>，</w:t>
      </w:r>
      <w:r>
        <w:rPr>
          <w:rFonts w:ascii="仿宋" w:hAnsi="仿宋" w:eastAsia="仿宋"/>
          <w:color w:val="auto"/>
          <w:sz w:val="24"/>
          <w:szCs w:val="24"/>
        </w:rPr>
        <w:t>定期提交服务报告</w:t>
      </w:r>
      <w:r>
        <w:rPr>
          <w:rFonts w:hint="eastAsia" w:ascii="仿宋" w:hAnsi="仿宋" w:eastAsia="仿宋"/>
          <w:color w:val="auto"/>
          <w:sz w:val="24"/>
          <w:szCs w:val="24"/>
        </w:rPr>
        <w:t>，甲方按照</w:t>
      </w:r>
      <w:r>
        <w:rPr>
          <w:rFonts w:ascii="仿宋" w:hAnsi="仿宋" w:eastAsia="仿宋"/>
          <w:b/>
          <w:i/>
          <w:color w:val="auto"/>
          <w:sz w:val="24"/>
          <w:szCs w:val="24"/>
          <w:u w:val="single"/>
        </w:rPr>
        <w:t>合同专用条款</w:t>
      </w:r>
      <w:r>
        <w:rPr>
          <w:rFonts w:ascii="仿宋" w:hAnsi="仿宋" w:eastAsia="仿宋"/>
          <w:color w:val="auto"/>
          <w:sz w:val="24"/>
          <w:szCs w:val="24"/>
        </w:rPr>
        <w:t>的约定进行定期验收</w:t>
      </w:r>
      <w:r>
        <w:rPr>
          <w:rFonts w:hint="eastAsia" w:ascii="仿宋" w:hAnsi="仿宋" w:eastAsia="仿宋"/>
          <w:color w:val="auto"/>
          <w:sz w:val="24"/>
          <w:szCs w:val="24"/>
        </w:rPr>
        <w:t>；</w:t>
      </w:r>
    </w:p>
    <w:p w14:paraId="04DC5ED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2.15.2 </w:t>
      </w:r>
      <w:r>
        <w:rPr>
          <w:rFonts w:hint="eastAsia" w:ascii="仿宋" w:hAnsi="仿宋" w:eastAsia="仿宋"/>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93C47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2.15.3 </w:t>
      </w:r>
      <w:r>
        <w:rPr>
          <w:rFonts w:hint="eastAsia" w:ascii="仿宋" w:hAnsi="仿宋" w:eastAsia="仿宋"/>
          <w:color w:val="auto"/>
          <w:sz w:val="24"/>
          <w:szCs w:val="24"/>
        </w:rPr>
        <w:t>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100BCB42">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2.16 通知和送达</w:t>
      </w:r>
    </w:p>
    <w:p w14:paraId="4FEAFFC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.1</w:t>
      </w:r>
      <w:r>
        <w:rPr>
          <w:rFonts w:hint="eastAsia" w:ascii="仿宋" w:hAnsi="仿宋" w:eastAsia="仿宋"/>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14:paraId="3A252EE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szCs w:val="24"/>
        </w:rPr>
        <w:t>的，邮件挂号寄出或者交邮之日之次日视为送达。</w:t>
      </w:r>
    </w:p>
    <w:p w14:paraId="499D6B1F">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2.17 </w:t>
      </w:r>
      <w:r>
        <w:rPr>
          <w:rFonts w:hint="eastAsia" w:ascii="仿宋" w:hAnsi="仿宋" w:eastAsia="仿宋"/>
          <w:b/>
          <w:color w:val="auto"/>
          <w:sz w:val="24"/>
          <w:szCs w:val="24"/>
        </w:rPr>
        <w:t>合同使用的文字和</w:t>
      </w:r>
      <w:r>
        <w:rPr>
          <w:rFonts w:ascii="仿宋" w:hAnsi="仿宋" w:eastAsia="仿宋"/>
          <w:b/>
          <w:color w:val="auto"/>
          <w:sz w:val="24"/>
          <w:szCs w:val="24"/>
        </w:rPr>
        <w:t>适用的法律</w:t>
      </w:r>
    </w:p>
    <w:p w14:paraId="78ECFCF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2.17.1 合同使用汉语书就</w:t>
      </w:r>
      <w:r>
        <w:rPr>
          <w:rFonts w:hint="eastAsia" w:ascii="仿宋" w:hAnsi="仿宋" w:eastAsia="仿宋"/>
          <w:color w:val="auto"/>
          <w:sz w:val="24"/>
          <w:szCs w:val="24"/>
        </w:rPr>
        <w:t>、</w:t>
      </w:r>
      <w:r>
        <w:rPr>
          <w:rFonts w:ascii="仿宋" w:hAnsi="仿宋" w:eastAsia="仿宋"/>
          <w:color w:val="auto"/>
          <w:sz w:val="24"/>
          <w:szCs w:val="24"/>
        </w:rPr>
        <w:t>变更和解释</w:t>
      </w:r>
      <w:r>
        <w:rPr>
          <w:rFonts w:hint="eastAsia" w:ascii="仿宋" w:hAnsi="仿宋" w:eastAsia="仿宋"/>
          <w:color w:val="auto"/>
          <w:sz w:val="24"/>
          <w:szCs w:val="24"/>
        </w:rPr>
        <w:t>；</w:t>
      </w:r>
    </w:p>
    <w:p w14:paraId="6BCDA14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2.17.2 </w:t>
      </w:r>
      <w:r>
        <w:rPr>
          <w:rFonts w:hint="eastAsia" w:ascii="仿宋" w:hAnsi="仿宋" w:eastAsia="仿宋"/>
          <w:color w:val="auto"/>
          <w:sz w:val="24"/>
          <w:szCs w:val="24"/>
        </w:rPr>
        <w:t>合同适用</w:t>
      </w:r>
      <w:r>
        <w:rPr>
          <w:rFonts w:ascii="仿宋" w:hAnsi="仿宋" w:eastAsia="仿宋"/>
          <w:color w:val="auto"/>
          <w:sz w:val="24"/>
          <w:szCs w:val="24"/>
        </w:rPr>
        <w:t>中华人民共和国法律。</w:t>
      </w:r>
    </w:p>
    <w:p w14:paraId="134A1E00">
      <w:pPr>
        <w:spacing w:line="276" w:lineRule="auto"/>
        <w:ind w:firstLine="482" w:firstLineChars="200"/>
        <w:rPr>
          <w:rFonts w:ascii="仿宋" w:hAnsi="仿宋" w:eastAsia="仿宋"/>
          <w:b/>
          <w:color w:val="auto"/>
          <w:sz w:val="24"/>
          <w:szCs w:val="24"/>
        </w:rPr>
      </w:pPr>
      <w:bookmarkStart w:id="31" w:name="_Toc4355"/>
      <w:bookmarkStart w:id="32" w:name="_Toc18540"/>
      <w:bookmarkStart w:id="33" w:name="_Toc30599"/>
      <w:r>
        <w:rPr>
          <w:rFonts w:hint="eastAsia" w:ascii="仿宋" w:hAnsi="仿宋" w:eastAsia="仿宋"/>
          <w:b/>
          <w:color w:val="auto"/>
          <w:sz w:val="24"/>
          <w:szCs w:val="24"/>
        </w:rPr>
        <w:t>2.18 计量单位</w:t>
      </w:r>
      <w:bookmarkEnd w:id="31"/>
      <w:bookmarkEnd w:id="32"/>
      <w:bookmarkEnd w:id="33"/>
    </w:p>
    <w:p w14:paraId="1B9C476A">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除技术规范中另有规定外,合同的计量单位均使用国家法定计量单位。</w:t>
      </w:r>
    </w:p>
    <w:p w14:paraId="75A53F8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19</w:t>
      </w:r>
      <w:r>
        <w:rPr>
          <w:rFonts w:ascii="仿宋" w:hAnsi="仿宋" w:eastAsia="仿宋"/>
          <w:b/>
          <w:color w:val="auto"/>
          <w:sz w:val="24"/>
          <w:szCs w:val="24"/>
        </w:rPr>
        <w:t>合同份数</w:t>
      </w:r>
    </w:p>
    <w:p w14:paraId="41582B2D">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14:paraId="582B3E70">
      <w:pPr>
        <w:spacing w:afterLines="200" w:line="288" w:lineRule="auto"/>
        <w:ind w:firstLine="480" w:firstLineChars="200"/>
        <w:rPr>
          <w:rFonts w:ascii="仿宋" w:hAnsi="仿宋" w:eastAsia="仿宋" w:cs="仿宋"/>
          <w:color w:val="auto"/>
          <w:sz w:val="24"/>
        </w:rPr>
      </w:pPr>
    </w:p>
    <w:p w14:paraId="6C5A4C08">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14:paraId="08DCA4E4">
      <w:pPr>
        <w:spacing w:line="288"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14:paraId="02CE6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3" w:type="pct"/>
            <w:tcBorders>
              <w:left w:val="single" w:color="auto" w:sz="4" w:space="0"/>
            </w:tcBorders>
            <w:vAlign w:val="center"/>
          </w:tcPr>
          <w:p w14:paraId="3E962023">
            <w:pPr>
              <w:spacing w:line="288"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14:paraId="6759DE24">
            <w:pPr>
              <w:spacing w:line="288"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1E21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1AE4877">
            <w:pPr>
              <w:spacing w:line="288"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14:paraId="643C450F">
            <w:pPr>
              <w:spacing w:line="288" w:lineRule="auto"/>
              <w:rPr>
                <w:rFonts w:ascii="仿宋" w:hAnsi="仿宋" w:eastAsia="仿宋" w:cs="仿宋"/>
                <w:color w:val="auto"/>
                <w:sz w:val="24"/>
              </w:rPr>
            </w:pPr>
          </w:p>
        </w:tc>
      </w:tr>
      <w:tr w14:paraId="37E7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F6A1A82">
            <w:pPr>
              <w:spacing w:line="288"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14:paraId="7EB4C68A">
            <w:pPr>
              <w:spacing w:line="288" w:lineRule="auto"/>
              <w:rPr>
                <w:rFonts w:ascii="仿宋" w:hAnsi="仿宋" w:eastAsia="仿宋" w:cs="仿宋"/>
                <w:color w:val="auto"/>
                <w:sz w:val="24"/>
              </w:rPr>
            </w:pPr>
          </w:p>
        </w:tc>
      </w:tr>
      <w:tr w14:paraId="16DA0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FCA2521">
            <w:pPr>
              <w:spacing w:line="288"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14:paraId="688FE819">
            <w:pPr>
              <w:spacing w:line="288" w:lineRule="auto"/>
              <w:rPr>
                <w:rFonts w:ascii="仿宋" w:hAnsi="仿宋" w:eastAsia="仿宋" w:cs="仿宋"/>
                <w:color w:val="auto"/>
                <w:sz w:val="24"/>
              </w:rPr>
            </w:pPr>
          </w:p>
        </w:tc>
      </w:tr>
      <w:tr w14:paraId="0559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F33D0E8">
            <w:pPr>
              <w:spacing w:line="288"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14:paraId="2D2A9822">
            <w:pPr>
              <w:spacing w:line="288" w:lineRule="auto"/>
              <w:rPr>
                <w:rFonts w:ascii="仿宋" w:hAnsi="仿宋" w:eastAsia="仿宋" w:cs="仿宋"/>
                <w:color w:val="auto"/>
                <w:sz w:val="24"/>
              </w:rPr>
            </w:pPr>
          </w:p>
        </w:tc>
      </w:tr>
      <w:tr w14:paraId="2AE1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5A09C74">
            <w:pPr>
              <w:spacing w:line="288"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14:paraId="3876DAF4">
            <w:pPr>
              <w:spacing w:line="288" w:lineRule="auto"/>
              <w:rPr>
                <w:rFonts w:ascii="仿宋" w:hAnsi="仿宋" w:eastAsia="仿宋" w:cs="仿宋"/>
                <w:color w:val="auto"/>
                <w:sz w:val="24"/>
              </w:rPr>
            </w:pPr>
          </w:p>
        </w:tc>
      </w:tr>
      <w:tr w14:paraId="22EE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12E7B0F">
            <w:pPr>
              <w:spacing w:line="288"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14:paraId="4619704F">
            <w:pPr>
              <w:spacing w:line="288" w:lineRule="auto"/>
              <w:rPr>
                <w:rFonts w:ascii="仿宋" w:hAnsi="仿宋" w:eastAsia="仿宋" w:cs="仿宋"/>
                <w:color w:val="auto"/>
                <w:sz w:val="24"/>
              </w:rPr>
            </w:pPr>
          </w:p>
        </w:tc>
      </w:tr>
      <w:tr w14:paraId="17FB5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651620B">
            <w:pPr>
              <w:spacing w:line="288"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14:paraId="624B2CE8">
            <w:pPr>
              <w:spacing w:line="288" w:lineRule="auto"/>
              <w:rPr>
                <w:rFonts w:ascii="仿宋" w:hAnsi="仿宋" w:eastAsia="仿宋" w:cs="仿宋"/>
                <w:color w:val="auto"/>
                <w:sz w:val="24"/>
              </w:rPr>
            </w:pPr>
          </w:p>
        </w:tc>
      </w:tr>
      <w:tr w14:paraId="3318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AEFBDA9">
            <w:pPr>
              <w:spacing w:line="288"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14:paraId="1449E6E7">
            <w:pPr>
              <w:spacing w:line="288" w:lineRule="auto"/>
              <w:rPr>
                <w:rFonts w:ascii="仿宋" w:hAnsi="仿宋" w:eastAsia="仿宋" w:cs="仿宋"/>
                <w:color w:val="auto"/>
                <w:sz w:val="24"/>
              </w:rPr>
            </w:pPr>
          </w:p>
        </w:tc>
      </w:tr>
      <w:tr w14:paraId="0026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11C3A3E">
            <w:pPr>
              <w:spacing w:line="288"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14:paraId="1A7B8E48">
            <w:pPr>
              <w:spacing w:line="288" w:lineRule="auto"/>
              <w:ind w:left="-420" w:leftChars="-200" w:right="-420" w:rightChars="-200" w:firstLine="480" w:firstLineChars="200"/>
              <w:rPr>
                <w:rFonts w:ascii="仿宋" w:hAnsi="仿宋" w:eastAsia="仿宋" w:cs="仿宋"/>
                <w:color w:val="auto"/>
                <w:sz w:val="24"/>
              </w:rPr>
            </w:pPr>
          </w:p>
        </w:tc>
      </w:tr>
      <w:tr w14:paraId="6CC5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5717B16">
            <w:pPr>
              <w:spacing w:line="288"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14:paraId="5D9226D2">
            <w:pPr>
              <w:spacing w:line="288" w:lineRule="auto"/>
              <w:ind w:left="-420" w:leftChars="-200" w:right="-420" w:rightChars="-200" w:firstLine="480" w:firstLineChars="200"/>
              <w:rPr>
                <w:rFonts w:ascii="仿宋" w:hAnsi="仿宋" w:eastAsia="仿宋" w:cs="仿宋"/>
                <w:color w:val="auto"/>
                <w:sz w:val="24"/>
              </w:rPr>
            </w:pPr>
          </w:p>
        </w:tc>
      </w:tr>
      <w:tr w14:paraId="49F3C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DCD3685">
            <w:pPr>
              <w:spacing w:line="288" w:lineRule="auto"/>
              <w:rPr>
                <w:rFonts w:ascii="仿宋" w:hAnsi="仿宋" w:eastAsia="仿宋" w:cs="仿宋"/>
                <w:color w:val="auto"/>
                <w:sz w:val="24"/>
              </w:rPr>
            </w:pPr>
            <w:r>
              <w:rPr>
                <w:rFonts w:hint="eastAsia" w:ascii="仿宋" w:hAnsi="仿宋" w:eastAsia="仿宋" w:cs="仿宋"/>
                <w:color w:val="auto"/>
                <w:sz w:val="24"/>
              </w:rPr>
              <w:t>1.7.4.1</w:t>
            </w:r>
          </w:p>
        </w:tc>
        <w:tc>
          <w:tcPr>
            <w:tcW w:w="4527" w:type="pct"/>
            <w:vAlign w:val="center"/>
          </w:tcPr>
          <w:p w14:paraId="7175BE4D">
            <w:pPr>
              <w:spacing w:line="288" w:lineRule="auto"/>
              <w:ind w:left="-420" w:leftChars="-200" w:right="-420" w:rightChars="-200" w:firstLine="480" w:firstLineChars="200"/>
              <w:rPr>
                <w:rFonts w:ascii="仿宋" w:hAnsi="仿宋" w:eastAsia="仿宋" w:cs="仿宋"/>
                <w:color w:val="auto"/>
                <w:sz w:val="24"/>
              </w:rPr>
            </w:pPr>
          </w:p>
        </w:tc>
      </w:tr>
      <w:tr w14:paraId="299C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A78C01E">
            <w:pPr>
              <w:spacing w:line="288" w:lineRule="auto"/>
              <w:rPr>
                <w:rFonts w:ascii="仿宋" w:hAnsi="仿宋" w:eastAsia="仿宋" w:cs="仿宋"/>
                <w:color w:val="auto"/>
                <w:sz w:val="24"/>
              </w:rPr>
            </w:pPr>
            <w:r>
              <w:rPr>
                <w:rFonts w:hint="eastAsia" w:ascii="仿宋" w:hAnsi="仿宋" w:eastAsia="仿宋" w:cs="仿宋"/>
                <w:color w:val="auto"/>
                <w:sz w:val="24"/>
              </w:rPr>
              <w:t>1.7.4.2</w:t>
            </w:r>
          </w:p>
        </w:tc>
        <w:tc>
          <w:tcPr>
            <w:tcW w:w="4527" w:type="pct"/>
            <w:vAlign w:val="center"/>
          </w:tcPr>
          <w:p w14:paraId="60EDB804">
            <w:pPr>
              <w:spacing w:line="288" w:lineRule="auto"/>
              <w:ind w:left="-420" w:leftChars="-200" w:right="-420" w:rightChars="-200" w:firstLine="480" w:firstLineChars="200"/>
              <w:rPr>
                <w:rFonts w:ascii="仿宋" w:hAnsi="仿宋" w:eastAsia="仿宋" w:cs="仿宋"/>
                <w:color w:val="auto"/>
                <w:sz w:val="24"/>
              </w:rPr>
            </w:pPr>
          </w:p>
        </w:tc>
      </w:tr>
      <w:tr w14:paraId="5D77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8482976">
            <w:pPr>
              <w:spacing w:line="288" w:lineRule="auto"/>
              <w:rPr>
                <w:rFonts w:ascii="仿宋" w:hAnsi="仿宋" w:eastAsia="仿宋" w:cs="仿宋"/>
                <w:color w:val="auto"/>
                <w:sz w:val="24"/>
              </w:rPr>
            </w:pPr>
            <w:r>
              <w:rPr>
                <w:rFonts w:hint="eastAsia" w:ascii="仿宋" w:hAnsi="仿宋" w:eastAsia="仿宋" w:cs="仿宋"/>
                <w:color w:val="auto"/>
                <w:sz w:val="24"/>
              </w:rPr>
              <w:t>1.7.4.3</w:t>
            </w:r>
          </w:p>
        </w:tc>
        <w:tc>
          <w:tcPr>
            <w:tcW w:w="4527" w:type="pct"/>
            <w:vAlign w:val="center"/>
          </w:tcPr>
          <w:p w14:paraId="35CCB53D">
            <w:pPr>
              <w:spacing w:line="288" w:lineRule="auto"/>
              <w:ind w:left="-420" w:leftChars="-200" w:right="-420" w:rightChars="-200" w:firstLine="480" w:firstLineChars="200"/>
              <w:rPr>
                <w:rFonts w:ascii="仿宋" w:hAnsi="仿宋" w:eastAsia="仿宋" w:cs="仿宋"/>
                <w:color w:val="auto"/>
                <w:sz w:val="24"/>
              </w:rPr>
            </w:pPr>
          </w:p>
        </w:tc>
      </w:tr>
      <w:tr w14:paraId="4FF67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21D9A98">
            <w:pPr>
              <w:spacing w:line="288" w:lineRule="auto"/>
              <w:rPr>
                <w:rFonts w:ascii="仿宋" w:hAnsi="仿宋" w:eastAsia="仿宋" w:cs="仿宋"/>
                <w:color w:val="auto"/>
                <w:sz w:val="24"/>
              </w:rPr>
            </w:pPr>
            <w:r>
              <w:rPr>
                <w:rFonts w:hint="eastAsia" w:ascii="仿宋" w:hAnsi="仿宋" w:eastAsia="仿宋" w:cs="仿宋"/>
                <w:color w:val="auto"/>
                <w:sz w:val="24"/>
              </w:rPr>
              <w:t>1.8.7</w:t>
            </w:r>
          </w:p>
        </w:tc>
        <w:tc>
          <w:tcPr>
            <w:tcW w:w="4527" w:type="pct"/>
            <w:vAlign w:val="center"/>
          </w:tcPr>
          <w:p w14:paraId="7728CEF2">
            <w:pPr>
              <w:spacing w:line="288" w:lineRule="auto"/>
              <w:ind w:left="-420" w:leftChars="-200" w:right="-420" w:rightChars="-200" w:firstLine="480" w:firstLineChars="200"/>
              <w:rPr>
                <w:rFonts w:ascii="仿宋" w:hAnsi="仿宋" w:eastAsia="仿宋" w:cs="仿宋"/>
                <w:color w:val="auto"/>
                <w:sz w:val="24"/>
              </w:rPr>
            </w:pPr>
          </w:p>
        </w:tc>
      </w:tr>
      <w:tr w14:paraId="49C50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07ECBCB">
            <w:pPr>
              <w:spacing w:line="288"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14:paraId="427243B3">
            <w:pPr>
              <w:spacing w:line="288" w:lineRule="auto"/>
              <w:ind w:left="-420" w:leftChars="-200" w:right="-420" w:rightChars="-200" w:firstLine="480" w:firstLineChars="200"/>
              <w:rPr>
                <w:rFonts w:ascii="仿宋" w:hAnsi="仿宋" w:eastAsia="仿宋" w:cs="仿宋"/>
                <w:color w:val="auto"/>
                <w:sz w:val="24"/>
              </w:rPr>
            </w:pPr>
          </w:p>
        </w:tc>
      </w:tr>
      <w:tr w14:paraId="50F1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5E26F66">
            <w:pPr>
              <w:spacing w:line="288"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14:paraId="39C267DF">
            <w:pPr>
              <w:spacing w:line="288" w:lineRule="auto"/>
              <w:ind w:left="-420" w:leftChars="-200" w:right="-420" w:rightChars="-200" w:firstLine="480" w:firstLineChars="200"/>
              <w:rPr>
                <w:rFonts w:ascii="仿宋" w:hAnsi="仿宋" w:eastAsia="仿宋" w:cs="仿宋"/>
                <w:color w:val="auto"/>
                <w:sz w:val="24"/>
              </w:rPr>
            </w:pPr>
          </w:p>
        </w:tc>
      </w:tr>
      <w:tr w14:paraId="1C87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ABC834C">
            <w:pPr>
              <w:spacing w:line="288"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14:paraId="7DA0D3C8">
            <w:pPr>
              <w:spacing w:line="288" w:lineRule="auto"/>
              <w:ind w:left="-420" w:leftChars="-200" w:right="-420" w:rightChars="-200" w:firstLine="480" w:firstLineChars="200"/>
              <w:rPr>
                <w:rFonts w:ascii="仿宋" w:hAnsi="仿宋" w:eastAsia="仿宋" w:cs="仿宋"/>
                <w:color w:val="auto"/>
                <w:sz w:val="24"/>
              </w:rPr>
            </w:pPr>
          </w:p>
        </w:tc>
      </w:tr>
      <w:tr w14:paraId="37647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0063D1C">
            <w:pPr>
              <w:spacing w:line="288" w:lineRule="auto"/>
              <w:rPr>
                <w:rFonts w:ascii="仿宋" w:hAnsi="仿宋" w:eastAsia="仿宋" w:cs="仿宋"/>
                <w:color w:val="auto"/>
                <w:sz w:val="24"/>
              </w:rPr>
            </w:pPr>
            <w:r>
              <w:rPr>
                <w:rFonts w:hint="eastAsia" w:ascii="仿宋" w:hAnsi="仿宋" w:eastAsia="仿宋" w:cs="仿宋"/>
                <w:color w:val="auto"/>
                <w:sz w:val="24"/>
              </w:rPr>
              <w:t>2.5</w:t>
            </w:r>
          </w:p>
        </w:tc>
        <w:tc>
          <w:tcPr>
            <w:tcW w:w="4527" w:type="pct"/>
            <w:vAlign w:val="center"/>
          </w:tcPr>
          <w:p w14:paraId="17E742AC">
            <w:pPr>
              <w:spacing w:line="288" w:lineRule="auto"/>
              <w:rPr>
                <w:rFonts w:ascii="仿宋" w:hAnsi="仿宋" w:eastAsia="仿宋" w:cs="仿宋"/>
                <w:color w:val="auto"/>
                <w:sz w:val="24"/>
              </w:rPr>
            </w:pPr>
          </w:p>
        </w:tc>
      </w:tr>
      <w:tr w14:paraId="2CE43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2181C0F">
            <w:pPr>
              <w:spacing w:line="288" w:lineRule="auto"/>
              <w:rPr>
                <w:rFonts w:ascii="仿宋" w:hAnsi="仿宋" w:eastAsia="仿宋" w:cs="仿宋"/>
                <w:color w:val="auto"/>
                <w:sz w:val="24"/>
              </w:rPr>
            </w:pPr>
            <w:r>
              <w:rPr>
                <w:rFonts w:hint="eastAsia" w:ascii="仿宋" w:hAnsi="仿宋" w:eastAsia="仿宋" w:cs="仿宋"/>
                <w:color w:val="auto"/>
                <w:sz w:val="24"/>
              </w:rPr>
              <w:t>2.11.3</w:t>
            </w:r>
          </w:p>
        </w:tc>
        <w:tc>
          <w:tcPr>
            <w:tcW w:w="4527" w:type="pct"/>
            <w:vAlign w:val="center"/>
          </w:tcPr>
          <w:p w14:paraId="7C0B3369">
            <w:pPr>
              <w:spacing w:line="288" w:lineRule="auto"/>
              <w:rPr>
                <w:rFonts w:ascii="仿宋" w:hAnsi="仿宋" w:eastAsia="仿宋" w:cs="仿宋"/>
                <w:color w:val="auto"/>
                <w:sz w:val="24"/>
              </w:rPr>
            </w:pPr>
          </w:p>
        </w:tc>
      </w:tr>
      <w:tr w14:paraId="5CE8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tcPr>
          <w:p w14:paraId="00AC3617">
            <w:pPr>
              <w:spacing w:line="288"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4527" w:type="pct"/>
          </w:tcPr>
          <w:p w14:paraId="79FB64ED">
            <w:pPr>
              <w:spacing w:line="288" w:lineRule="auto"/>
              <w:rPr>
                <w:rFonts w:ascii="仿宋" w:hAnsi="仿宋" w:eastAsia="仿宋" w:cs="仿宋"/>
                <w:color w:val="auto"/>
                <w:sz w:val="24"/>
              </w:rPr>
            </w:pPr>
          </w:p>
        </w:tc>
      </w:tr>
      <w:tr w14:paraId="1EA1D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B4CBD04">
            <w:pPr>
              <w:spacing w:line="288" w:lineRule="auto"/>
              <w:rPr>
                <w:rFonts w:ascii="仿宋" w:hAnsi="仿宋" w:eastAsia="仿宋" w:cs="仿宋"/>
                <w:color w:val="auto"/>
                <w:sz w:val="24"/>
              </w:rPr>
            </w:pPr>
            <w:r>
              <w:rPr>
                <w:rFonts w:hint="eastAsia" w:ascii="仿宋" w:hAnsi="仿宋" w:eastAsia="仿宋" w:cs="仿宋"/>
                <w:color w:val="auto"/>
                <w:sz w:val="24"/>
              </w:rPr>
              <w:t>2.15.1</w:t>
            </w:r>
          </w:p>
        </w:tc>
        <w:tc>
          <w:tcPr>
            <w:tcW w:w="4527" w:type="pct"/>
            <w:vAlign w:val="center"/>
          </w:tcPr>
          <w:p w14:paraId="655A9AC9">
            <w:pPr>
              <w:spacing w:line="288" w:lineRule="auto"/>
              <w:rPr>
                <w:rFonts w:ascii="仿宋" w:hAnsi="仿宋" w:eastAsia="仿宋" w:cs="仿宋"/>
                <w:color w:val="auto"/>
                <w:sz w:val="24"/>
              </w:rPr>
            </w:pPr>
          </w:p>
        </w:tc>
      </w:tr>
      <w:tr w14:paraId="3A1C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6BFE701">
            <w:pPr>
              <w:spacing w:line="288" w:lineRule="auto"/>
              <w:rPr>
                <w:rFonts w:ascii="仿宋" w:hAnsi="仿宋" w:eastAsia="仿宋" w:cs="仿宋"/>
                <w:color w:val="auto"/>
                <w:sz w:val="24"/>
              </w:rPr>
            </w:pPr>
            <w:r>
              <w:rPr>
                <w:rFonts w:hint="eastAsia" w:ascii="仿宋" w:hAnsi="仿宋" w:eastAsia="仿宋" w:cs="仿宋"/>
                <w:color w:val="auto"/>
                <w:sz w:val="24"/>
              </w:rPr>
              <w:t>2.15.3</w:t>
            </w:r>
          </w:p>
        </w:tc>
        <w:tc>
          <w:tcPr>
            <w:tcW w:w="4527" w:type="pct"/>
            <w:vAlign w:val="center"/>
          </w:tcPr>
          <w:p w14:paraId="542FFC8F">
            <w:pPr>
              <w:spacing w:line="288" w:lineRule="auto"/>
              <w:rPr>
                <w:rFonts w:ascii="仿宋" w:hAnsi="仿宋" w:eastAsia="仿宋" w:cs="仿宋"/>
                <w:color w:val="auto"/>
                <w:sz w:val="24"/>
              </w:rPr>
            </w:pPr>
          </w:p>
        </w:tc>
      </w:tr>
      <w:tr w14:paraId="07DA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35917A63">
            <w:pPr>
              <w:spacing w:line="288" w:lineRule="auto"/>
              <w:ind w:right="-420" w:rightChars="-200"/>
              <w:outlineLvl w:val="0"/>
              <w:rPr>
                <w:rFonts w:ascii="仿宋" w:hAnsi="仿宋" w:eastAsia="仿宋" w:cs="仿宋"/>
                <w:color w:val="auto"/>
                <w:sz w:val="24"/>
              </w:rPr>
            </w:pPr>
            <w:r>
              <w:rPr>
                <w:rFonts w:hint="eastAsia" w:ascii="仿宋" w:hAnsi="仿宋" w:eastAsia="仿宋" w:cs="仿宋"/>
                <w:color w:val="auto"/>
                <w:sz w:val="24"/>
              </w:rPr>
              <w:t>2.19</w:t>
            </w:r>
          </w:p>
        </w:tc>
        <w:tc>
          <w:tcPr>
            <w:tcW w:w="4527" w:type="pct"/>
            <w:vAlign w:val="center"/>
          </w:tcPr>
          <w:p w14:paraId="6B7EEBDF">
            <w:pPr>
              <w:spacing w:line="288" w:lineRule="auto"/>
              <w:rPr>
                <w:rFonts w:ascii="仿宋" w:hAnsi="仿宋" w:eastAsia="仿宋" w:cs="仿宋"/>
                <w:color w:val="auto"/>
                <w:sz w:val="24"/>
              </w:rPr>
            </w:pPr>
          </w:p>
        </w:tc>
      </w:tr>
    </w:tbl>
    <w:p w14:paraId="1DD58CA3">
      <w:pPr>
        <w:spacing w:beforeLines="50"/>
        <w:rPr>
          <w:rFonts w:ascii="仿宋" w:hAnsi="仿宋" w:eastAsia="仿宋"/>
          <w:b/>
          <w:color w:val="auto"/>
        </w:rPr>
      </w:pPr>
      <w:r>
        <w:rPr>
          <w:rFonts w:hint="eastAsia" w:ascii="仿宋" w:hAnsi="仿宋" w:eastAsia="仿宋"/>
          <w:b/>
          <w:color w:val="auto"/>
        </w:rPr>
        <w:t>注：</w:t>
      </w:r>
    </w:p>
    <w:p w14:paraId="5AD6E114">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14:paraId="3BADF7BD">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14:paraId="526A1317">
      <w:pPr>
        <w:rPr>
          <w:rFonts w:ascii="黑体" w:hAnsi="宋体" w:eastAsia="黑体"/>
          <w:color w:val="auto"/>
          <w:sz w:val="44"/>
          <w:szCs w:val="44"/>
        </w:rPr>
        <w:sectPr>
          <w:pgSz w:w="11906" w:h="16838"/>
          <w:pgMar w:top="1247" w:right="1247" w:bottom="1247" w:left="1247" w:header="567" w:footer="454" w:gutter="0"/>
          <w:pgNumType w:fmt="numberInDash"/>
          <w:cols w:space="720" w:num="1"/>
          <w:titlePg/>
          <w:docGrid w:type="lines" w:linePitch="312" w:charSpace="0"/>
        </w:sectPr>
      </w:pPr>
    </w:p>
    <w:p w14:paraId="38F062B1">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第六部分  应提交的有关格式范例</w:t>
      </w:r>
    </w:p>
    <w:p w14:paraId="0528ECF5">
      <w:pPr>
        <w:widowControl/>
        <w:tabs>
          <w:tab w:val="left" w:pos="450"/>
          <w:tab w:val="left" w:pos="8280"/>
        </w:tabs>
        <w:spacing w:afterLines="200" w:line="360" w:lineRule="auto"/>
        <w:jc w:val="center"/>
        <w:rPr>
          <w:rFonts w:ascii="华文中宋" w:hAnsi="华文中宋" w:eastAsia="华文中宋"/>
          <w:b/>
          <w:color w:val="auto"/>
          <w:sz w:val="32"/>
          <w:szCs w:val="32"/>
        </w:rPr>
      </w:pPr>
    </w:p>
    <w:p w14:paraId="343C039A">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资格文件部分</w:t>
      </w:r>
    </w:p>
    <w:p w14:paraId="2688FD18">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140469E3">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（1）符合参加政府采购活动应当具备的一般条件的承诺函</w:t>
      </w:r>
      <w:r>
        <w:rPr>
          <w:rFonts w:ascii="仿宋" w:hAnsi="仿宋" w:eastAsia="仿宋" w:cs="宋体"/>
          <w:color w:val="auto"/>
          <w:sz w:val="24"/>
        </w:rPr>
        <w:t>……………</w:t>
      </w:r>
      <w:r>
        <w:rPr>
          <w:rFonts w:hint="eastAsia" w:ascii="仿宋" w:hAnsi="仿宋" w:eastAsia="仿宋" w:cs="宋体"/>
          <w:color w:val="auto"/>
          <w:sz w:val="24"/>
        </w:rPr>
        <w:t>（页码）</w:t>
      </w:r>
    </w:p>
    <w:p w14:paraId="3F36A77C">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（2）落实政府采购政策需满足的资格要求………………………………（页码）</w:t>
      </w:r>
    </w:p>
    <w:p w14:paraId="67F608E6">
      <w:pPr>
        <w:snapToGrid w:val="0"/>
        <w:spacing w:line="360" w:lineRule="auto"/>
        <w:ind w:firstLine="720" w:firstLineChars="300"/>
        <w:rPr>
          <w:rFonts w:ascii="华文中宋" w:hAnsi="华文中宋" w:eastAsia="华文中宋"/>
          <w:b/>
          <w:color w:val="auto"/>
          <w:sz w:val="32"/>
          <w:szCs w:val="32"/>
        </w:rPr>
      </w:pPr>
      <w:r>
        <w:rPr>
          <w:rFonts w:hint="eastAsia" w:ascii="仿宋" w:hAnsi="仿宋" w:eastAsia="仿宋" w:cs="宋体"/>
          <w:color w:val="auto"/>
          <w:sz w:val="24"/>
        </w:rPr>
        <w:t>（3）本项目的特定资格要求………………………………………………（页码）</w:t>
      </w:r>
    </w:p>
    <w:p w14:paraId="59C37006">
      <w:pPr>
        <w:widowControl/>
        <w:tabs>
          <w:tab w:val="left" w:pos="350"/>
          <w:tab w:val="left" w:pos="8280"/>
        </w:tabs>
        <w:spacing w:afterLines="200" w:line="360" w:lineRule="auto"/>
        <w:jc w:val="center"/>
        <w:rPr>
          <w:rFonts w:ascii="仿宋" w:hAnsi="仿宋" w:eastAsia="仿宋" w:cs="宋体"/>
          <w:b/>
          <w:color w:val="auto"/>
          <w:sz w:val="36"/>
          <w:szCs w:val="36"/>
        </w:rPr>
        <w:sectPr>
          <w:pgSz w:w="11906" w:h="16838"/>
          <w:pgMar w:top="1247" w:right="1247" w:bottom="1247" w:left="1247" w:header="567" w:footer="454" w:gutter="0"/>
          <w:pgNumType w:fmt="numberInDash"/>
          <w:cols w:space="720" w:num="1"/>
          <w:titlePg/>
          <w:docGrid w:type="lines" w:linePitch="312" w:charSpace="0"/>
        </w:sectPr>
      </w:pPr>
    </w:p>
    <w:p w14:paraId="4C66D700">
      <w:pPr>
        <w:pStyle w:val="3"/>
        <w:spacing w:before="0" w:afterLines="100" w:line="360" w:lineRule="auto"/>
        <w:jc w:val="center"/>
        <w:rPr>
          <w:rFonts w:ascii="仿宋" w:hAnsi="仿宋" w:eastAsia="仿宋" w:cs="宋体"/>
          <w:b w:val="0"/>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、符合参加政府采购活动应当具备的一般条件的承诺函</w:t>
      </w:r>
    </w:p>
    <w:p w14:paraId="303388C3">
      <w:pPr>
        <w:spacing w:line="360" w:lineRule="auto"/>
        <w:rPr>
          <w:rFonts w:ascii="仿宋" w:hAnsi="仿宋" w:eastAsia="仿宋" w:cs="宋体"/>
          <w:b/>
          <w:color w:val="auto"/>
          <w:sz w:val="24"/>
          <w:szCs w:val="24"/>
        </w:rPr>
      </w:pPr>
      <w:r>
        <w:rPr>
          <w:rFonts w:hint="eastAsia" w:ascii="仿宋" w:hAnsi="仿宋" w:eastAsia="仿宋" w:cs="宋体"/>
          <w:color w:val="auto"/>
          <w:sz w:val="24"/>
          <w:szCs w:val="24"/>
        </w:rPr>
        <w:t>诸暨市人民政府暨阳街道办事处、</w:t>
      </w:r>
      <w:r>
        <w:rPr>
          <w:rFonts w:hint="eastAsia" w:ascii="仿宋" w:hAnsi="仿宋" w:eastAsia="仿宋" w:cs="宋体"/>
          <w:color w:val="auto"/>
          <w:spacing w:val="8"/>
          <w:sz w:val="24"/>
          <w:szCs w:val="24"/>
        </w:rPr>
        <w:t>浙江新顺项目管理有限公司：</w:t>
      </w:r>
    </w:p>
    <w:p w14:paraId="466153F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仿宋"/>
          <w:b/>
          <w:i/>
          <w:color w:val="auto"/>
          <w:sz w:val="24"/>
          <w:szCs w:val="24"/>
          <w:u w:val="single"/>
        </w:rPr>
        <w:t>诸暨市人民政府暨阳街道办事处及下辖社区2025年度疗休养服务采购项目</w:t>
      </w:r>
      <w:r>
        <w:rPr>
          <w:rFonts w:hint="eastAsia" w:ascii="仿宋" w:hAnsi="仿宋" w:eastAsia="仿宋" w:cs="宋体"/>
          <w:b/>
          <w:i/>
          <w:color w:val="auto"/>
          <w:spacing w:val="8"/>
          <w:sz w:val="24"/>
          <w:szCs w:val="24"/>
          <w:u w:val="single"/>
        </w:rPr>
        <w:t>（项目编号：浙江新顺2025-05-08）</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1E73BE5B">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23C07CDA">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18AF8DEF">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12ED3F4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7559F852">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6017CB0B">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592FC01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12CE7917">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07045C9B">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73F25F9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1CD5065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176AC12F">
      <w:pPr>
        <w:spacing w:line="300" w:lineRule="auto"/>
        <w:ind w:firstLine="512" w:firstLineChars="200"/>
        <w:rPr>
          <w:rFonts w:ascii="仿宋" w:hAnsi="仿宋" w:eastAsia="仿宋" w:cs="宋体"/>
          <w:color w:val="auto"/>
          <w:spacing w:val="8"/>
          <w:sz w:val="24"/>
          <w:szCs w:val="24"/>
        </w:rPr>
      </w:pPr>
    </w:p>
    <w:p w14:paraId="697E4EE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3DF993D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59D6126D">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r>
        <w:rPr>
          <w:rFonts w:hint="eastAsia" w:ascii="仿宋" w:hAnsi="仿宋" w:eastAsia="仿宋"/>
          <w:i/>
          <w:color w:val="auto"/>
          <w:sz w:val="24"/>
          <w:szCs w:val="24"/>
        </w:rPr>
        <w:t>。</w:t>
      </w:r>
    </w:p>
    <w:p w14:paraId="753BB262">
      <w:pPr>
        <w:spacing w:beforeLines="100" w:line="48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014DB78A">
      <w:pPr>
        <w:pStyle w:val="3"/>
        <w:spacing w:before="0" w:line="500" w:lineRule="exact"/>
        <w:jc w:val="center"/>
        <w:rPr>
          <w:rFonts w:ascii="仿宋" w:hAnsi="仿宋" w:eastAsia="仿宋" w:cs="宋体"/>
          <w:color w:val="auto"/>
          <w:sz w:val="28"/>
          <w:szCs w:val="28"/>
        </w:rPr>
      </w:pPr>
      <w:r>
        <w:rPr>
          <w:rFonts w:hint="eastAsia" w:ascii="仿宋" w:hAnsi="仿宋" w:eastAsia="仿宋"/>
          <w:color w:val="auto"/>
          <w:sz w:val="28"/>
          <w:szCs w:val="28"/>
        </w:rPr>
        <w:t>二、</w:t>
      </w:r>
      <w:r>
        <w:rPr>
          <w:rFonts w:hint="eastAsia" w:ascii="仿宋" w:hAnsi="仿宋" w:eastAsia="仿宋" w:cs="宋体"/>
          <w:color w:val="auto"/>
          <w:sz w:val="28"/>
          <w:szCs w:val="28"/>
        </w:rPr>
        <w:t>落实政府采购政策需满足的资格要求（如果有）</w:t>
      </w:r>
    </w:p>
    <w:p w14:paraId="2FC131D8">
      <w:pPr>
        <w:spacing w:afterLines="200" w:line="360"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w:t>
      </w:r>
      <w:r>
        <w:rPr>
          <w:rFonts w:hint="eastAsia" w:ascii="仿宋" w:hAnsi="仿宋" w:eastAsia="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olor w:val="auto"/>
          <w:sz w:val="24"/>
          <w:szCs w:val="24"/>
        </w:rPr>
        <w:t>】</w:t>
      </w:r>
    </w:p>
    <w:p w14:paraId="6DB4A5CF">
      <w:pPr>
        <w:pStyle w:val="47"/>
        <w:spacing w:before="0" w:beforeAutospacing="0" w:afterLines="100" w:afterAutospacing="0" w:line="360" w:lineRule="auto"/>
        <w:ind w:firstLine="482" w:firstLineChars="200"/>
        <w:rPr>
          <w:rFonts w:ascii="仿宋" w:hAnsi="仿宋" w:eastAsia="仿宋"/>
          <w:color w:val="auto"/>
        </w:rPr>
      </w:pPr>
      <w:r>
        <w:rPr>
          <w:rFonts w:hint="eastAsia" w:ascii="仿宋" w:hAnsi="仿宋" w:eastAsia="仿宋" w:cs="宋体"/>
          <w:b/>
          <w:color w:val="auto"/>
        </w:rPr>
        <w:t>A</w:t>
      </w:r>
      <w:r>
        <w:rPr>
          <w:rFonts w:hint="eastAsia" w:ascii="仿宋" w:hAnsi="仿宋" w:eastAsia="仿宋" w:cs="宋体"/>
          <w:color w:val="auto"/>
        </w:rPr>
        <w:t>.专门面向中小企业，服务全部由符合政策要求的中小企业（或小微企业）承接的，提供相应的中小企业声明函（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w:t>
      </w:r>
    </w:p>
    <w:p w14:paraId="4A4BE302">
      <w:pPr>
        <w:pStyle w:val="47"/>
        <w:spacing w:before="0" w:beforeAutospacing="0" w:afterLines="100" w:afterAutospacing="0" w:line="360" w:lineRule="auto"/>
        <w:ind w:firstLine="482" w:firstLineChars="200"/>
        <w:rPr>
          <w:rFonts w:ascii="仿宋" w:hAnsi="仿宋" w:eastAsia="仿宋"/>
        </w:rPr>
      </w:pPr>
      <w:r>
        <w:rPr>
          <w:rFonts w:hint="eastAsia" w:ascii="仿宋" w:hAnsi="仿宋" w:eastAsia="仿宋" w:cs="宋体"/>
          <w:b/>
          <w:color w:val="auto"/>
        </w:rPr>
        <w:t>B.</w:t>
      </w:r>
      <w:r>
        <w:rPr>
          <w:rFonts w:hint="eastAsia" w:ascii="仿宋" w:hAnsi="仿宋" w:eastAsia="仿宋" w:cs="宋体"/>
          <w:color w:val="auto"/>
        </w:rPr>
        <w:t>要求以联合体形式参加的，提供联合协议（</w:t>
      </w:r>
      <w:r>
        <w:rPr>
          <w:rFonts w:ascii="楷体" w:hAnsi="楷体" w:eastAsia="楷体" w:cs="宋体"/>
          <w:color w:val="auto"/>
        </w:rPr>
        <w:t>格式见招标文件第六部分“附件</w:t>
      </w:r>
      <w:r>
        <w:rPr>
          <w:rFonts w:hint="eastAsia" w:ascii="楷体" w:hAnsi="楷体" w:eastAsia="楷体" w:cs="宋体"/>
          <w:color w:val="auto"/>
        </w:rPr>
        <w:t>3</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视同符合了资格条件，无需再与其他中小企业组成联合体参加政府采购活动，无需提供联合协议。</w:t>
      </w:r>
    </w:p>
    <w:p w14:paraId="1DF3136D">
      <w:pPr>
        <w:pStyle w:val="47"/>
        <w:spacing w:before="0" w:beforeAutospacing="0" w:afterLines="200" w:afterAutospacing="0" w:line="360" w:lineRule="auto"/>
        <w:ind w:firstLine="482" w:firstLineChars="200"/>
        <w:rPr>
          <w:rFonts w:ascii="楷体" w:hAnsi="楷体" w:eastAsia="楷体"/>
        </w:rPr>
      </w:pPr>
      <w:r>
        <w:rPr>
          <w:rFonts w:hint="eastAsia" w:ascii="仿宋" w:hAnsi="仿宋" w:eastAsia="仿宋" w:cs="宋体"/>
          <w:b/>
          <w:color w:val="auto"/>
        </w:rPr>
        <w:t>C.</w:t>
      </w:r>
      <w:r>
        <w:rPr>
          <w:rFonts w:hint="eastAsia" w:ascii="仿宋" w:hAnsi="仿宋" w:eastAsia="仿宋" w:cs="宋体"/>
          <w:color w:val="auto"/>
        </w:rPr>
        <w:t>要求合同分包的，提供分包意向协议（</w:t>
      </w:r>
      <w:r>
        <w:rPr>
          <w:rFonts w:ascii="楷体" w:hAnsi="楷体" w:eastAsia="楷体" w:cs="宋体"/>
          <w:color w:val="auto"/>
        </w:rPr>
        <w:t>格式见招标文件第六部分“附件</w:t>
      </w:r>
      <w:r>
        <w:rPr>
          <w:rFonts w:hint="eastAsia" w:ascii="楷体" w:hAnsi="楷体" w:eastAsia="楷体" w:cs="宋体"/>
          <w:color w:val="auto"/>
        </w:rPr>
        <w:t>4</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视同符合了资格条件，无需再向中小企业分包，无需提供分包意向协议。</w:t>
      </w:r>
    </w:p>
    <w:p w14:paraId="5414B353">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三、本项目的特定资格要求（如果有）</w:t>
      </w:r>
    </w:p>
    <w:p w14:paraId="685C84CE">
      <w:pPr>
        <w:autoSpaceDE/>
        <w:autoSpaceDN/>
        <w:spacing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说明：根据招标公告中“申请人的资格要求”—“本项目的特定资格要求”提供相应的材料；未要求的，无需提供。</w:t>
      </w:r>
      <w:r>
        <w:rPr>
          <w:rFonts w:ascii="仿宋" w:hAnsi="仿宋" w:eastAsia="仿宋"/>
          <w:color w:val="auto"/>
          <w:sz w:val="24"/>
        </w:rPr>
        <w:t>】</w:t>
      </w:r>
    </w:p>
    <w:p w14:paraId="737F896C">
      <w:pPr>
        <w:autoSpaceDE/>
        <w:autoSpaceDN/>
        <w:spacing w:afterLines="200" w:line="360" w:lineRule="auto"/>
        <w:ind w:firstLine="482" w:firstLineChars="200"/>
        <w:rPr>
          <w:rFonts w:ascii="仿宋" w:hAnsi="仿宋" w:eastAsia="仿宋"/>
          <w:color w:val="auto"/>
          <w:sz w:val="24"/>
        </w:rPr>
      </w:pPr>
      <w:r>
        <w:rPr>
          <w:rFonts w:hint="eastAsia" w:ascii="仿宋" w:hAnsi="仿宋" w:eastAsia="仿宋"/>
          <w:b/>
          <w:color w:val="auto"/>
          <w:sz w:val="24"/>
          <w:szCs w:val="24"/>
        </w:rPr>
        <w:sym w:font="Wingdings" w:char="F0FE"/>
      </w:r>
      <w:r>
        <w:rPr>
          <w:rFonts w:hint="eastAsia" w:ascii="仿宋" w:hAnsi="仿宋" w:eastAsia="仿宋"/>
          <w:color w:val="auto"/>
          <w:sz w:val="24"/>
        </w:rPr>
        <w:t>根据招标公告中“申请人的资格要求”—“本项目的特定资格要求”提供相应的资质证书复印件。</w:t>
      </w:r>
    </w:p>
    <w:p w14:paraId="6A9A0443">
      <w:pPr>
        <w:autoSpaceDE/>
        <w:autoSpaceDN/>
        <w:spacing w:afterLines="200" w:line="360" w:lineRule="auto"/>
        <w:ind w:firstLine="482" w:firstLineChars="200"/>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28E22748">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商务技术文件部分</w:t>
      </w:r>
    </w:p>
    <w:p w14:paraId="0327E54A">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0A706300">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（1）投标函</w:t>
      </w:r>
      <w:r>
        <w:rPr>
          <w:rFonts w:ascii="仿宋" w:hAnsi="仿宋" w:eastAsia="仿宋" w:cs="宋体"/>
          <w:color w:val="auto"/>
          <w:sz w:val="24"/>
        </w:rPr>
        <w:t>…………………………………………………………………………</w:t>
      </w:r>
      <w:r>
        <w:rPr>
          <w:rFonts w:hint="eastAsia" w:ascii="仿宋" w:hAnsi="仿宋" w:eastAsia="仿宋" w:cs="宋体"/>
          <w:color w:val="auto"/>
          <w:sz w:val="24"/>
        </w:rPr>
        <w:t>（页码）</w:t>
      </w:r>
    </w:p>
    <w:p w14:paraId="4211FF43">
      <w:pPr>
        <w:snapToGrid w:val="0"/>
        <w:spacing w:line="360" w:lineRule="auto"/>
        <w:ind w:firstLine="240" w:firstLineChars="100"/>
        <w:rPr>
          <w:rFonts w:ascii="仿宋" w:hAnsi="仿宋" w:eastAsia="仿宋" w:cs="宋体"/>
          <w:sz w:val="24"/>
        </w:rPr>
      </w:pPr>
      <w:r>
        <w:rPr>
          <w:rFonts w:hint="eastAsia" w:ascii="仿宋" w:hAnsi="仿宋" w:eastAsia="仿宋" w:cs="宋体"/>
          <w:snapToGrid w:val="0"/>
          <w:color w:val="auto"/>
          <w:kern w:val="28"/>
          <w:sz w:val="24"/>
          <w:szCs w:val="20"/>
        </w:rPr>
        <w:t>（2）授权委托书或法定代表人（单位负责人、自然人本人）身份证明</w:t>
      </w:r>
      <w:r>
        <w:rPr>
          <w:rFonts w:hint="eastAsia" w:ascii="仿宋" w:hAnsi="仿宋" w:eastAsia="仿宋" w:cs="宋体"/>
          <w:color w:val="auto"/>
          <w:sz w:val="24"/>
        </w:rPr>
        <w:t>………（页码）</w:t>
      </w:r>
    </w:p>
    <w:p w14:paraId="504824E9">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（3）符合性审查资料</w:t>
      </w:r>
      <w:r>
        <w:rPr>
          <w:rFonts w:ascii="仿宋" w:hAnsi="仿宋" w:eastAsia="仿宋" w:cs="宋体"/>
          <w:color w:val="auto"/>
          <w:sz w:val="24"/>
        </w:rPr>
        <w:t>………………………………………………………………</w:t>
      </w:r>
      <w:r>
        <w:rPr>
          <w:rFonts w:hint="eastAsia" w:ascii="仿宋" w:hAnsi="仿宋" w:eastAsia="仿宋" w:cs="宋体"/>
          <w:color w:val="auto"/>
          <w:sz w:val="24"/>
        </w:rPr>
        <w:t>（页码）</w:t>
      </w:r>
    </w:p>
    <w:p w14:paraId="3E16BBBC">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（4）评标标准相应的商务技术资料</w:t>
      </w:r>
      <w:r>
        <w:rPr>
          <w:rFonts w:ascii="仿宋" w:hAnsi="仿宋" w:eastAsia="仿宋" w:cs="宋体"/>
          <w:color w:val="auto"/>
          <w:sz w:val="24"/>
        </w:rPr>
        <w:t>………………………………………………</w:t>
      </w:r>
      <w:r>
        <w:rPr>
          <w:rFonts w:hint="eastAsia" w:ascii="仿宋" w:hAnsi="仿宋" w:eastAsia="仿宋" w:cs="宋体"/>
          <w:color w:val="auto"/>
          <w:sz w:val="24"/>
        </w:rPr>
        <w:t>（页码）</w:t>
      </w:r>
    </w:p>
    <w:p w14:paraId="0BD87A20">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（5）投标标的清单</w:t>
      </w:r>
      <w:r>
        <w:rPr>
          <w:rFonts w:ascii="仿宋" w:hAnsi="仿宋" w:eastAsia="仿宋" w:cs="宋体"/>
          <w:color w:val="auto"/>
          <w:sz w:val="24"/>
        </w:rPr>
        <w:t>…………………………………………………………………</w:t>
      </w:r>
      <w:r>
        <w:rPr>
          <w:rFonts w:hint="eastAsia" w:ascii="仿宋" w:hAnsi="仿宋" w:eastAsia="仿宋" w:cs="宋体"/>
          <w:color w:val="auto"/>
          <w:sz w:val="24"/>
        </w:rPr>
        <w:t>（页码）</w:t>
      </w:r>
    </w:p>
    <w:p w14:paraId="33CA0D3A">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（6）商务技术偏离表</w:t>
      </w:r>
      <w:r>
        <w:rPr>
          <w:rFonts w:ascii="仿宋" w:hAnsi="仿宋" w:eastAsia="仿宋" w:cs="宋体"/>
          <w:color w:val="auto"/>
          <w:sz w:val="24"/>
        </w:rPr>
        <w:t>………………………………………………………………</w:t>
      </w:r>
      <w:r>
        <w:rPr>
          <w:rFonts w:hint="eastAsia" w:ascii="仿宋" w:hAnsi="仿宋" w:eastAsia="仿宋" w:cs="宋体"/>
          <w:color w:val="auto"/>
          <w:sz w:val="24"/>
        </w:rPr>
        <w:t>（页码）</w:t>
      </w:r>
    </w:p>
    <w:p w14:paraId="6290904D">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（7）政府采购供应商廉洁自律承诺书</w:t>
      </w:r>
      <w:r>
        <w:rPr>
          <w:rFonts w:ascii="仿宋" w:hAnsi="仿宋" w:eastAsia="仿宋" w:cs="宋体"/>
          <w:color w:val="auto"/>
          <w:sz w:val="24"/>
        </w:rPr>
        <w:t>……………………………………………</w:t>
      </w:r>
      <w:r>
        <w:rPr>
          <w:rFonts w:hint="eastAsia" w:ascii="仿宋" w:hAnsi="仿宋" w:eastAsia="仿宋" w:cs="宋体"/>
          <w:color w:val="auto"/>
          <w:sz w:val="24"/>
        </w:rPr>
        <w:t>（页码）</w:t>
      </w:r>
    </w:p>
    <w:p w14:paraId="3D24C8F2">
      <w:pPr>
        <w:spacing w:line="360" w:lineRule="auto"/>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1362BC5A">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一、投标函</w:t>
      </w:r>
    </w:p>
    <w:p w14:paraId="476720D1">
      <w:pPr>
        <w:spacing w:line="360" w:lineRule="auto"/>
        <w:rPr>
          <w:rFonts w:ascii="仿宋" w:hAnsi="仿宋" w:eastAsia="仿宋" w:cs="宋体"/>
          <w:color w:val="auto"/>
          <w:spacing w:val="8"/>
          <w:sz w:val="24"/>
          <w:szCs w:val="24"/>
        </w:rPr>
      </w:pPr>
      <w:r>
        <w:rPr>
          <w:rFonts w:hint="eastAsia" w:ascii="仿宋" w:hAnsi="仿宋" w:eastAsia="仿宋" w:cs="宋体"/>
          <w:color w:val="auto"/>
          <w:sz w:val="24"/>
          <w:szCs w:val="24"/>
        </w:rPr>
        <w:t>诸暨市人民政府暨阳街道办事处</w:t>
      </w:r>
      <w:r>
        <w:rPr>
          <w:rFonts w:hint="eastAsia" w:ascii="仿宋" w:hAnsi="仿宋" w:eastAsia="仿宋" w:cs="宋体"/>
          <w:color w:val="auto"/>
          <w:spacing w:val="8"/>
          <w:sz w:val="24"/>
          <w:szCs w:val="24"/>
        </w:rPr>
        <w:t>、浙江新顺项目管理有限公司：</w:t>
      </w:r>
    </w:p>
    <w:p w14:paraId="1E00D1FB">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仿宋"/>
          <w:b/>
          <w:i/>
          <w:color w:val="auto"/>
          <w:sz w:val="24"/>
          <w:szCs w:val="24"/>
          <w:u w:val="single"/>
        </w:rPr>
        <w:t>诸暨市人民政府暨阳街道办事处及下辖社区2025年度疗休养服务采购项目</w:t>
      </w:r>
      <w:r>
        <w:rPr>
          <w:rFonts w:ascii="仿宋" w:hAnsi="仿宋" w:eastAsia="仿宋"/>
          <w:b/>
          <w:i/>
          <w:sz w:val="24"/>
          <w:szCs w:val="24"/>
          <w:u w:val="single"/>
        </w:rPr>
        <w:t>（项目编号：浙江新顺</w:t>
      </w:r>
      <w:r>
        <w:rPr>
          <w:rFonts w:hint="eastAsia" w:ascii="仿宋" w:hAnsi="仿宋" w:eastAsia="仿宋"/>
          <w:b/>
          <w:i/>
          <w:sz w:val="24"/>
          <w:szCs w:val="24"/>
          <w:u w:val="single"/>
        </w:rPr>
        <w:t>2025-05-08</w:t>
      </w:r>
      <w:r>
        <w:rPr>
          <w:rFonts w:ascii="仿宋" w:hAnsi="仿宋" w:eastAsia="仿宋"/>
          <w:b/>
          <w:i/>
          <w:sz w:val="24"/>
          <w:szCs w:val="24"/>
          <w:u w:val="single"/>
        </w:rPr>
        <w:t>）</w:t>
      </w:r>
      <w:r>
        <w:rPr>
          <w:rFonts w:hint="eastAsia" w:ascii="仿宋" w:hAnsi="仿宋" w:eastAsia="仿宋"/>
          <w:color w:val="auto"/>
          <w:sz w:val="24"/>
          <w:szCs w:val="24"/>
        </w:rPr>
        <w:t>招标的有关活动，并对此项目进行投标。为此：</w:t>
      </w:r>
    </w:p>
    <w:p w14:paraId="42B8E96B">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2BD514A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2、我方的投标文件包括以下内容：</w:t>
      </w:r>
    </w:p>
    <w:p w14:paraId="5925D295">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2.1资格文件：</w:t>
      </w:r>
    </w:p>
    <w:p w14:paraId="4C327B8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2.1.1承诺函；</w:t>
      </w:r>
    </w:p>
    <w:p w14:paraId="78BC4336">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2.1.2落实政府采购政策需满足的资格要求（如果有）；</w:t>
      </w:r>
    </w:p>
    <w:p w14:paraId="577AAC1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2.1.3本项目的特定资格要求（如果有）。</w:t>
      </w:r>
    </w:p>
    <w:p w14:paraId="6FB371C7">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2.2商务技术文件：</w:t>
      </w:r>
    </w:p>
    <w:p w14:paraId="0A9038FA">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2.2.1投标函；</w:t>
      </w:r>
    </w:p>
    <w:p w14:paraId="4F05DFC9">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2.2.2授权委托书或法定代表人（单位负责人）身份证明；</w:t>
      </w:r>
    </w:p>
    <w:p w14:paraId="6BE9CFFA">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2.2.3符合性审查资料；</w:t>
      </w:r>
    </w:p>
    <w:p w14:paraId="2FD494F9">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2.2.4评标标准相应的商务技术资料；</w:t>
      </w:r>
    </w:p>
    <w:p w14:paraId="335165F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2.2.5投标标的清单；</w:t>
      </w:r>
    </w:p>
    <w:p w14:paraId="3C5C3405">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2.2.6商务技术偏离表；</w:t>
      </w:r>
    </w:p>
    <w:p w14:paraId="32F65388">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2.2.7政府采购供应商廉洁自律承诺书；</w:t>
      </w:r>
    </w:p>
    <w:p w14:paraId="48C1F3A6">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2.3报价文件</w:t>
      </w:r>
    </w:p>
    <w:p w14:paraId="4FE7BC2D">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2.3.1开标一览表（报价表）。</w:t>
      </w:r>
    </w:p>
    <w:p w14:paraId="7EAC3155">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我方承诺除商务技术偏离表列出的偏离外，我方响应招标文件的全部要求。对投标文件中材料的真实性、合法性负责。</w:t>
      </w:r>
    </w:p>
    <w:p w14:paraId="29219F5D">
      <w:pPr>
        <w:spacing w:line="360" w:lineRule="auto"/>
        <w:ind w:firstLine="480" w:firstLineChars="200"/>
        <w:rPr>
          <w:rFonts w:ascii="仿宋" w:hAnsi="仿宋" w:eastAsia="仿宋"/>
          <w:color w:val="auto"/>
          <w:sz w:val="24"/>
        </w:rPr>
      </w:pPr>
      <w:r>
        <w:rPr>
          <w:rFonts w:hint="eastAsia" w:ascii="仿宋" w:hAnsi="仿宋" w:eastAsia="仿宋"/>
          <w:color w:val="auto"/>
          <w:sz w:val="24"/>
        </w:rPr>
        <w:t>4、如我方中标，我方承诺：</w:t>
      </w:r>
    </w:p>
    <w:p w14:paraId="34245AE5">
      <w:pPr>
        <w:spacing w:line="360" w:lineRule="auto"/>
        <w:ind w:firstLine="720" w:firstLineChars="300"/>
        <w:rPr>
          <w:rFonts w:ascii="仿宋" w:hAnsi="仿宋" w:eastAsia="仿宋"/>
          <w:color w:val="auto"/>
          <w:sz w:val="24"/>
        </w:rPr>
      </w:pPr>
      <w:r>
        <w:rPr>
          <w:rFonts w:hint="eastAsia" w:ascii="仿宋" w:hAnsi="仿宋" w:eastAsia="仿宋"/>
          <w:color w:val="auto"/>
          <w:sz w:val="24"/>
        </w:rPr>
        <w:t>4.1在收到中标通知书后，在中标通知书规定的期限内与你方签订合同；</w:t>
      </w:r>
    </w:p>
    <w:p w14:paraId="4B9D3912">
      <w:pPr>
        <w:spacing w:line="360" w:lineRule="auto"/>
        <w:ind w:firstLine="720" w:firstLineChars="300"/>
        <w:rPr>
          <w:rFonts w:ascii="仿宋" w:hAnsi="仿宋" w:eastAsia="仿宋"/>
          <w:color w:val="auto"/>
          <w:sz w:val="24"/>
        </w:rPr>
      </w:pPr>
      <w:r>
        <w:rPr>
          <w:rFonts w:hint="eastAsia" w:ascii="仿宋" w:hAnsi="仿宋" w:eastAsia="仿宋"/>
          <w:color w:val="auto"/>
          <w:sz w:val="24"/>
        </w:rPr>
        <w:t>4.2在签订合同时不向你方提出附加条件；</w:t>
      </w:r>
    </w:p>
    <w:p w14:paraId="2AA54601">
      <w:pPr>
        <w:spacing w:line="360" w:lineRule="auto"/>
        <w:ind w:firstLine="720" w:firstLineChars="300"/>
        <w:rPr>
          <w:rFonts w:ascii="仿宋" w:hAnsi="仿宋" w:eastAsia="仿宋"/>
          <w:color w:val="auto"/>
          <w:sz w:val="24"/>
        </w:rPr>
      </w:pPr>
      <w:r>
        <w:rPr>
          <w:rFonts w:hint="eastAsia" w:ascii="仿宋" w:hAnsi="仿宋" w:eastAsia="仿宋"/>
          <w:color w:val="auto"/>
          <w:sz w:val="24"/>
        </w:rPr>
        <w:t>4.3按照招标文件要求提交履约保证金；</w:t>
      </w:r>
    </w:p>
    <w:p w14:paraId="44944ED7">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rPr>
        <w:t>4.4在合同约定的期限内完成合同规定的全部义务。</w:t>
      </w:r>
    </w:p>
    <w:p w14:paraId="311156F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5、其他补充说明：_________。</w:t>
      </w:r>
    </w:p>
    <w:p w14:paraId="696D638F">
      <w:pPr>
        <w:spacing w:line="360" w:lineRule="auto"/>
        <w:rPr>
          <w:rFonts w:ascii="仿宋" w:hAnsi="仿宋" w:eastAsia="仿宋"/>
          <w:color w:val="auto"/>
          <w:sz w:val="24"/>
          <w:szCs w:val="24"/>
        </w:rPr>
      </w:pPr>
    </w:p>
    <w:p w14:paraId="16406644">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1E4B4592">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5F5E4E18">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14:paraId="65CAB0B2">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68CB737E">
      <w:pPr>
        <w:pStyle w:val="3"/>
        <w:spacing w:before="0" w:afterLines="300" w:line="500" w:lineRule="exact"/>
        <w:jc w:val="center"/>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44B69CFB">
      <w:pPr>
        <w:pStyle w:val="3"/>
        <w:spacing w:before="0" w:after="0" w:line="500" w:lineRule="exact"/>
        <w:jc w:val="center"/>
        <w:rPr>
          <w:rFonts w:ascii="仿宋" w:hAnsi="仿宋" w:eastAsia="仿宋"/>
          <w:color w:val="auto"/>
          <w:sz w:val="28"/>
          <w:szCs w:val="28"/>
        </w:rPr>
      </w:pPr>
      <w:r>
        <w:rPr>
          <w:rFonts w:hint="eastAsia" w:ascii="仿宋" w:hAnsi="仿宋" w:eastAsia="仿宋"/>
          <w:color w:val="auto"/>
          <w:sz w:val="28"/>
          <w:szCs w:val="28"/>
        </w:rPr>
        <w:t>授权委托书</w:t>
      </w:r>
    </w:p>
    <w:p w14:paraId="26D32143">
      <w:pPr>
        <w:spacing w:line="360" w:lineRule="auto"/>
        <w:rPr>
          <w:rFonts w:ascii="仿宋" w:hAnsi="仿宋" w:eastAsia="仿宋" w:cs="宋体"/>
          <w:color w:val="auto"/>
          <w:spacing w:val="8"/>
          <w:sz w:val="24"/>
          <w:szCs w:val="24"/>
        </w:rPr>
      </w:pPr>
    </w:p>
    <w:p w14:paraId="312A4B5C">
      <w:pPr>
        <w:spacing w:line="360" w:lineRule="auto"/>
        <w:rPr>
          <w:rFonts w:ascii="仿宋" w:hAnsi="仿宋" w:eastAsia="仿宋" w:cs="宋体"/>
          <w:color w:val="auto"/>
          <w:spacing w:val="8"/>
          <w:sz w:val="24"/>
          <w:szCs w:val="24"/>
        </w:rPr>
      </w:pPr>
      <w:r>
        <w:rPr>
          <w:rFonts w:hint="eastAsia" w:ascii="仿宋" w:hAnsi="仿宋" w:eastAsia="仿宋" w:cs="宋体"/>
          <w:color w:val="auto"/>
          <w:sz w:val="24"/>
          <w:szCs w:val="24"/>
        </w:rPr>
        <w:t>诸暨市人民政府暨阳街道办事处</w:t>
      </w:r>
      <w:r>
        <w:rPr>
          <w:rFonts w:hint="eastAsia" w:ascii="仿宋" w:hAnsi="仿宋" w:eastAsia="仿宋" w:cs="宋体"/>
          <w:color w:val="auto"/>
          <w:spacing w:val="8"/>
          <w:sz w:val="24"/>
          <w:szCs w:val="24"/>
        </w:rPr>
        <w:t>、浙江新顺项目管理有限公司：</w:t>
      </w:r>
    </w:p>
    <w:p w14:paraId="53286637">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仿宋"/>
          <w:b/>
          <w:i/>
          <w:color w:val="auto"/>
          <w:sz w:val="24"/>
          <w:szCs w:val="24"/>
          <w:u w:val="single"/>
        </w:rPr>
        <w:t>诸暨市人民政府暨阳街道办事处及下辖社区2025年度疗休养服务采购项目</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rPr>
        <w:t>浙江新顺</w:t>
      </w:r>
      <w:r>
        <w:rPr>
          <w:rFonts w:ascii="仿宋" w:hAnsi="仿宋" w:eastAsia="仿宋" w:cs="Arial"/>
          <w:b/>
          <w:i/>
          <w:color w:val="auto"/>
          <w:sz w:val="24"/>
          <w:szCs w:val="22"/>
          <w:u w:val="single"/>
        </w:rPr>
        <w:t>202</w:t>
      </w:r>
      <w:r>
        <w:rPr>
          <w:rFonts w:hint="eastAsia" w:ascii="仿宋" w:hAnsi="仿宋" w:eastAsia="仿宋" w:cs="Arial"/>
          <w:b/>
          <w:i/>
          <w:color w:val="auto"/>
          <w:sz w:val="24"/>
          <w:szCs w:val="22"/>
          <w:u w:val="single"/>
        </w:rPr>
        <w:t>5</w:t>
      </w:r>
      <w:r>
        <w:rPr>
          <w:rFonts w:ascii="仿宋" w:hAnsi="仿宋" w:eastAsia="仿宋" w:cs="Arial"/>
          <w:b/>
          <w:i/>
          <w:color w:val="auto"/>
          <w:sz w:val="24"/>
          <w:szCs w:val="22"/>
          <w:u w:val="single"/>
        </w:rPr>
        <w:t>-</w:t>
      </w:r>
      <w:r>
        <w:rPr>
          <w:rFonts w:hint="eastAsia" w:ascii="仿宋" w:hAnsi="仿宋" w:eastAsia="仿宋" w:cs="Arial"/>
          <w:b/>
          <w:i/>
          <w:color w:val="auto"/>
          <w:sz w:val="24"/>
          <w:szCs w:val="22"/>
          <w:u w:val="single"/>
        </w:rPr>
        <w:t>05</w:t>
      </w:r>
      <w:r>
        <w:rPr>
          <w:rFonts w:ascii="仿宋" w:hAnsi="仿宋" w:eastAsia="仿宋" w:cs="Arial"/>
          <w:b/>
          <w:i/>
          <w:color w:val="auto"/>
          <w:sz w:val="24"/>
          <w:szCs w:val="22"/>
          <w:u w:val="single"/>
        </w:rPr>
        <w:t>-</w:t>
      </w:r>
      <w:r>
        <w:rPr>
          <w:rFonts w:hint="eastAsia" w:ascii="仿宋" w:hAnsi="仿宋" w:eastAsia="仿宋" w:cs="Arial"/>
          <w:b/>
          <w:i/>
          <w:color w:val="auto"/>
          <w:sz w:val="24"/>
          <w:szCs w:val="22"/>
          <w:u w:val="single"/>
        </w:rPr>
        <w:t>08</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14:paraId="48461717">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22C061A8">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415DA7B6">
      <w:pPr>
        <w:spacing w:line="360" w:lineRule="auto"/>
        <w:ind w:firstLine="482" w:firstLineChars="200"/>
        <w:rPr>
          <w:rFonts w:ascii="仿宋" w:hAnsi="仿宋" w:eastAsia="仿宋" w:cs="Arial"/>
          <w:b/>
          <w:color w:val="auto"/>
          <w:sz w:val="24"/>
          <w:szCs w:val="22"/>
        </w:rPr>
      </w:pPr>
    </w:p>
    <w:p w14:paraId="20B39CD1">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5EB77970">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7749511F">
      <w:pPr>
        <w:spacing w:line="360" w:lineRule="auto"/>
        <w:ind w:firstLine="425"/>
        <w:jc w:val="left"/>
      </w:pPr>
    </w:p>
    <w:p w14:paraId="63071431">
      <w:pPr>
        <w:spacing w:beforeLines="100" w:line="300" w:lineRule="auto"/>
        <w:ind w:firstLine="456" w:firstLineChars="200"/>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71BCD1AF">
      <w:pPr>
        <w:widowControl/>
        <w:tabs>
          <w:tab w:val="left" w:pos="350"/>
          <w:tab w:val="left" w:pos="8280"/>
        </w:tabs>
        <w:spacing w:afterLines="200" w:line="360" w:lineRule="auto"/>
        <w:ind w:firstLine="561" w:firstLineChars="245"/>
        <w:rPr>
          <w:rFonts w:ascii="仿宋" w:hAnsi="仿宋" w:eastAsia="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5FAA966F">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1686FCC9">
      <w:pPr>
        <w:spacing w:line="360" w:lineRule="auto"/>
        <w:ind w:firstLine="54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6F25756C">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161BE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4498E11F">
            <w:pPr>
              <w:rPr>
                <w:rFonts w:ascii="仿宋" w:hAnsi="仿宋" w:eastAsia="仿宋" w:cs="Arial"/>
                <w:color w:val="auto"/>
                <w:sz w:val="24"/>
                <w:szCs w:val="24"/>
              </w:rPr>
            </w:pPr>
            <w:r>
              <w:rPr>
                <w:rFonts w:hint="eastAsia" w:ascii="仿宋" w:hAnsi="仿宋" w:eastAsia="仿宋" w:cs="Arial"/>
                <w:color w:val="auto"/>
                <w:sz w:val="24"/>
                <w:szCs w:val="24"/>
              </w:rPr>
              <w:t>正面：</w:t>
            </w:r>
          </w:p>
        </w:tc>
        <w:tc>
          <w:tcPr>
            <w:tcW w:w="4573" w:type="dxa"/>
          </w:tcPr>
          <w:p w14:paraId="2FA3D14E">
            <w:pPr>
              <w:jc w:val="left"/>
              <w:rPr>
                <w:rFonts w:ascii="仿宋" w:hAnsi="仿宋" w:eastAsia="仿宋" w:cs="Arial"/>
                <w:color w:val="auto"/>
                <w:sz w:val="24"/>
                <w:szCs w:val="24"/>
              </w:rPr>
            </w:pPr>
            <w:r>
              <w:rPr>
                <w:rFonts w:hint="eastAsia" w:ascii="仿宋" w:hAnsi="仿宋" w:eastAsia="仿宋" w:cs="Arial"/>
                <w:color w:val="auto"/>
                <w:sz w:val="24"/>
                <w:szCs w:val="24"/>
              </w:rPr>
              <w:t>反面：</w:t>
            </w:r>
          </w:p>
        </w:tc>
      </w:tr>
    </w:tbl>
    <w:p w14:paraId="5EC44BBA">
      <w:pPr>
        <w:spacing w:line="360" w:lineRule="auto"/>
        <w:ind w:firstLine="480" w:firstLineChars="200"/>
        <w:rPr>
          <w:rFonts w:ascii="仿宋" w:hAnsi="仿宋" w:eastAsia="仿宋" w:cs="Arial"/>
          <w:color w:val="auto"/>
          <w:sz w:val="24"/>
          <w:szCs w:val="22"/>
        </w:rPr>
      </w:pPr>
    </w:p>
    <w:p w14:paraId="70A39842">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45D8ABC2">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1A5EE9E0">
      <w:pPr>
        <w:spacing w:line="360" w:lineRule="auto"/>
        <w:jc w:val="left"/>
        <w:rPr>
          <w:rFonts w:ascii="仿宋" w:hAnsi="仿宋" w:eastAsia="仿宋" w:cs="Arial"/>
          <w:color w:val="auto"/>
          <w:sz w:val="24"/>
          <w:szCs w:val="22"/>
        </w:rPr>
      </w:pPr>
    </w:p>
    <w:p w14:paraId="06C71835">
      <w:pPr>
        <w:spacing w:line="360" w:lineRule="auto"/>
        <w:jc w:val="left"/>
        <w:rPr>
          <w:rFonts w:ascii="仿宋" w:hAnsi="仿宋" w:eastAsia="仿宋" w:cs="Arial"/>
          <w:color w:val="auto"/>
          <w:sz w:val="24"/>
          <w:szCs w:val="22"/>
        </w:rPr>
      </w:pPr>
    </w:p>
    <w:p w14:paraId="2399F895">
      <w:pPr>
        <w:spacing w:line="300" w:lineRule="auto"/>
        <w:ind w:firstLine="456" w:firstLineChars="200"/>
        <w:rPr>
          <w:rFonts w:ascii="仿宋" w:hAnsi="仿宋" w:eastAsia="仿宋" w:cs="Arial"/>
          <w:color w:val="auto"/>
          <w:sz w:val="24"/>
          <w:szCs w:val="22"/>
        </w:r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31A3F342">
      <w:pPr>
        <w:pStyle w:val="3"/>
        <w:spacing w:before="0" w:line="500" w:lineRule="exact"/>
        <w:jc w:val="center"/>
        <w:rPr>
          <w:rFonts w:ascii="仿宋" w:hAnsi="仿宋" w:eastAsia="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4F16ACC1">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三、符合性审查资料</w:t>
      </w:r>
    </w:p>
    <w:tbl>
      <w:tblPr>
        <w:tblStyle w:val="5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2FE2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20D86AA">
            <w:pPr>
              <w:snapToGrid w:val="0"/>
              <w:jc w:val="center"/>
              <w:rPr>
                <w:rFonts w:ascii="宋体" w:hAnsi="宋体" w:cs="宋体"/>
                <w:b/>
                <w:sz w:val="24"/>
              </w:rPr>
            </w:pPr>
            <w:r>
              <w:rPr>
                <w:rFonts w:hint="eastAsia" w:ascii="宋体" w:hAnsi="宋体" w:cs="宋体"/>
                <w:b/>
                <w:color w:val="auto"/>
                <w:sz w:val="24"/>
              </w:rPr>
              <w:t>序号</w:t>
            </w:r>
          </w:p>
        </w:tc>
        <w:tc>
          <w:tcPr>
            <w:tcW w:w="4271" w:type="dxa"/>
            <w:vAlign w:val="center"/>
          </w:tcPr>
          <w:p w14:paraId="7C91C1E3">
            <w:pPr>
              <w:snapToGrid w:val="0"/>
              <w:jc w:val="center"/>
              <w:rPr>
                <w:rFonts w:ascii="宋体" w:hAnsi="宋体" w:cs="宋体"/>
                <w:b/>
                <w:sz w:val="24"/>
              </w:rPr>
            </w:pPr>
            <w:r>
              <w:rPr>
                <w:rFonts w:hint="eastAsia" w:ascii="宋体" w:hAnsi="宋体" w:cs="宋体"/>
                <w:b/>
                <w:color w:val="auto"/>
                <w:sz w:val="24"/>
              </w:rPr>
              <w:t>实质性要求</w:t>
            </w:r>
          </w:p>
        </w:tc>
        <w:tc>
          <w:tcPr>
            <w:tcW w:w="3271" w:type="dxa"/>
            <w:vAlign w:val="center"/>
          </w:tcPr>
          <w:p w14:paraId="293FA3D2">
            <w:pPr>
              <w:snapToGrid w:val="0"/>
              <w:jc w:val="center"/>
              <w:rPr>
                <w:rFonts w:ascii="宋体" w:hAnsi="宋体" w:cs="宋体"/>
                <w:b/>
                <w:sz w:val="24"/>
              </w:rPr>
            </w:pPr>
            <w:r>
              <w:rPr>
                <w:rFonts w:hint="eastAsia" w:ascii="宋体" w:hAnsi="宋体" w:cs="宋体"/>
                <w:b/>
                <w:color w:val="auto"/>
                <w:sz w:val="24"/>
              </w:rPr>
              <w:t>需要提供的符合性审查资料</w:t>
            </w:r>
          </w:p>
        </w:tc>
        <w:tc>
          <w:tcPr>
            <w:tcW w:w="1418" w:type="dxa"/>
            <w:vAlign w:val="center"/>
          </w:tcPr>
          <w:p w14:paraId="36E2F70D">
            <w:pPr>
              <w:snapToGrid w:val="0"/>
              <w:jc w:val="center"/>
              <w:rPr>
                <w:rFonts w:ascii="宋体" w:hAnsi="宋体" w:cs="宋体"/>
                <w:b/>
                <w:sz w:val="24"/>
              </w:rPr>
            </w:pPr>
            <w:r>
              <w:rPr>
                <w:rFonts w:hint="eastAsia" w:ascii="宋体" w:hAnsi="宋体" w:cs="宋体"/>
                <w:b/>
                <w:color w:val="auto"/>
                <w:sz w:val="24"/>
              </w:rPr>
              <w:t>投标文件中的页码位置</w:t>
            </w:r>
          </w:p>
        </w:tc>
      </w:tr>
      <w:tr w14:paraId="38E6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9552079">
            <w:pPr>
              <w:jc w:val="center"/>
              <w:rPr>
                <w:rFonts w:ascii="宋体" w:hAnsi="宋体" w:cs="宋体"/>
                <w:sz w:val="24"/>
              </w:rPr>
            </w:pPr>
            <w:r>
              <w:rPr>
                <w:rFonts w:hint="eastAsia" w:ascii="宋体" w:hAnsi="宋体" w:cs="宋体"/>
                <w:color w:val="auto"/>
                <w:sz w:val="24"/>
              </w:rPr>
              <w:t>1</w:t>
            </w:r>
          </w:p>
        </w:tc>
        <w:tc>
          <w:tcPr>
            <w:tcW w:w="4271" w:type="dxa"/>
            <w:vAlign w:val="center"/>
          </w:tcPr>
          <w:p w14:paraId="37D7D9CC">
            <w:pPr>
              <w:rPr>
                <w:rFonts w:ascii="宋体" w:hAnsi="宋体" w:cs="宋体"/>
                <w:sz w:val="24"/>
              </w:rPr>
            </w:pPr>
            <w:r>
              <w:rPr>
                <w:rFonts w:hint="eastAsia" w:ascii="宋体" w:hAnsi="宋体" w:cs="宋体"/>
                <w:color w:val="auto"/>
                <w:sz w:val="24"/>
              </w:rPr>
              <w:t>投标文件按照招标文件要求签署、盖章。</w:t>
            </w:r>
          </w:p>
        </w:tc>
        <w:tc>
          <w:tcPr>
            <w:tcW w:w="3271" w:type="dxa"/>
            <w:vAlign w:val="center"/>
          </w:tcPr>
          <w:p w14:paraId="3BC23E06">
            <w:pPr>
              <w:rPr>
                <w:rFonts w:ascii="宋体" w:hAnsi="宋体" w:cs="宋体"/>
                <w:sz w:val="24"/>
              </w:rPr>
            </w:pPr>
            <w:r>
              <w:rPr>
                <w:rFonts w:hint="eastAsia" w:ascii="宋体" w:hAnsi="宋体" w:cs="宋体"/>
                <w:color w:val="auto"/>
                <w:sz w:val="24"/>
              </w:rPr>
              <w:t>需要使用电子签名或者签字盖章的投标文件的组成部分</w:t>
            </w:r>
          </w:p>
        </w:tc>
        <w:tc>
          <w:tcPr>
            <w:tcW w:w="1418" w:type="dxa"/>
            <w:vAlign w:val="center"/>
          </w:tcPr>
          <w:p w14:paraId="5DDD7B29">
            <w:pPr>
              <w:rPr>
                <w:rFonts w:ascii="宋体" w:hAnsi="宋体" w:cs="宋体"/>
                <w:sz w:val="24"/>
              </w:rPr>
            </w:pPr>
          </w:p>
          <w:p w14:paraId="04F23873">
            <w:pPr>
              <w:rPr>
                <w:rFonts w:ascii="宋体" w:hAnsi="宋体" w:cs="宋体"/>
                <w:sz w:val="24"/>
              </w:rPr>
            </w:pPr>
            <w:r>
              <w:rPr>
                <w:rFonts w:hint="eastAsia" w:ascii="宋体" w:hAnsi="宋体" w:cs="宋体"/>
                <w:color w:val="auto"/>
                <w:sz w:val="24"/>
              </w:rPr>
              <w:t>见投标文件</w:t>
            </w:r>
          </w:p>
          <w:p w14:paraId="135F3179">
            <w:pPr>
              <w:rPr>
                <w:rFonts w:ascii="宋体" w:hAnsi="宋体" w:cs="宋体"/>
              </w:rPr>
            </w:pPr>
            <w:r>
              <w:rPr>
                <w:rFonts w:hint="eastAsia" w:ascii="宋体" w:hAnsi="宋体" w:cs="宋体"/>
                <w:color w:val="auto"/>
                <w:sz w:val="24"/>
              </w:rPr>
              <w:t>第__页</w:t>
            </w:r>
          </w:p>
        </w:tc>
      </w:tr>
      <w:tr w14:paraId="47BB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3AEEED">
            <w:pPr>
              <w:jc w:val="center"/>
              <w:rPr>
                <w:rFonts w:ascii="宋体" w:hAnsi="宋体" w:cs="宋体"/>
                <w:sz w:val="24"/>
              </w:rPr>
            </w:pPr>
            <w:r>
              <w:rPr>
                <w:rFonts w:hint="eastAsia" w:ascii="宋体" w:hAnsi="宋体" w:cs="宋体"/>
                <w:color w:val="auto"/>
                <w:sz w:val="24"/>
              </w:rPr>
              <w:t>2</w:t>
            </w:r>
          </w:p>
        </w:tc>
        <w:tc>
          <w:tcPr>
            <w:tcW w:w="4271" w:type="dxa"/>
            <w:vAlign w:val="center"/>
          </w:tcPr>
          <w:p w14:paraId="51B5EB2C">
            <w:pPr>
              <w:rPr>
                <w:rFonts w:ascii="宋体" w:hAnsi="宋体" w:cs="宋体"/>
                <w:sz w:val="24"/>
              </w:rPr>
            </w:pPr>
            <w:r>
              <w:rPr>
                <w:rFonts w:hint="eastAsia" w:ascii="宋体" w:hAnsi="宋体" w:cs="宋体"/>
                <w:color w:val="auto"/>
                <w:sz w:val="24"/>
              </w:rPr>
              <w:t>投标文件中承诺的投标有效期不少于招标文件中载明的投标有效期。</w:t>
            </w:r>
          </w:p>
        </w:tc>
        <w:tc>
          <w:tcPr>
            <w:tcW w:w="3271" w:type="dxa"/>
            <w:vAlign w:val="center"/>
          </w:tcPr>
          <w:p w14:paraId="2571DE9A">
            <w:pPr>
              <w:rPr>
                <w:rFonts w:ascii="宋体" w:hAnsi="宋体" w:cs="宋体"/>
                <w:sz w:val="24"/>
              </w:rPr>
            </w:pPr>
            <w:r>
              <w:rPr>
                <w:rFonts w:hint="eastAsia" w:ascii="宋体" w:hAnsi="宋体" w:cs="宋体"/>
                <w:color w:val="auto"/>
                <w:sz w:val="24"/>
              </w:rPr>
              <w:t>投标函</w:t>
            </w:r>
          </w:p>
        </w:tc>
        <w:tc>
          <w:tcPr>
            <w:tcW w:w="1418" w:type="dxa"/>
            <w:vAlign w:val="center"/>
          </w:tcPr>
          <w:p w14:paraId="0032FE85">
            <w:pPr>
              <w:rPr>
                <w:rFonts w:ascii="宋体" w:hAnsi="宋体" w:cs="宋体"/>
              </w:rPr>
            </w:pPr>
            <w:r>
              <w:rPr>
                <w:rFonts w:hint="eastAsia" w:ascii="宋体" w:hAnsi="宋体" w:cs="宋体"/>
                <w:color w:val="auto"/>
                <w:sz w:val="24"/>
              </w:rPr>
              <w:t>见投标文件第__页</w:t>
            </w:r>
          </w:p>
        </w:tc>
      </w:tr>
      <w:tr w14:paraId="4E8B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C800FB9">
            <w:pPr>
              <w:jc w:val="center"/>
              <w:rPr>
                <w:rFonts w:ascii="宋体" w:hAnsi="宋体" w:cs="宋体"/>
                <w:sz w:val="24"/>
              </w:rPr>
            </w:pPr>
            <w:r>
              <w:rPr>
                <w:rFonts w:hint="eastAsia" w:ascii="宋体" w:hAnsi="宋体" w:cs="宋体"/>
                <w:color w:val="auto"/>
                <w:sz w:val="24"/>
              </w:rPr>
              <w:t>3</w:t>
            </w:r>
          </w:p>
        </w:tc>
        <w:tc>
          <w:tcPr>
            <w:tcW w:w="4271" w:type="dxa"/>
            <w:vAlign w:val="center"/>
          </w:tcPr>
          <w:p w14:paraId="6D144520">
            <w:pPr>
              <w:rPr>
                <w:rFonts w:ascii="宋体" w:hAnsi="宋体" w:cs="宋体"/>
                <w:sz w:val="24"/>
              </w:rPr>
            </w:pPr>
            <w:r>
              <w:rPr>
                <w:rFonts w:hint="eastAsia" w:ascii="宋体" w:hAnsi="宋体" w:cs="宋体"/>
                <w:color w:val="auto"/>
                <w:sz w:val="24"/>
              </w:rPr>
              <w:t>投标文件满足招标文件的其它实质性要求。</w:t>
            </w:r>
          </w:p>
        </w:tc>
        <w:tc>
          <w:tcPr>
            <w:tcW w:w="3271" w:type="dxa"/>
            <w:vAlign w:val="center"/>
          </w:tcPr>
          <w:p w14:paraId="11EB27F0">
            <w:pPr>
              <w:rPr>
                <w:rFonts w:ascii="宋体" w:hAnsi="宋体" w:cs="宋体"/>
                <w:sz w:val="24"/>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center"/>
          </w:tcPr>
          <w:p w14:paraId="41064933">
            <w:pPr>
              <w:rPr>
                <w:rFonts w:ascii="宋体" w:hAnsi="宋体" w:cs="宋体"/>
              </w:rPr>
            </w:pPr>
            <w:r>
              <w:rPr>
                <w:rFonts w:hint="eastAsia" w:ascii="宋体" w:hAnsi="宋体" w:cs="宋体"/>
                <w:color w:val="auto"/>
                <w:sz w:val="24"/>
              </w:rPr>
              <w:t>见投标文件第__页</w:t>
            </w:r>
          </w:p>
        </w:tc>
      </w:tr>
    </w:tbl>
    <w:p w14:paraId="3AA7C6EA">
      <w:pPr>
        <w:rPr>
          <w:rFonts w:ascii="宋体" w:hAnsi="宋体" w:cs="宋体"/>
          <w:color w:val="auto"/>
          <w:sz w:val="24"/>
        </w:rPr>
      </w:pPr>
      <w:r>
        <w:rPr>
          <w:rFonts w:hint="eastAsia" w:ascii="宋体" w:hAnsi="宋体" w:cs="宋体"/>
          <w:color w:val="auto"/>
          <w:sz w:val="24"/>
        </w:rPr>
        <w:t>注：按本格式和要求提供。</w:t>
      </w:r>
    </w:p>
    <w:p w14:paraId="4FA531B8">
      <w:pPr>
        <w:pStyle w:val="3"/>
        <w:spacing w:beforeLines="600" w:after="0" w:line="500" w:lineRule="exact"/>
        <w:jc w:val="center"/>
        <w:rPr>
          <w:rFonts w:ascii="仿宋" w:hAnsi="仿宋" w:eastAsia="仿宋"/>
          <w:color w:val="auto"/>
          <w:sz w:val="28"/>
          <w:szCs w:val="28"/>
        </w:rPr>
      </w:pPr>
      <w:r>
        <w:rPr>
          <w:rFonts w:hint="eastAsia" w:ascii="仿宋" w:hAnsi="仿宋" w:eastAsia="仿宋"/>
          <w:color w:val="auto"/>
          <w:sz w:val="28"/>
          <w:szCs w:val="28"/>
        </w:rPr>
        <w:t>四、评标标准相应的商务技术资料</w:t>
      </w:r>
    </w:p>
    <w:p w14:paraId="736AE7F7">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【编制说明：按招标文件第四部分中“商务技术评分细则”提供评分标准中相应的商务技术资料。</w:t>
      </w:r>
      <w:r>
        <w:rPr>
          <w:rFonts w:ascii="仿宋" w:hAnsi="仿宋" w:eastAsia="仿宋"/>
          <w:b/>
          <w:color w:val="auto"/>
          <w:sz w:val="24"/>
        </w:rPr>
        <w:t>】</w:t>
      </w:r>
    </w:p>
    <w:p w14:paraId="59509CAA">
      <w:pPr>
        <w:spacing w:afterLines="200"/>
      </w:pPr>
    </w:p>
    <w:p w14:paraId="7B9E47B2">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五、投标标的清单</w:t>
      </w:r>
    </w:p>
    <w:tbl>
      <w:tblPr>
        <w:tblStyle w:val="5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14:paraId="36A4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60594B">
            <w:pPr>
              <w:snapToGrid w:val="0"/>
              <w:spacing w:line="288"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CC958F">
            <w:pPr>
              <w:snapToGrid w:val="0"/>
              <w:spacing w:line="288"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87993FD">
            <w:pPr>
              <w:snapToGrid w:val="0"/>
              <w:spacing w:line="288"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278D8D">
            <w:pPr>
              <w:snapToGrid w:val="0"/>
              <w:spacing w:line="288"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74204E">
            <w:pPr>
              <w:snapToGrid w:val="0"/>
              <w:spacing w:line="288" w:lineRule="auto"/>
              <w:jc w:val="center"/>
              <w:rPr>
                <w:rFonts w:ascii="宋体" w:hAnsi="宋体" w:cs="宋体"/>
                <w:b/>
              </w:rPr>
            </w:pPr>
            <w:r>
              <w:rPr>
                <w:rFonts w:hint="eastAsia" w:ascii="宋体" w:hAnsi="宋体" w:cs="宋体"/>
                <w:b/>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14:paraId="74DE000F">
            <w:pPr>
              <w:snapToGrid w:val="0"/>
              <w:spacing w:line="288"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C4DDF42">
            <w:pPr>
              <w:snapToGrid w:val="0"/>
              <w:spacing w:line="288" w:lineRule="auto"/>
              <w:jc w:val="center"/>
              <w:rPr>
                <w:rFonts w:ascii="宋体" w:hAnsi="宋体" w:cs="宋体"/>
                <w:b/>
              </w:rPr>
            </w:pPr>
            <w:r>
              <w:rPr>
                <w:rFonts w:hint="eastAsia" w:ascii="宋体" w:hAnsi="宋体" w:cs="宋体"/>
                <w:b/>
              </w:rPr>
              <w:t>备注（如果有）</w:t>
            </w:r>
          </w:p>
        </w:tc>
      </w:tr>
      <w:tr w14:paraId="266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EC2A84">
            <w:pPr>
              <w:snapToGrid w:val="0"/>
              <w:spacing w:line="288"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2B9CBD">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E94BE42">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360BF4B">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702E8E6E">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49392984">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2709755E">
            <w:pPr>
              <w:snapToGrid w:val="0"/>
              <w:spacing w:line="288" w:lineRule="auto"/>
              <w:jc w:val="center"/>
              <w:rPr>
                <w:rFonts w:ascii="宋体" w:hAnsi="宋体" w:cs="宋体"/>
              </w:rPr>
            </w:pPr>
          </w:p>
        </w:tc>
      </w:tr>
      <w:tr w14:paraId="763D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4053A">
            <w:pPr>
              <w:snapToGrid w:val="0"/>
              <w:spacing w:line="288"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0E810F">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18654D0E">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E7C4F44">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7857EFB9">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12AE7C9E">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0D3574BE">
            <w:pPr>
              <w:snapToGrid w:val="0"/>
              <w:spacing w:line="288" w:lineRule="auto"/>
              <w:jc w:val="center"/>
              <w:rPr>
                <w:rFonts w:ascii="宋体" w:hAnsi="宋体" w:cs="宋体"/>
              </w:rPr>
            </w:pPr>
          </w:p>
        </w:tc>
      </w:tr>
      <w:tr w14:paraId="524C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C43C07">
            <w:pPr>
              <w:snapToGrid w:val="0"/>
              <w:spacing w:line="288"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4A6B19C0">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42FB10BB">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30F1EFB">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58B5D74E">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2D0DE1EC">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1A8AE50A">
            <w:pPr>
              <w:snapToGrid w:val="0"/>
              <w:spacing w:line="288" w:lineRule="auto"/>
              <w:jc w:val="center"/>
              <w:rPr>
                <w:rFonts w:ascii="宋体" w:hAnsi="宋体" w:cs="宋体"/>
              </w:rPr>
            </w:pPr>
          </w:p>
        </w:tc>
      </w:tr>
    </w:tbl>
    <w:p w14:paraId="7BEA7921">
      <w:pPr>
        <w:rPr>
          <w:rFonts w:ascii="宋体" w:hAnsi="宋体" w:cs="宋体"/>
          <w:color w:val="auto"/>
          <w:sz w:val="24"/>
        </w:rPr>
      </w:pPr>
      <w:r>
        <w:rPr>
          <w:rFonts w:hint="eastAsia" w:ascii="宋体" w:hAnsi="宋体" w:cs="宋体"/>
          <w:color w:val="auto"/>
          <w:sz w:val="24"/>
        </w:rPr>
        <w:t>注：按本格式和要求提供。</w:t>
      </w:r>
    </w:p>
    <w:p w14:paraId="40B1FD8A">
      <w:pPr>
        <w:spacing w:afterLines="200"/>
      </w:pPr>
    </w:p>
    <w:p w14:paraId="531C6B80">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六、商务技术偏离表</w:t>
      </w:r>
    </w:p>
    <w:tbl>
      <w:tblPr>
        <w:tblStyle w:val="53"/>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1AF1D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2660B1A4">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14:paraId="78B96904">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14:paraId="45EA94CD">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14:paraId="60D94590">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14:paraId="1F63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4295672E">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1BB2F286">
            <w:pPr>
              <w:spacing w:line="276" w:lineRule="auto"/>
              <w:jc w:val="center"/>
              <w:rPr>
                <w:rFonts w:ascii="仿宋" w:hAnsi="仿宋" w:eastAsia="仿宋"/>
                <w:color w:val="auto"/>
                <w:w w:val="90"/>
                <w:sz w:val="24"/>
              </w:rPr>
            </w:pPr>
          </w:p>
        </w:tc>
        <w:tc>
          <w:tcPr>
            <w:tcW w:w="3402" w:type="dxa"/>
            <w:vAlign w:val="center"/>
          </w:tcPr>
          <w:p w14:paraId="739D8447">
            <w:pPr>
              <w:spacing w:line="276" w:lineRule="auto"/>
              <w:jc w:val="center"/>
              <w:rPr>
                <w:rFonts w:ascii="仿宋" w:hAnsi="仿宋" w:eastAsia="仿宋"/>
                <w:color w:val="auto"/>
                <w:w w:val="90"/>
                <w:sz w:val="24"/>
              </w:rPr>
            </w:pPr>
          </w:p>
        </w:tc>
        <w:tc>
          <w:tcPr>
            <w:tcW w:w="1985" w:type="dxa"/>
            <w:vAlign w:val="center"/>
          </w:tcPr>
          <w:p w14:paraId="187653A0">
            <w:pPr>
              <w:spacing w:line="276" w:lineRule="auto"/>
              <w:jc w:val="center"/>
              <w:rPr>
                <w:rFonts w:ascii="仿宋" w:hAnsi="仿宋" w:eastAsia="仿宋"/>
                <w:color w:val="auto"/>
                <w:w w:val="90"/>
                <w:sz w:val="24"/>
              </w:rPr>
            </w:pPr>
          </w:p>
        </w:tc>
      </w:tr>
      <w:tr w14:paraId="408F6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E70BE8E">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0B4447C1">
            <w:pPr>
              <w:spacing w:line="276" w:lineRule="auto"/>
              <w:jc w:val="center"/>
              <w:rPr>
                <w:rFonts w:ascii="仿宋" w:hAnsi="仿宋" w:eastAsia="仿宋"/>
                <w:color w:val="auto"/>
                <w:w w:val="90"/>
                <w:sz w:val="24"/>
              </w:rPr>
            </w:pPr>
          </w:p>
        </w:tc>
        <w:tc>
          <w:tcPr>
            <w:tcW w:w="3402" w:type="dxa"/>
            <w:vAlign w:val="center"/>
          </w:tcPr>
          <w:p w14:paraId="45186EB7">
            <w:pPr>
              <w:spacing w:line="276" w:lineRule="auto"/>
              <w:jc w:val="center"/>
              <w:rPr>
                <w:rFonts w:ascii="仿宋" w:hAnsi="仿宋" w:eastAsia="仿宋"/>
                <w:color w:val="auto"/>
                <w:w w:val="90"/>
                <w:sz w:val="24"/>
              </w:rPr>
            </w:pPr>
          </w:p>
        </w:tc>
        <w:tc>
          <w:tcPr>
            <w:tcW w:w="1985" w:type="dxa"/>
            <w:vAlign w:val="center"/>
          </w:tcPr>
          <w:p w14:paraId="27983A70">
            <w:pPr>
              <w:spacing w:line="276" w:lineRule="auto"/>
              <w:jc w:val="center"/>
              <w:rPr>
                <w:rFonts w:ascii="仿宋" w:hAnsi="仿宋" w:eastAsia="仿宋"/>
                <w:color w:val="auto"/>
                <w:w w:val="90"/>
                <w:sz w:val="24"/>
              </w:rPr>
            </w:pPr>
          </w:p>
        </w:tc>
      </w:tr>
      <w:tr w14:paraId="1A3A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2C77ED7">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4C75CEC1">
            <w:pPr>
              <w:spacing w:line="276" w:lineRule="auto"/>
              <w:jc w:val="center"/>
              <w:rPr>
                <w:rFonts w:ascii="仿宋" w:hAnsi="仿宋" w:eastAsia="仿宋"/>
                <w:color w:val="auto"/>
                <w:w w:val="90"/>
                <w:sz w:val="24"/>
              </w:rPr>
            </w:pPr>
          </w:p>
        </w:tc>
        <w:tc>
          <w:tcPr>
            <w:tcW w:w="3402" w:type="dxa"/>
            <w:vAlign w:val="center"/>
          </w:tcPr>
          <w:p w14:paraId="14E7335F">
            <w:pPr>
              <w:spacing w:line="276" w:lineRule="auto"/>
              <w:jc w:val="center"/>
              <w:rPr>
                <w:rFonts w:ascii="仿宋" w:hAnsi="仿宋" w:eastAsia="仿宋"/>
                <w:color w:val="auto"/>
                <w:w w:val="90"/>
                <w:sz w:val="24"/>
              </w:rPr>
            </w:pPr>
          </w:p>
        </w:tc>
        <w:tc>
          <w:tcPr>
            <w:tcW w:w="1985" w:type="dxa"/>
            <w:vAlign w:val="center"/>
          </w:tcPr>
          <w:p w14:paraId="3C5EF544">
            <w:pPr>
              <w:spacing w:line="276" w:lineRule="auto"/>
              <w:jc w:val="center"/>
              <w:rPr>
                <w:rFonts w:ascii="仿宋" w:hAnsi="仿宋" w:eastAsia="仿宋"/>
                <w:color w:val="auto"/>
                <w:w w:val="90"/>
                <w:sz w:val="24"/>
              </w:rPr>
            </w:pPr>
          </w:p>
        </w:tc>
      </w:tr>
    </w:tbl>
    <w:p w14:paraId="606CAE22">
      <w:pPr>
        <w:pStyle w:val="26"/>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14:paraId="48CD8ED7">
      <w:pPr>
        <w:pStyle w:val="26"/>
        <w:spacing w:line="400" w:lineRule="exact"/>
        <w:rPr>
          <w:rFonts w:ascii="仿宋" w:hAnsi="仿宋" w:eastAsia="仿宋"/>
          <w:szCs w:val="24"/>
        </w:rPr>
      </w:pPr>
    </w:p>
    <w:p w14:paraId="4CF634D9">
      <w:pPr>
        <w:spacing w:line="360" w:lineRule="auto"/>
        <w:rPr>
          <w:rFonts w:ascii="宋体" w:hAnsi="宋体" w:cs="宋体"/>
          <w:color w:val="auto"/>
          <w:sz w:val="24"/>
        </w:rPr>
      </w:pPr>
      <w:r>
        <w:rPr>
          <w:rFonts w:hint="eastAsia" w:ascii="宋体" w:hAnsi="宋体" w:cs="宋体"/>
          <w:color w:val="auto"/>
          <w:sz w:val="24"/>
        </w:rPr>
        <w:t>注：1、按本格式和要求提供。</w:t>
      </w:r>
    </w:p>
    <w:p w14:paraId="68687424">
      <w:pPr>
        <w:spacing w:line="360" w:lineRule="auto"/>
        <w:ind w:firstLine="480" w:firstLineChars="200"/>
        <w:rPr>
          <w:rFonts w:ascii="仿宋" w:hAnsi="仿宋" w:eastAsia="仿宋"/>
          <w:color w:val="auto"/>
          <w:sz w:val="28"/>
        </w:rPr>
      </w:pPr>
      <w:r>
        <w:rPr>
          <w:rFonts w:hint="eastAsia" w:ascii="宋体" w:hAnsi="宋体" w:cs="宋体"/>
          <w:color w:val="auto"/>
          <w:sz w:val="24"/>
        </w:rPr>
        <w:t>2、本表格所反映的偏离情况与“</w:t>
      </w:r>
      <w:r>
        <w:rPr>
          <w:rFonts w:hint="eastAsia" w:ascii="宋体" w:hAnsi="宋体" w:cs="宋体"/>
          <w:color w:val="auto"/>
          <w:kern w:val="2"/>
          <w:sz w:val="24"/>
          <w:szCs w:val="24"/>
        </w:rPr>
        <w:t>符合性审查资料”</w:t>
      </w:r>
      <w:r>
        <w:rPr>
          <w:rFonts w:hint="eastAsia" w:ascii="宋体" w:hAnsi="宋体" w:cs="宋体"/>
          <w:color w:val="auto"/>
          <w:sz w:val="24"/>
        </w:rPr>
        <w:t>、“</w:t>
      </w:r>
      <w:r>
        <w:rPr>
          <w:rFonts w:hint="eastAsia" w:ascii="宋体" w:hAnsi="宋体" w:cs="宋体"/>
          <w:color w:val="auto"/>
          <w:kern w:val="2"/>
          <w:sz w:val="24"/>
          <w:szCs w:val="24"/>
        </w:rPr>
        <w:t>评标标准相应的商务技术资料”不一致的，以</w:t>
      </w:r>
      <w:r>
        <w:rPr>
          <w:rFonts w:hint="eastAsia" w:ascii="宋体" w:hAnsi="宋体" w:cs="宋体"/>
          <w:color w:val="auto"/>
          <w:sz w:val="24"/>
        </w:rPr>
        <w:t>“</w:t>
      </w:r>
      <w:r>
        <w:rPr>
          <w:rFonts w:hint="eastAsia" w:ascii="宋体" w:hAnsi="宋体" w:cs="宋体"/>
          <w:color w:val="auto"/>
          <w:kern w:val="2"/>
          <w:sz w:val="24"/>
          <w:szCs w:val="24"/>
        </w:rPr>
        <w:t>符合性审查资料”</w:t>
      </w:r>
      <w:r>
        <w:rPr>
          <w:rFonts w:hint="eastAsia" w:ascii="宋体" w:hAnsi="宋体" w:cs="宋体"/>
          <w:color w:val="auto"/>
          <w:sz w:val="24"/>
        </w:rPr>
        <w:t>、“</w:t>
      </w:r>
      <w:r>
        <w:rPr>
          <w:rFonts w:hint="eastAsia" w:ascii="宋体" w:hAnsi="宋体" w:cs="宋体"/>
          <w:color w:val="auto"/>
          <w:kern w:val="2"/>
          <w:sz w:val="24"/>
          <w:szCs w:val="24"/>
        </w:rPr>
        <w:t>评标标准相应的商务技术资料”为准。</w:t>
      </w:r>
    </w:p>
    <w:p w14:paraId="496D078D">
      <w:pPr>
        <w:spacing w:line="36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6364E41">
      <w:pPr>
        <w:pStyle w:val="3"/>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七、政府采购供应商廉洁自律承诺书</w:t>
      </w:r>
    </w:p>
    <w:p w14:paraId="30BB467C">
      <w:pPr>
        <w:spacing w:line="360" w:lineRule="auto"/>
        <w:rPr>
          <w:rFonts w:ascii="仿宋" w:hAnsi="仿宋" w:eastAsia="仿宋" w:cs="宋体"/>
          <w:color w:val="auto"/>
          <w:spacing w:val="8"/>
          <w:sz w:val="24"/>
          <w:szCs w:val="24"/>
        </w:rPr>
      </w:pPr>
      <w:r>
        <w:rPr>
          <w:rFonts w:hint="eastAsia" w:ascii="仿宋" w:hAnsi="仿宋" w:eastAsia="仿宋" w:cs="宋体"/>
          <w:color w:val="auto"/>
          <w:sz w:val="24"/>
          <w:szCs w:val="24"/>
        </w:rPr>
        <w:t>诸暨市人民政府暨阳街道办事处</w:t>
      </w:r>
      <w:r>
        <w:rPr>
          <w:rFonts w:hint="eastAsia" w:ascii="仿宋" w:hAnsi="仿宋" w:eastAsia="仿宋" w:cs="宋体"/>
          <w:color w:val="auto"/>
          <w:spacing w:val="8"/>
          <w:sz w:val="24"/>
          <w:szCs w:val="24"/>
        </w:rPr>
        <w:t>、浙江新顺项目管理有限公司：</w:t>
      </w:r>
    </w:p>
    <w:p w14:paraId="7CFD2202">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cs="仿宋"/>
          <w:b/>
          <w:i/>
          <w:color w:val="auto"/>
          <w:sz w:val="24"/>
          <w:szCs w:val="24"/>
          <w:u w:val="single"/>
        </w:rPr>
        <w:t>诸暨市人民政府暨阳街道办事处及下辖社区2025年度疗休养服务采购项目</w:t>
      </w:r>
      <w:r>
        <w:rPr>
          <w:rFonts w:hint="eastAsia" w:ascii="仿宋" w:hAnsi="仿宋" w:eastAsia="仿宋"/>
          <w:b/>
          <w:i/>
          <w:sz w:val="24"/>
          <w:szCs w:val="24"/>
          <w:u w:val="single"/>
        </w:rPr>
        <w:t>（项目编号：浙江新顺</w:t>
      </w:r>
      <w:r>
        <w:rPr>
          <w:rFonts w:ascii="仿宋" w:hAnsi="仿宋" w:eastAsia="仿宋"/>
          <w:b/>
          <w:i/>
          <w:sz w:val="24"/>
          <w:szCs w:val="24"/>
          <w:u w:val="single"/>
        </w:rPr>
        <w:t>202</w:t>
      </w:r>
      <w:r>
        <w:rPr>
          <w:rFonts w:hint="eastAsia" w:ascii="仿宋" w:hAnsi="仿宋" w:eastAsia="仿宋"/>
          <w:b/>
          <w:i/>
          <w:sz w:val="24"/>
          <w:szCs w:val="24"/>
          <w:u w:val="single"/>
        </w:rPr>
        <w:t>5</w:t>
      </w:r>
      <w:r>
        <w:rPr>
          <w:rFonts w:ascii="仿宋" w:hAnsi="仿宋" w:eastAsia="仿宋"/>
          <w:b/>
          <w:i/>
          <w:sz w:val="24"/>
          <w:szCs w:val="24"/>
          <w:u w:val="single"/>
        </w:rPr>
        <w:t>-</w:t>
      </w:r>
      <w:r>
        <w:rPr>
          <w:rFonts w:hint="eastAsia" w:ascii="仿宋" w:hAnsi="仿宋" w:eastAsia="仿宋"/>
          <w:b/>
          <w:i/>
          <w:sz w:val="24"/>
          <w:szCs w:val="24"/>
          <w:u w:val="single"/>
        </w:rPr>
        <w:t>05</w:t>
      </w:r>
      <w:r>
        <w:rPr>
          <w:rFonts w:ascii="仿宋" w:hAnsi="仿宋" w:eastAsia="仿宋"/>
          <w:b/>
          <w:i/>
          <w:sz w:val="24"/>
          <w:szCs w:val="24"/>
          <w:u w:val="single"/>
        </w:rPr>
        <w:t>-</w:t>
      </w:r>
      <w:r>
        <w:rPr>
          <w:rFonts w:hint="eastAsia" w:ascii="仿宋" w:hAnsi="仿宋" w:eastAsia="仿宋"/>
          <w:b/>
          <w:i/>
          <w:sz w:val="24"/>
          <w:szCs w:val="24"/>
          <w:u w:val="single"/>
        </w:rPr>
        <w:t>08）</w:t>
      </w:r>
      <w:r>
        <w:rPr>
          <w:rFonts w:hint="eastAsia" w:ascii="仿宋" w:hAnsi="仿宋" w:eastAsia="仿宋" w:cs="仿宋_GB2312"/>
          <w:color w:val="auto"/>
          <w:sz w:val="24"/>
          <w:lang w:val="zh-CN"/>
        </w:rPr>
        <w:t>招标要求参加投标。在这次投标过程中和中标后，我们将严格遵守国家法律法规要求，并郑重承诺：</w:t>
      </w:r>
    </w:p>
    <w:p w14:paraId="36C2122C">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14:paraId="6CC4A1A5">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14:paraId="029E3F9B">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14:paraId="48D31272">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14:paraId="4CC63C4D">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14:paraId="2657A012">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14:paraId="4BCA496A">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14:paraId="2EC38639">
      <w:pPr>
        <w:spacing w:line="360" w:lineRule="auto"/>
        <w:jc w:val="left"/>
        <w:rPr>
          <w:rFonts w:ascii="仿宋" w:hAnsi="仿宋" w:eastAsia="仿宋" w:cs="仿宋_GB2312"/>
          <w:color w:val="auto"/>
          <w:sz w:val="24"/>
          <w:lang w:val="zh-CN"/>
        </w:rPr>
      </w:pPr>
    </w:p>
    <w:p w14:paraId="15738273">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0C40D4B3">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1C68E8A4">
      <w:pPr>
        <w:spacing w:line="480" w:lineRule="auto"/>
        <w:rPr>
          <w:rFonts w:ascii="仿宋" w:hAnsi="仿宋" w:eastAsia="仿宋"/>
          <w:color w:val="auto"/>
          <w:sz w:val="24"/>
          <w:szCs w:val="24"/>
        </w:rPr>
      </w:pPr>
    </w:p>
    <w:p w14:paraId="6DDF6667">
      <w:pPr>
        <w:spacing w:line="480" w:lineRule="auto"/>
        <w:rPr>
          <w:rFonts w:ascii="仿宋" w:hAnsi="仿宋" w:eastAsia="仿宋" w:cs="仿宋_GB2312"/>
          <w:i/>
          <w:color w:val="auto"/>
          <w:sz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1BED937A">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报价文件部分</w:t>
      </w:r>
    </w:p>
    <w:p w14:paraId="7184961D">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52D5C356">
      <w:pPr>
        <w:snapToGrid w:val="0"/>
        <w:spacing w:line="360" w:lineRule="auto"/>
        <w:ind w:firstLine="1200" w:firstLineChars="500"/>
        <w:rPr>
          <w:rFonts w:ascii="仿宋" w:hAnsi="仿宋" w:eastAsia="仿宋" w:cs="宋体"/>
          <w:sz w:val="24"/>
        </w:rPr>
      </w:pPr>
      <w:r>
        <w:rPr>
          <w:rFonts w:hint="eastAsia" w:ascii="仿宋" w:hAnsi="仿宋" w:eastAsia="仿宋" w:cs="宋体"/>
          <w:color w:val="auto"/>
          <w:sz w:val="24"/>
        </w:rPr>
        <w:t>（1）开标一览表（报价表）</w:t>
      </w:r>
      <w:r>
        <w:rPr>
          <w:rFonts w:ascii="仿宋" w:hAnsi="仿宋" w:eastAsia="仿宋" w:cs="宋体"/>
          <w:color w:val="auto"/>
          <w:sz w:val="24"/>
        </w:rPr>
        <w:t>………………………………</w:t>
      </w:r>
      <w:r>
        <w:rPr>
          <w:rFonts w:hint="eastAsia" w:ascii="仿宋" w:hAnsi="仿宋" w:eastAsia="仿宋" w:cs="宋体"/>
          <w:color w:val="auto"/>
          <w:sz w:val="24"/>
        </w:rPr>
        <w:t>（页码）</w:t>
      </w:r>
    </w:p>
    <w:p w14:paraId="1CB9BA66">
      <w:pPr>
        <w:pStyle w:val="52"/>
        <w:ind w:left="0" w:leftChars="0" w:firstLine="0" w:firstLineChars="0"/>
        <w:sectPr>
          <w:pgSz w:w="11906" w:h="16838"/>
          <w:pgMar w:top="1247" w:right="1247" w:bottom="1247" w:left="1247" w:header="567" w:footer="454" w:gutter="0"/>
          <w:pgNumType w:fmt="numberInDash"/>
          <w:cols w:space="720" w:num="1"/>
          <w:titlePg/>
          <w:docGrid w:type="lines" w:linePitch="312" w:charSpace="0"/>
        </w:sectPr>
      </w:pPr>
    </w:p>
    <w:p w14:paraId="1C4E59F6">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一、开标一览表（报价表）</w:t>
      </w:r>
    </w:p>
    <w:p w14:paraId="0283A9E7">
      <w:pPr>
        <w:jc w:val="center"/>
      </w:pPr>
      <w:r>
        <w:rPr>
          <w:rFonts w:hint="eastAsia" w:ascii="仿宋" w:hAnsi="仿宋" w:eastAsia="仿宋"/>
          <w:b/>
          <w:color w:val="auto"/>
          <w:sz w:val="28"/>
          <w:szCs w:val="28"/>
        </w:rPr>
        <w:t>开标一览表（报价表）（</w:t>
      </w:r>
      <w:r>
        <w:rPr>
          <w:rFonts w:hint="eastAsia" w:ascii="仿宋" w:hAnsi="仿宋" w:eastAsia="仿宋"/>
          <w:b/>
          <w:color w:val="auto"/>
          <w:sz w:val="28"/>
          <w:szCs w:val="28"/>
          <w:u w:val="single"/>
        </w:rPr>
        <w:t>标项1</w:t>
      </w:r>
      <w:r>
        <w:rPr>
          <w:rFonts w:hint="eastAsia" w:ascii="仿宋" w:hAnsi="仿宋" w:eastAsia="仿宋"/>
          <w:b/>
          <w:color w:val="auto"/>
          <w:sz w:val="28"/>
          <w:szCs w:val="28"/>
        </w:rPr>
        <w:t>）</w:t>
      </w:r>
    </w:p>
    <w:p w14:paraId="28A15669">
      <w:pPr>
        <w:spacing w:line="360" w:lineRule="auto"/>
        <w:rPr>
          <w:rFonts w:ascii="仿宋" w:hAnsi="仿宋" w:eastAsia="仿宋"/>
          <w:color w:val="auto"/>
          <w:sz w:val="24"/>
          <w:szCs w:val="24"/>
        </w:rPr>
      </w:pPr>
      <w:r>
        <w:rPr>
          <w:rFonts w:hint="eastAsia" w:ascii="仿宋" w:hAnsi="仿宋" w:eastAsia="仿宋" w:cs="宋体"/>
          <w:color w:val="auto"/>
          <w:sz w:val="24"/>
          <w:szCs w:val="24"/>
        </w:rPr>
        <w:t>诸暨市人民政府暨阳街道办事处</w:t>
      </w:r>
      <w:r>
        <w:rPr>
          <w:rFonts w:hint="eastAsia" w:ascii="仿宋" w:hAnsi="仿宋" w:eastAsia="仿宋" w:cs="宋体"/>
          <w:color w:val="auto"/>
          <w:spacing w:val="8"/>
          <w:sz w:val="24"/>
          <w:szCs w:val="24"/>
        </w:rPr>
        <w:t>、浙江新顺项目管理有限公司：</w:t>
      </w:r>
    </w:p>
    <w:p w14:paraId="24580BF0">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仿宋"/>
          <w:b/>
          <w:i/>
          <w:color w:val="auto"/>
          <w:sz w:val="24"/>
          <w:szCs w:val="24"/>
          <w:u w:val="single"/>
        </w:rPr>
        <w:t>诸暨市人民政府暨阳街道办事处及下辖社区2025年度疗休养服务采购项目</w:t>
      </w:r>
      <w:r>
        <w:rPr>
          <w:rFonts w:hint="eastAsia" w:ascii="仿宋" w:hAnsi="仿宋" w:eastAsia="仿宋"/>
          <w:b/>
          <w:i/>
          <w:sz w:val="24"/>
          <w:szCs w:val="24"/>
          <w:u w:val="single"/>
        </w:rPr>
        <w:t>（项目编号：浙江新顺2025-05-08）</w:t>
      </w:r>
      <w:r>
        <w:rPr>
          <w:rFonts w:hint="eastAsia" w:ascii="仿宋" w:hAnsi="仿宋" w:eastAsia="仿宋" w:cs="宋体"/>
          <w:color w:val="auto"/>
          <w:spacing w:val="8"/>
          <w:sz w:val="24"/>
          <w:szCs w:val="24"/>
        </w:rPr>
        <w:t>的实施。</w:t>
      </w:r>
    </w:p>
    <w:p w14:paraId="2F7E73BA">
      <w:pPr>
        <w:spacing w:beforeLines="100"/>
        <w:jc w:val="right"/>
        <w:rPr>
          <w:rFonts w:ascii="仿宋" w:hAnsi="仿宋" w:eastAsia="仿宋"/>
          <w:color w:val="auto"/>
          <w:sz w:val="24"/>
          <w:szCs w:val="24"/>
        </w:rPr>
      </w:pPr>
      <w:r>
        <w:rPr>
          <w:rFonts w:hint="eastAsia" w:ascii="仿宋" w:hAnsi="仿宋" w:eastAsia="仿宋"/>
          <w:color w:val="auto"/>
          <w:sz w:val="24"/>
          <w:szCs w:val="24"/>
        </w:rPr>
        <w:t>货币单位：人民币元</w:t>
      </w:r>
    </w:p>
    <w:tbl>
      <w:tblPr>
        <w:tblStyle w:val="53"/>
        <w:tblW w:w="9633" w:type="dxa"/>
        <w:jc w:val="center"/>
        <w:tblLayout w:type="fixed"/>
        <w:tblCellMar>
          <w:top w:w="0" w:type="dxa"/>
          <w:left w:w="0" w:type="dxa"/>
          <w:bottom w:w="0" w:type="dxa"/>
          <w:right w:w="0" w:type="dxa"/>
        </w:tblCellMar>
      </w:tblPr>
      <w:tblGrid>
        <w:gridCol w:w="1056"/>
        <w:gridCol w:w="3875"/>
        <w:gridCol w:w="2410"/>
        <w:gridCol w:w="2292"/>
      </w:tblGrid>
      <w:tr w14:paraId="0D13BD6A">
        <w:tblPrEx>
          <w:tblCellMar>
            <w:top w:w="0" w:type="dxa"/>
            <w:left w:w="0" w:type="dxa"/>
            <w:bottom w:w="0" w:type="dxa"/>
            <w:right w:w="0" w:type="dxa"/>
          </w:tblCellMar>
        </w:tblPrEx>
        <w:trPr>
          <w:trHeight w:val="240" w:hRule="atLeast"/>
          <w:jc w:val="center"/>
        </w:trPr>
        <w:tc>
          <w:tcPr>
            <w:tcW w:w="1056" w:type="dxa"/>
            <w:vMerge w:val="restart"/>
            <w:tcBorders>
              <w:top w:val="single" w:color="auto" w:sz="4" w:space="0"/>
              <w:left w:val="single" w:color="auto" w:sz="4" w:space="0"/>
              <w:right w:val="single" w:color="auto" w:sz="4" w:space="0"/>
            </w:tcBorders>
            <w:vAlign w:val="center"/>
          </w:tcPr>
          <w:p w14:paraId="4534632A">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标项</w:t>
            </w:r>
          </w:p>
        </w:tc>
        <w:tc>
          <w:tcPr>
            <w:tcW w:w="3875" w:type="dxa"/>
            <w:vMerge w:val="restart"/>
            <w:tcBorders>
              <w:top w:val="single" w:color="auto" w:sz="4" w:space="0"/>
              <w:left w:val="single" w:color="auto" w:sz="4" w:space="0"/>
              <w:right w:val="single" w:color="auto" w:sz="4" w:space="0"/>
            </w:tcBorders>
            <w:vAlign w:val="center"/>
          </w:tcPr>
          <w:p w14:paraId="47B8FB34">
            <w:pPr>
              <w:pStyle w:val="75"/>
              <w:spacing w:line="240" w:lineRule="auto"/>
              <w:ind w:left="63" w:right="63"/>
              <w:rPr>
                <w:rFonts w:ascii="仿宋" w:hAnsi="仿宋" w:eastAsia="仿宋"/>
                <w:sz w:val="24"/>
                <w:szCs w:val="24"/>
              </w:rPr>
            </w:pPr>
            <w:r>
              <w:rPr>
                <w:rFonts w:ascii="仿宋" w:hAnsi="仿宋" w:eastAsia="仿宋"/>
                <w:sz w:val="24"/>
                <w:szCs w:val="24"/>
              </w:rPr>
              <w:t>标项名称</w:t>
            </w:r>
          </w:p>
        </w:tc>
        <w:tc>
          <w:tcPr>
            <w:tcW w:w="4702" w:type="dxa"/>
            <w:gridSpan w:val="2"/>
            <w:tcBorders>
              <w:top w:val="single" w:color="auto" w:sz="4" w:space="0"/>
              <w:left w:val="single" w:color="auto" w:sz="4" w:space="0"/>
              <w:bottom w:val="single" w:color="auto" w:sz="4" w:space="0"/>
              <w:right w:val="single" w:color="auto" w:sz="4" w:space="0"/>
            </w:tcBorders>
            <w:vAlign w:val="center"/>
          </w:tcPr>
          <w:p w14:paraId="4EE4FFA5">
            <w:pPr>
              <w:pStyle w:val="75"/>
              <w:spacing w:line="360" w:lineRule="auto"/>
              <w:ind w:left="63" w:right="63"/>
              <w:rPr>
                <w:rFonts w:ascii="仿宋" w:hAnsi="仿宋" w:eastAsia="仿宋"/>
                <w:sz w:val="24"/>
                <w:szCs w:val="24"/>
              </w:rPr>
            </w:pPr>
            <w:r>
              <w:rPr>
                <w:rFonts w:hint="eastAsia" w:ascii="仿宋" w:hAnsi="仿宋" w:eastAsia="仿宋" w:cs="Arial Unicode MS"/>
                <w:sz w:val="24"/>
                <w:szCs w:val="24"/>
              </w:rPr>
              <w:t>投标报价（单价、</w:t>
            </w:r>
            <w:r>
              <w:rPr>
                <w:rFonts w:ascii="仿宋" w:hAnsi="仿宋" w:eastAsia="仿宋"/>
                <w:sz w:val="24"/>
                <w:szCs w:val="24"/>
              </w:rPr>
              <w:t>元/</w:t>
            </w:r>
            <w:r>
              <w:rPr>
                <w:rFonts w:hint="eastAsia" w:ascii="仿宋" w:hAnsi="仿宋" w:eastAsia="仿宋"/>
                <w:sz w:val="24"/>
                <w:szCs w:val="24"/>
              </w:rPr>
              <w:t>人</w:t>
            </w:r>
            <w:r>
              <w:rPr>
                <w:rFonts w:hint="eastAsia" w:ascii="仿宋" w:hAnsi="仿宋" w:eastAsia="仿宋" w:cs="Arial Unicode MS"/>
                <w:sz w:val="24"/>
                <w:szCs w:val="24"/>
              </w:rPr>
              <w:t>）</w:t>
            </w:r>
          </w:p>
        </w:tc>
      </w:tr>
      <w:tr w14:paraId="5956CF15">
        <w:tblPrEx>
          <w:tblCellMar>
            <w:top w:w="0" w:type="dxa"/>
            <w:left w:w="0" w:type="dxa"/>
            <w:bottom w:w="0" w:type="dxa"/>
            <w:right w:w="0" w:type="dxa"/>
          </w:tblCellMar>
        </w:tblPrEx>
        <w:trPr>
          <w:trHeight w:val="240" w:hRule="atLeast"/>
          <w:jc w:val="center"/>
        </w:trPr>
        <w:tc>
          <w:tcPr>
            <w:tcW w:w="1056" w:type="dxa"/>
            <w:vMerge w:val="continue"/>
            <w:tcBorders>
              <w:left w:val="single" w:color="auto" w:sz="4" w:space="0"/>
              <w:bottom w:val="single" w:color="auto" w:sz="4" w:space="0"/>
              <w:right w:val="single" w:color="auto" w:sz="4" w:space="0"/>
            </w:tcBorders>
            <w:vAlign w:val="center"/>
          </w:tcPr>
          <w:p w14:paraId="2660D7B1">
            <w:pPr>
              <w:jc w:val="center"/>
              <w:rPr>
                <w:rFonts w:ascii="仿宋" w:hAnsi="仿宋" w:eastAsia="仿宋" w:cs="Arial Unicode MS"/>
                <w:color w:val="auto"/>
                <w:sz w:val="24"/>
                <w:szCs w:val="24"/>
              </w:rPr>
            </w:pPr>
          </w:p>
        </w:tc>
        <w:tc>
          <w:tcPr>
            <w:tcW w:w="3875" w:type="dxa"/>
            <w:vMerge w:val="continue"/>
            <w:tcBorders>
              <w:left w:val="single" w:color="auto" w:sz="4" w:space="0"/>
              <w:bottom w:val="single" w:color="auto" w:sz="4" w:space="0"/>
              <w:right w:val="single" w:color="auto" w:sz="4" w:space="0"/>
            </w:tcBorders>
            <w:vAlign w:val="center"/>
          </w:tcPr>
          <w:p w14:paraId="1AF0D921">
            <w:pPr>
              <w:pStyle w:val="75"/>
              <w:spacing w:line="240" w:lineRule="auto"/>
              <w:ind w:left="63" w:right="63"/>
              <w:rPr>
                <w:rFonts w:ascii="仿宋" w:hAnsi="仿宋" w:eastAsia="仿宋" w:cs="Arial Unicode MS"/>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4E146D5A">
            <w:pPr>
              <w:pStyle w:val="75"/>
              <w:spacing w:after="0" w:line="240" w:lineRule="auto"/>
              <w:ind w:left="62" w:right="62"/>
              <w:rPr>
                <w:rFonts w:ascii="仿宋" w:hAnsi="仿宋" w:eastAsia="仿宋"/>
                <w:sz w:val="24"/>
                <w:szCs w:val="24"/>
              </w:rPr>
            </w:pPr>
            <w:r>
              <w:rPr>
                <w:rFonts w:ascii="仿宋" w:hAnsi="仿宋" w:eastAsia="仿宋"/>
                <w:sz w:val="24"/>
                <w:szCs w:val="24"/>
              </w:rPr>
              <w:t>小写金额</w:t>
            </w:r>
          </w:p>
        </w:tc>
        <w:tc>
          <w:tcPr>
            <w:tcW w:w="2292" w:type="dxa"/>
            <w:tcBorders>
              <w:top w:val="single" w:color="auto" w:sz="4" w:space="0"/>
              <w:left w:val="nil"/>
              <w:bottom w:val="single" w:color="auto" w:sz="4" w:space="0"/>
              <w:right w:val="single" w:color="auto" w:sz="4" w:space="0"/>
            </w:tcBorders>
            <w:vAlign w:val="center"/>
          </w:tcPr>
          <w:p w14:paraId="4195C53F">
            <w:pPr>
              <w:pStyle w:val="75"/>
              <w:spacing w:line="360" w:lineRule="auto"/>
              <w:ind w:left="63" w:right="63"/>
              <w:rPr>
                <w:rFonts w:ascii="仿宋" w:hAnsi="仿宋" w:eastAsia="仿宋"/>
                <w:sz w:val="24"/>
                <w:szCs w:val="24"/>
              </w:rPr>
            </w:pPr>
            <w:r>
              <w:rPr>
                <w:rFonts w:ascii="仿宋" w:hAnsi="仿宋" w:eastAsia="仿宋"/>
                <w:sz w:val="24"/>
                <w:szCs w:val="24"/>
              </w:rPr>
              <w:t>大写金额</w:t>
            </w:r>
          </w:p>
        </w:tc>
      </w:tr>
      <w:tr w14:paraId="23709CEB">
        <w:tblPrEx>
          <w:tblCellMar>
            <w:top w:w="0" w:type="dxa"/>
            <w:left w:w="0" w:type="dxa"/>
            <w:bottom w:w="0" w:type="dxa"/>
            <w:right w:w="0" w:type="dxa"/>
          </w:tblCellMar>
        </w:tblPrEx>
        <w:trPr>
          <w:trHeight w:val="24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14:paraId="153A8BDE">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标项1</w:t>
            </w:r>
          </w:p>
        </w:tc>
        <w:tc>
          <w:tcPr>
            <w:tcW w:w="3875" w:type="dxa"/>
            <w:tcBorders>
              <w:top w:val="single" w:color="auto" w:sz="4" w:space="0"/>
              <w:left w:val="single" w:color="auto" w:sz="4" w:space="0"/>
              <w:bottom w:val="single" w:color="auto" w:sz="4" w:space="0"/>
              <w:right w:val="single" w:color="auto" w:sz="4" w:space="0"/>
            </w:tcBorders>
            <w:vAlign w:val="center"/>
          </w:tcPr>
          <w:p w14:paraId="0FE280B2">
            <w:pPr>
              <w:pStyle w:val="75"/>
              <w:spacing w:line="360" w:lineRule="auto"/>
              <w:ind w:left="63" w:right="63"/>
              <w:rPr>
                <w:rFonts w:ascii="仿宋" w:hAnsi="仿宋" w:eastAsia="仿宋"/>
                <w:sz w:val="24"/>
                <w:szCs w:val="24"/>
              </w:rPr>
            </w:pPr>
            <w:r>
              <w:rPr>
                <w:rFonts w:hint="eastAsia" w:ascii="仿宋" w:hAnsi="仿宋" w:eastAsia="仿宋" w:cs="宋体"/>
                <w:bCs/>
                <w:sz w:val="24"/>
              </w:rPr>
              <w:t>诸暨市人民政府暨阳街道办事处2025年度疗休养服务</w:t>
            </w:r>
          </w:p>
        </w:tc>
        <w:tc>
          <w:tcPr>
            <w:tcW w:w="2410" w:type="dxa"/>
            <w:tcBorders>
              <w:top w:val="single" w:color="auto" w:sz="4" w:space="0"/>
              <w:left w:val="single" w:color="auto" w:sz="4" w:space="0"/>
              <w:bottom w:val="single" w:color="auto" w:sz="4" w:space="0"/>
              <w:right w:val="single" w:color="auto" w:sz="4" w:space="0"/>
            </w:tcBorders>
            <w:vAlign w:val="center"/>
          </w:tcPr>
          <w:p w14:paraId="199BD06B">
            <w:pPr>
              <w:pStyle w:val="75"/>
              <w:spacing w:line="360" w:lineRule="auto"/>
              <w:ind w:left="63" w:right="63"/>
              <w:rPr>
                <w:rFonts w:ascii="仿宋" w:hAnsi="仿宋" w:eastAsia="仿宋"/>
                <w:sz w:val="24"/>
                <w:szCs w:val="24"/>
              </w:rPr>
            </w:pPr>
          </w:p>
        </w:tc>
        <w:tc>
          <w:tcPr>
            <w:tcW w:w="2292" w:type="dxa"/>
            <w:tcBorders>
              <w:top w:val="single" w:color="auto" w:sz="4" w:space="0"/>
              <w:left w:val="nil"/>
              <w:bottom w:val="single" w:color="auto" w:sz="4" w:space="0"/>
              <w:right w:val="single" w:color="auto" w:sz="4" w:space="0"/>
            </w:tcBorders>
            <w:vAlign w:val="center"/>
          </w:tcPr>
          <w:p w14:paraId="661B8AA3">
            <w:pPr>
              <w:pStyle w:val="75"/>
              <w:spacing w:line="360" w:lineRule="auto"/>
              <w:ind w:left="63" w:right="63"/>
              <w:rPr>
                <w:rFonts w:ascii="仿宋" w:hAnsi="仿宋" w:eastAsia="仿宋"/>
                <w:sz w:val="24"/>
                <w:szCs w:val="24"/>
              </w:rPr>
            </w:pPr>
          </w:p>
        </w:tc>
      </w:tr>
    </w:tbl>
    <w:p w14:paraId="281691CA">
      <w:pPr>
        <w:spacing w:line="360" w:lineRule="auto"/>
        <w:rPr>
          <w:rStyle w:val="63"/>
        </w:rPr>
      </w:pPr>
    </w:p>
    <w:p w14:paraId="68B2B599">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50C284AA">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6608A32E">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29AFE4FA">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7E64AB26">
      <w:pPr>
        <w:spacing w:line="276" w:lineRule="auto"/>
        <w:rPr>
          <w:rFonts w:ascii="仿宋" w:hAnsi="仿宋" w:eastAsia="仿宋"/>
          <w:i/>
          <w:color w:val="auto"/>
          <w:sz w:val="24"/>
          <w:szCs w:val="24"/>
        </w:rPr>
      </w:pPr>
      <w:r>
        <w:rPr>
          <w:rFonts w:hint="eastAsia" w:ascii="仿宋" w:hAnsi="仿宋" w:eastAsia="仿宋"/>
          <w:i/>
          <w:color w:val="auto"/>
          <w:sz w:val="24"/>
          <w:szCs w:val="24"/>
        </w:rPr>
        <w:t>2、本项目各标项均采用固定价格采购，投标人报价为固定报价不可竞争。本项目标项1的疗休养固定费用标准详见招标文件第三部分“采购需求”。</w:t>
      </w:r>
    </w:p>
    <w:p w14:paraId="57BC89B6">
      <w:pPr>
        <w:spacing w:line="276" w:lineRule="auto"/>
        <w:rPr>
          <w:rFonts w:ascii="仿宋" w:hAnsi="仿宋" w:eastAsia="仿宋"/>
          <w:i/>
          <w:color w:val="auto"/>
          <w:sz w:val="24"/>
          <w:szCs w:val="24"/>
        </w:rPr>
      </w:pPr>
      <w:r>
        <w:rPr>
          <w:rFonts w:hint="eastAsia" w:ascii="仿宋" w:hAnsi="仿宋" w:eastAsia="仿宋"/>
          <w:i/>
          <w:color w:val="auto"/>
          <w:sz w:val="24"/>
          <w:szCs w:val="24"/>
        </w:rPr>
        <w:t>3、</w:t>
      </w:r>
      <w:r>
        <w:rPr>
          <w:rFonts w:hint="eastAsia" w:ascii="仿宋" w:hAnsi="仿宋" w:eastAsia="仿宋" w:cs="仿宋_GB2312"/>
          <w:i/>
          <w:sz w:val="24"/>
        </w:rPr>
        <w:t>疗休养费用不得有任何偏离，未按固定费用标准报价的报价无效，作无效投标处理。</w:t>
      </w:r>
    </w:p>
    <w:p w14:paraId="646B6B45">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18047C0C">
      <w:pPr>
        <w:jc w:val="center"/>
      </w:pPr>
      <w:r>
        <w:rPr>
          <w:rFonts w:hint="eastAsia" w:ascii="仿宋" w:hAnsi="仿宋" w:eastAsia="仿宋"/>
          <w:b/>
          <w:color w:val="auto"/>
          <w:sz w:val="28"/>
          <w:szCs w:val="28"/>
        </w:rPr>
        <w:t>开标一览表（报价表）（</w:t>
      </w:r>
      <w:r>
        <w:rPr>
          <w:rFonts w:hint="eastAsia" w:ascii="仿宋" w:hAnsi="仿宋" w:eastAsia="仿宋"/>
          <w:b/>
          <w:color w:val="auto"/>
          <w:sz w:val="28"/>
          <w:szCs w:val="28"/>
          <w:u w:val="single"/>
        </w:rPr>
        <w:t>标项2</w:t>
      </w:r>
      <w:r>
        <w:rPr>
          <w:rFonts w:hint="eastAsia" w:ascii="仿宋" w:hAnsi="仿宋" w:eastAsia="仿宋"/>
          <w:b/>
          <w:color w:val="auto"/>
          <w:sz w:val="28"/>
          <w:szCs w:val="28"/>
        </w:rPr>
        <w:t>）</w:t>
      </w:r>
    </w:p>
    <w:p w14:paraId="76044FA1">
      <w:pPr>
        <w:spacing w:line="360" w:lineRule="auto"/>
        <w:rPr>
          <w:rFonts w:ascii="仿宋" w:hAnsi="仿宋" w:eastAsia="仿宋"/>
          <w:color w:val="auto"/>
          <w:sz w:val="24"/>
          <w:szCs w:val="24"/>
        </w:rPr>
      </w:pPr>
      <w:r>
        <w:rPr>
          <w:rFonts w:hint="eastAsia" w:ascii="仿宋" w:hAnsi="仿宋" w:eastAsia="仿宋" w:cs="宋体"/>
          <w:color w:val="auto"/>
          <w:sz w:val="24"/>
          <w:szCs w:val="24"/>
        </w:rPr>
        <w:t>诸暨市人民政府暨阳街道办事处</w:t>
      </w:r>
      <w:r>
        <w:rPr>
          <w:rFonts w:hint="eastAsia" w:ascii="仿宋" w:hAnsi="仿宋" w:eastAsia="仿宋" w:cs="宋体"/>
          <w:color w:val="auto"/>
          <w:spacing w:val="8"/>
          <w:sz w:val="24"/>
          <w:szCs w:val="24"/>
        </w:rPr>
        <w:t>、浙江新顺项目管理有限公司：</w:t>
      </w:r>
    </w:p>
    <w:p w14:paraId="1D457746">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仿宋"/>
          <w:b/>
          <w:i/>
          <w:color w:val="auto"/>
          <w:sz w:val="24"/>
          <w:szCs w:val="24"/>
          <w:u w:val="single"/>
        </w:rPr>
        <w:t>诸暨市人民政府暨阳街道办事处及下辖社区2025年度疗休养服务采购项目</w:t>
      </w:r>
      <w:r>
        <w:rPr>
          <w:rFonts w:hint="eastAsia" w:ascii="仿宋" w:hAnsi="仿宋" w:eastAsia="仿宋"/>
          <w:b/>
          <w:i/>
          <w:sz w:val="24"/>
          <w:szCs w:val="24"/>
          <w:u w:val="single"/>
        </w:rPr>
        <w:t>（项目编号：浙江新顺2025-05-08）</w:t>
      </w:r>
      <w:r>
        <w:rPr>
          <w:rFonts w:hint="eastAsia" w:ascii="仿宋" w:hAnsi="仿宋" w:eastAsia="仿宋" w:cs="宋体"/>
          <w:color w:val="auto"/>
          <w:spacing w:val="8"/>
          <w:sz w:val="24"/>
          <w:szCs w:val="24"/>
        </w:rPr>
        <w:t>的实施。</w:t>
      </w:r>
    </w:p>
    <w:p w14:paraId="04B896DD">
      <w:pPr>
        <w:spacing w:beforeLines="100"/>
        <w:jc w:val="right"/>
        <w:rPr>
          <w:rFonts w:ascii="仿宋" w:hAnsi="仿宋" w:eastAsia="仿宋"/>
          <w:color w:val="auto"/>
          <w:sz w:val="24"/>
          <w:szCs w:val="24"/>
        </w:rPr>
      </w:pPr>
      <w:r>
        <w:rPr>
          <w:rFonts w:hint="eastAsia" w:ascii="仿宋" w:hAnsi="仿宋" w:eastAsia="仿宋"/>
          <w:color w:val="auto"/>
          <w:sz w:val="24"/>
          <w:szCs w:val="24"/>
        </w:rPr>
        <w:t>货币单位：人民币元</w:t>
      </w:r>
    </w:p>
    <w:tbl>
      <w:tblPr>
        <w:tblStyle w:val="53"/>
        <w:tblW w:w="9633" w:type="dxa"/>
        <w:jc w:val="center"/>
        <w:tblLayout w:type="fixed"/>
        <w:tblCellMar>
          <w:top w:w="0" w:type="dxa"/>
          <w:left w:w="0" w:type="dxa"/>
          <w:bottom w:w="0" w:type="dxa"/>
          <w:right w:w="0" w:type="dxa"/>
        </w:tblCellMar>
      </w:tblPr>
      <w:tblGrid>
        <w:gridCol w:w="1056"/>
        <w:gridCol w:w="3875"/>
        <w:gridCol w:w="2410"/>
        <w:gridCol w:w="2292"/>
      </w:tblGrid>
      <w:tr w14:paraId="05C096AB">
        <w:tblPrEx>
          <w:tblCellMar>
            <w:top w:w="0" w:type="dxa"/>
            <w:left w:w="0" w:type="dxa"/>
            <w:bottom w:w="0" w:type="dxa"/>
            <w:right w:w="0" w:type="dxa"/>
          </w:tblCellMar>
        </w:tblPrEx>
        <w:trPr>
          <w:trHeight w:val="240" w:hRule="atLeast"/>
          <w:jc w:val="center"/>
        </w:trPr>
        <w:tc>
          <w:tcPr>
            <w:tcW w:w="1056" w:type="dxa"/>
            <w:vMerge w:val="restart"/>
            <w:tcBorders>
              <w:top w:val="single" w:color="auto" w:sz="4" w:space="0"/>
              <w:left w:val="single" w:color="auto" w:sz="4" w:space="0"/>
              <w:right w:val="single" w:color="auto" w:sz="4" w:space="0"/>
            </w:tcBorders>
            <w:vAlign w:val="center"/>
          </w:tcPr>
          <w:p w14:paraId="0D92DCF0">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标项</w:t>
            </w:r>
          </w:p>
        </w:tc>
        <w:tc>
          <w:tcPr>
            <w:tcW w:w="3875" w:type="dxa"/>
            <w:vMerge w:val="restart"/>
            <w:tcBorders>
              <w:top w:val="single" w:color="auto" w:sz="4" w:space="0"/>
              <w:left w:val="single" w:color="auto" w:sz="4" w:space="0"/>
              <w:right w:val="single" w:color="auto" w:sz="4" w:space="0"/>
            </w:tcBorders>
            <w:vAlign w:val="center"/>
          </w:tcPr>
          <w:p w14:paraId="5794E565">
            <w:pPr>
              <w:pStyle w:val="75"/>
              <w:spacing w:line="240" w:lineRule="auto"/>
              <w:ind w:left="63" w:right="63"/>
              <w:rPr>
                <w:rFonts w:ascii="仿宋" w:hAnsi="仿宋" w:eastAsia="仿宋"/>
                <w:sz w:val="24"/>
                <w:szCs w:val="24"/>
              </w:rPr>
            </w:pPr>
            <w:r>
              <w:rPr>
                <w:rFonts w:ascii="仿宋" w:hAnsi="仿宋" w:eastAsia="仿宋"/>
                <w:sz w:val="24"/>
                <w:szCs w:val="24"/>
              </w:rPr>
              <w:t>标项名称</w:t>
            </w:r>
          </w:p>
        </w:tc>
        <w:tc>
          <w:tcPr>
            <w:tcW w:w="4702" w:type="dxa"/>
            <w:gridSpan w:val="2"/>
            <w:tcBorders>
              <w:top w:val="single" w:color="auto" w:sz="4" w:space="0"/>
              <w:left w:val="single" w:color="auto" w:sz="4" w:space="0"/>
              <w:bottom w:val="single" w:color="auto" w:sz="4" w:space="0"/>
              <w:right w:val="single" w:color="auto" w:sz="4" w:space="0"/>
            </w:tcBorders>
            <w:vAlign w:val="center"/>
          </w:tcPr>
          <w:p w14:paraId="443ED1F9">
            <w:pPr>
              <w:pStyle w:val="75"/>
              <w:spacing w:line="360" w:lineRule="auto"/>
              <w:ind w:left="63" w:right="63"/>
              <w:rPr>
                <w:rFonts w:ascii="仿宋" w:hAnsi="仿宋" w:eastAsia="仿宋"/>
                <w:sz w:val="24"/>
                <w:szCs w:val="24"/>
              </w:rPr>
            </w:pPr>
            <w:r>
              <w:rPr>
                <w:rFonts w:hint="eastAsia" w:ascii="仿宋" w:hAnsi="仿宋" w:eastAsia="仿宋" w:cs="Arial Unicode MS"/>
                <w:sz w:val="24"/>
                <w:szCs w:val="24"/>
              </w:rPr>
              <w:t>投标报价（单价、</w:t>
            </w:r>
            <w:r>
              <w:rPr>
                <w:rFonts w:ascii="仿宋" w:hAnsi="仿宋" w:eastAsia="仿宋"/>
                <w:sz w:val="24"/>
                <w:szCs w:val="24"/>
              </w:rPr>
              <w:t>元/</w:t>
            </w:r>
            <w:r>
              <w:rPr>
                <w:rFonts w:hint="eastAsia" w:ascii="仿宋" w:hAnsi="仿宋" w:eastAsia="仿宋"/>
                <w:sz w:val="24"/>
                <w:szCs w:val="24"/>
              </w:rPr>
              <w:t>人</w:t>
            </w:r>
            <w:r>
              <w:rPr>
                <w:rFonts w:hint="eastAsia" w:ascii="仿宋" w:hAnsi="仿宋" w:eastAsia="仿宋" w:cs="Arial Unicode MS"/>
                <w:sz w:val="24"/>
                <w:szCs w:val="24"/>
              </w:rPr>
              <w:t>）</w:t>
            </w:r>
          </w:p>
        </w:tc>
      </w:tr>
      <w:tr w14:paraId="0B3612C0">
        <w:tblPrEx>
          <w:tblCellMar>
            <w:top w:w="0" w:type="dxa"/>
            <w:left w:w="0" w:type="dxa"/>
            <w:bottom w:w="0" w:type="dxa"/>
            <w:right w:w="0" w:type="dxa"/>
          </w:tblCellMar>
        </w:tblPrEx>
        <w:trPr>
          <w:trHeight w:val="240" w:hRule="atLeast"/>
          <w:jc w:val="center"/>
        </w:trPr>
        <w:tc>
          <w:tcPr>
            <w:tcW w:w="1056" w:type="dxa"/>
            <w:vMerge w:val="continue"/>
            <w:tcBorders>
              <w:left w:val="single" w:color="auto" w:sz="4" w:space="0"/>
              <w:bottom w:val="single" w:color="auto" w:sz="4" w:space="0"/>
              <w:right w:val="single" w:color="auto" w:sz="4" w:space="0"/>
            </w:tcBorders>
            <w:vAlign w:val="center"/>
          </w:tcPr>
          <w:p w14:paraId="23C188C0">
            <w:pPr>
              <w:jc w:val="center"/>
              <w:rPr>
                <w:rFonts w:ascii="仿宋" w:hAnsi="仿宋" w:eastAsia="仿宋" w:cs="Arial Unicode MS"/>
                <w:color w:val="auto"/>
                <w:sz w:val="24"/>
                <w:szCs w:val="24"/>
              </w:rPr>
            </w:pPr>
          </w:p>
        </w:tc>
        <w:tc>
          <w:tcPr>
            <w:tcW w:w="3875" w:type="dxa"/>
            <w:vMerge w:val="continue"/>
            <w:tcBorders>
              <w:left w:val="single" w:color="auto" w:sz="4" w:space="0"/>
              <w:bottom w:val="single" w:color="auto" w:sz="4" w:space="0"/>
              <w:right w:val="single" w:color="auto" w:sz="4" w:space="0"/>
            </w:tcBorders>
            <w:vAlign w:val="center"/>
          </w:tcPr>
          <w:p w14:paraId="674F060F">
            <w:pPr>
              <w:pStyle w:val="75"/>
              <w:spacing w:line="240" w:lineRule="auto"/>
              <w:ind w:left="63" w:right="63"/>
              <w:rPr>
                <w:rFonts w:ascii="仿宋" w:hAnsi="仿宋" w:eastAsia="仿宋" w:cs="Arial Unicode MS"/>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0C9928F9">
            <w:pPr>
              <w:pStyle w:val="75"/>
              <w:spacing w:after="0" w:line="240" w:lineRule="auto"/>
              <w:ind w:left="62" w:right="62"/>
              <w:rPr>
                <w:rFonts w:ascii="仿宋" w:hAnsi="仿宋" w:eastAsia="仿宋"/>
                <w:sz w:val="24"/>
                <w:szCs w:val="24"/>
              </w:rPr>
            </w:pPr>
            <w:r>
              <w:rPr>
                <w:rFonts w:ascii="仿宋" w:hAnsi="仿宋" w:eastAsia="仿宋"/>
                <w:sz w:val="24"/>
                <w:szCs w:val="24"/>
              </w:rPr>
              <w:t>小写金额</w:t>
            </w:r>
          </w:p>
        </w:tc>
        <w:tc>
          <w:tcPr>
            <w:tcW w:w="2292" w:type="dxa"/>
            <w:tcBorders>
              <w:top w:val="single" w:color="auto" w:sz="4" w:space="0"/>
              <w:left w:val="nil"/>
              <w:bottom w:val="single" w:color="auto" w:sz="4" w:space="0"/>
              <w:right w:val="single" w:color="auto" w:sz="4" w:space="0"/>
            </w:tcBorders>
            <w:vAlign w:val="center"/>
          </w:tcPr>
          <w:p w14:paraId="51CF9A4C">
            <w:pPr>
              <w:pStyle w:val="75"/>
              <w:spacing w:line="360" w:lineRule="auto"/>
              <w:ind w:left="63" w:right="63"/>
              <w:rPr>
                <w:rFonts w:ascii="仿宋" w:hAnsi="仿宋" w:eastAsia="仿宋"/>
                <w:sz w:val="24"/>
                <w:szCs w:val="24"/>
              </w:rPr>
            </w:pPr>
            <w:r>
              <w:rPr>
                <w:rFonts w:ascii="仿宋" w:hAnsi="仿宋" w:eastAsia="仿宋"/>
                <w:sz w:val="24"/>
                <w:szCs w:val="24"/>
              </w:rPr>
              <w:t>大写金额</w:t>
            </w:r>
          </w:p>
        </w:tc>
      </w:tr>
      <w:tr w14:paraId="63AC5259">
        <w:tblPrEx>
          <w:tblCellMar>
            <w:top w:w="0" w:type="dxa"/>
            <w:left w:w="0" w:type="dxa"/>
            <w:bottom w:w="0" w:type="dxa"/>
            <w:right w:w="0" w:type="dxa"/>
          </w:tblCellMar>
        </w:tblPrEx>
        <w:trPr>
          <w:trHeight w:val="24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14:paraId="4FA4E496">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标项2</w:t>
            </w:r>
          </w:p>
        </w:tc>
        <w:tc>
          <w:tcPr>
            <w:tcW w:w="3875" w:type="dxa"/>
            <w:tcBorders>
              <w:top w:val="single" w:color="auto" w:sz="4" w:space="0"/>
              <w:left w:val="single" w:color="auto" w:sz="4" w:space="0"/>
              <w:bottom w:val="single" w:color="auto" w:sz="4" w:space="0"/>
              <w:right w:val="single" w:color="auto" w:sz="4" w:space="0"/>
            </w:tcBorders>
            <w:vAlign w:val="center"/>
          </w:tcPr>
          <w:p w14:paraId="52FF104C">
            <w:pPr>
              <w:pStyle w:val="75"/>
              <w:spacing w:line="360" w:lineRule="auto"/>
              <w:ind w:left="63" w:right="63"/>
              <w:rPr>
                <w:rFonts w:ascii="仿宋" w:hAnsi="仿宋" w:eastAsia="仿宋"/>
                <w:sz w:val="24"/>
                <w:szCs w:val="24"/>
              </w:rPr>
            </w:pPr>
            <w:r>
              <w:rPr>
                <w:rFonts w:hint="eastAsia" w:ascii="仿宋" w:hAnsi="仿宋" w:eastAsia="仿宋" w:cs="宋体"/>
                <w:bCs/>
                <w:sz w:val="24"/>
              </w:rPr>
              <w:t>诸暨市人民政府暨阳街道办事处下辖社区2025年度疗休养服务</w:t>
            </w:r>
          </w:p>
        </w:tc>
        <w:tc>
          <w:tcPr>
            <w:tcW w:w="2410" w:type="dxa"/>
            <w:tcBorders>
              <w:top w:val="single" w:color="auto" w:sz="4" w:space="0"/>
              <w:left w:val="single" w:color="auto" w:sz="4" w:space="0"/>
              <w:bottom w:val="single" w:color="auto" w:sz="4" w:space="0"/>
              <w:right w:val="single" w:color="auto" w:sz="4" w:space="0"/>
            </w:tcBorders>
            <w:vAlign w:val="center"/>
          </w:tcPr>
          <w:p w14:paraId="0FCBBC44">
            <w:pPr>
              <w:pStyle w:val="75"/>
              <w:spacing w:line="360" w:lineRule="auto"/>
              <w:ind w:left="63" w:right="63"/>
              <w:rPr>
                <w:rFonts w:ascii="仿宋" w:hAnsi="仿宋" w:eastAsia="仿宋"/>
                <w:sz w:val="24"/>
                <w:szCs w:val="24"/>
              </w:rPr>
            </w:pPr>
          </w:p>
        </w:tc>
        <w:tc>
          <w:tcPr>
            <w:tcW w:w="2292" w:type="dxa"/>
            <w:tcBorders>
              <w:top w:val="single" w:color="auto" w:sz="4" w:space="0"/>
              <w:left w:val="nil"/>
              <w:bottom w:val="single" w:color="auto" w:sz="4" w:space="0"/>
              <w:right w:val="single" w:color="auto" w:sz="4" w:space="0"/>
            </w:tcBorders>
            <w:vAlign w:val="center"/>
          </w:tcPr>
          <w:p w14:paraId="669FAC40">
            <w:pPr>
              <w:pStyle w:val="75"/>
              <w:spacing w:line="360" w:lineRule="auto"/>
              <w:ind w:left="63" w:right="63"/>
              <w:rPr>
                <w:rFonts w:ascii="仿宋" w:hAnsi="仿宋" w:eastAsia="仿宋"/>
                <w:sz w:val="24"/>
                <w:szCs w:val="24"/>
              </w:rPr>
            </w:pPr>
          </w:p>
        </w:tc>
      </w:tr>
    </w:tbl>
    <w:p w14:paraId="2C28EA9C">
      <w:pPr>
        <w:spacing w:line="360" w:lineRule="auto"/>
        <w:rPr>
          <w:rStyle w:val="63"/>
        </w:rPr>
      </w:pPr>
    </w:p>
    <w:p w14:paraId="3216A565">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740553D2">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6C4D2276">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5C1E0C56">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63A47B05">
      <w:pPr>
        <w:spacing w:line="276" w:lineRule="auto"/>
        <w:rPr>
          <w:rFonts w:ascii="仿宋" w:hAnsi="仿宋" w:eastAsia="仿宋"/>
          <w:i/>
          <w:color w:val="auto"/>
          <w:sz w:val="24"/>
          <w:szCs w:val="24"/>
        </w:rPr>
      </w:pPr>
      <w:r>
        <w:rPr>
          <w:rFonts w:hint="eastAsia" w:ascii="仿宋" w:hAnsi="仿宋" w:eastAsia="仿宋"/>
          <w:i/>
          <w:color w:val="auto"/>
          <w:sz w:val="24"/>
          <w:szCs w:val="24"/>
        </w:rPr>
        <w:t>2、本项目各标项均采用固定价格采购，投标人报价为固定报价不可竞争。本项目标项2的疗休养固定费用标准详见招标文件第三部分“采购需求”。</w:t>
      </w:r>
    </w:p>
    <w:p w14:paraId="3A83D254">
      <w:pPr>
        <w:spacing w:line="276" w:lineRule="auto"/>
        <w:rPr>
          <w:rFonts w:ascii="仿宋" w:hAnsi="仿宋" w:eastAsia="仿宋"/>
          <w:i/>
          <w:color w:val="auto"/>
          <w:sz w:val="24"/>
          <w:szCs w:val="24"/>
        </w:rPr>
      </w:pPr>
      <w:r>
        <w:rPr>
          <w:rFonts w:hint="eastAsia" w:ascii="仿宋" w:hAnsi="仿宋" w:eastAsia="仿宋"/>
          <w:i/>
          <w:color w:val="auto"/>
          <w:sz w:val="24"/>
          <w:szCs w:val="24"/>
        </w:rPr>
        <w:t>3、</w:t>
      </w:r>
      <w:r>
        <w:rPr>
          <w:rFonts w:hint="eastAsia" w:ascii="仿宋" w:hAnsi="仿宋" w:eastAsia="仿宋" w:cs="仿宋_GB2312"/>
          <w:i/>
          <w:sz w:val="24"/>
        </w:rPr>
        <w:t>疗休养费用不得有任何偏离，未按固定费用标准报价的报价无效，作无效投标处理。</w:t>
      </w:r>
    </w:p>
    <w:p w14:paraId="7B86193A">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1A2DBD85">
      <w:pPr>
        <w:pStyle w:val="3"/>
        <w:spacing w:before="0" w:after="0" w:line="360" w:lineRule="auto"/>
        <w:jc w:val="left"/>
        <w:rPr>
          <w:rFonts w:ascii="仿宋" w:hAnsi="仿宋" w:eastAsia="仿宋"/>
          <w:color w:val="auto"/>
          <w:sz w:val="28"/>
          <w:szCs w:val="28"/>
        </w:rPr>
      </w:pPr>
      <w:r>
        <w:rPr>
          <w:rFonts w:ascii="仿宋" w:hAnsi="仿宋" w:eastAsia="仿宋"/>
          <w:color w:val="auto"/>
          <w:sz w:val="28"/>
          <w:szCs w:val="28"/>
        </w:rPr>
        <w:t>附件：</w:t>
      </w:r>
    </w:p>
    <w:p w14:paraId="1CFC6E97">
      <w:pPr>
        <w:pStyle w:val="3"/>
        <w:spacing w:before="0" w:line="500" w:lineRule="exact"/>
        <w:jc w:val="center"/>
        <w:rPr>
          <w:rFonts w:ascii="仿宋" w:hAnsi="仿宋" w:eastAsia="仿宋" w:cs="宋体"/>
          <w:b w:val="0"/>
          <w:color w:val="auto"/>
        </w:rPr>
      </w:pPr>
      <w:r>
        <w:rPr>
          <w:rFonts w:hint="eastAsia" w:ascii="仿宋" w:hAnsi="仿宋" w:eastAsia="仿宋"/>
          <w:color w:val="auto"/>
          <w:sz w:val="28"/>
          <w:szCs w:val="28"/>
        </w:rPr>
        <w:t>附件1：中小企业声明函</w:t>
      </w:r>
    </w:p>
    <w:p w14:paraId="102C0B9C">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《中小企业声明函（服务）》</w:t>
      </w:r>
    </w:p>
    <w:p w14:paraId="1D605000">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hint="eastAsia" w:ascii="仿宋" w:hAnsi="仿宋" w:eastAsia="仿宋"/>
          <w:b/>
          <w:i/>
          <w:color w:val="auto"/>
          <w:sz w:val="24"/>
          <w:szCs w:val="24"/>
          <w:u w:val="single"/>
        </w:rPr>
        <w:t>诸暨市人民政府暨阳街道办事处</w:t>
      </w:r>
      <w:r>
        <w:rPr>
          <w:rFonts w:hint="eastAsia" w:ascii="仿宋" w:hAnsi="仿宋" w:eastAsia="仿宋" w:cs="仿宋_GB2312"/>
          <w:color w:val="auto"/>
          <w:sz w:val="24"/>
          <w:szCs w:val="24"/>
        </w:rPr>
        <w:t>的</w:t>
      </w:r>
      <w:r>
        <w:rPr>
          <w:rFonts w:hint="eastAsia" w:ascii="仿宋" w:hAnsi="仿宋" w:eastAsia="仿宋"/>
          <w:b/>
          <w:i/>
          <w:color w:val="auto"/>
          <w:sz w:val="24"/>
          <w:szCs w:val="24"/>
          <w:u w:val="single"/>
        </w:rPr>
        <w:t>诸暨市人民政府暨阳街道办事处及下辖社区2025年度疗休养服务采购项目</w:t>
      </w:r>
      <w:r>
        <w:rPr>
          <w:rFonts w:hint="eastAsia" w:ascii="仿宋" w:hAnsi="仿宋" w:eastAsia="仿宋" w:cs="仿宋_GB2312"/>
          <w:color w:val="auto"/>
          <w:sz w:val="24"/>
          <w:szCs w:val="24"/>
        </w:rPr>
        <w:t>采购活动，服务全部由符合政策要求的中小企业承接。相关企业的具体情况如下：</w:t>
      </w:r>
    </w:p>
    <w:p w14:paraId="72CF5D24">
      <w:pPr>
        <w:spacing w:line="360" w:lineRule="auto"/>
        <w:ind w:left="120" w:leftChars="57" w:firstLine="360" w:firstLineChars="15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cs="宋体"/>
          <w:color w:val="auto"/>
          <w:sz w:val="24"/>
          <w:szCs w:val="24"/>
        </w:rPr>
        <w:t xml:space="preserve"> </w:t>
      </w:r>
      <w:r>
        <w:rPr>
          <w:rFonts w:hint="eastAsia" w:ascii="仿宋" w:hAnsi="仿宋" w:eastAsia="仿宋" w:cs="仿宋"/>
          <w:color w:val="auto"/>
          <w:sz w:val="24"/>
          <w:szCs w:val="24"/>
          <w:u w:val="single"/>
        </w:rPr>
        <w:t>_（标的名称）_</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_租赁和商务服务业_（采购文件中明确的所属行业）</w:t>
      </w:r>
      <w:r>
        <w:rPr>
          <w:rFonts w:hint="eastAsia" w:ascii="仿宋" w:hAnsi="仿宋" w:eastAsia="仿宋" w:cs="仿宋_GB2312"/>
          <w:color w:val="auto"/>
          <w:sz w:val="24"/>
          <w:szCs w:val="24"/>
        </w:rPr>
        <w:t>；承接企业为</w:t>
      </w:r>
      <w:r>
        <w:rPr>
          <w:rFonts w:hint="eastAsia" w:ascii="仿宋" w:hAnsi="仿宋" w:eastAsia="仿宋" w:cs="仿宋_GB2312"/>
          <w:color w:val="auto"/>
          <w:sz w:val="24"/>
          <w:szCs w:val="24"/>
          <w:u w:val="single"/>
        </w:rPr>
        <w:t xml:space="preserve">  （企业名称）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w:t>
      </w:r>
    </w:p>
    <w:p w14:paraId="29943B62">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14:paraId="5A0983AC">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14:paraId="5008F50A">
      <w:pPr>
        <w:snapToGrid w:val="0"/>
        <w:ind w:firstLine="480" w:firstLineChars="200"/>
        <w:rPr>
          <w:rFonts w:ascii="仿宋_GB2312" w:hAnsi="仿宋_GB2312" w:eastAsia="仿宋_GB2312" w:cs="仿宋_GB2312"/>
          <w:color w:val="auto"/>
          <w:sz w:val="24"/>
        </w:rPr>
      </w:pPr>
    </w:p>
    <w:p w14:paraId="3982CC35">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投标人名称（电子签名）：______________</w:t>
      </w:r>
    </w:p>
    <w:p w14:paraId="740999FC">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462463EA">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14:paraId="2671CA7F">
      <w:pPr>
        <w:spacing w:line="276" w:lineRule="auto"/>
        <w:ind w:firstLine="480" w:firstLineChars="200"/>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4B749053">
      <w:pPr>
        <w:spacing w:line="276" w:lineRule="auto"/>
        <w:ind w:firstLine="480" w:firstLineChars="200"/>
        <w:rPr>
          <w:rFonts w:ascii="仿宋" w:hAnsi="仿宋" w:eastAsia="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6AA7D436">
      <w:pPr>
        <w:pStyle w:val="3"/>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附件2：残疾人福利性单位声明函</w:t>
      </w:r>
    </w:p>
    <w:p w14:paraId="26DFF27C">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b/>
          <w:i/>
          <w:color w:val="auto"/>
          <w:sz w:val="24"/>
          <w:szCs w:val="24"/>
          <w:u w:val="single"/>
        </w:rPr>
        <w:t>诸暨市人民政府暨阳街道办事处</w:t>
      </w:r>
      <w:r>
        <w:rPr>
          <w:rFonts w:hint="eastAsia" w:ascii="仿宋" w:hAnsi="仿宋" w:eastAsia="仿宋" w:cs="宋体"/>
          <w:color w:val="auto"/>
          <w:sz w:val="24"/>
          <w:szCs w:val="24"/>
        </w:rPr>
        <w:t>单位的</w:t>
      </w:r>
      <w:r>
        <w:rPr>
          <w:rFonts w:hint="eastAsia" w:ascii="仿宋" w:hAnsi="仿宋" w:eastAsia="仿宋"/>
          <w:b/>
          <w:i/>
          <w:color w:val="auto"/>
          <w:sz w:val="24"/>
          <w:szCs w:val="24"/>
          <w:u w:val="single"/>
        </w:rPr>
        <w:t>诸暨市人民政府暨阳街道办事处及下辖社区2025年度疗休养服务采购项目</w:t>
      </w:r>
      <w:r>
        <w:rPr>
          <w:rFonts w:hint="eastAsia" w:ascii="仿宋" w:hAnsi="仿宋" w:eastAsia="仿宋" w:cs="宋体"/>
          <w:color w:val="auto"/>
          <w:sz w:val="24"/>
          <w:szCs w:val="24"/>
        </w:rPr>
        <w:t>采购活动提供本单位制造的货物（由本单位承担工程/提供服务），或者提供其他残疾人福利性单位制造的货物（不包括使用非残疾人福利性单位注册商标的货物）。</w:t>
      </w:r>
    </w:p>
    <w:p w14:paraId="32627910">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41D8C9DF">
      <w:pPr>
        <w:pStyle w:val="52"/>
        <w:ind w:firstLine="480"/>
        <w:rPr>
          <w:rFonts w:ascii="仿宋" w:hAnsi="仿宋" w:eastAsia="仿宋"/>
        </w:rPr>
      </w:pPr>
    </w:p>
    <w:p w14:paraId="581F5A90">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单位名称（电子签名）：_____________</w:t>
      </w:r>
    </w:p>
    <w:p w14:paraId="1F9961C7">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期：______年______月______日</w:t>
      </w:r>
    </w:p>
    <w:p w14:paraId="68971D2A">
      <w:pPr>
        <w:snapToGrid w:val="0"/>
        <w:spacing w:line="360" w:lineRule="auto"/>
        <w:ind w:firstLine="643" w:firstLineChars="200"/>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6D540B9D">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附件3：联合协议</w:t>
      </w:r>
    </w:p>
    <w:p w14:paraId="0500CB20">
      <w:pPr>
        <w:spacing w:line="300" w:lineRule="auto"/>
        <w:ind w:firstLine="422" w:firstLineChars="200"/>
        <w:rPr>
          <w:rFonts w:ascii="仿宋" w:hAnsi="仿宋" w:eastAsia="仿宋"/>
          <w:b/>
          <w:i/>
          <w:color w:val="auto"/>
        </w:rPr>
      </w:pPr>
      <w:r>
        <w:rPr>
          <w:rFonts w:hint="eastAsia" w:ascii="仿宋" w:hAnsi="仿宋" w:eastAsia="仿宋"/>
          <w:b/>
          <w:i/>
          <w:color w:val="auto"/>
        </w:rPr>
        <w:t>【说明：以联合体形式投标的，提供联合协议；本项目不接受联合体投标或者投标人不以联合体形式投标的，则不需要提供。】</w:t>
      </w:r>
    </w:p>
    <w:p w14:paraId="3365F84F">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79704600">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（项目名称）（项目编号：浙江新顺2025-**-**）</w:t>
      </w:r>
      <w:r>
        <w:rPr>
          <w:rFonts w:hint="eastAsia" w:ascii="仿宋" w:hAnsi="仿宋" w:eastAsia="仿宋" w:cs="宋体"/>
          <w:color w:val="auto"/>
          <w:sz w:val="24"/>
          <w:lang w:val="zh-CN"/>
        </w:rPr>
        <w:t>投标。</w:t>
      </w:r>
    </w:p>
    <w:p w14:paraId="052EACFB">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（填写某联合体成员名称）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0629AACB">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w:t>
      </w:r>
      <w:r>
        <w:rPr>
          <w:rFonts w:ascii="仿宋" w:hAnsi="仿宋" w:eastAsia="仿宋" w:cs="宋体"/>
          <w:color w:val="auto"/>
          <w:sz w:val="24"/>
          <w:lang w:val="zh-CN"/>
        </w:rPr>
        <w:t>，</w:t>
      </w:r>
      <w:r>
        <w:rPr>
          <w:rFonts w:hint="eastAsia" w:ascii="仿宋" w:hAnsi="仿宋" w:eastAsia="仿宋" w:cs="宋体"/>
          <w:color w:val="auto"/>
          <w:sz w:val="24"/>
        </w:rPr>
        <w:t>授权书载明的</w:t>
      </w:r>
      <w:r>
        <w:rPr>
          <w:rFonts w:hint="eastAsia" w:ascii="仿宋" w:hAnsi="仿宋" w:eastAsia="仿宋" w:cs="宋体"/>
          <w:color w:val="auto"/>
          <w:sz w:val="24"/>
          <w:lang w:val="zh-CN"/>
        </w:rPr>
        <w:t>授权代表根据招标文件规定及投标内容而对采购人、采购代理机构所作的任何合法承诺，包括书面澄清及相应等均对联合投标各方产生约束力。</w:t>
      </w:r>
    </w:p>
    <w:p w14:paraId="68EDA930">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3FB7041A">
      <w:pPr>
        <w:snapToGrid w:val="0"/>
        <w:spacing w:line="360" w:lineRule="auto"/>
        <w:ind w:firstLine="576"/>
        <w:rPr>
          <w:rFonts w:ascii="仿宋" w:hAnsi="仿宋" w:eastAsia="仿宋" w:cs="宋体"/>
          <w:color w:val="auto"/>
          <w:sz w:val="24"/>
          <w:lang w:val="zh-CN"/>
        </w:rPr>
      </w:pPr>
      <w:bookmarkStart w:id="34" w:name="_Hlk101134295"/>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372170D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7DBAB14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4"/>
    <w:p w14:paraId="3F22E1EC">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5E7FB7C0">
      <w:pPr>
        <w:snapToGrid w:val="0"/>
        <w:spacing w:line="360" w:lineRule="auto"/>
        <w:ind w:firstLine="576"/>
        <w:rPr>
          <w:rFonts w:ascii="仿宋" w:hAnsi="仿宋" w:eastAsia="仿宋" w:cs="宋体"/>
          <w:b/>
          <w:color w:val="auto"/>
          <w:sz w:val="24"/>
          <w:szCs w:val="24"/>
          <w:lang w:val="zh-CN"/>
        </w:rPr>
      </w:pPr>
      <w:r>
        <w:rPr>
          <w:rFonts w:hint="eastAsia" w:ascii="仿宋" w:hAnsi="仿宋" w:eastAsia="仿宋" w:cs="宋体"/>
          <w:color w:val="auto"/>
          <w:sz w:val="24"/>
          <w:szCs w:val="24"/>
          <w:lang w:val="zh-CN"/>
        </w:rPr>
        <w:t>1、</w:t>
      </w:r>
      <w:r>
        <w:rPr>
          <w:rFonts w:hint="eastAsia" w:ascii="仿宋" w:hAnsi="仿宋" w:eastAsia="仿宋" w:cs="宋体"/>
          <w:color w:val="auto"/>
          <w:sz w:val="24"/>
          <w:szCs w:val="24"/>
          <w:u w:val="single"/>
        </w:rPr>
        <w:t>（</w:t>
      </w:r>
      <w:bookmarkStart w:id="35" w:name="_Hlk101131882"/>
      <w:r>
        <w:rPr>
          <w:rFonts w:hint="eastAsia" w:ascii="仿宋" w:hAnsi="仿宋" w:eastAsia="仿宋" w:cs="宋体"/>
          <w:color w:val="auto"/>
          <w:sz w:val="24"/>
          <w:szCs w:val="24"/>
          <w:u w:val="single"/>
        </w:rPr>
        <w:t>联合体成员X</w:t>
      </w:r>
      <w:r>
        <w:rPr>
          <w:rFonts w:ascii="仿宋" w:hAnsi="仿宋" w:eastAsia="仿宋" w:cs="宋体"/>
          <w:color w:val="auto"/>
          <w:sz w:val="24"/>
          <w:szCs w:val="24"/>
          <w:u w:val="single"/>
        </w:rPr>
        <w:t>,</w:t>
      </w:r>
      <w:r>
        <w:rPr>
          <w:rFonts w:hint="eastAsia" w:ascii="仿宋" w:hAnsi="仿宋" w:eastAsia="仿宋" w:cs="宋体"/>
          <w:color w:val="auto"/>
          <w:sz w:val="24"/>
          <w:szCs w:val="24"/>
          <w:u w:val="single"/>
        </w:rPr>
        <w:t>……</w:t>
      </w:r>
      <w:bookmarkEnd w:id="35"/>
      <w:r>
        <w:rPr>
          <w:rFonts w:hint="eastAsia" w:ascii="仿宋" w:hAnsi="仿宋" w:eastAsia="仿宋" w:cs="宋体"/>
          <w:color w:val="auto"/>
          <w:sz w:val="24"/>
          <w:szCs w:val="24"/>
          <w:u w:val="single"/>
        </w:rPr>
        <w:t>）</w:t>
      </w:r>
      <w:r>
        <w:rPr>
          <w:rFonts w:hint="eastAsia" w:ascii="仿宋" w:hAnsi="仿宋" w:eastAsia="仿宋" w:cs="宋体"/>
          <w:color w:val="auto"/>
          <w:sz w:val="24"/>
          <w:szCs w:val="24"/>
        </w:rPr>
        <w:t>提供的服务由小微企业承接，其合同份额占到合同总金额</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以上</w:t>
      </w:r>
      <w:r>
        <w:rPr>
          <w:rFonts w:hint="eastAsia" w:ascii="仿宋" w:hAnsi="仿宋" w:eastAsia="仿宋" w:cs="宋体"/>
          <w:color w:val="auto"/>
          <w:sz w:val="24"/>
          <w:szCs w:val="24"/>
          <w:lang w:val="zh-CN"/>
        </w:rPr>
        <w:t>。</w:t>
      </w:r>
      <w:r>
        <w:rPr>
          <w:rFonts w:hint="eastAsia" w:ascii="仿宋" w:hAnsi="仿宋" w:eastAsia="仿宋" w:cs="宋体"/>
          <w:b/>
          <w:color w:val="auto"/>
          <w:sz w:val="24"/>
          <w:szCs w:val="24"/>
          <w:lang w:val="zh-CN"/>
        </w:rPr>
        <w:t>（</w:t>
      </w:r>
      <w:bookmarkStart w:id="36" w:name="_Hlk101133598"/>
      <w:r>
        <w:rPr>
          <w:rFonts w:hint="eastAsia" w:ascii="仿宋" w:hAnsi="仿宋" w:eastAsia="仿宋" w:cs="宋体"/>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szCs w:val="24"/>
        </w:rPr>
        <w:t>拟享受以上价格扣除政策的，填写有关内容。</w:t>
      </w:r>
      <w:bookmarkEnd w:id="36"/>
      <w:r>
        <w:rPr>
          <w:rFonts w:hint="eastAsia" w:ascii="仿宋" w:hAnsi="仿宋" w:eastAsia="仿宋" w:cs="宋体"/>
          <w:b/>
          <w:color w:val="auto"/>
          <w:sz w:val="24"/>
          <w:szCs w:val="24"/>
          <w:lang w:val="zh-CN"/>
        </w:rPr>
        <w:t>）</w:t>
      </w:r>
    </w:p>
    <w:p w14:paraId="771F6CF0">
      <w:pPr>
        <w:snapToGrid w:val="0"/>
        <w:spacing w:line="360" w:lineRule="auto"/>
        <w:ind w:firstLine="576"/>
        <w:rPr>
          <w:rFonts w:ascii="仿宋" w:hAnsi="仿宋" w:eastAsia="仿宋" w:cs="Calibri"/>
          <w:sz w:val="24"/>
        </w:rPr>
      </w:pPr>
      <w:r>
        <w:rPr>
          <w:rFonts w:hint="eastAsia" w:ascii="仿宋" w:hAnsi="仿宋" w:eastAsia="仿宋" w:cs="宋体"/>
          <w:color w:val="auto"/>
          <w:sz w:val="24"/>
          <w:szCs w:val="24"/>
        </w:rPr>
        <w:t>2、</w:t>
      </w:r>
      <w:bookmarkStart w:id="37" w:name="_Hlk101133173"/>
      <w:r>
        <w:rPr>
          <w:rFonts w:hint="eastAsia" w:ascii="仿宋" w:hAnsi="仿宋" w:eastAsia="仿宋" w:cs="宋体"/>
          <w:color w:val="auto"/>
          <w:sz w:val="24"/>
          <w:szCs w:val="24"/>
        </w:rPr>
        <w:t>中小企业合同金额达到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，其中小微企业合同金额达到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lang w:val="zh-CN"/>
        </w:rPr>
        <w:t>。</w:t>
      </w:r>
      <w:r>
        <w:rPr>
          <w:rFonts w:hint="eastAsia" w:ascii="仿宋" w:hAnsi="仿宋" w:eastAsia="仿宋" w:cs="宋体"/>
          <w:b/>
          <w:bCs/>
          <w:color w:val="auto"/>
          <w:sz w:val="24"/>
          <w:szCs w:val="24"/>
          <w:lang w:val="zh-CN"/>
        </w:rPr>
        <w:t>（</w:t>
      </w:r>
      <w:r>
        <w:rPr>
          <w:rFonts w:hint="eastAsia" w:ascii="仿宋" w:hAnsi="仿宋" w:eastAsia="仿宋" w:cs="宋体"/>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sz w:val="24"/>
          <w:szCs w:val="24"/>
          <w:lang w:val="zh-CN"/>
        </w:rPr>
        <w:t>）</w:t>
      </w:r>
      <w:bookmarkEnd w:id="37"/>
    </w:p>
    <w:p w14:paraId="59C775E4">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58E2D7E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19168D96">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32F1D85B">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32FBC354">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3、本协议提交采购人、采购代理机构后，联合体各方不得以任何形式对上述内容进行修改或撤销。</w:t>
      </w:r>
    </w:p>
    <w:p w14:paraId="5F045E43">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0D5CFA3B">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4409C32B">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4EF7DC93">
      <w:pPr>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日期：______年______月______日</w:t>
      </w:r>
    </w:p>
    <w:p w14:paraId="57548192">
      <w:pPr>
        <w:spacing w:line="360" w:lineRule="auto"/>
        <w:jc w:val="left"/>
        <w:rPr>
          <w:rFonts w:ascii="仿宋" w:hAnsi="仿宋" w:eastAsia="仿宋" w:cs="宋体"/>
          <w:color w:val="auto"/>
          <w:sz w:val="24"/>
          <w:lang w:val="zh-CN"/>
        </w:rPr>
        <w:sectPr>
          <w:pgSz w:w="11906" w:h="16838"/>
          <w:pgMar w:top="1247" w:right="1247" w:bottom="1247" w:left="1247" w:header="567" w:footer="454" w:gutter="0"/>
          <w:pgNumType w:fmt="numberInDash"/>
          <w:cols w:space="720" w:num="1"/>
          <w:titlePg/>
          <w:docGrid w:type="lines" w:linePitch="312" w:charSpace="0"/>
        </w:sectPr>
      </w:pPr>
    </w:p>
    <w:p w14:paraId="379937A2">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附件4：分包意向协议</w:t>
      </w:r>
    </w:p>
    <w:p w14:paraId="54DD6F38">
      <w:pPr>
        <w:spacing w:line="300" w:lineRule="auto"/>
        <w:ind w:firstLine="422" w:firstLineChars="200"/>
        <w:rPr>
          <w:rFonts w:ascii="仿宋" w:hAnsi="仿宋" w:eastAsia="仿宋"/>
          <w:b/>
          <w:i/>
          <w:color w:val="auto"/>
        </w:rPr>
      </w:pPr>
      <w:r>
        <w:rPr>
          <w:rFonts w:hint="eastAsia" w:ascii="仿宋" w:hAnsi="仿宋" w:eastAsia="仿宋"/>
          <w:b/>
          <w:i/>
          <w:color w:val="auto"/>
        </w:rPr>
        <w:t>【说明：中标后以分包方式履行合同的，提供分包意向协议；采购人不同意分包或者投标人中标后不以分包方式履行合同的，则不需要提供。】</w:t>
      </w:r>
    </w:p>
    <w:p w14:paraId="65984064">
      <w:pPr>
        <w:spacing w:beforeLines="100" w:line="360" w:lineRule="auto"/>
        <w:ind w:firstLine="413" w:firstLineChars="147"/>
        <w:jc w:val="center"/>
        <w:rPr>
          <w:rFonts w:ascii="宋体" w:hAnsi="宋体"/>
          <w:b/>
          <w:color w:val="auto"/>
          <w:sz w:val="28"/>
          <w:szCs w:val="28"/>
        </w:rPr>
      </w:pPr>
      <w:r>
        <w:rPr>
          <w:rFonts w:hint="eastAsia" w:ascii="宋体" w:hAnsi="宋体"/>
          <w:b/>
          <w:color w:val="auto"/>
          <w:sz w:val="28"/>
          <w:szCs w:val="28"/>
        </w:rPr>
        <w:t>分包意向协议</w:t>
      </w:r>
    </w:p>
    <w:p w14:paraId="14CE8F14">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若成为</w:t>
      </w:r>
      <w:r>
        <w:rPr>
          <w:rFonts w:hint="eastAsia" w:ascii="宋体" w:hAnsi="宋体" w:cs="宋体"/>
          <w:color w:val="auto"/>
          <w:spacing w:val="8"/>
          <w:sz w:val="24"/>
          <w:szCs w:val="24"/>
          <w:u w:val="single"/>
        </w:rPr>
        <w:t>（项目名称）    （项目编号：浙江新顺2025-**-**）</w:t>
      </w:r>
      <w:r>
        <w:rPr>
          <w:rFonts w:hint="eastAsia" w:ascii="宋体" w:hAnsi="宋体" w:cs="宋体"/>
          <w:color w:val="auto"/>
          <w:sz w:val="24"/>
          <w:lang w:val="zh-CN"/>
        </w:rPr>
        <w:t>的中标供应商，将依法采取分包方式履行合同。</w:t>
      </w:r>
      <w:r>
        <w:rPr>
          <w:rFonts w:hint="eastAsia" w:ascii="宋体" w:hAnsi="宋体" w:cs="宋体"/>
          <w:color w:val="auto"/>
          <w:sz w:val="24"/>
          <w:u w:val="single"/>
        </w:rPr>
        <w:t>（投标人名称）</w:t>
      </w:r>
      <w:r>
        <w:rPr>
          <w:rFonts w:hint="eastAsia" w:ascii="宋体" w:hAnsi="宋体" w:cs="宋体"/>
          <w:color w:val="auto"/>
          <w:sz w:val="24"/>
        </w:rPr>
        <w:t>与</w:t>
      </w:r>
      <w:r>
        <w:rPr>
          <w:rFonts w:hint="eastAsia" w:ascii="宋体" w:hAnsi="宋体" w:cs="宋体"/>
          <w:color w:val="auto"/>
          <w:sz w:val="24"/>
          <w:u w:val="single"/>
        </w:rPr>
        <w:t>（所有分包供应商名称）</w:t>
      </w:r>
      <w:r>
        <w:rPr>
          <w:rFonts w:hint="eastAsia" w:ascii="宋体" w:hAnsi="宋体" w:cs="宋体"/>
          <w:color w:val="auto"/>
          <w:sz w:val="24"/>
        </w:rPr>
        <w:t>达成分包意向协议</w:t>
      </w:r>
      <w:r>
        <w:rPr>
          <w:rFonts w:hint="eastAsia" w:ascii="宋体" w:hAnsi="宋体" w:cs="宋体"/>
          <w:color w:val="auto"/>
          <w:sz w:val="24"/>
          <w:lang w:val="zh-CN"/>
        </w:rPr>
        <w:t>。</w:t>
      </w:r>
    </w:p>
    <w:p w14:paraId="040E81D4">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一、分包标的及数量</w:t>
      </w:r>
    </w:p>
    <w:p w14:paraId="05EDC38A">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将</w:t>
      </w:r>
      <w:r>
        <w:rPr>
          <w:rFonts w:hint="eastAsia" w:ascii="宋体" w:hAnsi="宋体" w:cs="宋体"/>
          <w:color w:val="auto"/>
          <w:sz w:val="24"/>
          <w:u w:val="single"/>
        </w:rPr>
        <w:t>XX工作内容</w:t>
      </w:r>
      <w:r>
        <w:rPr>
          <w:rFonts w:hint="eastAsia" w:ascii="宋体" w:hAnsi="宋体" w:cs="宋体"/>
          <w:color w:val="auto"/>
          <w:sz w:val="24"/>
        </w:rPr>
        <w:t>分包给</w:t>
      </w:r>
      <w:r>
        <w:rPr>
          <w:rFonts w:hint="eastAsia" w:ascii="宋体" w:hAnsi="宋体" w:cs="宋体"/>
          <w:color w:val="auto"/>
          <w:sz w:val="24"/>
          <w:u w:val="single"/>
        </w:rPr>
        <w:t>（分包供应商1名称）</w:t>
      </w:r>
      <w:r>
        <w:rPr>
          <w:rFonts w:hint="eastAsia" w:ascii="宋体" w:hAnsi="宋体" w:cs="宋体"/>
          <w:color w:val="auto"/>
          <w:sz w:val="24"/>
          <w:lang w:val="zh-CN"/>
        </w:rPr>
        <w:t>，</w:t>
      </w:r>
      <w:r>
        <w:rPr>
          <w:rFonts w:hint="eastAsia" w:ascii="宋体" w:hAnsi="宋体" w:cs="宋体"/>
          <w:color w:val="auto"/>
          <w:sz w:val="24"/>
          <w:u w:val="single"/>
        </w:rPr>
        <w:t>（分包供应商1名称）</w:t>
      </w:r>
      <w:r>
        <w:rPr>
          <w:rFonts w:hint="eastAsia" w:ascii="宋体" w:hAnsi="宋体" w:cs="宋体"/>
          <w:color w:val="auto"/>
          <w:sz w:val="24"/>
          <w:lang w:val="zh-CN"/>
        </w:rPr>
        <w:t>具备承</w:t>
      </w:r>
      <w:r>
        <w:rPr>
          <w:rFonts w:hint="eastAsia" w:ascii="宋体" w:hAnsi="宋体" w:cs="宋体"/>
          <w:color w:val="auto"/>
          <w:sz w:val="24"/>
        </w:rPr>
        <w:t>担</w:t>
      </w:r>
      <w:r>
        <w:rPr>
          <w:rFonts w:hint="eastAsia" w:ascii="宋体" w:hAnsi="宋体" w:cs="宋体"/>
          <w:color w:val="auto"/>
          <w:sz w:val="24"/>
          <w:u w:val="single"/>
        </w:rPr>
        <w:t>XX工作内容</w:t>
      </w:r>
      <w:r>
        <w:rPr>
          <w:rFonts w:hint="eastAsia" w:ascii="宋体" w:hAnsi="宋体" w:cs="宋体"/>
          <w:color w:val="auto"/>
          <w:sz w:val="24"/>
          <w:lang w:val="zh-CN"/>
        </w:rPr>
        <w:t>相应资质条件且不得再次分包；</w:t>
      </w:r>
    </w:p>
    <w:p w14:paraId="640AEC39">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w:t>
      </w:r>
    </w:p>
    <w:p w14:paraId="0F0BB0E3">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二、分包供应商中小企业合同份额</w:t>
      </w:r>
    </w:p>
    <w:p w14:paraId="63870952">
      <w:pPr>
        <w:snapToGrid w:val="0"/>
        <w:spacing w:line="300" w:lineRule="auto"/>
        <w:ind w:firstLine="578"/>
        <w:rPr>
          <w:rFonts w:ascii="宋体" w:hAnsi="宋体" w:cs="宋体"/>
          <w:b/>
          <w:sz w:val="24"/>
          <w:lang w:val="zh-CN"/>
        </w:rPr>
      </w:pPr>
      <w:r>
        <w:rPr>
          <w:rFonts w:hint="eastAsia" w:ascii="宋体" w:hAnsi="宋体" w:cs="宋体"/>
          <w:color w:val="auto"/>
          <w:sz w:val="24"/>
        </w:rPr>
        <w:t>1、</w:t>
      </w:r>
      <w:r>
        <w:rPr>
          <w:rFonts w:hint="eastAsia" w:ascii="宋体" w:hAnsi="宋体" w:cs="宋体"/>
          <w:color w:val="auto"/>
          <w:sz w:val="24"/>
          <w:u w:val="single"/>
        </w:rPr>
        <w:t>（分包供应商X,……）提供的服务全部由小微企业承接，</w:t>
      </w:r>
      <w:r>
        <w:rPr>
          <w:rFonts w:hint="eastAsia" w:ascii="宋体" w:hAnsi="宋体" w:cs="宋体"/>
          <w:color w:val="auto"/>
          <w:sz w:val="24"/>
        </w:rPr>
        <w:t>其合同份额占到合同总金额%以上</w:t>
      </w:r>
      <w:r>
        <w:rPr>
          <w:rFonts w:hint="eastAsia" w:ascii="宋体" w:hAnsi="宋体" w:cs="宋体"/>
          <w:color w:val="auto"/>
        </w:rPr>
        <w:t>。</w:t>
      </w:r>
      <w:r>
        <w:rPr>
          <w:rFonts w:hint="eastAsia" w:ascii="宋体" w:hAnsi="宋体"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lang w:val="zh-CN"/>
        </w:rPr>
        <w:t>）</w:t>
      </w:r>
    </w:p>
    <w:p w14:paraId="41D485F1">
      <w:pPr>
        <w:snapToGrid w:val="0"/>
        <w:spacing w:line="300" w:lineRule="auto"/>
        <w:ind w:firstLine="578"/>
        <w:rPr>
          <w:rFonts w:ascii="宋体" w:hAnsi="宋体" w:cs="宋体"/>
          <w:color w:val="auto"/>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sz w:val="24"/>
          <w:lang w:val="zh-CN"/>
        </w:rPr>
        <w:t>。</w:t>
      </w:r>
      <w:r>
        <w:rPr>
          <w:rFonts w:hint="eastAsia" w:ascii="宋体" w:hAnsi="宋体" w:cs="宋体"/>
          <w:b/>
          <w:bCs/>
          <w:color w:val="auto"/>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sz w:val="24"/>
          <w:lang w:val="zh-CN"/>
        </w:rPr>
        <w:t>）</w:t>
      </w:r>
    </w:p>
    <w:p w14:paraId="79217458">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三、分包工作履行期限、地点、方式：</w:t>
      </w:r>
    </w:p>
    <w:p w14:paraId="4749004E">
      <w:pPr>
        <w:snapToGrid w:val="0"/>
        <w:spacing w:line="300" w:lineRule="auto"/>
        <w:ind w:firstLine="576"/>
        <w:rPr>
          <w:rFonts w:ascii="宋体" w:hAnsi="宋体" w:cs="宋体"/>
          <w:color w:val="auto"/>
          <w:sz w:val="24"/>
          <w:lang w:val="zh-CN"/>
        </w:rPr>
      </w:pPr>
    </w:p>
    <w:p w14:paraId="16FC1006">
      <w:pPr>
        <w:snapToGrid w:val="0"/>
        <w:spacing w:line="300" w:lineRule="auto"/>
        <w:ind w:firstLine="576"/>
        <w:rPr>
          <w:rFonts w:ascii="宋体" w:hAnsi="宋体" w:cs="宋体"/>
          <w:color w:val="auto"/>
          <w:sz w:val="24"/>
        </w:rPr>
      </w:pPr>
      <w:r>
        <w:rPr>
          <w:rFonts w:hint="eastAsia" w:ascii="宋体" w:hAnsi="宋体" w:cs="宋体"/>
          <w:color w:val="auto"/>
          <w:sz w:val="24"/>
          <w:lang w:val="zh-CN"/>
        </w:rPr>
        <w:t>四、质量：</w:t>
      </w:r>
    </w:p>
    <w:p w14:paraId="7290DC53">
      <w:pPr>
        <w:snapToGrid w:val="0"/>
        <w:spacing w:line="300" w:lineRule="auto"/>
        <w:ind w:firstLine="576"/>
        <w:rPr>
          <w:rFonts w:ascii="宋体" w:hAnsi="宋体" w:cs="宋体"/>
          <w:color w:val="auto"/>
          <w:sz w:val="24"/>
          <w:lang w:val="zh-CN"/>
        </w:rPr>
      </w:pPr>
    </w:p>
    <w:p w14:paraId="5C1AE66C">
      <w:pPr>
        <w:snapToGrid w:val="0"/>
        <w:spacing w:line="300" w:lineRule="auto"/>
        <w:ind w:firstLine="576"/>
        <w:rPr>
          <w:rFonts w:ascii="宋体" w:hAnsi="宋体" w:cs="宋体"/>
          <w:color w:val="auto"/>
          <w:sz w:val="24"/>
        </w:rPr>
      </w:pPr>
      <w:r>
        <w:rPr>
          <w:rFonts w:hint="eastAsia" w:ascii="宋体" w:hAnsi="宋体" w:cs="宋体"/>
          <w:color w:val="auto"/>
          <w:sz w:val="24"/>
          <w:lang w:val="zh-CN"/>
        </w:rPr>
        <w:t>五、价款或者报酬：</w:t>
      </w:r>
    </w:p>
    <w:p w14:paraId="051410E7">
      <w:pPr>
        <w:snapToGrid w:val="0"/>
        <w:spacing w:line="300" w:lineRule="auto"/>
        <w:ind w:firstLine="576"/>
        <w:rPr>
          <w:rFonts w:ascii="宋体" w:hAnsi="宋体" w:cs="宋体"/>
          <w:color w:val="auto"/>
          <w:sz w:val="24"/>
          <w:lang w:val="zh-CN"/>
        </w:rPr>
      </w:pPr>
    </w:p>
    <w:p w14:paraId="1D4EE03B">
      <w:pPr>
        <w:snapToGrid w:val="0"/>
        <w:spacing w:line="300" w:lineRule="auto"/>
        <w:ind w:left="573" w:leftChars="273"/>
        <w:rPr>
          <w:rFonts w:ascii="宋体" w:hAnsi="宋体" w:cs="宋体"/>
          <w:color w:val="auto"/>
          <w:sz w:val="24"/>
        </w:rPr>
      </w:pPr>
      <w:r>
        <w:rPr>
          <w:rFonts w:hint="eastAsia" w:ascii="宋体" w:hAnsi="宋体" w:cs="宋体"/>
          <w:color w:val="auto"/>
          <w:sz w:val="24"/>
          <w:lang w:val="zh-CN"/>
        </w:rPr>
        <w:t>六、违约责任：</w:t>
      </w:r>
    </w:p>
    <w:p w14:paraId="58E6894B">
      <w:pPr>
        <w:snapToGrid w:val="0"/>
        <w:spacing w:line="300" w:lineRule="auto"/>
        <w:ind w:left="573" w:leftChars="273"/>
        <w:rPr>
          <w:rFonts w:ascii="宋体" w:hAnsi="宋体" w:cs="宋体"/>
          <w:color w:val="auto"/>
          <w:sz w:val="24"/>
          <w:lang w:val="zh-CN"/>
        </w:rPr>
      </w:pPr>
    </w:p>
    <w:p w14:paraId="77392C68">
      <w:pPr>
        <w:snapToGrid w:val="0"/>
        <w:spacing w:line="300" w:lineRule="auto"/>
        <w:ind w:firstLine="576"/>
        <w:rPr>
          <w:rFonts w:ascii="宋体" w:hAnsi="宋体" w:cs="宋体"/>
          <w:color w:val="auto"/>
          <w:sz w:val="24"/>
        </w:rPr>
      </w:pPr>
      <w:r>
        <w:rPr>
          <w:rFonts w:hint="eastAsia" w:ascii="宋体" w:hAnsi="宋体" w:cs="宋体"/>
          <w:color w:val="auto"/>
          <w:sz w:val="24"/>
          <w:lang w:val="zh-CN"/>
        </w:rPr>
        <w:t>七、争议解决的办法：</w:t>
      </w:r>
    </w:p>
    <w:p w14:paraId="4064A6D9">
      <w:pPr>
        <w:snapToGrid w:val="0"/>
        <w:spacing w:line="300" w:lineRule="auto"/>
        <w:ind w:firstLine="576"/>
        <w:rPr>
          <w:rFonts w:ascii="宋体" w:hAnsi="宋体" w:cs="宋体"/>
          <w:color w:val="auto"/>
          <w:sz w:val="24"/>
        </w:rPr>
      </w:pPr>
    </w:p>
    <w:p w14:paraId="5AB58FA5">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八、其他</w:t>
      </w:r>
    </w:p>
    <w:p w14:paraId="1D6382F2">
      <w:pPr>
        <w:snapToGrid w:val="0"/>
        <w:spacing w:line="300" w:lineRule="auto"/>
        <w:ind w:firstLine="578"/>
        <w:rPr>
          <w:rFonts w:ascii="宋体" w:hAnsi="宋体" w:cs="宋体"/>
          <w:color w:val="auto"/>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sz w:val="24"/>
          <w:lang w:val="zh-CN"/>
        </w:rPr>
        <w:t>。</w:t>
      </w:r>
    </w:p>
    <w:p w14:paraId="57DFD1D4">
      <w:pPr>
        <w:snapToGrid w:val="0"/>
        <w:spacing w:line="300" w:lineRule="auto"/>
        <w:ind w:firstLine="578"/>
        <w:rPr>
          <w:rFonts w:ascii="宋体" w:hAnsi="宋体" w:cs="宋体"/>
          <w:color w:val="auto"/>
          <w:sz w:val="24"/>
          <w:lang w:val="zh-CN"/>
        </w:rPr>
      </w:pPr>
    </w:p>
    <w:p w14:paraId="3176E68C">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投标人名称(电子签名)：</w:t>
      </w:r>
    </w:p>
    <w:p w14:paraId="1FF5577A">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分包供应商名称(电子签名/公章)：</w:t>
      </w:r>
    </w:p>
    <w:p w14:paraId="3FC6B6FF">
      <w:pPr>
        <w:snapToGrid w:val="0"/>
        <w:spacing w:line="360" w:lineRule="auto"/>
        <w:jc w:val="left"/>
        <w:rPr>
          <w:rFonts w:ascii="宋体" w:hAnsi="宋体" w:cs="宋体"/>
          <w:color w:val="auto"/>
        </w:rPr>
      </w:pPr>
      <w:r>
        <w:rPr>
          <w:rFonts w:hint="eastAsia" w:ascii="宋体" w:hAnsi="宋体" w:cs="宋体"/>
          <w:color w:val="auto"/>
          <w:sz w:val="24"/>
          <w:lang w:val="zh-CN"/>
        </w:rPr>
        <w:t>……</w:t>
      </w:r>
    </w:p>
    <w:p w14:paraId="3CF346A1">
      <w:pPr>
        <w:spacing w:line="360" w:lineRule="auto"/>
        <w:jc w:val="left"/>
        <w:rPr>
          <w:rFonts w:ascii="宋体" w:hAnsi="宋体" w:cs="宋体"/>
          <w:color w:val="auto"/>
          <w:sz w:val="24"/>
          <w:lang w:val="zh-CN"/>
        </w:rPr>
      </w:pPr>
      <w:r>
        <w:rPr>
          <w:rFonts w:hint="eastAsia" w:ascii="宋体" w:hAnsi="宋体" w:cs="宋体"/>
          <w:color w:val="auto"/>
          <w:sz w:val="24"/>
          <w:lang w:val="zh-CN"/>
        </w:rPr>
        <w:t>日期：______年______月______日</w:t>
      </w:r>
    </w:p>
    <w:p w14:paraId="42BCE72F">
      <w:pPr>
        <w:spacing w:line="360" w:lineRule="auto"/>
        <w:jc w:val="left"/>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5D318447">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附件5：质 疑 函 范 本（供参考）</w:t>
      </w:r>
    </w:p>
    <w:p w14:paraId="04A15E60">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3B877D3C">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79BE4B4F">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331AD3FC">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439B5063">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11B30410">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3EA395AA">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7CB05159">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6B0A4E06">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48C3A651">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033ECB27">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026D99A9">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10475258">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5D370FBE">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4D736362">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12E5EC67">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68CFAD76">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18344116">
      <w:pPr>
        <w:snapToGrid w:val="0"/>
        <w:spacing w:line="300" w:lineRule="auto"/>
        <w:rPr>
          <w:rFonts w:ascii="仿宋" w:hAnsi="仿宋" w:eastAsia="仿宋" w:cs="仿宋"/>
          <w:color w:val="auto"/>
        </w:rPr>
      </w:pPr>
      <w:r>
        <w:rPr>
          <w:rFonts w:hint="eastAsia" w:ascii="仿宋" w:hAnsi="仿宋" w:eastAsia="仿宋" w:cs="仿宋"/>
          <w:color w:val="auto"/>
        </w:rPr>
        <w:t>……</w:t>
      </w:r>
    </w:p>
    <w:p w14:paraId="678E5033">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316B0D49">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5A4267F7">
      <w:pPr>
        <w:spacing w:line="300" w:lineRule="auto"/>
        <w:rPr>
          <w:rFonts w:ascii="仿宋" w:hAnsi="仿宋" w:eastAsia="仿宋"/>
          <w:color w:val="auto"/>
        </w:rPr>
      </w:pPr>
      <w:r>
        <w:rPr>
          <w:rFonts w:hint="eastAsia" w:ascii="仿宋" w:hAnsi="仿宋" w:eastAsia="仿宋"/>
          <w:color w:val="auto"/>
        </w:rPr>
        <w:t>签字(签章)：公章：</w:t>
      </w:r>
    </w:p>
    <w:p w14:paraId="4A8847D3">
      <w:pPr>
        <w:spacing w:line="300" w:lineRule="auto"/>
        <w:rPr>
          <w:rFonts w:ascii="仿宋" w:hAnsi="仿宋" w:eastAsia="仿宋"/>
          <w:color w:val="auto"/>
        </w:rPr>
      </w:pPr>
      <w:r>
        <w:rPr>
          <w:rFonts w:hint="eastAsia" w:ascii="仿宋" w:hAnsi="仿宋" w:eastAsia="仿宋"/>
          <w:color w:val="auto"/>
        </w:rPr>
        <w:t>日期：</w:t>
      </w:r>
    </w:p>
    <w:p w14:paraId="5198FC6E">
      <w:pPr>
        <w:spacing w:line="300" w:lineRule="auto"/>
        <w:rPr>
          <w:rFonts w:ascii="仿宋" w:hAnsi="仿宋" w:eastAsia="仿宋"/>
          <w:b/>
          <w:color w:val="auto"/>
        </w:rPr>
      </w:pPr>
      <w:r>
        <w:rPr>
          <w:rFonts w:hint="eastAsia" w:ascii="仿宋" w:hAnsi="仿宋" w:eastAsia="仿宋"/>
          <w:b/>
          <w:color w:val="auto"/>
        </w:rPr>
        <w:t>质疑函制作说明：</w:t>
      </w:r>
    </w:p>
    <w:p w14:paraId="1902C1FB">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373A8D43">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4CE63F13">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49779878">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734F2DE1">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108C82B5">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11ECCD10">
        <w:pPr>
          <w:pStyle w:val="31"/>
          <w:ind w:firstLine="360"/>
          <w:jc w:val="center"/>
        </w:pPr>
      </w:p>
    </w:sdtContent>
  </w:sdt>
  <w:p w14:paraId="56E00CE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10EC">
    <w:pPr>
      <w:pStyle w:val="31"/>
      <w:jc w:val="center"/>
    </w:pPr>
    <w:r>
      <w:fldChar w:fldCharType="begin"/>
    </w:r>
    <w:r>
      <w:instrText xml:space="preserve">PAGE   \* MERGEFORMAT</w:instrText>
    </w:r>
    <w:r>
      <w:fldChar w:fldCharType="separate"/>
    </w:r>
    <w:r>
      <w:rPr>
        <w:lang w:val="zh-CN"/>
      </w:rPr>
      <w:t>-</w:t>
    </w:r>
    <w:r>
      <w:t xml:space="preserve"> 2 -</w:t>
    </w:r>
    <w:r>
      <w:fldChar w:fldCharType="end"/>
    </w:r>
  </w:p>
  <w:p w14:paraId="1FF574A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09B8">
    <w:pPr>
      <w:pStyle w:val="31"/>
      <w:framePr w:wrap="around" w:vAnchor="text" w:hAnchor="margin" w:xAlign="center" w:y="1"/>
      <w:rPr>
        <w:rStyle w:val="57"/>
      </w:rPr>
    </w:pPr>
    <w:r>
      <w:fldChar w:fldCharType="begin"/>
    </w:r>
    <w:r>
      <w:rPr>
        <w:rStyle w:val="57"/>
      </w:rPr>
      <w:instrText xml:space="preserve">PAGE  </w:instrText>
    </w:r>
    <w:r>
      <w:fldChar w:fldCharType="end"/>
    </w:r>
  </w:p>
  <w:p w14:paraId="2187CE17">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DD49">
    <w:pPr>
      <w:pStyle w:val="31"/>
      <w:jc w:val="center"/>
    </w:pPr>
    <w:r>
      <w:fldChar w:fldCharType="begin"/>
    </w:r>
    <w:r>
      <w:instrText xml:space="preserve">PAGE   \* MERGEFORMAT</w:instrText>
    </w:r>
    <w:r>
      <w:fldChar w:fldCharType="separate"/>
    </w:r>
    <w:r>
      <w:rPr>
        <w:lang w:val="zh-CN"/>
      </w:rPr>
      <w:t>-</w:t>
    </w:r>
    <w:r>
      <w:t xml:space="preserve"> 5 -</w:t>
    </w:r>
    <w:r>
      <w:fldChar w:fldCharType="end"/>
    </w:r>
  </w:p>
  <w:p w14:paraId="046D158D">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C11E">
    <w:pPr>
      <w:pStyle w:val="33"/>
      <w:jc w:val="right"/>
      <w:rPr>
        <w:rFonts w:ascii="楷体" w:hAnsi="楷体" w:eastAsia="楷体"/>
        <w:sz w:val="21"/>
        <w:szCs w:val="21"/>
      </w:rPr>
    </w:pPr>
    <w:r>
      <w:rPr>
        <w:rFonts w:ascii="楷体" w:hAnsi="楷体" w:eastAsia="楷体"/>
        <w:sz w:val="21"/>
        <w:szCs w:val="21"/>
      </w:rPr>
      <w:t>政府采购公开招标文件</w:t>
    </w:r>
  </w:p>
  <w:p w14:paraId="755C892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883A">
    <w:pPr>
      <w:pStyle w:val="33"/>
      <w:jc w:val="right"/>
    </w:pPr>
    <w:r>
      <w:rPr>
        <w:rFonts w:ascii="楷体" w:hAnsi="楷体" w:eastAsia="楷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DD3C">
    <w:pPr>
      <w:pStyle w:val="33"/>
      <w:jc w:val="right"/>
    </w:pPr>
    <w:r>
      <w:rPr>
        <w:rFonts w:ascii="楷体" w:hAnsi="楷体" w:eastAsia="楷体"/>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9"/>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3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6"/>
      <w:lvlText w:val="%1、"/>
      <w:lvlJc w:val="left"/>
      <w:pPr>
        <w:tabs>
          <w:tab w:val="left" w:pos="360"/>
        </w:tabs>
        <w:ind w:left="360" w:hanging="360"/>
      </w:pPr>
      <w:rPr>
        <w:rFonts w:ascii="Times New Roman" w:hAnsi="Times New Roman" w:eastAsia="黑体" w:cs="Times New Roman"/>
      </w:rPr>
    </w:lvl>
    <w:lvl w:ilvl="1" w:tentative="0">
      <w:start w:val="2005"/>
      <w:numFmt w:val="decimal"/>
      <w:pStyle w:val="34"/>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37"/>
      <w:suff w:val="space"/>
      <w:lvlText w:val="第%1章"/>
      <w:lvlJc w:val="center"/>
      <w:pPr>
        <w:ind w:left="0" w:firstLine="288"/>
      </w:pPr>
      <w:rPr>
        <w:rFonts w:hint="eastAsia" w:ascii="黑体" w:hAnsi="黑体" w:eastAsia="黑体"/>
        <w:sz w:val="36"/>
      </w:rPr>
    </w:lvl>
    <w:lvl w:ilvl="1" w:tentative="0">
      <w:start w:val="1"/>
      <w:numFmt w:val="decimal"/>
      <w:pStyle w:val="248"/>
      <w:suff w:val="space"/>
      <w:lvlText w:val="%1.%2"/>
      <w:lvlJc w:val="left"/>
      <w:pPr>
        <w:ind w:left="0" w:firstLine="0"/>
      </w:pPr>
      <w:rPr>
        <w:rFonts w:hint="eastAsia" w:ascii="黑体" w:hAnsi="黑体" w:eastAsia="黑体"/>
        <w:sz w:val="30"/>
      </w:rPr>
    </w:lvl>
    <w:lvl w:ilvl="2" w:tentative="0">
      <w:start w:val="1"/>
      <w:numFmt w:val="decimal"/>
      <w:pStyle w:val="230"/>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41"/>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9"/>
      <w:lvlText w:val="%1.%2.%3.%4.%5.%6.%7"/>
      <w:lvlJc w:val="left"/>
      <w:pPr>
        <w:ind w:left="0" w:firstLine="0"/>
      </w:pPr>
      <w:rPr>
        <w:rFonts w:hint="eastAsia"/>
      </w:rPr>
    </w:lvl>
    <w:lvl w:ilvl="7" w:tentative="0">
      <w:start w:val="1"/>
      <w:numFmt w:val="decimal"/>
      <w:pStyle w:val="243"/>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16"/>
      <w:lvlText w:val="%1、"/>
      <w:lvlJc w:val="left"/>
      <w:pPr>
        <w:tabs>
          <w:tab w:val="left" w:pos="360"/>
        </w:tabs>
        <w:ind w:left="360" w:hanging="360"/>
      </w:pPr>
      <w:rPr>
        <w:rFonts w:ascii="Times New Roman" w:hAnsi="Times New Roman" w:eastAsia="黑体" w:cs="Times New Roman"/>
      </w:rPr>
    </w:lvl>
    <w:lvl w:ilvl="1" w:tentative="0">
      <w:start w:val="2005"/>
      <w:numFmt w:val="decimal"/>
      <w:pStyle w:val="247"/>
      <w:lvlText w:val="%2年"/>
      <w:lvlJc w:val="left"/>
      <w:pPr>
        <w:tabs>
          <w:tab w:val="left" w:pos="1620"/>
        </w:tabs>
        <w:ind w:left="1620" w:hanging="1200"/>
      </w:pPr>
      <w:rPr>
        <w:rFonts w:hint="eastAsia"/>
      </w:rPr>
    </w:lvl>
    <w:lvl w:ilvl="2" w:tentative="0">
      <w:start w:val="1"/>
      <w:numFmt w:val="decimal"/>
      <w:pStyle w:val="218"/>
      <w:lvlText w:val="（%3）"/>
      <w:lvlJc w:val="left"/>
      <w:pPr>
        <w:tabs>
          <w:tab w:val="left" w:pos="1560"/>
        </w:tabs>
        <w:ind w:left="1560" w:hanging="720"/>
      </w:pPr>
      <w:rPr>
        <w:rFonts w:hint="eastAsia"/>
      </w:rPr>
    </w:lvl>
    <w:lvl w:ilvl="3" w:tentative="0">
      <w:start w:val="1"/>
      <w:numFmt w:val="decimal"/>
      <w:pStyle w:val="24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56743F"/>
    <w:multiLevelType w:val="multilevel"/>
    <w:tmpl w:val="6F56743F"/>
    <w:lvl w:ilvl="0" w:tentative="0">
      <w:start w:val="1"/>
      <w:numFmt w:val="decimalEnclosedCircle"/>
      <w:pStyle w:val="228"/>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0E0079F"/>
    <w:multiLevelType w:val="multilevel"/>
    <w:tmpl w:val="70E0079F"/>
    <w:lvl w:ilvl="0" w:tentative="0">
      <w:start w:val="4"/>
      <w:numFmt w:val="japaneseCounting"/>
      <w:pStyle w:val="199"/>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26B63F7"/>
    <w:multiLevelType w:val="singleLevel"/>
    <w:tmpl w:val="726B63F7"/>
    <w:lvl w:ilvl="0" w:tentative="0">
      <w:start w:val="1"/>
      <w:numFmt w:val="decimal"/>
      <w:suff w:val="nothing"/>
      <w:lvlText w:val="%1、"/>
      <w:lvlJc w:val="left"/>
    </w:lvl>
  </w:abstractNum>
  <w:abstractNum w:abstractNumId="10">
    <w:nsid w:val="766F4AFF"/>
    <w:multiLevelType w:val="multilevel"/>
    <w:tmpl w:val="766F4AFF"/>
    <w:lvl w:ilvl="0" w:tentative="0">
      <w:start w:val="1"/>
      <w:numFmt w:val="decimal"/>
      <w:pStyle w:val="220"/>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210"/>
    <w:rsid w:val="0003136A"/>
    <w:rsid w:val="000319BC"/>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9B5"/>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1F"/>
    <w:rsid w:val="00062DB1"/>
    <w:rsid w:val="000630BE"/>
    <w:rsid w:val="000635ED"/>
    <w:rsid w:val="00063B85"/>
    <w:rsid w:val="00065268"/>
    <w:rsid w:val="0006579E"/>
    <w:rsid w:val="00065A29"/>
    <w:rsid w:val="00065E02"/>
    <w:rsid w:val="000661B2"/>
    <w:rsid w:val="000664C6"/>
    <w:rsid w:val="00066961"/>
    <w:rsid w:val="00066D2C"/>
    <w:rsid w:val="00066E4E"/>
    <w:rsid w:val="0006709E"/>
    <w:rsid w:val="00067198"/>
    <w:rsid w:val="00067A19"/>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0FF8"/>
    <w:rsid w:val="0009199D"/>
    <w:rsid w:val="00091A94"/>
    <w:rsid w:val="000926DC"/>
    <w:rsid w:val="00092C6B"/>
    <w:rsid w:val="00092D40"/>
    <w:rsid w:val="00092D76"/>
    <w:rsid w:val="00092EA0"/>
    <w:rsid w:val="0009321E"/>
    <w:rsid w:val="000932EE"/>
    <w:rsid w:val="000939CC"/>
    <w:rsid w:val="000942E6"/>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0E26"/>
    <w:rsid w:val="000E1913"/>
    <w:rsid w:val="000E1B06"/>
    <w:rsid w:val="000E1F2C"/>
    <w:rsid w:val="000E2324"/>
    <w:rsid w:val="000E24C1"/>
    <w:rsid w:val="000E297A"/>
    <w:rsid w:val="000E2A70"/>
    <w:rsid w:val="000E2E87"/>
    <w:rsid w:val="000E2ECE"/>
    <w:rsid w:val="000E303A"/>
    <w:rsid w:val="000E3541"/>
    <w:rsid w:val="000E359D"/>
    <w:rsid w:val="000E3A04"/>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2E6F"/>
    <w:rsid w:val="000F33ED"/>
    <w:rsid w:val="000F35D9"/>
    <w:rsid w:val="000F3BDA"/>
    <w:rsid w:val="000F3C3D"/>
    <w:rsid w:val="000F3EEE"/>
    <w:rsid w:val="000F4AA5"/>
    <w:rsid w:val="000F4C2E"/>
    <w:rsid w:val="000F54CE"/>
    <w:rsid w:val="000F5D64"/>
    <w:rsid w:val="000F5DA9"/>
    <w:rsid w:val="000F5EA9"/>
    <w:rsid w:val="000F6604"/>
    <w:rsid w:val="000F665A"/>
    <w:rsid w:val="000F692D"/>
    <w:rsid w:val="000F6994"/>
    <w:rsid w:val="000F7088"/>
    <w:rsid w:val="000F71CB"/>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9DA"/>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52B"/>
    <w:rsid w:val="00167968"/>
    <w:rsid w:val="001679E5"/>
    <w:rsid w:val="00167FD9"/>
    <w:rsid w:val="00170238"/>
    <w:rsid w:val="00170B26"/>
    <w:rsid w:val="00171B19"/>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405"/>
    <w:rsid w:val="001E2642"/>
    <w:rsid w:val="001E2A7E"/>
    <w:rsid w:val="001E2C40"/>
    <w:rsid w:val="001E2CE8"/>
    <w:rsid w:val="001E323F"/>
    <w:rsid w:val="001E3767"/>
    <w:rsid w:val="001E3D4B"/>
    <w:rsid w:val="001E434B"/>
    <w:rsid w:val="001E43A5"/>
    <w:rsid w:val="001E43C9"/>
    <w:rsid w:val="001E4680"/>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5B8"/>
    <w:rsid w:val="001F1731"/>
    <w:rsid w:val="001F2113"/>
    <w:rsid w:val="001F23E5"/>
    <w:rsid w:val="001F2793"/>
    <w:rsid w:val="001F2DC4"/>
    <w:rsid w:val="001F35AA"/>
    <w:rsid w:val="001F35C8"/>
    <w:rsid w:val="001F3B46"/>
    <w:rsid w:val="001F3B61"/>
    <w:rsid w:val="001F3BFA"/>
    <w:rsid w:val="001F3F5A"/>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777CB"/>
    <w:rsid w:val="0028008D"/>
    <w:rsid w:val="0028072F"/>
    <w:rsid w:val="00280A57"/>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C23"/>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623"/>
    <w:rsid w:val="002D16DC"/>
    <w:rsid w:val="002D19EF"/>
    <w:rsid w:val="002D1FB0"/>
    <w:rsid w:val="002D295A"/>
    <w:rsid w:val="002D4085"/>
    <w:rsid w:val="002D50B3"/>
    <w:rsid w:val="002D5F6C"/>
    <w:rsid w:val="002D6053"/>
    <w:rsid w:val="002D6390"/>
    <w:rsid w:val="002D63CE"/>
    <w:rsid w:val="002D67EA"/>
    <w:rsid w:val="002D6FCB"/>
    <w:rsid w:val="002D7233"/>
    <w:rsid w:val="002D73BE"/>
    <w:rsid w:val="002D74EA"/>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E7FB4"/>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4179"/>
    <w:rsid w:val="00304642"/>
    <w:rsid w:val="003052E4"/>
    <w:rsid w:val="0030540F"/>
    <w:rsid w:val="003057A2"/>
    <w:rsid w:val="0030592B"/>
    <w:rsid w:val="00305945"/>
    <w:rsid w:val="00305B3F"/>
    <w:rsid w:val="00305ED3"/>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4163"/>
    <w:rsid w:val="003142A5"/>
    <w:rsid w:val="00314561"/>
    <w:rsid w:val="00314843"/>
    <w:rsid w:val="00314973"/>
    <w:rsid w:val="00314CE4"/>
    <w:rsid w:val="0031505C"/>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3B64"/>
    <w:rsid w:val="00323EE7"/>
    <w:rsid w:val="00323F16"/>
    <w:rsid w:val="00324794"/>
    <w:rsid w:val="00324E54"/>
    <w:rsid w:val="00324E8A"/>
    <w:rsid w:val="003250CE"/>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C60"/>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47"/>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143"/>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2FE"/>
    <w:rsid w:val="003A6A3D"/>
    <w:rsid w:val="003A6A7D"/>
    <w:rsid w:val="003A7E0A"/>
    <w:rsid w:val="003A7F77"/>
    <w:rsid w:val="003A7FFD"/>
    <w:rsid w:val="003B06DE"/>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7DC"/>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DFD"/>
    <w:rsid w:val="004242CE"/>
    <w:rsid w:val="00424A9D"/>
    <w:rsid w:val="00425697"/>
    <w:rsid w:val="00425D5A"/>
    <w:rsid w:val="0042657C"/>
    <w:rsid w:val="004265D1"/>
    <w:rsid w:val="00426694"/>
    <w:rsid w:val="0042711B"/>
    <w:rsid w:val="0042763E"/>
    <w:rsid w:val="004276BB"/>
    <w:rsid w:val="00427D13"/>
    <w:rsid w:val="00430907"/>
    <w:rsid w:val="00430CE2"/>
    <w:rsid w:val="00430D82"/>
    <w:rsid w:val="00430DCA"/>
    <w:rsid w:val="00431394"/>
    <w:rsid w:val="0043152E"/>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5C2"/>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C7EA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CAD"/>
    <w:rsid w:val="004E0E64"/>
    <w:rsid w:val="004E0F61"/>
    <w:rsid w:val="004E125E"/>
    <w:rsid w:val="004E1B35"/>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1CC8"/>
    <w:rsid w:val="00501D98"/>
    <w:rsid w:val="0050275B"/>
    <w:rsid w:val="005028C5"/>
    <w:rsid w:val="00502A08"/>
    <w:rsid w:val="00502A80"/>
    <w:rsid w:val="00502D98"/>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DAE"/>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49E"/>
    <w:rsid w:val="005545B5"/>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4A2"/>
    <w:rsid w:val="00581691"/>
    <w:rsid w:val="00581CD4"/>
    <w:rsid w:val="00581E91"/>
    <w:rsid w:val="00581F87"/>
    <w:rsid w:val="00582A94"/>
    <w:rsid w:val="00582C06"/>
    <w:rsid w:val="00582CEC"/>
    <w:rsid w:val="00582EE1"/>
    <w:rsid w:val="00582F7E"/>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833"/>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9AC"/>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0CD2"/>
    <w:rsid w:val="0063108D"/>
    <w:rsid w:val="00631332"/>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494B"/>
    <w:rsid w:val="00655321"/>
    <w:rsid w:val="00655437"/>
    <w:rsid w:val="006556BB"/>
    <w:rsid w:val="0065588C"/>
    <w:rsid w:val="00655E1E"/>
    <w:rsid w:val="006567E0"/>
    <w:rsid w:val="0065695F"/>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CF"/>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7D5"/>
    <w:rsid w:val="00694A0E"/>
    <w:rsid w:val="00694DF6"/>
    <w:rsid w:val="00694E1C"/>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1864"/>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77A"/>
    <w:rsid w:val="00721EEE"/>
    <w:rsid w:val="00721FB1"/>
    <w:rsid w:val="00722A56"/>
    <w:rsid w:val="00722B25"/>
    <w:rsid w:val="00722B5E"/>
    <w:rsid w:val="00723EBF"/>
    <w:rsid w:val="0072416B"/>
    <w:rsid w:val="00724655"/>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D97"/>
    <w:rsid w:val="007402E4"/>
    <w:rsid w:val="007405FE"/>
    <w:rsid w:val="0074070B"/>
    <w:rsid w:val="00740FED"/>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1EB"/>
    <w:rsid w:val="00754754"/>
    <w:rsid w:val="007554FF"/>
    <w:rsid w:val="00755627"/>
    <w:rsid w:val="00755639"/>
    <w:rsid w:val="007556A8"/>
    <w:rsid w:val="0075577D"/>
    <w:rsid w:val="00756033"/>
    <w:rsid w:val="007606CF"/>
    <w:rsid w:val="00760968"/>
    <w:rsid w:val="00760B70"/>
    <w:rsid w:val="00760CBC"/>
    <w:rsid w:val="00760F74"/>
    <w:rsid w:val="00762143"/>
    <w:rsid w:val="0076244C"/>
    <w:rsid w:val="007624F4"/>
    <w:rsid w:val="0076273F"/>
    <w:rsid w:val="007628EE"/>
    <w:rsid w:val="00762918"/>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BD1"/>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1F9"/>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3BF0"/>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1F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EFB"/>
    <w:rsid w:val="00870A5C"/>
    <w:rsid w:val="00870E7F"/>
    <w:rsid w:val="00870FF7"/>
    <w:rsid w:val="008710A1"/>
    <w:rsid w:val="00871397"/>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6D5"/>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C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1CE"/>
    <w:rsid w:val="008F02B2"/>
    <w:rsid w:val="008F0395"/>
    <w:rsid w:val="008F03CF"/>
    <w:rsid w:val="008F0544"/>
    <w:rsid w:val="008F10A8"/>
    <w:rsid w:val="008F13A8"/>
    <w:rsid w:val="008F194D"/>
    <w:rsid w:val="008F1A42"/>
    <w:rsid w:val="008F1A66"/>
    <w:rsid w:val="008F1BDD"/>
    <w:rsid w:val="008F1CB1"/>
    <w:rsid w:val="008F22C9"/>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5CE"/>
    <w:rsid w:val="009066D7"/>
    <w:rsid w:val="00906ABD"/>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104"/>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626"/>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1D5B"/>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5EBC"/>
    <w:rsid w:val="00A26565"/>
    <w:rsid w:val="00A2676E"/>
    <w:rsid w:val="00A26BF2"/>
    <w:rsid w:val="00A26F7F"/>
    <w:rsid w:val="00A27092"/>
    <w:rsid w:val="00A270B3"/>
    <w:rsid w:val="00A270DF"/>
    <w:rsid w:val="00A27AA2"/>
    <w:rsid w:val="00A27B4E"/>
    <w:rsid w:val="00A27D71"/>
    <w:rsid w:val="00A30628"/>
    <w:rsid w:val="00A3092F"/>
    <w:rsid w:val="00A31023"/>
    <w:rsid w:val="00A3135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621"/>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318"/>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187"/>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D16"/>
    <w:rsid w:val="00A96EFC"/>
    <w:rsid w:val="00A97244"/>
    <w:rsid w:val="00A975F5"/>
    <w:rsid w:val="00A97726"/>
    <w:rsid w:val="00A9798E"/>
    <w:rsid w:val="00AA01A2"/>
    <w:rsid w:val="00AA03D6"/>
    <w:rsid w:val="00AA04DE"/>
    <w:rsid w:val="00AA0771"/>
    <w:rsid w:val="00AA07E3"/>
    <w:rsid w:val="00AA0836"/>
    <w:rsid w:val="00AA0BEA"/>
    <w:rsid w:val="00AA13A8"/>
    <w:rsid w:val="00AA14FB"/>
    <w:rsid w:val="00AA1678"/>
    <w:rsid w:val="00AA18AB"/>
    <w:rsid w:val="00AA1EC0"/>
    <w:rsid w:val="00AA1F6F"/>
    <w:rsid w:val="00AA2339"/>
    <w:rsid w:val="00AA28F5"/>
    <w:rsid w:val="00AA2A1B"/>
    <w:rsid w:val="00AA3316"/>
    <w:rsid w:val="00AA35F8"/>
    <w:rsid w:val="00AA37A9"/>
    <w:rsid w:val="00AA38A9"/>
    <w:rsid w:val="00AA39B6"/>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619"/>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5EBC"/>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88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813"/>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0F00"/>
    <w:rsid w:val="00C5200D"/>
    <w:rsid w:val="00C521D1"/>
    <w:rsid w:val="00C527C4"/>
    <w:rsid w:val="00C538C1"/>
    <w:rsid w:val="00C543E3"/>
    <w:rsid w:val="00C54B12"/>
    <w:rsid w:val="00C5542E"/>
    <w:rsid w:val="00C5555E"/>
    <w:rsid w:val="00C5596E"/>
    <w:rsid w:val="00C55984"/>
    <w:rsid w:val="00C55B16"/>
    <w:rsid w:val="00C55DFB"/>
    <w:rsid w:val="00C56022"/>
    <w:rsid w:val="00C56943"/>
    <w:rsid w:val="00C56BD5"/>
    <w:rsid w:val="00C56DF4"/>
    <w:rsid w:val="00C57073"/>
    <w:rsid w:val="00C578D5"/>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9C7"/>
    <w:rsid w:val="00C65E8C"/>
    <w:rsid w:val="00C65FB8"/>
    <w:rsid w:val="00C66254"/>
    <w:rsid w:val="00C66B11"/>
    <w:rsid w:val="00C66C6F"/>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3957"/>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D84"/>
    <w:rsid w:val="00CD1F78"/>
    <w:rsid w:val="00CD2088"/>
    <w:rsid w:val="00CD21E6"/>
    <w:rsid w:val="00CD254A"/>
    <w:rsid w:val="00CD2793"/>
    <w:rsid w:val="00CD2977"/>
    <w:rsid w:val="00CD2E3D"/>
    <w:rsid w:val="00CD2E50"/>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21"/>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C7B"/>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57C5"/>
    <w:rsid w:val="00D56A08"/>
    <w:rsid w:val="00D5726B"/>
    <w:rsid w:val="00D5752C"/>
    <w:rsid w:val="00D575FD"/>
    <w:rsid w:val="00D576DB"/>
    <w:rsid w:val="00D57C74"/>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A19"/>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1BA"/>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597"/>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591"/>
    <w:rsid w:val="00DF36DE"/>
    <w:rsid w:val="00DF3AFA"/>
    <w:rsid w:val="00DF3BBD"/>
    <w:rsid w:val="00DF3DAC"/>
    <w:rsid w:val="00DF3DEF"/>
    <w:rsid w:val="00DF4080"/>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1F0"/>
    <w:rsid w:val="00E00648"/>
    <w:rsid w:val="00E00CF8"/>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D2F"/>
    <w:rsid w:val="00E254CB"/>
    <w:rsid w:val="00E2628D"/>
    <w:rsid w:val="00E267B1"/>
    <w:rsid w:val="00E269E6"/>
    <w:rsid w:val="00E270E0"/>
    <w:rsid w:val="00E27273"/>
    <w:rsid w:val="00E273F5"/>
    <w:rsid w:val="00E27E75"/>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5F6"/>
    <w:rsid w:val="00E90A7A"/>
    <w:rsid w:val="00E90B89"/>
    <w:rsid w:val="00E90DB2"/>
    <w:rsid w:val="00E9111D"/>
    <w:rsid w:val="00E91469"/>
    <w:rsid w:val="00E91583"/>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504"/>
    <w:rsid w:val="00EC7688"/>
    <w:rsid w:val="00EC78CB"/>
    <w:rsid w:val="00EC7E4C"/>
    <w:rsid w:val="00ED05B0"/>
    <w:rsid w:val="00ED0A65"/>
    <w:rsid w:val="00ED0ECA"/>
    <w:rsid w:val="00ED1155"/>
    <w:rsid w:val="00ED1160"/>
    <w:rsid w:val="00ED118F"/>
    <w:rsid w:val="00ED17CB"/>
    <w:rsid w:val="00ED185C"/>
    <w:rsid w:val="00ED266E"/>
    <w:rsid w:val="00ED304B"/>
    <w:rsid w:val="00ED306D"/>
    <w:rsid w:val="00ED3231"/>
    <w:rsid w:val="00ED3D76"/>
    <w:rsid w:val="00ED3EDB"/>
    <w:rsid w:val="00ED4210"/>
    <w:rsid w:val="00ED43C9"/>
    <w:rsid w:val="00ED4533"/>
    <w:rsid w:val="00ED45FC"/>
    <w:rsid w:val="00ED4D11"/>
    <w:rsid w:val="00ED544B"/>
    <w:rsid w:val="00ED55F8"/>
    <w:rsid w:val="00ED58D9"/>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2A6"/>
    <w:rsid w:val="00EE531A"/>
    <w:rsid w:val="00EE532D"/>
    <w:rsid w:val="00EE5659"/>
    <w:rsid w:val="00EE59CB"/>
    <w:rsid w:val="00EE5A0C"/>
    <w:rsid w:val="00EE5E39"/>
    <w:rsid w:val="00EE644F"/>
    <w:rsid w:val="00EE6ED3"/>
    <w:rsid w:val="00EE6EFE"/>
    <w:rsid w:val="00EE7192"/>
    <w:rsid w:val="00EE7428"/>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0C5"/>
    <w:rsid w:val="00EF68AF"/>
    <w:rsid w:val="00EF6DA9"/>
    <w:rsid w:val="00EF6F29"/>
    <w:rsid w:val="00EF702C"/>
    <w:rsid w:val="00EF717D"/>
    <w:rsid w:val="00EF75B2"/>
    <w:rsid w:val="00EF7A99"/>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48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7A8"/>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6E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5B46"/>
    <w:rsid w:val="00F8616B"/>
    <w:rsid w:val="00F86257"/>
    <w:rsid w:val="00F863ED"/>
    <w:rsid w:val="00F869DE"/>
    <w:rsid w:val="00F86BC6"/>
    <w:rsid w:val="00F87333"/>
    <w:rsid w:val="00F873E0"/>
    <w:rsid w:val="00F87C48"/>
    <w:rsid w:val="00F901C4"/>
    <w:rsid w:val="00F9020A"/>
    <w:rsid w:val="00F905C5"/>
    <w:rsid w:val="00F90D95"/>
    <w:rsid w:val="00F91061"/>
    <w:rsid w:val="00F9125E"/>
    <w:rsid w:val="00F91778"/>
    <w:rsid w:val="00F919DB"/>
    <w:rsid w:val="00F91BD3"/>
    <w:rsid w:val="00F91FFE"/>
    <w:rsid w:val="00F923E7"/>
    <w:rsid w:val="00F9246A"/>
    <w:rsid w:val="00F92E98"/>
    <w:rsid w:val="00F93BCD"/>
    <w:rsid w:val="00F93D6F"/>
    <w:rsid w:val="00F93FE8"/>
    <w:rsid w:val="00F941A7"/>
    <w:rsid w:val="00F945B2"/>
    <w:rsid w:val="00F94833"/>
    <w:rsid w:val="00F94B2E"/>
    <w:rsid w:val="00F94D3F"/>
    <w:rsid w:val="00F950B0"/>
    <w:rsid w:val="00F954C6"/>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BB4"/>
    <w:rsid w:val="00FA1960"/>
    <w:rsid w:val="00FA1FCB"/>
    <w:rsid w:val="00FA257B"/>
    <w:rsid w:val="00FA2B11"/>
    <w:rsid w:val="00FA2B58"/>
    <w:rsid w:val="00FA2B75"/>
    <w:rsid w:val="00FA4994"/>
    <w:rsid w:val="00FA4F39"/>
    <w:rsid w:val="00FA5174"/>
    <w:rsid w:val="00FA5235"/>
    <w:rsid w:val="00FA551D"/>
    <w:rsid w:val="00FA5E8F"/>
    <w:rsid w:val="00FA5F6F"/>
    <w:rsid w:val="00FA6029"/>
    <w:rsid w:val="00FA6900"/>
    <w:rsid w:val="00FA73D5"/>
    <w:rsid w:val="00FA7CE0"/>
    <w:rsid w:val="00FB03F6"/>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4959"/>
    <w:rsid w:val="00FC5638"/>
    <w:rsid w:val="00FC59B7"/>
    <w:rsid w:val="00FC5F5C"/>
    <w:rsid w:val="00FC6022"/>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45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524297"/>
    <w:rsid w:val="7AC36936"/>
    <w:rsid w:val="7B494974"/>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70"/>
    <w:qFormat/>
    <w:uiPriority w:val="0"/>
    <w:pPr>
      <w:keepNext/>
      <w:keepLines/>
      <w:spacing w:before="340" w:after="330" w:line="576" w:lineRule="auto"/>
      <w:outlineLvl w:val="0"/>
    </w:pPr>
    <w:rPr>
      <w:b/>
      <w:kern w:val="44"/>
      <w:sz w:val="44"/>
    </w:rPr>
  </w:style>
  <w:style w:type="paragraph" w:styleId="3">
    <w:name w:val="heading 2"/>
    <w:basedOn w:val="1"/>
    <w:next w:val="1"/>
    <w:link w:val="7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72"/>
    <w:qFormat/>
    <w:uiPriority w:val="0"/>
    <w:pPr>
      <w:keepNext/>
      <w:keepLines/>
      <w:spacing w:before="260" w:after="260" w:line="413" w:lineRule="auto"/>
      <w:outlineLvl w:val="2"/>
    </w:pPr>
    <w:rPr>
      <w:b/>
      <w:bCs/>
      <w:sz w:val="32"/>
      <w:szCs w:val="32"/>
    </w:rPr>
  </w:style>
  <w:style w:type="paragraph" w:styleId="5">
    <w:name w:val="heading 4"/>
    <w:next w:val="1"/>
    <w:link w:val="73"/>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62"/>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3"/>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4"/>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5"/>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6"/>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2"/>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0"/>
    <w:pPr>
      <w:ind w:left="800" w:leftChars="800"/>
    </w:pPr>
  </w:style>
  <w:style w:type="paragraph" w:styleId="18">
    <w:name w:val="Document Map"/>
    <w:basedOn w:val="1"/>
    <w:link w:val="116"/>
    <w:qFormat/>
    <w:uiPriority w:val="0"/>
    <w:pPr>
      <w:shd w:val="clear" w:color="auto" w:fill="000080"/>
      <w:autoSpaceDE/>
      <w:autoSpaceDN/>
      <w:adjustRightInd/>
    </w:pPr>
    <w:rPr>
      <w:color w:val="auto"/>
      <w:kern w:val="2"/>
      <w:szCs w:val="24"/>
    </w:rPr>
  </w:style>
  <w:style w:type="paragraph" w:styleId="19">
    <w:name w:val="annotation text"/>
    <w:basedOn w:val="1"/>
    <w:link w:val="111"/>
    <w:autoRedefine/>
    <w:unhideWhenUsed/>
    <w:qFormat/>
    <w:uiPriority w:val="0"/>
    <w:pPr>
      <w:jc w:val="left"/>
    </w:pPr>
  </w:style>
  <w:style w:type="paragraph" w:styleId="20">
    <w:name w:val="Body Text 3"/>
    <w:basedOn w:val="1"/>
    <w:link w:val="157"/>
    <w:unhideWhenUsed/>
    <w:qFormat/>
    <w:uiPriority w:val="0"/>
    <w:pPr>
      <w:spacing w:after="120"/>
    </w:pPr>
    <w:rPr>
      <w:sz w:val="16"/>
      <w:szCs w:val="16"/>
    </w:rPr>
  </w:style>
  <w:style w:type="paragraph" w:styleId="21">
    <w:name w:val="Body Text"/>
    <w:basedOn w:val="1"/>
    <w:link w:val="124"/>
    <w:qFormat/>
    <w:uiPriority w:val="0"/>
    <w:pPr>
      <w:spacing w:after="120"/>
    </w:pPr>
  </w:style>
  <w:style w:type="paragraph" w:styleId="22">
    <w:name w:val="Body Text Indent"/>
    <w:basedOn w:val="1"/>
    <w:link w:val="117"/>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100"/>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3"/>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21"/>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5"/>
    <w:autoRedefine/>
    <w:qFormat/>
    <w:uiPriority w:val="0"/>
    <w:pPr>
      <w:autoSpaceDE/>
      <w:autoSpaceDN/>
      <w:adjustRightInd/>
    </w:pPr>
    <w:rPr>
      <w:color w:val="auto"/>
      <w:kern w:val="2"/>
      <w:sz w:val="18"/>
      <w:szCs w:val="18"/>
    </w:rPr>
  </w:style>
  <w:style w:type="paragraph" w:styleId="31">
    <w:name w:val="footer"/>
    <w:basedOn w:val="1"/>
    <w:link w:val="86"/>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envelope return"/>
    <w:basedOn w:val="1"/>
    <w:qFormat/>
    <w:uiPriority w:val="0"/>
    <w:pPr>
      <w:snapToGrid w:val="0"/>
    </w:pPr>
    <w:rPr>
      <w:rFonts w:ascii="Arial" w:hAnsi="Arial"/>
      <w:color w:val="auto"/>
      <w:sz w:val="34"/>
      <w:szCs w:val="20"/>
    </w:rPr>
  </w:style>
  <w:style w:type="paragraph" w:styleId="33">
    <w:name w:val="header"/>
    <w:basedOn w:val="1"/>
    <w:link w:val="87"/>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4">
    <w:name w:val="Signature"/>
    <w:basedOn w:val="1"/>
    <w:next w:val="1"/>
    <w:link w:val="97"/>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5">
    <w:name w:val="toc 1"/>
    <w:basedOn w:val="1"/>
    <w:next w:val="1"/>
    <w:autoRedefine/>
    <w:qFormat/>
    <w:uiPriority w:val="0"/>
    <w:pPr>
      <w:spacing w:line="360" w:lineRule="auto"/>
    </w:pPr>
    <w:rPr>
      <w:rFonts w:eastAsia="黑体"/>
      <w:sz w:val="24"/>
    </w:rPr>
  </w:style>
  <w:style w:type="paragraph" w:styleId="36">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7">
    <w:name w:val="Subtitle"/>
    <w:basedOn w:val="1"/>
    <w:next w:val="1"/>
    <w:link w:val="332"/>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00" w:hanging="200" w:hangingChars="200"/>
      <w:contextualSpacing/>
    </w:pPr>
  </w:style>
  <w:style w:type="paragraph" w:styleId="39">
    <w:name w:val="footnote text"/>
    <w:basedOn w:val="1"/>
    <w:link w:val="333"/>
    <w:qFormat/>
    <w:uiPriority w:val="99"/>
    <w:pPr>
      <w:spacing w:line="440" w:lineRule="exact"/>
      <w:jc w:val="left"/>
    </w:pPr>
    <w:rPr>
      <w:rFonts w:eastAsia="等线"/>
      <w:kern w:val="1"/>
      <w:sz w:val="18"/>
    </w:rPr>
  </w:style>
  <w:style w:type="paragraph" w:styleId="40">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41">
    <w:name w:val="Body Text Indent 3"/>
    <w:basedOn w:val="1"/>
    <w:link w:val="99"/>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2">
    <w:name w:val="index 7"/>
    <w:basedOn w:val="1"/>
    <w:next w:val="1"/>
    <w:autoRedefine/>
    <w:qFormat/>
    <w:uiPriority w:val="0"/>
    <w:pPr>
      <w:autoSpaceDE/>
      <w:autoSpaceDN/>
      <w:adjustRightInd/>
      <w:ind w:left="1200" w:leftChars="1200"/>
    </w:pPr>
    <w:rPr>
      <w:color w:val="auto"/>
      <w:kern w:val="2"/>
      <w:szCs w:val="24"/>
    </w:rPr>
  </w:style>
  <w:style w:type="paragraph" w:styleId="43">
    <w:name w:val="toc 2"/>
    <w:basedOn w:val="1"/>
    <w:next w:val="1"/>
    <w:autoRedefine/>
    <w:qFormat/>
    <w:uiPriority w:val="0"/>
    <w:pPr>
      <w:tabs>
        <w:tab w:val="right" w:leader="dot" w:pos="8296"/>
      </w:tabs>
      <w:autoSpaceDE/>
      <w:autoSpaceDN/>
      <w:adjustRightInd/>
      <w:spacing w:line="300" w:lineRule="auto"/>
      <w:ind w:firstLine="420" w:firstLineChars="200"/>
    </w:pPr>
    <w:rPr>
      <w:rFonts w:ascii="仿宋" w:hAnsi="仿宋" w:eastAsia="仿宋" w:cs="仿宋_GB2312"/>
      <w:smallCaps/>
      <w:color w:val="auto"/>
      <w:kern w:val="2"/>
    </w:rPr>
  </w:style>
  <w:style w:type="paragraph" w:styleId="44">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5">
    <w:name w:val="Body Text 2"/>
    <w:basedOn w:val="1"/>
    <w:link w:val="210"/>
    <w:autoRedefine/>
    <w:qFormat/>
    <w:uiPriority w:val="0"/>
    <w:pPr>
      <w:autoSpaceDE/>
      <w:autoSpaceDN/>
      <w:adjustRightInd/>
      <w:spacing w:after="120" w:line="480" w:lineRule="auto"/>
      <w:ind w:left="425" w:hanging="425"/>
    </w:pPr>
    <w:rPr>
      <w:kern w:val="2"/>
      <w:szCs w:val="22"/>
    </w:rPr>
  </w:style>
  <w:style w:type="paragraph" w:styleId="46">
    <w:name w:val="HTML Preformatted"/>
    <w:basedOn w:val="1"/>
    <w:link w:val="96"/>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7">
    <w:name w:val="Normal (Web)"/>
    <w:basedOn w:val="1"/>
    <w:link w:val="89"/>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8">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9">
    <w:name w:val="Title"/>
    <w:basedOn w:val="1"/>
    <w:link w:val="209"/>
    <w:autoRedefine/>
    <w:qFormat/>
    <w:uiPriority w:val="0"/>
    <w:pPr>
      <w:autoSpaceDE/>
      <w:autoSpaceDN/>
      <w:adjustRightInd/>
      <w:spacing w:before="240" w:after="60"/>
      <w:jc w:val="center"/>
      <w:outlineLvl w:val="0"/>
    </w:pPr>
    <w:rPr>
      <w:rFonts w:ascii="Arial" w:hAnsi="Arial"/>
      <w:b/>
      <w:bCs/>
      <w:kern w:val="2"/>
      <w:sz w:val="32"/>
      <w:szCs w:val="32"/>
    </w:rPr>
  </w:style>
  <w:style w:type="paragraph" w:styleId="50">
    <w:name w:val="annotation subject"/>
    <w:basedOn w:val="19"/>
    <w:next w:val="19"/>
    <w:link w:val="112"/>
    <w:autoRedefine/>
    <w:qFormat/>
    <w:uiPriority w:val="0"/>
    <w:pPr>
      <w:autoSpaceDE/>
      <w:autoSpaceDN/>
      <w:adjustRightInd/>
    </w:pPr>
    <w:rPr>
      <w:b/>
      <w:bCs/>
      <w:color w:val="auto"/>
      <w:kern w:val="2"/>
      <w:szCs w:val="24"/>
    </w:rPr>
  </w:style>
  <w:style w:type="paragraph" w:styleId="51">
    <w:name w:val="Body Text First Indent"/>
    <w:basedOn w:val="21"/>
    <w:link w:val="161"/>
    <w:autoRedefine/>
    <w:unhideWhenUsed/>
    <w:qFormat/>
    <w:uiPriority w:val="0"/>
    <w:pPr>
      <w:ind w:firstLine="480" w:firstLineChars="200"/>
    </w:pPr>
    <w:rPr>
      <w:rFonts w:ascii="仿宋" w:hAnsi="仿宋" w:eastAsia="仿宋"/>
      <w:bCs/>
      <w:sz w:val="24"/>
      <w:szCs w:val="24"/>
    </w:rPr>
  </w:style>
  <w:style w:type="paragraph" w:styleId="52">
    <w:name w:val="Body Text First Indent 2"/>
    <w:basedOn w:val="22"/>
    <w:link w:val="118"/>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autoRedefine/>
    <w:qFormat/>
    <w:uiPriority w:val="99"/>
    <w:rPr>
      <w:b/>
      <w:bCs/>
    </w:rPr>
  </w:style>
  <w:style w:type="character" w:styleId="57">
    <w:name w:val="page number"/>
    <w:basedOn w:val="55"/>
    <w:autoRedefine/>
    <w:qFormat/>
    <w:uiPriority w:val="0"/>
  </w:style>
  <w:style w:type="character" w:styleId="58">
    <w:name w:val="FollowedHyperlink"/>
    <w:basedOn w:val="55"/>
    <w:autoRedefine/>
    <w:qFormat/>
    <w:uiPriority w:val="0"/>
    <w:rPr>
      <w:color w:val="555555"/>
      <w:u w:val="none"/>
    </w:rPr>
  </w:style>
  <w:style w:type="character" w:styleId="59">
    <w:name w:val="Emphasis"/>
    <w:autoRedefine/>
    <w:qFormat/>
    <w:uiPriority w:val="0"/>
    <w:rPr>
      <w:color w:val="CC0000"/>
    </w:rPr>
  </w:style>
  <w:style w:type="character" w:styleId="60">
    <w:name w:val="HTML Definition"/>
    <w:basedOn w:val="55"/>
    <w:autoRedefine/>
    <w:qFormat/>
    <w:uiPriority w:val="0"/>
  </w:style>
  <w:style w:type="character" w:styleId="61">
    <w:name w:val="HTML Typewriter"/>
    <w:basedOn w:val="55"/>
    <w:autoRedefine/>
    <w:qFormat/>
    <w:uiPriority w:val="0"/>
    <w:rPr>
      <w:rFonts w:hint="default" w:ascii="monospace" w:hAnsi="monospace" w:eastAsia="monospace" w:cs="monospace"/>
      <w:sz w:val="20"/>
    </w:rPr>
  </w:style>
  <w:style w:type="character" w:styleId="62">
    <w:name w:val="HTML Acronym"/>
    <w:basedOn w:val="55"/>
    <w:autoRedefine/>
    <w:qFormat/>
    <w:uiPriority w:val="0"/>
  </w:style>
  <w:style w:type="character" w:styleId="63">
    <w:name w:val="HTML Variable"/>
    <w:basedOn w:val="55"/>
    <w:qFormat/>
    <w:uiPriority w:val="0"/>
  </w:style>
  <w:style w:type="character" w:styleId="64">
    <w:name w:val="Hyperlink"/>
    <w:basedOn w:val="55"/>
    <w:autoRedefine/>
    <w:qFormat/>
    <w:uiPriority w:val="0"/>
    <w:rPr>
      <w:color w:val="0000FF"/>
      <w:u w:val="single"/>
    </w:rPr>
  </w:style>
  <w:style w:type="character" w:styleId="65">
    <w:name w:val="HTML Code"/>
    <w:basedOn w:val="55"/>
    <w:autoRedefine/>
    <w:qFormat/>
    <w:uiPriority w:val="0"/>
    <w:rPr>
      <w:rFonts w:ascii="monospace" w:hAnsi="monospace" w:eastAsia="monospace" w:cs="monospace"/>
      <w:sz w:val="20"/>
    </w:rPr>
  </w:style>
  <w:style w:type="character" w:styleId="66">
    <w:name w:val="annotation reference"/>
    <w:autoRedefine/>
    <w:qFormat/>
    <w:uiPriority w:val="0"/>
    <w:rPr>
      <w:sz w:val="21"/>
      <w:szCs w:val="21"/>
    </w:rPr>
  </w:style>
  <w:style w:type="character" w:styleId="67">
    <w:name w:val="HTML Cite"/>
    <w:basedOn w:val="55"/>
    <w:autoRedefine/>
    <w:qFormat/>
    <w:uiPriority w:val="0"/>
  </w:style>
  <w:style w:type="character" w:styleId="68">
    <w:name w:val="HTML Keyboard"/>
    <w:basedOn w:val="55"/>
    <w:autoRedefine/>
    <w:qFormat/>
    <w:uiPriority w:val="0"/>
    <w:rPr>
      <w:rFonts w:hint="default" w:ascii="monospace" w:hAnsi="monospace" w:eastAsia="monospace" w:cs="monospace"/>
      <w:sz w:val="20"/>
    </w:rPr>
  </w:style>
  <w:style w:type="character" w:styleId="69">
    <w:name w:val="HTML Sample"/>
    <w:basedOn w:val="55"/>
    <w:autoRedefine/>
    <w:qFormat/>
    <w:uiPriority w:val="0"/>
    <w:rPr>
      <w:rFonts w:hint="default" w:ascii="monospace" w:hAnsi="monospace" w:eastAsia="monospace" w:cs="monospace"/>
    </w:rPr>
  </w:style>
  <w:style w:type="character" w:customStyle="1" w:styleId="70">
    <w:name w:val="标题 1 Char"/>
    <w:basedOn w:val="55"/>
    <w:link w:val="2"/>
    <w:autoRedefine/>
    <w:qFormat/>
    <w:uiPriority w:val="0"/>
    <w:rPr>
      <w:rFonts w:ascii="Times New Roman" w:hAnsi="Times New Roman" w:eastAsia="宋体" w:cs="Times New Roman"/>
      <w:b/>
      <w:color w:val="000000"/>
      <w:kern w:val="44"/>
      <w:sz w:val="44"/>
      <w:szCs w:val="21"/>
    </w:rPr>
  </w:style>
  <w:style w:type="character" w:customStyle="1" w:styleId="71">
    <w:name w:val="标题 2 Char"/>
    <w:basedOn w:val="55"/>
    <w:link w:val="3"/>
    <w:autoRedefine/>
    <w:qFormat/>
    <w:uiPriority w:val="0"/>
    <w:rPr>
      <w:rFonts w:ascii="Arial" w:hAnsi="Arial" w:eastAsia="黑体" w:cs="Times New Roman"/>
      <w:b/>
      <w:bCs/>
      <w:color w:val="000000"/>
      <w:sz w:val="32"/>
      <w:szCs w:val="32"/>
    </w:rPr>
  </w:style>
  <w:style w:type="character" w:customStyle="1" w:styleId="72">
    <w:name w:val="标题 3 Char"/>
    <w:basedOn w:val="55"/>
    <w:link w:val="4"/>
    <w:autoRedefine/>
    <w:qFormat/>
    <w:uiPriority w:val="0"/>
    <w:rPr>
      <w:rFonts w:ascii="Times New Roman" w:hAnsi="Times New Roman" w:eastAsia="宋体" w:cs="Times New Roman"/>
      <w:b/>
      <w:bCs/>
      <w:color w:val="000000"/>
      <w:kern w:val="0"/>
      <w:sz w:val="32"/>
      <w:szCs w:val="32"/>
    </w:rPr>
  </w:style>
  <w:style w:type="character" w:customStyle="1" w:styleId="73">
    <w:name w:val="标题 4 Char"/>
    <w:basedOn w:val="55"/>
    <w:link w:val="5"/>
    <w:autoRedefine/>
    <w:qFormat/>
    <w:uiPriority w:val="0"/>
    <w:rPr>
      <w:rFonts w:ascii="Cambria" w:hAnsi="Cambria" w:eastAsia="黑体" w:cs="Times New Roman"/>
      <w:b/>
      <w:bCs/>
      <w:sz w:val="24"/>
      <w:szCs w:val="28"/>
    </w:rPr>
  </w:style>
  <w:style w:type="character" w:customStyle="1" w:styleId="74">
    <w:name w:val="正文文字2 Char"/>
    <w:link w:val="75"/>
    <w:autoRedefine/>
    <w:qFormat/>
    <w:uiPriority w:val="0"/>
    <w:rPr>
      <w:rFonts w:ascii="Arial" w:eastAsia="黑体"/>
    </w:rPr>
  </w:style>
  <w:style w:type="paragraph" w:customStyle="1" w:styleId="75">
    <w:name w:val="正文文字2"/>
    <w:basedOn w:val="21"/>
    <w:link w:val="74"/>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6">
    <w:name w:val="列出段落 Char Char"/>
    <w:link w:val="77"/>
    <w:autoRedefine/>
    <w:qFormat/>
    <w:uiPriority w:val="0"/>
    <w:rPr>
      <w:rFonts w:ascii="Calibri" w:hAnsi="Calibri"/>
    </w:rPr>
  </w:style>
  <w:style w:type="paragraph" w:customStyle="1" w:styleId="77">
    <w:name w:val="列表段落1"/>
    <w:basedOn w:val="1"/>
    <w:link w:val="76"/>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8">
    <w:name w:val="列出段落 Char"/>
    <w:link w:val="79"/>
    <w:autoRedefine/>
    <w:qFormat/>
    <w:uiPriority w:val="0"/>
    <w:rPr>
      <w:rFonts w:ascii="Calibri" w:hAnsi="Calibri"/>
    </w:rPr>
  </w:style>
  <w:style w:type="paragraph" w:styleId="79">
    <w:name w:val="List Paragraph"/>
    <w:basedOn w:val="1"/>
    <w:link w:val="78"/>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80">
    <w:name w:val="日期 Char1"/>
    <w:autoRedefine/>
    <w:qFormat/>
    <w:uiPriority w:val="0"/>
    <w:rPr>
      <w:kern w:val="2"/>
      <w:sz w:val="21"/>
      <w:szCs w:val="24"/>
    </w:rPr>
  </w:style>
  <w:style w:type="character" w:customStyle="1" w:styleId="81">
    <w:name w:val="Char Char3"/>
    <w:basedOn w:val="55"/>
    <w:autoRedefine/>
    <w:qFormat/>
    <w:uiPriority w:val="0"/>
    <w:rPr>
      <w:rFonts w:ascii="宋体" w:hAnsi="Courier New" w:eastAsia="宋体"/>
      <w:sz w:val="24"/>
      <w:szCs w:val="24"/>
      <w:lang w:bidi="ar-SA"/>
    </w:rPr>
  </w:style>
  <w:style w:type="character" w:customStyle="1" w:styleId="82">
    <w:name w:val="正文缩进 Char1"/>
    <w:basedOn w:val="55"/>
    <w:link w:val="8"/>
    <w:autoRedefine/>
    <w:qFormat/>
    <w:uiPriority w:val="0"/>
  </w:style>
  <w:style w:type="character" w:customStyle="1" w:styleId="83">
    <w:name w:val="正文文本缩进 字符"/>
    <w:basedOn w:val="55"/>
    <w:autoRedefine/>
    <w:qFormat/>
    <w:uiPriority w:val="0"/>
    <w:rPr>
      <w:rFonts w:eastAsia="宋体"/>
      <w:color w:val="000000"/>
      <w:sz w:val="21"/>
      <w:szCs w:val="21"/>
      <w:lang w:val="en-US" w:eastAsia="zh-CN" w:bidi="ar-SA"/>
    </w:rPr>
  </w:style>
  <w:style w:type="character" w:customStyle="1" w:styleId="84">
    <w:name w:val="15"/>
    <w:basedOn w:val="55"/>
    <w:autoRedefine/>
    <w:qFormat/>
    <w:uiPriority w:val="0"/>
    <w:rPr>
      <w:rFonts w:hint="default" w:ascii="Lucida Sans" w:hAnsi="Lucida Sans"/>
    </w:rPr>
  </w:style>
  <w:style w:type="character" w:customStyle="1" w:styleId="85">
    <w:name w:val="jtz3 Char"/>
    <w:autoRedefine/>
    <w:qFormat/>
    <w:uiPriority w:val="0"/>
    <w:rPr>
      <w:rFonts w:eastAsia="宋体"/>
      <w:b/>
      <w:bCs/>
      <w:kern w:val="2"/>
      <w:sz w:val="28"/>
      <w:szCs w:val="32"/>
      <w:lang w:val="en-US" w:eastAsia="zh-CN" w:bidi="ar-SA"/>
    </w:rPr>
  </w:style>
  <w:style w:type="character" w:customStyle="1" w:styleId="86">
    <w:name w:val="页脚 Char1"/>
    <w:basedOn w:val="55"/>
    <w:link w:val="31"/>
    <w:autoRedefine/>
    <w:qFormat/>
    <w:uiPriority w:val="99"/>
    <w:rPr>
      <w:color w:val="000000"/>
      <w:sz w:val="18"/>
      <w:szCs w:val="18"/>
    </w:rPr>
  </w:style>
  <w:style w:type="character" w:customStyle="1" w:styleId="87">
    <w:name w:val="页眉 Char1"/>
    <w:basedOn w:val="55"/>
    <w:link w:val="33"/>
    <w:autoRedefine/>
    <w:qFormat/>
    <w:uiPriority w:val="99"/>
    <w:rPr>
      <w:color w:val="000000"/>
      <w:sz w:val="18"/>
      <w:szCs w:val="18"/>
    </w:rPr>
  </w:style>
  <w:style w:type="character" w:customStyle="1" w:styleId="88">
    <w:name w:val="jtz2 Char1"/>
    <w:autoRedefine/>
    <w:qFormat/>
    <w:uiPriority w:val="0"/>
    <w:rPr>
      <w:rFonts w:ascii="Cambria" w:hAnsi="Cambria" w:eastAsia="宋体"/>
      <w:b/>
      <w:bCs/>
      <w:kern w:val="2"/>
      <w:sz w:val="30"/>
      <w:szCs w:val="32"/>
      <w:lang w:val="en-US" w:eastAsia="zh-CN" w:bidi="ar-SA"/>
    </w:rPr>
  </w:style>
  <w:style w:type="character" w:customStyle="1" w:styleId="89">
    <w:name w:val="普通(网站) Char"/>
    <w:basedOn w:val="55"/>
    <w:link w:val="47"/>
    <w:autoRedefine/>
    <w:qFormat/>
    <w:uiPriority w:val="0"/>
    <w:rPr>
      <w:rFonts w:ascii="宋体" w:hAnsi="宋体"/>
      <w:color w:val="000000"/>
      <w:sz w:val="24"/>
      <w:szCs w:val="24"/>
    </w:rPr>
  </w:style>
  <w:style w:type="character" w:customStyle="1" w:styleId="90">
    <w:name w:val="Char Char13"/>
    <w:autoRedefine/>
    <w:qFormat/>
    <w:uiPriority w:val="0"/>
    <w:rPr>
      <w:rFonts w:eastAsia="宋体"/>
      <w:b/>
      <w:bCs/>
      <w:kern w:val="44"/>
      <w:sz w:val="44"/>
      <w:szCs w:val="44"/>
      <w:lang w:val="en-US" w:eastAsia="zh-CN" w:bidi="ar-SA"/>
    </w:rPr>
  </w:style>
  <w:style w:type="character" w:customStyle="1" w:styleId="91">
    <w:name w:val="Char Char17"/>
    <w:autoRedefine/>
    <w:qFormat/>
    <w:uiPriority w:val="0"/>
    <w:rPr>
      <w:rFonts w:ascii="Calibri" w:hAnsi="Calibri" w:eastAsia="宋体" w:cs="Times New Roman"/>
    </w:rPr>
  </w:style>
  <w:style w:type="character" w:customStyle="1" w:styleId="92">
    <w:name w:val="正文文本缩进 2 Char1"/>
    <w:autoRedefine/>
    <w:qFormat/>
    <w:uiPriority w:val="0"/>
    <w:rPr>
      <w:kern w:val="2"/>
      <w:sz w:val="21"/>
      <w:szCs w:val="24"/>
    </w:rPr>
  </w:style>
  <w:style w:type="character" w:customStyle="1" w:styleId="93">
    <w:name w:val="param-name"/>
    <w:autoRedefine/>
    <w:qFormat/>
    <w:uiPriority w:val="0"/>
  </w:style>
  <w:style w:type="character" w:customStyle="1" w:styleId="94">
    <w:name w:val="01 正文样式 Char"/>
    <w:link w:val="95"/>
    <w:autoRedefine/>
    <w:qFormat/>
    <w:uiPriority w:val="0"/>
    <w:rPr>
      <w:sz w:val="24"/>
    </w:rPr>
  </w:style>
  <w:style w:type="paragraph" w:customStyle="1" w:styleId="95">
    <w:name w:val="01 正文样式"/>
    <w:basedOn w:val="1"/>
    <w:link w:val="94"/>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6">
    <w:name w:val="HTML 预设格式 Char"/>
    <w:basedOn w:val="55"/>
    <w:link w:val="46"/>
    <w:autoRedefine/>
    <w:qFormat/>
    <w:uiPriority w:val="0"/>
    <w:rPr>
      <w:rFonts w:ascii="Arial Unicode MS" w:hAnsi="Arial Unicode MS" w:eastAsia="Arial Unicode MS"/>
    </w:rPr>
  </w:style>
  <w:style w:type="character" w:customStyle="1" w:styleId="97">
    <w:name w:val="签名 Char"/>
    <w:basedOn w:val="55"/>
    <w:link w:val="34"/>
    <w:autoRedefine/>
    <w:qFormat/>
    <w:uiPriority w:val="0"/>
    <w:rPr>
      <w:rFonts w:ascii="Arial" w:hAnsi="Arial"/>
      <w:spacing w:val="-5"/>
      <w:sz w:val="24"/>
    </w:rPr>
  </w:style>
  <w:style w:type="character" w:customStyle="1" w:styleId="98">
    <w:name w:val="jtz2 Char"/>
    <w:autoRedefine/>
    <w:qFormat/>
    <w:uiPriority w:val="0"/>
    <w:rPr>
      <w:rFonts w:ascii="Arial" w:hAnsi="Arial" w:eastAsia="宋体"/>
      <w:b/>
      <w:bCs/>
      <w:kern w:val="2"/>
      <w:sz w:val="30"/>
      <w:szCs w:val="32"/>
      <w:lang w:val="en-US" w:eastAsia="zh-CN" w:bidi="ar-SA"/>
    </w:rPr>
  </w:style>
  <w:style w:type="character" w:customStyle="1" w:styleId="99">
    <w:name w:val="正文文本缩进 3 Char"/>
    <w:basedOn w:val="55"/>
    <w:link w:val="41"/>
    <w:autoRedefine/>
    <w:qFormat/>
    <w:uiPriority w:val="0"/>
    <w:rPr>
      <w:szCs w:val="24"/>
    </w:rPr>
  </w:style>
  <w:style w:type="character" w:customStyle="1" w:styleId="100">
    <w:name w:val="纯文本 Char1"/>
    <w:basedOn w:val="55"/>
    <w:link w:val="26"/>
    <w:autoRedefine/>
    <w:qFormat/>
    <w:uiPriority w:val="0"/>
    <w:rPr>
      <w:sz w:val="24"/>
    </w:rPr>
  </w:style>
  <w:style w:type="character" w:customStyle="1" w:styleId="101">
    <w:name w:val="01正文样式 Char"/>
    <w:link w:val="102"/>
    <w:autoRedefine/>
    <w:qFormat/>
    <w:uiPriority w:val="0"/>
    <w:rPr>
      <w:rFonts w:ascii="Tahoma" w:hAnsi="Tahoma" w:eastAsia="仿宋_GB2312"/>
      <w:sz w:val="28"/>
    </w:rPr>
  </w:style>
  <w:style w:type="paragraph" w:customStyle="1" w:styleId="102">
    <w:name w:val="01正文样式"/>
    <w:basedOn w:val="1"/>
    <w:link w:val="101"/>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3">
    <w:name w:val="日期 Char"/>
    <w:basedOn w:val="55"/>
    <w:link w:val="28"/>
    <w:autoRedefine/>
    <w:qFormat/>
    <w:uiPriority w:val="0"/>
    <w:rPr>
      <w:color w:val="000000"/>
      <w:szCs w:val="21"/>
    </w:rPr>
  </w:style>
  <w:style w:type="character" w:customStyle="1" w:styleId="104">
    <w:name w:val="Char Char11"/>
    <w:basedOn w:val="55"/>
    <w:autoRedefine/>
    <w:qFormat/>
    <w:uiPriority w:val="0"/>
    <w:rPr>
      <w:rFonts w:ascii="Arial" w:hAnsi="Arial" w:eastAsia="黑体"/>
      <w:b/>
      <w:kern w:val="2"/>
      <w:sz w:val="32"/>
      <w:szCs w:val="32"/>
      <w:lang w:val="en-US" w:eastAsia="zh-CN" w:bidi="ar-SA"/>
    </w:rPr>
  </w:style>
  <w:style w:type="character" w:customStyle="1" w:styleId="105">
    <w:name w:val="font01"/>
    <w:basedOn w:val="55"/>
    <w:autoRedefine/>
    <w:qFormat/>
    <w:uiPriority w:val="0"/>
    <w:rPr>
      <w:rFonts w:hint="eastAsia" w:ascii="宋体" w:hAnsi="宋体" w:eastAsia="宋体" w:cs="宋体"/>
      <w:color w:val="000000"/>
      <w:sz w:val="24"/>
      <w:szCs w:val="24"/>
    </w:rPr>
  </w:style>
  <w:style w:type="character" w:customStyle="1" w:styleId="106">
    <w:name w:val="p0 Char"/>
    <w:link w:val="107"/>
    <w:autoRedefine/>
    <w:qFormat/>
    <w:uiPriority w:val="0"/>
    <w:rPr>
      <w:szCs w:val="21"/>
    </w:rPr>
  </w:style>
  <w:style w:type="paragraph" w:customStyle="1" w:styleId="107">
    <w:name w:val="p0"/>
    <w:next w:val="42"/>
    <w:link w:val="106"/>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8">
    <w:name w:val="Font Style15"/>
    <w:autoRedefine/>
    <w:qFormat/>
    <w:uiPriority w:val="0"/>
    <w:rPr>
      <w:rFonts w:ascii="MingLiU" w:eastAsia="MingLiU"/>
      <w:sz w:val="58"/>
    </w:rPr>
  </w:style>
  <w:style w:type="character" w:customStyle="1" w:styleId="109">
    <w:name w:val="正文 1.5 倍行距 Char"/>
    <w:link w:val="110"/>
    <w:autoRedefine/>
    <w:qFormat/>
    <w:uiPriority w:val="0"/>
    <w:rPr>
      <w:sz w:val="24"/>
    </w:rPr>
  </w:style>
  <w:style w:type="paragraph" w:customStyle="1" w:styleId="110">
    <w:name w:val="正文 1.5 倍行距"/>
    <w:basedOn w:val="1"/>
    <w:link w:val="109"/>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11">
    <w:name w:val="批注文字 Char"/>
    <w:basedOn w:val="55"/>
    <w:link w:val="19"/>
    <w:autoRedefine/>
    <w:qFormat/>
    <w:uiPriority w:val="0"/>
    <w:rPr>
      <w:rFonts w:ascii="Times New Roman" w:hAnsi="Times New Roman" w:eastAsia="宋体" w:cs="Times New Roman"/>
      <w:color w:val="000000"/>
      <w:kern w:val="0"/>
      <w:szCs w:val="21"/>
    </w:rPr>
  </w:style>
  <w:style w:type="character" w:customStyle="1" w:styleId="112">
    <w:name w:val="批注主题 Char"/>
    <w:basedOn w:val="111"/>
    <w:link w:val="50"/>
    <w:autoRedefine/>
    <w:qFormat/>
    <w:uiPriority w:val="0"/>
    <w:rPr>
      <w:rFonts w:ascii="Times New Roman" w:hAnsi="Times New Roman" w:eastAsia="宋体" w:cs="Times New Roman"/>
      <w:b/>
      <w:bCs/>
      <w:color w:val="000000"/>
      <w:kern w:val="0"/>
      <w:szCs w:val="24"/>
    </w:rPr>
  </w:style>
  <w:style w:type="character" w:customStyle="1" w:styleId="113">
    <w:name w:val="正文文本缩进 3 字符1"/>
    <w:basedOn w:val="55"/>
    <w:autoRedefine/>
    <w:semiHidden/>
    <w:qFormat/>
    <w:uiPriority w:val="99"/>
    <w:rPr>
      <w:rFonts w:ascii="Times New Roman" w:hAnsi="Times New Roman" w:eastAsia="宋体" w:cs="Times New Roman"/>
      <w:color w:val="000000"/>
      <w:kern w:val="0"/>
      <w:sz w:val="16"/>
      <w:szCs w:val="16"/>
    </w:rPr>
  </w:style>
  <w:style w:type="character" w:customStyle="1" w:styleId="114">
    <w:name w:val="纯文本 字符1"/>
    <w:basedOn w:val="55"/>
    <w:autoRedefine/>
    <w:semiHidden/>
    <w:qFormat/>
    <w:uiPriority w:val="99"/>
    <w:rPr>
      <w:rFonts w:hAnsi="Courier New" w:cs="Courier New" w:asciiTheme="minorEastAsia"/>
      <w:color w:val="000000"/>
      <w:kern w:val="0"/>
      <w:szCs w:val="21"/>
    </w:rPr>
  </w:style>
  <w:style w:type="character" w:customStyle="1" w:styleId="115">
    <w:name w:val="批注框文本 Char"/>
    <w:basedOn w:val="55"/>
    <w:link w:val="30"/>
    <w:autoRedefine/>
    <w:qFormat/>
    <w:uiPriority w:val="0"/>
    <w:rPr>
      <w:rFonts w:ascii="Times New Roman" w:hAnsi="Times New Roman" w:eastAsia="宋体" w:cs="Times New Roman"/>
      <w:sz w:val="18"/>
      <w:szCs w:val="18"/>
    </w:rPr>
  </w:style>
  <w:style w:type="character" w:customStyle="1" w:styleId="116">
    <w:name w:val="文档结构图 Char1"/>
    <w:basedOn w:val="55"/>
    <w:link w:val="18"/>
    <w:autoRedefine/>
    <w:qFormat/>
    <w:uiPriority w:val="0"/>
    <w:rPr>
      <w:rFonts w:ascii="Times New Roman" w:hAnsi="Times New Roman" w:eastAsia="宋体" w:cs="Times New Roman"/>
      <w:szCs w:val="24"/>
      <w:shd w:val="clear" w:color="auto" w:fill="000080"/>
    </w:rPr>
  </w:style>
  <w:style w:type="character" w:customStyle="1" w:styleId="117">
    <w:name w:val="正文文本缩进 Char"/>
    <w:basedOn w:val="55"/>
    <w:link w:val="22"/>
    <w:autoRedefine/>
    <w:qFormat/>
    <w:uiPriority w:val="0"/>
    <w:rPr>
      <w:rFonts w:ascii="Times New Roman" w:hAnsi="Times New Roman" w:eastAsia="宋体" w:cs="Times New Roman"/>
      <w:color w:val="000000"/>
      <w:kern w:val="0"/>
      <w:szCs w:val="21"/>
    </w:rPr>
  </w:style>
  <w:style w:type="character" w:customStyle="1" w:styleId="118">
    <w:name w:val="正文首行缩进 2 Char"/>
    <w:basedOn w:val="117"/>
    <w:link w:val="52"/>
    <w:autoRedefine/>
    <w:qFormat/>
    <w:uiPriority w:val="0"/>
    <w:rPr>
      <w:rFonts w:ascii="Calibri" w:hAnsi="Calibri" w:eastAsia="宋体" w:cs="Times New Roman"/>
      <w:color w:val="000000"/>
      <w:kern w:val="0"/>
      <w:sz w:val="24"/>
      <w:szCs w:val="21"/>
    </w:rPr>
  </w:style>
  <w:style w:type="character" w:customStyle="1" w:styleId="119">
    <w:name w:val="HTML 预设格式 字符1"/>
    <w:basedOn w:val="55"/>
    <w:autoRedefine/>
    <w:semiHidden/>
    <w:qFormat/>
    <w:uiPriority w:val="99"/>
    <w:rPr>
      <w:rFonts w:ascii="Courier New" w:hAnsi="Courier New" w:eastAsia="宋体" w:cs="Courier New"/>
      <w:color w:val="000000"/>
      <w:kern w:val="0"/>
      <w:sz w:val="20"/>
      <w:szCs w:val="20"/>
    </w:rPr>
  </w:style>
  <w:style w:type="character" w:customStyle="1" w:styleId="120">
    <w:name w:val="页脚 字符1"/>
    <w:basedOn w:val="55"/>
    <w:autoRedefine/>
    <w:semiHidden/>
    <w:qFormat/>
    <w:uiPriority w:val="99"/>
    <w:rPr>
      <w:rFonts w:ascii="Times New Roman" w:hAnsi="Times New Roman" w:eastAsia="宋体" w:cs="Times New Roman"/>
      <w:color w:val="000000"/>
      <w:kern w:val="0"/>
      <w:sz w:val="18"/>
      <w:szCs w:val="18"/>
    </w:rPr>
  </w:style>
  <w:style w:type="character" w:customStyle="1" w:styleId="121">
    <w:name w:val="正文文本缩进 2 Char"/>
    <w:basedOn w:val="55"/>
    <w:link w:val="29"/>
    <w:autoRedefine/>
    <w:qFormat/>
    <w:uiPriority w:val="0"/>
    <w:rPr>
      <w:rFonts w:ascii="仿宋_GB2312" w:hAnsi="Times New Roman" w:eastAsia="仿宋_GB2312" w:cs="Times New Roman"/>
      <w:sz w:val="28"/>
      <w:szCs w:val="28"/>
      <w:lang w:val="en-US" w:eastAsia="zh-CN"/>
    </w:rPr>
  </w:style>
  <w:style w:type="character" w:customStyle="1" w:styleId="122">
    <w:name w:val="签名 字符1"/>
    <w:basedOn w:val="55"/>
    <w:autoRedefine/>
    <w:semiHidden/>
    <w:qFormat/>
    <w:uiPriority w:val="99"/>
    <w:rPr>
      <w:rFonts w:ascii="Times New Roman" w:hAnsi="Times New Roman" w:eastAsia="宋体" w:cs="Times New Roman"/>
      <w:color w:val="000000"/>
      <w:kern w:val="0"/>
      <w:szCs w:val="21"/>
    </w:rPr>
  </w:style>
  <w:style w:type="character" w:customStyle="1" w:styleId="123">
    <w:name w:val="日期 字符1"/>
    <w:basedOn w:val="55"/>
    <w:autoRedefine/>
    <w:semiHidden/>
    <w:qFormat/>
    <w:uiPriority w:val="99"/>
    <w:rPr>
      <w:rFonts w:ascii="Times New Roman" w:hAnsi="Times New Roman" w:eastAsia="宋体" w:cs="Times New Roman"/>
      <w:color w:val="000000"/>
      <w:kern w:val="0"/>
      <w:szCs w:val="21"/>
    </w:rPr>
  </w:style>
  <w:style w:type="character" w:customStyle="1" w:styleId="124">
    <w:name w:val="正文文本 Char"/>
    <w:basedOn w:val="55"/>
    <w:link w:val="21"/>
    <w:autoRedefine/>
    <w:qFormat/>
    <w:uiPriority w:val="0"/>
    <w:rPr>
      <w:rFonts w:ascii="Times New Roman" w:hAnsi="Times New Roman" w:eastAsia="宋体" w:cs="Times New Roman"/>
      <w:color w:val="000000"/>
      <w:kern w:val="0"/>
      <w:szCs w:val="21"/>
    </w:rPr>
  </w:style>
  <w:style w:type="character" w:customStyle="1" w:styleId="125">
    <w:name w:val="页眉 字符1"/>
    <w:basedOn w:val="55"/>
    <w:autoRedefine/>
    <w:semiHidden/>
    <w:qFormat/>
    <w:uiPriority w:val="99"/>
    <w:rPr>
      <w:rFonts w:ascii="Times New Roman" w:hAnsi="Times New Roman" w:eastAsia="宋体" w:cs="Times New Roman"/>
      <w:color w:val="000000"/>
      <w:kern w:val="0"/>
      <w:sz w:val="18"/>
      <w:szCs w:val="18"/>
    </w:rPr>
  </w:style>
  <w:style w:type="paragraph" w:customStyle="1" w:styleId="126">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7">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8">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9">
    <w:name w:val="p22"/>
    <w:basedOn w:val="1"/>
    <w:autoRedefine/>
    <w:qFormat/>
    <w:uiPriority w:val="0"/>
    <w:pPr>
      <w:widowControl/>
      <w:autoSpaceDE/>
      <w:autoSpaceDN/>
      <w:adjustRightInd/>
      <w:jc w:val="left"/>
    </w:pPr>
    <w:rPr>
      <w:color w:val="auto"/>
      <w:sz w:val="18"/>
      <w:szCs w:val="18"/>
    </w:rPr>
  </w:style>
  <w:style w:type="paragraph" w:customStyle="1" w:styleId="130">
    <w:name w:val="列出段落1"/>
    <w:basedOn w:val="1"/>
    <w:autoRedefine/>
    <w:qFormat/>
    <w:uiPriority w:val="0"/>
    <w:pPr>
      <w:autoSpaceDE/>
      <w:autoSpaceDN/>
      <w:adjustRightInd/>
      <w:ind w:firstLine="420" w:firstLineChars="200"/>
    </w:pPr>
    <w:rPr>
      <w:color w:val="auto"/>
      <w:kern w:val="2"/>
      <w:szCs w:val="24"/>
    </w:rPr>
  </w:style>
  <w:style w:type="paragraph" w:customStyle="1" w:styleId="131">
    <w:name w:val="p15"/>
    <w:basedOn w:val="1"/>
    <w:autoRedefine/>
    <w:qFormat/>
    <w:uiPriority w:val="0"/>
    <w:pPr>
      <w:widowControl/>
      <w:autoSpaceDE/>
      <w:autoSpaceDN/>
      <w:adjustRightInd/>
      <w:snapToGrid w:val="0"/>
    </w:pPr>
  </w:style>
  <w:style w:type="paragraph" w:customStyle="1" w:styleId="132">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3">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4">
    <w:name w:val="p16"/>
    <w:basedOn w:val="1"/>
    <w:autoRedefine/>
    <w:qFormat/>
    <w:uiPriority w:val="0"/>
    <w:pPr>
      <w:widowControl/>
      <w:autoSpaceDE/>
      <w:autoSpaceDN/>
      <w:adjustRightInd/>
    </w:pPr>
    <w:rPr>
      <w:color w:val="auto"/>
      <w:sz w:val="24"/>
      <w:szCs w:val="24"/>
    </w:rPr>
  </w:style>
  <w:style w:type="paragraph" w:customStyle="1" w:styleId="135">
    <w:name w:val="样式4"/>
    <w:basedOn w:val="2"/>
    <w:autoRedefine/>
    <w:qFormat/>
    <w:uiPriority w:val="0"/>
    <w:pPr>
      <w:autoSpaceDE/>
      <w:autoSpaceDN/>
      <w:adjustRightInd/>
      <w:spacing w:line="480" w:lineRule="auto"/>
    </w:pPr>
    <w:rPr>
      <w:bCs/>
      <w:color w:val="auto"/>
      <w:sz w:val="32"/>
      <w:szCs w:val="44"/>
    </w:rPr>
  </w:style>
  <w:style w:type="paragraph" w:customStyle="1" w:styleId="136">
    <w:name w:val="正文文本首行缩进 21"/>
    <w:basedOn w:val="137"/>
    <w:autoRedefine/>
    <w:qFormat/>
    <w:uiPriority w:val="0"/>
    <w:pPr>
      <w:ind w:firstLine="420"/>
    </w:pPr>
    <w:rPr>
      <w:rFonts w:cs="宋体"/>
    </w:rPr>
  </w:style>
  <w:style w:type="paragraph" w:customStyle="1" w:styleId="137">
    <w:name w:val="正文文本缩进1"/>
    <w:basedOn w:val="1"/>
    <w:next w:val="1"/>
    <w:autoRedefine/>
    <w:qFormat/>
    <w:uiPriority w:val="0"/>
    <w:pPr>
      <w:spacing w:after="120"/>
      <w:ind w:left="420" w:leftChars="200"/>
    </w:pPr>
  </w:style>
  <w:style w:type="paragraph" w:customStyle="1" w:styleId="138">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9">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40">
    <w:name w:val="p21"/>
    <w:basedOn w:val="1"/>
    <w:autoRedefine/>
    <w:qFormat/>
    <w:uiPriority w:val="0"/>
    <w:pPr>
      <w:widowControl/>
      <w:autoSpaceDE/>
      <w:autoSpaceDN/>
      <w:adjustRightInd/>
      <w:jc w:val="left"/>
    </w:pPr>
    <w:rPr>
      <w:color w:val="auto"/>
    </w:rPr>
  </w:style>
  <w:style w:type="paragraph" w:customStyle="1" w:styleId="1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4">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5">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6">
    <w:name w:val="p17"/>
    <w:basedOn w:val="1"/>
    <w:autoRedefine/>
    <w:qFormat/>
    <w:uiPriority w:val="0"/>
    <w:pPr>
      <w:widowControl/>
      <w:autoSpaceDE/>
      <w:autoSpaceDN/>
      <w:adjustRightInd/>
      <w:ind w:left="2520"/>
    </w:pPr>
    <w:rPr>
      <w:color w:val="auto"/>
    </w:rPr>
  </w:style>
  <w:style w:type="paragraph" w:customStyle="1" w:styleId="147">
    <w:name w:val="表格内"/>
    <w:basedOn w:val="1"/>
    <w:autoRedefine/>
    <w:qFormat/>
    <w:uiPriority w:val="0"/>
    <w:rPr>
      <w:rFonts w:cs="宋体"/>
      <w:szCs w:val="20"/>
    </w:rPr>
  </w:style>
  <w:style w:type="paragraph" w:customStyle="1" w:styleId="148">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9">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50">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51">
    <w:name w:val="p18"/>
    <w:basedOn w:val="1"/>
    <w:autoRedefine/>
    <w:qFormat/>
    <w:uiPriority w:val="0"/>
    <w:pPr>
      <w:widowControl/>
      <w:autoSpaceDE/>
      <w:autoSpaceDN/>
      <w:adjustRightInd/>
      <w:snapToGrid w:val="0"/>
      <w:jc w:val="left"/>
    </w:pPr>
    <w:rPr>
      <w:sz w:val="24"/>
      <w:szCs w:val="24"/>
    </w:rPr>
  </w:style>
  <w:style w:type="paragraph" w:customStyle="1" w:styleId="152">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3">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4">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5">
    <w:name w:val="font91"/>
    <w:qFormat/>
    <w:uiPriority w:val="0"/>
    <w:rPr>
      <w:rFonts w:hint="eastAsia" w:ascii="宋体" w:hAnsi="宋体" w:eastAsia="宋体" w:cs="宋体"/>
      <w:color w:val="auto"/>
      <w:sz w:val="18"/>
      <w:szCs w:val="18"/>
      <w:u w:val="none"/>
    </w:rPr>
  </w:style>
  <w:style w:type="paragraph" w:styleId="156">
    <w:name w:val="No Spacing"/>
    <w:link w:val="19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7">
    <w:name w:val="正文文本 3 Char"/>
    <w:basedOn w:val="55"/>
    <w:link w:val="20"/>
    <w:autoRedefine/>
    <w:qFormat/>
    <w:uiPriority w:val="0"/>
    <w:rPr>
      <w:rFonts w:ascii="Times New Roman" w:hAnsi="Times New Roman" w:eastAsia="宋体" w:cs="Times New Roman"/>
      <w:color w:val="000000"/>
      <w:kern w:val="0"/>
      <w:sz w:val="16"/>
      <w:szCs w:val="16"/>
    </w:rPr>
  </w:style>
  <w:style w:type="paragraph" w:customStyle="1" w:styleId="15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60">
    <w:name w:val="apple-converted-space"/>
    <w:basedOn w:val="55"/>
    <w:autoRedefine/>
    <w:qFormat/>
    <w:uiPriority w:val="0"/>
  </w:style>
  <w:style w:type="character" w:customStyle="1" w:styleId="161">
    <w:name w:val="正文首行缩进 Char"/>
    <w:basedOn w:val="124"/>
    <w:link w:val="51"/>
    <w:autoRedefine/>
    <w:qFormat/>
    <w:uiPriority w:val="0"/>
    <w:rPr>
      <w:rFonts w:ascii="仿宋" w:hAnsi="仿宋" w:eastAsia="仿宋"/>
      <w:bCs/>
      <w:sz w:val="24"/>
      <w:szCs w:val="24"/>
    </w:rPr>
  </w:style>
  <w:style w:type="character" w:customStyle="1" w:styleId="162">
    <w:name w:val="标题 5 Char"/>
    <w:basedOn w:val="55"/>
    <w:link w:val="6"/>
    <w:autoRedefine/>
    <w:qFormat/>
    <w:uiPriority w:val="0"/>
    <w:rPr>
      <w:rFonts w:ascii="Times New Roman" w:hAnsi="Times New Roman" w:eastAsia="宋体" w:cs="Times New Roman"/>
      <w:b/>
      <w:bCs/>
      <w:color w:val="000000"/>
      <w:kern w:val="2"/>
      <w:sz w:val="28"/>
      <w:szCs w:val="28"/>
    </w:rPr>
  </w:style>
  <w:style w:type="character" w:customStyle="1" w:styleId="163">
    <w:name w:val="标题 6 Char"/>
    <w:basedOn w:val="55"/>
    <w:link w:val="7"/>
    <w:autoRedefine/>
    <w:qFormat/>
    <w:uiPriority w:val="0"/>
    <w:rPr>
      <w:rFonts w:ascii="Times New Roman" w:hAnsi="Times New Roman" w:eastAsia="宋体" w:cs="Times New Roman"/>
      <w:color w:val="000000"/>
      <w:kern w:val="24"/>
      <w:sz w:val="24"/>
      <w:szCs w:val="24"/>
    </w:rPr>
  </w:style>
  <w:style w:type="character" w:customStyle="1" w:styleId="164">
    <w:name w:val="标题 7 Char"/>
    <w:basedOn w:val="55"/>
    <w:link w:val="9"/>
    <w:autoRedefine/>
    <w:qFormat/>
    <w:uiPriority w:val="0"/>
    <w:rPr>
      <w:rFonts w:ascii="Times New Roman" w:hAnsi="Times New Roman" w:eastAsia="宋体" w:cs="Times New Roman"/>
      <w:color w:val="000000"/>
      <w:spacing w:val="2"/>
      <w:kern w:val="24"/>
      <w:sz w:val="24"/>
      <w:szCs w:val="24"/>
    </w:rPr>
  </w:style>
  <w:style w:type="character" w:customStyle="1" w:styleId="165">
    <w:name w:val="标题 8 Char"/>
    <w:basedOn w:val="55"/>
    <w:link w:val="10"/>
    <w:autoRedefine/>
    <w:qFormat/>
    <w:uiPriority w:val="0"/>
    <w:rPr>
      <w:rFonts w:ascii="Times New Roman" w:hAnsi="Times New Roman" w:eastAsia="宋体" w:cs="Times New Roman"/>
      <w:color w:val="000000"/>
      <w:kern w:val="24"/>
      <w:sz w:val="24"/>
      <w:szCs w:val="24"/>
    </w:rPr>
  </w:style>
  <w:style w:type="character" w:customStyle="1" w:styleId="166">
    <w:name w:val="标题 9 Char"/>
    <w:basedOn w:val="55"/>
    <w:link w:val="11"/>
    <w:qFormat/>
    <w:uiPriority w:val="0"/>
    <w:rPr>
      <w:rFonts w:ascii="Arial" w:hAnsi="Arial" w:eastAsia="黑体" w:cs="Times New Roman"/>
      <w:kern w:val="2"/>
      <w:sz w:val="21"/>
      <w:szCs w:val="24"/>
    </w:rPr>
  </w:style>
  <w:style w:type="character" w:customStyle="1" w:styleId="167">
    <w:name w:val="!我的正文 Ctr+Q Char"/>
    <w:link w:val="168"/>
    <w:qFormat/>
    <w:uiPriority w:val="0"/>
    <w:rPr>
      <w:rFonts w:ascii="Arial" w:hAnsi="Arial"/>
      <w:sz w:val="24"/>
      <w:szCs w:val="21"/>
    </w:rPr>
  </w:style>
  <w:style w:type="paragraph" w:customStyle="1" w:styleId="168">
    <w:name w:val="!我的正文 Ctr+Q"/>
    <w:basedOn w:val="1"/>
    <w:link w:val="167"/>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9">
    <w:name w:val="Char Char14"/>
    <w:autoRedefine/>
    <w:qFormat/>
    <w:uiPriority w:val="0"/>
    <w:rPr>
      <w:rFonts w:eastAsia="宋体"/>
      <w:kern w:val="2"/>
      <w:sz w:val="24"/>
      <w:lang w:val="en-US" w:eastAsia="zh-CN" w:bidi="ar-SA"/>
    </w:rPr>
  </w:style>
  <w:style w:type="character" w:customStyle="1" w:styleId="170">
    <w:name w:val="小点说明 Char Char"/>
    <w:link w:val="171"/>
    <w:autoRedefine/>
    <w:qFormat/>
    <w:uiPriority w:val="0"/>
    <w:rPr>
      <w:rFonts w:eastAsia="宋体"/>
      <w:kern w:val="2"/>
      <w:sz w:val="21"/>
      <w:szCs w:val="24"/>
    </w:rPr>
  </w:style>
  <w:style w:type="paragraph" w:customStyle="1" w:styleId="171">
    <w:name w:val="小点说明"/>
    <w:basedOn w:val="1"/>
    <w:link w:val="170"/>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72">
    <w:name w:val="纯文本 Char"/>
    <w:qFormat/>
    <w:uiPriority w:val="0"/>
    <w:rPr>
      <w:rFonts w:ascii="宋体" w:hAnsi="Courier New" w:cs="Courier New"/>
      <w:kern w:val="2"/>
      <w:sz w:val="21"/>
      <w:szCs w:val="21"/>
    </w:rPr>
  </w:style>
  <w:style w:type="character" w:customStyle="1" w:styleId="173">
    <w:name w:val="Char Char9"/>
    <w:qFormat/>
    <w:uiPriority w:val="0"/>
    <w:rPr>
      <w:rFonts w:eastAsia="宋体"/>
      <w:color w:val="000000"/>
      <w:sz w:val="21"/>
      <w:szCs w:val="21"/>
      <w:lang w:val="en-US" w:eastAsia="zh-CN" w:bidi="ar-SA"/>
    </w:rPr>
  </w:style>
  <w:style w:type="character" w:customStyle="1" w:styleId="174">
    <w:name w:val="Char Char24"/>
    <w:qFormat/>
    <w:uiPriority w:val="0"/>
    <w:rPr>
      <w:rFonts w:eastAsia="宋体"/>
      <w:b/>
      <w:color w:val="000000"/>
      <w:sz w:val="32"/>
      <w:szCs w:val="21"/>
      <w:lang w:val="en-US" w:eastAsia="zh-CN" w:bidi="ar-SA"/>
    </w:rPr>
  </w:style>
  <w:style w:type="character" w:customStyle="1" w:styleId="175">
    <w:name w:val="文章样式1 Char Char"/>
    <w:link w:val="176"/>
    <w:qFormat/>
    <w:uiPriority w:val="0"/>
    <w:rPr>
      <w:rFonts w:ascii="宋体" w:hAnsi="宋体" w:eastAsia="Times New Roman" w:cs="宋体"/>
      <w:b/>
      <w:kern w:val="2"/>
      <w:sz w:val="21"/>
    </w:rPr>
  </w:style>
  <w:style w:type="paragraph" w:customStyle="1" w:styleId="176">
    <w:name w:val="文章样式1"/>
    <w:link w:val="175"/>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7">
    <w:name w:val="Char Char10"/>
    <w:qFormat/>
    <w:uiPriority w:val="0"/>
    <w:rPr>
      <w:rFonts w:eastAsia="宋体"/>
      <w:color w:val="000000"/>
      <w:sz w:val="18"/>
      <w:szCs w:val="18"/>
      <w:lang w:val="en-US" w:eastAsia="zh-CN" w:bidi="ar-SA"/>
    </w:rPr>
  </w:style>
  <w:style w:type="character" w:customStyle="1" w:styleId="178">
    <w:name w:val="样式 正文首行缩进 2 + 左侧:  2 字符 首行缩进:  2 字符1 Char Char"/>
    <w:link w:val="179"/>
    <w:qFormat/>
    <w:uiPriority w:val="0"/>
    <w:rPr>
      <w:rFonts w:ascii="宋体" w:hAnsi="宋体" w:eastAsia="Times New Roman" w:cs="宋体"/>
      <w:color w:val="000000"/>
      <w:kern w:val="2"/>
      <w:sz w:val="21"/>
      <w:szCs w:val="21"/>
    </w:rPr>
  </w:style>
  <w:style w:type="paragraph" w:customStyle="1" w:styleId="179">
    <w:name w:val="样式 正文首行缩进 2 + 左侧:  2 字符 首行缩进:  2 字符1"/>
    <w:next w:val="1"/>
    <w:link w:val="178"/>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80">
    <w:name w:val="Char Char15"/>
    <w:autoRedefine/>
    <w:qFormat/>
    <w:uiPriority w:val="0"/>
    <w:rPr>
      <w:rFonts w:eastAsia="宋体"/>
      <w:kern w:val="2"/>
      <w:sz w:val="21"/>
      <w:lang w:val="en-US" w:eastAsia="zh-CN" w:bidi="ar-SA"/>
    </w:rPr>
  </w:style>
  <w:style w:type="character" w:customStyle="1" w:styleId="181">
    <w:name w:val="style21"/>
    <w:qFormat/>
    <w:uiPriority w:val="0"/>
    <w:rPr>
      <w:color w:val="FFFFFF"/>
    </w:rPr>
  </w:style>
  <w:style w:type="character" w:customStyle="1" w:styleId="182">
    <w:name w:val="文章标题3级 Char Char"/>
    <w:link w:val="183"/>
    <w:qFormat/>
    <w:uiPriority w:val="0"/>
    <w:rPr>
      <w:rFonts w:eastAsia="宋体"/>
      <w:b/>
      <w:bCs/>
      <w:caps/>
      <w:color w:val="000000"/>
      <w:kern w:val="2"/>
      <w:sz w:val="24"/>
      <w:szCs w:val="18"/>
    </w:rPr>
  </w:style>
  <w:style w:type="paragraph" w:customStyle="1" w:styleId="183">
    <w:name w:val="文章标题3级"/>
    <w:basedOn w:val="184"/>
    <w:next w:val="1"/>
    <w:link w:val="182"/>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4">
    <w:name w:val="文章标题2级"/>
    <w:basedOn w:val="185"/>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5">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6">
    <w:name w:val="Char Char131"/>
    <w:qFormat/>
    <w:uiPriority w:val="0"/>
    <w:rPr>
      <w:rFonts w:eastAsia="宋体"/>
      <w:color w:val="000000"/>
      <w:sz w:val="21"/>
      <w:szCs w:val="21"/>
      <w:lang w:val="en-US" w:eastAsia="zh-CN" w:bidi="ar-SA"/>
    </w:rPr>
  </w:style>
  <w:style w:type="character" w:customStyle="1" w:styleId="187">
    <w:name w:val="正文文本 Char Char"/>
    <w:qFormat/>
    <w:uiPriority w:val="0"/>
    <w:rPr>
      <w:rFonts w:ascii="Calibri" w:hAnsi="Calibri" w:eastAsia="宋体"/>
      <w:kern w:val="2"/>
      <w:sz w:val="21"/>
      <w:szCs w:val="22"/>
      <w:lang w:val="en-US" w:eastAsia="zh-CN" w:bidi="ar-SA"/>
    </w:rPr>
  </w:style>
  <w:style w:type="character" w:customStyle="1" w:styleId="188">
    <w:name w:val="正文缩进 Char"/>
    <w:qFormat/>
    <w:uiPriority w:val="0"/>
    <w:rPr>
      <w:rFonts w:eastAsia="宋体"/>
      <w:kern w:val="2"/>
      <w:sz w:val="21"/>
      <w:lang w:val="en-US" w:eastAsia="zh-CN" w:bidi="ar-SA"/>
    </w:rPr>
  </w:style>
  <w:style w:type="character" w:customStyle="1" w:styleId="189">
    <w:name w:val="页脚 Char"/>
    <w:autoRedefine/>
    <w:qFormat/>
    <w:uiPriority w:val="0"/>
    <w:rPr>
      <w:sz w:val="18"/>
      <w:szCs w:val="18"/>
    </w:rPr>
  </w:style>
  <w:style w:type="character" w:customStyle="1" w:styleId="190">
    <w:name w:val="页眉 Char"/>
    <w:autoRedefine/>
    <w:qFormat/>
    <w:uiPriority w:val="99"/>
    <w:rPr>
      <w:rFonts w:ascii="Times New Roman" w:hAnsi="Times New Roman"/>
      <w:kern w:val="2"/>
      <w:sz w:val="18"/>
      <w:szCs w:val="18"/>
    </w:rPr>
  </w:style>
  <w:style w:type="character" w:customStyle="1" w:styleId="191">
    <w:name w:val="Char Char18"/>
    <w:qFormat/>
    <w:uiPriority w:val="0"/>
    <w:rPr>
      <w:rFonts w:eastAsia="宋体"/>
      <w:kern w:val="2"/>
      <w:sz w:val="21"/>
      <w:szCs w:val="24"/>
      <w:lang w:val="en-US" w:eastAsia="zh-CN" w:bidi="ar-SA"/>
    </w:rPr>
  </w:style>
  <w:style w:type="character" w:customStyle="1" w:styleId="192">
    <w:name w:val="无间隔 Char"/>
    <w:link w:val="156"/>
    <w:qFormat/>
    <w:uiPriority w:val="0"/>
    <w:rPr>
      <w:rFonts w:ascii="Times New Roman" w:hAnsi="Times New Roman" w:eastAsia="宋体" w:cs="Times New Roman"/>
      <w:color w:val="000000"/>
      <w:sz w:val="21"/>
      <w:szCs w:val="21"/>
    </w:rPr>
  </w:style>
  <w:style w:type="character" w:customStyle="1" w:styleId="193">
    <w:name w:val="正文文字2 Char Char"/>
    <w:qFormat/>
    <w:uiPriority w:val="0"/>
    <w:rPr>
      <w:rFonts w:ascii="Arial" w:eastAsia="黑体"/>
      <w:sz w:val="21"/>
      <w:lang w:val="en-US" w:eastAsia="zh-CN" w:bidi="ar-SA"/>
    </w:rPr>
  </w:style>
  <w:style w:type="character" w:customStyle="1" w:styleId="194">
    <w:name w:val="Char Char27"/>
    <w:qFormat/>
    <w:uiPriority w:val="0"/>
    <w:rPr>
      <w:rFonts w:eastAsia="宋体"/>
      <w:b/>
      <w:color w:val="000000"/>
      <w:kern w:val="44"/>
      <w:sz w:val="44"/>
      <w:szCs w:val="21"/>
      <w:lang w:val="en-US" w:eastAsia="zh-CN" w:bidi="ar-SA"/>
    </w:rPr>
  </w:style>
  <w:style w:type="character" w:customStyle="1" w:styleId="195">
    <w:name w:val="style31"/>
    <w:qFormat/>
    <w:uiPriority w:val="0"/>
    <w:rPr>
      <w:b/>
      <w:bCs/>
      <w:color w:val="0033CC"/>
    </w:rPr>
  </w:style>
  <w:style w:type="character" w:customStyle="1" w:styleId="196">
    <w:name w:val="Char Char111"/>
    <w:qFormat/>
    <w:uiPriority w:val="0"/>
    <w:rPr>
      <w:rFonts w:eastAsia="宋体"/>
      <w:color w:val="000000"/>
      <w:sz w:val="21"/>
      <w:szCs w:val="21"/>
      <w:lang w:val="en-US" w:eastAsia="zh-CN" w:bidi="ar-SA"/>
    </w:rPr>
  </w:style>
  <w:style w:type="character" w:customStyle="1" w:styleId="197">
    <w:name w:val="Char Char26"/>
    <w:autoRedefine/>
    <w:qFormat/>
    <w:uiPriority w:val="0"/>
    <w:rPr>
      <w:b/>
      <w:color w:val="000000"/>
      <w:kern w:val="44"/>
      <w:sz w:val="44"/>
      <w:szCs w:val="21"/>
      <w:lang w:val="en-US" w:eastAsia="zh-CN" w:bidi="ar-SA"/>
    </w:rPr>
  </w:style>
  <w:style w:type="character" w:customStyle="1" w:styleId="198">
    <w:name w:val="小标题 Char Char"/>
    <w:link w:val="199"/>
    <w:qFormat/>
    <w:uiPriority w:val="0"/>
    <w:rPr>
      <w:rFonts w:ascii="宋体" w:hAnsi="宋体" w:eastAsia="宋体"/>
      <w:b/>
      <w:sz w:val="24"/>
      <w:szCs w:val="24"/>
    </w:rPr>
  </w:style>
  <w:style w:type="paragraph" w:customStyle="1" w:styleId="199">
    <w:name w:val="小标题"/>
    <w:basedOn w:val="1"/>
    <w:next w:val="1"/>
    <w:link w:val="198"/>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200">
    <w:name w:val="正文首缩两字 Char Char"/>
    <w:link w:val="201"/>
    <w:qFormat/>
    <w:uiPriority w:val="0"/>
    <w:rPr>
      <w:rFonts w:ascii="Verdana" w:hAnsi="Verdana" w:eastAsia="宋体"/>
      <w:kern w:val="2"/>
      <w:sz w:val="24"/>
      <w:szCs w:val="24"/>
    </w:rPr>
  </w:style>
  <w:style w:type="paragraph" w:customStyle="1" w:styleId="201">
    <w:name w:val="正文首缩两字"/>
    <w:basedOn w:val="1"/>
    <w:link w:val="200"/>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02">
    <w:name w:val="正文2 Char Char"/>
    <w:link w:val="203"/>
    <w:autoRedefine/>
    <w:qFormat/>
    <w:locked/>
    <w:uiPriority w:val="0"/>
    <w:rPr>
      <w:rFonts w:ascii="楷体" w:hAnsi="Verdana" w:eastAsia="楷体"/>
      <w:kern w:val="2"/>
      <w:sz w:val="24"/>
      <w:szCs w:val="24"/>
    </w:rPr>
  </w:style>
  <w:style w:type="paragraph" w:customStyle="1" w:styleId="203">
    <w:name w:val="正文2"/>
    <w:basedOn w:val="1"/>
    <w:link w:val="202"/>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4">
    <w:name w:val="文字 Char Char"/>
    <w:link w:val="205"/>
    <w:qFormat/>
    <w:uiPriority w:val="0"/>
    <w:rPr>
      <w:rFonts w:ascii="宋体" w:hAnsi="宋体"/>
      <w:kern w:val="2"/>
      <w:sz w:val="28"/>
    </w:rPr>
  </w:style>
  <w:style w:type="paragraph" w:customStyle="1" w:styleId="205">
    <w:name w:val="文字"/>
    <w:basedOn w:val="1"/>
    <w:link w:val="204"/>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6">
    <w:name w:val="Char Char25"/>
    <w:qFormat/>
    <w:uiPriority w:val="0"/>
    <w:rPr>
      <w:rFonts w:ascii="Arial" w:hAnsi="Arial" w:eastAsia="黑体"/>
      <w:b/>
      <w:bCs/>
      <w:kern w:val="2"/>
      <w:sz w:val="32"/>
      <w:szCs w:val="32"/>
      <w:lang w:val="en-US" w:eastAsia="zh-CN" w:bidi="ar-SA"/>
    </w:rPr>
  </w:style>
  <w:style w:type="character" w:customStyle="1" w:styleId="207">
    <w:name w:val="强调1"/>
    <w:qFormat/>
    <w:uiPriority w:val="0"/>
    <w:rPr>
      <w:rFonts w:ascii="Arial Black" w:hAnsi="Arial Black" w:eastAsia="黑体"/>
      <w:b/>
      <w:spacing w:val="0"/>
      <w:sz w:val="21"/>
    </w:rPr>
  </w:style>
  <w:style w:type="character" w:customStyle="1" w:styleId="208">
    <w:name w:val="文档结构图 Char"/>
    <w:qFormat/>
    <w:uiPriority w:val="0"/>
    <w:rPr>
      <w:rFonts w:ascii="Times New Roman" w:hAnsi="Times New Roman" w:eastAsia="??" w:cs="Times New Roman"/>
      <w:sz w:val="28"/>
      <w:szCs w:val="28"/>
      <w:shd w:val="clear" w:color="auto" w:fill="000080"/>
    </w:rPr>
  </w:style>
  <w:style w:type="character" w:customStyle="1" w:styleId="209">
    <w:name w:val="标题 Char"/>
    <w:basedOn w:val="55"/>
    <w:link w:val="49"/>
    <w:autoRedefine/>
    <w:qFormat/>
    <w:uiPriority w:val="0"/>
    <w:rPr>
      <w:rFonts w:ascii="Arial" w:hAnsi="Arial" w:eastAsia="宋体" w:cs="Times New Roman"/>
      <w:b/>
      <w:bCs/>
      <w:color w:val="000000"/>
      <w:kern w:val="2"/>
      <w:sz w:val="32"/>
      <w:szCs w:val="32"/>
    </w:rPr>
  </w:style>
  <w:style w:type="character" w:customStyle="1" w:styleId="210">
    <w:name w:val="正文文本 2 Char"/>
    <w:basedOn w:val="55"/>
    <w:link w:val="45"/>
    <w:qFormat/>
    <w:uiPriority w:val="0"/>
    <w:rPr>
      <w:rFonts w:ascii="Times New Roman" w:hAnsi="Times New Roman" w:eastAsia="宋体" w:cs="Times New Roman"/>
      <w:color w:val="000000"/>
      <w:kern w:val="2"/>
      <w:sz w:val="21"/>
      <w:szCs w:val="22"/>
    </w:rPr>
  </w:style>
  <w:style w:type="paragraph" w:customStyle="1" w:styleId="211">
    <w:name w:val="正文缩进1"/>
    <w:basedOn w:val="1"/>
    <w:qFormat/>
    <w:uiPriority w:val="0"/>
    <w:pPr>
      <w:autoSpaceDE/>
      <w:autoSpaceDN/>
      <w:adjustRightInd/>
      <w:ind w:firstLine="420"/>
    </w:pPr>
    <w:rPr>
      <w:color w:val="auto"/>
      <w:kern w:val="2"/>
      <w:szCs w:val="20"/>
    </w:rPr>
  </w:style>
  <w:style w:type="paragraph" w:customStyle="1" w:styleId="212">
    <w:name w:val="Char Char Char Char"/>
    <w:basedOn w:val="1"/>
    <w:qFormat/>
    <w:uiPriority w:val="0"/>
    <w:pPr>
      <w:autoSpaceDE/>
      <w:autoSpaceDN/>
      <w:adjustRightInd/>
    </w:pPr>
    <w:rPr>
      <w:color w:val="auto"/>
      <w:kern w:val="2"/>
      <w:szCs w:val="20"/>
    </w:rPr>
  </w:style>
  <w:style w:type="paragraph" w:customStyle="1" w:styleId="213">
    <w:name w:val="文章标题4级"/>
    <w:basedOn w:val="183"/>
    <w:next w:val="1"/>
    <w:autoRedefine/>
    <w:qFormat/>
    <w:uiPriority w:val="0"/>
    <w:pPr>
      <w:tabs>
        <w:tab w:val="left" w:pos="1034"/>
        <w:tab w:val="left" w:pos="2760"/>
        <w:tab w:val="clear" w:pos="1560"/>
      </w:tabs>
      <w:outlineLvl w:val="3"/>
    </w:pPr>
    <w:rPr>
      <w:color w:val="auto"/>
    </w:rPr>
  </w:style>
  <w:style w:type="paragraph" w:customStyle="1" w:styleId="214">
    <w:name w:val="封面正文"/>
    <w:autoRedefine/>
    <w:qFormat/>
    <w:uiPriority w:val="0"/>
    <w:pPr>
      <w:jc w:val="both"/>
    </w:pPr>
    <w:rPr>
      <w:rFonts w:ascii="Times New Roman" w:hAnsi="Times New Roman" w:eastAsia="宋体" w:cs="Times New Roman"/>
      <w:lang w:val="en-US" w:eastAsia="zh-CN" w:bidi="ar-SA"/>
    </w:rPr>
  </w:style>
  <w:style w:type="paragraph" w:customStyle="1" w:styleId="215">
    <w:name w:val="Char Char Char"/>
    <w:basedOn w:val="1"/>
    <w:qFormat/>
    <w:uiPriority w:val="0"/>
    <w:pPr>
      <w:autoSpaceDE/>
      <w:autoSpaceDN/>
      <w:adjustRightInd/>
    </w:pPr>
    <w:rPr>
      <w:color w:val="auto"/>
      <w:kern w:val="2"/>
      <w:szCs w:val="24"/>
    </w:rPr>
  </w:style>
  <w:style w:type="paragraph" w:customStyle="1" w:styleId="216">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9">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20">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21">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22">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3">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4">
    <w:name w:val="Char3"/>
    <w:basedOn w:val="1"/>
    <w:qFormat/>
    <w:uiPriority w:val="0"/>
    <w:pPr>
      <w:autoSpaceDE/>
      <w:autoSpaceDN/>
      <w:adjustRightInd/>
    </w:pPr>
    <w:rPr>
      <w:rFonts w:ascii="Tahoma" w:hAnsi="Tahoma"/>
      <w:color w:val="auto"/>
      <w:kern w:val="2"/>
      <w:sz w:val="24"/>
      <w:szCs w:val="20"/>
    </w:rPr>
  </w:style>
  <w:style w:type="paragraph" w:customStyle="1" w:styleId="225">
    <w:name w:val="列表段落2"/>
    <w:basedOn w:val="1"/>
    <w:autoRedefine/>
    <w:qFormat/>
    <w:uiPriority w:val="0"/>
    <w:pPr>
      <w:autoSpaceDE/>
      <w:autoSpaceDN/>
      <w:adjustRightInd/>
      <w:ind w:firstLine="420" w:firstLineChars="200"/>
    </w:pPr>
    <w:rPr>
      <w:color w:val="auto"/>
      <w:kern w:val="2"/>
      <w:szCs w:val="22"/>
    </w:rPr>
  </w:style>
  <w:style w:type="paragraph" w:customStyle="1" w:styleId="226">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7">
    <w:name w:val="默认段落字体 Para Char Char Char Char"/>
    <w:basedOn w:val="1"/>
    <w:qFormat/>
    <w:uiPriority w:val="0"/>
    <w:pPr>
      <w:autoSpaceDE/>
      <w:autoSpaceDN/>
      <w:adjustRightInd/>
    </w:pPr>
    <w:rPr>
      <w:color w:val="auto"/>
      <w:kern w:val="2"/>
      <w:szCs w:val="24"/>
    </w:rPr>
  </w:style>
  <w:style w:type="paragraph" w:customStyle="1" w:styleId="228">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9">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30">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31">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3">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4">
    <w:name w:val="纯文本2"/>
    <w:basedOn w:val="1"/>
    <w:qFormat/>
    <w:uiPriority w:val="0"/>
    <w:pPr>
      <w:autoSpaceDE/>
      <w:autoSpaceDN/>
      <w:adjustRightInd/>
    </w:pPr>
    <w:rPr>
      <w:rFonts w:ascii="宋体" w:hAnsi="Courier New"/>
      <w:color w:val="auto"/>
    </w:rPr>
  </w:style>
  <w:style w:type="paragraph" w:customStyle="1" w:styleId="235">
    <w:name w:val="样式1"/>
    <w:basedOn w:val="126"/>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6">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7">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8">
    <w:name w:val="List Paragraph1"/>
    <w:basedOn w:val="1"/>
    <w:qFormat/>
    <w:uiPriority w:val="0"/>
    <w:pPr>
      <w:autoSpaceDE/>
      <w:autoSpaceDN/>
      <w:adjustRightInd/>
      <w:ind w:firstLine="420" w:firstLineChars="200"/>
    </w:pPr>
    <w:rPr>
      <w:color w:val="auto"/>
      <w:kern w:val="2"/>
      <w:szCs w:val="24"/>
    </w:rPr>
  </w:style>
  <w:style w:type="paragraph" w:customStyle="1" w:styleId="23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41">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4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表格标注（绿盟科技）"/>
    <w:basedOn w:val="229"/>
    <w:next w:val="1"/>
    <w:qFormat/>
    <w:uiPriority w:val="0"/>
    <w:pPr>
      <w:numPr>
        <w:ilvl w:val="7"/>
      </w:numPr>
      <w:tabs>
        <w:tab w:val="left" w:pos="3840"/>
        <w:tab w:val="clear" w:pos="3420"/>
      </w:tabs>
    </w:pPr>
  </w:style>
  <w:style w:type="paragraph" w:customStyle="1" w:styleId="244">
    <w:name w:val="列出段落2"/>
    <w:basedOn w:val="1"/>
    <w:autoRedefine/>
    <w:qFormat/>
    <w:uiPriority w:val="34"/>
    <w:pPr>
      <w:ind w:firstLine="420" w:firstLineChars="200"/>
    </w:pPr>
  </w:style>
  <w:style w:type="paragraph" w:customStyle="1" w:styleId="245">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6">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7">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8">
    <w:name w:val="标题 2（绿盟科技）"/>
    <w:basedOn w:val="3"/>
    <w:next w:val="1"/>
    <w:autoRedefine/>
    <w:qFormat/>
    <w:uiPriority w:val="0"/>
    <w:pPr>
      <w:numPr>
        <w:ilvl w:val="1"/>
        <w:numId w:val="10"/>
      </w:numPr>
      <w:tabs>
        <w:tab w:val="left" w:pos="1320"/>
      </w:tabs>
      <w:jc w:val="left"/>
    </w:pPr>
    <w:rPr>
      <w:bCs w:val="0"/>
    </w:rPr>
  </w:style>
  <w:style w:type="paragraph" w:customStyle="1" w:styleId="249">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50">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51">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52">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3">
    <w:name w:val="Char21"/>
    <w:basedOn w:val="1"/>
    <w:autoRedefine/>
    <w:qFormat/>
    <w:uiPriority w:val="0"/>
    <w:pPr>
      <w:autoSpaceDE/>
      <w:autoSpaceDN/>
      <w:adjustRightInd/>
    </w:pPr>
    <w:rPr>
      <w:color w:val="auto"/>
      <w:kern w:val="2"/>
      <w:szCs w:val="20"/>
    </w:rPr>
  </w:style>
  <w:style w:type="paragraph" w:customStyle="1" w:styleId="254">
    <w:name w:val="WPS Plain"/>
    <w:qFormat/>
    <w:uiPriority w:val="0"/>
    <w:rPr>
      <w:rFonts w:ascii="Times New Roman" w:hAnsi="Times New Roman" w:eastAsia="宋体" w:cs="Times New Roman"/>
      <w:sz w:val="21"/>
      <w:szCs w:val="22"/>
      <w:lang w:val="en-US" w:eastAsia="zh-CN" w:bidi="ar-SA"/>
    </w:rPr>
  </w:style>
  <w:style w:type="paragraph" w:customStyle="1" w:styleId="255">
    <w:name w:val="_Style 241"/>
    <w:basedOn w:val="22"/>
    <w:next w:val="52"/>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6">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7">
    <w:name w:val="bookmark-item"/>
    <w:basedOn w:val="55"/>
    <w:qFormat/>
    <w:uiPriority w:val="0"/>
  </w:style>
  <w:style w:type="paragraph" w:customStyle="1" w:styleId="258">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9">
    <w:name w:val="Char2"/>
    <w:basedOn w:val="1"/>
    <w:autoRedefine/>
    <w:qFormat/>
    <w:uiPriority w:val="0"/>
    <w:pPr>
      <w:autoSpaceDE/>
      <w:autoSpaceDN/>
    </w:pPr>
    <w:rPr>
      <w:rFonts w:ascii="仿宋_GB2312" w:eastAsia="仿宋_GB2312"/>
      <w:b/>
      <w:color w:val="auto"/>
      <w:kern w:val="2"/>
      <w:sz w:val="32"/>
      <w:szCs w:val="32"/>
    </w:rPr>
  </w:style>
  <w:style w:type="paragraph" w:customStyle="1" w:styleId="260">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61">
    <w:name w:val="font41"/>
    <w:basedOn w:val="55"/>
    <w:qFormat/>
    <w:uiPriority w:val="0"/>
    <w:rPr>
      <w:rFonts w:hint="eastAsia" w:ascii="宋体" w:hAnsi="宋体" w:eastAsia="宋体" w:cs="宋体"/>
      <w:color w:val="000000"/>
      <w:sz w:val="21"/>
      <w:szCs w:val="21"/>
      <w:u w:val="none"/>
    </w:rPr>
  </w:style>
  <w:style w:type="character" w:customStyle="1" w:styleId="262">
    <w:name w:val="font21"/>
    <w:basedOn w:val="55"/>
    <w:qFormat/>
    <w:uiPriority w:val="0"/>
    <w:rPr>
      <w:rFonts w:hint="default" w:ascii="Times New Roman" w:hAnsi="Times New Roman" w:eastAsia="Times New Roman" w:cs="Times New Roman"/>
      <w:color w:val="000000"/>
      <w:sz w:val="21"/>
      <w:szCs w:val="21"/>
      <w:u w:val="none"/>
    </w:rPr>
  </w:style>
  <w:style w:type="paragraph" w:customStyle="1" w:styleId="263">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4">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5">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6">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7">
    <w:name w:val="Placeholder Text"/>
    <w:basedOn w:val="55"/>
    <w:semiHidden/>
    <w:qFormat/>
    <w:uiPriority w:val="99"/>
    <w:rPr>
      <w:color w:val="808080"/>
    </w:rPr>
  </w:style>
  <w:style w:type="paragraph" w:customStyle="1" w:styleId="268">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269">
    <w:name w:val="标题 1 Char Char"/>
    <w:qFormat/>
    <w:uiPriority w:val="0"/>
    <w:rPr>
      <w:rFonts w:eastAsia="宋体"/>
      <w:b/>
      <w:spacing w:val="-2"/>
      <w:sz w:val="24"/>
      <w:lang w:val="en-US" w:eastAsia="zh-CN"/>
    </w:rPr>
  </w:style>
  <w:style w:type="character" w:customStyle="1" w:styleId="270">
    <w:name w:val="正文文本缩进 字符1"/>
    <w:basedOn w:val="55"/>
    <w:qFormat/>
    <w:uiPriority w:val="0"/>
  </w:style>
  <w:style w:type="paragraph" w:customStyle="1" w:styleId="271">
    <w:name w:val="正文文本缩进11"/>
    <w:basedOn w:val="1"/>
    <w:next w:val="1"/>
    <w:autoRedefine/>
    <w:qFormat/>
    <w:uiPriority w:val="0"/>
    <w:pPr>
      <w:spacing w:after="120"/>
      <w:ind w:left="420" w:leftChars="200"/>
    </w:pPr>
  </w:style>
  <w:style w:type="paragraph" w:customStyle="1" w:styleId="272">
    <w:name w:val="正文文本首行缩进 211"/>
    <w:basedOn w:val="271"/>
    <w:autoRedefine/>
    <w:qFormat/>
    <w:uiPriority w:val="0"/>
    <w:pPr>
      <w:ind w:firstLine="420"/>
    </w:pPr>
    <w:rPr>
      <w:rFonts w:cs="宋体"/>
    </w:rPr>
  </w:style>
  <w:style w:type="character" w:customStyle="1" w:styleId="273">
    <w:name w:val="正文文本首行缩进 2 字符"/>
    <w:basedOn w:val="270"/>
    <w:link w:val="274"/>
    <w:qFormat/>
    <w:uiPriority w:val="0"/>
    <w:rPr>
      <w:rFonts w:ascii="Calibri" w:hAnsi="Calibri"/>
      <w:sz w:val="24"/>
    </w:rPr>
  </w:style>
  <w:style w:type="paragraph" w:customStyle="1" w:styleId="274">
    <w:name w:val="正文首行缩进 22"/>
    <w:basedOn w:val="1"/>
    <w:link w:val="273"/>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5">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6">
    <w:name w:val="正文文本首行缩进 22"/>
    <w:basedOn w:val="277"/>
    <w:autoRedefine/>
    <w:qFormat/>
    <w:uiPriority w:val="0"/>
    <w:pPr>
      <w:ind w:firstLine="420"/>
    </w:pPr>
    <w:rPr>
      <w:rFonts w:ascii="Times New Roman" w:hAnsi="Times New Roman" w:eastAsia="宋体" w:cs="宋体"/>
    </w:rPr>
  </w:style>
  <w:style w:type="paragraph" w:customStyle="1" w:styleId="277">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8">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9">
    <w:name w:val="表格内容"/>
    <w:link w:val="280"/>
    <w:autoRedefine/>
    <w:qFormat/>
    <w:uiPriority w:val="0"/>
    <w:pPr>
      <w:jc w:val="center"/>
    </w:pPr>
    <w:rPr>
      <w:rFonts w:ascii="Times New Roman" w:hAnsi="Times New Roman" w:eastAsia="宋体" w:cs="Times New Roman"/>
      <w:sz w:val="24"/>
      <w:szCs w:val="28"/>
      <w:lang w:val="en-US" w:eastAsia="zh-CN" w:bidi="ar-SA"/>
    </w:rPr>
  </w:style>
  <w:style w:type="character" w:customStyle="1" w:styleId="280">
    <w:name w:val="表格内容 字符"/>
    <w:basedOn w:val="55"/>
    <w:link w:val="279"/>
    <w:qFormat/>
    <w:uiPriority w:val="0"/>
    <w:rPr>
      <w:sz w:val="24"/>
      <w:szCs w:val="28"/>
    </w:rPr>
  </w:style>
  <w:style w:type="paragraph" w:customStyle="1" w:styleId="281">
    <w:name w:val="表格标题"/>
    <w:next w:val="1"/>
    <w:link w:val="282"/>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82">
    <w:name w:val="表格标题 Char"/>
    <w:link w:val="281"/>
    <w:autoRedefine/>
    <w:qFormat/>
    <w:uiPriority w:val="0"/>
    <w:rPr>
      <w:rFonts w:cs="宋体"/>
      <w:b/>
      <w:sz w:val="28"/>
      <w:szCs w:val="28"/>
    </w:rPr>
  </w:style>
  <w:style w:type="character" w:customStyle="1" w:styleId="283">
    <w:name w:val="NormalCharacter"/>
    <w:autoRedefine/>
    <w:qFormat/>
    <w:uiPriority w:val="0"/>
    <w:rPr>
      <w:rFonts w:ascii="Calibri" w:hAnsi="Calibri" w:eastAsia="宋体" w:cs="Times New Roman"/>
      <w:kern w:val="2"/>
      <w:sz w:val="21"/>
      <w:szCs w:val="22"/>
      <w:lang w:val="en-US" w:eastAsia="zh-CN" w:bidi="ar-SA"/>
    </w:rPr>
  </w:style>
  <w:style w:type="paragraph" w:customStyle="1" w:styleId="284">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5">
    <w:name w:val="表格文字"/>
    <w:basedOn w:val="1"/>
    <w:next w:val="21"/>
    <w:qFormat/>
    <w:uiPriority w:val="0"/>
    <w:pPr>
      <w:spacing w:line="420" w:lineRule="atLeast"/>
      <w:textAlignment w:val="baseline"/>
    </w:pPr>
    <w:rPr>
      <w:szCs w:val="24"/>
    </w:rPr>
  </w:style>
  <w:style w:type="character" w:customStyle="1" w:styleId="286">
    <w:name w:val="正文文本缩进 Char3"/>
    <w:autoRedefine/>
    <w:qFormat/>
    <w:uiPriority w:val="0"/>
    <w:rPr>
      <w:rFonts w:ascii="宋体" w:hAnsi="宋体"/>
      <w:kern w:val="2"/>
      <w:sz w:val="24"/>
      <w:szCs w:val="24"/>
    </w:rPr>
  </w:style>
  <w:style w:type="paragraph" w:customStyle="1" w:styleId="287">
    <w:name w:val="索引 51"/>
    <w:basedOn w:val="1"/>
    <w:next w:val="1"/>
    <w:autoRedefine/>
    <w:qFormat/>
    <w:uiPriority w:val="0"/>
    <w:pPr>
      <w:ind w:left="800" w:leftChars="800"/>
    </w:pPr>
    <w:rPr>
      <w:szCs w:val="24"/>
    </w:rPr>
  </w:style>
  <w:style w:type="paragraph" w:customStyle="1" w:styleId="288">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9">
    <w:name w:val="font11"/>
    <w:basedOn w:val="55"/>
    <w:qFormat/>
    <w:uiPriority w:val="0"/>
    <w:rPr>
      <w:rFonts w:hint="default" w:ascii="Times New Roman" w:hAnsi="Times New Roman" w:cs="Times New Roman"/>
      <w:color w:val="000000"/>
      <w:sz w:val="26"/>
      <w:szCs w:val="26"/>
      <w:u w:val="none"/>
      <w:lang w:val="en-US" w:eastAsia="zh-CN" w:bidi="ar-SA"/>
    </w:rPr>
  </w:style>
  <w:style w:type="paragraph" w:customStyle="1" w:styleId="290">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91">
    <w:name w:val="正文首行缩进 24"/>
    <w:basedOn w:val="1"/>
    <w:autoRedefine/>
    <w:qFormat/>
    <w:uiPriority w:val="0"/>
    <w:pPr>
      <w:spacing w:after="120"/>
      <w:ind w:left="420" w:leftChars="200" w:firstLine="420"/>
    </w:pPr>
    <w:rPr>
      <w:rFonts w:cs="宋体"/>
    </w:rPr>
  </w:style>
  <w:style w:type="character" w:customStyle="1" w:styleId="292">
    <w:name w:val="标题 1 字符"/>
    <w:qFormat/>
    <w:uiPriority w:val="0"/>
    <w:rPr>
      <w:rFonts w:ascii="Times New Roman" w:hAnsi="Times New Roman" w:eastAsia="宋体" w:cs="Times New Roman"/>
      <w:b/>
      <w:bCs/>
      <w:kern w:val="44"/>
      <w:sz w:val="44"/>
      <w:szCs w:val="44"/>
    </w:rPr>
  </w:style>
  <w:style w:type="character" w:customStyle="1" w:styleId="293">
    <w:name w:val="标题 2 字符"/>
    <w:autoRedefine/>
    <w:qFormat/>
    <w:uiPriority w:val="0"/>
    <w:rPr>
      <w:rFonts w:ascii="Arial" w:hAnsi="Arial" w:eastAsia="黑体" w:cs="Times New Roman"/>
      <w:b/>
      <w:bCs/>
      <w:color w:val="000000"/>
      <w:kern w:val="2"/>
      <w:sz w:val="32"/>
      <w:szCs w:val="32"/>
    </w:rPr>
  </w:style>
  <w:style w:type="character" w:customStyle="1" w:styleId="294">
    <w:name w:val="标题 3 字符"/>
    <w:autoRedefine/>
    <w:qFormat/>
    <w:uiPriority w:val="0"/>
    <w:rPr>
      <w:rFonts w:ascii="Times New Roman" w:hAnsi="Times New Roman" w:eastAsia="宋体" w:cs="Times New Roman"/>
      <w:b/>
      <w:bCs/>
      <w:color w:val="000000"/>
      <w:sz w:val="32"/>
      <w:szCs w:val="32"/>
    </w:rPr>
  </w:style>
  <w:style w:type="character" w:customStyle="1" w:styleId="295">
    <w:name w:val="标题 4 字符"/>
    <w:autoRedefine/>
    <w:qFormat/>
    <w:uiPriority w:val="0"/>
    <w:rPr>
      <w:rFonts w:ascii="Cambria" w:hAnsi="Cambria" w:eastAsia="黑体" w:cs="Times New Roman"/>
      <w:b/>
      <w:bCs/>
      <w:kern w:val="2"/>
      <w:sz w:val="24"/>
      <w:szCs w:val="28"/>
    </w:rPr>
  </w:style>
  <w:style w:type="character" w:customStyle="1" w:styleId="296">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7">
    <w:name w:val="标题 6 字符"/>
    <w:qFormat/>
    <w:uiPriority w:val="0"/>
    <w:rPr>
      <w:rFonts w:ascii="Times New Roman" w:hAnsi="Times New Roman" w:eastAsia="宋体" w:cs="Times New Roman"/>
      <w:color w:val="000000"/>
      <w:kern w:val="24"/>
      <w:sz w:val="24"/>
      <w:szCs w:val="24"/>
    </w:rPr>
  </w:style>
  <w:style w:type="character" w:customStyle="1" w:styleId="298">
    <w:name w:val="正文缩进 字符"/>
    <w:autoRedefine/>
    <w:qFormat/>
    <w:uiPriority w:val="0"/>
    <w:rPr>
      <w:kern w:val="2"/>
      <w:sz w:val="21"/>
      <w:szCs w:val="22"/>
    </w:rPr>
  </w:style>
  <w:style w:type="character" w:customStyle="1" w:styleId="299">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300">
    <w:name w:val="标题 8 字符"/>
    <w:autoRedefine/>
    <w:qFormat/>
    <w:uiPriority w:val="0"/>
    <w:rPr>
      <w:rFonts w:ascii="Times New Roman" w:hAnsi="Times New Roman" w:eastAsia="宋体" w:cs="Times New Roman"/>
      <w:color w:val="000000"/>
      <w:kern w:val="24"/>
      <w:sz w:val="24"/>
      <w:szCs w:val="24"/>
    </w:rPr>
  </w:style>
  <w:style w:type="character" w:customStyle="1" w:styleId="301">
    <w:name w:val="标题 9 字符"/>
    <w:qFormat/>
    <w:uiPriority w:val="0"/>
    <w:rPr>
      <w:rFonts w:ascii="Arial" w:hAnsi="Arial" w:eastAsia="黑体" w:cs="Times New Roman"/>
      <w:kern w:val="2"/>
      <w:sz w:val="21"/>
      <w:szCs w:val="24"/>
    </w:rPr>
  </w:style>
  <w:style w:type="paragraph" w:customStyle="1" w:styleId="302">
    <w:name w:val="_Style 298"/>
    <w:basedOn w:val="1"/>
    <w:next w:val="79"/>
    <w:link w:val="323"/>
    <w:qFormat/>
    <w:uiPriority w:val="0"/>
    <w:pPr>
      <w:autoSpaceDE/>
      <w:autoSpaceDN/>
      <w:adjustRightInd/>
      <w:ind w:firstLine="420" w:firstLineChars="200"/>
    </w:pPr>
    <w:rPr>
      <w:color w:val="auto"/>
      <w:kern w:val="2"/>
      <w:szCs w:val="22"/>
    </w:rPr>
  </w:style>
  <w:style w:type="character" w:customStyle="1" w:styleId="303">
    <w:name w:val="文档结构图 字符"/>
    <w:qFormat/>
    <w:uiPriority w:val="0"/>
    <w:rPr>
      <w:rFonts w:ascii="宋体" w:eastAsia="宋体"/>
      <w:kern w:val="2"/>
      <w:sz w:val="18"/>
      <w:szCs w:val="18"/>
    </w:rPr>
  </w:style>
  <w:style w:type="character" w:customStyle="1" w:styleId="304">
    <w:name w:val="批注文字 字符"/>
    <w:qFormat/>
    <w:uiPriority w:val="0"/>
    <w:rPr>
      <w:kern w:val="2"/>
      <w:sz w:val="21"/>
      <w:szCs w:val="22"/>
    </w:rPr>
  </w:style>
  <w:style w:type="character" w:customStyle="1" w:styleId="305">
    <w:name w:val="正文文本 3 字符"/>
    <w:autoRedefine/>
    <w:qFormat/>
    <w:uiPriority w:val="0"/>
    <w:rPr>
      <w:rFonts w:ascii="Times New Roman" w:hAnsi="Times New Roman" w:eastAsia="宋体" w:cs="Times New Roman"/>
      <w:color w:val="000000"/>
      <w:sz w:val="16"/>
      <w:szCs w:val="16"/>
    </w:rPr>
  </w:style>
  <w:style w:type="character" w:customStyle="1" w:styleId="306">
    <w:name w:val="正文文本 字符"/>
    <w:autoRedefine/>
    <w:qFormat/>
    <w:uiPriority w:val="0"/>
    <w:rPr>
      <w:rFonts w:ascii="Times New Roman" w:hAnsi="Times New Roman" w:eastAsia="宋体" w:cs="Times New Roman"/>
      <w:color w:val="000000"/>
      <w:sz w:val="21"/>
      <w:szCs w:val="21"/>
    </w:rPr>
  </w:style>
  <w:style w:type="character" w:customStyle="1" w:styleId="307">
    <w:name w:val="正文文本缩进 字符2"/>
    <w:autoRedefine/>
    <w:qFormat/>
    <w:uiPriority w:val="0"/>
  </w:style>
  <w:style w:type="character" w:customStyle="1" w:styleId="308">
    <w:name w:val="纯文本 字符"/>
    <w:autoRedefine/>
    <w:qFormat/>
    <w:uiPriority w:val="0"/>
    <w:rPr>
      <w:rFonts w:ascii="宋体" w:hAnsi="Courier New" w:eastAsia="宋体" w:cs="Courier New"/>
      <w:kern w:val="2"/>
      <w:sz w:val="21"/>
      <w:szCs w:val="21"/>
    </w:rPr>
  </w:style>
  <w:style w:type="character" w:customStyle="1" w:styleId="309">
    <w:name w:val="日期 字符"/>
    <w:autoRedefine/>
    <w:qFormat/>
    <w:uiPriority w:val="0"/>
    <w:rPr>
      <w:color w:val="000000"/>
      <w:kern w:val="2"/>
      <w:sz w:val="21"/>
      <w:szCs w:val="21"/>
    </w:rPr>
  </w:style>
  <w:style w:type="character" w:customStyle="1" w:styleId="310">
    <w:name w:val="正文文本缩进 2 字符"/>
    <w:qFormat/>
    <w:uiPriority w:val="0"/>
    <w:rPr>
      <w:rFonts w:ascii="仿宋_GB2312" w:hAnsi="Times New Roman" w:eastAsia="仿宋_GB2312" w:cs="Times New Roman"/>
      <w:kern w:val="2"/>
      <w:sz w:val="28"/>
      <w:szCs w:val="28"/>
    </w:rPr>
  </w:style>
  <w:style w:type="character" w:customStyle="1" w:styleId="311">
    <w:name w:val="批注框文本 字符"/>
    <w:autoRedefine/>
    <w:qFormat/>
    <w:uiPriority w:val="0"/>
    <w:rPr>
      <w:kern w:val="2"/>
      <w:sz w:val="18"/>
      <w:szCs w:val="18"/>
    </w:rPr>
  </w:style>
  <w:style w:type="character" w:customStyle="1" w:styleId="312">
    <w:name w:val="页脚 字符"/>
    <w:autoRedefine/>
    <w:qFormat/>
    <w:uiPriority w:val="0"/>
    <w:rPr>
      <w:sz w:val="18"/>
      <w:szCs w:val="18"/>
    </w:rPr>
  </w:style>
  <w:style w:type="character" w:customStyle="1" w:styleId="313">
    <w:name w:val="页眉 字符"/>
    <w:autoRedefine/>
    <w:qFormat/>
    <w:uiPriority w:val="0"/>
    <w:rPr>
      <w:sz w:val="18"/>
      <w:szCs w:val="18"/>
    </w:rPr>
  </w:style>
  <w:style w:type="character" w:customStyle="1" w:styleId="314">
    <w:name w:val="签名 字符"/>
    <w:qFormat/>
    <w:uiPriority w:val="0"/>
    <w:rPr>
      <w:rFonts w:ascii="Arial" w:hAnsi="Arial"/>
      <w:spacing w:val="-5"/>
      <w:kern w:val="2"/>
      <w:sz w:val="24"/>
      <w:szCs w:val="22"/>
    </w:rPr>
  </w:style>
  <w:style w:type="character" w:customStyle="1" w:styleId="315">
    <w:name w:val="正文文本缩进 3 字符"/>
    <w:qFormat/>
    <w:uiPriority w:val="0"/>
    <w:rPr>
      <w:kern w:val="2"/>
      <w:sz w:val="21"/>
      <w:szCs w:val="24"/>
    </w:rPr>
  </w:style>
  <w:style w:type="character" w:customStyle="1" w:styleId="316">
    <w:name w:val="正文文本 2 字符"/>
    <w:autoRedefine/>
    <w:qFormat/>
    <w:uiPriority w:val="0"/>
    <w:rPr>
      <w:rFonts w:ascii="Times New Roman" w:hAnsi="Times New Roman" w:eastAsia="宋体" w:cs="Times New Roman"/>
      <w:color w:val="000000"/>
      <w:kern w:val="2"/>
      <w:sz w:val="21"/>
      <w:szCs w:val="22"/>
    </w:rPr>
  </w:style>
  <w:style w:type="character" w:customStyle="1" w:styleId="317">
    <w:name w:val="HTML 预设格式 字符"/>
    <w:autoRedefine/>
    <w:qFormat/>
    <w:uiPriority w:val="0"/>
    <w:rPr>
      <w:rFonts w:ascii="Arial Unicode MS" w:hAnsi="Arial Unicode MS" w:eastAsia="Arial Unicode MS"/>
      <w:kern w:val="2"/>
      <w:sz w:val="21"/>
      <w:szCs w:val="22"/>
    </w:rPr>
  </w:style>
  <w:style w:type="character" w:customStyle="1" w:styleId="318">
    <w:name w:val="普通(网站) 字符"/>
    <w:qFormat/>
    <w:uiPriority w:val="0"/>
    <w:rPr>
      <w:rFonts w:ascii="宋体" w:hAnsi="宋体" w:eastAsia="宋体" w:cs="宋体"/>
      <w:kern w:val="0"/>
      <w:sz w:val="24"/>
      <w:szCs w:val="24"/>
    </w:rPr>
  </w:style>
  <w:style w:type="character" w:customStyle="1" w:styleId="319">
    <w:name w:val="标题 字符"/>
    <w:autoRedefine/>
    <w:qFormat/>
    <w:uiPriority w:val="0"/>
    <w:rPr>
      <w:rFonts w:ascii="Arial" w:hAnsi="Arial" w:eastAsia="宋体" w:cs="Times New Roman"/>
      <w:b/>
      <w:bCs/>
      <w:color w:val="000000"/>
      <w:kern w:val="2"/>
      <w:sz w:val="32"/>
      <w:szCs w:val="32"/>
    </w:rPr>
  </w:style>
  <w:style w:type="character" w:customStyle="1" w:styleId="320">
    <w:name w:val="批注主题 字符"/>
    <w:qFormat/>
    <w:uiPriority w:val="0"/>
    <w:rPr>
      <w:b/>
      <w:bCs/>
    </w:rPr>
  </w:style>
  <w:style w:type="character" w:customStyle="1" w:styleId="321">
    <w:name w:val="正文文本首行缩进 字符"/>
    <w:autoRedefine/>
    <w:qFormat/>
    <w:uiPriority w:val="0"/>
  </w:style>
  <w:style w:type="character" w:customStyle="1" w:styleId="322">
    <w:name w:val="正文文本首行缩进 2 字符1"/>
    <w:autoRedefine/>
    <w:qFormat/>
    <w:uiPriority w:val="0"/>
    <w:rPr>
      <w:rFonts w:ascii="Times New Roman" w:hAnsi="Times New Roman" w:eastAsia="宋体" w:cs="Times New Roman"/>
    </w:rPr>
  </w:style>
  <w:style w:type="character" w:customStyle="1" w:styleId="323">
    <w:name w:val="列表段落 字符"/>
    <w:link w:val="302"/>
    <w:autoRedefine/>
    <w:qFormat/>
    <w:uiPriority w:val="0"/>
    <w:rPr>
      <w:kern w:val="2"/>
      <w:sz w:val="21"/>
      <w:szCs w:val="22"/>
    </w:rPr>
  </w:style>
  <w:style w:type="character" w:customStyle="1" w:styleId="324">
    <w:name w:val="无间隔 字符"/>
    <w:autoRedefine/>
    <w:qFormat/>
    <w:uiPriority w:val="0"/>
    <w:rPr>
      <w:rFonts w:ascii="Times New Roman" w:hAnsi="Times New Roman" w:eastAsia="宋体" w:cs="Times New Roman"/>
      <w:color w:val="000000"/>
      <w:sz w:val="21"/>
      <w:szCs w:val="21"/>
    </w:rPr>
  </w:style>
  <w:style w:type="paragraph" w:customStyle="1" w:styleId="325">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6">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7">
    <w:name w:val="Body Text 31"/>
    <w:basedOn w:val="1"/>
    <w:qFormat/>
    <w:uiPriority w:val="0"/>
    <w:pPr>
      <w:spacing w:after="120"/>
    </w:pPr>
    <w:rPr>
      <w:sz w:val="16"/>
      <w:szCs w:val="16"/>
    </w:rPr>
  </w:style>
  <w:style w:type="paragraph" w:customStyle="1" w:styleId="328">
    <w:name w:val="Table Text"/>
    <w:basedOn w:val="1"/>
    <w:qFormat/>
    <w:uiPriority w:val="0"/>
    <w:pPr>
      <w:widowControl/>
      <w:autoSpaceDE/>
      <w:autoSpaceDN/>
      <w:spacing w:before="60" w:after="60"/>
      <w:jc w:val="left"/>
    </w:pPr>
    <w:rPr>
      <w:color w:val="auto"/>
      <w:sz w:val="24"/>
      <w:szCs w:val="20"/>
    </w:rPr>
  </w:style>
  <w:style w:type="table" w:customStyle="1" w:styleId="329">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330">
    <w:name w:val="_Style 4"/>
    <w:basedOn w:val="1"/>
    <w:qFormat/>
    <w:uiPriority w:val="0"/>
    <w:pPr>
      <w:autoSpaceDE/>
      <w:autoSpaceDN/>
      <w:adjustRightInd/>
      <w:ind w:firstLine="420" w:firstLineChars="200"/>
    </w:pPr>
    <w:rPr>
      <w:rFonts w:asciiTheme="minorHAnsi" w:hAnsiTheme="minorHAnsi" w:eastAsiaTheme="minorEastAsia" w:cstheme="minorBidi"/>
      <w:color w:val="auto"/>
      <w:kern w:val="2"/>
      <w:szCs w:val="22"/>
    </w:rPr>
  </w:style>
  <w:style w:type="paragraph" w:customStyle="1" w:styleId="331">
    <w:name w:val="reader-word-layer reader-word-s1-16"/>
    <w:basedOn w:val="1"/>
    <w:qFormat/>
    <w:uiPriority w:val="0"/>
    <w:pPr>
      <w:widowControl/>
      <w:autoSpaceDE/>
      <w:autoSpaceDN/>
      <w:adjustRightInd/>
      <w:spacing w:before="100" w:beforeAutospacing="1" w:after="100" w:afterAutospacing="1"/>
      <w:jc w:val="left"/>
    </w:pPr>
    <w:rPr>
      <w:rFonts w:ascii="宋体" w:hAnsi="宋体" w:cs="宋体" w:eastAsiaTheme="minorEastAsia"/>
      <w:color w:val="auto"/>
      <w:sz w:val="24"/>
      <w:szCs w:val="22"/>
    </w:rPr>
  </w:style>
  <w:style w:type="character" w:customStyle="1" w:styleId="332">
    <w:name w:val="副标题 Char"/>
    <w:basedOn w:val="55"/>
    <w:link w:val="37"/>
    <w:qFormat/>
    <w:uiPriority w:val="0"/>
    <w:rPr>
      <w:rFonts w:ascii="Cambria" w:hAnsi="Cambria"/>
      <w:b/>
      <w:bCs/>
      <w:color w:val="000000"/>
      <w:kern w:val="28"/>
      <w:sz w:val="32"/>
      <w:szCs w:val="32"/>
    </w:rPr>
  </w:style>
  <w:style w:type="character" w:customStyle="1" w:styleId="333">
    <w:name w:val="脚注文本 Char"/>
    <w:basedOn w:val="55"/>
    <w:link w:val="39"/>
    <w:qFormat/>
    <w:uiPriority w:val="99"/>
    <w:rPr>
      <w:rFonts w:eastAsia="等线"/>
      <w:color w:val="000000"/>
      <w:kern w:val="1"/>
      <w:sz w:val="18"/>
      <w:szCs w:val="21"/>
    </w:rPr>
  </w:style>
  <w:style w:type="character" w:customStyle="1" w:styleId="334">
    <w:name w:val="正文文本缩进 Char1"/>
    <w:basedOn w:val="55"/>
    <w:qFormat/>
    <w:uiPriority w:val="0"/>
  </w:style>
  <w:style w:type="paragraph" w:customStyle="1" w:styleId="335">
    <w:name w:val="样式 标题 2h2sect 1.2H22nd level2Header 2UNDERRUBRIK 1-2章标题...3"/>
    <w:basedOn w:val="3"/>
    <w:qFormat/>
    <w:uiPriority w:val="0"/>
    <w:pPr>
      <w:tabs>
        <w:tab w:val="left" w:pos="0"/>
        <w:tab w:val="left" w:pos="2268"/>
      </w:tabs>
      <w:spacing w:line="416" w:lineRule="auto"/>
    </w:pPr>
    <w:rPr>
      <w:b w:val="0"/>
      <w:color w:val="auto"/>
    </w:rPr>
  </w:style>
  <w:style w:type="paragraph" w:customStyle="1" w:styleId="336">
    <w:name w:val="样式 标题 2h2sect 1.2H22nd level2Header 2UNDERRUBRIK 1-2章标题..."/>
    <w:basedOn w:val="4"/>
    <w:qFormat/>
    <w:uiPriority w:val="0"/>
    <w:pPr>
      <w:tabs>
        <w:tab w:val="left" w:pos="0"/>
        <w:tab w:val="left" w:pos="2268"/>
      </w:tabs>
      <w:spacing w:before="120" w:after="120" w:line="520" w:lineRule="atLeast"/>
      <w:ind w:left="531" w:leftChars="100" w:hanging="431"/>
    </w:pPr>
    <w:rPr>
      <w:rFonts w:ascii="宋体" w:hAnsi="宋体" w:cs="宋体"/>
      <w:bCs w:val="0"/>
      <w:kern w:val="24"/>
      <w:sz w:val="28"/>
      <w:szCs w:val="20"/>
    </w:rPr>
  </w:style>
  <w:style w:type="paragraph" w:customStyle="1" w:styleId="337">
    <w:name w:val="样式 标题 2h2sect 1.2H22nd level2Header 2UNDERRUBRIK 1-2章标题...2"/>
    <w:basedOn w:val="3"/>
    <w:qFormat/>
    <w:uiPriority w:val="0"/>
    <w:pPr>
      <w:tabs>
        <w:tab w:val="left" w:pos="0"/>
        <w:tab w:val="left" w:pos="2268"/>
      </w:tabs>
      <w:spacing w:line="416" w:lineRule="auto"/>
    </w:pPr>
    <w:rPr>
      <w:rFonts w:ascii="Times New Roman" w:hAnsi="Times New Roman"/>
      <w:b w:val="0"/>
      <w:color w:val="auto"/>
    </w:rPr>
  </w:style>
  <w:style w:type="paragraph" w:customStyle="1" w:styleId="33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39">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340">
    <w:name w:val="font51"/>
    <w:basedOn w:val="55"/>
    <w:qFormat/>
    <w:uiPriority w:val="0"/>
    <w:rPr>
      <w:rFonts w:hint="eastAsia" w:ascii="宋体" w:hAnsi="宋体" w:eastAsia="宋体" w:cs="宋体"/>
      <w:color w:val="000000"/>
      <w:sz w:val="20"/>
      <w:szCs w:val="20"/>
      <w:u w:val="none"/>
    </w:rPr>
  </w:style>
  <w:style w:type="character" w:customStyle="1" w:styleId="341">
    <w:name w:val="font31"/>
    <w:basedOn w:val="55"/>
    <w:qFormat/>
    <w:uiPriority w:val="0"/>
    <w:rPr>
      <w:rFonts w:hint="eastAsia" w:ascii="宋体" w:hAnsi="宋体" w:eastAsia="宋体" w:cs="宋体"/>
      <w:color w:val="000000"/>
      <w:sz w:val="20"/>
      <w:szCs w:val="20"/>
      <w:u w:val="none"/>
    </w:rPr>
  </w:style>
  <w:style w:type="character" w:customStyle="1" w:styleId="342">
    <w:name w:val="font71"/>
    <w:basedOn w:val="55"/>
    <w:qFormat/>
    <w:uiPriority w:val="0"/>
    <w:rPr>
      <w:rFonts w:hint="default" w:ascii="Times New Roman" w:hAnsi="Times New Roman" w:cs="Times New Roman"/>
      <w:color w:val="000000"/>
      <w:sz w:val="20"/>
      <w:szCs w:val="20"/>
      <w:u w:val="none"/>
    </w:rPr>
  </w:style>
  <w:style w:type="character" w:customStyle="1" w:styleId="343">
    <w:name w:val="font61"/>
    <w:basedOn w:val="55"/>
    <w:qFormat/>
    <w:uiPriority w:val="0"/>
    <w:rPr>
      <w:rFonts w:hint="default" w:ascii="Times New Roman" w:hAnsi="Times New Roman" w:cs="Times New Roman"/>
      <w:color w:val="000000"/>
      <w:sz w:val="20"/>
      <w:szCs w:val="20"/>
      <w:u w:val="none"/>
      <w:vertAlign w:val="superscript"/>
    </w:rPr>
  </w:style>
  <w:style w:type="paragraph" w:customStyle="1" w:styleId="344">
    <w:name w:val="正文文本缩进 31"/>
    <w:basedOn w:val="1"/>
    <w:qFormat/>
    <w:uiPriority w:val="0"/>
    <w:pPr>
      <w:autoSpaceDE/>
      <w:autoSpaceDN/>
      <w:adjustRightInd/>
      <w:ind w:firstLine="435"/>
    </w:pPr>
    <w:rPr>
      <w:color w:val="auto"/>
      <w:kern w:val="2"/>
      <w:szCs w:val="24"/>
    </w:rPr>
  </w:style>
  <w:style w:type="paragraph" w:customStyle="1" w:styleId="345">
    <w:name w:val="_Style 3"/>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15957</Words>
  <Characters>17014</Characters>
  <Lines>278</Lines>
  <Paragraphs>78</Paragraphs>
  <TotalTime>0</TotalTime>
  <ScaleCrop>false</ScaleCrop>
  <LinksUpToDate>false</LinksUpToDate>
  <CharactersWithSpaces>17079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2020-10-12T16:49:00Z</cp:lastPrinted>
  <dcterms:modified xsi:type="dcterms:W3CDTF">2025-05-26T07:52:41Z</dcterms:modified>
  <cp:revision>6312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622DAD1C53F5459E8F4BD22C0A71B7D7</vt:lpwstr>
  </property>
  <property fmtid="{D5CDD505-2E9C-101B-9397-08002B2CF9AE}" pid="4" name="KSOTemplateDocerSaveRecord">
    <vt:lpwstr>eyJoZGlkIjoiNmE2NmViZGVjYWI5MWVlYjJhNzllZjJmZGFkNzNmMzMiLCJ1c2VySWQiOiIyODY2MDMxNTYifQ==</vt:lpwstr>
  </property>
</Properties>
</file>